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15792" w14:textId="77777777" w:rsidR="00591B49" w:rsidRDefault="00591B49" w:rsidP="005916B1">
      <w:pPr>
        <w:spacing w:before="240" w:line="360" w:lineRule="auto"/>
        <w:jc w:val="right"/>
        <w:rPr>
          <w:rFonts w:ascii="Times New Roman" w:hAnsi="Times New Roman" w:cs="Times New Roman"/>
          <w:b/>
          <w:bCs/>
          <w:sz w:val="32"/>
          <w:szCs w:val="18"/>
        </w:rPr>
      </w:pPr>
      <w:r w:rsidRPr="00591B49">
        <w:rPr>
          <w:rFonts w:ascii="Times New Roman" w:hAnsi="Times New Roman" w:cs="Times New Roman"/>
          <w:b/>
          <w:bCs/>
          <w:sz w:val="32"/>
          <w:szCs w:val="18"/>
        </w:rPr>
        <w:t xml:space="preserve">Review Article </w:t>
      </w:r>
    </w:p>
    <w:p w14:paraId="247B1CA6" w14:textId="77777777" w:rsidR="00591B49" w:rsidRDefault="00591B49" w:rsidP="005916B1">
      <w:pPr>
        <w:spacing w:before="240" w:line="360" w:lineRule="auto"/>
        <w:jc w:val="right"/>
        <w:rPr>
          <w:rFonts w:ascii="Times New Roman" w:hAnsi="Times New Roman" w:cs="Times New Roman"/>
          <w:b/>
          <w:bCs/>
          <w:sz w:val="32"/>
          <w:szCs w:val="18"/>
        </w:rPr>
      </w:pPr>
    </w:p>
    <w:p w14:paraId="4A4B5064" w14:textId="2A694B51" w:rsidR="00D515D3" w:rsidRPr="00AF1EB9" w:rsidRDefault="00D515D3" w:rsidP="005916B1">
      <w:pPr>
        <w:spacing w:before="240" w:line="360" w:lineRule="auto"/>
        <w:jc w:val="right"/>
        <w:rPr>
          <w:rFonts w:ascii="Times New Roman" w:hAnsi="Times New Roman" w:cs="Times New Roman"/>
          <w:b/>
          <w:bCs/>
          <w:sz w:val="32"/>
          <w:szCs w:val="32"/>
        </w:rPr>
      </w:pPr>
      <w:r w:rsidRPr="00AF1EB9">
        <w:rPr>
          <w:rFonts w:ascii="Times New Roman" w:hAnsi="Times New Roman" w:cs="Times New Roman"/>
          <w:b/>
          <w:bCs/>
          <w:sz w:val="32"/>
          <w:szCs w:val="18"/>
        </w:rPr>
        <w:t>COVID-19 Post-Pandemic Agricultural Extension Services</w:t>
      </w:r>
      <w:r w:rsidRPr="00D515D3">
        <w:rPr>
          <w:rFonts w:ascii="Times New Roman" w:hAnsi="Times New Roman" w:cs="Times New Roman"/>
          <w:b/>
          <w:bCs/>
          <w:sz w:val="32"/>
          <w:szCs w:val="32"/>
        </w:rPr>
        <w:t>: A Strategic Analysis of Post-Pandemic Sustainability</w:t>
      </w:r>
    </w:p>
    <w:p w14:paraId="62014984" w14:textId="77777777" w:rsidR="00F21C3E" w:rsidRDefault="00F21C3E" w:rsidP="005916B1">
      <w:pPr>
        <w:spacing w:before="240" w:line="360" w:lineRule="auto"/>
        <w:jc w:val="both"/>
        <w:rPr>
          <w:rFonts w:ascii="Times New Roman" w:hAnsi="Times New Roman" w:cs="Times New Roman"/>
          <w:b/>
          <w:bCs/>
          <w:sz w:val="24"/>
          <w:szCs w:val="24"/>
        </w:rPr>
      </w:pPr>
    </w:p>
    <w:p w14:paraId="11740499" w14:textId="48F1095E" w:rsidR="005916B1" w:rsidRDefault="005916B1" w:rsidP="005916B1">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61AF4E1" w14:textId="1EC47712" w:rsidR="005916B1" w:rsidRPr="00D515D3" w:rsidRDefault="00D515D3" w:rsidP="00D515D3">
      <w:pPr>
        <w:spacing w:line="360" w:lineRule="auto"/>
        <w:jc w:val="both"/>
        <w:rPr>
          <w:rFonts w:ascii="Times New Roman" w:hAnsi="Times New Roman" w:cs="Times New Roman"/>
          <w:sz w:val="24"/>
          <w:szCs w:val="24"/>
        </w:rPr>
      </w:pPr>
      <w:r w:rsidRPr="00D515D3">
        <w:rPr>
          <w:rFonts w:ascii="Times New Roman" w:hAnsi="Times New Roman" w:cs="Times New Roman"/>
          <w:sz w:val="24"/>
          <w:szCs w:val="24"/>
        </w:rPr>
        <w:t xml:space="preserve">The COVID-19 pandemic profoundly disrupted agricultural extension systems worldwide, highlighting systemic vulnerabilities while accelerating digital transformation. This paper presents a comprehensive analysis of post-pandemic extension services, emphasizing sustainability, inclusivity, and resilience. It explores the breakdown of traditional service delivery due to lockdowns and movement restrictions and examines the rapid pivot toward digital platforms such as mobile apps, AI tools, and hybrid models that blend in-person and virtual engagement. The study identifies critical challenges, including digital inequality, </w:t>
      </w:r>
      <w:proofErr w:type="spellStart"/>
      <w:r w:rsidRPr="00D515D3">
        <w:rPr>
          <w:rFonts w:ascii="Times New Roman" w:hAnsi="Times New Roman" w:cs="Times New Roman"/>
          <w:sz w:val="24"/>
          <w:szCs w:val="24"/>
        </w:rPr>
        <w:t>labor</w:t>
      </w:r>
      <w:proofErr w:type="spellEnd"/>
      <w:r w:rsidRPr="00D515D3">
        <w:rPr>
          <w:rFonts w:ascii="Times New Roman" w:hAnsi="Times New Roman" w:cs="Times New Roman"/>
          <w:sz w:val="24"/>
          <w:szCs w:val="24"/>
        </w:rPr>
        <w:t xml:space="preserve"> shortages, trust deficits, infrastructural gaps, and market disconnection. Drawing from global case studies—India, Kenya, the Philippines, and the U.S.—the paper highlights best practices like public-private partnerships, community media, and localized content. A sustainability framework is proposed, encompassing farmer-centric approaches, digitally inclusive infrastructure, multi-stakeholder ecosystems, and crisis-ready systems. Policy recommendations focus on capacity development, monitoring and evaluation, and decentralized, culturally relevant service models. The findings underscore the need to reimagine agricultural extension as a dynamic, integrated, and digitally enabled system that </w:t>
      </w:r>
      <w:proofErr w:type="spellStart"/>
      <w:r w:rsidRPr="00D515D3">
        <w:rPr>
          <w:rFonts w:ascii="Times New Roman" w:hAnsi="Times New Roman" w:cs="Times New Roman"/>
          <w:sz w:val="24"/>
          <w:szCs w:val="24"/>
        </w:rPr>
        <w:t>centers</w:t>
      </w:r>
      <w:proofErr w:type="spellEnd"/>
      <w:r w:rsidRPr="00D515D3">
        <w:rPr>
          <w:rFonts w:ascii="Times New Roman" w:hAnsi="Times New Roman" w:cs="Times New Roman"/>
          <w:sz w:val="24"/>
          <w:szCs w:val="24"/>
        </w:rPr>
        <w:t xml:space="preserve"> farmer empowerment, equity, and adaptability in the face of future crises.</w:t>
      </w:r>
    </w:p>
    <w:p w14:paraId="557BB801" w14:textId="68598C6A" w:rsidR="003324EC" w:rsidRDefault="005916B1" w:rsidP="00D515D3">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Agricultural Extension</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COVID-19</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Digital Advisory Services</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Sustainability</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Public-Private Partnerships</w:t>
      </w:r>
    </w:p>
    <w:p w14:paraId="1D2F1393" w14:textId="77777777" w:rsidR="006D0699" w:rsidRPr="006D0699" w:rsidRDefault="006D0699" w:rsidP="006D0699">
      <w:pPr>
        <w:spacing w:before="240" w:line="360" w:lineRule="auto"/>
        <w:jc w:val="both"/>
        <w:rPr>
          <w:rFonts w:ascii="Times New Roman" w:hAnsi="Times New Roman" w:cs="Times New Roman"/>
          <w:b/>
          <w:bCs/>
          <w:sz w:val="24"/>
          <w:szCs w:val="24"/>
        </w:rPr>
      </w:pPr>
      <w:r w:rsidRPr="006D0699">
        <w:rPr>
          <w:rFonts w:ascii="Times New Roman" w:hAnsi="Times New Roman" w:cs="Times New Roman"/>
          <w:b/>
          <w:bCs/>
          <w:sz w:val="24"/>
          <w:szCs w:val="24"/>
        </w:rPr>
        <w:t>1. Introduction</w:t>
      </w:r>
    </w:p>
    <w:p w14:paraId="3078497C" w14:textId="6CE21141"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 xml:space="preserve">The COVID-19 pandemic, which began as a global health crisis in </w:t>
      </w:r>
      <w:r w:rsidR="00D16E4E">
        <w:rPr>
          <w:rFonts w:ascii="Times New Roman" w:hAnsi="Times New Roman" w:cs="Times New Roman"/>
          <w:sz w:val="24"/>
          <w:szCs w:val="24"/>
        </w:rPr>
        <w:t>2019</w:t>
      </w:r>
      <w:r w:rsidRPr="004F7754">
        <w:rPr>
          <w:rFonts w:ascii="Times New Roman" w:hAnsi="Times New Roman" w:cs="Times New Roman"/>
          <w:sz w:val="24"/>
          <w:szCs w:val="24"/>
        </w:rPr>
        <w:t xml:space="preserve">, </w:t>
      </w:r>
      <w:r w:rsidR="00D16E4E">
        <w:rPr>
          <w:rFonts w:ascii="Times New Roman" w:hAnsi="Times New Roman" w:cs="Times New Roman"/>
          <w:sz w:val="24"/>
          <w:szCs w:val="24"/>
        </w:rPr>
        <w:t xml:space="preserve">and </w:t>
      </w:r>
      <w:r w:rsidRPr="004F7754">
        <w:rPr>
          <w:rFonts w:ascii="Times New Roman" w:hAnsi="Times New Roman" w:cs="Times New Roman"/>
          <w:sz w:val="24"/>
          <w:szCs w:val="24"/>
        </w:rPr>
        <w:t xml:space="preserve">rapidly evolved </w:t>
      </w:r>
      <w:r w:rsidR="00EF38C8">
        <w:rPr>
          <w:rFonts w:ascii="Times New Roman" w:hAnsi="Times New Roman" w:cs="Times New Roman"/>
          <w:sz w:val="24"/>
          <w:szCs w:val="24"/>
        </w:rPr>
        <w:t xml:space="preserve">in 2020 </w:t>
      </w:r>
      <w:r w:rsidRPr="004F7754">
        <w:rPr>
          <w:rFonts w:ascii="Times New Roman" w:hAnsi="Times New Roman" w:cs="Times New Roman"/>
          <w:sz w:val="24"/>
          <w:szCs w:val="24"/>
        </w:rPr>
        <w:t xml:space="preserve">into a multifaceted challenge impacting economies, food systems, and rural livelihoods </w:t>
      </w:r>
      <w:r w:rsidRPr="004F7754">
        <w:rPr>
          <w:rFonts w:ascii="Times New Roman" w:hAnsi="Times New Roman" w:cs="Times New Roman"/>
          <w:sz w:val="24"/>
          <w:szCs w:val="24"/>
        </w:rPr>
        <w:lastRenderedPageBreak/>
        <w:t>across the globe. Among the various sectors affected, agriculture—particularly the systems and services that support farmers—was significantly disrupted. One such critical support mechanism is agricultural extension services, which act as a bridge between research institutions and farmers by providing knowledge, technologies, and advisory support essential for sustainable agricultural practices. In the post-pandemic world, the sustainability and resilience of agricultural extension services have come under close scrutiny, both globally and in the Indian context.</w:t>
      </w:r>
    </w:p>
    <w:p w14:paraId="11A7E667" w14:textId="77777777"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 xml:space="preserve">Agricultural extension services have traditionally relied on face-to-face interactions, training programs, field demonstrations, and community-based dissemination methods. However, the COVID-19 pandemic necessitated a dramatic shift in these modalities due to restrictions on physical movement and social distancing protocols (FAO, 2021). The immediate halt in traditional extension activities highlighted the vulnerability of the system to external shocks and underscored the need for resilient, technology-driven, and inclusive approaches to ensure continuity and effectiveness of service delivery. Moreover, the pandemic exposed and often exacerbated existing gaps in access to extension services, particularly for smallholder farmers, women, and marginalized groups, further challenging the equity and sustainability of agricultural development (Swanson &amp; </w:t>
      </w:r>
      <w:proofErr w:type="spellStart"/>
      <w:r w:rsidRPr="004F7754">
        <w:rPr>
          <w:rFonts w:ascii="Times New Roman" w:hAnsi="Times New Roman" w:cs="Times New Roman"/>
          <w:sz w:val="24"/>
          <w:szCs w:val="24"/>
        </w:rPr>
        <w:t>Rajalahti</w:t>
      </w:r>
      <w:proofErr w:type="spellEnd"/>
      <w:r w:rsidRPr="004F7754">
        <w:rPr>
          <w:rFonts w:ascii="Times New Roman" w:hAnsi="Times New Roman" w:cs="Times New Roman"/>
          <w:sz w:val="24"/>
          <w:szCs w:val="24"/>
        </w:rPr>
        <w:t>, 2010).</w:t>
      </w:r>
    </w:p>
    <w:p w14:paraId="713EB46A" w14:textId="77777777"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Globally, the response to the disruption of extension services varied across countries depending on institutional capacities, infrastructure, and digital readiness. In developed economies, the rapid adoption of digital tools such as mobile apps, virtual advisory platforms, and AI-enabled decision support systems helped maintain a certain degree of service continuity. Countries like the United States, Canada, and Australia leveraged existing e-extension platforms and adapted quickly to remote service delivery (Rose et al., 2021). However, in many low- and middle-income countries, including those in Sub-Saharan Africa and South Asia, the digital divide posed significant challenges. Limited internet penetration, lack of digital literacy, and gendered access to mobile technology hindered the effectiveness of online extension interventions (World Bank, 2021).</w:t>
      </w:r>
    </w:p>
    <w:p w14:paraId="0D9C2CCA" w14:textId="77777777"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 xml:space="preserve">India, with its vast and diverse agricultural landscape, experienced both challenges and innovations during the pandemic. Agricultural extension in India is delivered through a pluralistic system involving public institutions such as the State Agricultural Universities (SAUs), Krishi Vigyan </w:t>
      </w:r>
      <w:proofErr w:type="spellStart"/>
      <w:r w:rsidRPr="004F7754">
        <w:rPr>
          <w:rFonts w:ascii="Times New Roman" w:hAnsi="Times New Roman" w:cs="Times New Roman"/>
          <w:sz w:val="24"/>
          <w:szCs w:val="24"/>
        </w:rPr>
        <w:t>Kendras</w:t>
      </w:r>
      <w:proofErr w:type="spellEnd"/>
      <w:r w:rsidRPr="004F7754">
        <w:rPr>
          <w:rFonts w:ascii="Times New Roman" w:hAnsi="Times New Roman" w:cs="Times New Roman"/>
          <w:sz w:val="24"/>
          <w:szCs w:val="24"/>
        </w:rPr>
        <w:t xml:space="preserve"> (KVKs), and the Department of Agriculture and Farmers Welfare (DAFW), alongside private sector and non-governmental actors. The pandemic </w:t>
      </w:r>
      <w:r w:rsidRPr="004F7754">
        <w:rPr>
          <w:rFonts w:ascii="Times New Roman" w:hAnsi="Times New Roman" w:cs="Times New Roman"/>
          <w:sz w:val="24"/>
          <w:szCs w:val="24"/>
        </w:rPr>
        <w:lastRenderedPageBreak/>
        <w:t>disrupted on-ground activities like field visits and farmer training, particularly impacting the government-led initiatives (Singh et al., 2020). However, it also accelerated digital transformation in agricultural extension. Platforms like Kisan Call Centres, the Digital India campaign, and various mobile advisory services gained prominence, offering real-time solutions to farmers’ problems through remote means (Meena et al., 2021).</w:t>
      </w:r>
    </w:p>
    <w:p w14:paraId="3B6EF29C" w14:textId="77777777"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Despite these innovations, questions remain about the long-term sustainability of post-pandemic extension service provision. Sustainability, in this context, encompasses not only the ability to continue services without external shocks but also the adaptability of extension systems to meet evolving farmer needs, the inclusiveness of delivery mechanisms, and the environmental, social, and economic implications of disseminated practices. Building sustainable extension systems requires addressing structural issues such as inadequate funding, low extension agent-to-farmer ratios, and lack of integration among multiple service providers. Furthermore, a reimagining of extension delivery is essential—one that combines digital tools with traditional methods, builds local capacity, and fosters participatory, bottom-up approaches (Anderson &amp; Feder, 2007).</w:t>
      </w:r>
    </w:p>
    <w:p w14:paraId="2A5E317A" w14:textId="77777777"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In India, the way forward involves leveraging emerging technologies such as artificial intelligence, remote sensing, and machine learning for precision advisory services while simultaneously strengthening grassroots-level institutions. The role of Farmer Producer Organizations (FPOs), Self-Help Groups (SHGs), and community-based platforms has been highlighted as a means to localize extension services and enhance outreach (Kumar et al., 2022). Moreover, the pandemic reinforced the importance of partnerships across public, private, and civil society sectors in ensuring the resilience of extension systems. Multi-stakeholder collaboration, supported by robust policy frameworks and financial investments, is imperative to institutionalize the learnings from the pandemic and build future-ready systems.</w:t>
      </w:r>
    </w:p>
    <w:p w14:paraId="788BA468" w14:textId="0905D1A9" w:rsidR="006D0699" w:rsidRDefault="004F7754" w:rsidP="006D0699">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 xml:space="preserve">The global experience underscores that sustainability in agricultural extension post-COVID-19 is not just a matter of technology adoption, but also of systems thinking, inclusivity, and resilience. As climate change, market volatility, and health risks continue to pose interconnected threats to food security, agricultural extension must evolve into a more dynamic, integrated, and farmer-centric system. In India, this evolution must be rooted in context-specific solutions that consider linguistic diversity, regional </w:t>
      </w:r>
      <w:proofErr w:type="spellStart"/>
      <w:r w:rsidRPr="004F7754">
        <w:rPr>
          <w:rFonts w:ascii="Times New Roman" w:hAnsi="Times New Roman" w:cs="Times New Roman"/>
          <w:sz w:val="24"/>
          <w:szCs w:val="24"/>
        </w:rPr>
        <w:t>agro</w:t>
      </w:r>
      <w:proofErr w:type="spellEnd"/>
      <w:r w:rsidRPr="004F7754">
        <w:rPr>
          <w:rFonts w:ascii="Times New Roman" w:hAnsi="Times New Roman" w:cs="Times New Roman"/>
          <w:sz w:val="24"/>
          <w:szCs w:val="24"/>
        </w:rPr>
        <w:t>-ecologies, and socio-economic realities.</w:t>
      </w:r>
      <w:r w:rsidR="00A835EA">
        <w:rPr>
          <w:rFonts w:ascii="Times New Roman" w:hAnsi="Times New Roman" w:cs="Times New Roman"/>
          <w:sz w:val="24"/>
          <w:szCs w:val="24"/>
        </w:rPr>
        <w:t xml:space="preserve"> </w:t>
      </w:r>
      <w:r w:rsidR="006D0699" w:rsidRPr="006D0699">
        <w:rPr>
          <w:rFonts w:ascii="Times New Roman" w:hAnsi="Times New Roman" w:cs="Times New Roman"/>
          <w:sz w:val="24"/>
          <w:szCs w:val="24"/>
        </w:rPr>
        <w:t xml:space="preserve">This </w:t>
      </w:r>
      <w:r w:rsidR="00A835EA">
        <w:rPr>
          <w:rFonts w:ascii="Times New Roman" w:hAnsi="Times New Roman" w:cs="Times New Roman"/>
          <w:sz w:val="24"/>
          <w:szCs w:val="24"/>
        </w:rPr>
        <w:t>review</w:t>
      </w:r>
      <w:r w:rsidR="006D0699" w:rsidRPr="006D0699">
        <w:rPr>
          <w:rFonts w:ascii="Times New Roman" w:hAnsi="Times New Roman" w:cs="Times New Roman"/>
          <w:sz w:val="24"/>
          <w:szCs w:val="24"/>
        </w:rPr>
        <w:t xml:space="preserve"> provides a comprehensive analysis of post-COVID agricultural </w:t>
      </w:r>
      <w:r w:rsidR="006D0699" w:rsidRPr="006D0699">
        <w:rPr>
          <w:rFonts w:ascii="Times New Roman" w:hAnsi="Times New Roman" w:cs="Times New Roman"/>
          <w:sz w:val="24"/>
          <w:szCs w:val="24"/>
        </w:rPr>
        <w:lastRenderedPageBreak/>
        <w:t>extension systems, focusing on sustainability in service delivery. It evaluates how extension mechanisms adapted during the crisis, identifies the persistent challenges, and outlines pathways for building resilient and sustainable agricultural advisory systems for the future.</w:t>
      </w:r>
    </w:p>
    <w:p w14:paraId="20D51507" w14:textId="352E6DF3" w:rsidR="00376647" w:rsidRPr="00C4662F" w:rsidRDefault="00376647" w:rsidP="00376647">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C4662F">
        <w:rPr>
          <w:rFonts w:ascii="Times New Roman" w:hAnsi="Times New Roman" w:cs="Times New Roman"/>
          <w:b/>
          <w:bCs/>
          <w:sz w:val="24"/>
          <w:szCs w:val="24"/>
        </w:rPr>
        <w:t>Background of Agricultural Extension Services</w:t>
      </w:r>
    </w:p>
    <w:p w14:paraId="13FA54E7" w14:textId="0FBD4EE9" w:rsidR="00376647" w:rsidRPr="00376647" w:rsidRDefault="00376647" w:rsidP="00376647">
      <w:pPr>
        <w:spacing w:before="240" w:line="360" w:lineRule="auto"/>
        <w:jc w:val="both"/>
        <w:rPr>
          <w:rFonts w:ascii="Times New Roman" w:hAnsi="Times New Roman" w:cs="Times New Roman"/>
          <w:sz w:val="24"/>
          <w:szCs w:val="24"/>
        </w:rPr>
      </w:pPr>
      <w:r w:rsidRPr="00376647">
        <w:rPr>
          <w:rFonts w:ascii="Times New Roman" w:hAnsi="Times New Roman" w:cs="Times New Roman"/>
          <w:sz w:val="24"/>
          <w:szCs w:val="24"/>
        </w:rPr>
        <w:t>Agricultural extension services have long played a pivotal role in fostering rural development, improving farm productivity, and ensuring food security. These services are especially crucial in developing countries where a significant proportion of the population is dependent on agriculture for their livelihood. In many such regions, rural populations rely heavily on agriculture not only for subsistence but also as the primary source of income, employment, and economic activity. Agricultural extension — the system of providing farmers with access to timely information, improved technologies, training, and support services — serves as a bridge between research institutions and farming communities (Anderson &amp; Feder, 2007).</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Historically, extension services have been largely public-sector driven, based on a top-down, supply-led approach wherein government-employed agents disseminate standardized recommendations to farmers. These traditional systems, while instrumental in the Green Revolution and other large-scale agricultural transformations, have come under criticism for being insufficiently responsive to the diverse, localized needs of smallholder farmers, especially in marginalized or remote areas (Davis et al., 2021). Moreover, the capacity of extension systems in many developing nations has been constrained by inadequate staffing, funding shortages, logistical barriers, and outdated infrastructure.</w:t>
      </w:r>
    </w:p>
    <w:p w14:paraId="47E5EF0D" w14:textId="6971C480" w:rsidR="00376647" w:rsidRPr="00376647" w:rsidRDefault="00376647" w:rsidP="00376647">
      <w:pPr>
        <w:spacing w:before="240" w:line="360" w:lineRule="auto"/>
        <w:jc w:val="both"/>
        <w:rPr>
          <w:rFonts w:ascii="Times New Roman" w:hAnsi="Times New Roman" w:cs="Times New Roman"/>
          <w:sz w:val="24"/>
          <w:szCs w:val="24"/>
        </w:rPr>
      </w:pPr>
      <w:r w:rsidRPr="00376647">
        <w:rPr>
          <w:rFonts w:ascii="Times New Roman" w:hAnsi="Times New Roman" w:cs="Times New Roman"/>
          <w:sz w:val="24"/>
          <w:szCs w:val="24"/>
        </w:rPr>
        <w:t>Over the past few decades, the model of agricultural extension has evolved toward more participatory, demand-driven approaches, emphasizing farmer empowerment, inclusivity, and innovation. In many developing countries, agricultural value chains — the series of activities involved in producing, processing, marketing, and distributing agricultural products — have become increasingly central to rural development strategies. This trend has given rise to a broader, more integrated view of extension that goes beyond farm-level productivity to include market access, climate resilience, gender equality, and sustainable resource management (</w:t>
      </w:r>
      <w:proofErr w:type="spellStart"/>
      <w:r w:rsidRPr="00376647">
        <w:rPr>
          <w:rFonts w:ascii="Times New Roman" w:hAnsi="Times New Roman" w:cs="Times New Roman"/>
          <w:sz w:val="24"/>
          <w:szCs w:val="24"/>
        </w:rPr>
        <w:t>Mbo'o-Tchouawou</w:t>
      </w:r>
      <w:proofErr w:type="spellEnd"/>
      <w:r w:rsidRPr="00376647">
        <w:rPr>
          <w:rFonts w:ascii="Times New Roman" w:hAnsi="Times New Roman" w:cs="Times New Roman"/>
          <w:sz w:val="24"/>
          <w:szCs w:val="24"/>
        </w:rPr>
        <w:t xml:space="preserve"> &amp; </w:t>
      </w:r>
      <w:proofErr w:type="spellStart"/>
      <w:r w:rsidRPr="00376647">
        <w:rPr>
          <w:rFonts w:ascii="Times New Roman" w:hAnsi="Times New Roman" w:cs="Times New Roman"/>
          <w:sz w:val="24"/>
          <w:szCs w:val="24"/>
        </w:rPr>
        <w:t>Colverson</w:t>
      </w:r>
      <w:proofErr w:type="spellEnd"/>
      <w:r w:rsidRPr="00376647">
        <w:rPr>
          <w:rFonts w:ascii="Times New Roman" w:hAnsi="Times New Roman" w:cs="Times New Roman"/>
          <w:sz w:val="24"/>
          <w:szCs w:val="24"/>
        </w:rPr>
        <w:t>, 2014). As agricultural value chains become more complex, so too do the expectations and roles of extension services.</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 xml:space="preserve">However, the advent of the COVID-19 pandemic brought a massive disruption to agricultural extension systems worldwide. The crisis, which affected nearly every aspect of economic and social life, had a particularly severe impact on rural populations and smallholder agriculture. In response to the spread of the virus, </w:t>
      </w:r>
      <w:r w:rsidRPr="00376647">
        <w:rPr>
          <w:rFonts w:ascii="Times New Roman" w:hAnsi="Times New Roman" w:cs="Times New Roman"/>
          <w:sz w:val="24"/>
          <w:szCs w:val="24"/>
        </w:rPr>
        <w:lastRenderedPageBreak/>
        <w:t>governments implemented stringent containment measures such as lockdowns, quarantines, travel restrictions, and social distancing guidelines. These actions, while necessary for public health, had profound implications for the delivery of agricultural extension services.</w:t>
      </w:r>
    </w:p>
    <w:p w14:paraId="4A595364" w14:textId="10DD8FAC" w:rsidR="00376647" w:rsidRPr="00376647" w:rsidRDefault="00376647" w:rsidP="00376647">
      <w:pPr>
        <w:spacing w:before="240" w:line="360" w:lineRule="auto"/>
        <w:jc w:val="both"/>
        <w:rPr>
          <w:rFonts w:ascii="Times New Roman" w:hAnsi="Times New Roman" w:cs="Times New Roman"/>
          <w:sz w:val="24"/>
          <w:szCs w:val="24"/>
        </w:rPr>
      </w:pPr>
      <w:r w:rsidRPr="00376647">
        <w:rPr>
          <w:rFonts w:ascii="Times New Roman" w:hAnsi="Times New Roman" w:cs="Times New Roman"/>
          <w:sz w:val="24"/>
          <w:szCs w:val="24"/>
        </w:rPr>
        <w:t xml:space="preserve">In-person training sessions, farmer field schools, demonstration plots, and routine field visits — the backbone of traditional extension — were halted or significantly reduced due to restrictions on gatherings and movement. This led to an abrupt suspension of many public and private extension activities, cutting off millions of farmers from critical technical support, market information, and policy updates during a time of heightened uncertainty and volatility in food systems (FAO, 2021). Additionally, supply chain disruptions, </w:t>
      </w:r>
      <w:proofErr w:type="spellStart"/>
      <w:r w:rsidRPr="00376647">
        <w:rPr>
          <w:rFonts w:ascii="Times New Roman" w:hAnsi="Times New Roman" w:cs="Times New Roman"/>
          <w:sz w:val="24"/>
          <w:szCs w:val="24"/>
        </w:rPr>
        <w:t>labor</w:t>
      </w:r>
      <w:proofErr w:type="spellEnd"/>
      <w:r w:rsidRPr="00376647">
        <w:rPr>
          <w:rFonts w:ascii="Times New Roman" w:hAnsi="Times New Roman" w:cs="Times New Roman"/>
          <w:sz w:val="24"/>
          <w:szCs w:val="24"/>
        </w:rPr>
        <w:t xml:space="preserve"> shortages, and price volatility further compounded the challenges faced by rural producers.</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The pandemic exposed the lack of preparedness and resilience within many national extension systems. Many extension workers lacked digital tools and training to pivot to remote modes of communication, and institutional frameworks were often ill-equipped to support digital transition. This left many service providers unable to maintain regular contact with the farming communities they serve. In some instances, spontaneous community-based responses or individual initiatives emerged to fill gaps in service delivery, but these were often informal, inconsistent, and limited in scale and scope.</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The vulnerabilities exposed by COVID-19 have highlighted the urgent need for reimagining and restructuring extension services to withstand future disruptions. The sustainability of traditional, infrastructure-heavy extension systems is now in question, as the conditions of mobility, physical distancing, and rapid digitalization become the norm in the post-pandemic world. In particular, the rigid, centralized structures of many public extension systems have proven ill-suited to the current environment, where flexibility, innovation, and rapid information dissemination are essential.</w:t>
      </w:r>
    </w:p>
    <w:p w14:paraId="6235FF80" w14:textId="312F4131" w:rsidR="00376647" w:rsidRPr="00376647" w:rsidRDefault="00376647" w:rsidP="00376647">
      <w:pPr>
        <w:spacing w:before="240" w:line="360" w:lineRule="auto"/>
        <w:jc w:val="both"/>
        <w:rPr>
          <w:rFonts w:ascii="Times New Roman" w:hAnsi="Times New Roman" w:cs="Times New Roman"/>
          <w:sz w:val="24"/>
          <w:szCs w:val="24"/>
        </w:rPr>
      </w:pPr>
      <w:r w:rsidRPr="00376647">
        <w:rPr>
          <w:rFonts w:ascii="Times New Roman" w:hAnsi="Times New Roman" w:cs="Times New Roman"/>
          <w:sz w:val="24"/>
          <w:szCs w:val="24"/>
        </w:rPr>
        <w:t xml:space="preserve">To maintain continuity of services, it is essential to adopt alternative, innovative models that leverage digital tools, decentralized networks, and public-private partnerships. Remote advisory services via mobile phones, SMS, radio, video conferencing, and dedicated agricultural apps have become vital lifelines for farmers during the pandemic. For instance, platforms like </w:t>
      </w:r>
      <w:proofErr w:type="spellStart"/>
      <w:r w:rsidRPr="00376647">
        <w:rPr>
          <w:rFonts w:ascii="Times New Roman" w:hAnsi="Times New Roman" w:cs="Times New Roman"/>
          <w:sz w:val="24"/>
          <w:szCs w:val="24"/>
        </w:rPr>
        <w:t>eNAM</w:t>
      </w:r>
      <w:proofErr w:type="spellEnd"/>
      <w:r w:rsidRPr="00376647">
        <w:rPr>
          <w:rFonts w:ascii="Times New Roman" w:hAnsi="Times New Roman" w:cs="Times New Roman"/>
          <w:sz w:val="24"/>
          <w:szCs w:val="24"/>
        </w:rPr>
        <w:t xml:space="preserve"> (Electronic National Agriculture Market) and Kisan Suvidha in India, or </w:t>
      </w:r>
      <w:proofErr w:type="spellStart"/>
      <w:r w:rsidRPr="00376647">
        <w:rPr>
          <w:rFonts w:ascii="Times New Roman" w:hAnsi="Times New Roman" w:cs="Times New Roman"/>
          <w:sz w:val="24"/>
          <w:szCs w:val="24"/>
        </w:rPr>
        <w:t>iShamba</w:t>
      </w:r>
      <w:proofErr w:type="spellEnd"/>
      <w:r w:rsidRPr="00376647">
        <w:rPr>
          <w:rFonts w:ascii="Times New Roman" w:hAnsi="Times New Roman" w:cs="Times New Roman"/>
          <w:sz w:val="24"/>
          <w:szCs w:val="24"/>
        </w:rPr>
        <w:t xml:space="preserve"> in Kenya, have enabled farmers to receive timely information on prices, weather, pest outbreaks, and input availability (Meena et al., 2021).</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 xml:space="preserve">However, transitioning to digital extension is not without challenges. Large segments of the rural population, particularly women, indigenous groups, and those in remote areas, face barriers such as lack of digital </w:t>
      </w:r>
      <w:r w:rsidRPr="00376647">
        <w:rPr>
          <w:rFonts w:ascii="Times New Roman" w:hAnsi="Times New Roman" w:cs="Times New Roman"/>
          <w:sz w:val="24"/>
          <w:szCs w:val="24"/>
        </w:rPr>
        <w:lastRenderedPageBreak/>
        <w:t>literacy, poor connectivity, and limited access to smartphones or internet services. This digital divide threatens to widen inequalities in agricultural knowledge and innovation adoption if not addressed through inclusive policies and targeted investments.</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In light of these challenges, it is evident that the future of extension services must be resilient, inclusive, and technologically adaptive. Governments and development organizations must not only enhance their capacity to manage digital tools but also reorient extension strategies around participatory, farmer-led models. This involves empowering local actors, investing in digital infrastructure, ensuring gender equity, and creating feedback mechanisms to continually adapt services to changing needs.</w:t>
      </w:r>
    </w:p>
    <w:p w14:paraId="6C70074D" w14:textId="504FE8FA" w:rsidR="00376647" w:rsidRPr="006D0699" w:rsidRDefault="009A1F25" w:rsidP="006D069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00376647" w:rsidRPr="00376647">
        <w:rPr>
          <w:rFonts w:ascii="Times New Roman" w:hAnsi="Times New Roman" w:cs="Times New Roman"/>
          <w:sz w:val="24"/>
          <w:szCs w:val="24"/>
        </w:rPr>
        <w:t>he background of agricultural extension services in developing countries reflects both enduring challenges and emerging opportunities. The COVID-19 pandemic served as a catalyst for innovation but also exposed the fragility of traditional systems. Building sustainable extension systems for the future requires a paradigm shift — one that integrates technology, fosters inclusivity, and prepares for uncertainty. Only then can extension services truly support the resilience and prosperity of farming communities in an increasingly complex world.</w:t>
      </w:r>
    </w:p>
    <w:p w14:paraId="202F29C3" w14:textId="2E0920A3" w:rsidR="006D0699" w:rsidRPr="0091562A"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D0699" w:rsidRPr="0091562A">
        <w:rPr>
          <w:rFonts w:ascii="Times New Roman" w:hAnsi="Times New Roman" w:cs="Times New Roman"/>
          <w:b/>
          <w:bCs/>
          <w:sz w:val="24"/>
          <w:szCs w:val="24"/>
        </w:rPr>
        <w:t>. Pre-COVID Extension Models: An Overview</w:t>
      </w:r>
    </w:p>
    <w:p w14:paraId="1DED9F3B" w14:textId="3DAF82BF" w:rsidR="0091562A" w:rsidRPr="0091562A" w:rsidRDefault="0091562A" w:rsidP="0091562A">
      <w:pPr>
        <w:spacing w:before="240" w:line="360" w:lineRule="auto"/>
        <w:jc w:val="both"/>
        <w:rPr>
          <w:rFonts w:ascii="Times New Roman" w:hAnsi="Times New Roman" w:cs="Times New Roman"/>
          <w:sz w:val="24"/>
          <w:szCs w:val="24"/>
        </w:rPr>
      </w:pPr>
      <w:r w:rsidRPr="0091562A">
        <w:rPr>
          <w:rFonts w:ascii="Times New Roman" w:hAnsi="Times New Roman" w:cs="Times New Roman"/>
          <w:sz w:val="24"/>
          <w:szCs w:val="24"/>
        </w:rPr>
        <w:t>Prior to the COVID-19 pandemic, agricultural extension services across the globe largely adhered to a traditional, top-down model characterized by a unidirectional flow of information from experts to farmers. Rooted in post-Green Revolution paradigms, these extension systems emphasized the transfer of technology (</w:t>
      </w:r>
      <w:proofErr w:type="spellStart"/>
      <w:r w:rsidRPr="0091562A">
        <w:rPr>
          <w:rFonts w:ascii="Times New Roman" w:hAnsi="Times New Roman" w:cs="Times New Roman"/>
          <w:sz w:val="24"/>
          <w:szCs w:val="24"/>
        </w:rPr>
        <w:t>ToT</w:t>
      </w:r>
      <w:proofErr w:type="spellEnd"/>
      <w:r w:rsidRPr="0091562A">
        <w:rPr>
          <w:rFonts w:ascii="Times New Roman" w:hAnsi="Times New Roman" w:cs="Times New Roman"/>
          <w:sz w:val="24"/>
          <w:szCs w:val="24"/>
        </w:rPr>
        <w:t>) approach, wherein state agencies or publicly funded institutions identified problems, developed solutions, and disseminated them to farmers through extension personnel (Anderson &amp; Feder, 2007). The model presumed uniformity in farmer needs and often overlooked the local context, indigenous knowledge, and participatory approaches essential for sustainable agricultural development.</w:t>
      </w:r>
      <w:r>
        <w:rPr>
          <w:rFonts w:ascii="Times New Roman" w:hAnsi="Times New Roman" w:cs="Times New Roman"/>
          <w:sz w:val="24"/>
          <w:szCs w:val="24"/>
        </w:rPr>
        <w:t xml:space="preserve"> </w:t>
      </w:r>
      <w:r w:rsidRPr="0091562A">
        <w:rPr>
          <w:rFonts w:ascii="Times New Roman" w:hAnsi="Times New Roman" w:cs="Times New Roman"/>
          <w:sz w:val="24"/>
          <w:szCs w:val="24"/>
        </w:rPr>
        <w:t>Globally, public-sector agencies were the primary drivers of agricultural extension. However, over the decades, as the limitations of this centralized approach became evident, non-governmental organizations (NGOs), farmer-based organizations (FBOs), private agribusinesses, and international development bodies began participating more actively. These actors brought innovation and responsiveness to localized needs but often operated in silos, leading to fragmentation and duplication of efforts (Davis, 2008). This multi-stakeholder environment highlighted the need for a more integrated and pluralistic extension system.</w:t>
      </w:r>
    </w:p>
    <w:p w14:paraId="7A2BF33C" w14:textId="5F784FDB" w:rsidR="0091562A" w:rsidRPr="0091562A" w:rsidRDefault="0091562A" w:rsidP="0091562A">
      <w:pPr>
        <w:spacing w:before="240" w:line="360" w:lineRule="auto"/>
        <w:jc w:val="both"/>
        <w:rPr>
          <w:rFonts w:ascii="Times New Roman" w:hAnsi="Times New Roman" w:cs="Times New Roman"/>
          <w:sz w:val="24"/>
          <w:szCs w:val="24"/>
        </w:rPr>
      </w:pPr>
      <w:r w:rsidRPr="0091562A">
        <w:rPr>
          <w:rFonts w:ascii="Times New Roman" w:hAnsi="Times New Roman" w:cs="Times New Roman"/>
          <w:sz w:val="24"/>
          <w:szCs w:val="24"/>
        </w:rPr>
        <w:lastRenderedPageBreak/>
        <w:t xml:space="preserve">A key criticism of pre-COVID extension models was their limited capacity to cater to the diverse needs of smallholder farmers, especially in developing countries. The extension worker-to-farmer ratio remained inadequate, with one agent often responsible for thousands of farmers, resulting in poor coverage and impact (Swanson &amp; </w:t>
      </w:r>
      <w:proofErr w:type="spellStart"/>
      <w:r w:rsidRPr="0091562A">
        <w:rPr>
          <w:rFonts w:ascii="Times New Roman" w:hAnsi="Times New Roman" w:cs="Times New Roman"/>
          <w:sz w:val="24"/>
          <w:szCs w:val="24"/>
        </w:rPr>
        <w:t>Rajalahti</w:t>
      </w:r>
      <w:proofErr w:type="spellEnd"/>
      <w:r w:rsidRPr="0091562A">
        <w:rPr>
          <w:rFonts w:ascii="Times New Roman" w:hAnsi="Times New Roman" w:cs="Times New Roman"/>
          <w:sz w:val="24"/>
          <w:szCs w:val="24"/>
        </w:rPr>
        <w:t>, 2010). Moreover, these systems were often underfunded, suffered from weak institutional coordination, and lacked performance-based accountability. Gender disparities, youth engagement, and the inclusion of marginalized communities also remained significant challenges, further limiting the effectiveness of traditional models.</w:t>
      </w:r>
      <w:r>
        <w:rPr>
          <w:rFonts w:ascii="Times New Roman" w:hAnsi="Times New Roman" w:cs="Times New Roman"/>
          <w:sz w:val="24"/>
          <w:szCs w:val="24"/>
        </w:rPr>
        <w:t xml:space="preserve"> </w:t>
      </w:r>
      <w:r w:rsidRPr="0091562A">
        <w:rPr>
          <w:rFonts w:ascii="Times New Roman" w:hAnsi="Times New Roman" w:cs="Times New Roman"/>
          <w:sz w:val="24"/>
          <w:szCs w:val="24"/>
        </w:rPr>
        <w:t>In India, agricultural extension evolved through various reforms, from the Training and Visit (T&amp;V) system in the 1970s to more decentralized models like the Agricultural Technology Management Agency (ATMA), introduced in the early 2000s. ATMA aimed to create district-level platforms integrating research, extension, and farmer organizations, with the objective of fostering demand-driven and participatory approaches (Glendenning, Babu, &amp; Asenso-Okyere, 2010). While conceptually sound, ATMA's operational effectiveness was hampered by bureaucratic inefficiencies, irregular funding, limited autonomy, and insufficient capacity-building initiatives.</w:t>
      </w:r>
      <w:r>
        <w:rPr>
          <w:rFonts w:ascii="Times New Roman" w:hAnsi="Times New Roman" w:cs="Times New Roman"/>
          <w:sz w:val="24"/>
          <w:szCs w:val="24"/>
        </w:rPr>
        <w:t xml:space="preserve"> </w:t>
      </w:r>
      <w:r w:rsidRPr="0091562A">
        <w:rPr>
          <w:rFonts w:ascii="Times New Roman" w:hAnsi="Times New Roman" w:cs="Times New Roman"/>
          <w:sz w:val="24"/>
          <w:szCs w:val="24"/>
        </w:rPr>
        <w:t xml:space="preserve">Furthermore, the reliance on physical means of communication—such as field visits, group training sessions, on-farm demonstrations, and farmer field schools—was central to pre-pandemic extension systems. These methods, although effective in knowledge transfer, were </w:t>
      </w:r>
      <w:proofErr w:type="spellStart"/>
      <w:r w:rsidRPr="0091562A">
        <w:rPr>
          <w:rFonts w:ascii="Times New Roman" w:hAnsi="Times New Roman" w:cs="Times New Roman"/>
          <w:sz w:val="24"/>
          <w:szCs w:val="24"/>
        </w:rPr>
        <w:t>labor-intensive</w:t>
      </w:r>
      <w:proofErr w:type="spellEnd"/>
      <w:r w:rsidRPr="0091562A">
        <w:rPr>
          <w:rFonts w:ascii="Times New Roman" w:hAnsi="Times New Roman" w:cs="Times New Roman"/>
          <w:sz w:val="24"/>
          <w:szCs w:val="24"/>
        </w:rPr>
        <w:t xml:space="preserve"> and costly to scale. They were also inherently vulnerable to external shocks such as pandemics, natural disasters, and political disruptions. The COVID-19 crisis highlighted this vulnerability as extension services, particularly those dependent on in-person contact, experienced major disruptions in outreach and implementation (FAO, 2021).</w:t>
      </w:r>
    </w:p>
    <w:p w14:paraId="2A577354" w14:textId="32D2BCE6" w:rsidR="006D0699" w:rsidRDefault="0091562A" w:rsidP="006D0699">
      <w:pPr>
        <w:spacing w:before="240" w:line="360" w:lineRule="auto"/>
        <w:jc w:val="both"/>
        <w:rPr>
          <w:rFonts w:ascii="Times New Roman" w:hAnsi="Times New Roman" w:cs="Times New Roman"/>
          <w:sz w:val="24"/>
          <w:szCs w:val="24"/>
        </w:rPr>
      </w:pPr>
      <w:r w:rsidRPr="0091562A">
        <w:rPr>
          <w:rFonts w:ascii="Times New Roman" w:hAnsi="Times New Roman" w:cs="Times New Roman"/>
          <w:sz w:val="24"/>
          <w:szCs w:val="24"/>
        </w:rPr>
        <w:t>In addition to institutional limitations, the traditional extension models often failed to adapt to rapidly evolving agricultural landscapes characterized by climate change, market volatility, and technological advancements. Farmers increasingly required real-time market information, climate-resilient practices, and digital advisory services—demands that conventional systems struggled to meet due to outdated infrastructure and resistance to innovation (Rivera &amp; Sulaiman, 2009).</w:t>
      </w:r>
      <w:r>
        <w:rPr>
          <w:rFonts w:ascii="Times New Roman" w:hAnsi="Times New Roman" w:cs="Times New Roman"/>
          <w:sz w:val="24"/>
          <w:szCs w:val="24"/>
        </w:rPr>
        <w:t xml:space="preserve"> </w:t>
      </w:r>
      <w:r w:rsidRPr="0091562A">
        <w:rPr>
          <w:rFonts w:ascii="Times New Roman" w:hAnsi="Times New Roman" w:cs="Times New Roman"/>
          <w:sz w:val="24"/>
          <w:szCs w:val="24"/>
        </w:rPr>
        <w:t>Despite these limitations, pre-COVID extension systems laid foundational structures for agricultural development and food security. The presence of established networks, experienced personnel, and historical data provided a base upon which post-pandemic transformations could build. The pandemic ultimately served as a catalyst for rethinking and restructuring agricultural extension systems, pushing stakeholders to embrace more flexible, inclusive, and technology-enabled models.</w:t>
      </w:r>
      <w:r>
        <w:rPr>
          <w:rFonts w:ascii="Times New Roman" w:hAnsi="Times New Roman" w:cs="Times New Roman"/>
          <w:sz w:val="24"/>
          <w:szCs w:val="24"/>
        </w:rPr>
        <w:t xml:space="preserve"> W</w:t>
      </w:r>
      <w:r w:rsidRPr="0091562A">
        <w:rPr>
          <w:rFonts w:ascii="Times New Roman" w:hAnsi="Times New Roman" w:cs="Times New Roman"/>
          <w:sz w:val="24"/>
          <w:szCs w:val="24"/>
        </w:rPr>
        <w:t xml:space="preserve">hile pre-COVID extension </w:t>
      </w:r>
      <w:r w:rsidRPr="0091562A">
        <w:rPr>
          <w:rFonts w:ascii="Times New Roman" w:hAnsi="Times New Roman" w:cs="Times New Roman"/>
          <w:sz w:val="24"/>
          <w:szCs w:val="24"/>
        </w:rPr>
        <w:lastRenderedPageBreak/>
        <w:t>services played a crucial role in disseminating agricultural innovations, their top-down nature, limited inclusivity, and reliance on physical interactions rendered them insufficient in addressing contemporary and localized challenges. The disruption caused by the pandemic underscored the urgency of reforming these systems toward more resilient, participatory, and digitally integrated approaches.</w:t>
      </w:r>
    </w:p>
    <w:p w14:paraId="77F01A94" w14:textId="4036098C" w:rsidR="006D0699" w:rsidRPr="00B53CE9"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D0699" w:rsidRPr="00B53CE9">
        <w:rPr>
          <w:rFonts w:ascii="Times New Roman" w:hAnsi="Times New Roman" w:cs="Times New Roman"/>
          <w:b/>
          <w:bCs/>
          <w:sz w:val="24"/>
          <w:szCs w:val="24"/>
        </w:rPr>
        <w:t>. Impact of COVID-19 on Agricultural Extension Systems</w:t>
      </w:r>
    </w:p>
    <w:p w14:paraId="74E89BB3" w14:textId="77777777" w:rsidR="00B53CE9" w:rsidRPr="00B53CE9" w:rsidRDefault="00B53CE9" w:rsidP="00B53CE9">
      <w:pPr>
        <w:spacing w:before="240" w:line="360" w:lineRule="auto"/>
        <w:jc w:val="both"/>
        <w:rPr>
          <w:rFonts w:ascii="Times New Roman" w:hAnsi="Times New Roman" w:cs="Times New Roman"/>
          <w:sz w:val="24"/>
          <w:szCs w:val="24"/>
        </w:rPr>
      </w:pPr>
      <w:r w:rsidRPr="00B53CE9">
        <w:rPr>
          <w:rFonts w:ascii="Times New Roman" w:hAnsi="Times New Roman" w:cs="Times New Roman"/>
          <w:sz w:val="24"/>
          <w:szCs w:val="24"/>
        </w:rPr>
        <w:t>The COVID-19 pandemic drastically altered the landscape of agricultural extension systems worldwide. With global lockdowns, travel restrictions, and social distancing mandates, traditional extension models that relied heavily on face-to-face interactions were severely disrupted. Governments, NGOs, and private extension providers were forced to innovate rapidly and adopt new approaches, particularly through digital means, to maintain support for farmers. This transition highlighted both the vulnerabilities of pre-pandemic systems and the potential of digital tools to redefine extension services.</w:t>
      </w:r>
    </w:p>
    <w:p w14:paraId="1AAA223B" w14:textId="7EABBFD9" w:rsidR="00B53CE9" w:rsidRPr="00B53CE9" w:rsidRDefault="004870A5" w:rsidP="00B53CE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53CE9" w:rsidRPr="00B53CE9">
        <w:rPr>
          <w:rFonts w:ascii="Times New Roman" w:hAnsi="Times New Roman" w:cs="Times New Roman"/>
          <w:b/>
          <w:bCs/>
          <w:sz w:val="24"/>
          <w:szCs w:val="24"/>
        </w:rPr>
        <w:t>.1 Disruptions in Service Delivery</w:t>
      </w:r>
    </w:p>
    <w:p w14:paraId="2F2568A5" w14:textId="076D542A" w:rsidR="00B53CE9" w:rsidRPr="00B53CE9" w:rsidRDefault="00B53CE9" w:rsidP="00B53CE9">
      <w:pPr>
        <w:spacing w:before="240" w:line="360" w:lineRule="auto"/>
        <w:jc w:val="both"/>
        <w:rPr>
          <w:rFonts w:ascii="Times New Roman" w:hAnsi="Times New Roman" w:cs="Times New Roman"/>
          <w:sz w:val="24"/>
          <w:szCs w:val="24"/>
        </w:rPr>
      </w:pPr>
      <w:r w:rsidRPr="00B53CE9">
        <w:rPr>
          <w:rFonts w:ascii="Times New Roman" w:hAnsi="Times New Roman" w:cs="Times New Roman"/>
          <w:sz w:val="24"/>
          <w:szCs w:val="24"/>
        </w:rPr>
        <w:t>One of the most immediate and profound impacts of COVID-19 on agricultural extension systems was the disruption of physical service delivery mechanisms. Nationwide lockdowns and regional containment zones meant that field visits, group meetings, farmer field schools, training programs, and live demonstrations were abruptly halted (FAO, 2021). These disruptions posed significant challenges for smallholder farmers, especially during critical agricultural seasons when timely information and input support are essential.</w:t>
      </w:r>
      <w:r>
        <w:rPr>
          <w:rFonts w:ascii="Times New Roman" w:hAnsi="Times New Roman" w:cs="Times New Roman"/>
          <w:sz w:val="24"/>
          <w:szCs w:val="24"/>
        </w:rPr>
        <w:t xml:space="preserve"> </w:t>
      </w:r>
      <w:r w:rsidRPr="00B53CE9">
        <w:rPr>
          <w:rFonts w:ascii="Times New Roman" w:hAnsi="Times New Roman" w:cs="Times New Roman"/>
          <w:sz w:val="24"/>
          <w:szCs w:val="24"/>
        </w:rPr>
        <w:t>Extension personnel encountered numerous logistical hurdles. The unavailability of public transportation and movement restrictions impeded their ability to travel to rural areas. Many extension agents were repurposed for public health and pandemic relief duties, further straining the already inadequate workforce (Davis et al., 2021). Health concerns and fears of virus transmission discouraged both agents and farmers from in-person engagements, effectively paralyzing outreach efforts.</w:t>
      </w:r>
      <w:r>
        <w:rPr>
          <w:rFonts w:ascii="Times New Roman" w:hAnsi="Times New Roman" w:cs="Times New Roman"/>
          <w:sz w:val="24"/>
          <w:szCs w:val="24"/>
        </w:rPr>
        <w:t xml:space="preserve"> </w:t>
      </w:r>
      <w:r w:rsidRPr="00B53CE9">
        <w:rPr>
          <w:rFonts w:ascii="Times New Roman" w:hAnsi="Times New Roman" w:cs="Times New Roman"/>
          <w:sz w:val="24"/>
          <w:szCs w:val="24"/>
        </w:rPr>
        <w:t xml:space="preserve">Additionally, the pandemic exposed weaknesses in communication channels. Extension systems that lacked robust contingency plans or diversified communication modes struggled to maintain consistent farmer engagement. The unavailability of physical resources like inputs, diagnostic kits, and training materials further undermined the efficacy of advisory services. These interruptions were particularly damaging in low- and middle-income countries </w:t>
      </w:r>
      <w:r w:rsidRPr="00B53CE9">
        <w:rPr>
          <w:rFonts w:ascii="Times New Roman" w:hAnsi="Times New Roman" w:cs="Times New Roman"/>
          <w:sz w:val="24"/>
          <w:szCs w:val="24"/>
        </w:rPr>
        <w:lastRenderedPageBreak/>
        <w:t>where agricultural extension remains the primary knowledge conduit for millions of resource-poor farmers.</w:t>
      </w:r>
    </w:p>
    <w:p w14:paraId="492C4E11" w14:textId="7C5A0839" w:rsidR="00B53CE9" w:rsidRPr="00B53CE9" w:rsidRDefault="004870A5" w:rsidP="00B53CE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53CE9" w:rsidRPr="00B53CE9">
        <w:rPr>
          <w:rFonts w:ascii="Times New Roman" w:hAnsi="Times New Roman" w:cs="Times New Roman"/>
          <w:b/>
          <w:bCs/>
          <w:sz w:val="24"/>
          <w:szCs w:val="24"/>
        </w:rPr>
        <w:t>.2 Digital Acceleration</w:t>
      </w:r>
    </w:p>
    <w:p w14:paraId="1609F167" w14:textId="06F65410" w:rsidR="00B53CE9" w:rsidRPr="00B53CE9" w:rsidRDefault="00B53CE9" w:rsidP="00B53CE9">
      <w:pPr>
        <w:spacing w:before="240" w:line="360" w:lineRule="auto"/>
        <w:jc w:val="both"/>
        <w:rPr>
          <w:rFonts w:ascii="Times New Roman" w:hAnsi="Times New Roman" w:cs="Times New Roman"/>
          <w:sz w:val="24"/>
          <w:szCs w:val="24"/>
        </w:rPr>
      </w:pPr>
      <w:r w:rsidRPr="00B53CE9">
        <w:rPr>
          <w:rFonts w:ascii="Times New Roman" w:hAnsi="Times New Roman" w:cs="Times New Roman"/>
          <w:sz w:val="24"/>
          <w:szCs w:val="24"/>
        </w:rPr>
        <w:t xml:space="preserve">In response to these disruptions, the agricultural extension sector witnessed an unprecedented pivot to digital technologies. The crisis accelerated the adoption of tools like WhatsApp, Zoom, Facebook Live, and YouTube for disseminating advisories, conducting virtual training sessions, and maintaining communication with farmer groups (Meena et al., 2021). In India, government initiatives like Kisan Suvidha, </w:t>
      </w:r>
      <w:proofErr w:type="spellStart"/>
      <w:r w:rsidRPr="00B53CE9">
        <w:rPr>
          <w:rFonts w:ascii="Times New Roman" w:hAnsi="Times New Roman" w:cs="Times New Roman"/>
          <w:sz w:val="24"/>
          <w:szCs w:val="24"/>
        </w:rPr>
        <w:t>mKisan</w:t>
      </w:r>
      <w:proofErr w:type="spellEnd"/>
      <w:r w:rsidRPr="00B53CE9">
        <w:rPr>
          <w:rFonts w:ascii="Times New Roman" w:hAnsi="Times New Roman" w:cs="Times New Roman"/>
          <w:sz w:val="24"/>
          <w:szCs w:val="24"/>
        </w:rPr>
        <w:t xml:space="preserve"> SMS Portal, and </w:t>
      </w:r>
      <w:proofErr w:type="spellStart"/>
      <w:r w:rsidRPr="00B53CE9">
        <w:rPr>
          <w:rFonts w:ascii="Times New Roman" w:hAnsi="Times New Roman" w:cs="Times New Roman"/>
          <w:sz w:val="24"/>
          <w:szCs w:val="24"/>
        </w:rPr>
        <w:t>eNAM</w:t>
      </w:r>
      <w:proofErr w:type="spellEnd"/>
      <w:r w:rsidRPr="00B53CE9">
        <w:rPr>
          <w:rFonts w:ascii="Times New Roman" w:hAnsi="Times New Roman" w:cs="Times New Roman"/>
          <w:sz w:val="24"/>
          <w:szCs w:val="24"/>
        </w:rPr>
        <w:t xml:space="preserve"> became crucial for sharing market updates, weather forecasts, and crop management tips (</w:t>
      </w:r>
      <w:proofErr w:type="spellStart"/>
      <w:r w:rsidRPr="00B53CE9">
        <w:rPr>
          <w:rFonts w:ascii="Times New Roman" w:hAnsi="Times New Roman" w:cs="Times New Roman"/>
          <w:sz w:val="24"/>
          <w:szCs w:val="24"/>
        </w:rPr>
        <w:t>GoI</w:t>
      </w:r>
      <w:proofErr w:type="spellEnd"/>
      <w:r w:rsidRPr="00B53CE9">
        <w:rPr>
          <w:rFonts w:ascii="Times New Roman" w:hAnsi="Times New Roman" w:cs="Times New Roman"/>
          <w:sz w:val="24"/>
          <w:szCs w:val="24"/>
        </w:rPr>
        <w:t>, 2020). These platforms offered real-time and location-specific advisories to farmers, bridging part of the service delivery gap caused by physical restrictions.</w:t>
      </w:r>
      <w:r>
        <w:rPr>
          <w:rFonts w:ascii="Times New Roman" w:hAnsi="Times New Roman" w:cs="Times New Roman"/>
          <w:sz w:val="24"/>
          <w:szCs w:val="24"/>
        </w:rPr>
        <w:t xml:space="preserve"> </w:t>
      </w:r>
      <w:r w:rsidRPr="00B53CE9">
        <w:rPr>
          <w:rFonts w:ascii="Times New Roman" w:hAnsi="Times New Roman" w:cs="Times New Roman"/>
          <w:sz w:val="24"/>
          <w:szCs w:val="24"/>
        </w:rPr>
        <w:t xml:space="preserve">Private sector actors and </w:t>
      </w:r>
      <w:proofErr w:type="spellStart"/>
      <w:r w:rsidRPr="00B53CE9">
        <w:rPr>
          <w:rFonts w:ascii="Times New Roman" w:hAnsi="Times New Roman" w:cs="Times New Roman"/>
          <w:sz w:val="24"/>
          <w:szCs w:val="24"/>
        </w:rPr>
        <w:t>agri</w:t>
      </w:r>
      <w:proofErr w:type="spellEnd"/>
      <w:r w:rsidRPr="00B53CE9">
        <w:rPr>
          <w:rFonts w:ascii="Times New Roman" w:hAnsi="Times New Roman" w:cs="Times New Roman"/>
          <w:sz w:val="24"/>
          <w:szCs w:val="24"/>
        </w:rPr>
        <w:t xml:space="preserve">-tech startups also entered the fray, offering AI-powered chatbots, remote sensing-based advisories, and e-commerce solutions for </w:t>
      </w:r>
      <w:proofErr w:type="spellStart"/>
      <w:r w:rsidRPr="00B53CE9">
        <w:rPr>
          <w:rFonts w:ascii="Times New Roman" w:hAnsi="Times New Roman" w:cs="Times New Roman"/>
          <w:sz w:val="24"/>
          <w:szCs w:val="24"/>
        </w:rPr>
        <w:t>agri</w:t>
      </w:r>
      <w:proofErr w:type="spellEnd"/>
      <w:r w:rsidRPr="00B53CE9">
        <w:rPr>
          <w:rFonts w:ascii="Times New Roman" w:hAnsi="Times New Roman" w:cs="Times New Roman"/>
          <w:sz w:val="24"/>
          <w:szCs w:val="24"/>
        </w:rPr>
        <w:t>-inputs. NGOs leveraged Interactive Voice Response Systems (IVRS) and community radio to reach illiterate and semi-literate farmers. These innovations not only ensured continuity in extension but also demonstrated the potential scalability of digital advisory systems.</w:t>
      </w:r>
      <w:r>
        <w:rPr>
          <w:rFonts w:ascii="Times New Roman" w:hAnsi="Times New Roman" w:cs="Times New Roman"/>
          <w:sz w:val="24"/>
          <w:szCs w:val="24"/>
        </w:rPr>
        <w:t xml:space="preserve"> </w:t>
      </w:r>
      <w:r w:rsidRPr="00B53CE9">
        <w:rPr>
          <w:rFonts w:ascii="Times New Roman" w:hAnsi="Times New Roman" w:cs="Times New Roman"/>
          <w:sz w:val="24"/>
          <w:szCs w:val="24"/>
        </w:rPr>
        <w:t>Despite these advances, the digital transition also highlighted persistent inequities in access and capacity. Rural India, like many developing regions, suffers from a pronounced digital divide. Internet penetration, although improving, remains uneven across geographies and socio-economic strata. Many farmers, especially women, older individuals, and those in tribal or remote areas, lack access to smartphones, reliable internet, or the digital literacy needed to utilize these services effectively (Meena et al., 2021). Language barriers and the lack of localized content further limited the utility of many digital solutions.</w:t>
      </w:r>
    </w:p>
    <w:p w14:paraId="39490A78" w14:textId="1B5EB3B0" w:rsidR="006D0699" w:rsidRDefault="00B53CE9" w:rsidP="006D0699">
      <w:pPr>
        <w:spacing w:before="240" w:line="360" w:lineRule="auto"/>
        <w:jc w:val="both"/>
        <w:rPr>
          <w:rFonts w:ascii="Times New Roman" w:hAnsi="Times New Roman" w:cs="Times New Roman"/>
          <w:sz w:val="24"/>
          <w:szCs w:val="24"/>
        </w:rPr>
      </w:pPr>
      <w:r w:rsidRPr="00B53CE9">
        <w:rPr>
          <w:rFonts w:ascii="Times New Roman" w:hAnsi="Times New Roman" w:cs="Times New Roman"/>
          <w:sz w:val="24"/>
          <w:szCs w:val="24"/>
        </w:rPr>
        <w:t>This divide meant that while some farmers benefitted from the digital surge, a significant portion was left behind, exacerbating pre-existing inequalities in information access. The rapid digitalization of extension services, while necessary during the pandemic, thus underscored the need for inclusive digital strategies that cater to diverse farmer profiles and infrastructure realities.</w:t>
      </w:r>
      <w:r>
        <w:rPr>
          <w:rFonts w:ascii="Times New Roman" w:hAnsi="Times New Roman" w:cs="Times New Roman"/>
          <w:sz w:val="24"/>
          <w:szCs w:val="24"/>
        </w:rPr>
        <w:t xml:space="preserve"> </w:t>
      </w:r>
      <w:r w:rsidRPr="00B53CE9">
        <w:rPr>
          <w:rFonts w:ascii="Times New Roman" w:hAnsi="Times New Roman" w:cs="Times New Roman"/>
          <w:sz w:val="24"/>
          <w:szCs w:val="24"/>
        </w:rPr>
        <w:t xml:space="preserve">COVID-19 served as a stress test for agricultural extension systems, revealing their strengths, limitations, and adaptability. While the pandemic severely disrupted traditional service delivery models, it also </w:t>
      </w:r>
      <w:proofErr w:type="spellStart"/>
      <w:r w:rsidRPr="00B53CE9">
        <w:rPr>
          <w:rFonts w:ascii="Times New Roman" w:hAnsi="Times New Roman" w:cs="Times New Roman"/>
          <w:sz w:val="24"/>
          <w:szCs w:val="24"/>
        </w:rPr>
        <w:t>catalyzed</w:t>
      </w:r>
      <w:proofErr w:type="spellEnd"/>
      <w:r w:rsidRPr="00B53CE9">
        <w:rPr>
          <w:rFonts w:ascii="Times New Roman" w:hAnsi="Times New Roman" w:cs="Times New Roman"/>
          <w:sz w:val="24"/>
          <w:szCs w:val="24"/>
        </w:rPr>
        <w:t xml:space="preserve"> innovation and fast-tracked digital transformation. Moving forward, hybrid extension models that combine in-person and digital strategies may offer a more resilient and inclusive approach. Investments in digital infrastructure, capacity </w:t>
      </w:r>
      <w:r w:rsidRPr="00B53CE9">
        <w:rPr>
          <w:rFonts w:ascii="Times New Roman" w:hAnsi="Times New Roman" w:cs="Times New Roman"/>
          <w:sz w:val="24"/>
          <w:szCs w:val="24"/>
        </w:rPr>
        <w:lastRenderedPageBreak/>
        <w:t>building, and localized content will be essential to ensure that the benefits of this digital acceleration are equitably distributed among all farming communities.</w:t>
      </w:r>
    </w:p>
    <w:p w14:paraId="3DA851F9" w14:textId="72C4CB1A" w:rsidR="004142D1" w:rsidRPr="004870A5" w:rsidRDefault="004870A5" w:rsidP="004142D1">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142D1" w:rsidRPr="004142D1">
        <w:rPr>
          <w:rFonts w:ascii="Times New Roman" w:hAnsi="Times New Roman" w:cs="Times New Roman"/>
          <w:b/>
          <w:bCs/>
          <w:sz w:val="24"/>
          <w:szCs w:val="24"/>
        </w:rPr>
        <w:t>.3 Labor Shortages</w:t>
      </w:r>
    </w:p>
    <w:p w14:paraId="1F3D2EFB" w14:textId="2C510490" w:rsidR="004142D1" w:rsidRPr="004142D1" w:rsidRDefault="004142D1" w:rsidP="004142D1">
      <w:pPr>
        <w:spacing w:before="240" w:line="360" w:lineRule="auto"/>
        <w:jc w:val="both"/>
        <w:rPr>
          <w:rFonts w:ascii="Times New Roman" w:hAnsi="Times New Roman" w:cs="Times New Roman"/>
          <w:sz w:val="24"/>
          <w:szCs w:val="24"/>
        </w:rPr>
      </w:pPr>
      <w:r w:rsidRPr="004142D1">
        <w:rPr>
          <w:rFonts w:ascii="Times New Roman" w:hAnsi="Times New Roman" w:cs="Times New Roman"/>
          <w:sz w:val="24"/>
          <w:szCs w:val="24"/>
        </w:rPr>
        <w:t xml:space="preserve">The COVID-19 pandemic significantly disrupted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availability in agriculture, with cascading effects on the delivery and effectiveness of agricultural extension systems. Lockdowns, travel restrictions, and quarantines led to widespread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shortages, not only among farm workers but also within extension services themselves. This disruption hampered seasonal agricultural activities, delayed knowledge transfer, and undermined the continuity of advisory support to millions of farmers, especially in developing countries.</w:t>
      </w:r>
      <w:r>
        <w:rPr>
          <w:rFonts w:ascii="Times New Roman" w:hAnsi="Times New Roman" w:cs="Times New Roman"/>
          <w:sz w:val="24"/>
          <w:szCs w:val="24"/>
        </w:rPr>
        <w:t xml:space="preserve"> </w:t>
      </w:r>
      <w:r w:rsidRPr="004142D1">
        <w:rPr>
          <w:rFonts w:ascii="Times New Roman" w:hAnsi="Times New Roman" w:cs="Times New Roman"/>
          <w:sz w:val="24"/>
          <w:szCs w:val="24"/>
        </w:rPr>
        <w:t xml:space="preserve">Labor shortages in agriculture during the pandemic were primarily driven by restricted human mobility, both internationally and within countries. Many regions, particularly those reliant on migrant or seasonal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experienced acute workforce shortages during critical farming periods such as planting and harvesting (Martin, 2020). For instance, in India, the abrupt nationwide lockdown in March 2020 resulted in the mass exodus of migrant workers from urban to rural areas, leaving a vacuum in commercial agriculture and extension activities in peri-urban zones (Meena et al., 2021). Consequently, the lack of skilled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affected productivity, led to post-harvest losses, and disrupted the scheduling of extension interventions such as field trials, demonstrations, and data collection.</w:t>
      </w:r>
    </w:p>
    <w:p w14:paraId="17089E9F" w14:textId="5B245A0F" w:rsidR="004142D1" w:rsidRPr="004142D1" w:rsidRDefault="004142D1" w:rsidP="004142D1">
      <w:pPr>
        <w:spacing w:before="240" w:line="360" w:lineRule="auto"/>
        <w:jc w:val="both"/>
        <w:rPr>
          <w:rFonts w:ascii="Times New Roman" w:hAnsi="Times New Roman" w:cs="Times New Roman"/>
          <w:sz w:val="24"/>
          <w:szCs w:val="24"/>
        </w:rPr>
      </w:pPr>
      <w:r w:rsidRPr="004142D1">
        <w:rPr>
          <w:rFonts w:ascii="Times New Roman" w:hAnsi="Times New Roman" w:cs="Times New Roman"/>
          <w:sz w:val="24"/>
          <w:szCs w:val="24"/>
        </w:rPr>
        <w:t>This workforce crisis also directly affected extension personnel. Many extension agents were reallocated to emergency response duties such as health awareness campaigns and food distribution, limiting their availability for regular agricultural support roles (Davis et al., 2021). In some cases, health-related concerns, personal safety fears, and lack of protective gear further reduced extension workers’ willingness or ability to conduct in-person visits. The dependency on face-to-face communication made the situation more difficult, especially in areas with limited digital infrastructure. As a result, the quality and frequency of farmer support diminished just when it was most needed for navigating market disruptions, input shortages, and disease outbreaks.</w:t>
      </w:r>
      <w:r w:rsidR="00A80246">
        <w:rPr>
          <w:rFonts w:ascii="Times New Roman" w:hAnsi="Times New Roman" w:cs="Times New Roman"/>
          <w:sz w:val="24"/>
          <w:szCs w:val="24"/>
        </w:rPr>
        <w:t xml:space="preserve"> </w:t>
      </w:r>
      <w:r w:rsidRPr="004142D1">
        <w:rPr>
          <w:rFonts w:ascii="Times New Roman" w:hAnsi="Times New Roman" w:cs="Times New Roman"/>
          <w:sz w:val="24"/>
          <w:szCs w:val="24"/>
        </w:rPr>
        <w:t xml:space="preserve">Additionally, the shortage of extension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affected the functioning of farmer producer organizations (FPOs), self-help groups, and </w:t>
      </w:r>
      <w:proofErr w:type="spellStart"/>
      <w:r w:rsidRPr="004142D1">
        <w:rPr>
          <w:rFonts w:ascii="Times New Roman" w:hAnsi="Times New Roman" w:cs="Times New Roman"/>
          <w:sz w:val="24"/>
          <w:szCs w:val="24"/>
        </w:rPr>
        <w:t>agri</w:t>
      </w:r>
      <w:proofErr w:type="spellEnd"/>
      <w:r w:rsidRPr="004142D1">
        <w:rPr>
          <w:rFonts w:ascii="Times New Roman" w:hAnsi="Times New Roman" w:cs="Times New Roman"/>
          <w:sz w:val="24"/>
          <w:szCs w:val="24"/>
        </w:rPr>
        <w:t xml:space="preserve">-cooperatives, which often rely on facilitators or rural youth trained in basic extension functions. With restrictions in place, these groups faced challenges in organizing collective activities, engaging with stakeholders, and accessing timely information. The absence of ground-level support reduced farmers' ability </w:t>
      </w:r>
      <w:r w:rsidRPr="004142D1">
        <w:rPr>
          <w:rFonts w:ascii="Times New Roman" w:hAnsi="Times New Roman" w:cs="Times New Roman"/>
          <w:sz w:val="24"/>
          <w:szCs w:val="24"/>
        </w:rPr>
        <w:lastRenderedPageBreak/>
        <w:t>to adapt to changing conditions and exacerbated the digital divide, as many were unable to use mobile advisory platforms without guidance (FAO, 2021).</w:t>
      </w:r>
    </w:p>
    <w:p w14:paraId="583C2159" w14:textId="66819B66" w:rsidR="00DD3629" w:rsidRDefault="004142D1" w:rsidP="006D0699">
      <w:pPr>
        <w:spacing w:before="240" w:line="360" w:lineRule="auto"/>
        <w:jc w:val="both"/>
        <w:rPr>
          <w:rFonts w:ascii="Times New Roman" w:hAnsi="Times New Roman" w:cs="Times New Roman"/>
          <w:sz w:val="24"/>
          <w:szCs w:val="24"/>
        </w:rPr>
      </w:pPr>
      <w:r w:rsidRPr="004142D1">
        <w:rPr>
          <w:rFonts w:ascii="Times New Roman" w:hAnsi="Times New Roman" w:cs="Times New Roman"/>
          <w:sz w:val="24"/>
          <w:szCs w:val="24"/>
        </w:rPr>
        <w:t xml:space="preserve">Furthermore, the extension system's ability to respond to the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crisis was limited by structural weaknesses, such as staffing deficits, poor working conditions, and underfunded rural services. In many countries, extension systems were already operating below capacity, with high agent-to-farmer ratios. The added stress of COVID-19 exposed the fragility of these systems and highlighted the need for a more flexible, decentralized, and technology-enabled workforce capable of operating under crisis conditions.</w:t>
      </w:r>
      <w:r w:rsidR="00A80246">
        <w:rPr>
          <w:rFonts w:ascii="Times New Roman" w:hAnsi="Times New Roman" w:cs="Times New Roman"/>
          <w:sz w:val="24"/>
          <w:szCs w:val="24"/>
        </w:rPr>
        <w:t xml:space="preserve"> The</w:t>
      </w:r>
      <w:r w:rsidRPr="004142D1">
        <w:rPr>
          <w:rFonts w:ascii="Times New Roman" w:hAnsi="Times New Roman" w:cs="Times New Roman"/>
          <w:sz w:val="24"/>
          <w:szCs w:val="24"/>
        </w:rPr>
        <w:t xml:space="preserve">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shortages triggered by COVID-19 significantly undermined the effectiveness of agricultural extension systems by reducing both farm-level and institutional capacity. Moving forward, policy responses must focus on building resilient, multi-skilled extension workforces, expanding rural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pools through training programs, and investing in remote service delivery mechanisms that are less reliant on physical presence.</w:t>
      </w:r>
    </w:p>
    <w:p w14:paraId="796174FC" w14:textId="4DA9460D" w:rsidR="006F076F" w:rsidRPr="00346704"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F076F" w:rsidRPr="00346704">
        <w:rPr>
          <w:rFonts w:ascii="Times New Roman" w:hAnsi="Times New Roman" w:cs="Times New Roman"/>
          <w:b/>
          <w:bCs/>
          <w:sz w:val="24"/>
          <w:szCs w:val="24"/>
        </w:rPr>
        <w:t xml:space="preserve">.4 </w:t>
      </w:r>
      <w:r w:rsidR="00346704" w:rsidRPr="00346704">
        <w:rPr>
          <w:rFonts w:ascii="Times New Roman" w:hAnsi="Times New Roman" w:cs="Times New Roman"/>
          <w:b/>
          <w:bCs/>
          <w:sz w:val="24"/>
          <w:szCs w:val="24"/>
        </w:rPr>
        <w:t>Market Access Challenges</w:t>
      </w:r>
    </w:p>
    <w:p w14:paraId="24479C15" w14:textId="4D54941C" w:rsidR="00FE2646" w:rsidRPr="00FE2646" w:rsidRDefault="00FE2646" w:rsidP="00FE2646">
      <w:pPr>
        <w:spacing w:before="240" w:line="360" w:lineRule="auto"/>
        <w:jc w:val="both"/>
        <w:rPr>
          <w:rFonts w:ascii="Times New Roman" w:hAnsi="Times New Roman" w:cs="Times New Roman"/>
          <w:sz w:val="24"/>
          <w:szCs w:val="24"/>
        </w:rPr>
      </w:pPr>
      <w:r w:rsidRPr="00FE2646">
        <w:rPr>
          <w:rFonts w:ascii="Times New Roman" w:hAnsi="Times New Roman" w:cs="Times New Roman"/>
          <w:sz w:val="24"/>
          <w:szCs w:val="24"/>
        </w:rPr>
        <w:t>The COVID-19 pandemic created severe disruptions in agricultural markets globally, significantly impacting the ability of smallholder farmers to sell their produce and access critical inputs. These disruptions also affected agricultural extension systems, whose role in facilitating market linkages, price information, and post-harvest support became more complex and constrained. The combination of lockdowns, supply chain breakdowns, and transportation restrictions created a crisis of market access that extended beyond production to encompass distribution, marketing, and consumption</w:t>
      </w:r>
      <w:r w:rsidR="001F6CBE">
        <w:rPr>
          <w:rFonts w:ascii="Times New Roman" w:hAnsi="Times New Roman" w:cs="Times New Roman"/>
          <w:sz w:val="24"/>
          <w:szCs w:val="24"/>
        </w:rPr>
        <w:t xml:space="preserve"> </w:t>
      </w:r>
      <w:r w:rsidR="001F6CBE" w:rsidRPr="00121BB3">
        <w:rPr>
          <w:rFonts w:ascii="Times New Roman" w:hAnsi="Times New Roman" w:cs="Times New Roman"/>
          <w:color w:val="000000"/>
          <w:sz w:val="24"/>
        </w:rPr>
        <w:t>(</w:t>
      </w:r>
      <w:proofErr w:type="spellStart"/>
      <w:r w:rsidR="001F6CBE" w:rsidRPr="00121BB3">
        <w:rPr>
          <w:rFonts w:ascii="Times New Roman" w:hAnsi="Times New Roman" w:cs="Times New Roman"/>
          <w:color w:val="000000"/>
          <w:sz w:val="24"/>
        </w:rPr>
        <w:t>Epse</w:t>
      </w:r>
      <w:proofErr w:type="spellEnd"/>
      <w:r w:rsidR="001F6CBE" w:rsidRPr="00121BB3">
        <w:rPr>
          <w:rFonts w:ascii="Times New Roman" w:hAnsi="Times New Roman" w:cs="Times New Roman"/>
          <w:color w:val="000000"/>
          <w:sz w:val="24"/>
        </w:rPr>
        <w:t xml:space="preserve"> Taku-</w:t>
      </w:r>
      <w:proofErr w:type="spellStart"/>
      <w:r w:rsidR="001F6CBE" w:rsidRPr="00121BB3">
        <w:rPr>
          <w:rFonts w:ascii="Times New Roman" w:hAnsi="Times New Roman" w:cs="Times New Roman"/>
          <w:color w:val="000000"/>
          <w:sz w:val="24"/>
        </w:rPr>
        <w:t>Forchu</w:t>
      </w:r>
      <w:proofErr w:type="spellEnd"/>
      <w:r w:rsidR="001F6CBE" w:rsidRPr="00121BB3">
        <w:rPr>
          <w:rFonts w:ascii="Times New Roman" w:hAnsi="Times New Roman" w:cs="Times New Roman"/>
          <w:color w:val="000000"/>
          <w:sz w:val="24"/>
        </w:rPr>
        <w:t>, 2019)</w:t>
      </w:r>
      <w:r w:rsidRPr="00FE2646">
        <w:rPr>
          <w:rFonts w:ascii="Times New Roman" w:hAnsi="Times New Roman" w:cs="Times New Roman"/>
          <w:sz w:val="24"/>
          <w:szCs w:val="24"/>
        </w:rPr>
        <w:t>.</w:t>
      </w:r>
      <w:r>
        <w:rPr>
          <w:rFonts w:ascii="Times New Roman" w:hAnsi="Times New Roman" w:cs="Times New Roman"/>
          <w:sz w:val="24"/>
          <w:szCs w:val="24"/>
        </w:rPr>
        <w:t xml:space="preserve"> </w:t>
      </w:r>
      <w:r w:rsidRPr="00FE2646">
        <w:rPr>
          <w:rFonts w:ascii="Times New Roman" w:hAnsi="Times New Roman" w:cs="Times New Roman"/>
          <w:sz w:val="24"/>
          <w:szCs w:val="24"/>
        </w:rPr>
        <w:t>During the early stages of the pandemic, mobility restrictions and closure of local markets led to a breakdown in the traditional supply-demand channels. Farmers in remote areas, particularly those dependent on physical wholesale markets or periodic rural bazaars, found it nearly impossible to sell their perishable produce. In India, for example, the shutdown of mandis (agricultural markets) during lockdowns resulted in significant losses for fruit, vegetable, and flower growers (Meena et al., 2021). Without timely market access, produce was left to rot, prices plummeted, and incomes sharply declined.</w:t>
      </w:r>
    </w:p>
    <w:p w14:paraId="29C5C7FA" w14:textId="78554FFA" w:rsidR="00346704" w:rsidRPr="006D0699" w:rsidRDefault="00FE2646" w:rsidP="006D0699">
      <w:pPr>
        <w:spacing w:before="240" w:line="360" w:lineRule="auto"/>
        <w:jc w:val="both"/>
        <w:rPr>
          <w:rFonts w:ascii="Times New Roman" w:hAnsi="Times New Roman" w:cs="Times New Roman"/>
          <w:sz w:val="24"/>
          <w:szCs w:val="24"/>
        </w:rPr>
      </w:pPr>
      <w:r w:rsidRPr="00FE2646">
        <w:rPr>
          <w:rFonts w:ascii="Times New Roman" w:hAnsi="Times New Roman" w:cs="Times New Roman"/>
          <w:sz w:val="24"/>
          <w:szCs w:val="24"/>
        </w:rPr>
        <w:t xml:space="preserve">This market disconnection also reduced the effectiveness of extension services, which often include facilitating value chain coordination, organizing collective marketing, or advising farmers on crop choices based on market trends. The absence of such feedback loops led to </w:t>
      </w:r>
      <w:r w:rsidRPr="00FE2646">
        <w:rPr>
          <w:rFonts w:ascii="Times New Roman" w:hAnsi="Times New Roman" w:cs="Times New Roman"/>
          <w:sz w:val="24"/>
          <w:szCs w:val="24"/>
        </w:rPr>
        <w:lastRenderedPageBreak/>
        <w:t>uncoordinated production, mismatch in supply and demand, and increased vulnerability for farmers reliant on cash crops or export commodities.</w:t>
      </w:r>
      <w:r>
        <w:rPr>
          <w:rFonts w:ascii="Times New Roman" w:hAnsi="Times New Roman" w:cs="Times New Roman"/>
          <w:sz w:val="24"/>
          <w:szCs w:val="24"/>
        </w:rPr>
        <w:t xml:space="preserve"> </w:t>
      </w:r>
      <w:r w:rsidRPr="00FE2646">
        <w:rPr>
          <w:rFonts w:ascii="Times New Roman" w:hAnsi="Times New Roman" w:cs="Times New Roman"/>
          <w:sz w:val="24"/>
          <w:szCs w:val="24"/>
        </w:rPr>
        <w:t xml:space="preserve">Additionally, farmers faced difficulties in accessing inputs such as seeds, fertilizers, and agrochemicals, which are typically sourced from </w:t>
      </w:r>
      <w:proofErr w:type="spellStart"/>
      <w:r w:rsidRPr="00FE2646">
        <w:rPr>
          <w:rFonts w:ascii="Times New Roman" w:hAnsi="Times New Roman" w:cs="Times New Roman"/>
          <w:sz w:val="24"/>
          <w:szCs w:val="24"/>
        </w:rPr>
        <w:t>agri</w:t>
      </w:r>
      <w:proofErr w:type="spellEnd"/>
      <w:r w:rsidRPr="00FE2646">
        <w:rPr>
          <w:rFonts w:ascii="Times New Roman" w:hAnsi="Times New Roman" w:cs="Times New Roman"/>
          <w:sz w:val="24"/>
          <w:szCs w:val="24"/>
        </w:rPr>
        <w:t>-retailers or cooperatives that were shut or operating at limited capacity. Extension agents, who often act as intermediaries or advisors in these supply chains, were unable to assist farmers in identifying alternative sources or logistical support, further limiting productivity and exacerbating uncertainty (Davis et al., 2021).</w:t>
      </w:r>
      <w:r>
        <w:rPr>
          <w:rFonts w:ascii="Times New Roman" w:hAnsi="Times New Roman" w:cs="Times New Roman"/>
          <w:sz w:val="24"/>
          <w:szCs w:val="24"/>
        </w:rPr>
        <w:t xml:space="preserve"> </w:t>
      </w:r>
      <w:r w:rsidRPr="00FE2646">
        <w:rPr>
          <w:rFonts w:ascii="Times New Roman" w:hAnsi="Times New Roman" w:cs="Times New Roman"/>
          <w:sz w:val="24"/>
          <w:szCs w:val="24"/>
        </w:rPr>
        <w:t xml:space="preserve">Although some digital platforms attempted to bridge the gap through e-commerce, online trading, or digital advisory tools (e.g., </w:t>
      </w:r>
      <w:proofErr w:type="spellStart"/>
      <w:r w:rsidRPr="00FE2646">
        <w:rPr>
          <w:rFonts w:ascii="Times New Roman" w:hAnsi="Times New Roman" w:cs="Times New Roman"/>
          <w:sz w:val="24"/>
          <w:szCs w:val="24"/>
        </w:rPr>
        <w:t>eNAM</w:t>
      </w:r>
      <w:proofErr w:type="spellEnd"/>
      <w:r w:rsidRPr="00FE2646">
        <w:rPr>
          <w:rFonts w:ascii="Times New Roman" w:hAnsi="Times New Roman" w:cs="Times New Roman"/>
          <w:sz w:val="24"/>
          <w:szCs w:val="24"/>
        </w:rPr>
        <w:t xml:space="preserve"> in India or </w:t>
      </w:r>
      <w:proofErr w:type="spellStart"/>
      <w:r w:rsidRPr="00FE2646">
        <w:rPr>
          <w:rFonts w:ascii="Times New Roman" w:hAnsi="Times New Roman" w:cs="Times New Roman"/>
          <w:sz w:val="24"/>
          <w:szCs w:val="24"/>
        </w:rPr>
        <w:t>AgriMarket</w:t>
      </w:r>
      <w:proofErr w:type="spellEnd"/>
      <w:r w:rsidRPr="00FE2646">
        <w:rPr>
          <w:rFonts w:ascii="Times New Roman" w:hAnsi="Times New Roman" w:cs="Times New Roman"/>
          <w:sz w:val="24"/>
          <w:szCs w:val="24"/>
        </w:rPr>
        <w:t xml:space="preserve"> apps), these innovations had limited reach in rural areas due to poor internet connectivity and digital literacy, particularly among women and marginalized groups (FAO, 2021). Thus, the digital divide also became a market divide.</w:t>
      </w:r>
      <w:r>
        <w:rPr>
          <w:rFonts w:ascii="Times New Roman" w:hAnsi="Times New Roman" w:cs="Times New Roman"/>
          <w:sz w:val="24"/>
          <w:szCs w:val="24"/>
        </w:rPr>
        <w:t xml:space="preserve"> T</w:t>
      </w:r>
      <w:r w:rsidRPr="00FE2646">
        <w:rPr>
          <w:rFonts w:ascii="Times New Roman" w:hAnsi="Times New Roman" w:cs="Times New Roman"/>
          <w:sz w:val="24"/>
          <w:szCs w:val="24"/>
        </w:rPr>
        <w:t>he COVID-19 pandemic exposed the fragility of market systems and the dependency of agricultural extension on physical market linkages. Strengthening market resilience through digital platforms, decentralized storage, localized procurement, and extension-led market literacy will be critical to future-proof food systems and protect farmer livelihoods.</w:t>
      </w:r>
    </w:p>
    <w:p w14:paraId="4223714A" w14:textId="4F5AA3BC" w:rsidR="006D0699" w:rsidRPr="00D47B50"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6D0699" w:rsidRPr="00D47B50">
        <w:rPr>
          <w:rFonts w:ascii="Times New Roman" w:hAnsi="Times New Roman" w:cs="Times New Roman"/>
          <w:b/>
          <w:bCs/>
          <w:sz w:val="24"/>
          <w:szCs w:val="24"/>
        </w:rPr>
        <w:t>. Post-Pandemic Extension Landscape</w:t>
      </w:r>
    </w:p>
    <w:p w14:paraId="033AED7A" w14:textId="5EFD6DC4"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 xml:space="preserve">The COVID-19 pandemic has served as a critical inflection point in the evolution of agricultural extension services worldwide. The restrictions on movement, closure of physical extension outlets, and the need for continued farmer support during the crisis </w:t>
      </w:r>
      <w:proofErr w:type="spellStart"/>
      <w:r w:rsidRPr="00D47B50">
        <w:rPr>
          <w:rFonts w:ascii="Times New Roman" w:hAnsi="Times New Roman" w:cs="Times New Roman"/>
          <w:sz w:val="24"/>
          <w:szCs w:val="24"/>
        </w:rPr>
        <w:t>catalyzed</w:t>
      </w:r>
      <w:proofErr w:type="spellEnd"/>
      <w:r w:rsidRPr="00D47B50">
        <w:rPr>
          <w:rFonts w:ascii="Times New Roman" w:hAnsi="Times New Roman" w:cs="Times New Roman"/>
          <w:sz w:val="24"/>
          <w:szCs w:val="24"/>
        </w:rPr>
        <w:t xml:space="preserve"> a transformation in the way extension services are delivered. The post-pandemic extension landscape is increasingly characterized by adaptive, resilient, and technologically enabled systems that combine digital innovation with human-</w:t>
      </w:r>
      <w:proofErr w:type="spellStart"/>
      <w:r w:rsidRPr="00D47B50">
        <w:rPr>
          <w:rFonts w:ascii="Times New Roman" w:hAnsi="Times New Roman" w:cs="Times New Roman"/>
          <w:sz w:val="24"/>
          <w:szCs w:val="24"/>
        </w:rPr>
        <w:t>centered</w:t>
      </w:r>
      <w:proofErr w:type="spellEnd"/>
      <w:r w:rsidRPr="00D47B50">
        <w:rPr>
          <w:rFonts w:ascii="Times New Roman" w:hAnsi="Times New Roman" w:cs="Times New Roman"/>
          <w:sz w:val="24"/>
          <w:szCs w:val="24"/>
        </w:rPr>
        <w:t xml:space="preserve"> support. Key themes that define this new landscape include the emergence of hybrid extension models, the strengthening of public-private partnerships (PPPs), and the incorporation of advanced technologies like artificial intelligence (AI) and information and communication technologies (ICTs) into service delivery.</w:t>
      </w:r>
    </w:p>
    <w:p w14:paraId="06B507B0" w14:textId="67B41E7C" w:rsidR="00D47B50" w:rsidRPr="00D47B50" w:rsidRDefault="004870A5" w:rsidP="00D47B50">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47B50" w:rsidRPr="00D47B50">
        <w:rPr>
          <w:rFonts w:ascii="Times New Roman" w:hAnsi="Times New Roman" w:cs="Times New Roman"/>
          <w:b/>
          <w:bCs/>
          <w:sz w:val="24"/>
          <w:szCs w:val="24"/>
        </w:rPr>
        <w:t>.1 Emergence of Hybrid Models</w:t>
      </w:r>
    </w:p>
    <w:p w14:paraId="4640AA1D" w14:textId="77777777" w:rsid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 xml:space="preserve">In the wake of the pandemic, agricultural extension systems across the globe have shifted towards hybrid models that blend digital tools with traditional, face-to-face interactions. These models aim to address the weaknesses of both purely physical and entirely digital approaches, providing flexibility, scalability, and greater inclusivity. While digital platforms offer </w:t>
      </w:r>
      <w:r w:rsidRPr="00D47B50">
        <w:rPr>
          <w:rFonts w:ascii="Times New Roman" w:hAnsi="Times New Roman" w:cs="Times New Roman"/>
          <w:sz w:val="24"/>
          <w:szCs w:val="24"/>
        </w:rPr>
        <w:lastRenderedPageBreak/>
        <w:t>efficiency, cost-effectiveness, and the ability to reach large numbers of farmers, in-person interactions remain crucial for trust-building, contextual understanding, and support for digitally marginalized groups (Davis et al., 2021).</w:t>
      </w:r>
      <w:r>
        <w:rPr>
          <w:rFonts w:ascii="Times New Roman" w:hAnsi="Times New Roman" w:cs="Times New Roman"/>
          <w:sz w:val="24"/>
          <w:szCs w:val="24"/>
        </w:rPr>
        <w:t xml:space="preserve"> </w:t>
      </w:r>
    </w:p>
    <w:p w14:paraId="5006026C" w14:textId="5D652042"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 xml:space="preserve">In India, for example, post-pandemic extension initiatives often involve the use of mobile apps, SMS services, and social media platforms for sharing technical advisories, combined with localized farmer meetings or on-site visits </w:t>
      </w:r>
      <w:proofErr w:type="gramStart"/>
      <w:r w:rsidRPr="00D47B50">
        <w:rPr>
          <w:rFonts w:ascii="Times New Roman" w:hAnsi="Times New Roman" w:cs="Times New Roman"/>
          <w:sz w:val="24"/>
          <w:szCs w:val="24"/>
        </w:rPr>
        <w:t>where</w:t>
      </w:r>
      <w:proofErr w:type="gramEnd"/>
      <w:r w:rsidRPr="00D47B50">
        <w:rPr>
          <w:rFonts w:ascii="Times New Roman" w:hAnsi="Times New Roman" w:cs="Times New Roman"/>
          <w:sz w:val="24"/>
          <w:szCs w:val="24"/>
        </w:rPr>
        <w:t xml:space="preserve"> safe and necessary. Farmer Producer Organizations (FPOs), Krishi Vigyan </w:t>
      </w:r>
      <w:proofErr w:type="spellStart"/>
      <w:r w:rsidRPr="00D47B50">
        <w:rPr>
          <w:rFonts w:ascii="Times New Roman" w:hAnsi="Times New Roman" w:cs="Times New Roman"/>
          <w:sz w:val="24"/>
          <w:szCs w:val="24"/>
        </w:rPr>
        <w:t>Kendras</w:t>
      </w:r>
      <w:proofErr w:type="spellEnd"/>
      <w:r w:rsidRPr="00D47B50">
        <w:rPr>
          <w:rFonts w:ascii="Times New Roman" w:hAnsi="Times New Roman" w:cs="Times New Roman"/>
          <w:sz w:val="24"/>
          <w:szCs w:val="24"/>
        </w:rPr>
        <w:t xml:space="preserve"> (KVKs), and ATMA functionaries have increasingly employed this dual strategy to maintain engagement with farming communities (Singh et al., 2022). This model has shown promise not only in delivering timely information but also in facilitating feedback, monitoring adoption, and enhancing learning outcomes.</w:t>
      </w:r>
      <w:r>
        <w:rPr>
          <w:rFonts w:ascii="Times New Roman" w:hAnsi="Times New Roman" w:cs="Times New Roman"/>
          <w:sz w:val="24"/>
          <w:szCs w:val="24"/>
        </w:rPr>
        <w:t xml:space="preserve"> </w:t>
      </w:r>
      <w:r w:rsidRPr="00D47B50">
        <w:rPr>
          <w:rFonts w:ascii="Times New Roman" w:hAnsi="Times New Roman" w:cs="Times New Roman"/>
          <w:sz w:val="24"/>
          <w:szCs w:val="24"/>
        </w:rPr>
        <w:t>The hybrid model also allows for differentiated engagement strategies, such as tailoring communication based on farmer literacy levels, crop types, or regional needs. For instance, digital content can be complemented by community radio broadcasts, field demonstrations, or peer-to-peer learning through lead farmers, thereby ensuring inclusiveness and cultural relevance (World Bank, 2022). However, implementing such models at scale requires investments in capacity building, digital infrastructure, and institutional coordination.</w:t>
      </w:r>
    </w:p>
    <w:p w14:paraId="1197C3D3" w14:textId="6C33EF75" w:rsidR="00D47B50" w:rsidRPr="00D47B50" w:rsidRDefault="004870A5" w:rsidP="00D47B50">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47B50" w:rsidRPr="00D47B50">
        <w:rPr>
          <w:rFonts w:ascii="Times New Roman" w:hAnsi="Times New Roman" w:cs="Times New Roman"/>
          <w:b/>
          <w:bCs/>
          <w:sz w:val="24"/>
          <w:szCs w:val="24"/>
        </w:rPr>
        <w:t>.2 Public-Private Partnerships (PPP)</w:t>
      </w:r>
    </w:p>
    <w:p w14:paraId="20C2EDBA" w14:textId="36EAAE16"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 xml:space="preserve">Public-private partnerships have gained new momentum in the post-COVID extension framework. The pandemic highlighted the limitations of public extension systems in reaching dispersed and diverse farming populations, particularly during crises. To bridge these gaps, collaborations between government agencies, NGOs, </w:t>
      </w:r>
      <w:proofErr w:type="spellStart"/>
      <w:r w:rsidRPr="00D47B50">
        <w:rPr>
          <w:rFonts w:ascii="Times New Roman" w:hAnsi="Times New Roman" w:cs="Times New Roman"/>
          <w:sz w:val="24"/>
          <w:szCs w:val="24"/>
        </w:rPr>
        <w:t>agri</w:t>
      </w:r>
      <w:proofErr w:type="spellEnd"/>
      <w:r w:rsidRPr="00D47B50">
        <w:rPr>
          <w:rFonts w:ascii="Times New Roman" w:hAnsi="Times New Roman" w:cs="Times New Roman"/>
          <w:sz w:val="24"/>
          <w:szCs w:val="24"/>
        </w:rPr>
        <w:t>-tech startups, and private agribusinesses have become increasingly prominent.</w:t>
      </w:r>
      <w:r>
        <w:rPr>
          <w:rFonts w:ascii="Times New Roman" w:hAnsi="Times New Roman" w:cs="Times New Roman"/>
          <w:sz w:val="24"/>
          <w:szCs w:val="24"/>
        </w:rPr>
        <w:t xml:space="preserve"> </w:t>
      </w:r>
      <w:r w:rsidRPr="00D47B50">
        <w:rPr>
          <w:rFonts w:ascii="Times New Roman" w:hAnsi="Times New Roman" w:cs="Times New Roman"/>
          <w:sz w:val="24"/>
          <w:szCs w:val="24"/>
        </w:rPr>
        <w:t xml:space="preserve">These partnerships leverage the strengths of each sector. Public institutions offer legitimacy, reach, and agricultural research capabilities, while private players contribute technological innovation, financial investment, and agile service delivery. For example, several Indian states partnered with digital startups to deliver app-based pest and disease diagnostics, weather alerts, and market information during the pandemic (Meena et al., 2021). Platforms like </w:t>
      </w:r>
      <w:proofErr w:type="spellStart"/>
      <w:r w:rsidRPr="00D47B50">
        <w:rPr>
          <w:rFonts w:ascii="Times New Roman" w:hAnsi="Times New Roman" w:cs="Times New Roman"/>
          <w:sz w:val="24"/>
          <w:szCs w:val="24"/>
        </w:rPr>
        <w:t>eNAM</w:t>
      </w:r>
      <w:proofErr w:type="spellEnd"/>
      <w:r w:rsidRPr="00D47B50">
        <w:rPr>
          <w:rFonts w:ascii="Times New Roman" w:hAnsi="Times New Roman" w:cs="Times New Roman"/>
          <w:sz w:val="24"/>
          <w:szCs w:val="24"/>
        </w:rPr>
        <w:t xml:space="preserve"> (Electronic National Agriculture Market), Kisan Suvidha, and </w:t>
      </w:r>
      <w:proofErr w:type="spellStart"/>
      <w:r w:rsidRPr="00D47B50">
        <w:rPr>
          <w:rFonts w:ascii="Times New Roman" w:hAnsi="Times New Roman" w:cs="Times New Roman"/>
          <w:sz w:val="24"/>
          <w:szCs w:val="24"/>
        </w:rPr>
        <w:t>AgriStack</w:t>
      </w:r>
      <w:proofErr w:type="spellEnd"/>
      <w:r w:rsidRPr="00D47B50">
        <w:rPr>
          <w:rFonts w:ascii="Times New Roman" w:hAnsi="Times New Roman" w:cs="Times New Roman"/>
          <w:sz w:val="24"/>
          <w:szCs w:val="24"/>
        </w:rPr>
        <w:t xml:space="preserve"> were strengthened through collaboration between public departments and private technology providers.</w:t>
      </w:r>
      <w:r>
        <w:rPr>
          <w:rFonts w:ascii="Times New Roman" w:hAnsi="Times New Roman" w:cs="Times New Roman"/>
          <w:sz w:val="24"/>
          <w:szCs w:val="24"/>
        </w:rPr>
        <w:t xml:space="preserve"> </w:t>
      </w:r>
      <w:r w:rsidRPr="00D47B50">
        <w:rPr>
          <w:rFonts w:ascii="Times New Roman" w:hAnsi="Times New Roman" w:cs="Times New Roman"/>
          <w:sz w:val="24"/>
          <w:szCs w:val="24"/>
        </w:rPr>
        <w:t xml:space="preserve">Moreover, PPP models facilitated the creation of digital input marketplaces and logistics solutions, ensuring that farmers could access seeds, fertilizers, and equipment despite mobility restrictions. Organizations such as Digital Green and Precision Agriculture for Development (PAD) worked closely with state </w:t>
      </w:r>
      <w:r w:rsidRPr="00D47B50">
        <w:rPr>
          <w:rFonts w:ascii="Times New Roman" w:hAnsi="Times New Roman" w:cs="Times New Roman"/>
          <w:sz w:val="24"/>
          <w:szCs w:val="24"/>
        </w:rPr>
        <w:lastRenderedPageBreak/>
        <w:t>governments and local NGOs to scale digital advisories using interactive voice response systems and SMS campaigns, particularly targeting smallholders and women farmers (PAD, 2021).</w:t>
      </w:r>
      <w:r>
        <w:rPr>
          <w:rFonts w:ascii="Times New Roman" w:hAnsi="Times New Roman" w:cs="Times New Roman"/>
          <w:sz w:val="24"/>
          <w:szCs w:val="24"/>
        </w:rPr>
        <w:t xml:space="preserve"> </w:t>
      </w:r>
      <w:r w:rsidRPr="00D47B50">
        <w:rPr>
          <w:rFonts w:ascii="Times New Roman" w:hAnsi="Times New Roman" w:cs="Times New Roman"/>
          <w:sz w:val="24"/>
          <w:szCs w:val="24"/>
        </w:rPr>
        <w:t>PPP-based extension frameworks have also evolved to include business incubation services, financial inclusion, and climate-smart agriculture solutions. The ability of these partnerships to provide integrated support—from information dissemination to market access and risk management—has positioned them as vital components of resilient extension ecosystems. Nevertheless, these partnerships must be governed by transparent policies and equitable benefit-sharing mechanisms to avoid marginalization of small farmers or over-commercialization of advisory services.</w:t>
      </w:r>
    </w:p>
    <w:p w14:paraId="7126B602" w14:textId="18029F06" w:rsidR="00D47B50" w:rsidRPr="00D47B50" w:rsidRDefault="004870A5" w:rsidP="00D47B50">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47B50" w:rsidRPr="00D47B50">
        <w:rPr>
          <w:rFonts w:ascii="Times New Roman" w:hAnsi="Times New Roman" w:cs="Times New Roman"/>
          <w:b/>
          <w:bCs/>
          <w:sz w:val="24"/>
          <w:szCs w:val="24"/>
        </w:rPr>
        <w:t>.3 Role of ICT and AI</w:t>
      </w:r>
    </w:p>
    <w:p w14:paraId="1778C656" w14:textId="2A151619"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Information and Communication Technologies (ICTs), alongside Artificial Intelligence (AI), are revolutionizing agricultural extension by enabling real-time, data-driven, and customized advisory services. These technologies enhance the precision, responsiveness, and reach of extension efforts, especially in resource-constrained settings.</w:t>
      </w:r>
      <w:r>
        <w:rPr>
          <w:rFonts w:ascii="Times New Roman" w:hAnsi="Times New Roman" w:cs="Times New Roman"/>
          <w:sz w:val="24"/>
          <w:szCs w:val="24"/>
        </w:rPr>
        <w:t xml:space="preserve"> </w:t>
      </w:r>
      <w:r w:rsidRPr="00D47B50">
        <w:rPr>
          <w:rFonts w:ascii="Times New Roman" w:hAnsi="Times New Roman" w:cs="Times New Roman"/>
          <w:sz w:val="24"/>
          <w:szCs w:val="24"/>
        </w:rPr>
        <w:t xml:space="preserve">AI and machine learning (ML) algorithms are increasingly being used to </w:t>
      </w:r>
      <w:proofErr w:type="spellStart"/>
      <w:r w:rsidRPr="00D47B50">
        <w:rPr>
          <w:rFonts w:ascii="Times New Roman" w:hAnsi="Times New Roman" w:cs="Times New Roman"/>
          <w:sz w:val="24"/>
          <w:szCs w:val="24"/>
        </w:rPr>
        <w:t>analyze</w:t>
      </w:r>
      <w:proofErr w:type="spellEnd"/>
      <w:r w:rsidRPr="00D47B50">
        <w:rPr>
          <w:rFonts w:ascii="Times New Roman" w:hAnsi="Times New Roman" w:cs="Times New Roman"/>
          <w:sz w:val="24"/>
          <w:szCs w:val="24"/>
        </w:rPr>
        <w:t xml:space="preserve"> satellite imagery, weather patterns, soil health data, and crop performance indicators to offer predictive insights to farmers. For instance, AI-powered platforms like Microsoft’s AI Sowing App in Andhra Pradesh have demonstrated improvements in yield and input efficiency by providing personalized planting advice based on localized weather and soil data (Reddy, 2020). Similarly, Google’s AI-based flood forecasting has been integrated with agricultural advisories to mitigate risks related to climate variability.</w:t>
      </w:r>
    </w:p>
    <w:p w14:paraId="68717E24" w14:textId="0648FD58"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 xml:space="preserve">Remote sensing and Geographic Information Systems (GIS) are now integral to monitoring crop health, detecting pests and diseases, and guiding irrigation and nutrient management. These tools support both macro-level planning and micro-level decision-making, benefiting extension agents and farmers alike. Mobile-based applications, like </w:t>
      </w:r>
      <w:proofErr w:type="spellStart"/>
      <w:r w:rsidRPr="00D47B50">
        <w:rPr>
          <w:rFonts w:ascii="Times New Roman" w:hAnsi="Times New Roman" w:cs="Times New Roman"/>
          <w:sz w:val="24"/>
          <w:szCs w:val="24"/>
        </w:rPr>
        <w:t>Plantix</w:t>
      </w:r>
      <w:proofErr w:type="spellEnd"/>
      <w:r w:rsidRPr="00D47B50">
        <w:rPr>
          <w:rFonts w:ascii="Times New Roman" w:hAnsi="Times New Roman" w:cs="Times New Roman"/>
          <w:sz w:val="24"/>
          <w:szCs w:val="24"/>
        </w:rPr>
        <w:t xml:space="preserve"> and </w:t>
      </w:r>
      <w:proofErr w:type="spellStart"/>
      <w:r w:rsidRPr="00D47B50">
        <w:rPr>
          <w:rFonts w:ascii="Times New Roman" w:hAnsi="Times New Roman" w:cs="Times New Roman"/>
          <w:sz w:val="24"/>
          <w:szCs w:val="24"/>
        </w:rPr>
        <w:t>CropIn</w:t>
      </w:r>
      <w:proofErr w:type="spellEnd"/>
      <w:r w:rsidRPr="00D47B50">
        <w:rPr>
          <w:rFonts w:ascii="Times New Roman" w:hAnsi="Times New Roman" w:cs="Times New Roman"/>
          <w:sz w:val="24"/>
          <w:szCs w:val="24"/>
        </w:rPr>
        <w:t>, utilize image recognition and AI to diagnose crop disorders through farmers’ smartphone cameras and offer instant remediation strategies.</w:t>
      </w:r>
      <w:r>
        <w:rPr>
          <w:rFonts w:ascii="Times New Roman" w:hAnsi="Times New Roman" w:cs="Times New Roman"/>
          <w:sz w:val="24"/>
          <w:szCs w:val="24"/>
        </w:rPr>
        <w:t xml:space="preserve"> </w:t>
      </w:r>
      <w:r w:rsidRPr="00D47B50">
        <w:rPr>
          <w:rFonts w:ascii="Times New Roman" w:hAnsi="Times New Roman" w:cs="Times New Roman"/>
          <w:sz w:val="24"/>
          <w:szCs w:val="24"/>
        </w:rPr>
        <w:t>ICT platforms, such as WhatsApp groups, IVRS, YouTube channels, and mobile advisory apps, have become mainstream channels for knowledge dissemination and farmer engagement. These tools support two-way communication, peer learning, and community building—essential features of modern extension systems. Furthermore, big data analytics allows policymakers and researchers to track adoption trends, feedback loops, and the impact of interventions in near real-time (FAO, 2022).</w:t>
      </w:r>
    </w:p>
    <w:p w14:paraId="7E97E642" w14:textId="3B06344C" w:rsidR="006D0699" w:rsidRPr="006D0699" w:rsidRDefault="00D47B50" w:rsidP="006D0699">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lastRenderedPageBreak/>
        <w:t>However, the adoption of these technologies is not without challenges. The digital divide, characterized by disparities in internet access, device ownership, and digital literacy, continues to hinder the universal uptake of AI and ICT-based tools. Gender disparities and regional inequities must be addressed through inclusive digital design, multilingual platforms, and targeted digital literacy programs to ensure equitable access to technology-enabled extension (Meena et al., 2021).</w:t>
      </w:r>
      <w:r>
        <w:rPr>
          <w:rFonts w:ascii="Times New Roman" w:hAnsi="Times New Roman" w:cs="Times New Roman"/>
          <w:sz w:val="24"/>
          <w:szCs w:val="24"/>
        </w:rPr>
        <w:t xml:space="preserve"> </w:t>
      </w:r>
      <w:r w:rsidRPr="00D47B50">
        <w:rPr>
          <w:rFonts w:ascii="Times New Roman" w:hAnsi="Times New Roman" w:cs="Times New Roman"/>
          <w:sz w:val="24"/>
          <w:szCs w:val="24"/>
        </w:rPr>
        <w:t>The post-pandemic extension landscape is evolving into a dynamic ecosystem shaped by hybrid service models, synergistic public-private collaborations, and powerful digital technologies. While the crisis exposed critical vulnerabilities in traditional extension systems, it also accelerated long-overdue reforms and innovations. Going forward, the challenge lies in institutionalizing these changes, ensuring digital inclusiveness, and aligning extension services with broader goals of sustainability, resilience, and equity. Strategic investments in infrastructure, human capacity, and data governance will be essential to harness the full potential of post-pandemic agricultural extension.</w:t>
      </w:r>
    </w:p>
    <w:p w14:paraId="246964C5" w14:textId="613DE82C" w:rsidR="006D0699" w:rsidRPr="00A40E38"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6D0699" w:rsidRPr="00A40E38">
        <w:rPr>
          <w:rFonts w:ascii="Times New Roman" w:hAnsi="Times New Roman" w:cs="Times New Roman"/>
          <w:b/>
          <w:bCs/>
          <w:sz w:val="24"/>
          <w:szCs w:val="24"/>
        </w:rPr>
        <w:t>. Challenges in Sustaining Extension Services</w:t>
      </w:r>
    </w:p>
    <w:p w14:paraId="000971F6" w14:textId="4A5C54C5"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The transformation of agricultural extension services in the wake of the COVID-19 pandemic has brought renewed attention to their critical role in ensuring food security, rural development, and climate resilience. While innovations such as hybrid models and digital extension tools have created new opportunities, they have also exposed significant challenges to the sustainability of these systems. For extension services to remain effective, inclusive, and future-ready, systemic barriers such as digital inequality, trust deficits, capacity limitations, and infrastructural shortcomings must be addressed. This section explores the multifaceted challenges that threaten the long-term sustainability of agricultural extension services.</w:t>
      </w:r>
    </w:p>
    <w:p w14:paraId="05659BE6" w14:textId="7BA8F104" w:rsidR="00A40E38" w:rsidRPr="00A40E38" w:rsidRDefault="004870A5" w:rsidP="00A40E3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40E38" w:rsidRPr="00A40E38">
        <w:rPr>
          <w:rFonts w:ascii="Times New Roman" w:hAnsi="Times New Roman" w:cs="Times New Roman"/>
          <w:b/>
          <w:bCs/>
          <w:sz w:val="24"/>
          <w:szCs w:val="24"/>
        </w:rPr>
        <w:t>.1 Digital Inequality</w:t>
      </w:r>
    </w:p>
    <w:p w14:paraId="008BDE53" w14:textId="77777777" w:rsidR="000A4976"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One of the most pressing challenges in sustaining modern extension systems is digital inequality. While digital tools such as mobile applications, SMS services, and AI-driven advisory platforms have proliferated, their benefits remain unevenly distributed. Large segments of smallholder farmers—especially in low- and middle-income countries—do not have access to smartphones, stable internet connectivity, or even basic digital literacy. This digital divide reinforces existing social and economic inequalities, disproportionately affecting women, elderly farmers, and marginalized communities, including those from lower caste and tribal backgrounds in countries like India (Meena et al., 2021).</w:t>
      </w:r>
    </w:p>
    <w:p w14:paraId="3B49AD46" w14:textId="3496B4C3" w:rsidR="00A40E38" w:rsidRPr="00A40E38" w:rsidRDefault="00A40E38" w:rsidP="00A40E3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40E38">
        <w:rPr>
          <w:rFonts w:ascii="Times New Roman" w:hAnsi="Times New Roman" w:cs="Times New Roman"/>
          <w:sz w:val="24"/>
          <w:szCs w:val="24"/>
        </w:rPr>
        <w:t>According to the International Telecommunication Union (ITU, 2022), only 43% of people in rural areas worldwide have access to the internet, compared to 74% in urban areas. In India, a country with over 100 million smallholder farmers, internet access in rural regions remains patchy, and smartphone penetration varies widely. Many farmers also face linguistic barriers, as most digital platforms are available only in dominant regional or national languages, excluding those who speak minority dialects (FAO, 2021).</w:t>
      </w:r>
      <w:r w:rsidR="000A4976">
        <w:rPr>
          <w:rFonts w:ascii="Times New Roman" w:hAnsi="Times New Roman" w:cs="Times New Roman"/>
          <w:sz w:val="24"/>
          <w:szCs w:val="24"/>
        </w:rPr>
        <w:t xml:space="preserve"> </w:t>
      </w:r>
      <w:r w:rsidRPr="00A40E38">
        <w:rPr>
          <w:rFonts w:ascii="Times New Roman" w:hAnsi="Times New Roman" w:cs="Times New Roman"/>
          <w:sz w:val="24"/>
          <w:szCs w:val="24"/>
        </w:rPr>
        <w:t>Gender digital inequality is particularly severe. Studies show that rural women are 20% less likely than men to own a mobile phone and 40% less likely to access mobile internet (GSMA, 2021). This gap has serious implications for inclusive agricultural development, as women play a crucial role in farming activities and household food security. Unless digital interventions are explicitly designed to bridge these gaps, they risk deepening disparities rather than democratizing access to information.</w:t>
      </w:r>
    </w:p>
    <w:p w14:paraId="148923FC" w14:textId="1513E4B5" w:rsidR="00A40E38" w:rsidRPr="00A40E38" w:rsidRDefault="004870A5" w:rsidP="00A40E3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40E38" w:rsidRPr="00A40E38">
        <w:rPr>
          <w:rFonts w:ascii="Times New Roman" w:hAnsi="Times New Roman" w:cs="Times New Roman"/>
          <w:b/>
          <w:bCs/>
          <w:sz w:val="24"/>
          <w:szCs w:val="24"/>
        </w:rPr>
        <w:t>.2 Trust and Human Connection</w:t>
      </w:r>
    </w:p>
    <w:p w14:paraId="281D223C" w14:textId="77777777" w:rsidR="000A4976"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Agricultural extension has traditionally relied on interpersonal communication and trust-building between extension agents and farmers. These relationships are rooted in community knowledge systems, face-to-face interactions, and long-term engagement. The rapid shift toward digital advisory services—especially during the pandemic—has altered this dynamic, raising concerns about credibility, trust, and adoption.</w:t>
      </w:r>
      <w:r>
        <w:rPr>
          <w:rFonts w:ascii="Times New Roman" w:hAnsi="Times New Roman" w:cs="Times New Roman"/>
          <w:sz w:val="24"/>
          <w:szCs w:val="24"/>
        </w:rPr>
        <w:t xml:space="preserve"> </w:t>
      </w:r>
      <w:r w:rsidRPr="00A40E38">
        <w:rPr>
          <w:rFonts w:ascii="Times New Roman" w:hAnsi="Times New Roman" w:cs="Times New Roman"/>
          <w:sz w:val="24"/>
          <w:szCs w:val="24"/>
        </w:rPr>
        <w:t>Farmers, particularly older and less literate ones, often prefer advice from trusted local sources such as peer farmers, village leaders, or familiar extension agents over impersonal SMS messages or chatbot-based advisories (Davis et al., 2021). Even when digital information is technically sound, it may not be acted upon if the farmer does not trust the source or lacks contextual understanding.</w:t>
      </w:r>
      <w:r>
        <w:rPr>
          <w:rFonts w:ascii="Times New Roman" w:hAnsi="Times New Roman" w:cs="Times New Roman"/>
          <w:sz w:val="24"/>
          <w:szCs w:val="24"/>
        </w:rPr>
        <w:t xml:space="preserve"> </w:t>
      </w:r>
    </w:p>
    <w:p w14:paraId="6F8D46B6" w14:textId="5FB97D54"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Moreover, the effectiveness of advisory services often depends on non-verbal cues, practical demonstrations, and feedback loops—elements that are difficult to replicate in purely digital formats. Community-based extension models, such as Farmer Field Schools and participatory research platforms, emphasize experiential learning and mutual trust, which are not easily replaced by digital communication (Anderson &amp; Feder, 2007).</w:t>
      </w:r>
      <w:r w:rsidR="000A4976">
        <w:rPr>
          <w:rFonts w:ascii="Times New Roman" w:hAnsi="Times New Roman" w:cs="Times New Roman"/>
          <w:sz w:val="24"/>
          <w:szCs w:val="24"/>
        </w:rPr>
        <w:t xml:space="preserve"> </w:t>
      </w:r>
      <w:r w:rsidRPr="00A40E38">
        <w:rPr>
          <w:rFonts w:ascii="Times New Roman" w:hAnsi="Times New Roman" w:cs="Times New Roman"/>
          <w:sz w:val="24"/>
          <w:szCs w:val="24"/>
        </w:rPr>
        <w:t>In the post-pandemic landscape, re-establishing human connections through hybrid extension models is critical. Digital tools must be seen as complementary to—not replacements for—personal engagement. Trust in digital systems can be built over time by involving local extension agents in content dissemination, incorporating farmer feedback, and ensuring transparency in information delivery.</w:t>
      </w:r>
    </w:p>
    <w:p w14:paraId="19DEAFAE" w14:textId="20EA808F" w:rsidR="00A40E38" w:rsidRPr="00A40E38" w:rsidRDefault="000A4976" w:rsidP="00A40E3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A40E38" w:rsidRPr="00A40E38">
        <w:rPr>
          <w:rFonts w:ascii="Times New Roman" w:hAnsi="Times New Roman" w:cs="Times New Roman"/>
          <w:b/>
          <w:bCs/>
          <w:sz w:val="24"/>
          <w:szCs w:val="24"/>
        </w:rPr>
        <w:t>.3 Capacity Building</w:t>
      </w:r>
    </w:p>
    <w:p w14:paraId="16828905" w14:textId="62B90468"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The sustainability of extension services also hinges on the capacity of extension agents to adapt to evolving demands. Traditionally trained to conduct field visits, organize training camps, and deliver technical advisories, many extension professionals now need to acquire new skills in digital content creation, online facilitation, data analytics, and ICT tool usage.</w:t>
      </w:r>
      <w:r>
        <w:rPr>
          <w:rFonts w:ascii="Times New Roman" w:hAnsi="Times New Roman" w:cs="Times New Roman"/>
          <w:sz w:val="24"/>
          <w:szCs w:val="24"/>
        </w:rPr>
        <w:t xml:space="preserve"> </w:t>
      </w:r>
      <w:r w:rsidRPr="00A40E38">
        <w:rPr>
          <w:rFonts w:ascii="Times New Roman" w:hAnsi="Times New Roman" w:cs="Times New Roman"/>
          <w:sz w:val="24"/>
          <w:szCs w:val="24"/>
        </w:rPr>
        <w:t>This transition requires systematic and ongoing capacity-building efforts. However, many extension systems are already under-resourced and overstretched. In countries like India, the extension worker-to-farmer ratio remains alarmingly low, with one agent often covering thousands of farmers (Glendenning et al., 2010). Expecting these professionals to embrace new digital roles without adequate training or support can lead to burnout, reduced service quality, and resistance to change.</w:t>
      </w:r>
    </w:p>
    <w:p w14:paraId="4B92422C" w14:textId="0D55FFFA"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Furthermore, capacity-building programs must be tailored to diverse learning needs. Younger agents may be more digitally fluent but lack field experience, while older staff may require foundational ICT training but bring valuable contextual knowledge. Extension institutions must develop modular, hands-on training curricula that blend digital literacy with agricultural expertise and communication skills.</w:t>
      </w:r>
      <w:r>
        <w:rPr>
          <w:rFonts w:ascii="Times New Roman" w:hAnsi="Times New Roman" w:cs="Times New Roman"/>
          <w:sz w:val="24"/>
          <w:szCs w:val="24"/>
        </w:rPr>
        <w:t xml:space="preserve"> </w:t>
      </w:r>
      <w:r w:rsidRPr="00A40E38">
        <w:rPr>
          <w:rFonts w:ascii="Times New Roman" w:hAnsi="Times New Roman" w:cs="Times New Roman"/>
          <w:sz w:val="24"/>
          <w:szCs w:val="24"/>
        </w:rPr>
        <w:t xml:space="preserve">Collaborations with academic institutions, tech providers, and NGOs can facilitate these efforts. For instance, partnerships with </w:t>
      </w:r>
      <w:proofErr w:type="spellStart"/>
      <w:r w:rsidRPr="00A40E38">
        <w:rPr>
          <w:rFonts w:ascii="Times New Roman" w:hAnsi="Times New Roman" w:cs="Times New Roman"/>
          <w:sz w:val="24"/>
          <w:szCs w:val="24"/>
        </w:rPr>
        <w:t>agri</w:t>
      </w:r>
      <w:proofErr w:type="spellEnd"/>
      <w:r w:rsidRPr="00A40E38">
        <w:rPr>
          <w:rFonts w:ascii="Times New Roman" w:hAnsi="Times New Roman" w:cs="Times New Roman"/>
          <w:sz w:val="24"/>
          <w:szCs w:val="24"/>
        </w:rPr>
        <w:t>-tech startups can help familiarize extension agents with AI-powered tools and mobile platforms. Universities can integrate digital extension modules into agricultural education, preparing future professionals for the hybrid service landscape.</w:t>
      </w:r>
    </w:p>
    <w:p w14:paraId="45016574" w14:textId="1B48372B" w:rsidR="00A40E38" w:rsidRPr="00A40E38" w:rsidRDefault="000A4976" w:rsidP="00A40E3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40E38" w:rsidRPr="00A40E38">
        <w:rPr>
          <w:rFonts w:ascii="Times New Roman" w:hAnsi="Times New Roman" w:cs="Times New Roman"/>
          <w:b/>
          <w:bCs/>
          <w:sz w:val="24"/>
          <w:szCs w:val="24"/>
        </w:rPr>
        <w:t>.4 Infrastructure and Funding</w:t>
      </w:r>
    </w:p>
    <w:p w14:paraId="5B52F277" w14:textId="74F49384"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Another significant barrier to sustaining extension services is inadequate infrastructure and inconsistent funding. Despite the growing emphasis on digital transformation, rural areas in many developing countries still suffer from unreliable electricity, poor mobile network coverage, and limited access to digital devices. These infrastructural bottlenecks hinder both farmers and extension agents from utilizing technology-based solutions effectively.</w:t>
      </w:r>
      <w:r>
        <w:rPr>
          <w:rFonts w:ascii="Times New Roman" w:hAnsi="Times New Roman" w:cs="Times New Roman"/>
          <w:sz w:val="24"/>
          <w:szCs w:val="24"/>
        </w:rPr>
        <w:t xml:space="preserve"> </w:t>
      </w:r>
      <w:r w:rsidRPr="00A40E38">
        <w:rPr>
          <w:rFonts w:ascii="Times New Roman" w:hAnsi="Times New Roman" w:cs="Times New Roman"/>
          <w:sz w:val="24"/>
          <w:szCs w:val="24"/>
        </w:rPr>
        <w:t>In India, the Digital India initiative has made strides in improving broadband access, but the rural-urban divide persists. In many villages, poor signal strength, frequent power cuts, and low data speeds limit the usefulness of digital advisory platforms (</w:t>
      </w:r>
      <w:proofErr w:type="spellStart"/>
      <w:r w:rsidRPr="00A40E38">
        <w:rPr>
          <w:rFonts w:ascii="Times New Roman" w:hAnsi="Times New Roman" w:cs="Times New Roman"/>
          <w:sz w:val="24"/>
          <w:szCs w:val="24"/>
        </w:rPr>
        <w:t>GoI</w:t>
      </w:r>
      <w:proofErr w:type="spellEnd"/>
      <w:r w:rsidRPr="00A40E38">
        <w:rPr>
          <w:rFonts w:ascii="Times New Roman" w:hAnsi="Times New Roman" w:cs="Times New Roman"/>
          <w:sz w:val="24"/>
          <w:szCs w:val="24"/>
        </w:rPr>
        <w:t>, 2022). Even where infrastructure exists, the cost of smartphones, data plans, and maintenance remains prohibitive for many smallholder farmers.</w:t>
      </w:r>
      <w:r>
        <w:rPr>
          <w:rFonts w:ascii="Times New Roman" w:hAnsi="Times New Roman" w:cs="Times New Roman"/>
          <w:sz w:val="24"/>
          <w:szCs w:val="24"/>
        </w:rPr>
        <w:t xml:space="preserve"> </w:t>
      </w:r>
      <w:r w:rsidRPr="00A40E38">
        <w:rPr>
          <w:rFonts w:ascii="Times New Roman" w:hAnsi="Times New Roman" w:cs="Times New Roman"/>
          <w:sz w:val="24"/>
          <w:szCs w:val="24"/>
        </w:rPr>
        <w:t xml:space="preserve">Sustaining extension services also requires long-term investment in operational and </w:t>
      </w:r>
      <w:r w:rsidRPr="00A40E38">
        <w:rPr>
          <w:rFonts w:ascii="Times New Roman" w:hAnsi="Times New Roman" w:cs="Times New Roman"/>
          <w:sz w:val="24"/>
          <w:szCs w:val="24"/>
        </w:rPr>
        <w:lastRenderedPageBreak/>
        <w:t>institutional infrastructure. Many public extension systems face chronic budget shortfalls, limiting their ability to hire staff, maintain equipment, or innovate. Development projects funded by international agencies or corporate CSR programs often provide temporary boosts but may not be sustainable beyond the project cycle.</w:t>
      </w:r>
    </w:p>
    <w:p w14:paraId="13966850" w14:textId="3F3A28A8" w:rsidR="006D0699" w:rsidRPr="006D0699"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Governments must therefore prioritize extension services in their agricultural development strategies, ensuring regular budget allocations, incentivizing performance, and supporting innovation. Public-private partnerships can also play a role, but they must be governed by clear frameworks that prioritize farmer welfare and data privacy.</w:t>
      </w:r>
      <w:r>
        <w:rPr>
          <w:rFonts w:ascii="Times New Roman" w:hAnsi="Times New Roman" w:cs="Times New Roman"/>
          <w:sz w:val="24"/>
          <w:szCs w:val="24"/>
        </w:rPr>
        <w:t xml:space="preserve"> </w:t>
      </w:r>
      <w:r w:rsidRPr="00A40E38">
        <w:rPr>
          <w:rFonts w:ascii="Times New Roman" w:hAnsi="Times New Roman" w:cs="Times New Roman"/>
          <w:sz w:val="24"/>
          <w:szCs w:val="24"/>
        </w:rPr>
        <w:t>The sustainability of agricultural extension services in the post-pandemic world depends on how effectively they can navigate and overcome structural challenges. Digital inequality, trust deficits, capacity limitations, and infrastructural shortcomings remain formidable barriers. While technology has opened new avenues for outreach, inclusivity and relevance must guide the design and implementation of extension strategies. Human-</w:t>
      </w:r>
      <w:proofErr w:type="spellStart"/>
      <w:r w:rsidRPr="00A40E38">
        <w:rPr>
          <w:rFonts w:ascii="Times New Roman" w:hAnsi="Times New Roman" w:cs="Times New Roman"/>
          <w:sz w:val="24"/>
          <w:szCs w:val="24"/>
        </w:rPr>
        <w:t>centered</w:t>
      </w:r>
      <w:proofErr w:type="spellEnd"/>
      <w:r w:rsidRPr="00A40E38">
        <w:rPr>
          <w:rFonts w:ascii="Times New Roman" w:hAnsi="Times New Roman" w:cs="Times New Roman"/>
          <w:sz w:val="24"/>
          <w:szCs w:val="24"/>
        </w:rPr>
        <w:t>, context-aware, and institutionally supported approaches will be key to creating resilient and sustainable extension systems that empower farmers and promote equitable agricultural development.</w:t>
      </w:r>
    </w:p>
    <w:p w14:paraId="0C2C7BD7" w14:textId="0DBD11AA" w:rsidR="006D0699" w:rsidRPr="006A6871" w:rsidRDefault="000A4976"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6D0699" w:rsidRPr="006A6871">
        <w:rPr>
          <w:rFonts w:ascii="Times New Roman" w:hAnsi="Times New Roman" w:cs="Times New Roman"/>
          <w:b/>
          <w:bCs/>
          <w:sz w:val="24"/>
          <w:szCs w:val="24"/>
        </w:rPr>
        <w:t>. Global Case Studies and Best Practices</w:t>
      </w:r>
    </w:p>
    <w:p w14:paraId="172FE3BF" w14:textId="0703B379"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In the post-pandemic era, global agricultural extension systems have undergone substantial innovation to adapt to rapidly evolving challenges. Countries around the world, especially those with large agrarian economies or vulnerable farming populations, responded to the COVID-19 crisis with various degrees of adaptability, resilience, and technological integration. These experiences offer rich lessons and best practices that can guide the design of more inclusive, efficient, and sustainable extension services. This section highlights key global case studies and best practices in agricultural extension from India, Kenya, the Philippines, the United States, and international organizations such as FAO and CGIAR.</w:t>
      </w:r>
    </w:p>
    <w:p w14:paraId="2340CAB0"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India: Digital Extension and Public-Private Collaboration</w:t>
      </w:r>
    </w:p>
    <w:p w14:paraId="0A51ACDA" w14:textId="66CCDE6D"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 xml:space="preserve">India's response to the disruption of traditional extension during the COVID-19 pandemic serves as a notable case of innovation under constraint. With physical extension services halted during lockdowns, the Indian government and private </w:t>
      </w:r>
      <w:proofErr w:type="spellStart"/>
      <w:r w:rsidRPr="006A6871">
        <w:rPr>
          <w:rFonts w:ascii="Times New Roman" w:hAnsi="Times New Roman" w:cs="Times New Roman"/>
          <w:sz w:val="24"/>
          <w:szCs w:val="24"/>
        </w:rPr>
        <w:t>agri</w:t>
      </w:r>
      <w:proofErr w:type="spellEnd"/>
      <w:r w:rsidRPr="006A6871">
        <w:rPr>
          <w:rFonts w:ascii="Times New Roman" w:hAnsi="Times New Roman" w:cs="Times New Roman"/>
          <w:sz w:val="24"/>
          <w:szCs w:val="24"/>
        </w:rPr>
        <w:t xml:space="preserve">-tech startups rapidly deployed digital platforms such as Kisan Suvidha, </w:t>
      </w:r>
      <w:proofErr w:type="spellStart"/>
      <w:r w:rsidRPr="006A6871">
        <w:rPr>
          <w:rFonts w:ascii="Times New Roman" w:hAnsi="Times New Roman" w:cs="Times New Roman"/>
          <w:sz w:val="24"/>
          <w:szCs w:val="24"/>
        </w:rPr>
        <w:t>eNAM</w:t>
      </w:r>
      <w:proofErr w:type="spellEnd"/>
      <w:r w:rsidRPr="006A6871">
        <w:rPr>
          <w:rFonts w:ascii="Times New Roman" w:hAnsi="Times New Roman" w:cs="Times New Roman"/>
          <w:sz w:val="24"/>
          <w:szCs w:val="24"/>
        </w:rPr>
        <w:t xml:space="preserve"> (Electronic National Agriculture Market), and </w:t>
      </w:r>
      <w:proofErr w:type="spellStart"/>
      <w:r w:rsidRPr="006A6871">
        <w:rPr>
          <w:rFonts w:ascii="Times New Roman" w:hAnsi="Times New Roman" w:cs="Times New Roman"/>
          <w:sz w:val="24"/>
          <w:szCs w:val="24"/>
        </w:rPr>
        <w:t>mKisan</w:t>
      </w:r>
      <w:proofErr w:type="spellEnd"/>
      <w:r w:rsidRPr="006A6871">
        <w:rPr>
          <w:rFonts w:ascii="Times New Roman" w:hAnsi="Times New Roman" w:cs="Times New Roman"/>
          <w:sz w:val="24"/>
          <w:szCs w:val="24"/>
        </w:rPr>
        <w:t xml:space="preserve"> Portal to continue delivering services. These platforms provided timely advisories on weather, market prices, pest outbreaks, and logistics services (Meena et al., 2021).</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In addition, </w:t>
      </w:r>
      <w:r w:rsidRPr="006A6871">
        <w:rPr>
          <w:rFonts w:ascii="Times New Roman" w:hAnsi="Times New Roman" w:cs="Times New Roman"/>
          <w:sz w:val="24"/>
          <w:szCs w:val="24"/>
        </w:rPr>
        <w:lastRenderedPageBreak/>
        <w:t>Precision Agriculture for Development (PAD) collaborated with government agencies and local partners to deliver advisory messages via Interactive Voice Response Systems (IVRS) and SMS in local languages. This helped reach smallholders with low literacy or limited internet access. The hybrid use of traditional and digital channels became a model of inclusive outreach.</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Another best practice is the promotion of Farmer Producer Organizations (FPOs) as decentralized hubs for capacity building, information sharing, and input-output linkage. These FPOs worked closely with Krishi Vigyan </w:t>
      </w:r>
      <w:proofErr w:type="spellStart"/>
      <w:r w:rsidRPr="006A6871">
        <w:rPr>
          <w:rFonts w:ascii="Times New Roman" w:hAnsi="Times New Roman" w:cs="Times New Roman"/>
          <w:sz w:val="24"/>
          <w:szCs w:val="24"/>
        </w:rPr>
        <w:t>Kendras</w:t>
      </w:r>
      <w:proofErr w:type="spellEnd"/>
      <w:r w:rsidRPr="006A6871">
        <w:rPr>
          <w:rFonts w:ascii="Times New Roman" w:hAnsi="Times New Roman" w:cs="Times New Roman"/>
          <w:sz w:val="24"/>
          <w:szCs w:val="24"/>
        </w:rPr>
        <w:t xml:space="preserve"> (KVKs) and NGOs to strengthen trust and enable knowledge transfer, combining human connection with technological efficiency (Singh et al., 2022).</w:t>
      </w:r>
    </w:p>
    <w:p w14:paraId="7A60E8DE"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Kenya: Mobile Platforms and AI-Powered Advisories</w:t>
      </w:r>
    </w:p>
    <w:p w14:paraId="2C8316B8" w14:textId="1B4297F8"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 xml:space="preserve">In Kenya, the integration of mobile technology and AI for smallholder farmers has emerged as a successful strategy in enhancing extension delivery. One of the standout platforms is </w:t>
      </w:r>
      <w:proofErr w:type="spellStart"/>
      <w:r w:rsidRPr="006A6871">
        <w:rPr>
          <w:rFonts w:ascii="Times New Roman" w:hAnsi="Times New Roman" w:cs="Times New Roman"/>
          <w:sz w:val="24"/>
          <w:szCs w:val="24"/>
        </w:rPr>
        <w:t>iShamba</w:t>
      </w:r>
      <w:proofErr w:type="spellEnd"/>
      <w:r w:rsidRPr="006A6871">
        <w:rPr>
          <w:rFonts w:ascii="Times New Roman" w:hAnsi="Times New Roman" w:cs="Times New Roman"/>
          <w:sz w:val="24"/>
          <w:szCs w:val="24"/>
        </w:rPr>
        <w:t xml:space="preserve">, a mobile-based service developed by </w:t>
      </w:r>
      <w:proofErr w:type="spellStart"/>
      <w:r w:rsidRPr="006A6871">
        <w:rPr>
          <w:rFonts w:ascii="Times New Roman" w:hAnsi="Times New Roman" w:cs="Times New Roman"/>
          <w:sz w:val="24"/>
          <w:szCs w:val="24"/>
        </w:rPr>
        <w:t>Mediae</w:t>
      </w:r>
      <w:proofErr w:type="spellEnd"/>
      <w:r w:rsidRPr="006A6871">
        <w:rPr>
          <w:rFonts w:ascii="Times New Roman" w:hAnsi="Times New Roman" w:cs="Times New Roman"/>
          <w:sz w:val="24"/>
          <w:szCs w:val="24"/>
        </w:rPr>
        <w:t xml:space="preserve"> Company. It offers real-time agricultural tips, market prices, and weather forecasts through SMS and call </w:t>
      </w:r>
      <w:proofErr w:type="spellStart"/>
      <w:r w:rsidRPr="006A6871">
        <w:rPr>
          <w:rFonts w:ascii="Times New Roman" w:hAnsi="Times New Roman" w:cs="Times New Roman"/>
          <w:sz w:val="24"/>
          <w:szCs w:val="24"/>
        </w:rPr>
        <w:t>centers</w:t>
      </w:r>
      <w:proofErr w:type="spellEnd"/>
      <w:r w:rsidRPr="006A6871">
        <w:rPr>
          <w:rFonts w:ascii="Times New Roman" w:hAnsi="Times New Roman" w:cs="Times New Roman"/>
          <w:sz w:val="24"/>
          <w:szCs w:val="24"/>
        </w:rPr>
        <w:t xml:space="preserve">. </w:t>
      </w:r>
      <w:proofErr w:type="spellStart"/>
      <w:r w:rsidRPr="006A6871">
        <w:rPr>
          <w:rFonts w:ascii="Times New Roman" w:hAnsi="Times New Roman" w:cs="Times New Roman"/>
          <w:sz w:val="24"/>
          <w:szCs w:val="24"/>
        </w:rPr>
        <w:t>iShamba</w:t>
      </w:r>
      <w:proofErr w:type="spellEnd"/>
      <w:r w:rsidRPr="006A6871">
        <w:rPr>
          <w:rFonts w:ascii="Times New Roman" w:hAnsi="Times New Roman" w:cs="Times New Roman"/>
          <w:sz w:val="24"/>
          <w:szCs w:val="24"/>
        </w:rPr>
        <w:t xml:space="preserve"> has built trust among farmers by using local languages and call </w:t>
      </w:r>
      <w:proofErr w:type="spellStart"/>
      <w:r w:rsidRPr="006A6871">
        <w:rPr>
          <w:rFonts w:ascii="Times New Roman" w:hAnsi="Times New Roman" w:cs="Times New Roman"/>
          <w:sz w:val="24"/>
          <w:szCs w:val="24"/>
        </w:rPr>
        <w:t>center</w:t>
      </w:r>
      <w:proofErr w:type="spellEnd"/>
      <w:r w:rsidRPr="006A6871">
        <w:rPr>
          <w:rFonts w:ascii="Times New Roman" w:hAnsi="Times New Roman" w:cs="Times New Roman"/>
          <w:sz w:val="24"/>
          <w:szCs w:val="24"/>
        </w:rPr>
        <w:t xml:space="preserve"> agents who understand the local agricultural context (World Bank, 2022).</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In collaboration with </w:t>
      </w:r>
      <w:proofErr w:type="spellStart"/>
      <w:r w:rsidRPr="006A6871">
        <w:rPr>
          <w:rFonts w:ascii="Times New Roman" w:hAnsi="Times New Roman" w:cs="Times New Roman"/>
          <w:sz w:val="24"/>
          <w:szCs w:val="24"/>
        </w:rPr>
        <w:t>Twiga</w:t>
      </w:r>
      <w:proofErr w:type="spellEnd"/>
      <w:r w:rsidRPr="006A6871">
        <w:rPr>
          <w:rFonts w:ascii="Times New Roman" w:hAnsi="Times New Roman" w:cs="Times New Roman"/>
          <w:sz w:val="24"/>
          <w:szCs w:val="24"/>
        </w:rPr>
        <w:t xml:space="preserve"> Foods, a digital marketplace that connects farmers directly with vendors, extension services were paired with access to inputs and guaranteed markets. This integration of advisory with value chain services proved effective in minimizing disruptions during COVID-19 lockdowns and improved farmer resilience.</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Kenya also leveraged partnerships with international research institutions to deploy AI-powered diagnostic tools, such as </w:t>
      </w:r>
      <w:proofErr w:type="spellStart"/>
      <w:r w:rsidRPr="006A6871">
        <w:rPr>
          <w:rFonts w:ascii="Times New Roman" w:hAnsi="Times New Roman" w:cs="Times New Roman"/>
          <w:sz w:val="24"/>
          <w:szCs w:val="24"/>
        </w:rPr>
        <w:t>PlantVillage</w:t>
      </w:r>
      <w:proofErr w:type="spellEnd"/>
      <w:r w:rsidRPr="006A6871">
        <w:rPr>
          <w:rFonts w:ascii="Times New Roman" w:hAnsi="Times New Roman" w:cs="Times New Roman"/>
          <w:sz w:val="24"/>
          <w:szCs w:val="24"/>
        </w:rPr>
        <w:t xml:space="preserve"> Nuru, an app developed by Penn State University and FAO. The app uses smartphone cameras and AI to detect plant diseases and recommend solutions. This tool democratized expert knowledge and enhanced early warning capabilities for crop health (FAO, 2021).</w:t>
      </w:r>
    </w:p>
    <w:p w14:paraId="3C0B6C7C"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Philippines: Localized Digital Extension and Gender Inclusion</w:t>
      </w:r>
    </w:p>
    <w:p w14:paraId="0D1DE353" w14:textId="02ABD5E6"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The Philippines provides an example of decentralized digital extension with a strong focus on gender-sensitive and community-based approaches. The Department of Agriculture, through its Agricultural Training Institute (ATI), scaled up its e-Extension Program for Agriculture and Fisheries, which includes e-learning courses, digital libraries, and mobile advisories.</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During the pandemic, ATI partnered with LGUs (local government units), universities, and civil society to deliver blended learning programs. Women farmers and youth were particularly </w:t>
      </w:r>
      <w:r w:rsidRPr="006A6871">
        <w:rPr>
          <w:rFonts w:ascii="Times New Roman" w:hAnsi="Times New Roman" w:cs="Times New Roman"/>
          <w:sz w:val="24"/>
          <w:szCs w:val="24"/>
        </w:rPr>
        <w:lastRenderedPageBreak/>
        <w:t>engaged through mobile-based training sessions and peer-led community groups (</w:t>
      </w:r>
      <w:proofErr w:type="spellStart"/>
      <w:r w:rsidRPr="006A6871">
        <w:rPr>
          <w:rFonts w:ascii="Times New Roman" w:hAnsi="Times New Roman" w:cs="Times New Roman"/>
          <w:sz w:val="24"/>
          <w:szCs w:val="24"/>
        </w:rPr>
        <w:t>Agriwatch</w:t>
      </w:r>
      <w:proofErr w:type="spellEnd"/>
      <w:r w:rsidRPr="006A6871">
        <w:rPr>
          <w:rFonts w:ascii="Times New Roman" w:hAnsi="Times New Roman" w:cs="Times New Roman"/>
          <w:sz w:val="24"/>
          <w:szCs w:val="24"/>
        </w:rPr>
        <w:t xml:space="preserve"> Philippines, 2021). This inclusive model addressed digital literacy gaps and built local ownership of extension processes.</w:t>
      </w:r>
      <w:r>
        <w:rPr>
          <w:rFonts w:ascii="Times New Roman" w:hAnsi="Times New Roman" w:cs="Times New Roman"/>
          <w:sz w:val="24"/>
          <w:szCs w:val="24"/>
        </w:rPr>
        <w:t xml:space="preserve"> </w:t>
      </w:r>
      <w:r w:rsidRPr="006A6871">
        <w:rPr>
          <w:rFonts w:ascii="Times New Roman" w:hAnsi="Times New Roman" w:cs="Times New Roman"/>
          <w:sz w:val="24"/>
          <w:szCs w:val="24"/>
        </w:rPr>
        <w:t>In addition, the use of community radio in remote areas allowed real-time broadcasting of farming tips and pandemic-related advisories. This low-tech but effective strategy proved essential in archipelagic and disaster-prone regions with limited internet access.</w:t>
      </w:r>
    </w:p>
    <w:p w14:paraId="4EA69455"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United States: Extension and Emergency Response Integration</w:t>
      </w:r>
    </w:p>
    <w:p w14:paraId="7693C4F0" w14:textId="2C8224C0"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In high-income countries like the United States, the Land-Grant University Cooperative Extension System has long been a model for knowledge dissemination and community outreach. During the COVID-19 pandemic, institutions such as Penn State Extension, University of California Cooperative Extension, and Texas A&amp;M AgriLife Extension pivoted swiftly to virtual platforms.</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Through webinars, YouTube tutorials, digital newsletters, and virtual office hours, these </w:t>
      </w:r>
      <w:proofErr w:type="gramStart"/>
      <w:r w:rsidRPr="006A6871">
        <w:rPr>
          <w:rFonts w:ascii="Times New Roman" w:hAnsi="Times New Roman" w:cs="Times New Roman"/>
          <w:sz w:val="24"/>
          <w:szCs w:val="24"/>
        </w:rPr>
        <w:t>programs maintained</w:t>
      </w:r>
      <w:proofErr w:type="gramEnd"/>
      <w:r w:rsidRPr="006A6871">
        <w:rPr>
          <w:rFonts w:ascii="Times New Roman" w:hAnsi="Times New Roman" w:cs="Times New Roman"/>
          <w:sz w:val="24"/>
          <w:szCs w:val="24"/>
        </w:rPr>
        <w:t xml:space="preserve"> continuity in delivering agricultural support. In addition, U.S. extension services collaborated with health agencies to disseminate COVID-19 safety guidelines, becoming a conduit for both agricultural and public health information (Davis et al., 2021).</w:t>
      </w:r>
      <w:r>
        <w:rPr>
          <w:rFonts w:ascii="Times New Roman" w:hAnsi="Times New Roman" w:cs="Times New Roman"/>
          <w:sz w:val="24"/>
          <w:szCs w:val="24"/>
        </w:rPr>
        <w:t xml:space="preserve"> </w:t>
      </w:r>
      <w:r w:rsidRPr="006A6871">
        <w:rPr>
          <w:rFonts w:ascii="Times New Roman" w:hAnsi="Times New Roman" w:cs="Times New Roman"/>
          <w:sz w:val="24"/>
          <w:szCs w:val="24"/>
        </w:rPr>
        <w:t>The U.S. case illustrates the importance of institutional infrastructure, digital readiness, and cross-sectoral coordination in maintaining extension services during crises.</w:t>
      </w:r>
    </w:p>
    <w:p w14:paraId="1DF717D6"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CGIAR and FAO: Global Digital Public Goods</w:t>
      </w:r>
    </w:p>
    <w:p w14:paraId="4CB10470" w14:textId="603D5007" w:rsid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International organizations such as the Consultative Group for International Agricultural Research (CGIAR) and the Food and Agriculture Organization (FAO) have played pivotal roles in fostering global best practices. FAO’s Digital Village Initiative aims to create digital ecosystems in rural areas by integrating e-agriculture, e-learning, and digital financial services. The initiative supports countries in building infrastructure and capacity to sustain digital extension models (FAO, 2022).</w:t>
      </w:r>
      <w:r>
        <w:rPr>
          <w:rFonts w:ascii="Times New Roman" w:hAnsi="Times New Roman" w:cs="Times New Roman"/>
          <w:sz w:val="24"/>
          <w:szCs w:val="24"/>
        </w:rPr>
        <w:t xml:space="preserve"> </w:t>
      </w:r>
      <w:r w:rsidRPr="006A6871">
        <w:rPr>
          <w:rFonts w:ascii="Times New Roman" w:hAnsi="Times New Roman" w:cs="Times New Roman"/>
          <w:sz w:val="24"/>
          <w:szCs w:val="24"/>
        </w:rPr>
        <w:t>CGIAR, through programs like Digital Agriculture Advisory Services (DAAS), is promoting open-source tools and digital public goods that enhance agricultural advisory systems. These include weather-based decision tools, digital pest surveillance systems, and interoperable data platforms that facilitate collaboration across stakeholders.</w:t>
      </w:r>
    </w:p>
    <w:p w14:paraId="21250A30" w14:textId="0A1A04E3" w:rsidR="003813E1" w:rsidRPr="003813E1" w:rsidRDefault="003813E1" w:rsidP="006A6871">
      <w:pPr>
        <w:spacing w:before="240" w:line="360" w:lineRule="auto"/>
        <w:jc w:val="both"/>
        <w:rPr>
          <w:rFonts w:ascii="Times New Roman" w:hAnsi="Times New Roman" w:cs="Times New Roman"/>
          <w:b/>
          <w:bCs/>
          <w:sz w:val="24"/>
          <w:szCs w:val="24"/>
        </w:rPr>
      </w:pPr>
      <w:r w:rsidRPr="003813E1">
        <w:rPr>
          <w:rFonts w:ascii="Times New Roman" w:hAnsi="Times New Roman" w:cs="Times New Roman"/>
          <w:b/>
          <w:bCs/>
          <w:sz w:val="24"/>
          <w:szCs w:val="24"/>
        </w:rPr>
        <w:t xml:space="preserve">Table 1: </w:t>
      </w:r>
      <w:r w:rsidR="009A6FA3" w:rsidRPr="009A6FA3">
        <w:rPr>
          <w:rFonts w:ascii="Times New Roman" w:hAnsi="Times New Roman" w:cs="Times New Roman"/>
          <w:b/>
          <w:bCs/>
          <w:sz w:val="24"/>
          <w:szCs w:val="24"/>
        </w:rPr>
        <w:t>Consolidated Summary of Best Practices in Agricultural Extension: Insights from Global Case Studies</w:t>
      </w:r>
    </w:p>
    <w:tbl>
      <w:tblPr>
        <w:tblStyle w:val="TableGrid"/>
        <w:tblW w:w="5000" w:type="pct"/>
        <w:tblLook w:val="04A0" w:firstRow="1" w:lastRow="0" w:firstColumn="1" w:lastColumn="0" w:noHBand="0" w:noVBand="1"/>
      </w:tblPr>
      <w:tblGrid>
        <w:gridCol w:w="2254"/>
        <w:gridCol w:w="2254"/>
        <w:gridCol w:w="2254"/>
        <w:gridCol w:w="2254"/>
      </w:tblGrid>
      <w:tr w:rsidR="00DF4EAF" w:rsidRPr="00DF4EAF" w14:paraId="62C2B8EF" w14:textId="77777777" w:rsidTr="003B5FAF">
        <w:tc>
          <w:tcPr>
            <w:tcW w:w="1250" w:type="pct"/>
          </w:tcPr>
          <w:p w14:paraId="2A716E79" w14:textId="77777777" w:rsidR="00DF4EAF" w:rsidRPr="00DF4EAF" w:rsidRDefault="00DF4EAF" w:rsidP="003B5FAF">
            <w:pPr>
              <w:spacing w:line="276" w:lineRule="auto"/>
              <w:rPr>
                <w:rFonts w:ascii="Times New Roman" w:hAnsi="Times New Roman" w:cs="Times New Roman"/>
                <w:b/>
                <w:bCs/>
                <w:sz w:val="24"/>
                <w:szCs w:val="24"/>
              </w:rPr>
            </w:pPr>
            <w:r w:rsidRPr="00DF4EAF">
              <w:rPr>
                <w:rFonts w:ascii="Times New Roman" w:hAnsi="Times New Roman" w:cs="Times New Roman"/>
                <w:b/>
                <w:bCs/>
                <w:sz w:val="24"/>
                <w:szCs w:val="24"/>
              </w:rPr>
              <w:lastRenderedPageBreak/>
              <w:t>Best Practice</w:t>
            </w:r>
          </w:p>
        </w:tc>
        <w:tc>
          <w:tcPr>
            <w:tcW w:w="1250" w:type="pct"/>
          </w:tcPr>
          <w:p w14:paraId="5CA7CFED" w14:textId="77777777" w:rsidR="00DF4EAF" w:rsidRPr="00DF4EAF" w:rsidRDefault="00DF4EAF" w:rsidP="003B5FAF">
            <w:pPr>
              <w:spacing w:line="276" w:lineRule="auto"/>
              <w:rPr>
                <w:rFonts w:ascii="Times New Roman" w:hAnsi="Times New Roman" w:cs="Times New Roman"/>
                <w:b/>
                <w:bCs/>
                <w:sz w:val="24"/>
                <w:szCs w:val="24"/>
              </w:rPr>
            </w:pPr>
            <w:r w:rsidRPr="00DF4EAF">
              <w:rPr>
                <w:rFonts w:ascii="Times New Roman" w:hAnsi="Times New Roman" w:cs="Times New Roman"/>
                <w:b/>
                <w:bCs/>
                <w:sz w:val="24"/>
                <w:szCs w:val="24"/>
              </w:rPr>
              <w:t>Description</w:t>
            </w:r>
          </w:p>
        </w:tc>
        <w:tc>
          <w:tcPr>
            <w:tcW w:w="1250" w:type="pct"/>
          </w:tcPr>
          <w:p w14:paraId="2CE0AB3D" w14:textId="77777777" w:rsidR="00DF4EAF" w:rsidRPr="00DF4EAF" w:rsidRDefault="00DF4EAF" w:rsidP="003B5FAF">
            <w:pPr>
              <w:spacing w:line="276" w:lineRule="auto"/>
              <w:rPr>
                <w:rFonts w:ascii="Times New Roman" w:hAnsi="Times New Roman" w:cs="Times New Roman"/>
                <w:b/>
                <w:bCs/>
                <w:sz w:val="24"/>
                <w:szCs w:val="24"/>
              </w:rPr>
            </w:pPr>
            <w:r w:rsidRPr="00DF4EAF">
              <w:rPr>
                <w:rFonts w:ascii="Times New Roman" w:hAnsi="Times New Roman" w:cs="Times New Roman"/>
                <w:b/>
                <w:bCs/>
                <w:sz w:val="24"/>
                <w:szCs w:val="24"/>
              </w:rPr>
              <w:t>Key Benefits</w:t>
            </w:r>
          </w:p>
        </w:tc>
        <w:tc>
          <w:tcPr>
            <w:tcW w:w="1250" w:type="pct"/>
          </w:tcPr>
          <w:p w14:paraId="42160B77" w14:textId="77777777" w:rsidR="00DF4EAF" w:rsidRPr="00DF4EAF" w:rsidRDefault="00DF4EAF" w:rsidP="003B5FAF">
            <w:pPr>
              <w:spacing w:line="276" w:lineRule="auto"/>
              <w:rPr>
                <w:rFonts w:ascii="Times New Roman" w:hAnsi="Times New Roman" w:cs="Times New Roman"/>
                <w:b/>
                <w:bCs/>
                <w:sz w:val="24"/>
                <w:szCs w:val="24"/>
              </w:rPr>
            </w:pPr>
            <w:r w:rsidRPr="00DF4EAF">
              <w:rPr>
                <w:rFonts w:ascii="Times New Roman" w:hAnsi="Times New Roman" w:cs="Times New Roman"/>
                <w:b/>
                <w:bCs/>
                <w:sz w:val="24"/>
                <w:szCs w:val="24"/>
              </w:rPr>
              <w:t>Examples</w:t>
            </w:r>
          </w:p>
        </w:tc>
      </w:tr>
      <w:tr w:rsidR="00DF4EAF" w:rsidRPr="00DF4EAF" w14:paraId="2794391B" w14:textId="77777777" w:rsidTr="003B5FAF">
        <w:tc>
          <w:tcPr>
            <w:tcW w:w="1250" w:type="pct"/>
          </w:tcPr>
          <w:p w14:paraId="633D8775"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Hybrid Extension Models</w:t>
            </w:r>
          </w:p>
        </w:tc>
        <w:tc>
          <w:tcPr>
            <w:tcW w:w="1250" w:type="pct"/>
          </w:tcPr>
          <w:p w14:paraId="4A827D27"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Combining digital tools (mobile apps, SMS, video calls) with traditional face-to-face methods such as field visits and demonstrations.</w:t>
            </w:r>
          </w:p>
        </w:tc>
        <w:tc>
          <w:tcPr>
            <w:tcW w:w="1250" w:type="pct"/>
          </w:tcPr>
          <w:p w14:paraId="0B081F5B"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Inclusive outreach, greater trust, personalized support</w:t>
            </w:r>
          </w:p>
        </w:tc>
        <w:tc>
          <w:tcPr>
            <w:tcW w:w="1250" w:type="pct"/>
          </w:tcPr>
          <w:p w14:paraId="51A7A5E6"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India’s KVKs and FPOs using WhatsApp plus field demonstrations; U.S. Land-Grant Universities offering webinars with physical consultations.</w:t>
            </w:r>
          </w:p>
        </w:tc>
      </w:tr>
      <w:tr w:rsidR="00DF4EAF" w:rsidRPr="00DF4EAF" w14:paraId="04C679E0" w14:textId="77777777" w:rsidTr="003B5FAF">
        <w:tc>
          <w:tcPr>
            <w:tcW w:w="1250" w:type="pct"/>
          </w:tcPr>
          <w:p w14:paraId="7C5F7E65"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Localized Content and Language</w:t>
            </w:r>
          </w:p>
        </w:tc>
        <w:tc>
          <w:tcPr>
            <w:tcW w:w="1250" w:type="pct"/>
          </w:tcPr>
          <w:p w14:paraId="7680F4BB"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Designing extension messages in local dialects using culturally appropriate visuals, formats, and examples.</w:t>
            </w:r>
          </w:p>
        </w:tc>
        <w:tc>
          <w:tcPr>
            <w:tcW w:w="1250" w:type="pct"/>
          </w:tcPr>
          <w:p w14:paraId="4C399681"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Higher comprehension, increased engagement, better adoption</w:t>
            </w:r>
          </w:p>
        </w:tc>
        <w:tc>
          <w:tcPr>
            <w:tcW w:w="1250" w:type="pct"/>
          </w:tcPr>
          <w:p w14:paraId="584FB458"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 xml:space="preserve">Kenya’s </w:t>
            </w:r>
            <w:proofErr w:type="spellStart"/>
            <w:r w:rsidRPr="00DF4EAF">
              <w:rPr>
                <w:rFonts w:ascii="Times New Roman" w:hAnsi="Times New Roman" w:cs="Times New Roman"/>
                <w:sz w:val="24"/>
                <w:szCs w:val="24"/>
              </w:rPr>
              <w:t>iShamba</w:t>
            </w:r>
            <w:proofErr w:type="spellEnd"/>
            <w:r w:rsidRPr="00DF4EAF">
              <w:rPr>
                <w:rFonts w:ascii="Times New Roman" w:hAnsi="Times New Roman" w:cs="Times New Roman"/>
                <w:sz w:val="24"/>
                <w:szCs w:val="24"/>
              </w:rPr>
              <w:t xml:space="preserve"> and India’s IVRS systems offer advisories in local languages; community radio in the Philippines provides native-language programming.</w:t>
            </w:r>
          </w:p>
        </w:tc>
      </w:tr>
      <w:tr w:rsidR="00DF4EAF" w:rsidRPr="00DF4EAF" w14:paraId="3BB5B594" w14:textId="77777777" w:rsidTr="003B5FAF">
        <w:tc>
          <w:tcPr>
            <w:tcW w:w="1250" w:type="pct"/>
          </w:tcPr>
          <w:p w14:paraId="4D3E3B0D"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Gender and Social Inclusion</w:t>
            </w:r>
          </w:p>
        </w:tc>
        <w:tc>
          <w:tcPr>
            <w:tcW w:w="1250" w:type="pct"/>
          </w:tcPr>
          <w:p w14:paraId="676C2FCC"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Tailoring programs for women, youth, and marginalized groups through targeted outreach and simplified digital interfaces.</w:t>
            </w:r>
          </w:p>
        </w:tc>
        <w:tc>
          <w:tcPr>
            <w:tcW w:w="1250" w:type="pct"/>
          </w:tcPr>
          <w:p w14:paraId="3C72894A"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Reduces inequality, empowers underserved farmers</w:t>
            </w:r>
          </w:p>
        </w:tc>
        <w:tc>
          <w:tcPr>
            <w:tcW w:w="1250" w:type="pct"/>
          </w:tcPr>
          <w:p w14:paraId="1109B01B"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 xml:space="preserve">Philippines' ATI training for women and youth; GSMA </w:t>
            </w:r>
            <w:proofErr w:type="spellStart"/>
            <w:r w:rsidRPr="00DF4EAF">
              <w:rPr>
                <w:rFonts w:ascii="Times New Roman" w:hAnsi="Times New Roman" w:cs="Times New Roman"/>
                <w:sz w:val="24"/>
                <w:szCs w:val="24"/>
              </w:rPr>
              <w:t>mAgri</w:t>
            </w:r>
            <w:proofErr w:type="spellEnd"/>
            <w:r w:rsidRPr="00DF4EAF">
              <w:rPr>
                <w:rFonts w:ascii="Times New Roman" w:hAnsi="Times New Roman" w:cs="Times New Roman"/>
                <w:sz w:val="24"/>
                <w:szCs w:val="24"/>
              </w:rPr>
              <w:t xml:space="preserve"> programs tailored for women; India's digital literacy workshops for rural women.</w:t>
            </w:r>
          </w:p>
        </w:tc>
      </w:tr>
      <w:tr w:rsidR="00DF4EAF" w:rsidRPr="00DF4EAF" w14:paraId="7F74CBCD" w14:textId="77777777" w:rsidTr="003B5FAF">
        <w:tc>
          <w:tcPr>
            <w:tcW w:w="1250" w:type="pct"/>
          </w:tcPr>
          <w:p w14:paraId="4503CA54"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Public-Private Partnerships</w:t>
            </w:r>
          </w:p>
        </w:tc>
        <w:tc>
          <w:tcPr>
            <w:tcW w:w="1250" w:type="pct"/>
          </w:tcPr>
          <w:p w14:paraId="3D75D102"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Collaborating across government, NGOs, startups, and agribusinesses for integrated services including input supply, digital platforms, and market linkages.</w:t>
            </w:r>
          </w:p>
        </w:tc>
        <w:tc>
          <w:tcPr>
            <w:tcW w:w="1250" w:type="pct"/>
          </w:tcPr>
          <w:p w14:paraId="6BE0010E"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Greater innovation, scalability, and cost-effectiveness</w:t>
            </w:r>
          </w:p>
        </w:tc>
        <w:tc>
          <w:tcPr>
            <w:tcW w:w="1250" w:type="pct"/>
          </w:tcPr>
          <w:p w14:paraId="0B95734B"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 xml:space="preserve">PAD’s work with Indian governments; </w:t>
            </w:r>
            <w:proofErr w:type="spellStart"/>
            <w:r w:rsidRPr="00DF4EAF">
              <w:rPr>
                <w:rFonts w:ascii="Times New Roman" w:hAnsi="Times New Roman" w:cs="Times New Roman"/>
                <w:sz w:val="24"/>
                <w:szCs w:val="24"/>
              </w:rPr>
              <w:t>Twiga</w:t>
            </w:r>
            <w:proofErr w:type="spellEnd"/>
            <w:r w:rsidRPr="00DF4EAF">
              <w:rPr>
                <w:rFonts w:ascii="Times New Roman" w:hAnsi="Times New Roman" w:cs="Times New Roman"/>
                <w:sz w:val="24"/>
                <w:szCs w:val="24"/>
              </w:rPr>
              <w:t xml:space="preserve"> Foods in Kenya linking farmers to markets; CGIAR and FAO digital agriculture tools deployed globally.</w:t>
            </w:r>
          </w:p>
        </w:tc>
      </w:tr>
      <w:tr w:rsidR="00DF4EAF" w:rsidRPr="00DF4EAF" w14:paraId="3DBA929B" w14:textId="77777777" w:rsidTr="003B5FAF">
        <w:tc>
          <w:tcPr>
            <w:tcW w:w="1250" w:type="pct"/>
          </w:tcPr>
          <w:p w14:paraId="3EBB6338"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Use of ICT and AI</w:t>
            </w:r>
          </w:p>
        </w:tc>
        <w:tc>
          <w:tcPr>
            <w:tcW w:w="1250" w:type="pct"/>
          </w:tcPr>
          <w:p w14:paraId="35DA3CFA"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Leveraging artificial intelligence, machine learning, mobile-based diagnostics, satellite data, and decision-</w:t>
            </w:r>
            <w:r w:rsidRPr="00DF4EAF">
              <w:rPr>
                <w:rFonts w:ascii="Times New Roman" w:hAnsi="Times New Roman" w:cs="Times New Roman"/>
                <w:sz w:val="24"/>
                <w:szCs w:val="24"/>
              </w:rPr>
              <w:lastRenderedPageBreak/>
              <w:t>support tools to deliver customized advisories.</w:t>
            </w:r>
          </w:p>
        </w:tc>
        <w:tc>
          <w:tcPr>
            <w:tcW w:w="1250" w:type="pct"/>
          </w:tcPr>
          <w:p w14:paraId="1062104D"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lastRenderedPageBreak/>
              <w:t>Enhances precision, timeliness, and productivity</w:t>
            </w:r>
          </w:p>
        </w:tc>
        <w:tc>
          <w:tcPr>
            <w:tcW w:w="1250" w:type="pct"/>
          </w:tcPr>
          <w:p w14:paraId="1D180668"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 xml:space="preserve">Microsoft’s AI Sowing App (India); </w:t>
            </w:r>
            <w:proofErr w:type="spellStart"/>
            <w:r w:rsidRPr="00DF4EAF">
              <w:rPr>
                <w:rFonts w:ascii="Times New Roman" w:hAnsi="Times New Roman" w:cs="Times New Roman"/>
                <w:sz w:val="24"/>
                <w:szCs w:val="24"/>
              </w:rPr>
              <w:t>PlantVillage</w:t>
            </w:r>
            <w:proofErr w:type="spellEnd"/>
            <w:r w:rsidRPr="00DF4EAF">
              <w:rPr>
                <w:rFonts w:ascii="Times New Roman" w:hAnsi="Times New Roman" w:cs="Times New Roman"/>
                <w:sz w:val="24"/>
                <w:szCs w:val="24"/>
              </w:rPr>
              <w:t xml:space="preserve"> Nuru (Kenya); </w:t>
            </w:r>
            <w:proofErr w:type="spellStart"/>
            <w:r w:rsidRPr="00DF4EAF">
              <w:rPr>
                <w:rFonts w:ascii="Times New Roman" w:hAnsi="Times New Roman" w:cs="Times New Roman"/>
                <w:sz w:val="24"/>
                <w:szCs w:val="24"/>
              </w:rPr>
              <w:t>CropIn</w:t>
            </w:r>
            <w:proofErr w:type="spellEnd"/>
            <w:r w:rsidRPr="00DF4EAF">
              <w:rPr>
                <w:rFonts w:ascii="Times New Roman" w:hAnsi="Times New Roman" w:cs="Times New Roman"/>
                <w:sz w:val="24"/>
                <w:szCs w:val="24"/>
              </w:rPr>
              <w:t xml:space="preserve"> and </w:t>
            </w:r>
            <w:proofErr w:type="spellStart"/>
            <w:r w:rsidRPr="00DF4EAF">
              <w:rPr>
                <w:rFonts w:ascii="Times New Roman" w:hAnsi="Times New Roman" w:cs="Times New Roman"/>
                <w:sz w:val="24"/>
                <w:szCs w:val="24"/>
              </w:rPr>
              <w:t>Plantix</w:t>
            </w:r>
            <w:proofErr w:type="spellEnd"/>
            <w:r w:rsidRPr="00DF4EAF">
              <w:rPr>
                <w:rFonts w:ascii="Times New Roman" w:hAnsi="Times New Roman" w:cs="Times New Roman"/>
                <w:sz w:val="24"/>
                <w:szCs w:val="24"/>
              </w:rPr>
              <w:t xml:space="preserve"> apps diagnosing plant </w:t>
            </w:r>
            <w:r w:rsidRPr="00DF4EAF">
              <w:rPr>
                <w:rFonts w:ascii="Times New Roman" w:hAnsi="Times New Roman" w:cs="Times New Roman"/>
                <w:sz w:val="24"/>
                <w:szCs w:val="24"/>
              </w:rPr>
              <w:lastRenderedPageBreak/>
              <w:t>diseases using AI and image recognition.</w:t>
            </w:r>
          </w:p>
        </w:tc>
      </w:tr>
      <w:tr w:rsidR="00DF4EAF" w:rsidRPr="00DF4EAF" w14:paraId="7D3D19D3" w14:textId="77777777" w:rsidTr="003B5FAF">
        <w:tc>
          <w:tcPr>
            <w:tcW w:w="1250" w:type="pct"/>
          </w:tcPr>
          <w:p w14:paraId="39972172"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lastRenderedPageBreak/>
              <w:t>Community Media and IVRS</w:t>
            </w:r>
          </w:p>
        </w:tc>
        <w:tc>
          <w:tcPr>
            <w:tcW w:w="1250" w:type="pct"/>
          </w:tcPr>
          <w:p w14:paraId="75EAE3C9"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Utilizing community radio, voice messaging, and IVRS to reach farmers with limited literacy or internet access.</w:t>
            </w:r>
          </w:p>
        </w:tc>
        <w:tc>
          <w:tcPr>
            <w:tcW w:w="1250" w:type="pct"/>
          </w:tcPr>
          <w:p w14:paraId="4F3179E6"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Inclusive access, low cost, broad coverage</w:t>
            </w:r>
          </w:p>
        </w:tc>
        <w:tc>
          <w:tcPr>
            <w:tcW w:w="1250" w:type="pct"/>
          </w:tcPr>
          <w:p w14:paraId="381E4B57"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Community radio in the Philippines; IVRS advisories in India and Africa; Digital Green’s voice-based messages for smallholders.</w:t>
            </w:r>
          </w:p>
        </w:tc>
      </w:tr>
      <w:tr w:rsidR="00DF4EAF" w:rsidRPr="00DF4EAF" w14:paraId="0D18D282" w14:textId="77777777" w:rsidTr="003B5FAF">
        <w:tc>
          <w:tcPr>
            <w:tcW w:w="1250" w:type="pct"/>
          </w:tcPr>
          <w:p w14:paraId="2C14AFF6"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Capacity Building</w:t>
            </w:r>
          </w:p>
        </w:tc>
        <w:tc>
          <w:tcPr>
            <w:tcW w:w="1250" w:type="pct"/>
          </w:tcPr>
          <w:p w14:paraId="30AF3108"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Continuous training of extension agents and farmers in digital literacy, content development, and data management for effective hybrid extension delivery.</w:t>
            </w:r>
          </w:p>
        </w:tc>
        <w:tc>
          <w:tcPr>
            <w:tcW w:w="1250" w:type="pct"/>
          </w:tcPr>
          <w:p w14:paraId="4BF8D061"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Strengthens human resources, improves service quality and uptake</w:t>
            </w:r>
          </w:p>
        </w:tc>
        <w:tc>
          <w:tcPr>
            <w:tcW w:w="1250" w:type="pct"/>
          </w:tcPr>
          <w:p w14:paraId="235EF63A"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Training by India's MANAGE, FAO e-learning platforms, U.S. extension staff workshops, ICT modules in agricultural university curricula globally.</w:t>
            </w:r>
          </w:p>
        </w:tc>
      </w:tr>
    </w:tbl>
    <w:p w14:paraId="009C44FB" w14:textId="638449A4" w:rsidR="006D0699" w:rsidRPr="006D0699" w:rsidRDefault="006A6871" w:rsidP="006D0699">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Global experiences in agricultural extension during and after the COVID-19 pandemic illustrate that resilience, adaptability, and innovation are central to sustainability. Countries that embraced hybrid models, localized digital tools, and strong institutional partnerships were better able to continue serving their farming communities. The lessons learned offer a blueprint for future-ready extension systems that are inclusive, technology-enabled, and responsive to local needs.</w:t>
      </w:r>
    </w:p>
    <w:p w14:paraId="060F05B6" w14:textId="2F2332AC" w:rsidR="006D0699" w:rsidRPr="00CB2DE4" w:rsidRDefault="000A4976"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6D0699" w:rsidRPr="00CB2DE4">
        <w:rPr>
          <w:rFonts w:ascii="Times New Roman" w:hAnsi="Times New Roman" w:cs="Times New Roman"/>
          <w:b/>
          <w:bCs/>
          <w:sz w:val="24"/>
          <w:szCs w:val="24"/>
        </w:rPr>
        <w:t>. Sustainability Framework for Future Extension Services</w:t>
      </w:r>
    </w:p>
    <w:p w14:paraId="069A3858" w14:textId="669519A9"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The COVID-19 pandemic exposed both the vulnerabilities and potential of agricultural extension systems globally. As the sector emerges from the crisis, a sustainable and resilient framework for extension services is essential. This framework must be adaptable to future shocks, inclusive of all farming communities, and embedded in collaborative ecosystems. The key pillars of a sustainable extension system include farmer-centric approaches, digital inclusivity, public-private partnerships, and enhanced resilience planning. These elements are interdependent and together offer a blueprint for transforming agricultural extension into a future-ready system.</w:t>
      </w:r>
    </w:p>
    <w:p w14:paraId="65704E2D" w14:textId="7C4333CD" w:rsidR="00CB2DE4" w:rsidRPr="00CB2DE4" w:rsidRDefault="000A4976" w:rsidP="00CB2DE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CB2DE4" w:rsidRPr="00CB2DE4">
        <w:rPr>
          <w:rFonts w:ascii="Times New Roman" w:hAnsi="Times New Roman" w:cs="Times New Roman"/>
          <w:b/>
          <w:bCs/>
          <w:sz w:val="24"/>
          <w:szCs w:val="24"/>
        </w:rPr>
        <w:t>.1 Farmer-Centric Approaches</w:t>
      </w:r>
    </w:p>
    <w:p w14:paraId="1BA7CC0D" w14:textId="7AB6E7EC"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lastRenderedPageBreak/>
        <w:t>The future of agricultural extension must prioritize farmers not only as recipients of information but as active participants in knowledge creation and dissemination. Traditional top-down models, where advice flows from institutions to farmers with minimal feedback, have shown limited effectiveness, particularly in addressing the diverse and localized challenges faced by smallholders (Anderson &amp; Feder, 2007). A farmer-centric model emphasizes participatory approaches such as farmer field schools (FFS), on-farm trials, innovation platforms, and feedback mechanisms.</w:t>
      </w:r>
    </w:p>
    <w:p w14:paraId="30931CFE" w14:textId="68165734"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Participatory extension ensures that advisory content is contextually relevant and empowers farmers to experiment, share local knowledge, and build peer networks. Studies have shown that farmer-led approaches improve adoption rates and foster long-term </w:t>
      </w:r>
      <w:proofErr w:type="spellStart"/>
      <w:r w:rsidRPr="00CB2DE4">
        <w:rPr>
          <w:rFonts w:ascii="Times New Roman" w:hAnsi="Times New Roman" w:cs="Times New Roman"/>
          <w:sz w:val="24"/>
          <w:szCs w:val="24"/>
        </w:rPr>
        <w:t>behavioral</w:t>
      </w:r>
      <w:proofErr w:type="spellEnd"/>
      <w:r w:rsidRPr="00CB2DE4">
        <w:rPr>
          <w:rFonts w:ascii="Times New Roman" w:hAnsi="Times New Roman" w:cs="Times New Roman"/>
          <w:sz w:val="24"/>
          <w:szCs w:val="24"/>
        </w:rPr>
        <w:t xml:space="preserve"> change (Davis et al., 2021). Feedback loops — through surveys, interactive voice response systems (IVRS), or community forums — can inform continuous improvement in extension design and delivery.</w:t>
      </w:r>
      <w:r>
        <w:rPr>
          <w:rFonts w:ascii="Times New Roman" w:hAnsi="Times New Roman" w:cs="Times New Roman"/>
          <w:sz w:val="24"/>
          <w:szCs w:val="24"/>
        </w:rPr>
        <w:t xml:space="preserve"> </w:t>
      </w:r>
      <w:r w:rsidRPr="00CB2DE4">
        <w:rPr>
          <w:rFonts w:ascii="Times New Roman" w:hAnsi="Times New Roman" w:cs="Times New Roman"/>
          <w:sz w:val="24"/>
          <w:szCs w:val="24"/>
        </w:rPr>
        <w:t>Moreover, recognizing the heterogeneity among farmers — including gender, caste, landholding size, and literacy — is essential. Tailoring interventions to meet the needs of marginalized groups, including women, youth, and indigenous communities, will make extension more equitable and effective (Meena et al., 2021).</w:t>
      </w:r>
    </w:p>
    <w:p w14:paraId="16CC1A89" w14:textId="30DCABF1" w:rsidR="00CB2DE4" w:rsidRPr="00CB2DE4" w:rsidRDefault="000A4976" w:rsidP="00CB2DE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CB2DE4" w:rsidRPr="00CB2DE4">
        <w:rPr>
          <w:rFonts w:ascii="Times New Roman" w:hAnsi="Times New Roman" w:cs="Times New Roman"/>
          <w:b/>
          <w:bCs/>
          <w:sz w:val="24"/>
          <w:szCs w:val="24"/>
        </w:rPr>
        <w:t>.2 Digitally Inclusive Infrastructure</w:t>
      </w:r>
    </w:p>
    <w:p w14:paraId="6B09AA24" w14:textId="0926E89F"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Digital technologies have revolutionized agricultural extension by improving outreach, reducing costs, and enabling real-time communication. However, digital inclusion remains a significant barrier, particularly in low-income and remote rural areas. A sustainable extension framework must ensure that digital innovations do not widen existing inequalities.</w:t>
      </w:r>
      <w:r>
        <w:rPr>
          <w:rFonts w:ascii="Times New Roman" w:hAnsi="Times New Roman" w:cs="Times New Roman"/>
          <w:sz w:val="24"/>
          <w:szCs w:val="24"/>
        </w:rPr>
        <w:t xml:space="preserve"> </w:t>
      </w:r>
      <w:r w:rsidRPr="00CB2DE4">
        <w:rPr>
          <w:rFonts w:ascii="Times New Roman" w:hAnsi="Times New Roman" w:cs="Times New Roman"/>
          <w:sz w:val="24"/>
          <w:szCs w:val="24"/>
        </w:rPr>
        <w:t>Digital inclusion involves three key dimensions: infrastructure, affordability, and literacy. First, governments and development partners must invest in reliable rural internet connectivity, electricity supply, and mobile network coverage. Without these basic enablers, the benefits of mobile apps, SMS services, and online platforms remain inaccessible to many farmers (FAO, 2022).</w:t>
      </w:r>
    </w:p>
    <w:p w14:paraId="35D4647F" w14:textId="4F62D4A3"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Second, affordability of digital devices and data plans must be addressed through subsidies, shared access points (e.g., community kiosks), or bundled services offered by cooperatives and farmer producer organizations (FPOs). Third, building digital literacy — not just functional skills but the ability to critically interpret digital information — is vital. Training programs for both farmers and extension agents should include modules on using smartphones, accessing </w:t>
      </w:r>
      <w:r w:rsidRPr="00CB2DE4">
        <w:rPr>
          <w:rFonts w:ascii="Times New Roman" w:hAnsi="Times New Roman" w:cs="Times New Roman"/>
          <w:sz w:val="24"/>
          <w:szCs w:val="24"/>
        </w:rPr>
        <w:lastRenderedPageBreak/>
        <w:t>digital content, and interacting with advisory platforms.</w:t>
      </w:r>
      <w:r>
        <w:rPr>
          <w:rFonts w:ascii="Times New Roman" w:hAnsi="Times New Roman" w:cs="Times New Roman"/>
          <w:sz w:val="24"/>
          <w:szCs w:val="24"/>
        </w:rPr>
        <w:t xml:space="preserve"> </w:t>
      </w:r>
      <w:r w:rsidRPr="00CB2DE4">
        <w:rPr>
          <w:rFonts w:ascii="Times New Roman" w:hAnsi="Times New Roman" w:cs="Times New Roman"/>
          <w:sz w:val="24"/>
          <w:szCs w:val="24"/>
        </w:rPr>
        <w:t>Inclusive digitalization also requires content to be developed in local languages, culturally appropriate formats, and user-friendly interfaces. Using low-tech solutions like IVRS, community radio, and voice-enabled apps can bridge the gap for farmers with limited literacy (World Bank, 2022).</w:t>
      </w:r>
    </w:p>
    <w:p w14:paraId="302032FB" w14:textId="673006B0" w:rsidR="00CB2DE4" w:rsidRPr="00CB2DE4" w:rsidRDefault="000A4976" w:rsidP="00CB2DE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CB2DE4" w:rsidRPr="00CB2DE4">
        <w:rPr>
          <w:rFonts w:ascii="Times New Roman" w:hAnsi="Times New Roman" w:cs="Times New Roman"/>
          <w:b/>
          <w:bCs/>
          <w:sz w:val="24"/>
          <w:szCs w:val="24"/>
        </w:rPr>
        <w:t>.3 Public-Private Synergy</w:t>
      </w:r>
    </w:p>
    <w:p w14:paraId="1277677C" w14:textId="3CA696FB"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Collaboration across public, private, and civil society actors is essential for sustaining extension services. The pandemic demonstrated the critical role that </w:t>
      </w:r>
      <w:proofErr w:type="spellStart"/>
      <w:r w:rsidRPr="00CB2DE4">
        <w:rPr>
          <w:rFonts w:ascii="Times New Roman" w:hAnsi="Times New Roman" w:cs="Times New Roman"/>
          <w:sz w:val="24"/>
          <w:szCs w:val="24"/>
        </w:rPr>
        <w:t>agri</w:t>
      </w:r>
      <w:proofErr w:type="spellEnd"/>
      <w:r w:rsidRPr="00CB2DE4">
        <w:rPr>
          <w:rFonts w:ascii="Times New Roman" w:hAnsi="Times New Roman" w:cs="Times New Roman"/>
          <w:sz w:val="24"/>
          <w:szCs w:val="24"/>
        </w:rPr>
        <w:t>-tech startups, non-governmental organizations (NGOs), and farmer groups can play in supporting government-led efforts. A sustainable model leverages the comparative strengths of different actors — research institutions bring scientific credibility, startups offer technological innovation, NGOs provide grassroots outreach, and agribusinesses contribute market access and logistics.</w:t>
      </w:r>
      <w:r>
        <w:rPr>
          <w:rFonts w:ascii="Times New Roman" w:hAnsi="Times New Roman" w:cs="Times New Roman"/>
          <w:sz w:val="24"/>
          <w:szCs w:val="24"/>
        </w:rPr>
        <w:t xml:space="preserve"> </w:t>
      </w:r>
      <w:r w:rsidRPr="00CB2DE4">
        <w:rPr>
          <w:rFonts w:ascii="Times New Roman" w:hAnsi="Times New Roman" w:cs="Times New Roman"/>
          <w:sz w:val="24"/>
          <w:szCs w:val="24"/>
        </w:rPr>
        <w:t>Public-private partnerships (PPP) can take various forms: co-development of digital platforms, shared delivery of training programs, bundled service provision (e.g., input supply plus advisory), and market linkage facilitation. For instance, organizations like Digital Green, Precision Agriculture for Development (PAD), and e-</w:t>
      </w:r>
      <w:proofErr w:type="spellStart"/>
      <w:r w:rsidRPr="00CB2DE4">
        <w:rPr>
          <w:rFonts w:ascii="Times New Roman" w:hAnsi="Times New Roman" w:cs="Times New Roman"/>
          <w:sz w:val="24"/>
          <w:szCs w:val="24"/>
        </w:rPr>
        <w:t>Choupal</w:t>
      </w:r>
      <w:proofErr w:type="spellEnd"/>
      <w:r w:rsidRPr="00CB2DE4">
        <w:rPr>
          <w:rFonts w:ascii="Times New Roman" w:hAnsi="Times New Roman" w:cs="Times New Roman"/>
          <w:sz w:val="24"/>
          <w:szCs w:val="24"/>
        </w:rPr>
        <w:t xml:space="preserve"> in India have demonstrated how PPPs can scale extension services while maintaining relevance and quality (Singh et al., 2022).</w:t>
      </w:r>
      <w:r>
        <w:rPr>
          <w:rFonts w:ascii="Times New Roman" w:hAnsi="Times New Roman" w:cs="Times New Roman"/>
          <w:sz w:val="24"/>
          <w:szCs w:val="24"/>
        </w:rPr>
        <w:t xml:space="preserve"> </w:t>
      </w:r>
      <w:r w:rsidRPr="00CB2DE4">
        <w:rPr>
          <w:rFonts w:ascii="Times New Roman" w:hAnsi="Times New Roman" w:cs="Times New Roman"/>
          <w:sz w:val="24"/>
          <w:szCs w:val="24"/>
        </w:rPr>
        <w:t>To ensure accountability and alignment with farmer needs, PPP frameworks should be guided by clear governance structures, transparent data policies, and shared monitoring systems. Governments must play a regulatory and enabling role — providing incentives for private actors, safeguarding farmers’ data rights, and promoting open standards and interoperability.</w:t>
      </w:r>
    </w:p>
    <w:p w14:paraId="09C9BC11" w14:textId="41A0A552" w:rsidR="00CB2DE4" w:rsidRPr="00CB2DE4" w:rsidRDefault="000A4976" w:rsidP="00CB2DE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CB2DE4" w:rsidRPr="00CB2DE4">
        <w:rPr>
          <w:rFonts w:ascii="Times New Roman" w:hAnsi="Times New Roman" w:cs="Times New Roman"/>
          <w:b/>
          <w:bCs/>
          <w:sz w:val="24"/>
          <w:szCs w:val="24"/>
        </w:rPr>
        <w:t>.4 Enhancing System Resilience</w:t>
      </w:r>
    </w:p>
    <w:p w14:paraId="7C9AB129" w14:textId="6FD43A0C"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The COVID-19 crisis underscored the importance of building resilience into agricultural extension systems. Future threats — including climate change, pandemics, geopolitical conflicts, and economic shocks — are likely to disrupt food systems and require agile responses.</w:t>
      </w:r>
      <w:r>
        <w:rPr>
          <w:rFonts w:ascii="Times New Roman" w:hAnsi="Times New Roman" w:cs="Times New Roman"/>
          <w:sz w:val="24"/>
          <w:szCs w:val="24"/>
        </w:rPr>
        <w:t xml:space="preserve"> </w:t>
      </w:r>
      <w:r w:rsidRPr="00CB2DE4">
        <w:rPr>
          <w:rFonts w:ascii="Times New Roman" w:hAnsi="Times New Roman" w:cs="Times New Roman"/>
          <w:sz w:val="24"/>
          <w:szCs w:val="24"/>
        </w:rPr>
        <w:t>A resilient extension framework should include contingency planning, decentralization of services, and multi-hazard early warning systems. For example, mobile advisories can be rapidly reprogrammed to deliver emergency information during floods, pest outbreaks, or lockdowns. Training extension agents in crisis communication, disaster risk reduction, and mental health first aid can enhance preparedness at the local level.</w:t>
      </w:r>
    </w:p>
    <w:p w14:paraId="425210A6" w14:textId="0C58882F"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Decentralized extension models — anchored in farmer organizations, cooperatives, or community-based facilitators </w:t>
      </w:r>
      <w:r w:rsidR="004E602E">
        <w:rPr>
          <w:rFonts w:ascii="Times New Roman" w:hAnsi="Times New Roman" w:cs="Times New Roman"/>
          <w:sz w:val="24"/>
          <w:szCs w:val="24"/>
        </w:rPr>
        <w:t>-</w:t>
      </w:r>
      <w:r w:rsidRPr="00CB2DE4">
        <w:rPr>
          <w:rFonts w:ascii="Times New Roman" w:hAnsi="Times New Roman" w:cs="Times New Roman"/>
          <w:sz w:val="24"/>
          <w:szCs w:val="24"/>
        </w:rPr>
        <w:t xml:space="preserve"> can maintain continuity when centralized institutions are </w:t>
      </w:r>
      <w:r w:rsidRPr="00CB2DE4">
        <w:rPr>
          <w:rFonts w:ascii="Times New Roman" w:hAnsi="Times New Roman" w:cs="Times New Roman"/>
          <w:sz w:val="24"/>
          <w:szCs w:val="24"/>
        </w:rPr>
        <w:lastRenderedPageBreak/>
        <w:t>strained. These models also enhance social capital and local accountability (Davis et al., 2021). Moreover, resilience can be reinforced by integrating climate-smart agriculture (CSA) practices into extension curricula, encouraging diversification of crops and income sources, and promoting sustainable resource management.</w:t>
      </w:r>
      <w:r>
        <w:rPr>
          <w:rFonts w:ascii="Times New Roman" w:hAnsi="Times New Roman" w:cs="Times New Roman"/>
          <w:sz w:val="24"/>
          <w:szCs w:val="24"/>
        </w:rPr>
        <w:t xml:space="preserve"> </w:t>
      </w:r>
      <w:r w:rsidRPr="00CB2DE4">
        <w:rPr>
          <w:rFonts w:ascii="Times New Roman" w:hAnsi="Times New Roman" w:cs="Times New Roman"/>
          <w:sz w:val="24"/>
          <w:szCs w:val="24"/>
        </w:rPr>
        <w:t xml:space="preserve">Global institutions such as FAO and CGIAR advocate for systems thinking in extension </w:t>
      </w:r>
      <w:r w:rsidR="004E602E">
        <w:rPr>
          <w:rFonts w:ascii="Times New Roman" w:hAnsi="Times New Roman" w:cs="Times New Roman"/>
          <w:sz w:val="24"/>
          <w:szCs w:val="24"/>
        </w:rPr>
        <w:t>-</w:t>
      </w:r>
      <w:r w:rsidRPr="00CB2DE4">
        <w:rPr>
          <w:rFonts w:ascii="Times New Roman" w:hAnsi="Times New Roman" w:cs="Times New Roman"/>
          <w:sz w:val="24"/>
          <w:szCs w:val="24"/>
        </w:rPr>
        <w:t xml:space="preserve"> understanding that resilience requires coordination across sectors including health, education, environment, and finance. Extension should thus be part of broader rural development strategies and national adaptation plans.</w:t>
      </w:r>
    </w:p>
    <w:p w14:paraId="1C8894C2" w14:textId="6F63375A" w:rsid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Designing a sustainability framework for future agricultural extension services requires a holistic, inclusive, and dynamic approach. Placing farmers at the </w:t>
      </w:r>
      <w:proofErr w:type="spellStart"/>
      <w:r w:rsidRPr="00CB2DE4">
        <w:rPr>
          <w:rFonts w:ascii="Times New Roman" w:hAnsi="Times New Roman" w:cs="Times New Roman"/>
          <w:sz w:val="24"/>
          <w:szCs w:val="24"/>
        </w:rPr>
        <w:t>center</w:t>
      </w:r>
      <w:proofErr w:type="spellEnd"/>
      <w:r w:rsidRPr="00CB2DE4">
        <w:rPr>
          <w:rFonts w:ascii="Times New Roman" w:hAnsi="Times New Roman" w:cs="Times New Roman"/>
          <w:sz w:val="24"/>
          <w:szCs w:val="24"/>
        </w:rPr>
        <w:t xml:space="preserve"> of the system ensures relevance and ownership. Bridging digital divides through targeted infrastructure and capacity building prevents marginalization in the digital age. Cross-sector collaboration enables innovation, resource pooling, and efficiency, while resilience planning prepares systems to withstand future disruptions.</w:t>
      </w:r>
      <w:r>
        <w:rPr>
          <w:rFonts w:ascii="Times New Roman" w:hAnsi="Times New Roman" w:cs="Times New Roman"/>
          <w:sz w:val="24"/>
          <w:szCs w:val="24"/>
        </w:rPr>
        <w:t xml:space="preserve"> </w:t>
      </w:r>
      <w:r w:rsidRPr="00CB2DE4">
        <w:rPr>
          <w:rFonts w:ascii="Times New Roman" w:hAnsi="Times New Roman" w:cs="Times New Roman"/>
          <w:sz w:val="24"/>
          <w:szCs w:val="24"/>
        </w:rPr>
        <w:t>Such a framework not only supports food security and rural livelihoods but also strengthens the overall agricultural ecosystem. As countries invest in post-pandemic recovery and digital transformation, embedding these principles into extension policies and programs will be critical for sustainable agricultural development.</w:t>
      </w:r>
    </w:p>
    <w:p w14:paraId="2A0EF373" w14:textId="389E3A74" w:rsidR="00D03EC9" w:rsidRPr="00D03EC9" w:rsidRDefault="00D03EC9" w:rsidP="00CB2DE4">
      <w:pPr>
        <w:spacing w:before="240" w:line="360" w:lineRule="auto"/>
        <w:jc w:val="both"/>
        <w:rPr>
          <w:rFonts w:ascii="Times New Roman" w:hAnsi="Times New Roman" w:cs="Times New Roman"/>
          <w:b/>
          <w:bCs/>
          <w:sz w:val="24"/>
          <w:szCs w:val="24"/>
        </w:rPr>
      </w:pPr>
      <w:r w:rsidRPr="00D03EC9">
        <w:rPr>
          <w:rFonts w:ascii="Times New Roman" w:hAnsi="Times New Roman" w:cs="Times New Roman"/>
          <w:b/>
          <w:bCs/>
          <w:sz w:val="24"/>
          <w:szCs w:val="24"/>
        </w:rPr>
        <w:t>Table 2: Strategic Enablers for Building Resilient and Scalable Post-Pandemic Agricultural Extension Systems</w:t>
      </w:r>
    </w:p>
    <w:tbl>
      <w:tblPr>
        <w:tblStyle w:val="TableGrid"/>
        <w:tblW w:w="5000" w:type="pct"/>
        <w:tblLook w:val="04A0" w:firstRow="1" w:lastRow="0" w:firstColumn="1" w:lastColumn="0" w:noHBand="0" w:noVBand="1"/>
      </w:tblPr>
      <w:tblGrid>
        <w:gridCol w:w="1838"/>
        <w:gridCol w:w="2553"/>
        <w:gridCol w:w="2371"/>
        <w:gridCol w:w="2254"/>
      </w:tblGrid>
      <w:tr w:rsidR="00A6292F" w:rsidRPr="00A6292F" w14:paraId="59DE55AB" w14:textId="77777777" w:rsidTr="003B5FAF">
        <w:tc>
          <w:tcPr>
            <w:tcW w:w="1019" w:type="pct"/>
          </w:tcPr>
          <w:p w14:paraId="0189BB89" w14:textId="77777777" w:rsidR="00A6292F" w:rsidRPr="00A6292F" w:rsidRDefault="00A6292F" w:rsidP="003B5FAF">
            <w:pPr>
              <w:spacing w:line="276" w:lineRule="auto"/>
              <w:rPr>
                <w:rFonts w:ascii="Times New Roman" w:hAnsi="Times New Roman" w:cs="Times New Roman"/>
                <w:b/>
                <w:bCs/>
                <w:sz w:val="24"/>
                <w:szCs w:val="24"/>
              </w:rPr>
            </w:pPr>
            <w:r w:rsidRPr="00A6292F">
              <w:rPr>
                <w:rFonts w:ascii="Times New Roman" w:hAnsi="Times New Roman" w:cs="Times New Roman"/>
                <w:b/>
                <w:bCs/>
                <w:sz w:val="24"/>
                <w:szCs w:val="24"/>
              </w:rPr>
              <w:t>Strategic Enabler</w:t>
            </w:r>
          </w:p>
        </w:tc>
        <w:tc>
          <w:tcPr>
            <w:tcW w:w="1416" w:type="pct"/>
          </w:tcPr>
          <w:p w14:paraId="1BEC3124" w14:textId="77777777" w:rsidR="00A6292F" w:rsidRPr="00A6292F" w:rsidRDefault="00A6292F" w:rsidP="003B5FAF">
            <w:pPr>
              <w:spacing w:line="276" w:lineRule="auto"/>
              <w:rPr>
                <w:rFonts w:ascii="Times New Roman" w:hAnsi="Times New Roman" w:cs="Times New Roman"/>
                <w:b/>
                <w:bCs/>
                <w:sz w:val="24"/>
                <w:szCs w:val="24"/>
              </w:rPr>
            </w:pPr>
            <w:r w:rsidRPr="00A6292F">
              <w:rPr>
                <w:rFonts w:ascii="Times New Roman" w:hAnsi="Times New Roman" w:cs="Times New Roman"/>
                <w:b/>
                <w:bCs/>
                <w:sz w:val="24"/>
                <w:szCs w:val="24"/>
              </w:rPr>
              <w:t>Function in Extension Transformation</w:t>
            </w:r>
          </w:p>
        </w:tc>
        <w:tc>
          <w:tcPr>
            <w:tcW w:w="1315" w:type="pct"/>
          </w:tcPr>
          <w:p w14:paraId="4F25F8A9" w14:textId="77777777" w:rsidR="00A6292F" w:rsidRPr="00A6292F" w:rsidRDefault="00A6292F" w:rsidP="003B5FAF">
            <w:pPr>
              <w:spacing w:line="276" w:lineRule="auto"/>
              <w:rPr>
                <w:rFonts w:ascii="Times New Roman" w:hAnsi="Times New Roman" w:cs="Times New Roman"/>
                <w:b/>
                <w:bCs/>
                <w:sz w:val="24"/>
                <w:szCs w:val="24"/>
              </w:rPr>
            </w:pPr>
            <w:r w:rsidRPr="00A6292F">
              <w:rPr>
                <w:rFonts w:ascii="Times New Roman" w:hAnsi="Times New Roman" w:cs="Times New Roman"/>
                <w:b/>
                <w:bCs/>
                <w:sz w:val="24"/>
                <w:szCs w:val="24"/>
              </w:rPr>
              <w:t>System-Level Objective</w:t>
            </w:r>
          </w:p>
        </w:tc>
        <w:tc>
          <w:tcPr>
            <w:tcW w:w="1250" w:type="pct"/>
          </w:tcPr>
          <w:p w14:paraId="7EC154C7" w14:textId="77777777" w:rsidR="00A6292F" w:rsidRPr="00A6292F" w:rsidRDefault="00A6292F" w:rsidP="003B5FAF">
            <w:pPr>
              <w:spacing w:line="276" w:lineRule="auto"/>
              <w:rPr>
                <w:rFonts w:ascii="Times New Roman" w:hAnsi="Times New Roman" w:cs="Times New Roman"/>
                <w:b/>
                <w:bCs/>
                <w:sz w:val="24"/>
                <w:szCs w:val="24"/>
              </w:rPr>
            </w:pPr>
            <w:r w:rsidRPr="00A6292F">
              <w:rPr>
                <w:rFonts w:ascii="Times New Roman" w:hAnsi="Times New Roman" w:cs="Times New Roman"/>
                <w:b/>
                <w:bCs/>
                <w:sz w:val="24"/>
                <w:szCs w:val="24"/>
              </w:rPr>
              <w:t>Post-COVID Innovation Need</w:t>
            </w:r>
          </w:p>
        </w:tc>
      </w:tr>
      <w:tr w:rsidR="00A6292F" w:rsidRPr="00A6292F" w14:paraId="44A46C9C" w14:textId="77777777" w:rsidTr="003B5FAF">
        <w:tc>
          <w:tcPr>
            <w:tcW w:w="1019" w:type="pct"/>
          </w:tcPr>
          <w:p w14:paraId="4189793B"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Institutional Resilience</w:t>
            </w:r>
          </w:p>
        </w:tc>
        <w:tc>
          <w:tcPr>
            <w:tcW w:w="1416" w:type="pct"/>
          </w:tcPr>
          <w:p w14:paraId="51FCACC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Reorganizing extension structures to adapt to shocks and maintain service continuity</w:t>
            </w:r>
          </w:p>
        </w:tc>
        <w:tc>
          <w:tcPr>
            <w:tcW w:w="1315" w:type="pct"/>
          </w:tcPr>
          <w:p w14:paraId="657DB1D9"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Ensure uninterrupted delivery under crisis conditions</w:t>
            </w:r>
          </w:p>
        </w:tc>
        <w:tc>
          <w:tcPr>
            <w:tcW w:w="1250" w:type="pct"/>
          </w:tcPr>
          <w:p w14:paraId="221CC453"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Develop decentralized, contingency-ready extension architecture</w:t>
            </w:r>
          </w:p>
        </w:tc>
      </w:tr>
      <w:tr w:rsidR="00A6292F" w:rsidRPr="00A6292F" w14:paraId="2868E8C0" w14:textId="77777777" w:rsidTr="003B5FAF">
        <w:tc>
          <w:tcPr>
            <w:tcW w:w="1019" w:type="pct"/>
          </w:tcPr>
          <w:p w14:paraId="72E768F2"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Digital Governance</w:t>
            </w:r>
          </w:p>
        </w:tc>
        <w:tc>
          <w:tcPr>
            <w:tcW w:w="1416" w:type="pct"/>
          </w:tcPr>
          <w:p w14:paraId="32B208AC"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Creating policy frameworks for data use, privacy, digital rights, and interoperability</w:t>
            </w:r>
          </w:p>
        </w:tc>
        <w:tc>
          <w:tcPr>
            <w:tcW w:w="1315" w:type="pct"/>
          </w:tcPr>
          <w:p w14:paraId="73037297"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Foster trust and coordination among public-private actors</w:t>
            </w:r>
          </w:p>
        </w:tc>
        <w:tc>
          <w:tcPr>
            <w:tcW w:w="1250" w:type="pct"/>
          </w:tcPr>
          <w:p w14:paraId="66500F54"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Build legal-regulatory frameworks for responsible digital extension</w:t>
            </w:r>
          </w:p>
        </w:tc>
      </w:tr>
      <w:tr w:rsidR="00A6292F" w:rsidRPr="00A6292F" w14:paraId="4D0A1584" w14:textId="77777777" w:rsidTr="003B5FAF">
        <w:tc>
          <w:tcPr>
            <w:tcW w:w="1019" w:type="pct"/>
          </w:tcPr>
          <w:p w14:paraId="5BB5E26B"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Agroecological Intelligence</w:t>
            </w:r>
          </w:p>
        </w:tc>
        <w:tc>
          <w:tcPr>
            <w:tcW w:w="1416" w:type="pct"/>
          </w:tcPr>
          <w:p w14:paraId="6BBC0673"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Using data analytics, AI, and GIS for </w:t>
            </w:r>
            <w:proofErr w:type="spellStart"/>
            <w:r w:rsidRPr="00A6292F">
              <w:rPr>
                <w:rFonts w:ascii="Times New Roman" w:hAnsi="Times New Roman" w:cs="Times New Roman"/>
                <w:sz w:val="24"/>
                <w:szCs w:val="24"/>
              </w:rPr>
              <w:t>agro</w:t>
            </w:r>
            <w:proofErr w:type="spellEnd"/>
            <w:r w:rsidRPr="00A6292F">
              <w:rPr>
                <w:rFonts w:ascii="Times New Roman" w:hAnsi="Times New Roman" w:cs="Times New Roman"/>
                <w:sz w:val="24"/>
                <w:szCs w:val="24"/>
              </w:rPr>
              <w:t>-climatic and risk-sensitive advisories</w:t>
            </w:r>
          </w:p>
        </w:tc>
        <w:tc>
          <w:tcPr>
            <w:tcW w:w="1315" w:type="pct"/>
          </w:tcPr>
          <w:p w14:paraId="275052F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Enhance precision, sustainability, and local relevance</w:t>
            </w:r>
          </w:p>
        </w:tc>
        <w:tc>
          <w:tcPr>
            <w:tcW w:w="1250" w:type="pct"/>
          </w:tcPr>
          <w:p w14:paraId="4F8C1B8F"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Integrate weather, soil, and remote-sensing data into tailored extension messages</w:t>
            </w:r>
          </w:p>
        </w:tc>
      </w:tr>
      <w:tr w:rsidR="00A6292F" w:rsidRPr="00A6292F" w14:paraId="10F0F49B" w14:textId="77777777" w:rsidTr="003B5FAF">
        <w:tc>
          <w:tcPr>
            <w:tcW w:w="1019" w:type="pct"/>
          </w:tcPr>
          <w:p w14:paraId="16E83742"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lastRenderedPageBreak/>
              <w:t>Multi-Stakeholder Ecosystem</w:t>
            </w:r>
          </w:p>
        </w:tc>
        <w:tc>
          <w:tcPr>
            <w:tcW w:w="1416" w:type="pct"/>
          </w:tcPr>
          <w:p w14:paraId="659C8B55"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Aligning efforts of research, academia, startups, NGOs, and FPOs</w:t>
            </w:r>
          </w:p>
        </w:tc>
        <w:tc>
          <w:tcPr>
            <w:tcW w:w="1315" w:type="pct"/>
          </w:tcPr>
          <w:p w14:paraId="419A2A19"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Expand reach, co-innovation, and scale</w:t>
            </w:r>
          </w:p>
        </w:tc>
        <w:tc>
          <w:tcPr>
            <w:tcW w:w="1250" w:type="pct"/>
          </w:tcPr>
          <w:p w14:paraId="524DE257"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Formalize innovation platforms and consortia for extension co-creation</w:t>
            </w:r>
          </w:p>
        </w:tc>
      </w:tr>
      <w:tr w:rsidR="00A6292F" w:rsidRPr="00A6292F" w14:paraId="5CEF7895" w14:textId="77777777" w:rsidTr="003B5FAF">
        <w:tc>
          <w:tcPr>
            <w:tcW w:w="1019" w:type="pct"/>
          </w:tcPr>
          <w:p w14:paraId="06E49F5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Financial Sustainability</w:t>
            </w:r>
          </w:p>
        </w:tc>
        <w:tc>
          <w:tcPr>
            <w:tcW w:w="1416" w:type="pct"/>
          </w:tcPr>
          <w:p w14:paraId="0BC1E649"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Securing long-term funding, blended finance, and private sector participation</w:t>
            </w:r>
          </w:p>
        </w:tc>
        <w:tc>
          <w:tcPr>
            <w:tcW w:w="1315" w:type="pct"/>
          </w:tcPr>
          <w:p w14:paraId="28AC46E7"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Maintain consistent investment in extension innovation</w:t>
            </w:r>
          </w:p>
        </w:tc>
        <w:tc>
          <w:tcPr>
            <w:tcW w:w="1250" w:type="pct"/>
          </w:tcPr>
          <w:p w14:paraId="7428D139"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Leverage </w:t>
            </w:r>
            <w:proofErr w:type="spellStart"/>
            <w:r w:rsidRPr="00A6292F">
              <w:rPr>
                <w:rFonts w:ascii="Times New Roman" w:hAnsi="Times New Roman" w:cs="Times New Roman"/>
                <w:sz w:val="24"/>
                <w:szCs w:val="24"/>
              </w:rPr>
              <w:t>agri</w:t>
            </w:r>
            <w:proofErr w:type="spellEnd"/>
            <w:r w:rsidRPr="00A6292F">
              <w:rPr>
                <w:rFonts w:ascii="Times New Roman" w:hAnsi="Times New Roman" w:cs="Times New Roman"/>
                <w:sz w:val="24"/>
                <w:szCs w:val="24"/>
              </w:rPr>
              <w:t>-tech investment, CSR, and green finance channels</w:t>
            </w:r>
          </w:p>
        </w:tc>
      </w:tr>
      <w:tr w:rsidR="00A6292F" w:rsidRPr="00A6292F" w14:paraId="78164DBD" w14:textId="77777777" w:rsidTr="003B5FAF">
        <w:tc>
          <w:tcPr>
            <w:tcW w:w="1019" w:type="pct"/>
          </w:tcPr>
          <w:p w14:paraId="69F1D626"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Human Capital Development</w:t>
            </w:r>
          </w:p>
        </w:tc>
        <w:tc>
          <w:tcPr>
            <w:tcW w:w="1416" w:type="pct"/>
          </w:tcPr>
          <w:p w14:paraId="7DB170D4"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Continuous upskilling of agents and youth involvement in digital agriculture</w:t>
            </w:r>
          </w:p>
        </w:tc>
        <w:tc>
          <w:tcPr>
            <w:tcW w:w="1315" w:type="pct"/>
          </w:tcPr>
          <w:p w14:paraId="1B426CF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Build a modern, tech-savvy extension workforce</w:t>
            </w:r>
          </w:p>
        </w:tc>
        <w:tc>
          <w:tcPr>
            <w:tcW w:w="1250" w:type="pct"/>
          </w:tcPr>
          <w:p w14:paraId="5E5B8551"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National digital </w:t>
            </w:r>
            <w:proofErr w:type="spellStart"/>
            <w:r w:rsidRPr="00A6292F">
              <w:rPr>
                <w:rFonts w:ascii="Times New Roman" w:hAnsi="Times New Roman" w:cs="Times New Roman"/>
                <w:sz w:val="24"/>
                <w:szCs w:val="24"/>
              </w:rPr>
              <w:t>agri</w:t>
            </w:r>
            <w:proofErr w:type="spellEnd"/>
            <w:r w:rsidRPr="00A6292F">
              <w:rPr>
                <w:rFonts w:ascii="Times New Roman" w:hAnsi="Times New Roman" w:cs="Times New Roman"/>
                <w:sz w:val="24"/>
                <w:szCs w:val="24"/>
              </w:rPr>
              <w:t>-extension capacity building missions</w:t>
            </w:r>
          </w:p>
        </w:tc>
      </w:tr>
      <w:tr w:rsidR="00A6292F" w:rsidRPr="00A6292F" w14:paraId="6A34D5D0" w14:textId="77777777" w:rsidTr="003B5FAF">
        <w:tc>
          <w:tcPr>
            <w:tcW w:w="1019" w:type="pct"/>
          </w:tcPr>
          <w:p w14:paraId="0AB13949" w14:textId="77777777" w:rsidR="00A6292F" w:rsidRPr="00A6292F" w:rsidRDefault="00A6292F" w:rsidP="003B5FAF">
            <w:pPr>
              <w:spacing w:line="276" w:lineRule="auto"/>
              <w:rPr>
                <w:rFonts w:ascii="Times New Roman" w:hAnsi="Times New Roman" w:cs="Times New Roman"/>
                <w:sz w:val="24"/>
                <w:szCs w:val="24"/>
              </w:rPr>
            </w:pPr>
            <w:proofErr w:type="spellStart"/>
            <w:r w:rsidRPr="00A6292F">
              <w:rPr>
                <w:rFonts w:ascii="Times New Roman" w:hAnsi="Times New Roman" w:cs="Times New Roman"/>
                <w:sz w:val="24"/>
                <w:szCs w:val="24"/>
              </w:rPr>
              <w:t>Behavioral</w:t>
            </w:r>
            <w:proofErr w:type="spellEnd"/>
            <w:r w:rsidRPr="00A6292F">
              <w:rPr>
                <w:rFonts w:ascii="Times New Roman" w:hAnsi="Times New Roman" w:cs="Times New Roman"/>
                <w:sz w:val="24"/>
                <w:szCs w:val="24"/>
              </w:rPr>
              <w:t xml:space="preserve"> Change Systems</w:t>
            </w:r>
          </w:p>
        </w:tc>
        <w:tc>
          <w:tcPr>
            <w:tcW w:w="1416" w:type="pct"/>
          </w:tcPr>
          <w:p w14:paraId="4BEF4F1B"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Designing </w:t>
            </w:r>
            <w:proofErr w:type="spellStart"/>
            <w:r w:rsidRPr="00A6292F">
              <w:rPr>
                <w:rFonts w:ascii="Times New Roman" w:hAnsi="Times New Roman" w:cs="Times New Roman"/>
                <w:sz w:val="24"/>
                <w:szCs w:val="24"/>
              </w:rPr>
              <w:t>behaviorally</w:t>
            </w:r>
            <w:proofErr w:type="spellEnd"/>
            <w:r w:rsidRPr="00A6292F">
              <w:rPr>
                <w:rFonts w:ascii="Times New Roman" w:hAnsi="Times New Roman" w:cs="Times New Roman"/>
                <w:sz w:val="24"/>
                <w:szCs w:val="24"/>
              </w:rPr>
              <w:t xml:space="preserve"> informed extension content and delivery</w:t>
            </w:r>
          </w:p>
        </w:tc>
        <w:tc>
          <w:tcPr>
            <w:tcW w:w="1315" w:type="pct"/>
          </w:tcPr>
          <w:p w14:paraId="36BA9161"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Promote technology adoption and resilient farming </w:t>
            </w:r>
            <w:proofErr w:type="spellStart"/>
            <w:r w:rsidRPr="00A6292F">
              <w:rPr>
                <w:rFonts w:ascii="Times New Roman" w:hAnsi="Times New Roman" w:cs="Times New Roman"/>
                <w:sz w:val="24"/>
                <w:szCs w:val="24"/>
              </w:rPr>
              <w:t>behaviors</w:t>
            </w:r>
            <w:proofErr w:type="spellEnd"/>
          </w:p>
        </w:tc>
        <w:tc>
          <w:tcPr>
            <w:tcW w:w="1250" w:type="pct"/>
          </w:tcPr>
          <w:p w14:paraId="2E681686"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Use nudges, gamification, and locally trusted influencers in communication</w:t>
            </w:r>
          </w:p>
        </w:tc>
      </w:tr>
      <w:tr w:rsidR="00A6292F" w:rsidRPr="00A6292F" w14:paraId="6469677B" w14:textId="77777777" w:rsidTr="003B5FAF">
        <w:tc>
          <w:tcPr>
            <w:tcW w:w="1019" w:type="pct"/>
          </w:tcPr>
          <w:p w14:paraId="07FB832D"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Monitoring Intelligence</w:t>
            </w:r>
          </w:p>
        </w:tc>
        <w:tc>
          <w:tcPr>
            <w:tcW w:w="1416" w:type="pct"/>
          </w:tcPr>
          <w:p w14:paraId="56E41D6D"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Data-driven, real-time M&amp;E integrated into extension systems</w:t>
            </w:r>
          </w:p>
        </w:tc>
        <w:tc>
          <w:tcPr>
            <w:tcW w:w="1315" w:type="pct"/>
          </w:tcPr>
          <w:p w14:paraId="0849D4C3"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Improve feedback loops, accountability, and impact visibility</w:t>
            </w:r>
          </w:p>
        </w:tc>
        <w:tc>
          <w:tcPr>
            <w:tcW w:w="1250" w:type="pct"/>
          </w:tcPr>
          <w:p w14:paraId="1374017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Use mobile dashboards, AI-powered analytics, and participatory M&amp;E tools</w:t>
            </w:r>
          </w:p>
        </w:tc>
      </w:tr>
    </w:tbl>
    <w:p w14:paraId="09BB31EF" w14:textId="628D542F" w:rsidR="006D0699" w:rsidRPr="004400D2" w:rsidRDefault="000A4976"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6D0699" w:rsidRPr="004400D2">
        <w:rPr>
          <w:rFonts w:ascii="Times New Roman" w:hAnsi="Times New Roman" w:cs="Times New Roman"/>
          <w:b/>
          <w:bCs/>
          <w:sz w:val="24"/>
          <w:szCs w:val="24"/>
        </w:rPr>
        <w:t>. Policy Implications and Recommendations</w:t>
      </w:r>
    </w:p>
    <w:p w14:paraId="7B7397E8" w14:textId="29A2ED9A"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The rapid transformation of agricultural extension services in response to the COVID-19 pandemic has highlighted both the potential and the limitations of existing systems. The crisis accelerated the adoption of digital tools, prompted collaboration among diverse stakeholders, and reinforced the critical importance of agricultural knowledge dissemination. However, to make these advances sustainable and equitable, robust policy support is essential. This section explores the key policy implications and provides comprehensive recommendations in four major areas: support for digital extension, capacity development, monitoring and evaluation, and localization of services.</w:t>
      </w:r>
    </w:p>
    <w:p w14:paraId="1C97AB53" w14:textId="49BE04DC" w:rsidR="004400D2" w:rsidRPr="004400D2" w:rsidRDefault="000A4976" w:rsidP="004400D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400D2" w:rsidRPr="004400D2">
        <w:rPr>
          <w:rFonts w:ascii="Times New Roman" w:hAnsi="Times New Roman" w:cs="Times New Roman"/>
          <w:b/>
          <w:bCs/>
          <w:sz w:val="24"/>
          <w:szCs w:val="24"/>
        </w:rPr>
        <w:t>.1 Policy Support for Digital Extension</w:t>
      </w:r>
    </w:p>
    <w:p w14:paraId="320FB4EC" w14:textId="748D043F"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 xml:space="preserve">Government policies play a pivotal role in shaping the future of digital agricultural extension. As digital platforms, mobile applications, and artificial intelligence tools increasingly become part of the extension landscape, policies must evolve to create enabling environments for </w:t>
      </w:r>
      <w:r w:rsidRPr="004400D2">
        <w:rPr>
          <w:rFonts w:ascii="Times New Roman" w:hAnsi="Times New Roman" w:cs="Times New Roman"/>
          <w:sz w:val="24"/>
          <w:szCs w:val="24"/>
        </w:rPr>
        <w:lastRenderedPageBreak/>
        <w:t>innovation and inclusivity. One of the foremost policy priorities is investment in rural digital infrastructure, including broadband internet, mobile connectivity, and electricity access. Without these foundational investments, digital extension cannot be scaled to reach the majority of smallholder farmers, especially in low- and middle-income countries (FAO, 2022).</w:t>
      </w:r>
      <w:r>
        <w:rPr>
          <w:rFonts w:ascii="Times New Roman" w:hAnsi="Times New Roman" w:cs="Times New Roman"/>
          <w:sz w:val="24"/>
          <w:szCs w:val="24"/>
        </w:rPr>
        <w:t xml:space="preserve"> </w:t>
      </w:r>
      <w:r w:rsidRPr="004400D2">
        <w:rPr>
          <w:rFonts w:ascii="Times New Roman" w:hAnsi="Times New Roman" w:cs="Times New Roman"/>
          <w:sz w:val="24"/>
          <w:szCs w:val="24"/>
        </w:rPr>
        <w:t xml:space="preserve">Policies should also incentivize public-private partnerships (PPPs) that harness the innovation capacity of </w:t>
      </w:r>
      <w:proofErr w:type="spellStart"/>
      <w:r w:rsidRPr="004400D2">
        <w:rPr>
          <w:rFonts w:ascii="Times New Roman" w:hAnsi="Times New Roman" w:cs="Times New Roman"/>
          <w:sz w:val="24"/>
          <w:szCs w:val="24"/>
        </w:rPr>
        <w:t>agri</w:t>
      </w:r>
      <w:proofErr w:type="spellEnd"/>
      <w:r w:rsidRPr="004400D2">
        <w:rPr>
          <w:rFonts w:ascii="Times New Roman" w:hAnsi="Times New Roman" w:cs="Times New Roman"/>
          <w:sz w:val="24"/>
          <w:szCs w:val="24"/>
        </w:rPr>
        <w:t>-tech startups, private firms, and research institutions. These partnerships can lead to the development of user-friendly digital tools, bundled service offerings (e.g., advisory plus market linkage), and scalable platforms. In India, the government’s Digital India and National e-Governance Plan in Agriculture (</w:t>
      </w:r>
      <w:proofErr w:type="spellStart"/>
      <w:r w:rsidRPr="004400D2">
        <w:rPr>
          <w:rFonts w:ascii="Times New Roman" w:hAnsi="Times New Roman" w:cs="Times New Roman"/>
          <w:sz w:val="24"/>
          <w:szCs w:val="24"/>
        </w:rPr>
        <w:t>NeGP</w:t>
      </w:r>
      <w:proofErr w:type="spellEnd"/>
      <w:r w:rsidRPr="004400D2">
        <w:rPr>
          <w:rFonts w:ascii="Times New Roman" w:hAnsi="Times New Roman" w:cs="Times New Roman"/>
          <w:sz w:val="24"/>
          <w:szCs w:val="24"/>
        </w:rPr>
        <w:t>-A) have laid the groundwork for digital transformation in agriculture by supporting ICT infrastructure and mobile-based services (Meena et al., 2021).</w:t>
      </w:r>
      <w:r>
        <w:rPr>
          <w:rFonts w:ascii="Times New Roman" w:hAnsi="Times New Roman" w:cs="Times New Roman"/>
          <w:sz w:val="24"/>
          <w:szCs w:val="24"/>
        </w:rPr>
        <w:t xml:space="preserve"> </w:t>
      </w:r>
      <w:r w:rsidRPr="004400D2">
        <w:rPr>
          <w:rFonts w:ascii="Times New Roman" w:hAnsi="Times New Roman" w:cs="Times New Roman"/>
          <w:sz w:val="24"/>
          <w:szCs w:val="24"/>
        </w:rPr>
        <w:t>Further, data governance policies must ensure that farmer data privacy, consent, and ownership are protected. Clear regulations should define how extension platforms collect, store, and use data, with mechanisms for redress and transparency. The promotion of open-source digital public goods — tools and platforms that can be adapted and used freely — can accelerate innovation and reduce duplication across states and countries (World Bank, 2022).</w:t>
      </w:r>
    </w:p>
    <w:p w14:paraId="1F9C87A5" w14:textId="73DD314B" w:rsidR="004400D2" w:rsidRPr="004400D2" w:rsidRDefault="000A4976" w:rsidP="004400D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400D2" w:rsidRPr="004400D2">
        <w:rPr>
          <w:rFonts w:ascii="Times New Roman" w:hAnsi="Times New Roman" w:cs="Times New Roman"/>
          <w:b/>
          <w:bCs/>
          <w:sz w:val="24"/>
          <w:szCs w:val="24"/>
        </w:rPr>
        <w:t>.2 Capacity Development</w:t>
      </w:r>
    </w:p>
    <w:p w14:paraId="08AD2DDC" w14:textId="24455506"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Digital transformation in extension services requires not only technological tools but also skilled human resources. Extension agents, who have traditionally focused on in-person advisory and field demonstrations, must now develop competencies in using digital platforms, producing multimedia content, facilitating virtual interactions, and managing data. This necessitates a systematic, ongoing policy commitment to professional development.</w:t>
      </w:r>
      <w:r>
        <w:rPr>
          <w:rFonts w:ascii="Times New Roman" w:hAnsi="Times New Roman" w:cs="Times New Roman"/>
          <w:sz w:val="24"/>
          <w:szCs w:val="24"/>
        </w:rPr>
        <w:t xml:space="preserve"> </w:t>
      </w:r>
      <w:r w:rsidRPr="004400D2">
        <w:rPr>
          <w:rFonts w:ascii="Times New Roman" w:hAnsi="Times New Roman" w:cs="Times New Roman"/>
          <w:sz w:val="24"/>
          <w:szCs w:val="24"/>
        </w:rPr>
        <w:t>Governments should mandate and fund regular training programs for extension workers, covering digital literacy, communication skills, participatory methods, gender sensitivity, and the use of artificial intelligence tools. These trainings should be modular, practical, and tailored to different levels of proficiency. For example, while some agents may need basic smartphone training, others may benefit from advanced data analytics or content creation workshops.</w:t>
      </w:r>
      <w:r>
        <w:rPr>
          <w:rFonts w:ascii="Times New Roman" w:hAnsi="Times New Roman" w:cs="Times New Roman"/>
          <w:sz w:val="24"/>
          <w:szCs w:val="24"/>
        </w:rPr>
        <w:t xml:space="preserve"> </w:t>
      </w:r>
      <w:r w:rsidRPr="004400D2">
        <w:rPr>
          <w:rFonts w:ascii="Times New Roman" w:hAnsi="Times New Roman" w:cs="Times New Roman"/>
          <w:sz w:val="24"/>
          <w:szCs w:val="24"/>
        </w:rPr>
        <w:t>Capacity development should also target institutional leadership. Senior officials in agricultural departments and research institutes must understand the strategic value of digital tools and allocate resources accordingly. Furthermore, partnerships with academic institutions, international organizations, and the private sector can provide technical expertise, training materials, and platforms for learning exchange (Davis et al., 2021).</w:t>
      </w:r>
      <w:r>
        <w:rPr>
          <w:rFonts w:ascii="Times New Roman" w:hAnsi="Times New Roman" w:cs="Times New Roman"/>
          <w:sz w:val="24"/>
          <w:szCs w:val="24"/>
        </w:rPr>
        <w:t xml:space="preserve"> </w:t>
      </w:r>
      <w:r w:rsidRPr="004400D2">
        <w:rPr>
          <w:rFonts w:ascii="Times New Roman" w:hAnsi="Times New Roman" w:cs="Times New Roman"/>
          <w:sz w:val="24"/>
          <w:szCs w:val="24"/>
        </w:rPr>
        <w:t xml:space="preserve">It is equally important to </w:t>
      </w:r>
      <w:r w:rsidRPr="004400D2">
        <w:rPr>
          <w:rFonts w:ascii="Times New Roman" w:hAnsi="Times New Roman" w:cs="Times New Roman"/>
          <w:sz w:val="24"/>
          <w:szCs w:val="24"/>
        </w:rPr>
        <w:lastRenderedPageBreak/>
        <w:t>build the digital capacity of farmers, particularly women, youth, and marginalized groups. Policies should support digital literacy programs, creation of digital hubs, and peer-led training models in rural areas. Incentives such as subsidized smartphones, free data packages, or rewards for digital engagement can accelerate adoption among low-resource farmers.</w:t>
      </w:r>
    </w:p>
    <w:p w14:paraId="76C4F45C" w14:textId="5DF5B06D" w:rsidR="004400D2" w:rsidRPr="004400D2" w:rsidRDefault="000A4976" w:rsidP="004400D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400D2" w:rsidRPr="004400D2">
        <w:rPr>
          <w:rFonts w:ascii="Times New Roman" w:hAnsi="Times New Roman" w:cs="Times New Roman"/>
          <w:b/>
          <w:bCs/>
          <w:sz w:val="24"/>
          <w:szCs w:val="24"/>
        </w:rPr>
        <w:t>.3 Monitoring and Evaluation</w:t>
      </w:r>
    </w:p>
    <w:p w14:paraId="27DCC2BF" w14:textId="24E1BF24"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 xml:space="preserve">A major gap in many extension systems is the lack of robust monitoring and evaluation (M&amp;E) mechanisms. Without reliable data on service reach, effectiveness, equity, and impact, policymakers cannot make informed decisions or justify investments. Therefore, a sustainability-oriented extension policy must prioritize the creation of strong M&amp;E </w:t>
      </w:r>
      <w:proofErr w:type="spellStart"/>
      <w:proofErr w:type="gramStart"/>
      <w:r w:rsidRPr="004400D2">
        <w:rPr>
          <w:rFonts w:ascii="Times New Roman" w:hAnsi="Times New Roman" w:cs="Times New Roman"/>
          <w:sz w:val="24"/>
          <w:szCs w:val="24"/>
        </w:rPr>
        <w:t>frameworks.These</w:t>
      </w:r>
      <w:proofErr w:type="spellEnd"/>
      <w:proofErr w:type="gramEnd"/>
      <w:r w:rsidRPr="004400D2">
        <w:rPr>
          <w:rFonts w:ascii="Times New Roman" w:hAnsi="Times New Roman" w:cs="Times New Roman"/>
          <w:sz w:val="24"/>
          <w:szCs w:val="24"/>
        </w:rPr>
        <w:t xml:space="preserve"> frameworks should include real-time data systems that track user engagement, feedback, and outcomes across different channels — digital, in-person, and hybrid. Dashboards and analytics tools can help visualize trends, identify underserved groups, and flag issues in service delivery. For instance, digital extension platforms can track message open rates, app usage patterns, and user satisfaction surveys to refine strategies.</w:t>
      </w:r>
      <w:r>
        <w:rPr>
          <w:rFonts w:ascii="Times New Roman" w:hAnsi="Times New Roman" w:cs="Times New Roman"/>
          <w:sz w:val="24"/>
          <w:szCs w:val="24"/>
        </w:rPr>
        <w:t xml:space="preserve"> </w:t>
      </w:r>
      <w:r w:rsidRPr="004400D2">
        <w:rPr>
          <w:rFonts w:ascii="Times New Roman" w:hAnsi="Times New Roman" w:cs="Times New Roman"/>
          <w:sz w:val="24"/>
          <w:szCs w:val="24"/>
        </w:rPr>
        <w:t>Extension M&amp;E should go beyond output indicators (e.g., number of messages sent) to include outcome and impact indicators, such as changes in farmer knowledge, productivity, resilience, or income. Participatory monitoring approaches that involve farmers in assessing extension services can provide richer insights and foster trust.</w:t>
      </w:r>
      <w:r>
        <w:rPr>
          <w:rFonts w:ascii="Times New Roman" w:hAnsi="Times New Roman" w:cs="Times New Roman"/>
          <w:sz w:val="24"/>
          <w:szCs w:val="24"/>
        </w:rPr>
        <w:t xml:space="preserve"> </w:t>
      </w:r>
      <w:r w:rsidRPr="004400D2">
        <w:rPr>
          <w:rFonts w:ascii="Times New Roman" w:hAnsi="Times New Roman" w:cs="Times New Roman"/>
          <w:sz w:val="24"/>
          <w:szCs w:val="24"/>
        </w:rPr>
        <w:t>At the policy level, governments should integrate extension M&amp;E into national agricultural data systems and align them with broader rural development goals. Regular public reporting and open data policies can promote accountability and stakeholder collaboration (FAO, 2021).</w:t>
      </w:r>
    </w:p>
    <w:p w14:paraId="5B27DCE5" w14:textId="44B96424" w:rsidR="004400D2" w:rsidRPr="004400D2" w:rsidRDefault="000A4976" w:rsidP="004400D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400D2" w:rsidRPr="004400D2">
        <w:rPr>
          <w:rFonts w:ascii="Times New Roman" w:hAnsi="Times New Roman" w:cs="Times New Roman"/>
          <w:b/>
          <w:bCs/>
          <w:sz w:val="24"/>
          <w:szCs w:val="24"/>
        </w:rPr>
        <w:t>.4 Localization of Services</w:t>
      </w:r>
    </w:p>
    <w:p w14:paraId="742C8252" w14:textId="3A3AB6B5"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 xml:space="preserve">The success of extension services hinges on their relevance to the local context. Agricultural practices vary widely by </w:t>
      </w:r>
      <w:proofErr w:type="spellStart"/>
      <w:r w:rsidRPr="004400D2">
        <w:rPr>
          <w:rFonts w:ascii="Times New Roman" w:hAnsi="Times New Roman" w:cs="Times New Roman"/>
          <w:sz w:val="24"/>
          <w:szCs w:val="24"/>
        </w:rPr>
        <w:t>agro</w:t>
      </w:r>
      <w:proofErr w:type="spellEnd"/>
      <w:r w:rsidRPr="004400D2">
        <w:rPr>
          <w:rFonts w:ascii="Times New Roman" w:hAnsi="Times New Roman" w:cs="Times New Roman"/>
          <w:sz w:val="24"/>
          <w:szCs w:val="24"/>
        </w:rPr>
        <w:t>-ecological zone, soil type, cropping pattern, socio-economic status, and cultural norms. Therefore, extension content must be localized to meet the specific needs and realities of target communities.</w:t>
      </w:r>
      <w:r>
        <w:rPr>
          <w:rFonts w:ascii="Times New Roman" w:hAnsi="Times New Roman" w:cs="Times New Roman"/>
          <w:sz w:val="24"/>
          <w:szCs w:val="24"/>
        </w:rPr>
        <w:t xml:space="preserve"> </w:t>
      </w:r>
      <w:r w:rsidRPr="004400D2">
        <w:rPr>
          <w:rFonts w:ascii="Times New Roman" w:hAnsi="Times New Roman" w:cs="Times New Roman"/>
          <w:sz w:val="24"/>
          <w:szCs w:val="24"/>
        </w:rPr>
        <w:t>Policies should mandate the development of region-specific content in local languages and dialects, using culturally appropriate visuals, metaphors, and communication styles. This is especially critical for engaging farmers with low literacy levels or unfamiliarity with mainstream media. Use of community radio, folk storytelling, and video tutorials in local languages can significantly enhance comprehension and retention.</w:t>
      </w:r>
      <w:r>
        <w:rPr>
          <w:rFonts w:ascii="Times New Roman" w:hAnsi="Times New Roman" w:cs="Times New Roman"/>
          <w:sz w:val="24"/>
          <w:szCs w:val="24"/>
        </w:rPr>
        <w:t xml:space="preserve"> </w:t>
      </w:r>
      <w:r w:rsidRPr="004400D2">
        <w:rPr>
          <w:rFonts w:ascii="Times New Roman" w:hAnsi="Times New Roman" w:cs="Times New Roman"/>
          <w:sz w:val="24"/>
          <w:szCs w:val="24"/>
        </w:rPr>
        <w:t xml:space="preserve">Localization also involves customizing advisory content based on real-time, location-specific </w:t>
      </w:r>
      <w:r w:rsidRPr="004400D2">
        <w:rPr>
          <w:rFonts w:ascii="Times New Roman" w:hAnsi="Times New Roman" w:cs="Times New Roman"/>
          <w:sz w:val="24"/>
          <w:szCs w:val="24"/>
        </w:rPr>
        <w:lastRenderedPageBreak/>
        <w:t>data, such as weather, pest outbreaks, and market prices. Integration of ICT tools like geographic information systems (GIS), satellite imagery, and AI-powered analytics can enable personalized and predictive recommendations.</w:t>
      </w:r>
      <w:r>
        <w:rPr>
          <w:rFonts w:ascii="Times New Roman" w:hAnsi="Times New Roman" w:cs="Times New Roman"/>
          <w:sz w:val="24"/>
          <w:szCs w:val="24"/>
        </w:rPr>
        <w:t xml:space="preserve"> </w:t>
      </w:r>
      <w:r w:rsidRPr="004400D2">
        <w:rPr>
          <w:rFonts w:ascii="Times New Roman" w:hAnsi="Times New Roman" w:cs="Times New Roman"/>
          <w:sz w:val="24"/>
          <w:szCs w:val="24"/>
        </w:rPr>
        <w:t xml:space="preserve">Extension delivery should also be decentralized, empowering district and village-level institutions to adapt content, select delivery channels, and respond to local feedback. For example, India's Krishi Vigyan </w:t>
      </w:r>
      <w:proofErr w:type="spellStart"/>
      <w:r w:rsidRPr="004400D2">
        <w:rPr>
          <w:rFonts w:ascii="Times New Roman" w:hAnsi="Times New Roman" w:cs="Times New Roman"/>
          <w:sz w:val="24"/>
          <w:szCs w:val="24"/>
        </w:rPr>
        <w:t>Kendras</w:t>
      </w:r>
      <w:proofErr w:type="spellEnd"/>
      <w:r w:rsidRPr="004400D2">
        <w:rPr>
          <w:rFonts w:ascii="Times New Roman" w:hAnsi="Times New Roman" w:cs="Times New Roman"/>
          <w:sz w:val="24"/>
          <w:szCs w:val="24"/>
        </w:rPr>
        <w:t xml:space="preserve"> (KVKs) and Farmer Producer Organizations (FPOs) can act as nodes for localized content development and dissemination (Singh et al., 2022).</w:t>
      </w:r>
      <w:r>
        <w:rPr>
          <w:rFonts w:ascii="Times New Roman" w:hAnsi="Times New Roman" w:cs="Times New Roman"/>
          <w:sz w:val="24"/>
          <w:szCs w:val="24"/>
        </w:rPr>
        <w:t xml:space="preserve"> </w:t>
      </w:r>
      <w:r w:rsidRPr="004400D2">
        <w:rPr>
          <w:rFonts w:ascii="Times New Roman" w:hAnsi="Times New Roman" w:cs="Times New Roman"/>
          <w:sz w:val="24"/>
          <w:szCs w:val="24"/>
        </w:rPr>
        <w:t>Moreover, policies should support inclusive localization by involving women, youth, indigenous leaders, and disabled farmers in content co-creation, feedback collection, and peer training. This ensures that extension reflects the diversity of farming communities and enhances ownership.</w:t>
      </w:r>
    </w:p>
    <w:p w14:paraId="7BC477B0" w14:textId="73FD3E4D" w:rsidR="006D0699" w:rsidRPr="006D0699" w:rsidRDefault="004400D2" w:rsidP="006D0699">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As agricultural extension services continue to evolve in the post-pandemic world, strong and forward-looking policies will be vital to sustain progress and ensure equity. Support for digital innovation, inclusive infrastructure, and public-private collaboration can drive transformation, but only if backed by skilled personnel, responsive monitoring systems, and culturally relevant content.</w:t>
      </w:r>
      <w:r>
        <w:rPr>
          <w:rFonts w:ascii="Times New Roman" w:hAnsi="Times New Roman" w:cs="Times New Roman"/>
          <w:sz w:val="24"/>
          <w:szCs w:val="24"/>
        </w:rPr>
        <w:t xml:space="preserve"> </w:t>
      </w:r>
      <w:r w:rsidRPr="004400D2">
        <w:rPr>
          <w:rFonts w:ascii="Times New Roman" w:hAnsi="Times New Roman" w:cs="Times New Roman"/>
          <w:sz w:val="24"/>
          <w:szCs w:val="24"/>
        </w:rPr>
        <w:t>Policymakers must recognize that extension is not just a technical function but a vehicle for empowerment, innovation, and rural development. A comprehensive policy framework that integrates digital inclusivity, capacity development, M&amp;E, and localization can help build resilient, future-ready extension systems capable of navigating global challenges and advancing sustainable agriculture.</w:t>
      </w:r>
    </w:p>
    <w:p w14:paraId="3B3096F2" w14:textId="3D761617" w:rsidR="006D0699" w:rsidRPr="003324EC" w:rsidRDefault="000A4976"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6D0699" w:rsidRPr="003324EC">
        <w:rPr>
          <w:rFonts w:ascii="Times New Roman" w:hAnsi="Times New Roman" w:cs="Times New Roman"/>
          <w:b/>
          <w:bCs/>
          <w:sz w:val="24"/>
          <w:szCs w:val="24"/>
        </w:rPr>
        <w:t>. Conclusion</w:t>
      </w:r>
    </w:p>
    <w:p w14:paraId="469FA1D5" w14:textId="1E39E38B" w:rsidR="005916B1" w:rsidRDefault="00D515D3" w:rsidP="006D0699">
      <w:pPr>
        <w:spacing w:before="240" w:line="360" w:lineRule="auto"/>
        <w:jc w:val="both"/>
        <w:rPr>
          <w:rFonts w:ascii="Times New Roman" w:hAnsi="Times New Roman" w:cs="Times New Roman"/>
          <w:sz w:val="24"/>
          <w:szCs w:val="24"/>
        </w:rPr>
      </w:pPr>
      <w:r w:rsidRPr="00D515D3">
        <w:rPr>
          <w:rFonts w:ascii="Times New Roman" w:hAnsi="Times New Roman" w:cs="Times New Roman"/>
          <w:sz w:val="24"/>
          <w:szCs w:val="24"/>
        </w:rPr>
        <w:t>The COVID-19 pandemic served as a stress test for agricultural extension systems, revealing both latent weaknesses and transformative potential. Traditional models, heavily reliant on face-to-face interactions and rigid bureaucratic structures, proved unsustainable in times of crisis. In response, many countries adopted hybrid and digital approaches, fostering innovation, speed, and adaptability. However, these advances were unevenly distributed due to infrastructural, socio-economic, and gender-based barriers. The transition to digital platforms exposed a stark digital divide, particularly among marginalized rural populations.</w:t>
      </w:r>
      <w:r>
        <w:rPr>
          <w:rFonts w:ascii="Times New Roman" w:hAnsi="Times New Roman" w:cs="Times New Roman"/>
          <w:sz w:val="24"/>
          <w:szCs w:val="24"/>
        </w:rPr>
        <w:t xml:space="preserve"> </w:t>
      </w:r>
      <w:r w:rsidRPr="00D515D3">
        <w:rPr>
          <w:rFonts w:ascii="Times New Roman" w:hAnsi="Times New Roman" w:cs="Times New Roman"/>
          <w:sz w:val="24"/>
          <w:szCs w:val="24"/>
        </w:rPr>
        <w:t xml:space="preserve">To build sustainable extension systems for the future, it is imperative to invest in inclusive digital infrastructure, continuous capacity development, robust monitoring systems, and localized service delivery. Public-private partnerships and community-based platforms must be institutionalized to ensure outreach, equity, and innovation. Policy frameworks should prioritize resilience, responsiveness, and farmer engagement. Extension systems must not only </w:t>
      </w:r>
      <w:r w:rsidRPr="00D515D3">
        <w:rPr>
          <w:rFonts w:ascii="Times New Roman" w:hAnsi="Times New Roman" w:cs="Times New Roman"/>
          <w:sz w:val="24"/>
          <w:szCs w:val="24"/>
        </w:rPr>
        <w:lastRenderedPageBreak/>
        <w:t>disseminate information but also empower farmers to co-create and adapt knowledge in real time. As food systems face climate change, market instability, and health crises, resilient extension services will be foundational to agricultural sustainability and rural development. This comprehensive analysis advocates for a proactive, inclusive, and technology-enabled extension ecosystem equipped to serve the diverse and evolving needs of farmers in a post-pandemic world.</w:t>
      </w:r>
    </w:p>
    <w:p w14:paraId="4D74C267" w14:textId="77777777" w:rsidR="00D515D3" w:rsidRPr="00D515D3" w:rsidRDefault="00D515D3" w:rsidP="00D515D3">
      <w:pPr>
        <w:spacing w:before="240" w:line="360" w:lineRule="auto"/>
        <w:jc w:val="both"/>
        <w:rPr>
          <w:rFonts w:ascii="Times New Roman" w:hAnsi="Times New Roman" w:cs="Times New Roman"/>
          <w:sz w:val="24"/>
          <w:szCs w:val="24"/>
        </w:rPr>
      </w:pPr>
      <w:r w:rsidRPr="00D515D3">
        <w:rPr>
          <w:rFonts w:ascii="Times New Roman" w:hAnsi="Times New Roman" w:cs="Times New Roman"/>
          <w:b/>
          <w:bCs/>
          <w:sz w:val="24"/>
          <w:szCs w:val="24"/>
        </w:rPr>
        <w:t>DISCLAIMER (ARTIFICIAL INTELLIGENCE)</w:t>
      </w:r>
    </w:p>
    <w:p w14:paraId="57B55405" w14:textId="1352B639" w:rsidR="00D515D3" w:rsidRDefault="00D515D3" w:rsidP="00D515D3">
      <w:pPr>
        <w:spacing w:before="240" w:line="360" w:lineRule="auto"/>
        <w:jc w:val="both"/>
        <w:rPr>
          <w:rFonts w:ascii="Times New Roman" w:hAnsi="Times New Roman" w:cs="Times New Roman"/>
          <w:sz w:val="24"/>
          <w:szCs w:val="24"/>
        </w:rPr>
      </w:pPr>
      <w:r w:rsidRPr="00D515D3">
        <w:rPr>
          <w:rFonts w:ascii="Times New Roman" w:hAnsi="Times New Roman" w:cs="Times New Roman"/>
          <w:sz w:val="24"/>
          <w:szCs w:val="24"/>
        </w:rPr>
        <w:t xml:space="preserve">Author(s) hereby </w:t>
      </w:r>
      <w:proofErr w:type="gramStart"/>
      <w:r w:rsidRPr="00D515D3">
        <w:rPr>
          <w:rFonts w:ascii="Times New Roman" w:hAnsi="Times New Roman" w:cs="Times New Roman"/>
          <w:sz w:val="24"/>
          <w:szCs w:val="24"/>
        </w:rPr>
        <w:t>declare</w:t>
      </w:r>
      <w:proofErr w:type="gramEnd"/>
      <w:r w:rsidRPr="00D515D3">
        <w:rPr>
          <w:rFonts w:ascii="Times New Roman" w:hAnsi="Times New Roman" w:cs="Times New Roman"/>
          <w:sz w:val="24"/>
          <w:szCs w:val="24"/>
        </w:rPr>
        <w:t xml:space="preserve"> that NO generative AI technologies such as Large Language Models (ChatGPT, COPILOT, etc) and text-to-image generators have been used during writing or editing of this manuscript.</w:t>
      </w:r>
    </w:p>
    <w:p w14:paraId="2967042A" w14:textId="77777777" w:rsidR="00270C78" w:rsidRDefault="00270C78" w:rsidP="00D515D3">
      <w:pPr>
        <w:spacing w:before="240" w:line="360" w:lineRule="auto"/>
        <w:jc w:val="both"/>
        <w:rPr>
          <w:rFonts w:ascii="Times New Roman" w:hAnsi="Times New Roman" w:cs="Times New Roman"/>
          <w:sz w:val="24"/>
          <w:szCs w:val="24"/>
        </w:rPr>
      </w:pPr>
    </w:p>
    <w:p w14:paraId="59C76A15" w14:textId="77777777" w:rsidR="00270C78" w:rsidRPr="00270C78" w:rsidRDefault="00270C78" w:rsidP="00270C78">
      <w:pPr>
        <w:spacing w:after="200" w:line="276" w:lineRule="auto"/>
        <w:jc w:val="both"/>
        <w:outlineLvl w:val="0"/>
        <w:rPr>
          <w:rFonts w:ascii="Arial" w:eastAsia="Times New Roman" w:hAnsi="Arial" w:cs="Arial"/>
          <w:kern w:val="0"/>
          <w:lang w:val="en-GB" w:eastAsia="en-GB"/>
          <w14:ligatures w14:val="none"/>
        </w:rPr>
      </w:pPr>
      <w:r w:rsidRPr="00270C78">
        <w:rPr>
          <w:rFonts w:ascii="Arial" w:eastAsia="Times New Roman" w:hAnsi="Arial" w:cs="Arial"/>
          <w:b/>
          <w:bCs/>
          <w:kern w:val="0"/>
          <w:lang w:val="en-GB" w:eastAsia="en-GB"/>
          <w14:ligatures w14:val="none"/>
        </w:rPr>
        <w:t>COMPETING INTERESTS DISCLAIMER:</w:t>
      </w:r>
    </w:p>
    <w:p w14:paraId="523D91F4" w14:textId="77777777" w:rsidR="00270C78" w:rsidRPr="00270C78" w:rsidRDefault="00270C78" w:rsidP="00270C78">
      <w:pPr>
        <w:spacing w:after="200" w:line="276" w:lineRule="auto"/>
        <w:rPr>
          <w:rFonts w:ascii="Calibri" w:eastAsia="Times New Roman" w:hAnsi="Calibri" w:cs="Times New Roman"/>
          <w:kern w:val="0"/>
          <w:lang w:val="en-GB" w:eastAsia="en-GB"/>
          <w14:ligatures w14:val="none"/>
        </w:rPr>
      </w:pPr>
      <w:r w:rsidRPr="00270C78">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1F150DD1" w14:textId="77777777" w:rsidR="00270C78" w:rsidRPr="00270C78" w:rsidRDefault="00270C78" w:rsidP="00270C78">
      <w:pPr>
        <w:spacing w:after="200" w:line="276" w:lineRule="auto"/>
        <w:rPr>
          <w:rFonts w:ascii="Calibri" w:eastAsia="Times New Roman" w:hAnsi="Calibri" w:cs="Times New Roman"/>
          <w:kern w:val="0"/>
          <w:lang w:val="en-GB" w:eastAsia="en-GB"/>
          <w14:ligatures w14:val="none"/>
        </w:rPr>
      </w:pPr>
    </w:p>
    <w:p w14:paraId="05BFCC0B" w14:textId="77777777" w:rsidR="00270C78" w:rsidRPr="00270C78" w:rsidRDefault="00270C78" w:rsidP="00270C78">
      <w:pPr>
        <w:spacing w:after="200" w:line="276" w:lineRule="auto"/>
        <w:rPr>
          <w:rFonts w:ascii="Calibri" w:eastAsia="Times New Roman" w:hAnsi="Calibri" w:cs="Times New Roman"/>
          <w:kern w:val="0"/>
          <w:lang w:val="en-GB" w:eastAsia="en-GB"/>
          <w14:ligatures w14:val="none"/>
        </w:rPr>
      </w:pPr>
    </w:p>
    <w:p w14:paraId="5408A960" w14:textId="77777777" w:rsidR="00270C78" w:rsidRDefault="00270C78" w:rsidP="00D515D3">
      <w:pPr>
        <w:spacing w:before="240" w:line="360" w:lineRule="auto"/>
        <w:jc w:val="both"/>
        <w:rPr>
          <w:rFonts w:ascii="Times New Roman" w:hAnsi="Times New Roman" w:cs="Times New Roman"/>
          <w:sz w:val="24"/>
          <w:szCs w:val="24"/>
        </w:rPr>
      </w:pPr>
    </w:p>
    <w:p w14:paraId="48386566" w14:textId="3D04957A" w:rsidR="00AF420E" w:rsidRPr="004E610C" w:rsidRDefault="009A1BD7" w:rsidP="00AF420E">
      <w:pPr>
        <w:spacing w:before="240" w:line="360" w:lineRule="auto"/>
        <w:jc w:val="both"/>
        <w:rPr>
          <w:rFonts w:ascii="Times New Roman" w:hAnsi="Times New Roman" w:cs="Times New Roman"/>
          <w:b/>
          <w:bCs/>
          <w:sz w:val="24"/>
          <w:szCs w:val="24"/>
        </w:rPr>
      </w:pPr>
      <w:r w:rsidRPr="009A1BD7">
        <w:rPr>
          <w:rFonts w:ascii="Times New Roman" w:hAnsi="Times New Roman" w:cs="Times New Roman"/>
          <w:b/>
          <w:bCs/>
          <w:sz w:val="24"/>
          <w:szCs w:val="24"/>
        </w:rPr>
        <w:t>References</w:t>
      </w:r>
    </w:p>
    <w:p w14:paraId="3696CEE0" w14:textId="77777777" w:rsidR="00AF420E" w:rsidRPr="00847877" w:rsidRDefault="00AF420E" w:rsidP="00AF420E">
      <w:pPr>
        <w:spacing w:line="360" w:lineRule="auto"/>
        <w:ind w:left="851" w:hanging="851"/>
        <w:jc w:val="both"/>
        <w:rPr>
          <w:rFonts w:ascii="Times New Roman" w:hAnsi="Times New Roman" w:cs="Times New Roman"/>
          <w:sz w:val="24"/>
          <w:szCs w:val="24"/>
        </w:rPr>
      </w:pPr>
      <w:proofErr w:type="spellStart"/>
      <w:r w:rsidRPr="00847877">
        <w:rPr>
          <w:rFonts w:ascii="Times New Roman" w:hAnsi="Times New Roman" w:cs="Times New Roman"/>
          <w:sz w:val="24"/>
          <w:szCs w:val="24"/>
        </w:rPr>
        <w:t>Agriwatch</w:t>
      </w:r>
      <w:proofErr w:type="spellEnd"/>
      <w:r w:rsidRPr="00847877">
        <w:rPr>
          <w:rFonts w:ascii="Times New Roman" w:hAnsi="Times New Roman" w:cs="Times New Roman"/>
          <w:sz w:val="24"/>
          <w:szCs w:val="24"/>
        </w:rPr>
        <w:t xml:space="preserve"> Philippines. (2021). </w:t>
      </w:r>
      <w:r w:rsidRPr="00847877">
        <w:rPr>
          <w:rFonts w:ascii="Times New Roman" w:hAnsi="Times New Roman" w:cs="Times New Roman"/>
          <w:i/>
          <w:iCs/>
          <w:sz w:val="24"/>
          <w:szCs w:val="24"/>
        </w:rPr>
        <w:t>Digital agriculture and e-extension in the Philippines</w:t>
      </w:r>
      <w:r w:rsidRPr="00847877">
        <w:rPr>
          <w:rFonts w:ascii="Times New Roman" w:hAnsi="Times New Roman" w:cs="Times New Roman"/>
          <w:sz w:val="24"/>
          <w:szCs w:val="24"/>
        </w:rPr>
        <w:t xml:space="preserve">. </w:t>
      </w:r>
      <w:hyperlink r:id="rId7" w:tgtFrame="_new" w:history="1">
        <w:r w:rsidRPr="00847877">
          <w:rPr>
            <w:rStyle w:val="Hyperlink"/>
            <w:rFonts w:ascii="Times New Roman" w:hAnsi="Times New Roman" w:cs="Times New Roman"/>
            <w:sz w:val="24"/>
            <w:szCs w:val="24"/>
          </w:rPr>
          <w:t>https://agriwatch.ph</w:t>
        </w:r>
      </w:hyperlink>
    </w:p>
    <w:p w14:paraId="528B3287" w14:textId="77777777" w:rsidR="00AF420E" w:rsidRPr="004E610C" w:rsidRDefault="00AF420E" w:rsidP="00AF420E">
      <w:pPr>
        <w:spacing w:line="360" w:lineRule="auto"/>
        <w:ind w:left="851" w:hanging="851"/>
        <w:jc w:val="both"/>
        <w:rPr>
          <w:rFonts w:ascii="Times New Roman" w:hAnsi="Times New Roman" w:cs="Times New Roman"/>
          <w:sz w:val="24"/>
          <w:szCs w:val="24"/>
        </w:rPr>
      </w:pPr>
      <w:r w:rsidRPr="004E610C">
        <w:rPr>
          <w:rFonts w:ascii="Times New Roman" w:hAnsi="Times New Roman" w:cs="Times New Roman"/>
          <w:sz w:val="24"/>
          <w:szCs w:val="24"/>
        </w:rPr>
        <w:t xml:space="preserve">Anderson, J. R., &amp; Feder, G. (2007). </w:t>
      </w:r>
      <w:r w:rsidRPr="004E610C">
        <w:rPr>
          <w:rFonts w:ascii="Times New Roman" w:hAnsi="Times New Roman" w:cs="Times New Roman"/>
          <w:i/>
          <w:iCs/>
          <w:sz w:val="24"/>
          <w:szCs w:val="24"/>
        </w:rPr>
        <w:t>Agricultural extension</w:t>
      </w:r>
      <w:r w:rsidRPr="004E610C">
        <w:rPr>
          <w:rFonts w:ascii="Times New Roman" w:hAnsi="Times New Roman" w:cs="Times New Roman"/>
          <w:sz w:val="24"/>
          <w:szCs w:val="24"/>
        </w:rPr>
        <w:t>. In R. Evenson &amp; P. Pingali (Eds.), Handbook of Agricultural Economics (Vol. 3, pp. 2343–2378). Elsevier. https://doi.org/10.1016/S1574-0072(06)03086-7</w:t>
      </w:r>
    </w:p>
    <w:p w14:paraId="411E4600" w14:textId="77777777" w:rsidR="00AF420E" w:rsidRDefault="00AF420E" w:rsidP="00AF420E">
      <w:pPr>
        <w:spacing w:line="360" w:lineRule="auto"/>
        <w:ind w:left="851" w:hanging="851"/>
        <w:jc w:val="both"/>
        <w:rPr>
          <w:rFonts w:ascii="Times New Roman" w:hAnsi="Times New Roman" w:cs="Times New Roman"/>
          <w:sz w:val="24"/>
          <w:szCs w:val="24"/>
        </w:rPr>
      </w:pPr>
      <w:r w:rsidRPr="00DC06EB">
        <w:rPr>
          <w:rFonts w:ascii="Times New Roman" w:hAnsi="Times New Roman" w:cs="Times New Roman"/>
          <w:sz w:val="24"/>
          <w:szCs w:val="24"/>
        </w:rPr>
        <w:t xml:space="preserve">Davis, K. (2008). </w:t>
      </w:r>
      <w:r w:rsidRPr="00DC06EB">
        <w:rPr>
          <w:rFonts w:ascii="Times New Roman" w:hAnsi="Times New Roman" w:cs="Times New Roman"/>
          <w:i/>
          <w:iCs/>
          <w:sz w:val="24"/>
          <w:szCs w:val="24"/>
        </w:rPr>
        <w:t>Extension in sub-Saharan Africa: Overview and assessment of past and current models, and future prospects</w:t>
      </w:r>
      <w:r w:rsidRPr="00DC06EB">
        <w:rPr>
          <w:rFonts w:ascii="Times New Roman" w:hAnsi="Times New Roman" w:cs="Times New Roman"/>
          <w:sz w:val="24"/>
          <w:szCs w:val="24"/>
        </w:rPr>
        <w:t xml:space="preserve">. Journal of International Agricultural and Extension Education, 15(3), 15–28. </w:t>
      </w:r>
      <w:hyperlink r:id="rId8" w:history="1">
        <w:r w:rsidRPr="00DC06EB">
          <w:rPr>
            <w:rStyle w:val="Hyperlink"/>
            <w:rFonts w:ascii="Times New Roman" w:hAnsi="Times New Roman" w:cs="Times New Roman"/>
            <w:sz w:val="24"/>
            <w:szCs w:val="24"/>
          </w:rPr>
          <w:t>https://doi.org/10.5191/jiaee.2008.15302</w:t>
        </w:r>
      </w:hyperlink>
      <w:r>
        <w:rPr>
          <w:rFonts w:ascii="Times New Roman" w:hAnsi="Times New Roman" w:cs="Times New Roman"/>
          <w:sz w:val="24"/>
          <w:szCs w:val="24"/>
        </w:rPr>
        <w:t>.</w:t>
      </w:r>
    </w:p>
    <w:p w14:paraId="4170497D" w14:textId="77777777" w:rsidR="00AF420E" w:rsidRPr="00DC06EB" w:rsidRDefault="00AF420E" w:rsidP="00AF420E">
      <w:pPr>
        <w:spacing w:line="360" w:lineRule="auto"/>
        <w:ind w:left="851" w:hanging="851"/>
        <w:jc w:val="both"/>
        <w:rPr>
          <w:rFonts w:ascii="Times New Roman" w:hAnsi="Times New Roman" w:cs="Times New Roman"/>
          <w:sz w:val="24"/>
          <w:szCs w:val="24"/>
        </w:rPr>
      </w:pPr>
      <w:r w:rsidRPr="00DC06EB">
        <w:rPr>
          <w:rFonts w:ascii="Times New Roman" w:hAnsi="Times New Roman" w:cs="Times New Roman"/>
          <w:sz w:val="24"/>
          <w:szCs w:val="24"/>
        </w:rPr>
        <w:lastRenderedPageBreak/>
        <w:t xml:space="preserve">Davis, K., Sulaiman, R. V., &amp; Babu, S. (2021). </w:t>
      </w:r>
      <w:r w:rsidRPr="00DC06EB">
        <w:rPr>
          <w:rFonts w:ascii="Times New Roman" w:hAnsi="Times New Roman" w:cs="Times New Roman"/>
          <w:i/>
          <w:iCs/>
          <w:sz w:val="24"/>
          <w:szCs w:val="24"/>
        </w:rPr>
        <w:t>COVID-19 and its impact on extension and advisory services globally: A rapid scoping review</w:t>
      </w:r>
      <w:r w:rsidRPr="00DC06EB">
        <w:rPr>
          <w:rFonts w:ascii="Times New Roman" w:hAnsi="Times New Roman" w:cs="Times New Roman"/>
          <w:sz w:val="24"/>
          <w:szCs w:val="24"/>
        </w:rPr>
        <w:t>. Journal of Agricultural Education and Extension, 27(5), 575–591. https://doi.org/10.1080/1389224X.2021.1951637</w:t>
      </w:r>
    </w:p>
    <w:p w14:paraId="0BC011F0" w14:textId="77777777" w:rsidR="00AF420E" w:rsidRPr="00DC06EB" w:rsidRDefault="00AF420E" w:rsidP="00AF420E">
      <w:pPr>
        <w:spacing w:line="360" w:lineRule="auto"/>
        <w:ind w:left="851" w:hanging="851"/>
        <w:jc w:val="both"/>
        <w:rPr>
          <w:rFonts w:ascii="Times New Roman" w:hAnsi="Times New Roman" w:cs="Times New Roman"/>
          <w:sz w:val="24"/>
          <w:szCs w:val="24"/>
        </w:rPr>
      </w:pPr>
      <w:proofErr w:type="spellStart"/>
      <w:r w:rsidRPr="00121BB3">
        <w:rPr>
          <w:rFonts w:ascii="Times New Roman" w:hAnsi="Times New Roman" w:cs="Times New Roman"/>
          <w:sz w:val="24"/>
        </w:rPr>
        <w:t>Epse</w:t>
      </w:r>
      <w:proofErr w:type="spellEnd"/>
      <w:r w:rsidRPr="00121BB3">
        <w:rPr>
          <w:rFonts w:ascii="Times New Roman" w:hAnsi="Times New Roman" w:cs="Times New Roman"/>
          <w:sz w:val="24"/>
        </w:rPr>
        <w:t xml:space="preserve"> Taku-</w:t>
      </w:r>
      <w:proofErr w:type="spellStart"/>
      <w:r w:rsidRPr="00121BB3">
        <w:rPr>
          <w:rFonts w:ascii="Times New Roman" w:hAnsi="Times New Roman" w:cs="Times New Roman"/>
          <w:sz w:val="24"/>
        </w:rPr>
        <w:t>Forchu</w:t>
      </w:r>
      <w:proofErr w:type="spellEnd"/>
      <w:r w:rsidRPr="00121BB3">
        <w:rPr>
          <w:rFonts w:ascii="Times New Roman" w:hAnsi="Times New Roman" w:cs="Times New Roman"/>
          <w:sz w:val="24"/>
        </w:rPr>
        <w:t>, N. (2019). Linking smallholder farmers to markets: The role of extension in market information distribution for poverty reduction in Fako, Cameroon.</w:t>
      </w:r>
    </w:p>
    <w:p w14:paraId="627CC946" w14:textId="77777777" w:rsidR="00AF420E" w:rsidRPr="00DC06EB" w:rsidRDefault="00AF420E" w:rsidP="00AF420E">
      <w:pPr>
        <w:spacing w:line="360" w:lineRule="auto"/>
        <w:ind w:left="851" w:hanging="851"/>
        <w:jc w:val="both"/>
        <w:rPr>
          <w:rFonts w:ascii="Times New Roman" w:hAnsi="Times New Roman" w:cs="Times New Roman"/>
          <w:sz w:val="24"/>
          <w:szCs w:val="24"/>
        </w:rPr>
      </w:pPr>
      <w:r w:rsidRPr="00DC06EB">
        <w:rPr>
          <w:rFonts w:ascii="Times New Roman" w:hAnsi="Times New Roman" w:cs="Times New Roman"/>
          <w:sz w:val="24"/>
          <w:szCs w:val="24"/>
        </w:rPr>
        <w:t>FAO. (2021</w:t>
      </w:r>
      <w:r w:rsidRPr="00183D6C">
        <w:rPr>
          <w:rFonts w:ascii="Times New Roman" w:hAnsi="Times New Roman" w:cs="Times New Roman"/>
          <w:sz w:val="24"/>
          <w:szCs w:val="24"/>
        </w:rPr>
        <w:t>a</w:t>
      </w:r>
      <w:r w:rsidRPr="00DC06EB">
        <w:rPr>
          <w:rFonts w:ascii="Times New Roman" w:hAnsi="Times New Roman" w:cs="Times New Roman"/>
          <w:sz w:val="24"/>
          <w:szCs w:val="24"/>
        </w:rPr>
        <w:t xml:space="preserve">). </w:t>
      </w:r>
      <w:r w:rsidRPr="00DC06EB">
        <w:rPr>
          <w:rFonts w:ascii="Times New Roman" w:hAnsi="Times New Roman" w:cs="Times New Roman"/>
          <w:i/>
          <w:iCs/>
          <w:sz w:val="24"/>
          <w:szCs w:val="24"/>
        </w:rPr>
        <w:t>COVID-19 and agricultural extension and advisory services: A review of experiences and lessons learned</w:t>
      </w:r>
      <w:r w:rsidRPr="00DC06EB">
        <w:rPr>
          <w:rFonts w:ascii="Times New Roman" w:hAnsi="Times New Roman" w:cs="Times New Roman"/>
          <w:sz w:val="24"/>
          <w:szCs w:val="24"/>
        </w:rPr>
        <w:t xml:space="preserve">. Food and Agriculture Organization of the United Nations. </w:t>
      </w:r>
      <w:hyperlink r:id="rId9" w:tgtFrame="_new" w:history="1">
        <w:r w:rsidRPr="00DC06EB">
          <w:rPr>
            <w:rStyle w:val="Hyperlink"/>
            <w:rFonts w:ascii="Times New Roman" w:hAnsi="Times New Roman" w:cs="Times New Roman"/>
            <w:sz w:val="24"/>
            <w:szCs w:val="24"/>
          </w:rPr>
          <w:t>https://www.fao.org/documents/card/en/c/cb7433en</w:t>
        </w:r>
      </w:hyperlink>
    </w:p>
    <w:p w14:paraId="68427F42" w14:textId="77777777" w:rsidR="00AF420E" w:rsidRPr="00183D6C" w:rsidRDefault="00AF420E" w:rsidP="00AF420E">
      <w:pPr>
        <w:spacing w:line="360" w:lineRule="auto"/>
        <w:ind w:left="851" w:hanging="851"/>
        <w:jc w:val="both"/>
        <w:rPr>
          <w:rFonts w:ascii="Times New Roman" w:hAnsi="Times New Roman" w:cs="Times New Roman"/>
          <w:sz w:val="24"/>
          <w:szCs w:val="24"/>
        </w:rPr>
      </w:pPr>
      <w:r w:rsidRPr="00183D6C">
        <w:rPr>
          <w:rFonts w:ascii="Times New Roman" w:hAnsi="Times New Roman" w:cs="Times New Roman"/>
          <w:sz w:val="24"/>
          <w:szCs w:val="24"/>
        </w:rPr>
        <w:t>FAO. (2021b). Digital agriculture and extension: Key trends and initiatives. Food and Agriculture Organization of the United Nations. https://www.fao.org</w:t>
      </w:r>
    </w:p>
    <w:p w14:paraId="5A18F858" w14:textId="77777777" w:rsidR="00AF420E" w:rsidRPr="00CA4CE5" w:rsidRDefault="00AF420E" w:rsidP="00AF420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t>FAO. (2021</w:t>
      </w:r>
      <w:r w:rsidRPr="00183D6C">
        <w:rPr>
          <w:rFonts w:ascii="Times New Roman" w:hAnsi="Times New Roman" w:cs="Times New Roman"/>
          <w:sz w:val="24"/>
          <w:szCs w:val="24"/>
        </w:rPr>
        <w:t>c</w:t>
      </w:r>
      <w:r w:rsidRPr="00CA4CE5">
        <w:rPr>
          <w:rFonts w:ascii="Times New Roman" w:hAnsi="Times New Roman" w:cs="Times New Roman"/>
          <w:sz w:val="24"/>
          <w:szCs w:val="24"/>
        </w:rPr>
        <w:t xml:space="preserve">). </w:t>
      </w:r>
      <w:r w:rsidRPr="00CA4CE5">
        <w:rPr>
          <w:rFonts w:ascii="Times New Roman" w:hAnsi="Times New Roman" w:cs="Times New Roman"/>
          <w:i/>
          <w:iCs/>
          <w:sz w:val="24"/>
          <w:szCs w:val="24"/>
        </w:rPr>
        <w:t>Digital agriculture: Helping farmers respond to COVID-19 and beyond</w:t>
      </w:r>
      <w:r w:rsidRPr="00CA4CE5">
        <w:rPr>
          <w:rFonts w:ascii="Times New Roman" w:hAnsi="Times New Roman" w:cs="Times New Roman"/>
          <w:sz w:val="24"/>
          <w:szCs w:val="24"/>
        </w:rPr>
        <w:t xml:space="preserve">. Food and Agriculture Organization of the United Nations. </w:t>
      </w:r>
      <w:hyperlink r:id="rId10" w:tgtFrame="_new" w:history="1">
        <w:r w:rsidRPr="00CA4CE5">
          <w:rPr>
            <w:rStyle w:val="Hyperlink"/>
            <w:rFonts w:ascii="Times New Roman" w:hAnsi="Times New Roman" w:cs="Times New Roman"/>
            <w:sz w:val="24"/>
            <w:szCs w:val="24"/>
          </w:rPr>
          <w:t>https://www.fao.org/documents/card/en/c/cb7239en</w:t>
        </w:r>
      </w:hyperlink>
    </w:p>
    <w:p w14:paraId="0AFC1AFE" w14:textId="77777777" w:rsidR="00AF420E" w:rsidRPr="004E610C" w:rsidRDefault="00AF420E" w:rsidP="00AF420E">
      <w:pPr>
        <w:spacing w:line="360" w:lineRule="auto"/>
        <w:ind w:left="851" w:hanging="851"/>
        <w:jc w:val="both"/>
        <w:rPr>
          <w:rFonts w:ascii="Times New Roman" w:hAnsi="Times New Roman" w:cs="Times New Roman"/>
          <w:sz w:val="24"/>
          <w:szCs w:val="24"/>
        </w:rPr>
      </w:pPr>
      <w:r w:rsidRPr="004E610C">
        <w:rPr>
          <w:rFonts w:ascii="Times New Roman" w:hAnsi="Times New Roman" w:cs="Times New Roman"/>
          <w:sz w:val="24"/>
          <w:szCs w:val="24"/>
        </w:rPr>
        <w:t>FAO. (2022</w:t>
      </w:r>
      <w:r w:rsidRPr="00183D6C">
        <w:rPr>
          <w:rFonts w:ascii="Times New Roman" w:hAnsi="Times New Roman" w:cs="Times New Roman"/>
          <w:sz w:val="24"/>
          <w:szCs w:val="24"/>
        </w:rPr>
        <w:t>a</w:t>
      </w:r>
      <w:r w:rsidRPr="004E610C">
        <w:rPr>
          <w:rFonts w:ascii="Times New Roman" w:hAnsi="Times New Roman" w:cs="Times New Roman"/>
          <w:sz w:val="24"/>
          <w:szCs w:val="24"/>
        </w:rPr>
        <w:t xml:space="preserve">). </w:t>
      </w:r>
      <w:r w:rsidRPr="004E610C">
        <w:rPr>
          <w:rFonts w:ascii="Times New Roman" w:hAnsi="Times New Roman" w:cs="Times New Roman"/>
          <w:i/>
          <w:iCs/>
          <w:sz w:val="24"/>
          <w:szCs w:val="24"/>
        </w:rPr>
        <w:t>Building inclusive rural transformation through digital agriculture</w:t>
      </w:r>
      <w:r w:rsidRPr="004E610C">
        <w:rPr>
          <w:rFonts w:ascii="Times New Roman" w:hAnsi="Times New Roman" w:cs="Times New Roman"/>
          <w:sz w:val="24"/>
          <w:szCs w:val="24"/>
        </w:rPr>
        <w:t xml:space="preserve">. Food and Agriculture Organization of the United Nations. </w:t>
      </w:r>
      <w:hyperlink r:id="rId11" w:tgtFrame="_new" w:history="1">
        <w:r w:rsidRPr="004E610C">
          <w:rPr>
            <w:rStyle w:val="Hyperlink"/>
            <w:rFonts w:ascii="Times New Roman" w:hAnsi="Times New Roman" w:cs="Times New Roman"/>
            <w:sz w:val="24"/>
            <w:szCs w:val="24"/>
          </w:rPr>
          <w:t>https://www.fao.org</w:t>
        </w:r>
      </w:hyperlink>
    </w:p>
    <w:p w14:paraId="04A43FA5" w14:textId="77777777" w:rsidR="00AF420E" w:rsidRPr="00CA4CE5" w:rsidRDefault="00AF420E" w:rsidP="00AF420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t>FAO. (2022</w:t>
      </w:r>
      <w:r w:rsidRPr="00183D6C">
        <w:rPr>
          <w:rFonts w:ascii="Times New Roman" w:hAnsi="Times New Roman" w:cs="Times New Roman"/>
          <w:sz w:val="24"/>
          <w:szCs w:val="24"/>
        </w:rPr>
        <w:t>b</w:t>
      </w:r>
      <w:r w:rsidRPr="00CA4CE5">
        <w:rPr>
          <w:rFonts w:ascii="Times New Roman" w:hAnsi="Times New Roman" w:cs="Times New Roman"/>
          <w:sz w:val="24"/>
          <w:szCs w:val="24"/>
        </w:rPr>
        <w:t xml:space="preserve">). </w:t>
      </w:r>
      <w:r w:rsidRPr="00CA4CE5">
        <w:rPr>
          <w:rFonts w:ascii="Times New Roman" w:hAnsi="Times New Roman" w:cs="Times New Roman"/>
          <w:i/>
          <w:iCs/>
          <w:sz w:val="24"/>
          <w:szCs w:val="24"/>
        </w:rPr>
        <w:t>Digital agriculture: Helping farmers respond to climate and market shocks</w:t>
      </w:r>
      <w:r w:rsidRPr="00CA4CE5">
        <w:rPr>
          <w:rFonts w:ascii="Times New Roman" w:hAnsi="Times New Roman" w:cs="Times New Roman"/>
          <w:sz w:val="24"/>
          <w:szCs w:val="24"/>
        </w:rPr>
        <w:t xml:space="preserve">. Food and Agriculture Organization of the United Nations. </w:t>
      </w:r>
      <w:hyperlink r:id="rId12" w:tgtFrame="_new" w:history="1">
        <w:r w:rsidRPr="00CA4CE5">
          <w:rPr>
            <w:rStyle w:val="Hyperlink"/>
            <w:rFonts w:ascii="Times New Roman" w:hAnsi="Times New Roman" w:cs="Times New Roman"/>
            <w:sz w:val="24"/>
            <w:szCs w:val="24"/>
          </w:rPr>
          <w:t>https://www.fao.org/documents/card/en/c/cb9886en</w:t>
        </w:r>
      </w:hyperlink>
    </w:p>
    <w:p w14:paraId="2C2A475A" w14:textId="77777777" w:rsidR="00AF420E" w:rsidRPr="00847877" w:rsidRDefault="00AF420E" w:rsidP="00AF420E">
      <w:pPr>
        <w:spacing w:line="360" w:lineRule="auto"/>
        <w:ind w:left="851" w:hanging="851"/>
        <w:jc w:val="both"/>
        <w:rPr>
          <w:rFonts w:ascii="Times New Roman" w:hAnsi="Times New Roman" w:cs="Times New Roman"/>
          <w:sz w:val="24"/>
          <w:szCs w:val="24"/>
        </w:rPr>
      </w:pPr>
      <w:r w:rsidRPr="00847877">
        <w:rPr>
          <w:rFonts w:ascii="Times New Roman" w:hAnsi="Times New Roman" w:cs="Times New Roman"/>
          <w:sz w:val="24"/>
          <w:szCs w:val="24"/>
        </w:rPr>
        <w:t>FAO. (2022</w:t>
      </w:r>
      <w:r w:rsidRPr="00183D6C">
        <w:rPr>
          <w:rFonts w:ascii="Times New Roman" w:hAnsi="Times New Roman" w:cs="Times New Roman"/>
          <w:sz w:val="24"/>
          <w:szCs w:val="24"/>
        </w:rPr>
        <w:t>c</w:t>
      </w:r>
      <w:r w:rsidRPr="00847877">
        <w:rPr>
          <w:rFonts w:ascii="Times New Roman" w:hAnsi="Times New Roman" w:cs="Times New Roman"/>
          <w:sz w:val="24"/>
          <w:szCs w:val="24"/>
        </w:rPr>
        <w:t xml:space="preserve">). </w:t>
      </w:r>
      <w:r w:rsidRPr="00847877">
        <w:rPr>
          <w:rFonts w:ascii="Times New Roman" w:hAnsi="Times New Roman" w:cs="Times New Roman"/>
          <w:i/>
          <w:iCs/>
          <w:sz w:val="24"/>
          <w:szCs w:val="24"/>
        </w:rPr>
        <w:t>Digital Village Initiative</w:t>
      </w:r>
      <w:r w:rsidRPr="00847877">
        <w:rPr>
          <w:rFonts w:ascii="Times New Roman" w:hAnsi="Times New Roman" w:cs="Times New Roman"/>
          <w:sz w:val="24"/>
          <w:szCs w:val="24"/>
        </w:rPr>
        <w:t xml:space="preserve">. Food and Agriculture Organization of the United Nations. </w:t>
      </w:r>
      <w:hyperlink r:id="rId13" w:tgtFrame="_new" w:history="1">
        <w:r w:rsidRPr="00847877">
          <w:rPr>
            <w:rStyle w:val="Hyperlink"/>
            <w:rFonts w:ascii="Times New Roman" w:hAnsi="Times New Roman" w:cs="Times New Roman"/>
            <w:sz w:val="24"/>
            <w:szCs w:val="24"/>
          </w:rPr>
          <w:t>https://www.fao.org/digital-agriculture/digital-villages</w:t>
        </w:r>
      </w:hyperlink>
    </w:p>
    <w:p w14:paraId="6D001A30" w14:textId="77777777" w:rsidR="00AF420E" w:rsidRPr="00DC06EB" w:rsidRDefault="00AF420E" w:rsidP="00AF420E">
      <w:pPr>
        <w:spacing w:line="360" w:lineRule="auto"/>
        <w:ind w:left="851" w:hanging="851"/>
        <w:jc w:val="both"/>
        <w:rPr>
          <w:rFonts w:ascii="Times New Roman" w:hAnsi="Times New Roman" w:cs="Times New Roman"/>
          <w:sz w:val="24"/>
          <w:szCs w:val="24"/>
        </w:rPr>
      </w:pPr>
      <w:r w:rsidRPr="00DC06EB">
        <w:rPr>
          <w:rFonts w:ascii="Times New Roman" w:hAnsi="Times New Roman" w:cs="Times New Roman"/>
          <w:sz w:val="24"/>
          <w:szCs w:val="24"/>
        </w:rPr>
        <w:t xml:space="preserve">Glendenning, C. J., Babu, S., &amp; Asenso-Okyere, K. (2010). </w:t>
      </w:r>
      <w:r w:rsidRPr="00DC06EB">
        <w:rPr>
          <w:rFonts w:ascii="Times New Roman" w:hAnsi="Times New Roman" w:cs="Times New Roman"/>
          <w:i/>
          <w:iCs/>
          <w:sz w:val="24"/>
          <w:szCs w:val="24"/>
        </w:rPr>
        <w:t>Review of agricultural extension in India: Are farmers’ information needs being met?</w:t>
      </w:r>
      <w:r w:rsidRPr="00DC06EB">
        <w:rPr>
          <w:rFonts w:ascii="Times New Roman" w:hAnsi="Times New Roman" w:cs="Times New Roman"/>
          <w:sz w:val="24"/>
          <w:szCs w:val="24"/>
        </w:rPr>
        <w:t xml:space="preserve"> IFPRI Discussion Paper 01048. International Food Policy Research Institute. </w:t>
      </w:r>
      <w:hyperlink r:id="rId14" w:history="1">
        <w:r w:rsidRPr="00DC06EB">
          <w:rPr>
            <w:rStyle w:val="Hyperlink"/>
            <w:rFonts w:ascii="Times New Roman" w:hAnsi="Times New Roman" w:cs="Times New Roman"/>
            <w:sz w:val="24"/>
            <w:szCs w:val="24"/>
          </w:rPr>
          <w:t>https://doi.org/10.2499/9780896291650</w:t>
        </w:r>
      </w:hyperlink>
      <w:r w:rsidRPr="00183D6C">
        <w:rPr>
          <w:rFonts w:ascii="Times New Roman" w:hAnsi="Times New Roman" w:cs="Times New Roman"/>
          <w:sz w:val="24"/>
          <w:szCs w:val="24"/>
        </w:rPr>
        <w:t xml:space="preserve"> </w:t>
      </w:r>
    </w:p>
    <w:p w14:paraId="37F9A31E" w14:textId="77777777" w:rsidR="00AF420E" w:rsidRPr="00DC06EB" w:rsidRDefault="00AF420E" w:rsidP="00AF420E">
      <w:pPr>
        <w:spacing w:line="360" w:lineRule="auto"/>
        <w:ind w:left="851" w:hanging="851"/>
        <w:jc w:val="both"/>
        <w:rPr>
          <w:rFonts w:ascii="Times New Roman" w:hAnsi="Times New Roman" w:cs="Times New Roman"/>
          <w:sz w:val="24"/>
          <w:szCs w:val="24"/>
        </w:rPr>
      </w:pPr>
      <w:proofErr w:type="spellStart"/>
      <w:r w:rsidRPr="00DC06EB">
        <w:rPr>
          <w:rFonts w:ascii="Times New Roman" w:hAnsi="Times New Roman" w:cs="Times New Roman"/>
          <w:sz w:val="24"/>
          <w:szCs w:val="24"/>
        </w:rPr>
        <w:t>GoI</w:t>
      </w:r>
      <w:proofErr w:type="spellEnd"/>
      <w:r w:rsidRPr="00DC06EB">
        <w:rPr>
          <w:rFonts w:ascii="Times New Roman" w:hAnsi="Times New Roman" w:cs="Times New Roman"/>
          <w:sz w:val="24"/>
          <w:szCs w:val="24"/>
        </w:rPr>
        <w:t xml:space="preserve">. (2020). </w:t>
      </w:r>
      <w:r w:rsidRPr="00DC06EB">
        <w:rPr>
          <w:rFonts w:ascii="Times New Roman" w:hAnsi="Times New Roman" w:cs="Times New Roman"/>
          <w:i/>
          <w:iCs/>
          <w:sz w:val="24"/>
          <w:szCs w:val="24"/>
        </w:rPr>
        <w:t>Digital platforms in agriculture: Empowering farmers through e-governance</w:t>
      </w:r>
      <w:r w:rsidRPr="00DC06EB">
        <w:rPr>
          <w:rFonts w:ascii="Times New Roman" w:hAnsi="Times New Roman" w:cs="Times New Roman"/>
          <w:sz w:val="24"/>
          <w:szCs w:val="24"/>
        </w:rPr>
        <w:t xml:space="preserve">. Government of India, Ministry of Agriculture and Farmers Welfare. </w:t>
      </w:r>
      <w:hyperlink r:id="rId15" w:tgtFrame="_new" w:history="1">
        <w:r w:rsidRPr="00DC06EB">
          <w:rPr>
            <w:rStyle w:val="Hyperlink"/>
            <w:rFonts w:ascii="Times New Roman" w:hAnsi="Times New Roman" w:cs="Times New Roman"/>
            <w:sz w:val="24"/>
            <w:szCs w:val="24"/>
          </w:rPr>
          <w:t>https://agricoop.gov.in/</w:t>
        </w:r>
      </w:hyperlink>
    </w:p>
    <w:p w14:paraId="7EF37D27" w14:textId="77777777" w:rsidR="00AF420E" w:rsidRPr="00CA4CE5" w:rsidRDefault="00AF420E" w:rsidP="00AF420E">
      <w:pPr>
        <w:spacing w:line="360" w:lineRule="auto"/>
        <w:ind w:left="851" w:hanging="851"/>
        <w:jc w:val="both"/>
        <w:rPr>
          <w:rFonts w:ascii="Times New Roman" w:hAnsi="Times New Roman" w:cs="Times New Roman"/>
          <w:sz w:val="24"/>
          <w:szCs w:val="24"/>
        </w:rPr>
      </w:pPr>
      <w:proofErr w:type="spellStart"/>
      <w:r w:rsidRPr="00CA4CE5">
        <w:rPr>
          <w:rFonts w:ascii="Times New Roman" w:hAnsi="Times New Roman" w:cs="Times New Roman"/>
          <w:sz w:val="24"/>
          <w:szCs w:val="24"/>
        </w:rPr>
        <w:t>GoI</w:t>
      </w:r>
      <w:proofErr w:type="spellEnd"/>
      <w:r w:rsidRPr="00CA4CE5">
        <w:rPr>
          <w:rFonts w:ascii="Times New Roman" w:hAnsi="Times New Roman" w:cs="Times New Roman"/>
          <w:sz w:val="24"/>
          <w:szCs w:val="24"/>
        </w:rPr>
        <w:t xml:space="preserve">. (2022). </w:t>
      </w:r>
      <w:r w:rsidRPr="00CA4CE5">
        <w:rPr>
          <w:rFonts w:ascii="Times New Roman" w:hAnsi="Times New Roman" w:cs="Times New Roman"/>
          <w:i/>
          <w:iCs/>
          <w:sz w:val="24"/>
          <w:szCs w:val="24"/>
        </w:rPr>
        <w:t>Digital India: Journey and achievements</w:t>
      </w:r>
      <w:r w:rsidRPr="00CA4CE5">
        <w:rPr>
          <w:rFonts w:ascii="Times New Roman" w:hAnsi="Times New Roman" w:cs="Times New Roman"/>
          <w:sz w:val="24"/>
          <w:szCs w:val="24"/>
        </w:rPr>
        <w:t xml:space="preserve">. Government of India. </w:t>
      </w:r>
      <w:hyperlink r:id="rId16" w:tgtFrame="_new" w:history="1">
        <w:r w:rsidRPr="00CA4CE5">
          <w:rPr>
            <w:rStyle w:val="Hyperlink"/>
            <w:rFonts w:ascii="Times New Roman" w:hAnsi="Times New Roman" w:cs="Times New Roman"/>
            <w:sz w:val="24"/>
            <w:szCs w:val="24"/>
          </w:rPr>
          <w:t>https://www.digitalindia.gov.in/</w:t>
        </w:r>
      </w:hyperlink>
    </w:p>
    <w:p w14:paraId="5E153767" w14:textId="77777777" w:rsidR="00AF420E" w:rsidRPr="00CA4CE5" w:rsidRDefault="00AF420E" w:rsidP="00AF420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lastRenderedPageBreak/>
        <w:t xml:space="preserve">GSMA. (2021). </w:t>
      </w:r>
      <w:r w:rsidRPr="00CA4CE5">
        <w:rPr>
          <w:rFonts w:ascii="Times New Roman" w:hAnsi="Times New Roman" w:cs="Times New Roman"/>
          <w:i/>
          <w:iCs/>
          <w:sz w:val="24"/>
          <w:szCs w:val="24"/>
        </w:rPr>
        <w:t>The mobile gender gap report 2021</w:t>
      </w:r>
      <w:r w:rsidRPr="00CA4CE5">
        <w:rPr>
          <w:rFonts w:ascii="Times New Roman" w:hAnsi="Times New Roman" w:cs="Times New Roman"/>
          <w:sz w:val="24"/>
          <w:szCs w:val="24"/>
        </w:rPr>
        <w:t>. GSMA. https://www.gsma.com/r/wp-content/uploads/2021/07/The-Mobile-Gender-Gap-Report-2021.pdf</w:t>
      </w:r>
    </w:p>
    <w:p w14:paraId="6EFB5C88" w14:textId="77777777" w:rsidR="00AF420E" w:rsidRPr="00CA4CE5" w:rsidRDefault="00AF420E" w:rsidP="00AF420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t xml:space="preserve">ITU. (2022). </w:t>
      </w:r>
      <w:r w:rsidRPr="00CA4CE5">
        <w:rPr>
          <w:rFonts w:ascii="Times New Roman" w:hAnsi="Times New Roman" w:cs="Times New Roman"/>
          <w:i/>
          <w:iCs/>
          <w:sz w:val="24"/>
          <w:szCs w:val="24"/>
        </w:rPr>
        <w:t>Measuring digital development: Facts and figures 2022</w:t>
      </w:r>
      <w:r w:rsidRPr="00CA4CE5">
        <w:rPr>
          <w:rFonts w:ascii="Times New Roman" w:hAnsi="Times New Roman" w:cs="Times New Roman"/>
          <w:sz w:val="24"/>
          <w:szCs w:val="24"/>
        </w:rPr>
        <w:t>. International Telecommunication Union. https://www.itu.int/en/ITU-D/Statistics/Documents/facts/FactsFigures2022.pdf</w:t>
      </w:r>
    </w:p>
    <w:p w14:paraId="3C19BFBF" w14:textId="77777777" w:rsidR="00AF420E" w:rsidRDefault="00AF420E" w:rsidP="00AF420E">
      <w:pPr>
        <w:spacing w:line="360" w:lineRule="auto"/>
        <w:ind w:left="851" w:hanging="851"/>
        <w:jc w:val="both"/>
        <w:rPr>
          <w:rFonts w:ascii="Times New Roman" w:hAnsi="Times New Roman" w:cs="Times New Roman"/>
          <w:sz w:val="24"/>
          <w:szCs w:val="24"/>
        </w:rPr>
      </w:pPr>
      <w:r w:rsidRPr="00183D6C">
        <w:rPr>
          <w:rFonts w:ascii="Times New Roman" w:hAnsi="Times New Roman" w:cs="Times New Roman"/>
          <w:sz w:val="24"/>
          <w:szCs w:val="24"/>
        </w:rPr>
        <w:t>Kumar, A., Singh, R. K., &amp; Shivay, Y. S. (2022). Strengthening farmer-centric extension through Farmer Producer Organizations (FPOs). Indian Journal of Extension Education, 58(1), 45-50.</w:t>
      </w:r>
    </w:p>
    <w:p w14:paraId="42DDE36B" w14:textId="77777777" w:rsidR="00AF420E" w:rsidRPr="00183D6C" w:rsidRDefault="00AF420E" w:rsidP="00AF420E">
      <w:pPr>
        <w:spacing w:line="360" w:lineRule="auto"/>
        <w:ind w:left="851" w:hanging="851"/>
        <w:jc w:val="both"/>
        <w:rPr>
          <w:rFonts w:ascii="Times New Roman" w:hAnsi="Times New Roman" w:cs="Times New Roman"/>
          <w:sz w:val="24"/>
          <w:szCs w:val="24"/>
        </w:rPr>
      </w:pPr>
      <w:r w:rsidRPr="009A7F89">
        <w:rPr>
          <w:rFonts w:ascii="Times New Roman" w:hAnsi="Times New Roman" w:cs="Times New Roman"/>
          <w:sz w:val="24"/>
          <w:szCs w:val="24"/>
        </w:rPr>
        <w:t xml:space="preserve">Martin, P. (2020). </w:t>
      </w:r>
      <w:r w:rsidRPr="009A7F89">
        <w:rPr>
          <w:rFonts w:ascii="Times New Roman" w:hAnsi="Times New Roman" w:cs="Times New Roman"/>
          <w:i/>
          <w:iCs/>
          <w:sz w:val="24"/>
          <w:szCs w:val="24"/>
        </w:rPr>
        <w:t xml:space="preserve">Impact of COVID-19 on </w:t>
      </w:r>
      <w:proofErr w:type="spellStart"/>
      <w:r w:rsidRPr="009A7F89">
        <w:rPr>
          <w:rFonts w:ascii="Times New Roman" w:hAnsi="Times New Roman" w:cs="Times New Roman"/>
          <w:i/>
          <w:iCs/>
          <w:sz w:val="24"/>
          <w:szCs w:val="24"/>
        </w:rPr>
        <w:t>labor</w:t>
      </w:r>
      <w:proofErr w:type="spellEnd"/>
      <w:r w:rsidRPr="009A7F89">
        <w:rPr>
          <w:rFonts w:ascii="Times New Roman" w:hAnsi="Times New Roman" w:cs="Times New Roman"/>
          <w:i/>
          <w:iCs/>
          <w:sz w:val="24"/>
          <w:szCs w:val="24"/>
        </w:rPr>
        <w:t xml:space="preserve"> mobility in agriculture</w:t>
      </w:r>
      <w:r w:rsidRPr="009A7F89">
        <w:rPr>
          <w:rFonts w:ascii="Times New Roman" w:hAnsi="Times New Roman" w:cs="Times New Roman"/>
          <w:sz w:val="24"/>
          <w:szCs w:val="24"/>
        </w:rPr>
        <w:t xml:space="preserve">. </w:t>
      </w:r>
      <w:r w:rsidRPr="009A7F89">
        <w:rPr>
          <w:rFonts w:ascii="Times New Roman" w:hAnsi="Times New Roman" w:cs="Times New Roman"/>
          <w:i/>
          <w:iCs/>
          <w:sz w:val="24"/>
          <w:szCs w:val="24"/>
        </w:rPr>
        <w:t>Migration Policy Institute</w:t>
      </w:r>
      <w:r w:rsidRPr="009A7F89">
        <w:rPr>
          <w:rFonts w:ascii="Times New Roman" w:hAnsi="Times New Roman" w:cs="Times New Roman"/>
          <w:sz w:val="24"/>
          <w:szCs w:val="24"/>
        </w:rPr>
        <w:t xml:space="preserve">. </w:t>
      </w:r>
      <w:hyperlink r:id="rId17" w:tgtFrame="_new" w:history="1">
        <w:r w:rsidRPr="009A7F89">
          <w:rPr>
            <w:rStyle w:val="Hyperlink"/>
            <w:rFonts w:ascii="Times New Roman" w:hAnsi="Times New Roman" w:cs="Times New Roman"/>
            <w:sz w:val="24"/>
            <w:szCs w:val="24"/>
          </w:rPr>
          <w:t>https://www.migrationpolicy.org</w:t>
        </w:r>
      </w:hyperlink>
    </w:p>
    <w:p w14:paraId="556A6253" w14:textId="77777777" w:rsidR="00AF420E" w:rsidRDefault="00AF420E" w:rsidP="00AF420E">
      <w:pPr>
        <w:spacing w:line="360" w:lineRule="auto"/>
        <w:ind w:left="851" w:hanging="851"/>
        <w:jc w:val="both"/>
        <w:rPr>
          <w:rFonts w:ascii="Times New Roman" w:hAnsi="Times New Roman" w:cs="Times New Roman"/>
          <w:sz w:val="24"/>
          <w:szCs w:val="24"/>
        </w:rPr>
      </w:pPr>
      <w:proofErr w:type="spellStart"/>
      <w:r w:rsidRPr="00183D6C">
        <w:rPr>
          <w:rFonts w:ascii="Times New Roman" w:hAnsi="Times New Roman" w:cs="Times New Roman"/>
          <w:sz w:val="24"/>
          <w:szCs w:val="24"/>
        </w:rPr>
        <w:t>Mbo’o-Tchouawou</w:t>
      </w:r>
      <w:proofErr w:type="spellEnd"/>
      <w:r w:rsidRPr="00183D6C">
        <w:rPr>
          <w:rFonts w:ascii="Times New Roman" w:hAnsi="Times New Roman" w:cs="Times New Roman"/>
          <w:sz w:val="24"/>
          <w:szCs w:val="24"/>
        </w:rPr>
        <w:t xml:space="preserve">, M. and </w:t>
      </w:r>
      <w:proofErr w:type="spellStart"/>
      <w:r w:rsidRPr="00183D6C">
        <w:rPr>
          <w:rFonts w:ascii="Times New Roman" w:hAnsi="Times New Roman" w:cs="Times New Roman"/>
          <w:sz w:val="24"/>
          <w:szCs w:val="24"/>
        </w:rPr>
        <w:t>Colverson</w:t>
      </w:r>
      <w:proofErr w:type="spellEnd"/>
      <w:r w:rsidRPr="00183D6C">
        <w:rPr>
          <w:rFonts w:ascii="Times New Roman" w:hAnsi="Times New Roman" w:cs="Times New Roman"/>
          <w:sz w:val="24"/>
          <w:szCs w:val="24"/>
        </w:rPr>
        <w:t xml:space="preserve">, K. </w:t>
      </w:r>
      <w:r>
        <w:rPr>
          <w:rFonts w:ascii="Times New Roman" w:hAnsi="Times New Roman" w:cs="Times New Roman"/>
          <w:sz w:val="24"/>
          <w:szCs w:val="24"/>
        </w:rPr>
        <w:t>(</w:t>
      </w:r>
      <w:r w:rsidRPr="00183D6C">
        <w:rPr>
          <w:rFonts w:ascii="Times New Roman" w:hAnsi="Times New Roman" w:cs="Times New Roman"/>
          <w:sz w:val="24"/>
          <w:szCs w:val="24"/>
        </w:rPr>
        <w:t>2014</w:t>
      </w:r>
      <w:r>
        <w:rPr>
          <w:rFonts w:ascii="Times New Roman" w:hAnsi="Times New Roman" w:cs="Times New Roman"/>
          <w:sz w:val="24"/>
          <w:szCs w:val="24"/>
        </w:rPr>
        <w:t>)</w:t>
      </w:r>
      <w:r w:rsidRPr="00183D6C">
        <w:rPr>
          <w:rFonts w:ascii="Times New Roman" w:hAnsi="Times New Roman" w:cs="Times New Roman"/>
          <w:sz w:val="24"/>
          <w:szCs w:val="24"/>
        </w:rPr>
        <w:t>. Increasing access to agricultural extension and advisory services: How effective are new approaches in reaching women farmers in rural areas? Nairobi, Kenya: International Livestock Research Institute (ILRI).</w:t>
      </w:r>
    </w:p>
    <w:p w14:paraId="6D4AFDEA" w14:textId="77777777" w:rsidR="00AF420E" w:rsidRPr="00DC06EB" w:rsidRDefault="00AF420E" w:rsidP="00AF420E">
      <w:pPr>
        <w:spacing w:line="360" w:lineRule="auto"/>
        <w:ind w:left="851" w:hanging="851"/>
        <w:jc w:val="both"/>
        <w:rPr>
          <w:rFonts w:ascii="Times New Roman" w:hAnsi="Times New Roman" w:cs="Times New Roman"/>
          <w:sz w:val="24"/>
          <w:szCs w:val="24"/>
        </w:rPr>
      </w:pPr>
      <w:r w:rsidRPr="00DC06EB">
        <w:rPr>
          <w:rFonts w:ascii="Times New Roman" w:hAnsi="Times New Roman" w:cs="Times New Roman"/>
          <w:sz w:val="24"/>
          <w:szCs w:val="24"/>
        </w:rPr>
        <w:t>Meena, M. S., Mittal, S., Singh, S., Kumar, P., &amp; Meena, H. R. (2021</w:t>
      </w:r>
      <w:r w:rsidRPr="00183D6C">
        <w:rPr>
          <w:rFonts w:ascii="Times New Roman" w:hAnsi="Times New Roman" w:cs="Times New Roman"/>
          <w:sz w:val="24"/>
          <w:szCs w:val="24"/>
        </w:rPr>
        <w:t>a</w:t>
      </w:r>
      <w:r w:rsidRPr="00DC06EB">
        <w:rPr>
          <w:rFonts w:ascii="Times New Roman" w:hAnsi="Times New Roman" w:cs="Times New Roman"/>
          <w:sz w:val="24"/>
          <w:szCs w:val="24"/>
        </w:rPr>
        <w:t xml:space="preserve">). </w:t>
      </w:r>
      <w:r w:rsidRPr="00DC06EB">
        <w:rPr>
          <w:rFonts w:ascii="Times New Roman" w:hAnsi="Times New Roman" w:cs="Times New Roman"/>
          <w:i/>
          <w:iCs/>
          <w:sz w:val="24"/>
          <w:szCs w:val="24"/>
        </w:rPr>
        <w:t>Farmers' response to COVID-19 induced digital extension: An analysis from rural India</w:t>
      </w:r>
      <w:r w:rsidRPr="00DC06EB">
        <w:rPr>
          <w:rFonts w:ascii="Times New Roman" w:hAnsi="Times New Roman" w:cs="Times New Roman"/>
          <w:sz w:val="24"/>
          <w:szCs w:val="24"/>
        </w:rPr>
        <w:t>. Agricultural Systems, 190, 103103. https://doi.org/10.1016/j.agsy.2021.103103</w:t>
      </w:r>
    </w:p>
    <w:p w14:paraId="70FBEC32" w14:textId="77777777" w:rsidR="00AF420E" w:rsidRPr="00183D6C" w:rsidRDefault="00AF420E" w:rsidP="00AF420E">
      <w:pPr>
        <w:spacing w:line="360" w:lineRule="auto"/>
        <w:ind w:left="851" w:hanging="851"/>
        <w:jc w:val="both"/>
        <w:rPr>
          <w:rFonts w:ascii="Times New Roman" w:hAnsi="Times New Roman" w:cs="Times New Roman"/>
          <w:sz w:val="24"/>
          <w:szCs w:val="24"/>
        </w:rPr>
      </w:pPr>
      <w:r w:rsidRPr="00183D6C">
        <w:rPr>
          <w:rFonts w:ascii="Times New Roman" w:hAnsi="Times New Roman" w:cs="Times New Roman"/>
          <w:sz w:val="24"/>
          <w:szCs w:val="24"/>
        </w:rPr>
        <w:t>Meena, M. S., Panneerselvam, S., &amp; Singh, S. (2021b). ICT initiatives in agricultural extension in India during COVID-19. Indian Research Journal of Extension Education, 21(1), 8–13.</w:t>
      </w:r>
    </w:p>
    <w:p w14:paraId="0BA1337A" w14:textId="77777777" w:rsidR="00AF420E" w:rsidRPr="00CA4CE5" w:rsidRDefault="00AF420E" w:rsidP="00AF420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t xml:space="preserve">PAD. (2021). </w:t>
      </w:r>
      <w:r w:rsidRPr="00CA4CE5">
        <w:rPr>
          <w:rFonts w:ascii="Times New Roman" w:hAnsi="Times New Roman" w:cs="Times New Roman"/>
          <w:i/>
          <w:iCs/>
          <w:sz w:val="24"/>
          <w:szCs w:val="24"/>
        </w:rPr>
        <w:t>Leveraging digital extension to empower smallholder farmers during COVID-19</w:t>
      </w:r>
      <w:r w:rsidRPr="00CA4CE5">
        <w:rPr>
          <w:rFonts w:ascii="Times New Roman" w:hAnsi="Times New Roman" w:cs="Times New Roman"/>
          <w:sz w:val="24"/>
          <w:szCs w:val="24"/>
        </w:rPr>
        <w:t xml:space="preserve">. Precision Agriculture for Development. </w:t>
      </w:r>
      <w:hyperlink r:id="rId18" w:tgtFrame="_new" w:history="1">
        <w:r w:rsidRPr="00CA4CE5">
          <w:rPr>
            <w:rStyle w:val="Hyperlink"/>
            <w:rFonts w:ascii="Times New Roman" w:hAnsi="Times New Roman" w:cs="Times New Roman"/>
            <w:sz w:val="24"/>
            <w:szCs w:val="24"/>
          </w:rPr>
          <w:t>https://precisionag.org/</w:t>
        </w:r>
      </w:hyperlink>
    </w:p>
    <w:p w14:paraId="424085CB" w14:textId="77777777" w:rsidR="00AF420E" w:rsidRPr="00CA4CE5" w:rsidRDefault="00AF420E" w:rsidP="00AF420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t xml:space="preserve">Reddy, G. P. (2020). </w:t>
      </w:r>
      <w:r w:rsidRPr="00CA4CE5">
        <w:rPr>
          <w:rFonts w:ascii="Times New Roman" w:hAnsi="Times New Roman" w:cs="Times New Roman"/>
          <w:i/>
          <w:iCs/>
          <w:sz w:val="24"/>
          <w:szCs w:val="24"/>
        </w:rPr>
        <w:t>How artificial intelligence is transforming Indian agriculture: Case study of Microsoft AI Sowing App</w:t>
      </w:r>
      <w:r w:rsidRPr="00CA4CE5">
        <w:rPr>
          <w:rFonts w:ascii="Times New Roman" w:hAnsi="Times New Roman" w:cs="Times New Roman"/>
          <w:sz w:val="24"/>
          <w:szCs w:val="24"/>
        </w:rPr>
        <w:t>. Economic and Political Weekly, 55(9), 27–30.</w:t>
      </w:r>
    </w:p>
    <w:p w14:paraId="4059989C" w14:textId="77777777" w:rsidR="00AF420E" w:rsidRPr="00DC06EB" w:rsidRDefault="00AF420E" w:rsidP="00AF420E">
      <w:pPr>
        <w:spacing w:line="360" w:lineRule="auto"/>
        <w:ind w:left="851" w:hanging="851"/>
        <w:jc w:val="both"/>
        <w:rPr>
          <w:rFonts w:ascii="Times New Roman" w:hAnsi="Times New Roman" w:cs="Times New Roman"/>
          <w:sz w:val="24"/>
          <w:szCs w:val="24"/>
        </w:rPr>
      </w:pPr>
      <w:r w:rsidRPr="00DC06EB">
        <w:rPr>
          <w:rFonts w:ascii="Times New Roman" w:hAnsi="Times New Roman" w:cs="Times New Roman"/>
          <w:sz w:val="24"/>
          <w:szCs w:val="24"/>
        </w:rPr>
        <w:t xml:space="preserve">Rivera, W. M., &amp; Sulaiman, R. V. (2009). </w:t>
      </w:r>
      <w:r w:rsidRPr="00DC06EB">
        <w:rPr>
          <w:rFonts w:ascii="Times New Roman" w:hAnsi="Times New Roman" w:cs="Times New Roman"/>
          <w:i/>
          <w:iCs/>
          <w:sz w:val="24"/>
          <w:szCs w:val="24"/>
        </w:rPr>
        <w:t>Extension: Object of reform, engine for innovation</w:t>
      </w:r>
      <w:r w:rsidRPr="00DC06EB">
        <w:rPr>
          <w:rFonts w:ascii="Times New Roman" w:hAnsi="Times New Roman" w:cs="Times New Roman"/>
          <w:sz w:val="24"/>
          <w:szCs w:val="24"/>
        </w:rPr>
        <w:t>. Outlook on Agriculture, 38(3), 267–273. https://doi.org/10.5367/000000009789396810</w:t>
      </w:r>
    </w:p>
    <w:p w14:paraId="484066AC" w14:textId="77777777" w:rsidR="00AF420E" w:rsidRPr="00183D6C" w:rsidRDefault="00AF420E" w:rsidP="00AF420E">
      <w:pPr>
        <w:spacing w:line="360" w:lineRule="auto"/>
        <w:ind w:left="851" w:hanging="851"/>
        <w:jc w:val="both"/>
        <w:rPr>
          <w:rFonts w:ascii="Times New Roman" w:hAnsi="Times New Roman" w:cs="Times New Roman"/>
          <w:sz w:val="24"/>
          <w:szCs w:val="24"/>
        </w:rPr>
      </w:pPr>
      <w:r w:rsidRPr="00183D6C">
        <w:rPr>
          <w:rFonts w:ascii="Times New Roman" w:hAnsi="Times New Roman" w:cs="Times New Roman"/>
          <w:sz w:val="24"/>
          <w:szCs w:val="24"/>
        </w:rPr>
        <w:t>Rose, D. C., Chilvers, J., Sutherland, W. J., &amp; Ockendon, N. (2021). A decision framework for effective agricultural extension and advisory services during and beyond COVID-19. Outlook on Agriculture, 50(2), 107-115. https://doi.org/10.1177/00307270211001257</w:t>
      </w:r>
    </w:p>
    <w:p w14:paraId="69AFB1B1" w14:textId="77777777" w:rsidR="00AF420E" w:rsidRPr="00183D6C" w:rsidRDefault="00AF420E" w:rsidP="00AF420E">
      <w:pPr>
        <w:spacing w:line="360" w:lineRule="auto"/>
        <w:ind w:left="851" w:hanging="851"/>
        <w:jc w:val="both"/>
        <w:rPr>
          <w:rFonts w:ascii="Times New Roman" w:hAnsi="Times New Roman" w:cs="Times New Roman"/>
          <w:sz w:val="24"/>
          <w:szCs w:val="24"/>
        </w:rPr>
      </w:pPr>
      <w:r w:rsidRPr="00183D6C">
        <w:rPr>
          <w:rFonts w:ascii="Times New Roman" w:hAnsi="Times New Roman" w:cs="Times New Roman"/>
          <w:sz w:val="24"/>
          <w:szCs w:val="24"/>
        </w:rPr>
        <w:lastRenderedPageBreak/>
        <w:t xml:space="preserve">Singh, A. K., </w:t>
      </w:r>
      <w:proofErr w:type="spellStart"/>
      <w:r w:rsidRPr="00183D6C">
        <w:rPr>
          <w:rFonts w:ascii="Times New Roman" w:hAnsi="Times New Roman" w:cs="Times New Roman"/>
          <w:sz w:val="24"/>
          <w:szCs w:val="24"/>
        </w:rPr>
        <w:t>Jirli</w:t>
      </w:r>
      <w:proofErr w:type="spellEnd"/>
      <w:r w:rsidRPr="00183D6C">
        <w:rPr>
          <w:rFonts w:ascii="Times New Roman" w:hAnsi="Times New Roman" w:cs="Times New Roman"/>
          <w:sz w:val="24"/>
          <w:szCs w:val="24"/>
        </w:rPr>
        <w:t>, B., &amp; Pandey, R. (2020). Re-envisioning agricultural extension in India: Lessons from the COVID-19 pandemic. Journal of Extension Systems, 36(2), 1–10.</w:t>
      </w:r>
    </w:p>
    <w:p w14:paraId="1440D202" w14:textId="77777777" w:rsidR="00AF420E" w:rsidRPr="00CA4CE5" w:rsidRDefault="00AF420E" w:rsidP="00AF420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t xml:space="preserve">Singh, R., Sharma, P., &amp; Varma, A. (2022). </w:t>
      </w:r>
      <w:r w:rsidRPr="00CA4CE5">
        <w:rPr>
          <w:rFonts w:ascii="Times New Roman" w:hAnsi="Times New Roman" w:cs="Times New Roman"/>
          <w:i/>
          <w:iCs/>
          <w:sz w:val="24"/>
          <w:szCs w:val="24"/>
        </w:rPr>
        <w:t>Hybrid extension services in post-COVID India: A roadmap for inclusive innovation</w:t>
      </w:r>
      <w:r w:rsidRPr="00CA4CE5">
        <w:rPr>
          <w:rFonts w:ascii="Times New Roman" w:hAnsi="Times New Roman" w:cs="Times New Roman"/>
          <w:sz w:val="24"/>
          <w:szCs w:val="24"/>
        </w:rPr>
        <w:t>. Indian Journal of Agricultural Sciences, 92(4), 523–529.</w:t>
      </w:r>
    </w:p>
    <w:p w14:paraId="15C55020" w14:textId="77777777" w:rsidR="00AF420E" w:rsidRPr="00183D6C" w:rsidRDefault="00AF420E" w:rsidP="00AF420E">
      <w:pPr>
        <w:spacing w:line="360" w:lineRule="auto"/>
        <w:ind w:left="851" w:hanging="851"/>
        <w:jc w:val="both"/>
        <w:rPr>
          <w:rFonts w:ascii="Times New Roman" w:hAnsi="Times New Roman" w:cs="Times New Roman"/>
          <w:sz w:val="24"/>
          <w:szCs w:val="24"/>
        </w:rPr>
      </w:pPr>
      <w:r w:rsidRPr="00183D6C">
        <w:rPr>
          <w:rFonts w:ascii="Times New Roman" w:hAnsi="Times New Roman" w:cs="Times New Roman"/>
          <w:sz w:val="24"/>
          <w:szCs w:val="24"/>
        </w:rPr>
        <w:t xml:space="preserve">Swanson, B. E., &amp; </w:t>
      </w:r>
      <w:proofErr w:type="spellStart"/>
      <w:r w:rsidRPr="00183D6C">
        <w:rPr>
          <w:rFonts w:ascii="Times New Roman" w:hAnsi="Times New Roman" w:cs="Times New Roman"/>
          <w:sz w:val="24"/>
          <w:szCs w:val="24"/>
        </w:rPr>
        <w:t>Rajalahti</w:t>
      </w:r>
      <w:proofErr w:type="spellEnd"/>
      <w:r w:rsidRPr="00183D6C">
        <w:rPr>
          <w:rFonts w:ascii="Times New Roman" w:hAnsi="Times New Roman" w:cs="Times New Roman"/>
          <w:sz w:val="24"/>
          <w:szCs w:val="24"/>
        </w:rPr>
        <w:t xml:space="preserve">, R. (2010). Strengthening agricultural extension and advisory systems: Procedures for assessing, transforming, and evaluating extension systems. World Bank. </w:t>
      </w:r>
      <w:hyperlink r:id="rId19" w:history="1">
        <w:r w:rsidRPr="00183D6C">
          <w:rPr>
            <w:rStyle w:val="Hyperlink"/>
            <w:rFonts w:ascii="Times New Roman" w:hAnsi="Times New Roman" w:cs="Times New Roman"/>
            <w:sz w:val="24"/>
            <w:szCs w:val="24"/>
          </w:rPr>
          <w:t>https://openknowledge.worldbank.org</w:t>
        </w:r>
      </w:hyperlink>
      <w:r w:rsidRPr="00183D6C">
        <w:rPr>
          <w:rFonts w:ascii="Times New Roman" w:hAnsi="Times New Roman" w:cs="Times New Roman"/>
          <w:sz w:val="24"/>
          <w:szCs w:val="24"/>
        </w:rPr>
        <w:t xml:space="preserve"> </w:t>
      </w:r>
    </w:p>
    <w:p w14:paraId="4D9F9458" w14:textId="77777777" w:rsidR="00AF420E" w:rsidRPr="00183D6C" w:rsidRDefault="00AF420E" w:rsidP="00AF420E">
      <w:pPr>
        <w:spacing w:line="360" w:lineRule="auto"/>
        <w:ind w:left="851" w:hanging="851"/>
        <w:jc w:val="both"/>
        <w:rPr>
          <w:rFonts w:ascii="Times New Roman" w:hAnsi="Times New Roman" w:cs="Times New Roman"/>
          <w:sz w:val="24"/>
          <w:szCs w:val="24"/>
        </w:rPr>
      </w:pPr>
      <w:r w:rsidRPr="00183D6C">
        <w:rPr>
          <w:rFonts w:ascii="Times New Roman" w:hAnsi="Times New Roman" w:cs="Times New Roman"/>
          <w:sz w:val="24"/>
          <w:szCs w:val="24"/>
        </w:rPr>
        <w:t xml:space="preserve">World Bank. (2021). COVID-19 and food security: A framework for rapid food security assessment in rural areas. World Bank Group. </w:t>
      </w:r>
      <w:hyperlink r:id="rId20" w:history="1">
        <w:r w:rsidRPr="00183D6C">
          <w:rPr>
            <w:rStyle w:val="Hyperlink"/>
            <w:rFonts w:ascii="Times New Roman" w:hAnsi="Times New Roman" w:cs="Times New Roman"/>
            <w:sz w:val="24"/>
            <w:szCs w:val="24"/>
          </w:rPr>
          <w:t>https://www.worldbank.org</w:t>
        </w:r>
      </w:hyperlink>
    </w:p>
    <w:p w14:paraId="7E0AE110" w14:textId="77777777" w:rsidR="00AF420E" w:rsidRPr="00CA4CE5" w:rsidRDefault="00AF420E" w:rsidP="00AF420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t>World Bank. (2022</w:t>
      </w:r>
      <w:r w:rsidRPr="00183D6C">
        <w:rPr>
          <w:rFonts w:ascii="Times New Roman" w:hAnsi="Times New Roman" w:cs="Times New Roman"/>
          <w:sz w:val="24"/>
          <w:szCs w:val="24"/>
        </w:rPr>
        <w:t>a</w:t>
      </w:r>
      <w:r w:rsidRPr="00CA4CE5">
        <w:rPr>
          <w:rFonts w:ascii="Times New Roman" w:hAnsi="Times New Roman" w:cs="Times New Roman"/>
          <w:sz w:val="24"/>
          <w:szCs w:val="24"/>
        </w:rPr>
        <w:t xml:space="preserve">). </w:t>
      </w:r>
      <w:r w:rsidRPr="00CA4CE5">
        <w:rPr>
          <w:rFonts w:ascii="Times New Roman" w:hAnsi="Times New Roman" w:cs="Times New Roman"/>
          <w:i/>
          <w:iCs/>
          <w:sz w:val="24"/>
          <w:szCs w:val="24"/>
        </w:rPr>
        <w:t>Agricultural extension and rural advisory services: Building resilience through hybrid delivery</w:t>
      </w:r>
      <w:r w:rsidRPr="00CA4CE5">
        <w:rPr>
          <w:rFonts w:ascii="Times New Roman" w:hAnsi="Times New Roman" w:cs="Times New Roman"/>
          <w:sz w:val="24"/>
          <w:szCs w:val="24"/>
        </w:rPr>
        <w:t xml:space="preserve">. World Bank Group. </w:t>
      </w:r>
      <w:hyperlink r:id="rId21" w:tgtFrame="_new" w:history="1">
        <w:r w:rsidRPr="00CA4CE5">
          <w:rPr>
            <w:rStyle w:val="Hyperlink"/>
            <w:rFonts w:ascii="Times New Roman" w:hAnsi="Times New Roman" w:cs="Times New Roman"/>
            <w:sz w:val="24"/>
            <w:szCs w:val="24"/>
          </w:rPr>
          <w:t>https://documents.worldbank.org/en/publication/documents-reports/documentdetail/657241641847174902</w:t>
        </w:r>
      </w:hyperlink>
    </w:p>
    <w:p w14:paraId="02690EA3" w14:textId="77777777" w:rsidR="00AF420E" w:rsidRPr="004E610C" w:rsidRDefault="00AF420E" w:rsidP="00AF420E">
      <w:pPr>
        <w:spacing w:line="360" w:lineRule="auto"/>
        <w:ind w:left="851" w:hanging="851"/>
        <w:jc w:val="both"/>
        <w:rPr>
          <w:rFonts w:ascii="Times New Roman" w:hAnsi="Times New Roman" w:cs="Times New Roman"/>
          <w:sz w:val="24"/>
          <w:szCs w:val="24"/>
        </w:rPr>
      </w:pPr>
      <w:r w:rsidRPr="004E610C">
        <w:rPr>
          <w:rFonts w:ascii="Times New Roman" w:hAnsi="Times New Roman" w:cs="Times New Roman"/>
          <w:sz w:val="24"/>
          <w:szCs w:val="24"/>
        </w:rPr>
        <w:t>World Bank. (2022</w:t>
      </w:r>
      <w:r w:rsidRPr="00183D6C">
        <w:rPr>
          <w:rFonts w:ascii="Times New Roman" w:hAnsi="Times New Roman" w:cs="Times New Roman"/>
          <w:sz w:val="24"/>
          <w:szCs w:val="24"/>
        </w:rPr>
        <w:t>b</w:t>
      </w:r>
      <w:r w:rsidRPr="004E610C">
        <w:rPr>
          <w:rFonts w:ascii="Times New Roman" w:hAnsi="Times New Roman" w:cs="Times New Roman"/>
          <w:sz w:val="24"/>
          <w:szCs w:val="24"/>
        </w:rPr>
        <w:t xml:space="preserve">). </w:t>
      </w:r>
      <w:r w:rsidRPr="004E610C">
        <w:rPr>
          <w:rFonts w:ascii="Times New Roman" w:hAnsi="Times New Roman" w:cs="Times New Roman"/>
          <w:i/>
          <w:iCs/>
          <w:sz w:val="24"/>
          <w:szCs w:val="24"/>
        </w:rPr>
        <w:t>Digital advisory services and the future of agricultural extension</w:t>
      </w:r>
      <w:r w:rsidRPr="004E610C">
        <w:rPr>
          <w:rFonts w:ascii="Times New Roman" w:hAnsi="Times New Roman" w:cs="Times New Roman"/>
          <w:sz w:val="24"/>
          <w:szCs w:val="24"/>
        </w:rPr>
        <w:t xml:space="preserve">. World Bank Group. </w:t>
      </w:r>
      <w:hyperlink r:id="rId22" w:tgtFrame="_new" w:history="1">
        <w:r w:rsidRPr="004E610C">
          <w:rPr>
            <w:rStyle w:val="Hyperlink"/>
            <w:rFonts w:ascii="Times New Roman" w:hAnsi="Times New Roman" w:cs="Times New Roman"/>
            <w:sz w:val="24"/>
            <w:szCs w:val="24"/>
          </w:rPr>
          <w:t>https://www.worldbank.org</w:t>
        </w:r>
      </w:hyperlink>
    </w:p>
    <w:p w14:paraId="571C6A16" w14:textId="77777777" w:rsidR="009A1BD7" w:rsidRPr="005916B1" w:rsidRDefault="009A1BD7" w:rsidP="006D0699">
      <w:pPr>
        <w:spacing w:before="240" w:line="360" w:lineRule="auto"/>
        <w:jc w:val="both"/>
        <w:rPr>
          <w:rFonts w:ascii="Times New Roman" w:hAnsi="Times New Roman" w:cs="Times New Roman"/>
          <w:sz w:val="24"/>
          <w:szCs w:val="24"/>
        </w:rPr>
      </w:pPr>
    </w:p>
    <w:sectPr w:rsidR="009A1BD7" w:rsidRPr="005916B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7D8E3" w14:textId="77777777" w:rsidR="00824527" w:rsidRDefault="00824527" w:rsidP="00F21C3E">
      <w:pPr>
        <w:spacing w:after="0" w:line="240" w:lineRule="auto"/>
      </w:pPr>
      <w:r>
        <w:separator/>
      </w:r>
    </w:p>
  </w:endnote>
  <w:endnote w:type="continuationSeparator" w:id="0">
    <w:p w14:paraId="2167AD98" w14:textId="77777777" w:rsidR="00824527" w:rsidRDefault="00824527" w:rsidP="00F2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874A" w14:textId="77777777" w:rsidR="00F21C3E" w:rsidRDefault="00F21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1410" w14:textId="77777777" w:rsidR="00F21C3E" w:rsidRDefault="00F21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7E03" w14:textId="77777777" w:rsidR="00F21C3E" w:rsidRDefault="00F21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A5E87" w14:textId="77777777" w:rsidR="00824527" w:rsidRDefault="00824527" w:rsidP="00F21C3E">
      <w:pPr>
        <w:spacing w:after="0" w:line="240" w:lineRule="auto"/>
      </w:pPr>
      <w:r>
        <w:separator/>
      </w:r>
    </w:p>
  </w:footnote>
  <w:footnote w:type="continuationSeparator" w:id="0">
    <w:p w14:paraId="21436798" w14:textId="77777777" w:rsidR="00824527" w:rsidRDefault="00824527" w:rsidP="00F21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195F" w14:textId="4E159AA3" w:rsidR="00F21C3E" w:rsidRDefault="00F21C3E">
    <w:pPr>
      <w:pStyle w:val="Header"/>
    </w:pPr>
    <w:r>
      <w:rPr>
        <w:noProof/>
      </w:rPr>
      <w:pict w14:anchorId="622C0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3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987A" w14:textId="6A64B700" w:rsidR="00F21C3E" w:rsidRDefault="00F21C3E">
    <w:pPr>
      <w:pStyle w:val="Header"/>
    </w:pPr>
    <w:r>
      <w:rPr>
        <w:noProof/>
      </w:rPr>
      <w:pict w14:anchorId="02E01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3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C756" w14:textId="138B0A83" w:rsidR="00F21C3E" w:rsidRDefault="00F21C3E">
    <w:pPr>
      <w:pStyle w:val="Header"/>
    </w:pPr>
    <w:r>
      <w:rPr>
        <w:noProof/>
      </w:rPr>
      <w:pict w14:anchorId="1ADFB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3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62A9D"/>
    <w:multiLevelType w:val="multilevel"/>
    <w:tmpl w:val="F074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E5F4B"/>
    <w:multiLevelType w:val="multilevel"/>
    <w:tmpl w:val="2388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085447">
    <w:abstractNumId w:val="0"/>
  </w:num>
  <w:num w:numId="2" w16cid:durableId="51631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B1"/>
    <w:rsid w:val="0006711C"/>
    <w:rsid w:val="000A4976"/>
    <w:rsid w:val="000D188F"/>
    <w:rsid w:val="000E30F1"/>
    <w:rsid w:val="0017187F"/>
    <w:rsid w:val="001D3CFA"/>
    <w:rsid w:val="001E04AA"/>
    <w:rsid w:val="001F6CBE"/>
    <w:rsid w:val="00270C78"/>
    <w:rsid w:val="003324EC"/>
    <w:rsid w:val="00346704"/>
    <w:rsid w:val="00376647"/>
    <w:rsid w:val="003813E1"/>
    <w:rsid w:val="003B5FAF"/>
    <w:rsid w:val="00405F5A"/>
    <w:rsid w:val="004142D1"/>
    <w:rsid w:val="00417DBD"/>
    <w:rsid w:val="004400D2"/>
    <w:rsid w:val="004870A5"/>
    <w:rsid w:val="004E602E"/>
    <w:rsid w:val="004F7754"/>
    <w:rsid w:val="00532772"/>
    <w:rsid w:val="005916B1"/>
    <w:rsid w:val="00591B49"/>
    <w:rsid w:val="005C706A"/>
    <w:rsid w:val="005D0360"/>
    <w:rsid w:val="005F143F"/>
    <w:rsid w:val="006731DD"/>
    <w:rsid w:val="006A6871"/>
    <w:rsid w:val="006D0699"/>
    <w:rsid w:val="006F076F"/>
    <w:rsid w:val="00702E1B"/>
    <w:rsid w:val="00722ED9"/>
    <w:rsid w:val="007A1526"/>
    <w:rsid w:val="00824527"/>
    <w:rsid w:val="0091562A"/>
    <w:rsid w:val="00984624"/>
    <w:rsid w:val="009A1BD7"/>
    <w:rsid w:val="009A1F25"/>
    <w:rsid w:val="009A6FA3"/>
    <w:rsid w:val="00A3101A"/>
    <w:rsid w:val="00A40E38"/>
    <w:rsid w:val="00A6292F"/>
    <w:rsid w:val="00A80246"/>
    <w:rsid w:val="00A835EA"/>
    <w:rsid w:val="00AC381D"/>
    <w:rsid w:val="00AF1EB9"/>
    <w:rsid w:val="00AF420E"/>
    <w:rsid w:val="00B53CE9"/>
    <w:rsid w:val="00C4662F"/>
    <w:rsid w:val="00C74AA1"/>
    <w:rsid w:val="00CB2DE4"/>
    <w:rsid w:val="00CE26B4"/>
    <w:rsid w:val="00D03EC9"/>
    <w:rsid w:val="00D16E4E"/>
    <w:rsid w:val="00D47B50"/>
    <w:rsid w:val="00D515D3"/>
    <w:rsid w:val="00DD3629"/>
    <w:rsid w:val="00DF4EAF"/>
    <w:rsid w:val="00EF38C8"/>
    <w:rsid w:val="00F21C3E"/>
    <w:rsid w:val="00FC09D0"/>
    <w:rsid w:val="00FE26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3472F"/>
  <w15:chartTrackingRefBased/>
  <w15:docId w15:val="{E1149B73-2E98-4D71-8FD2-E9A01A07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91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916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16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16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1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6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916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916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16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16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1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6B1"/>
    <w:rPr>
      <w:rFonts w:eastAsiaTheme="majorEastAsia" w:cstheme="majorBidi"/>
      <w:color w:val="272727" w:themeColor="text1" w:themeTint="D8"/>
    </w:rPr>
  </w:style>
  <w:style w:type="paragraph" w:styleId="Title">
    <w:name w:val="Title"/>
    <w:basedOn w:val="Normal"/>
    <w:next w:val="Normal"/>
    <w:link w:val="TitleChar"/>
    <w:uiPriority w:val="10"/>
    <w:qFormat/>
    <w:rsid w:val="00591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6B1"/>
    <w:pPr>
      <w:spacing w:before="160"/>
      <w:jc w:val="center"/>
    </w:pPr>
    <w:rPr>
      <w:i/>
      <w:iCs/>
      <w:color w:val="404040" w:themeColor="text1" w:themeTint="BF"/>
    </w:rPr>
  </w:style>
  <w:style w:type="character" w:customStyle="1" w:styleId="QuoteChar">
    <w:name w:val="Quote Char"/>
    <w:basedOn w:val="DefaultParagraphFont"/>
    <w:link w:val="Quote"/>
    <w:uiPriority w:val="29"/>
    <w:rsid w:val="005916B1"/>
    <w:rPr>
      <w:i/>
      <w:iCs/>
      <w:color w:val="404040" w:themeColor="text1" w:themeTint="BF"/>
    </w:rPr>
  </w:style>
  <w:style w:type="paragraph" w:styleId="ListParagraph">
    <w:name w:val="List Paragraph"/>
    <w:basedOn w:val="Normal"/>
    <w:uiPriority w:val="34"/>
    <w:qFormat/>
    <w:rsid w:val="005916B1"/>
    <w:pPr>
      <w:ind w:left="720"/>
      <w:contextualSpacing/>
    </w:pPr>
  </w:style>
  <w:style w:type="character" w:styleId="IntenseEmphasis">
    <w:name w:val="Intense Emphasis"/>
    <w:basedOn w:val="DefaultParagraphFont"/>
    <w:uiPriority w:val="21"/>
    <w:qFormat/>
    <w:rsid w:val="005916B1"/>
    <w:rPr>
      <w:i/>
      <w:iCs/>
      <w:color w:val="2F5496" w:themeColor="accent1" w:themeShade="BF"/>
    </w:rPr>
  </w:style>
  <w:style w:type="paragraph" w:styleId="IntenseQuote">
    <w:name w:val="Intense Quote"/>
    <w:basedOn w:val="Normal"/>
    <w:next w:val="Normal"/>
    <w:link w:val="IntenseQuoteChar"/>
    <w:uiPriority w:val="30"/>
    <w:qFormat/>
    <w:rsid w:val="00591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16B1"/>
    <w:rPr>
      <w:i/>
      <w:iCs/>
      <w:color w:val="2F5496" w:themeColor="accent1" w:themeShade="BF"/>
    </w:rPr>
  </w:style>
  <w:style w:type="character" w:styleId="IntenseReference">
    <w:name w:val="Intense Reference"/>
    <w:basedOn w:val="DefaultParagraphFont"/>
    <w:uiPriority w:val="32"/>
    <w:qFormat/>
    <w:rsid w:val="005916B1"/>
    <w:rPr>
      <w:b/>
      <w:bCs/>
      <w:smallCaps/>
      <w:color w:val="2F5496" w:themeColor="accent1" w:themeShade="BF"/>
      <w:spacing w:val="5"/>
    </w:rPr>
  </w:style>
  <w:style w:type="table" w:styleId="TableGrid">
    <w:name w:val="Table Grid"/>
    <w:basedOn w:val="TableNormal"/>
    <w:uiPriority w:val="59"/>
    <w:rsid w:val="0041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5F5A"/>
    <w:rPr>
      <w:b/>
      <w:bCs/>
    </w:rPr>
  </w:style>
  <w:style w:type="character" w:styleId="Hyperlink">
    <w:name w:val="Hyperlink"/>
    <w:basedOn w:val="DefaultParagraphFont"/>
    <w:uiPriority w:val="99"/>
    <w:unhideWhenUsed/>
    <w:rsid w:val="00AF420E"/>
    <w:rPr>
      <w:color w:val="0563C1" w:themeColor="hyperlink"/>
      <w:u w:val="single"/>
    </w:rPr>
  </w:style>
  <w:style w:type="character" w:styleId="UnresolvedMention">
    <w:name w:val="Unresolved Mention"/>
    <w:basedOn w:val="DefaultParagraphFont"/>
    <w:uiPriority w:val="99"/>
    <w:semiHidden/>
    <w:unhideWhenUsed/>
    <w:rsid w:val="00FC09D0"/>
    <w:rPr>
      <w:color w:val="605E5C"/>
      <w:shd w:val="clear" w:color="auto" w:fill="E1DFDD"/>
    </w:rPr>
  </w:style>
  <w:style w:type="paragraph" w:styleId="Header">
    <w:name w:val="header"/>
    <w:basedOn w:val="Normal"/>
    <w:link w:val="HeaderChar"/>
    <w:uiPriority w:val="99"/>
    <w:unhideWhenUsed/>
    <w:rsid w:val="00F2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3E"/>
  </w:style>
  <w:style w:type="paragraph" w:styleId="Footer">
    <w:name w:val="footer"/>
    <w:basedOn w:val="Normal"/>
    <w:link w:val="FooterChar"/>
    <w:uiPriority w:val="99"/>
    <w:unhideWhenUsed/>
    <w:rsid w:val="00F2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1119">
      <w:bodyDiv w:val="1"/>
      <w:marLeft w:val="0"/>
      <w:marRight w:val="0"/>
      <w:marTop w:val="0"/>
      <w:marBottom w:val="0"/>
      <w:divBdr>
        <w:top w:val="none" w:sz="0" w:space="0" w:color="auto"/>
        <w:left w:val="none" w:sz="0" w:space="0" w:color="auto"/>
        <w:bottom w:val="none" w:sz="0" w:space="0" w:color="auto"/>
        <w:right w:val="none" w:sz="0" w:space="0" w:color="auto"/>
      </w:divBdr>
    </w:div>
    <w:div w:id="173496236">
      <w:bodyDiv w:val="1"/>
      <w:marLeft w:val="0"/>
      <w:marRight w:val="0"/>
      <w:marTop w:val="0"/>
      <w:marBottom w:val="0"/>
      <w:divBdr>
        <w:top w:val="none" w:sz="0" w:space="0" w:color="auto"/>
        <w:left w:val="none" w:sz="0" w:space="0" w:color="auto"/>
        <w:bottom w:val="none" w:sz="0" w:space="0" w:color="auto"/>
        <w:right w:val="none" w:sz="0" w:space="0" w:color="auto"/>
      </w:divBdr>
    </w:div>
    <w:div w:id="300579078">
      <w:bodyDiv w:val="1"/>
      <w:marLeft w:val="0"/>
      <w:marRight w:val="0"/>
      <w:marTop w:val="0"/>
      <w:marBottom w:val="0"/>
      <w:divBdr>
        <w:top w:val="none" w:sz="0" w:space="0" w:color="auto"/>
        <w:left w:val="none" w:sz="0" w:space="0" w:color="auto"/>
        <w:bottom w:val="none" w:sz="0" w:space="0" w:color="auto"/>
        <w:right w:val="none" w:sz="0" w:space="0" w:color="auto"/>
      </w:divBdr>
    </w:div>
    <w:div w:id="339359873">
      <w:bodyDiv w:val="1"/>
      <w:marLeft w:val="0"/>
      <w:marRight w:val="0"/>
      <w:marTop w:val="0"/>
      <w:marBottom w:val="0"/>
      <w:divBdr>
        <w:top w:val="none" w:sz="0" w:space="0" w:color="auto"/>
        <w:left w:val="none" w:sz="0" w:space="0" w:color="auto"/>
        <w:bottom w:val="none" w:sz="0" w:space="0" w:color="auto"/>
        <w:right w:val="none" w:sz="0" w:space="0" w:color="auto"/>
      </w:divBdr>
    </w:div>
    <w:div w:id="349648406">
      <w:bodyDiv w:val="1"/>
      <w:marLeft w:val="0"/>
      <w:marRight w:val="0"/>
      <w:marTop w:val="0"/>
      <w:marBottom w:val="0"/>
      <w:divBdr>
        <w:top w:val="none" w:sz="0" w:space="0" w:color="auto"/>
        <w:left w:val="none" w:sz="0" w:space="0" w:color="auto"/>
        <w:bottom w:val="none" w:sz="0" w:space="0" w:color="auto"/>
        <w:right w:val="none" w:sz="0" w:space="0" w:color="auto"/>
      </w:divBdr>
    </w:div>
    <w:div w:id="369574607">
      <w:bodyDiv w:val="1"/>
      <w:marLeft w:val="0"/>
      <w:marRight w:val="0"/>
      <w:marTop w:val="0"/>
      <w:marBottom w:val="0"/>
      <w:divBdr>
        <w:top w:val="none" w:sz="0" w:space="0" w:color="auto"/>
        <w:left w:val="none" w:sz="0" w:space="0" w:color="auto"/>
        <w:bottom w:val="none" w:sz="0" w:space="0" w:color="auto"/>
        <w:right w:val="none" w:sz="0" w:space="0" w:color="auto"/>
      </w:divBdr>
    </w:div>
    <w:div w:id="401101880">
      <w:bodyDiv w:val="1"/>
      <w:marLeft w:val="0"/>
      <w:marRight w:val="0"/>
      <w:marTop w:val="0"/>
      <w:marBottom w:val="0"/>
      <w:divBdr>
        <w:top w:val="none" w:sz="0" w:space="0" w:color="auto"/>
        <w:left w:val="none" w:sz="0" w:space="0" w:color="auto"/>
        <w:bottom w:val="none" w:sz="0" w:space="0" w:color="auto"/>
        <w:right w:val="none" w:sz="0" w:space="0" w:color="auto"/>
      </w:divBdr>
    </w:div>
    <w:div w:id="454756425">
      <w:bodyDiv w:val="1"/>
      <w:marLeft w:val="0"/>
      <w:marRight w:val="0"/>
      <w:marTop w:val="0"/>
      <w:marBottom w:val="0"/>
      <w:divBdr>
        <w:top w:val="none" w:sz="0" w:space="0" w:color="auto"/>
        <w:left w:val="none" w:sz="0" w:space="0" w:color="auto"/>
        <w:bottom w:val="none" w:sz="0" w:space="0" w:color="auto"/>
        <w:right w:val="none" w:sz="0" w:space="0" w:color="auto"/>
      </w:divBdr>
    </w:div>
    <w:div w:id="455832232">
      <w:bodyDiv w:val="1"/>
      <w:marLeft w:val="0"/>
      <w:marRight w:val="0"/>
      <w:marTop w:val="0"/>
      <w:marBottom w:val="0"/>
      <w:divBdr>
        <w:top w:val="none" w:sz="0" w:space="0" w:color="auto"/>
        <w:left w:val="none" w:sz="0" w:space="0" w:color="auto"/>
        <w:bottom w:val="none" w:sz="0" w:space="0" w:color="auto"/>
        <w:right w:val="none" w:sz="0" w:space="0" w:color="auto"/>
      </w:divBdr>
    </w:div>
    <w:div w:id="457603018">
      <w:bodyDiv w:val="1"/>
      <w:marLeft w:val="0"/>
      <w:marRight w:val="0"/>
      <w:marTop w:val="0"/>
      <w:marBottom w:val="0"/>
      <w:divBdr>
        <w:top w:val="none" w:sz="0" w:space="0" w:color="auto"/>
        <w:left w:val="none" w:sz="0" w:space="0" w:color="auto"/>
        <w:bottom w:val="none" w:sz="0" w:space="0" w:color="auto"/>
        <w:right w:val="none" w:sz="0" w:space="0" w:color="auto"/>
      </w:divBdr>
    </w:div>
    <w:div w:id="482816296">
      <w:bodyDiv w:val="1"/>
      <w:marLeft w:val="0"/>
      <w:marRight w:val="0"/>
      <w:marTop w:val="0"/>
      <w:marBottom w:val="0"/>
      <w:divBdr>
        <w:top w:val="none" w:sz="0" w:space="0" w:color="auto"/>
        <w:left w:val="none" w:sz="0" w:space="0" w:color="auto"/>
        <w:bottom w:val="none" w:sz="0" w:space="0" w:color="auto"/>
        <w:right w:val="none" w:sz="0" w:space="0" w:color="auto"/>
      </w:divBdr>
    </w:div>
    <w:div w:id="552618825">
      <w:bodyDiv w:val="1"/>
      <w:marLeft w:val="0"/>
      <w:marRight w:val="0"/>
      <w:marTop w:val="0"/>
      <w:marBottom w:val="0"/>
      <w:divBdr>
        <w:top w:val="none" w:sz="0" w:space="0" w:color="auto"/>
        <w:left w:val="none" w:sz="0" w:space="0" w:color="auto"/>
        <w:bottom w:val="none" w:sz="0" w:space="0" w:color="auto"/>
        <w:right w:val="none" w:sz="0" w:space="0" w:color="auto"/>
      </w:divBdr>
    </w:div>
    <w:div w:id="680206800">
      <w:bodyDiv w:val="1"/>
      <w:marLeft w:val="0"/>
      <w:marRight w:val="0"/>
      <w:marTop w:val="0"/>
      <w:marBottom w:val="0"/>
      <w:divBdr>
        <w:top w:val="none" w:sz="0" w:space="0" w:color="auto"/>
        <w:left w:val="none" w:sz="0" w:space="0" w:color="auto"/>
        <w:bottom w:val="none" w:sz="0" w:space="0" w:color="auto"/>
        <w:right w:val="none" w:sz="0" w:space="0" w:color="auto"/>
      </w:divBdr>
    </w:div>
    <w:div w:id="747580014">
      <w:bodyDiv w:val="1"/>
      <w:marLeft w:val="0"/>
      <w:marRight w:val="0"/>
      <w:marTop w:val="0"/>
      <w:marBottom w:val="0"/>
      <w:divBdr>
        <w:top w:val="none" w:sz="0" w:space="0" w:color="auto"/>
        <w:left w:val="none" w:sz="0" w:space="0" w:color="auto"/>
        <w:bottom w:val="none" w:sz="0" w:space="0" w:color="auto"/>
        <w:right w:val="none" w:sz="0" w:space="0" w:color="auto"/>
      </w:divBdr>
    </w:div>
    <w:div w:id="749228897">
      <w:bodyDiv w:val="1"/>
      <w:marLeft w:val="0"/>
      <w:marRight w:val="0"/>
      <w:marTop w:val="0"/>
      <w:marBottom w:val="0"/>
      <w:divBdr>
        <w:top w:val="none" w:sz="0" w:space="0" w:color="auto"/>
        <w:left w:val="none" w:sz="0" w:space="0" w:color="auto"/>
        <w:bottom w:val="none" w:sz="0" w:space="0" w:color="auto"/>
        <w:right w:val="none" w:sz="0" w:space="0" w:color="auto"/>
      </w:divBdr>
    </w:div>
    <w:div w:id="851188025">
      <w:bodyDiv w:val="1"/>
      <w:marLeft w:val="0"/>
      <w:marRight w:val="0"/>
      <w:marTop w:val="0"/>
      <w:marBottom w:val="0"/>
      <w:divBdr>
        <w:top w:val="none" w:sz="0" w:space="0" w:color="auto"/>
        <w:left w:val="none" w:sz="0" w:space="0" w:color="auto"/>
        <w:bottom w:val="none" w:sz="0" w:space="0" w:color="auto"/>
        <w:right w:val="none" w:sz="0" w:space="0" w:color="auto"/>
      </w:divBdr>
    </w:div>
    <w:div w:id="853809485">
      <w:bodyDiv w:val="1"/>
      <w:marLeft w:val="0"/>
      <w:marRight w:val="0"/>
      <w:marTop w:val="0"/>
      <w:marBottom w:val="0"/>
      <w:divBdr>
        <w:top w:val="none" w:sz="0" w:space="0" w:color="auto"/>
        <w:left w:val="none" w:sz="0" w:space="0" w:color="auto"/>
        <w:bottom w:val="none" w:sz="0" w:space="0" w:color="auto"/>
        <w:right w:val="none" w:sz="0" w:space="0" w:color="auto"/>
      </w:divBdr>
    </w:div>
    <w:div w:id="973021782">
      <w:bodyDiv w:val="1"/>
      <w:marLeft w:val="0"/>
      <w:marRight w:val="0"/>
      <w:marTop w:val="0"/>
      <w:marBottom w:val="0"/>
      <w:divBdr>
        <w:top w:val="none" w:sz="0" w:space="0" w:color="auto"/>
        <w:left w:val="none" w:sz="0" w:space="0" w:color="auto"/>
        <w:bottom w:val="none" w:sz="0" w:space="0" w:color="auto"/>
        <w:right w:val="none" w:sz="0" w:space="0" w:color="auto"/>
      </w:divBdr>
    </w:div>
    <w:div w:id="1002854396">
      <w:bodyDiv w:val="1"/>
      <w:marLeft w:val="0"/>
      <w:marRight w:val="0"/>
      <w:marTop w:val="0"/>
      <w:marBottom w:val="0"/>
      <w:divBdr>
        <w:top w:val="none" w:sz="0" w:space="0" w:color="auto"/>
        <w:left w:val="none" w:sz="0" w:space="0" w:color="auto"/>
        <w:bottom w:val="none" w:sz="0" w:space="0" w:color="auto"/>
        <w:right w:val="none" w:sz="0" w:space="0" w:color="auto"/>
      </w:divBdr>
    </w:div>
    <w:div w:id="1086416043">
      <w:bodyDiv w:val="1"/>
      <w:marLeft w:val="0"/>
      <w:marRight w:val="0"/>
      <w:marTop w:val="0"/>
      <w:marBottom w:val="0"/>
      <w:divBdr>
        <w:top w:val="none" w:sz="0" w:space="0" w:color="auto"/>
        <w:left w:val="none" w:sz="0" w:space="0" w:color="auto"/>
        <w:bottom w:val="none" w:sz="0" w:space="0" w:color="auto"/>
        <w:right w:val="none" w:sz="0" w:space="0" w:color="auto"/>
      </w:divBdr>
    </w:div>
    <w:div w:id="1127239997">
      <w:bodyDiv w:val="1"/>
      <w:marLeft w:val="0"/>
      <w:marRight w:val="0"/>
      <w:marTop w:val="0"/>
      <w:marBottom w:val="0"/>
      <w:divBdr>
        <w:top w:val="none" w:sz="0" w:space="0" w:color="auto"/>
        <w:left w:val="none" w:sz="0" w:space="0" w:color="auto"/>
        <w:bottom w:val="none" w:sz="0" w:space="0" w:color="auto"/>
        <w:right w:val="none" w:sz="0" w:space="0" w:color="auto"/>
      </w:divBdr>
    </w:div>
    <w:div w:id="1154100692">
      <w:bodyDiv w:val="1"/>
      <w:marLeft w:val="0"/>
      <w:marRight w:val="0"/>
      <w:marTop w:val="0"/>
      <w:marBottom w:val="0"/>
      <w:divBdr>
        <w:top w:val="none" w:sz="0" w:space="0" w:color="auto"/>
        <w:left w:val="none" w:sz="0" w:space="0" w:color="auto"/>
        <w:bottom w:val="none" w:sz="0" w:space="0" w:color="auto"/>
        <w:right w:val="none" w:sz="0" w:space="0" w:color="auto"/>
      </w:divBdr>
    </w:div>
    <w:div w:id="1155219241">
      <w:bodyDiv w:val="1"/>
      <w:marLeft w:val="0"/>
      <w:marRight w:val="0"/>
      <w:marTop w:val="0"/>
      <w:marBottom w:val="0"/>
      <w:divBdr>
        <w:top w:val="none" w:sz="0" w:space="0" w:color="auto"/>
        <w:left w:val="none" w:sz="0" w:space="0" w:color="auto"/>
        <w:bottom w:val="none" w:sz="0" w:space="0" w:color="auto"/>
        <w:right w:val="none" w:sz="0" w:space="0" w:color="auto"/>
      </w:divBdr>
    </w:div>
    <w:div w:id="1195074543">
      <w:bodyDiv w:val="1"/>
      <w:marLeft w:val="0"/>
      <w:marRight w:val="0"/>
      <w:marTop w:val="0"/>
      <w:marBottom w:val="0"/>
      <w:divBdr>
        <w:top w:val="none" w:sz="0" w:space="0" w:color="auto"/>
        <w:left w:val="none" w:sz="0" w:space="0" w:color="auto"/>
        <w:bottom w:val="none" w:sz="0" w:space="0" w:color="auto"/>
        <w:right w:val="none" w:sz="0" w:space="0" w:color="auto"/>
      </w:divBdr>
    </w:div>
    <w:div w:id="1247692789">
      <w:bodyDiv w:val="1"/>
      <w:marLeft w:val="0"/>
      <w:marRight w:val="0"/>
      <w:marTop w:val="0"/>
      <w:marBottom w:val="0"/>
      <w:divBdr>
        <w:top w:val="none" w:sz="0" w:space="0" w:color="auto"/>
        <w:left w:val="none" w:sz="0" w:space="0" w:color="auto"/>
        <w:bottom w:val="none" w:sz="0" w:space="0" w:color="auto"/>
        <w:right w:val="none" w:sz="0" w:space="0" w:color="auto"/>
      </w:divBdr>
    </w:div>
    <w:div w:id="1322272854">
      <w:bodyDiv w:val="1"/>
      <w:marLeft w:val="0"/>
      <w:marRight w:val="0"/>
      <w:marTop w:val="0"/>
      <w:marBottom w:val="0"/>
      <w:divBdr>
        <w:top w:val="none" w:sz="0" w:space="0" w:color="auto"/>
        <w:left w:val="none" w:sz="0" w:space="0" w:color="auto"/>
        <w:bottom w:val="none" w:sz="0" w:space="0" w:color="auto"/>
        <w:right w:val="none" w:sz="0" w:space="0" w:color="auto"/>
      </w:divBdr>
    </w:div>
    <w:div w:id="1323657563">
      <w:bodyDiv w:val="1"/>
      <w:marLeft w:val="0"/>
      <w:marRight w:val="0"/>
      <w:marTop w:val="0"/>
      <w:marBottom w:val="0"/>
      <w:divBdr>
        <w:top w:val="none" w:sz="0" w:space="0" w:color="auto"/>
        <w:left w:val="none" w:sz="0" w:space="0" w:color="auto"/>
        <w:bottom w:val="none" w:sz="0" w:space="0" w:color="auto"/>
        <w:right w:val="none" w:sz="0" w:space="0" w:color="auto"/>
      </w:divBdr>
    </w:div>
    <w:div w:id="1458137226">
      <w:bodyDiv w:val="1"/>
      <w:marLeft w:val="0"/>
      <w:marRight w:val="0"/>
      <w:marTop w:val="0"/>
      <w:marBottom w:val="0"/>
      <w:divBdr>
        <w:top w:val="none" w:sz="0" w:space="0" w:color="auto"/>
        <w:left w:val="none" w:sz="0" w:space="0" w:color="auto"/>
        <w:bottom w:val="none" w:sz="0" w:space="0" w:color="auto"/>
        <w:right w:val="none" w:sz="0" w:space="0" w:color="auto"/>
      </w:divBdr>
    </w:div>
    <w:div w:id="1520699839">
      <w:bodyDiv w:val="1"/>
      <w:marLeft w:val="0"/>
      <w:marRight w:val="0"/>
      <w:marTop w:val="0"/>
      <w:marBottom w:val="0"/>
      <w:divBdr>
        <w:top w:val="none" w:sz="0" w:space="0" w:color="auto"/>
        <w:left w:val="none" w:sz="0" w:space="0" w:color="auto"/>
        <w:bottom w:val="none" w:sz="0" w:space="0" w:color="auto"/>
        <w:right w:val="none" w:sz="0" w:space="0" w:color="auto"/>
      </w:divBdr>
    </w:div>
    <w:div w:id="1550532126">
      <w:bodyDiv w:val="1"/>
      <w:marLeft w:val="0"/>
      <w:marRight w:val="0"/>
      <w:marTop w:val="0"/>
      <w:marBottom w:val="0"/>
      <w:divBdr>
        <w:top w:val="none" w:sz="0" w:space="0" w:color="auto"/>
        <w:left w:val="none" w:sz="0" w:space="0" w:color="auto"/>
        <w:bottom w:val="none" w:sz="0" w:space="0" w:color="auto"/>
        <w:right w:val="none" w:sz="0" w:space="0" w:color="auto"/>
      </w:divBdr>
    </w:div>
    <w:div w:id="1601572080">
      <w:bodyDiv w:val="1"/>
      <w:marLeft w:val="0"/>
      <w:marRight w:val="0"/>
      <w:marTop w:val="0"/>
      <w:marBottom w:val="0"/>
      <w:divBdr>
        <w:top w:val="none" w:sz="0" w:space="0" w:color="auto"/>
        <w:left w:val="none" w:sz="0" w:space="0" w:color="auto"/>
        <w:bottom w:val="none" w:sz="0" w:space="0" w:color="auto"/>
        <w:right w:val="none" w:sz="0" w:space="0" w:color="auto"/>
      </w:divBdr>
    </w:div>
    <w:div w:id="1711371545">
      <w:bodyDiv w:val="1"/>
      <w:marLeft w:val="0"/>
      <w:marRight w:val="0"/>
      <w:marTop w:val="0"/>
      <w:marBottom w:val="0"/>
      <w:divBdr>
        <w:top w:val="none" w:sz="0" w:space="0" w:color="auto"/>
        <w:left w:val="none" w:sz="0" w:space="0" w:color="auto"/>
        <w:bottom w:val="none" w:sz="0" w:space="0" w:color="auto"/>
        <w:right w:val="none" w:sz="0" w:space="0" w:color="auto"/>
      </w:divBdr>
    </w:div>
    <w:div w:id="1712072195">
      <w:bodyDiv w:val="1"/>
      <w:marLeft w:val="0"/>
      <w:marRight w:val="0"/>
      <w:marTop w:val="0"/>
      <w:marBottom w:val="0"/>
      <w:divBdr>
        <w:top w:val="none" w:sz="0" w:space="0" w:color="auto"/>
        <w:left w:val="none" w:sz="0" w:space="0" w:color="auto"/>
        <w:bottom w:val="none" w:sz="0" w:space="0" w:color="auto"/>
        <w:right w:val="none" w:sz="0" w:space="0" w:color="auto"/>
      </w:divBdr>
    </w:div>
    <w:div w:id="1814788181">
      <w:bodyDiv w:val="1"/>
      <w:marLeft w:val="0"/>
      <w:marRight w:val="0"/>
      <w:marTop w:val="0"/>
      <w:marBottom w:val="0"/>
      <w:divBdr>
        <w:top w:val="none" w:sz="0" w:space="0" w:color="auto"/>
        <w:left w:val="none" w:sz="0" w:space="0" w:color="auto"/>
        <w:bottom w:val="none" w:sz="0" w:space="0" w:color="auto"/>
        <w:right w:val="none" w:sz="0" w:space="0" w:color="auto"/>
      </w:divBdr>
    </w:div>
    <w:div w:id="1840075801">
      <w:bodyDiv w:val="1"/>
      <w:marLeft w:val="0"/>
      <w:marRight w:val="0"/>
      <w:marTop w:val="0"/>
      <w:marBottom w:val="0"/>
      <w:divBdr>
        <w:top w:val="none" w:sz="0" w:space="0" w:color="auto"/>
        <w:left w:val="none" w:sz="0" w:space="0" w:color="auto"/>
        <w:bottom w:val="none" w:sz="0" w:space="0" w:color="auto"/>
        <w:right w:val="none" w:sz="0" w:space="0" w:color="auto"/>
      </w:divBdr>
    </w:div>
    <w:div w:id="1874614158">
      <w:bodyDiv w:val="1"/>
      <w:marLeft w:val="0"/>
      <w:marRight w:val="0"/>
      <w:marTop w:val="0"/>
      <w:marBottom w:val="0"/>
      <w:divBdr>
        <w:top w:val="none" w:sz="0" w:space="0" w:color="auto"/>
        <w:left w:val="none" w:sz="0" w:space="0" w:color="auto"/>
        <w:bottom w:val="none" w:sz="0" w:space="0" w:color="auto"/>
        <w:right w:val="none" w:sz="0" w:space="0" w:color="auto"/>
      </w:divBdr>
    </w:div>
    <w:div w:id="2053576932">
      <w:bodyDiv w:val="1"/>
      <w:marLeft w:val="0"/>
      <w:marRight w:val="0"/>
      <w:marTop w:val="0"/>
      <w:marBottom w:val="0"/>
      <w:divBdr>
        <w:top w:val="none" w:sz="0" w:space="0" w:color="auto"/>
        <w:left w:val="none" w:sz="0" w:space="0" w:color="auto"/>
        <w:bottom w:val="none" w:sz="0" w:space="0" w:color="auto"/>
        <w:right w:val="none" w:sz="0" w:space="0" w:color="auto"/>
      </w:divBdr>
    </w:div>
    <w:div w:id="20759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91/jiaee.2008.15302" TargetMode="External"/><Relationship Id="rId13" Type="http://schemas.openxmlformats.org/officeDocument/2006/relationships/hyperlink" Target="https://www.fao.org/digital-agriculture/digital-villages" TargetMode="External"/><Relationship Id="rId18" Type="http://schemas.openxmlformats.org/officeDocument/2006/relationships/hyperlink" Target="https://precisionag.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cuments.worldbank.org/en/publication/documents-reports/documentdetail/657241641847174902" TargetMode="External"/><Relationship Id="rId7" Type="http://schemas.openxmlformats.org/officeDocument/2006/relationships/hyperlink" Target="https://agriwatch.ph" TargetMode="External"/><Relationship Id="rId12" Type="http://schemas.openxmlformats.org/officeDocument/2006/relationships/hyperlink" Target="https://www.fao.org/documents/card/en/c/cb9886en" TargetMode="External"/><Relationship Id="rId17" Type="http://schemas.openxmlformats.org/officeDocument/2006/relationships/hyperlink" Target="https://www.migrationpolicy.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igitalindia.gov.in/" TargetMode="External"/><Relationship Id="rId20" Type="http://schemas.openxmlformats.org/officeDocument/2006/relationships/hyperlink" Target="https://www.worldbank.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o.or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agricoop.gov.i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ao.org/documents/card/en/c/cb7239en" TargetMode="External"/><Relationship Id="rId19" Type="http://schemas.openxmlformats.org/officeDocument/2006/relationships/hyperlink" Target="https://openknowledge.worldbank.org" TargetMode="External"/><Relationship Id="rId4" Type="http://schemas.openxmlformats.org/officeDocument/2006/relationships/webSettings" Target="webSettings.xml"/><Relationship Id="rId9" Type="http://schemas.openxmlformats.org/officeDocument/2006/relationships/hyperlink" Target="https://www.fao.org/documents/card/en/c/cb7433en" TargetMode="External"/><Relationship Id="rId14" Type="http://schemas.openxmlformats.org/officeDocument/2006/relationships/hyperlink" Target="https://doi.org/10.2499/9780896291650" TargetMode="External"/><Relationship Id="rId22" Type="http://schemas.openxmlformats.org/officeDocument/2006/relationships/hyperlink" Target="https://www.worldbank.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33</Pages>
  <Words>12338</Words>
  <Characters>70333</Characters>
  <Application>Microsoft Office Word</Application>
  <DocSecurity>0</DocSecurity>
  <Lines>586</Lines>
  <Paragraphs>165</Paragraphs>
  <ScaleCrop>false</ScaleCrop>
  <Company/>
  <LinksUpToDate>false</LinksUpToDate>
  <CharactersWithSpaces>82506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Editor-22</cp:lastModifiedBy>
  <cp:revision>54</cp:revision>
  <dcterms:created xsi:type="dcterms:W3CDTF">2025-06-25T09:20:00Z</dcterms:created>
  <dcterms:modified xsi:type="dcterms:W3CDTF">2025-06-26T08:11:00Z</dcterms:modified>
</cp:coreProperties>
</file>