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BD0E9" w14:textId="38451A4D" w:rsidR="003244A3" w:rsidRPr="003244A3" w:rsidRDefault="003244A3" w:rsidP="0006276F">
      <w:pPr>
        <w:spacing w:line="480" w:lineRule="auto"/>
        <w:rPr>
          <w:rFonts w:ascii="Arial Narrow" w:hAnsi="Arial Narrow" w:cs="Times New Roman"/>
          <w:b/>
          <w:bCs/>
          <w:sz w:val="24"/>
          <w:szCs w:val="24"/>
          <w:u w:val="single"/>
        </w:rPr>
      </w:pPr>
      <w:r w:rsidRPr="003244A3">
        <w:rPr>
          <w:rFonts w:ascii="Arial Narrow" w:hAnsi="Arial Narrow" w:cs="Times New Roman"/>
          <w:b/>
          <w:bCs/>
          <w:sz w:val="24"/>
          <w:szCs w:val="24"/>
          <w:u w:val="single"/>
        </w:rPr>
        <w:t>Original Research Article</w:t>
      </w:r>
    </w:p>
    <w:p w14:paraId="61459DFF" w14:textId="5CCF76C2" w:rsidR="000754FB" w:rsidRPr="00E75BE2" w:rsidRDefault="0006276F" w:rsidP="0006276F">
      <w:pPr>
        <w:spacing w:line="480" w:lineRule="auto"/>
        <w:rPr>
          <w:rFonts w:ascii="Arial Narrow" w:hAnsi="Arial Narrow" w:cs="Times New Roman"/>
          <w:b/>
          <w:bCs/>
          <w:sz w:val="24"/>
          <w:szCs w:val="24"/>
        </w:rPr>
      </w:pPr>
      <w:r w:rsidRPr="00E75BE2">
        <w:rPr>
          <w:rFonts w:ascii="Arial Narrow" w:hAnsi="Arial Narrow" w:cs="Times New Roman"/>
          <w:b/>
          <w:bCs/>
          <w:sz w:val="24"/>
          <w:szCs w:val="24"/>
        </w:rPr>
        <w:t xml:space="preserve">SERUM </w:t>
      </w:r>
      <w:r w:rsidR="000754FB" w:rsidRPr="00E75BE2">
        <w:rPr>
          <w:rFonts w:ascii="Arial Narrow" w:hAnsi="Arial Narrow" w:cs="Times New Roman"/>
          <w:b/>
          <w:bCs/>
          <w:sz w:val="24"/>
          <w:szCs w:val="24"/>
        </w:rPr>
        <w:t>BIOCHEMICAL ALTERATIONS IN DOGS AFFECTED BY HEPATIC DYSFUNCTION</w:t>
      </w:r>
    </w:p>
    <w:p w14:paraId="77DFA10D" w14:textId="77777777" w:rsidR="00B52F51" w:rsidRDefault="00B52F51" w:rsidP="00E73970">
      <w:pPr>
        <w:spacing w:line="480" w:lineRule="auto"/>
        <w:rPr>
          <w:rFonts w:ascii="Arial Narrow" w:hAnsi="Arial Narrow" w:cs="Times New Roman"/>
          <w:b/>
          <w:bCs/>
        </w:rPr>
      </w:pPr>
    </w:p>
    <w:p w14:paraId="234F06AD" w14:textId="2E5E6F46" w:rsidR="00E73970" w:rsidRPr="00E970AE" w:rsidRDefault="00034C1D" w:rsidP="00E73970">
      <w:pPr>
        <w:spacing w:line="480" w:lineRule="auto"/>
        <w:rPr>
          <w:rFonts w:ascii="Arial Narrow" w:hAnsi="Arial Narrow" w:cs="Times New Roman"/>
          <w:b/>
          <w:bCs/>
        </w:rPr>
      </w:pPr>
      <w:r w:rsidRPr="00E970AE">
        <w:rPr>
          <w:rFonts w:ascii="Arial Narrow" w:hAnsi="Arial Narrow" w:cs="Times New Roman"/>
          <w:b/>
          <w:bCs/>
        </w:rPr>
        <w:t>ABSTRACT</w:t>
      </w:r>
    </w:p>
    <w:p w14:paraId="5398415C" w14:textId="6F390E58" w:rsidR="001C3A5D" w:rsidRPr="00E970AE" w:rsidRDefault="001C3A5D" w:rsidP="001C3A5D">
      <w:pPr>
        <w:spacing w:line="480" w:lineRule="auto"/>
        <w:jc w:val="both"/>
        <w:rPr>
          <w:rFonts w:ascii="Arial Narrow" w:hAnsi="Arial Narrow" w:cs="Times New Roman"/>
          <w:sz w:val="20"/>
          <w:szCs w:val="20"/>
        </w:rPr>
      </w:pPr>
      <w:r w:rsidRPr="00E970AE">
        <w:rPr>
          <w:rFonts w:ascii="Arial Narrow" w:hAnsi="Arial Narrow" w:cs="Times New Roman"/>
          <w:sz w:val="20"/>
          <w:szCs w:val="20"/>
        </w:rPr>
        <w:t>Hepatic dysfunction is a prevalent disorder</w:t>
      </w:r>
      <w:r w:rsidR="00107B74" w:rsidRPr="00E970AE">
        <w:rPr>
          <w:rFonts w:ascii="Arial Narrow" w:hAnsi="Arial Narrow" w:cs="Times New Roman"/>
          <w:sz w:val="20"/>
          <w:szCs w:val="20"/>
        </w:rPr>
        <w:t xml:space="preserve"> of dogs</w:t>
      </w:r>
      <w:r w:rsidRPr="00E970AE">
        <w:rPr>
          <w:rFonts w:ascii="Arial Narrow" w:hAnsi="Arial Narrow" w:cs="Times New Roman"/>
          <w:sz w:val="20"/>
          <w:szCs w:val="20"/>
        </w:rPr>
        <w:t xml:space="preserve"> leading to major clinical complications and mortality. Prompt diagnosis and treatment are crucial in order to enhance prognosis and minimize liver-related complications. The </w:t>
      </w:r>
      <w:r w:rsidR="00107B74" w:rsidRPr="00E970AE">
        <w:rPr>
          <w:rFonts w:ascii="Arial Narrow" w:hAnsi="Arial Narrow" w:cs="Times New Roman"/>
          <w:sz w:val="20"/>
          <w:szCs w:val="20"/>
        </w:rPr>
        <w:t>present</w:t>
      </w:r>
      <w:r w:rsidRPr="00E970AE">
        <w:rPr>
          <w:rFonts w:ascii="Arial Narrow" w:hAnsi="Arial Narrow" w:cs="Times New Roman"/>
          <w:sz w:val="20"/>
          <w:szCs w:val="20"/>
        </w:rPr>
        <w:t xml:space="preserve"> study was</w:t>
      </w:r>
      <w:r w:rsidR="00107B74" w:rsidRPr="00E970AE">
        <w:rPr>
          <w:rFonts w:ascii="Arial Narrow" w:hAnsi="Arial Narrow" w:cs="Times New Roman"/>
          <w:sz w:val="20"/>
          <w:szCs w:val="20"/>
        </w:rPr>
        <w:t xml:space="preserve"> aimed</w:t>
      </w:r>
      <w:r w:rsidRPr="00E970AE">
        <w:rPr>
          <w:rFonts w:ascii="Arial Narrow" w:hAnsi="Arial Narrow" w:cs="Times New Roman"/>
          <w:sz w:val="20"/>
          <w:szCs w:val="20"/>
        </w:rPr>
        <w:t xml:space="preserve"> to assess biochemical changes in dogs with hepatic dysfunction. During the period from August 2024 to January 2025, </w:t>
      </w:r>
      <w:r w:rsidR="00E132AC">
        <w:rPr>
          <w:rFonts w:ascii="Arial Narrow" w:hAnsi="Arial Narrow" w:cs="Times New Roman"/>
          <w:sz w:val="20"/>
          <w:szCs w:val="20"/>
        </w:rPr>
        <w:t>a total of</w:t>
      </w:r>
      <w:r w:rsidR="00FB743F">
        <w:rPr>
          <w:rFonts w:ascii="Arial Narrow" w:hAnsi="Arial Narrow" w:cs="Times New Roman"/>
          <w:sz w:val="20"/>
          <w:szCs w:val="20"/>
        </w:rPr>
        <w:t xml:space="preserve"> </w:t>
      </w:r>
      <w:r w:rsidRPr="00E970AE">
        <w:rPr>
          <w:rFonts w:ascii="Arial Narrow" w:hAnsi="Arial Narrow" w:cs="Times New Roman"/>
          <w:sz w:val="20"/>
          <w:szCs w:val="20"/>
        </w:rPr>
        <w:t xml:space="preserve">200 dogs with suspected hepatic dysfunction on the basis of clinical signs were screened in this study. Serum Alanine Aminotransferase (ALT), Aspartate Aminotransferase (AST), Alkaline Phosphatase (ALP), Gamma-Glutamyl Transferase (GGT), total bilirubin, blood glucose and total protein biochemical parameters were measured on an automated biochemical </w:t>
      </w:r>
      <w:proofErr w:type="spellStart"/>
      <w:r w:rsidRPr="00E970AE">
        <w:rPr>
          <w:rFonts w:ascii="Arial Narrow" w:hAnsi="Arial Narrow" w:cs="Times New Roman"/>
          <w:sz w:val="20"/>
          <w:szCs w:val="20"/>
        </w:rPr>
        <w:t>analyzer</w:t>
      </w:r>
      <w:proofErr w:type="spellEnd"/>
      <w:r w:rsidRPr="00E970AE">
        <w:rPr>
          <w:rFonts w:ascii="Arial Narrow" w:hAnsi="Arial Narrow" w:cs="Times New Roman"/>
          <w:sz w:val="20"/>
          <w:szCs w:val="20"/>
        </w:rPr>
        <w:t xml:space="preserve"> and compared with 10 healthy control dogs. Among 200 suspected dogs, 12 were diagnosed with hepatic dysfunction. Relevant biochemical changes found in these dogs were increased activities of ALT, AST, ALP, GGT and total bilirubin, with reduction in the levels of total protein and glucose. These observations indicate that biochemical profiling is a useful method for diagnosing and monitoring hepatic dysfunction in dogs.</w:t>
      </w:r>
    </w:p>
    <w:p w14:paraId="24B198AC" w14:textId="2CE87DF0" w:rsidR="007275A9" w:rsidRPr="00E970AE" w:rsidRDefault="006A5355" w:rsidP="001C3A5D">
      <w:pPr>
        <w:spacing w:line="480" w:lineRule="auto"/>
        <w:jc w:val="both"/>
        <w:rPr>
          <w:rFonts w:ascii="Arial Narrow" w:hAnsi="Arial Narrow" w:cs="Times New Roman"/>
          <w:b/>
          <w:bCs/>
          <w:sz w:val="20"/>
          <w:szCs w:val="20"/>
        </w:rPr>
      </w:pPr>
      <w:r w:rsidRPr="00E970AE">
        <w:rPr>
          <w:rFonts w:ascii="Arial Narrow" w:hAnsi="Arial Narrow" w:cs="Times New Roman"/>
          <w:b/>
          <w:bCs/>
          <w:sz w:val="20"/>
          <w:szCs w:val="20"/>
        </w:rPr>
        <w:t>KEYWORDS:</w:t>
      </w:r>
      <w:r w:rsidR="001C3A5D" w:rsidRPr="00E970AE">
        <w:rPr>
          <w:rFonts w:ascii="Arial Narrow" w:hAnsi="Arial Narrow" w:cs="Times New Roman"/>
          <w:b/>
          <w:bCs/>
          <w:sz w:val="20"/>
          <w:szCs w:val="20"/>
        </w:rPr>
        <w:t xml:space="preserve"> </w:t>
      </w:r>
      <w:r w:rsidR="007275A9" w:rsidRPr="00E970AE">
        <w:rPr>
          <w:rFonts w:ascii="Arial Narrow" w:hAnsi="Arial Narrow" w:cs="Times New Roman"/>
          <w:sz w:val="20"/>
          <w:szCs w:val="20"/>
        </w:rPr>
        <w:t>Do</w:t>
      </w:r>
      <w:r w:rsidR="001C3A5D" w:rsidRPr="00E970AE">
        <w:rPr>
          <w:rFonts w:ascii="Arial Narrow" w:hAnsi="Arial Narrow" w:cs="Times New Roman"/>
          <w:sz w:val="20"/>
          <w:szCs w:val="20"/>
        </w:rPr>
        <w:t>gs</w:t>
      </w:r>
      <w:r w:rsidR="007275A9" w:rsidRPr="00E970AE">
        <w:rPr>
          <w:rFonts w:ascii="Arial Narrow" w:hAnsi="Arial Narrow" w:cs="Times New Roman"/>
          <w:sz w:val="20"/>
          <w:szCs w:val="20"/>
        </w:rPr>
        <w:t>, Hepatic Dysfunction, Biochemical Parameters,</w:t>
      </w:r>
      <w:r w:rsidR="00107B74" w:rsidRPr="00E970AE">
        <w:rPr>
          <w:rFonts w:ascii="Arial Narrow" w:hAnsi="Arial Narrow" w:cs="Times New Roman"/>
          <w:sz w:val="20"/>
          <w:szCs w:val="20"/>
        </w:rPr>
        <w:t xml:space="preserve"> </w:t>
      </w:r>
      <w:r w:rsidR="007275A9" w:rsidRPr="00E970AE">
        <w:rPr>
          <w:rFonts w:ascii="Arial Narrow" w:hAnsi="Arial Narrow" w:cs="Times New Roman"/>
          <w:sz w:val="20"/>
          <w:szCs w:val="20"/>
        </w:rPr>
        <w:t>Diagnosi</w:t>
      </w:r>
      <w:r w:rsidR="001C3A5D" w:rsidRPr="00E970AE">
        <w:rPr>
          <w:rFonts w:ascii="Arial Narrow" w:hAnsi="Arial Narrow" w:cs="Times New Roman"/>
          <w:sz w:val="20"/>
          <w:szCs w:val="20"/>
        </w:rPr>
        <w:t xml:space="preserve">ng, </w:t>
      </w:r>
      <w:r w:rsidR="00107B74" w:rsidRPr="00E970AE">
        <w:rPr>
          <w:rFonts w:ascii="Arial Narrow" w:hAnsi="Arial Narrow" w:cs="Times New Roman"/>
          <w:sz w:val="20"/>
          <w:szCs w:val="20"/>
        </w:rPr>
        <w:t>C</w:t>
      </w:r>
      <w:r w:rsidR="001C3A5D" w:rsidRPr="00E970AE">
        <w:rPr>
          <w:rFonts w:ascii="Arial Narrow" w:hAnsi="Arial Narrow" w:cs="Times New Roman"/>
          <w:sz w:val="20"/>
          <w:szCs w:val="20"/>
        </w:rPr>
        <w:t>linical signs</w:t>
      </w:r>
    </w:p>
    <w:p w14:paraId="41126F39" w14:textId="77777777" w:rsidR="00544DD6" w:rsidRDefault="00544DD6" w:rsidP="00542ACB">
      <w:pPr>
        <w:spacing w:line="480" w:lineRule="auto"/>
        <w:jc w:val="both"/>
        <w:rPr>
          <w:rFonts w:ascii="Arial Narrow" w:hAnsi="Arial Narrow" w:cs="Times New Roman"/>
          <w:b/>
          <w:bCs/>
        </w:rPr>
      </w:pPr>
    </w:p>
    <w:p w14:paraId="181A54E9" w14:textId="0F4ABBC7" w:rsidR="00542ACB" w:rsidRPr="00E970AE" w:rsidRDefault="006A5355" w:rsidP="00542ACB">
      <w:pPr>
        <w:spacing w:line="480" w:lineRule="auto"/>
        <w:jc w:val="both"/>
        <w:rPr>
          <w:rFonts w:ascii="Arial Narrow" w:hAnsi="Arial Narrow" w:cs="Times New Roman"/>
          <w:b/>
          <w:bCs/>
        </w:rPr>
      </w:pPr>
      <w:r w:rsidRPr="00E970AE">
        <w:rPr>
          <w:rFonts w:ascii="Arial Narrow" w:hAnsi="Arial Narrow" w:cs="Times New Roman"/>
          <w:b/>
          <w:bCs/>
        </w:rPr>
        <w:t>INTRODUCTION</w:t>
      </w:r>
      <w:r w:rsidR="007275A9" w:rsidRPr="00E970AE">
        <w:rPr>
          <w:rFonts w:ascii="Arial Narrow" w:hAnsi="Arial Narrow" w:cs="Times New Roman"/>
          <w:b/>
          <w:bCs/>
        </w:rPr>
        <w:t xml:space="preserve"> </w:t>
      </w:r>
    </w:p>
    <w:p w14:paraId="20E640DA" w14:textId="0F4FBE26" w:rsidR="00E14E64" w:rsidRPr="00E970AE" w:rsidRDefault="00E14E64" w:rsidP="00E14E64">
      <w:pPr>
        <w:spacing w:line="480" w:lineRule="auto"/>
        <w:jc w:val="both"/>
        <w:rPr>
          <w:rFonts w:ascii="Arial Narrow" w:hAnsi="Arial Narrow" w:cs="Times New Roman"/>
          <w:sz w:val="20"/>
          <w:szCs w:val="20"/>
        </w:rPr>
      </w:pPr>
      <w:r w:rsidRPr="00E970AE">
        <w:rPr>
          <w:rFonts w:ascii="Arial Narrow" w:hAnsi="Arial Narrow" w:cs="Times New Roman"/>
          <w:sz w:val="20"/>
          <w:szCs w:val="20"/>
        </w:rPr>
        <w:t>The liver is the second largest and most metabolically active organ of the body and is the central organ of protein, carbohydrate, fat, mineral and vitamin metabolism, detoxification and regulation of immunity (</w:t>
      </w:r>
      <w:proofErr w:type="spellStart"/>
      <w:r w:rsidRPr="00E970AE">
        <w:rPr>
          <w:rFonts w:ascii="Arial Narrow" w:hAnsi="Arial Narrow" w:cs="Times New Roman"/>
          <w:sz w:val="20"/>
          <w:szCs w:val="20"/>
        </w:rPr>
        <w:t>Kozat</w:t>
      </w:r>
      <w:proofErr w:type="spellEnd"/>
      <w:r w:rsidRPr="00E970AE">
        <w:rPr>
          <w:rFonts w:ascii="Arial Narrow" w:hAnsi="Arial Narrow" w:cs="Times New Roman"/>
          <w:sz w:val="20"/>
          <w:szCs w:val="20"/>
        </w:rPr>
        <w:t xml:space="preserve"> and </w:t>
      </w:r>
      <w:proofErr w:type="spellStart"/>
      <w:r w:rsidRPr="00E970AE">
        <w:rPr>
          <w:rFonts w:ascii="Arial Narrow" w:hAnsi="Arial Narrow" w:cs="Times New Roman"/>
          <w:sz w:val="20"/>
          <w:szCs w:val="20"/>
        </w:rPr>
        <w:t>Sepehrizadeh</w:t>
      </w:r>
      <w:proofErr w:type="spellEnd"/>
      <w:r w:rsidRPr="00E970AE">
        <w:rPr>
          <w:rFonts w:ascii="Arial Narrow" w:hAnsi="Arial Narrow" w:cs="Times New Roman"/>
          <w:sz w:val="20"/>
          <w:szCs w:val="20"/>
        </w:rPr>
        <w:t xml:space="preserve">, 2017; </w:t>
      </w:r>
      <w:proofErr w:type="spellStart"/>
      <w:r w:rsidRPr="00E970AE">
        <w:rPr>
          <w:rFonts w:ascii="Arial Narrow" w:hAnsi="Arial Narrow" w:cs="Times New Roman"/>
          <w:sz w:val="20"/>
          <w:szCs w:val="20"/>
        </w:rPr>
        <w:t>Bexfield</w:t>
      </w:r>
      <w:proofErr w:type="spellEnd"/>
      <w:r w:rsidR="00F13ED4" w:rsidRPr="00E970AE">
        <w:rPr>
          <w:rFonts w:ascii="Arial Narrow" w:hAnsi="Arial Narrow" w:cs="Times New Roman"/>
          <w:sz w:val="20"/>
          <w:szCs w:val="20"/>
        </w:rPr>
        <w:t xml:space="preserve"> </w:t>
      </w:r>
      <w:r w:rsidR="00427A86" w:rsidRPr="00E970AE">
        <w:rPr>
          <w:rFonts w:ascii="Arial Narrow" w:hAnsi="Arial Narrow" w:cs="Times New Roman"/>
          <w:sz w:val="20"/>
          <w:szCs w:val="20"/>
        </w:rPr>
        <w:t>&amp; Watson</w:t>
      </w:r>
      <w:r w:rsidRPr="00E970AE">
        <w:rPr>
          <w:rFonts w:ascii="Arial Narrow" w:hAnsi="Arial Narrow" w:cs="Times New Roman"/>
          <w:sz w:val="20"/>
          <w:szCs w:val="20"/>
        </w:rPr>
        <w:t>, 2006). Liver is mainly composed of hepatocytes, in conjunction with sinusoidal and biliary epithelial cells and plays vital role in the regulation of systemic homeostasis.</w:t>
      </w:r>
    </w:p>
    <w:p w14:paraId="3C52C20A" w14:textId="0041AF61" w:rsidR="00E14E64" w:rsidRPr="00E970AE" w:rsidRDefault="00E14E64" w:rsidP="00E14E64">
      <w:pPr>
        <w:spacing w:line="480" w:lineRule="auto"/>
        <w:jc w:val="both"/>
        <w:rPr>
          <w:rFonts w:ascii="Arial Narrow" w:hAnsi="Arial Narrow" w:cs="Times New Roman"/>
          <w:sz w:val="20"/>
          <w:szCs w:val="20"/>
        </w:rPr>
      </w:pPr>
      <w:r w:rsidRPr="00E970AE">
        <w:rPr>
          <w:rFonts w:ascii="Arial Narrow" w:hAnsi="Arial Narrow" w:cs="Times New Roman"/>
          <w:sz w:val="20"/>
          <w:szCs w:val="20"/>
        </w:rPr>
        <w:t xml:space="preserve">Hepatic insufficiency occurs as a result of loss or failure of hepatocytes to perform normal functions resulting in compromised metabolic, excretory and detoxifying functions. Clinical signs observed in dogs affected with hepatic dysfunction includes inappetence, vomiting, </w:t>
      </w:r>
      <w:proofErr w:type="spellStart"/>
      <w:r w:rsidRPr="00E970AE">
        <w:rPr>
          <w:rFonts w:ascii="Arial Narrow" w:hAnsi="Arial Narrow" w:cs="Times New Roman"/>
          <w:sz w:val="20"/>
          <w:szCs w:val="20"/>
        </w:rPr>
        <w:t>diarrhea</w:t>
      </w:r>
      <w:proofErr w:type="spellEnd"/>
      <w:r w:rsidRPr="00E970AE">
        <w:rPr>
          <w:rFonts w:ascii="Arial Narrow" w:hAnsi="Arial Narrow" w:cs="Times New Roman"/>
          <w:sz w:val="20"/>
          <w:szCs w:val="20"/>
        </w:rPr>
        <w:t xml:space="preserve">, icterus, ascites, neurologic signs, altered coagulation, polyuria and polydipsia. Usually, dogs with hepatic dysfunction are asymptomatic until disease reaches at advance stages or clinical signs observed are typically non-specific in nature (Verma </w:t>
      </w:r>
      <w:r w:rsidRPr="00D84BBB">
        <w:rPr>
          <w:rFonts w:ascii="Arial Narrow" w:hAnsi="Arial Narrow" w:cs="Times New Roman"/>
          <w:i/>
          <w:iCs/>
          <w:sz w:val="20"/>
          <w:szCs w:val="20"/>
        </w:rPr>
        <w:t>et al.,</w:t>
      </w:r>
      <w:r w:rsidRPr="00E970AE">
        <w:rPr>
          <w:rFonts w:ascii="Arial Narrow" w:hAnsi="Arial Narrow" w:cs="Times New Roman"/>
          <w:sz w:val="20"/>
          <w:szCs w:val="20"/>
        </w:rPr>
        <w:t xml:space="preserve"> 2024).</w:t>
      </w:r>
    </w:p>
    <w:p w14:paraId="225A0F3F" w14:textId="4DEAC11D" w:rsidR="002B19E4" w:rsidRPr="00E970AE" w:rsidRDefault="00E14E64" w:rsidP="00E14E64">
      <w:pPr>
        <w:spacing w:line="480" w:lineRule="auto"/>
        <w:jc w:val="both"/>
        <w:rPr>
          <w:rFonts w:ascii="Arial Narrow" w:hAnsi="Arial Narrow" w:cs="Times New Roman"/>
          <w:b/>
          <w:bCs/>
          <w:sz w:val="20"/>
          <w:szCs w:val="20"/>
        </w:rPr>
      </w:pPr>
      <w:r w:rsidRPr="00E970AE">
        <w:rPr>
          <w:rFonts w:ascii="Arial Narrow" w:hAnsi="Arial Narrow" w:cs="Times New Roman"/>
          <w:sz w:val="20"/>
          <w:szCs w:val="20"/>
        </w:rPr>
        <w:lastRenderedPageBreak/>
        <w:t xml:space="preserve">Biochemical profiling is a valuable diagnostic tool for hepatic diseases as serum ALT, AST, ALP, GGT, bilirubin, glucose, total protein and albumin provides important insights into hepatocellular injury, cholestasis and synthetic dysfunction. However, certain liver diseases are linked to mild enzyme changes, in the absence of accompanying clinical evidence, making the diagnosis even more difficult (Singh </w:t>
      </w:r>
      <w:r w:rsidRPr="00D84BBB">
        <w:rPr>
          <w:rFonts w:ascii="Arial Narrow" w:hAnsi="Arial Narrow" w:cs="Times New Roman"/>
          <w:i/>
          <w:iCs/>
          <w:sz w:val="20"/>
          <w:szCs w:val="20"/>
        </w:rPr>
        <w:t>et al.,</w:t>
      </w:r>
      <w:r w:rsidRPr="00E970AE">
        <w:rPr>
          <w:rFonts w:ascii="Arial Narrow" w:hAnsi="Arial Narrow" w:cs="Times New Roman"/>
          <w:sz w:val="20"/>
          <w:szCs w:val="20"/>
        </w:rPr>
        <w:t xml:space="preserve"> 2019). Therefore, careful biochemical examination is still necessary for early diagnosis and monitoring of hepatic dysfunction in dogs.</w:t>
      </w:r>
    </w:p>
    <w:p w14:paraId="66F5EF23" w14:textId="3A53225D" w:rsidR="00942324" w:rsidRPr="00711366" w:rsidRDefault="006A5355" w:rsidP="00542ACB">
      <w:pPr>
        <w:spacing w:line="480" w:lineRule="auto"/>
        <w:jc w:val="both"/>
        <w:rPr>
          <w:rFonts w:ascii="Arial Narrow" w:hAnsi="Arial Narrow" w:cs="Times New Roman"/>
          <w:b/>
          <w:bCs/>
        </w:rPr>
      </w:pPr>
      <w:r w:rsidRPr="00711366">
        <w:rPr>
          <w:rFonts w:ascii="Arial Narrow" w:hAnsi="Arial Narrow" w:cs="Times New Roman"/>
          <w:b/>
          <w:bCs/>
        </w:rPr>
        <w:t>MATERIALS AND METHODS</w:t>
      </w:r>
    </w:p>
    <w:p w14:paraId="0BC6CE68" w14:textId="3F7F25B0" w:rsidR="00E14E64" w:rsidRPr="00711366" w:rsidRDefault="00E14E64" w:rsidP="00542ACB">
      <w:pPr>
        <w:spacing w:line="480" w:lineRule="auto"/>
        <w:jc w:val="both"/>
        <w:rPr>
          <w:rFonts w:ascii="Arial Narrow" w:hAnsi="Arial Narrow" w:cs="Times New Roman"/>
        </w:rPr>
      </w:pPr>
      <w:r w:rsidRPr="008E6A41">
        <w:rPr>
          <w:rFonts w:ascii="Arial Narrow" w:hAnsi="Arial Narrow" w:cs="Times New Roman"/>
          <w:sz w:val="20"/>
          <w:szCs w:val="20"/>
        </w:rPr>
        <w:t xml:space="preserve">A total of 200 dogs suspected of hepatic dysfunction presenting clinical signs such as inappetence/anorexia, vomiting, </w:t>
      </w:r>
      <w:proofErr w:type="spellStart"/>
      <w:r w:rsidRPr="008E6A41">
        <w:rPr>
          <w:rFonts w:ascii="Arial Narrow" w:hAnsi="Arial Narrow" w:cs="Times New Roman"/>
          <w:sz w:val="20"/>
          <w:szCs w:val="20"/>
        </w:rPr>
        <w:t>diarrhea</w:t>
      </w:r>
      <w:proofErr w:type="spellEnd"/>
      <w:r w:rsidRPr="008E6A41">
        <w:rPr>
          <w:rFonts w:ascii="Arial Narrow" w:hAnsi="Arial Narrow" w:cs="Times New Roman"/>
          <w:sz w:val="20"/>
          <w:szCs w:val="20"/>
        </w:rPr>
        <w:t xml:space="preserve">/constipation, icterus, ascites, pyrexia, lethargy, melena, polyuria, polydipsia, weight gain, weight loss or combinations thereof were screened during the period of August 2024 to January 2025 at the Veterinary Clinical Complex (VCC) of PGIVER and Government Veterinary Polyclinic Hospital, Panchbatti, Jaipur, Rajasthan. Additionally, 10 clinically healthy dogs were included as the control group for comparative evaluation. In all animals, 7 ml of venous blood was collected aseptically from the cephalic or saphenous vein out of which 5 ml was transferred into plain vials, allowed to clot and centrifuged at 2500 rpm for 30 minutes to obtain serum. Biochemical parameters, including alanine aminotransferase (ALT), aspartate aminotransferase (AST), alkaline phosphatase (ALP), gamma-glutamyl transferase (GGT), total bilirubin, total protein and glucose were estimated using commercially available diagnostic kits (CPC Diagnostics) on an automated blood biochemistry </w:t>
      </w:r>
      <w:proofErr w:type="spellStart"/>
      <w:r w:rsidRPr="008E6A41">
        <w:rPr>
          <w:rFonts w:ascii="Arial Narrow" w:hAnsi="Arial Narrow" w:cs="Times New Roman"/>
          <w:sz w:val="20"/>
          <w:szCs w:val="20"/>
        </w:rPr>
        <w:t>analyzer</w:t>
      </w:r>
      <w:proofErr w:type="spellEnd"/>
      <w:r w:rsidRPr="008E6A41">
        <w:rPr>
          <w:rFonts w:ascii="Arial Narrow" w:hAnsi="Arial Narrow" w:cs="Times New Roman"/>
          <w:sz w:val="20"/>
          <w:szCs w:val="20"/>
        </w:rPr>
        <w:t xml:space="preserve">. ALT, AST, ALP, and GGT activities were determined by IFCC methodology. Total bilirubin was measured by the </w:t>
      </w:r>
      <w:proofErr w:type="spellStart"/>
      <w:r w:rsidRPr="008E6A41">
        <w:rPr>
          <w:rFonts w:ascii="Arial Narrow" w:hAnsi="Arial Narrow" w:cs="Times New Roman"/>
          <w:sz w:val="20"/>
          <w:szCs w:val="20"/>
        </w:rPr>
        <w:t>Sulfanilic</w:t>
      </w:r>
      <w:proofErr w:type="spellEnd"/>
      <w:r w:rsidRPr="00711366">
        <w:rPr>
          <w:rFonts w:ascii="Arial Narrow" w:hAnsi="Arial Narrow" w:cs="Times New Roman"/>
        </w:rPr>
        <w:t xml:space="preserve"> </w:t>
      </w:r>
      <w:r w:rsidRPr="008E6A41">
        <w:rPr>
          <w:rFonts w:ascii="Arial Narrow" w:hAnsi="Arial Narrow" w:cs="Times New Roman"/>
          <w:sz w:val="20"/>
          <w:szCs w:val="20"/>
        </w:rPr>
        <w:t>Diazotization (SDA) method, glucose by the GOD-PAP method and total protein by the direct Biuret method. Statistical analysis was performed using standard methods (Snedecor &amp; Cochran, 2004)</w:t>
      </w:r>
      <w:r w:rsidRPr="00711366">
        <w:rPr>
          <w:rFonts w:ascii="Arial Narrow" w:hAnsi="Arial Narrow" w:cs="Times New Roman"/>
        </w:rPr>
        <w:t>.</w:t>
      </w:r>
    </w:p>
    <w:p w14:paraId="2D616126" w14:textId="5F459736" w:rsidR="006A1ABC" w:rsidRPr="001E3E46" w:rsidRDefault="00F6241F" w:rsidP="00542ACB">
      <w:pPr>
        <w:spacing w:line="480" w:lineRule="auto"/>
        <w:jc w:val="both"/>
        <w:rPr>
          <w:rFonts w:ascii="Arial Narrow" w:hAnsi="Arial Narrow" w:cs="Times New Roman"/>
          <w:b/>
          <w:bCs/>
        </w:rPr>
      </w:pPr>
      <w:r w:rsidRPr="001E3E46">
        <w:rPr>
          <w:rFonts w:ascii="Arial Narrow" w:hAnsi="Arial Narrow" w:cs="Times New Roman"/>
          <w:b/>
          <w:bCs/>
        </w:rPr>
        <w:t>RESULTS AND DISCUSSION</w:t>
      </w:r>
    </w:p>
    <w:p w14:paraId="6736B11F" w14:textId="281A0405" w:rsidR="00E75BE2" w:rsidRPr="001E3E46" w:rsidRDefault="0056590B" w:rsidP="009C4A39">
      <w:pPr>
        <w:spacing w:line="360" w:lineRule="auto"/>
        <w:jc w:val="both"/>
        <w:rPr>
          <w:rFonts w:ascii="Arial Narrow" w:hAnsi="Arial Narrow" w:cs="Times New Roman"/>
          <w:sz w:val="20"/>
          <w:szCs w:val="20"/>
        </w:rPr>
      </w:pPr>
      <w:r w:rsidRPr="001E3E46">
        <w:rPr>
          <w:rFonts w:ascii="Arial Narrow" w:hAnsi="Arial Narrow" w:cs="Times New Roman"/>
          <w:sz w:val="20"/>
          <w:szCs w:val="20"/>
        </w:rPr>
        <w:t xml:space="preserve">Among the 200 dogs, 12 were diagnosed with hepatic dysfunction based on clinical signs and biochemical evaluation. The biochemical parameters assessed in these dogs </w:t>
      </w:r>
      <w:r w:rsidR="0000006D" w:rsidRPr="001E3E46">
        <w:rPr>
          <w:rFonts w:ascii="Arial Narrow" w:hAnsi="Arial Narrow" w:cs="Times New Roman"/>
          <w:sz w:val="20"/>
          <w:szCs w:val="20"/>
        </w:rPr>
        <w:t>revealed</w:t>
      </w:r>
      <w:r w:rsidRPr="001E3E46">
        <w:rPr>
          <w:rFonts w:ascii="Arial Narrow" w:hAnsi="Arial Narrow" w:cs="Times New Roman"/>
          <w:sz w:val="20"/>
          <w:szCs w:val="20"/>
        </w:rPr>
        <w:t xml:space="preserve"> significant deviations from those of healthy controls indicating varying degrees of hepatocellular injury, cholestasis, metabolic disturbances and impaired hepatic synthetic function in the dogs. These alterations in parameters as compared to healthy controls are listed in Table 1.</w:t>
      </w:r>
    </w:p>
    <w:p w14:paraId="3FEC49DE" w14:textId="5B79B58C" w:rsidR="009C4A39" w:rsidRPr="001E3E46" w:rsidRDefault="009C4A39" w:rsidP="009C4A39">
      <w:pPr>
        <w:spacing w:line="360" w:lineRule="auto"/>
        <w:jc w:val="both"/>
        <w:rPr>
          <w:rFonts w:ascii="Arial Narrow" w:eastAsia="Calibri" w:hAnsi="Arial Narrow" w:cs="Times New Roman"/>
          <w:b/>
          <w:bCs/>
          <w:color w:val="000000"/>
          <w:sz w:val="20"/>
          <w:szCs w:val="20"/>
        </w:rPr>
      </w:pPr>
      <w:r w:rsidRPr="001E3E46">
        <w:rPr>
          <w:rFonts w:ascii="Arial Narrow" w:eastAsia="Calibri" w:hAnsi="Arial Narrow" w:cs="Times New Roman"/>
          <w:b/>
          <w:bCs/>
          <w:color w:val="000000"/>
          <w:sz w:val="20"/>
          <w:szCs w:val="20"/>
        </w:rPr>
        <w:t>Table</w:t>
      </w:r>
      <w:r w:rsidR="00A70172" w:rsidRPr="001E3E46">
        <w:rPr>
          <w:rFonts w:ascii="Arial Narrow" w:eastAsia="Calibri" w:hAnsi="Arial Narrow" w:cs="Times New Roman"/>
          <w:b/>
          <w:bCs/>
          <w:color w:val="000000"/>
          <w:sz w:val="20"/>
          <w:szCs w:val="20"/>
        </w:rPr>
        <w:t xml:space="preserve"> 1</w:t>
      </w:r>
      <w:r w:rsidRPr="001E3E46">
        <w:rPr>
          <w:rFonts w:ascii="Arial Narrow" w:eastAsia="Calibri" w:hAnsi="Arial Narrow" w:cs="Times New Roman"/>
          <w:b/>
          <w:bCs/>
          <w:color w:val="000000"/>
          <w:sz w:val="20"/>
          <w:szCs w:val="20"/>
        </w:rPr>
        <w:t>:</w:t>
      </w:r>
      <w:r w:rsidR="00A70172" w:rsidRPr="001E3E46">
        <w:rPr>
          <w:rFonts w:ascii="Arial Narrow" w:eastAsia="Calibri" w:hAnsi="Arial Narrow" w:cs="Times New Roman"/>
          <w:b/>
          <w:bCs/>
          <w:color w:val="000000"/>
          <w:sz w:val="20"/>
          <w:szCs w:val="20"/>
        </w:rPr>
        <w:t xml:space="preserve"> </w:t>
      </w:r>
      <w:r w:rsidRPr="001E3E46">
        <w:rPr>
          <w:rFonts w:ascii="Arial Narrow" w:eastAsia="Calibri" w:hAnsi="Arial Narrow" w:cs="Times New Roman"/>
          <w:b/>
          <w:bCs/>
          <w:color w:val="000000"/>
          <w:sz w:val="20"/>
          <w:szCs w:val="20"/>
        </w:rPr>
        <w:t xml:space="preserve">Mean ± SE values of biochemical parameters in healthy control and </w:t>
      </w:r>
      <w:r w:rsidRPr="001E3E46">
        <w:rPr>
          <w:rFonts w:ascii="Arial Narrow" w:eastAsia="Calibri" w:hAnsi="Arial Narrow" w:cs="Times New Roman"/>
          <w:b/>
          <w:bCs/>
          <w:color w:val="000000"/>
          <w:sz w:val="20"/>
          <w:szCs w:val="20"/>
        </w:rPr>
        <w:br/>
        <w:t xml:space="preserve">                </w:t>
      </w:r>
      <w:r w:rsidR="00254655" w:rsidRPr="001E3E46">
        <w:rPr>
          <w:rFonts w:ascii="Arial Narrow" w:eastAsia="Calibri" w:hAnsi="Arial Narrow" w:cs="Times New Roman"/>
          <w:b/>
          <w:bCs/>
          <w:color w:val="000000"/>
          <w:sz w:val="20"/>
          <w:szCs w:val="20"/>
        </w:rPr>
        <w:t>dogs affected</w:t>
      </w:r>
      <w:r w:rsidR="003074E4" w:rsidRPr="001E3E46">
        <w:rPr>
          <w:rFonts w:ascii="Arial Narrow" w:eastAsia="Calibri" w:hAnsi="Arial Narrow" w:cs="Times New Roman"/>
          <w:b/>
          <w:bCs/>
          <w:color w:val="000000"/>
          <w:sz w:val="20"/>
          <w:szCs w:val="20"/>
        </w:rPr>
        <w:t xml:space="preserve"> with</w:t>
      </w:r>
      <w:r w:rsidR="00254655" w:rsidRPr="001E3E46">
        <w:rPr>
          <w:rFonts w:ascii="Arial Narrow" w:eastAsia="Calibri" w:hAnsi="Arial Narrow" w:cs="Times New Roman"/>
          <w:b/>
          <w:bCs/>
          <w:color w:val="000000"/>
          <w:sz w:val="20"/>
          <w:szCs w:val="20"/>
        </w:rPr>
        <w:t xml:space="preserve"> </w:t>
      </w:r>
      <w:r w:rsidRPr="001E3E46">
        <w:rPr>
          <w:rFonts w:ascii="Arial Narrow" w:eastAsia="Calibri" w:hAnsi="Arial Narrow" w:cs="Times New Roman"/>
          <w:b/>
          <w:bCs/>
          <w:color w:val="000000"/>
          <w:sz w:val="20"/>
          <w:szCs w:val="20"/>
        </w:rPr>
        <w:t xml:space="preserve">hepatic dysfunction </w:t>
      </w:r>
    </w:p>
    <w:tbl>
      <w:tblPr>
        <w:tblStyle w:val="TableGrid1"/>
        <w:tblW w:w="7650" w:type="dxa"/>
        <w:tblLook w:val="04A0" w:firstRow="1" w:lastRow="0" w:firstColumn="1" w:lastColumn="0" w:noHBand="0" w:noVBand="1"/>
      </w:tblPr>
      <w:tblGrid>
        <w:gridCol w:w="485"/>
        <w:gridCol w:w="3479"/>
        <w:gridCol w:w="1560"/>
        <w:gridCol w:w="2126"/>
      </w:tblGrid>
      <w:tr w:rsidR="0010124D" w:rsidRPr="00E75BE2" w14:paraId="39391807" w14:textId="77777777" w:rsidTr="002317AA">
        <w:trPr>
          <w:trHeight w:val="500"/>
        </w:trPr>
        <w:tc>
          <w:tcPr>
            <w:tcW w:w="485" w:type="dxa"/>
            <w:vAlign w:val="center"/>
          </w:tcPr>
          <w:p w14:paraId="2995A46B" w14:textId="77777777" w:rsidR="0010124D" w:rsidRPr="00544DD6" w:rsidRDefault="0010124D" w:rsidP="002317AA">
            <w:pPr>
              <w:spacing w:before="120" w:after="120"/>
              <w:jc w:val="center"/>
              <w:rPr>
                <w:rFonts w:ascii="Arial Narrow" w:hAnsi="Arial Narrow" w:cs="Times New Roman"/>
                <w:b/>
                <w:bCs/>
                <w:color w:val="000000"/>
                <w:sz w:val="20"/>
                <w:szCs w:val="20"/>
              </w:rPr>
            </w:pPr>
          </w:p>
          <w:p w14:paraId="6CD1712A" w14:textId="77777777" w:rsidR="0010124D" w:rsidRPr="00544DD6" w:rsidRDefault="0010124D" w:rsidP="002317AA">
            <w:pPr>
              <w:spacing w:before="120" w:after="120"/>
              <w:jc w:val="center"/>
              <w:rPr>
                <w:rFonts w:ascii="Arial Narrow" w:hAnsi="Arial Narrow" w:cs="Times New Roman"/>
                <w:b/>
                <w:bCs/>
                <w:color w:val="000000"/>
                <w:sz w:val="20"/>
                <w:szCs w:val="20"/>
              </w:rPr>
            </w:pPr>
            <w:r w:rsidRPr="00544DD6">
              <w:rPr>
                <w:rFonts w:ascii="Arial Narrow" w:hAnsi="Arial Narrow" w:cs="Times New Roman"/>
                <w:b/>
                <w:bCs/>
                <w:color w:val="000000"/>
                <w:sz w:val="20"/>
                <w:szCs w:val="20"/>
              </w:rPr>
              <w:t>S. No</w:t>
            </w:r>
          </w:p>
        </w:tc>
        <w:tc>
          <w:tcPr>
            <w:tcW w:w="3479" w:type="dxa"/>
            <w:vAlign w:val="center"/>
          </w:tcPr>
          <w:p w14:paraId="39EF3F5C" w14:textId="77777777" w:rsidR="0010124D" w:rsidRPr="00544DD6" w:rsidRDefault="0010124D" w:rsidP="002317AA">
            <w:pPr>
              <w:spacing w:before="120" w:after="120"/>
              <w:jc w:val="center"/>
              <w:rPr>
                <w:rFonts w:ascii="Arial Narrow" w:hAnsi="Arial Narrow" w:cs="Times New Roman"/>
                <w:b/>
                <w:bCs/>
                <w:color w:val="000000"/>
                <w:sz w:val="20"/>
                <w:szCs w:val="20"/>
              </w:rPr>
            </w:pPr>
          </w:p>
          <w:p w14:paraId="2A5E83DD" w14:textId="77777777" w:rsidR="0010124D" w:rsidRPr="00544DD6" w:rsidRDefault="0010124D" w:rsidP="002317AA">
            <w:pPr>
              <w:spacing w:before="120" w:after="120"/>
              <w:jc w:val="center"/>
              <w:rPr>
                <w:rFonts w:ascii="Arial Narrow" w:hAnsi="Arial Narrow" w:cs="Times New Roman"/>
                <w:b/>
                <w:bCs/>
                <w:color w:val="000000"/>
                <w:sz w:val="20"/>
                <w:szCs w:val="20"/>
              </w:rPr>
            </w:pPr>
            <w:r w:rsidRPr="00544DD6">
              <w:rPr>
                <w:rFonts w:ascii="Arial Narrow" w:hAnsi="Arial Narrow" w:cs="Times New Roman"/>
                <w:b/>
                <w:bCs/>
                <w:color w:val="000000"/>
                <w:sz w:val="20"/>
                <w:szCs w:val="20"/>
              </w:rPr>
              <w:t>parameter</w:t>
            </w:r>
          </w:p>
        </w:tc>
        <w:tc>
          <w:tcPr>
            <w:tcW w:w="1560" w:type="dxa"/>
            <w:vAlign w:val="center"/>
          </w:tcPr>
          <w:p w14:paraId="06F58E27" w14:textId="77777777" w:rsidR="0010124D" w:rsidRPr="00544DD6" w:rsidRDefault="0010124D" w:rsidP="002317AA">
            <w:pPr>
              <w:spacing w:before="120" w:after="120"/>
              <w:jc w:val="center"/>
              <w:rPr>
                <w:rFonts w:ascii="Arial Narrow" w:hAnsi="Arial Narrow" w:cs="Times New Roman"/>
                <w:b/>
                <w:bCs/>
                <w:color w:val="000000"/>
                <w:sz w:val="20"/>
                <w:szCs w:val="20"/>
              </w:rPr>
            </w:pPr>
            <w:r w:rsidRPr="00544DD6">
              <w:rPr>
                <w:rFonts w:ascii="Arial Narrow" w:hAnsi="Arial Narrow" w:cs="Times New Roman"/>
                <w:b/>
                <w:bCs/>
                <w:color w:val="000000"/>
                <w:sz w:val="20"/>
                <w:szCs w:val="20"/>
              </w:rPr>
              <w:t>Healthy   Control group</w:t>
            </w:r>
          </w:p>
          <w:p w14:paraId="155B31FB" w14:textId="77777777" w:rsidR="0010124D" w:rsidRPr="00544DD6" w:rsidRDefault="0010124D" w:rsidP="002317AA">
            <w:pPr>
              <w:spacing w:before="120" w:after="120"/>
              <w:jc w:val="center"/>
              <w:rPr>
                <w:rFonts w:ascii="Arial Narrow" w:hAnsi="Arial Narrow" w:cs="Times New Roman"/>
                <w:b/>
                <w:bCs/>
                <w:color w:val="000000"/>
                <w:sz w:val="20"/>
                <w:szCs w:val="20"/>
              </w:rPr>
            </w:pPr>
            <w:r w:rsidRPr="00544DD6">
              <w:rPr>
                <w:rFonts w:ascii="Arial Narrow" w:hAnsi="Arial Narrow" w:cs="Times New Roman"/>
                <w:b/>
                <w:bCs/>
                <w:color w:val="000000"/>
                <w:sz w:val="20"/>
                <w:szCs w:val="20"/>
              </w:rPr>
              <w:t>(n=10)</w:t>
            </w:r>
          </w:p>
        </w:tc>
        <w:tc>
          <w:tcPr>
            <w:tcW w:w="2126" w:type="dxa"/>
            <w:vAlign w:val="center"/>
          </w:tcPr>
          <w:p w14:paraId="1D49F497" w14:textId="0563314E" w:rsidR="0010124D" w:rsidRPr="00544DD6" w:rsidRDefault="003074E4" w:rsidP="002317AA">
            <w:pPr>
              <w:spacing w:before="120" w:after="120"/>
              <w:jc w:val="center"/>
              <w:rPr>
                <w:rFonts w:ascii="Arial Narrow" w:hAnsi="Arial Narrow" w:cs="Times New Roman"/>
                <w:b/>
                <w:bCs/>
                <w:color w:val="000000"/>
                <w:sz w:val="20"/>
                <w:szCs w:val="20"/>
              </w:rPr>
            </w:pPr>
            <w:r w:rsidRPr="00544DD6">
              <w:rPr>
                <w:rFonts w:ascii="Arial Narrow" w:hAnsi="Arial Narrow" w:cs="Times New Roman"/>
                <w:b/>
                <w:bCs/>
                <w:color w:val="000000"/>
                <w:sz w:val="20"/>
                <w:szCs w:val="20"/>
              </w:rPr>
              <w:t xml:space="preserve">Dogs affected with hepatic dysfunction </w:t>
            </w:r>
            <w:r w:rsidR="0010124D" w:rsidRPr="00544DD6">
              <w:rPr>
                <w:rFonts w:ascii="Arial Narrow" w:hAnsi="Arial Narrow" w:cs="Times New Roman"/>
                <w:b/>
                <w:bCs/>
                <w:color w:val="000000"/>
                <w:sz w:val="20"/>
                <w:szCs w:val="20"/>
              </w:rPr>
              <w:t>(n=12)</w:t>
            </w:r>
          </w:p>
        </w:tc>
      </w:tr>
      <w:tr w:rsidR="0010124D" w:rsidRPr="00E75BE2" w14:paraId="19E143C6" w14:textId="77777777" w:rsidTr="002317AA">
        <w:trPr>
          <w:trHeight w:val="559"/>
        </w:trPr>
        <w:tc>
          <w:tcPr>
            <w:tcW w:w="485" w:type="dxa"/>
            <w:vAlign w:val="center"/>
          </w:tcPr>
          <w:p w14:paraId="5E5B8FD8" w14:textId="77777777" w:rsidR="0010124D" w:rsidRPr="00544DD6" w:rsidRDefault="0010124D" w:rsidP="002317AA">
            <w:pPr>
              <w:spacing w:before="120" w:after="120"/>
              <w:jc w:val="center"/>
              <w:rPr>
                <w:rFonts w:ascii="Arial Narrow" w:hAnsi="Arial Narrow" w:cs="Times New Roman"/>
                <w:color w:val="000000"/>
                <w:spacing w:val="-10"/>
                <w:sz w:val="20"/>
                <w:szCs w:val="20"/>
              </w:rPr>
            </w:pPr>
          </w:p>
          <w:p w14:paraId="79AA405C" w14:textId="77777777" w:rsidR="0010124D" w:rsidRPr="00544DD6" w:rsidRDefault="0010124D" w:rsidP="002317AA">
            <w:pPr>
              <w:spacing w:before="120" w:after="120"/>
              <w:jc w:val="center"/>
              <w:rPr>
                <w:rFonts w:ascii="Arial Narrow" w:hAnsi="Arial Narrow" w:cs="Times New Roman"/>
                <w:color w:val="000000"/>
                <w:spacing w:val="-2"/>
                <w:sz w:val="20"/>
                <w:szCs w:val="20"/>
              </w:rPr>
            </w:pPr>
            <w:r w:rsidRPr="00544DD6">
              <w:rPr>
                <w:rFonts w:ascii="Arial Narrow" w:hAnsi="Arial Narrow" w:cs="Times New Roman"/>
                <w:color w:val="000000"/>
                <w:spacing w:val="-10"/>
                <w:sz w:val="20"/>
                <w:szCs w:val="20"/>
              </w:rPr>
              <w:t>1</w:t>
            </w:r>
          </w:p>
        </w:tc>
        <w:tc>
          <w:tcPr>
            <w:tcW w:w="3479" w:type="dxa"/>
            <w:vAlign w:val="center"/>
          </w:tcPr>
          <w:p w14:paraId="13740309" w14:textId="77777777" w:rsidR="0010124D" w:rsidRPr="00544DD6" w:rsidRDefault="0010124D" w:rsidP="002317AA">
            <w:pPr>
              <w:spacing w:before="120" w:after="120"/>
              <w:jc w:val="center"/>
              <w:rPr>
                <w:rFonts w:ascii="Arial Narrow" w:hAnsi="Arial Narrow" w:cs="Times New Roman"/>
                <w:color w:val="000000"/>
                <w:sz w:val="20"/>
                <w:szCs w:val="20"/>
              </w:rPr>
            </w:pPr>
            <w:r w:rsidRPr="00544DD6">
              <w:rPr>
                <w:rFonts w:ascii="Arial Narrow" w:hAnsi="Arial Narrow" w:cs="Times New Roman"/>
                <w:color w:val="000000"/>
                <w:spacing w:val="-2"/>
                <w:sz w:val="20"/>
                <w:szCs w:val="20"/>
              </w:rPr>
              <w:t xml:space="preserve">ALT </w:t>
            </w:r>
            <w:r w:rsidRPr="00544DD6">
              <w:rPr>
                <w:rFonts w:ascii="Arial Narrow" w:hAnsi="Arial Narrow" w:cs="Times New Roman"/>
                <w:color w:val="000000"/>
                <w:sz w:val="20"/>
                <w:szCs w:val="20"/>
              </w:rPr>
              <w:t>(IU/L)</w:t>
            </w:r>
            <w:r w:rsidRPr="00544DD6">
              <w:rPr>
                <w:rFonts w:ascii="Arial Narrow" w:hAnsi="Arial Narrow" w:cs="Times New Roman"/>
                <w:color w:val="000000"/>
                <w:spacing w:val="12"/>
                <w:sz w:val="20"/>
                <w:szCs w:val="20"/>
              </w:rPr>
              <w:t xml:space="preserve"> </w:t>
            </w:r>
            <w:r w:rsidRPr="00544DD6">
              <w:rPr>
                <w:rFonts w:ascii="Arial Narrow" w:hAnsi="Arial Narrow" w:cs="Times New Roman"/>
                <w:color w:val="000000"/>
                <w:spacing w:val="-4"/>
                <w:sz w:val="20"/>
                <w:szCs w:val="20"/>
              </w:rPr>
              <w:t>(**)</w:t>
            </w:r>
          </w:p>
        </w:tc>
        <w:tc>
          <w:tcPr>
            <w:tcW w:w="1560" w:type="dxa"/>
            <w:vAlign w:val="center"/>
          </w:tcPr>
          <w:p w14:paraId="64A51C40" w14:textId="77777777" w:rsidR="0010124D" w:rsidRPr="00544DD6" w:rsidRDefault="0010124D" w:rsidP="002317AA">
            <w:pPr>
              <w:spacing w:before="120" w:after="120"/>
              <w:jc w:val="center"/>
              <w:rPr>
                <w:rFonts w:ascii="Arial Narrow" w:hAnsi="Arial Narrow" w:cs="Times New Roman"/>
                <w:color w:val="000000"/>
                <w:sz w:val="20"/>
                <w:szCs w:val="20"/>
              </w:rPr>
            </w:pPr>
            <w:r w:rsidRPr="00544DD6">
              <w:rPr>
                <w:rFonts w:ascii="Arial Narrow" w:hAnsi="Arial Narrow" w:cs="Times New Roman"/>
                <w:color w:val="000000"/>
                <w:sz w:val="20"/>
                <w:szCs w:val="20"/>
              </w:rPr>
              <w:t>41.67±2.24</w:t>
            </w:r>
          </w:p>
        </w:tc>
        <w:tc>
          <w:tcPr>
            <w:tcW w:w="2126" w:type="dxa"/>
            <w:vAlign w:val="center"/>
          </w:tcPr>
          <w:p w14:paraId="2D39B4FE" w14:textId="77777777" w:rsidR="0010124D" w:rsidRPr="00544DD6" w:rsidRDefault="0010124D" w:rsidP="002317AA">
            <w:pPr>
              <w:spacing w:before="120" w:after="120"/>
              <w:jc w:val="center"/>
              <w:rPr>
                <w:rFonts w:ascii="Arial Narrow" w:hAnsi="Arial Narrow" w:cs="Times New Roman"/>
                <w:color w:val="000000"/>
                <w:sz w:val="20"/>
                <w:szCs w:val="20"/>
              </w:rPr>
            </w:pPr>
            <w:r w:rsidRPr="00544DD6">
              <w:rPr>
                <w:rFonts w:ascii="Arial Narrow" w:hAnsi="Arial Narrow" w:cs="Times New Roman"/>
                <w:color w:val="000000"/>
                <w:sz w:val="20"/>
                <w:szCs w:val="20"/>
              </w:rPr>
              <w:t>162.16±5.61</w:t>
            </w:r>
          </w:p>
        </w:tc>
      </w:tr>
      <w:tr w:rsidR="0010124D" w:rsidRPr="00E75BE2" w14:paraId="1D78F3F8" w14:textId="77777777" w:rsidTr="002317AA">
        <w:trPr>
          <w:trHeight w:val="514"/>
        </w:trPr>
        <w:tc>
          <w:tcPr>
            <w:tcW w:w="485" w:type="dxa"/>
            <w:vAlign w:val="center"/>
          </w:tcPr>
          <w:p w14:paraId="71F1D20D" w14:textId="77777777" w:rsidR="0010124D" w:rsidRPr="00544DD6" w:rsidRDefault="0010124D" w:rsidP="002317AA">
            <w:pPr>
              <w:spacing w:before="120" w:after="120"/>
              <w:jc w:val="center"/>
              <w:rPr>
                <w:rFonts w:ascii="Arial Narrow" w:hAnsi="Arial Narrow" w:cs="Times New Roman"/>
                <w:color w:val="000000"/>
                <w:spacing w:val="-10"/>
                <w:sz w:val="20"/>
                <w:szCs w:val="20"/>
              </w:rPr>
            </w:pPr>
          </w:p>
          <w:p w14:paraId="651435BB" w14:textId="77777777" w:rsidR="0010124D" w:rsidRPr="00544DD6" w:rsidRDefault="0010124D" w:rsidP="002317AA">
            <w:pPr>
              <w:spacing w:before="120" w:after="120"/>
              <w:jc w:val="center"/>
              <w:rPr>
                <w:rFonts w:ascii="Arial Narrow" w:hAnsi="Arial Narrow" w:cs="Times New Roman"/>
                <w:color w:val="000000"/>
                <w:sz w:val="20"/>
                <w:szCs w:val="20"/>
              </w:rPr>
            </w:pPr>
            <w:r w:rsidRPr="00544DD6">
              <w:rPr>
                <w:rFonts w:ascii="Arial Narrow" w:hAnsi="Arial Narrow" w:cs="Times New Roman"/>
                <w:color w:val="000000"/>
                <w:spacing w:val="-10"/>
                <w:sz w:val="20"/>
                <w:szCs w:val="20"/>
              </w:rPr>
              <w:t>2</w:t>
            </w:r>
          </w:p>
        </w:tc>
        <w:tc>
          <w:tcPr>
            <w:tcW w:w="3479" w:type="dxa"/>
            <w:vAlign w:val="center"/>
          </w:tcPr>
          <w:p w14:paraId="535E2E42" w14:textId="77777777" w:rsidR="0010124D" w:rsidRPr="00544DD6" w:rsidRDefault="0010124D" w:rsidP="002317AA">
            <w:pPr>
              <w:spacing w:before="120" w:after="120"/>
              <w:jc w:val="center"/>
              <w:rPr>
                <w:rFonts w:ascii="Arial Narrow" w:hAnsi="Arial Narrow" w:cs="Times New Roman"/>
                <w:color w:val="000000"/>
                <w:sz w:val="20"/>
                <w:szCs w:val="20"/>
              </w:rPr>
            </w:pPr>
            <w:r w:rsidRPr="00544DD6">
              <w:rPr>
                <w:rFonts w:ascii="Arial Narrow" w:hAnsi="Arial Narrow" w:cs="Times New Roman"/>
                <w:color w:val="000000"/>
                <w:sz w:val="20"/>
                <w:szCs w:val="20"/>
              </w:rPr>
              <w:t xml:space="preserve">AST (IU/L) </w:t>
            </w:r>
            <w:r w:rsidRPr="00544DD6">
              <w:rPr>
                <w:rFonts w:ascii="Arial Narrow" w:hAnsi="Arial Narrow" w:cs="Times New Roman"/>
                <w:color w:val="000000"/>
                <w:spacing w:val="-4"/>
                <w:sz w:val="20"/>
                <w:szCs w:val="20"/>
              </w:rPr>
              <w:t>(**)</w:t>
            </w:r>
          </w:p>
        </w:tc>
        <w:tc>
          <w:tcPr>
            <w:tcW w:w="1560" w:type="dxa"/>
            <w:vAlign w:val="center"/>
          </w:tcPr>
          <w:p w14:paraId="5F218652" w14:textId="77777777" w:rsidR="0010124D" w:rsidRPr="00544DD6" w:rsidRDefault="0010124D" w:rsidP="002317AA">
            <w:pPr>
              <w:spacing w:before="120" w:after="120"/>
              <w:jc w:val="center"/>
              <w:rPr>
                <w:rFonts w:ascii="Arial Narrow" w:hAnsi="Arial Narrow" w:cs="Times New Roman"/>
                <w:color w:val="000000"/>
                <w:sz w:val="20"/>
                <w:szCs w:val="20"/>
              </w:rPr>
            </w:pPr>
            <w:r w:rsidRPr="00544DD6">
              <w:rPr>
                <w:rFonts w:ascii="Arial Narrow" w:hAnsi="Arial Narrow" w:cs="Times New Roman"/>
                <w:color w:val="000000"/>
                <w:sz w:val="20"/>
                <w:szCs w:val="20"/>
              </w:rPr>
              <w:t>38.36±2.90</w:t>
            </w:r>
          </w:p>
        </w:tc>
        <w:tc>
          <w:tcPr>
            <w:tcW w:w="2126" w:type="dxa"/>
            <w:vAlign w:val="center"/>
          </w:tcPr>
          <w:p w14:paraId="242AEAA8" w14:textId="77777777" w:rsidR="0010124D" w:rsidRPr="00544DD6" w:rsidRDefault="0010124D" w:rsidP="002317AA">
            <w:pPr>
              <w:spacing w:before="120" w:after="120"/>
              <w:jc w:val="center"/>
              <w:rPr>
                <w:rFonts w:ascii="Arial Narrow" w:hAnsi="Arial Narrow" w:cs="Times New Roman"/>
                <w:color w:val="000000"/>
                <w:sz w:val="20"/>
                <w:szCs w:val="20"/>
              </w:rPr>
            </w:pPr>
            <w:r w:rsidRPr="00544DD6">
              <w:rPr>
                <w:rFonts w:ascii="Arial Narrow" w:hAnsi="Arial Narrow" w:cs="Times New Roman"/>
                <w:color w:val="000000"/>
                <w:sz w:val="20"/>
                <w:szCs w:val="20"/>
              </w:rPr>
              <w:t>148.87±7.14</w:t>
            </w:r>
          </w:p>
        </w:tc>
      </w:tr>
      <w:tr w:rsidR="0010124D" w:rsidRPr="00E75BE2" w14:paraId="1017AAEF" w14:textId="77777777" w:rsidTr="002317AA">
        <w:trPr>
          <w:trHeight w:val="503"/>
        </w:trPr>
        <w:tc>
          <w:tcPr>
            <w:tcW w:w="485" w:type="dxa"/>
            <w:vAlign w:val="center"/>
          </w:tcPr>
          <w:p w14:paraId="443428C4" w14:textId="77777777" w:rsidR="0010124D" w:rsidRPr="00544DD6" w:rsidRDefault="0010124D" w:rsidP="002317AA">
            <w:pPr>
              <w:spacing w:before="120" w:after="120"/>
              <w:jc w:val="center"/>
              <w:rPr>
                <w:rFonts w:ascii="Arial Narrow" w:hAnsi="Arial Narrow" w:cs="Times New Roman"/>
                <w:color w:val="000000"/>
                <w:spacing w:val="-10"/>
                <w:sz w:val="20"/>
                <w:szCs w:val="20"/>
              </w:rPr>
            </w:pPr>
          </w:p>
          <w:p w14:paraId="200CBF79" w14:textId="77777777" w:rsidR="0010124D" w:rsidRPr="00544DD6" w:rsidRDefault="0010124D" w:rsidP="002317AA">
            <w:pPr>
              <w:spacing w:before="120" w:after="120"/>
              <w:jc w:val="center"/>
              <w:rPr>
                <w:rFonts w:ascii="Arial Narrow" w:hAnsi="Arial Narrow" w:cs="Times New Roman"/>
                <w:color w:val="000000"/>
                <w:sz w:val="20"/>
                <w:szCs w:val="20"/>
              </w:rPr>
            </w:pPr>
            <w:r w:rsidRPr="00544DD6">
              <w:rPr>
                <w:rFonts w:ascii="Arial Narrow" w:hAnsi="Arial Narrow" w:cs="Times New Roman"/>
                <w:color w:val="000000"/>
                <w:spacing w:val="-10"/>
                <w:sz w:val="20"/>
                <w:szCs w:val="20"/>
              </w:rPr>
              <w:t>3</w:t>
            </w:r>
          </w:p>
        </w:tc>
        <w:tc>
          <w:tcPr>
            <w:tcW w:w="3479" w:type="dxa"/>
            <w:vAlign w:val="center"/>
          </w:tcPr>
          <w:p w14:paraId="241A3763" w14:textId="77777777" w:rsidR="0010124D" w:rsidRPr="00544DD6" w:rsidRDefault="0010124D" w:rsidP="002317AA">
            <w:pPr>
              <w:spacing w:before="120" w:after="120"/>
              <w:jc w:val="center"/>
              <w:rPr>
                <w:rFonts w:ascii="Arial Narrow" w:hAnsi="Arial Narrow" w:cs="Times New Roman"/>
                <w:color w:val="000000"/>
                <w:sz w:val="20"/>
                <w:szCs w:val="20"/>
              </w:rPr>
            </w:pPr>
            <w:r w:rsidRPr="00544DD6">
              <w:rPr>
                <w:rFonts w:ascii="Arial Narrow" w:hAnsi="Arial Narrow" w:cs="Times New Roman"/>
                <w:color w:val="000000"/>
                <w:sz w:val="20"/>
                <w:szCs w:val="20"/>
              </w:rPr>
              <w:t>ALP(IU/L)</w:t>
            </w:r>
            <w:r w:rsidRPr="00544DD6">
              <w:rPr>
                <w:rFonts w:ascii="Arial Narrow" w:hAnsi="Arial Narrow" w:cs="Times New Roman"/>
                <w:color w:val="000000"/>
                <w:spacing w:val="12"/>
                <w:sz w:val="20"/>
                <w:szCs w:val="20"/>
              </w:rPr>
              <w:t xml:space="preserve"> </w:t>
            </w:r>
            <w:r w:rsidRPr="00544DD6">
              <w:rPr>
                <w:rFonts w:ascii="Arial Narrow" w:hAnsi="Arial Narrow" w:cs="Times New Roman"/>
                <w:color w:val="000000"/>
                <w:spacing w:val="-4"/>
                <w:sz w:val="20"/>
                <w:szCs w:val="20"/>
              </w:rPr>
              <w:t>(**)</w:t>
            </w:r>
          </w:p>
        </w:tc>
        <w:tc>
          <w:tcPr>
            <w:tcW w:w="1560" w:type="dxa"/>
            <w:vAlign w:val="center"/>
          </w:tcPr>
          <w:p w14:paraId="1CCB8DCF" w14:textId="77777777" w:rsidR="0010124D" w:rsidRPr="00544DD6" w:rsidRDefault="0010124D" w:rsidP="002317AA">
            <w:pPr>
              <w:spacing w:before="120" w:after="120"/>
              <w:jc w:val="center"/>
              <w:rPr>
                <w:rFonts w:ascii="Arial Narrow" w:hAnsi="Arial Narrow" w:cs="Times New Roman"/>
                <w:color w:val="000000"/>
                <w:sz w:val="20"/>
                <w:szCs w:val="20"/>
              </w:rPr>
            </w:pPr>
            <w:r w:rsidRPr="00544DD6">
              <w:rPr>
                <w:rFonts w:ascii="Arial Narrow" w:hAnsi="Arial Narrow" w:cs="Times New Roman"/>
                <w:color w:val="000000"/>
                <w:sz w:val="20"/>
                <w:szCs w:val="20"/>
              </w:rPr>
              <w:t>76.89±5.46</w:t>
            </w:r>
          </w:p>
        </w:tc>
        <w:tc>
          <w:tcPr>
            <w:tcW w:w="2126" w:type="dxa"/>
            <w:vAlign w:val="center"/>
          </w:tcPr>
          <w:p w14:paraId="480C048F" w14:textId="77777777" w:rsidR="0010124D" w:rsidRPr="00544DD6" w:rsidRDefault="0010124D" w:rsidP="002317AA">
            <w:pPr>
              <w:spacing w:before="120" w:after="120"/>
              <w:jc w:val="center"/>
              <w:rPr>
                <w:rFonts w:ascii="Arial Narrow" w:hAnsi="Arial Narrow" w:cs="Times New Roman"/>
                <w:color w:val="000000"/>
                <w:sz w:val="20"/>
                <w:szCs w:val="20"/>
              </w:rPr>
            </w:pPr>
            <w:r w:rsidRPr="00544DD6">
              <w:rPr>
                <w:rFonts w:ascii="Arial Narrow" w:hAnsi="Arial Narrow" w:cs="Times New Roman"/>
                <w:color w:val="000000"/>
                <w:sz w:val="20"/>
                <w:szCs w:val="20"/>
              </w:rPr>
              <w:t>301.28±29.27</w:t>
            </w:r>
          </w:p>
        </w:tc>
      </w:tr>
      <w:tr w:rsidR="0010124D" w:rsidRPr="00E75BE2" w14:paraId="450EEF47" w14:textId="77777777" w:rsidTr="00C95D65">
        <w:trPr>
          <w:trHeight w:val="786"/>
        </w:trPr>
        <w:tc>
          <w:tcPr>
            <w:tcW w:w="485" w:type="dxa"/>
            <w:vAlign w:val="center"/>
          </w:tcPr>
          <w:p w14:paraId="1FEE0F14" w14:textId="77777777" w:rsidR="0010124D" w:rsidRPr="00544DD6" w:rsidRDefault="0010124D" w:rsidP="002317AA">
            <w:pPr>
              <w:spacing w:before="120" w:after="120"/>
              <w:jc w:val="center"/>
              <w:rPr>
                <w:rFonts w:ascii="Arial Narrow" w:hAnsi="Arial Narrow" w:cs="Times New Roman"/>
                <w:color w:val="000000"/>
                <w:sz w:val="20"/>
                <w:szCs w:val="20"/>
              </w:rPr>
            </w:pPr>
            <w:r w:rsidRPr="00544DD6">
              <w:rPr>
                <w:rFonts w:ascii="Arial Narrow" w:hAnsi="Arial Narrow" w:cs="Times New Roman"/>
                <w:color w:val="000000"/>
                <w:spacing w:val="-10"/>
                <w:sz w:val="20"/>
                <w:szCs w:val="20"/>
              </w:rPr>
              <w:t>4</w:t>
            </w:r>
          </w:p>
        </w:tc>
        <w:tc>
          <w:tcPr>
            <w:tcW w:w="3479" w:type="dxa"/>
            <w:vAlign w:val="center"/>
          </w:tcPr>
          <w:p w14:paraId="4B259A96" w14:textId="77777777" w:rsidR="0010124D" w:rsidRPr="00544DD6" w:rsidRDefault="0010124D" w:rsidP="002317AA">
            <w:pPr>
              <w:spacing w:before="120" w:after="120"/>
              <w:jc w:val="center"/>
              <w:rPr>
                <w:rFonts w:ascii="Arial Narrow" w:hAnsi="Arial Narrow" w:cs="Times New Roman"/>
                <w:color w:val="000000"/>
                <w:sz w:val="20"/>
                <w:szCs w:val="20"/>
              </w:rPr>
            </w:pPr>
            <w:r w:rsidRPr="00544DD6">
              <w:rPr>
                <w:rFonts w:ascii="Arial Narrow" w:hAnsi="Arial Narrow" w:cs="Times New Roman"/>
                <w:color w:val="000000"/>
                <w:sz w:val="20"/>
                <w:szCs w:val="20"/>
              </w:rPr>
              <w:t>GGT(IU/L)</w:t>
            </w:r>
            <w:r w:rsidRPr="00544DD6">
              <w:rPr>
                <w:rFonts w:ascii="Arial Narrow" w:hAnsi="Arial Narrow" w:cs="Times New Roman"/>
                <w:color w:val="000000"/>
                <w:spacing w:val="-2"/>
                <w:sz w:val="20"/>
                <w:szCs w:val="20"/>
              </w:rPr>
              <w:t xml:space="preserve"> (**)</w:t>
            </w:r>
          </w:p>
        </w:tc>
        <w:tc>
          <w:tcPr>
            <w:tcW w:w="1560" w:type="dxa"/>
            <w:vAlign w:val="center"/>
          </w:tcPr>
          <w:p w14:paraId="7CA8590F" w14:textId="77777777" w:rsidR="0010124D" w:rsidRPr="00544DD6" w:rsidRDefault="0010124D" w:rsidP="002317AA">
            <w:pPr>
              <w:spacing w:before="120" w:after="120"/>
              <w:jc w:val="center"/>
              <w:rPr>
                <w:rFonts w:ascii="Arial Narrow" w:hAnsi="Arial Narrow" w:cs="Times New Roman"/>
                <w:color w:val="000000"/>
                <w:sz w:val="20"/>
                <w:szCs w:val="20"/>
              </w:rPr>
            </w:pPr>
            <w:r w:rsidRPr="00544DD6">
              <w:rPr>
                <w:rFonts w:ascii="Arial Narrow" w:hAnsi="Arial Narrow" w:cs="Times New Roman"/>
                <w:color w:val="000000"/>
                <w:sz w:val="20"/>
                <w:szCs w:val="20"/>
              </w:rPr>
              <w:t>5.19±0.40</w:t>
            </w:r>
          </w:p>
        </w:tc>
        <w:tc>
          <w:tcPr>
            <w:tcW w:w="2126" w:type="dxa"/>
            <w:vAlign w:val="center"/>
          </w:tcPr>
          <w:p w14:paraId="616D9C38" w14:textId="77777777" w:rsidR="0010124D" w:rsidRPr="00544DD6" w:rsidRDefault="0010124D" w:rsidP="002317AA">
            <w:pPr>
              <w:spacing w:before="120" w:after="120"/>
              <w:jc w:val="center"/>
              <w:rPr>
                <w:rFonts w:ascii="Arial Narrow" w:hAnsi="Arial Narrow" w:cs="Times New Roman"/>
                <w:color w:val="000000"/>
                <w:sz w:val="20"/>
                <w:szCs w:val="20"/>
              </w:rPr>
            </w:pPr>
            <w:r w:rsidRPr="00544DD6">
              <w:rPr>
                <w:rFonts w:ascii="Arial Narrow" w:hAnsi="Arial Narrow" w:cs="Times New Roman"/>
                <w:color w:val="000000"/>
                <w:sz w:val="20"/>
                <w:szCs w:val="20"/>
              </w:rPr>
              <w:t>17.72±2.74</w:t>
            </w:r>
          </w:p>
        </w:tc>
      </w:tr>
      <w:tr w:rsidR="0010124D" w:rsidRPr="00E75BE2" w14:paraId="502DA7EE" w14:textId="77777777" w:rsidTr="002317AA">
        <w:trPr>
          <w:trHeight w:val="842"/>
        </w:trPr>
        <w:tc>
          <w:tcPr>
            <w:tcW w:w="485" w:type="dxa"/>
            <w:vAlign w:val="center"/>
          </w:tcPr>
          <w:p w14:paraId="00343F58" w14:textId="77777777" w:rsidR="0010124D" w:rsidRPr="00544DD6" w:rsidRDefault="0010124D" w:rsidP="002317AA">
            <w:pPr>
              <w:spacing w:before="120" w:after="120"/>
              <w:jc w:val="center"/>
              <w:rPr>
                <w:rFonts w:ascii="Arial Narrow" w:hAnsi="Arial Narrow" w:cs="Times New Roman"/>
                <w:color w:val="000000"/>
                <w:sz w:val="20"/>
                <w:szCs w:val="20"/>
              </w:rPr>
            </w:pPr>
            <w:r w:rsidRPr="00544DD6">
              <w:rPr>
                <w:rFonts w:ascii="Arial Narrow" w:hAnsi="Arial Narrow" w:cs="Times New Roman"/>
                <w:color w:val="000000"/>
                <w:spacing w:val="-10"/>
                <w:sz w:val="20"/>
                <w:szCs w:val="20"/>
              </w:rPr>
              <w:t>5</w:t>
            </w:r>
          </w:p>
        </w:tc>
        <w:tc>
          <w:tcPr>
            <w:tcW w:w="3479" w:type="dxa"/>
            <w:vAlign w:val="center"/>
          </w:tcPr>
          <w:p w14:paraId="09D39D2A" w14:textId="77777777" w:rsidR="0010124D" w:rsidRPr="00544DD6" w:rsidRDefault="0010124D" w:rsidP="002317AA">
            <w:pPr>
              <w:spacing w:before="120" w:after="120"/>
              <w:jc w:val="center"/>
              <w:rPr>
                <w:rFonts w:ascii="Arial Narrow" w:hAnsi="Arial Narrow" w:cs="Times New Roman"/>
                <w:color w:val="000000"/>
                <w:sz w:val="20"/>
                <w:szCs w:val="20"/>
              </w:rPr>
            </w:pPr>
            <w:r w:rsidRPr="00544DD6">
              <w:rPr>
                <w:rFonts w:ascii="Arial Narrow" w:hAnsi="Arial Narrow" w:cs="Times New Roman"/>
                <w:color w:val="000000"/>
                <w:sz w:val="20"/>
                <w:szCs w:val="20"/>
              </w:rPr>
              <w:t xml:space="preserve">Total Protein </w:t>
            </w:r>
            <w:r w:rsidRPr="00544DD6">
              <w:rPr>
                <w:rFonts w:ascii="Arial Narrow" w:hAnsi="Arial Narrow" w:cs="Times New Roman"/>
                <w:color w:val="000000"/>
                <w:spacing w:val="-2"/>
                <w:sz w:val="20"/>
                <w:szCs w:val="20"/>
              </w:rPr>
              <w:t>(g/dl) (**)</w:t>
            </w:r>
          </w:p>
        </w:tc>
        <w:tc>
          <w:tcPr>
            <w:tcW w:w="1560" w:type="dxa"/>
            <w:vAlign w:val="center"/>
          </w:tcPr>
          <w:p w14:paraId="16411A9E" w14:textId="77777777" w:rsidR="0010124D" w:rsidRPr="00544DD6" w:rsidRDefault="0010124D" w:rsidP="002317AA">
            <w:pPr>
              <w:spacing w:before="120" w:after="120"/>
              <w:jc w:val="center"/>
              <w:rPr>
                <w:rFonts w:ascii="Arial Narrow" w:hAnsi="Arial Narrow" w:cs="Times New Roman"/>
                <w:color w:val="000000"/>
                <w:sz w:val="20"/>
                <w:szCs w:val="20"/>
              </w:rPr>
            </w:pPr>
            <w:r w:rsidRPr="00544DD6">
              <w:rPr>
                <w:rFonts w:ascii="Arial Narrow" w:hAnsi="Arial Narrow" w:cs="Times New Roman"/>
                <w:color w:val="000000"/>
                <w:sz w:val="20"/>
                <w:szCs w:val="20"/>
              </w:rPr>
              <w:t>6.26±0.18</w:t>
            </w:r>
          </w:p>
        </w:tc>
        <w:tc>
          <w:tcPr>
            <w:tcW w:w="2126" w:type="dxa"/>
            <w:vAlign w:val="center"/>
          </w:tcPr>
          <w:p w14:paraId="5AA6E861" w14:textId="77777777" w:rsidR="0010124D" w:rsidRPr="00544DD6" w:rsidRDefault="0010124D" w:rsidP="002317AA">
            <w:pPr>
              <w:spacing w:before="120" w:after="120"/>
              <w:jc w:val="center"/>
              <w:rPr>
                <w:rFonts w:ascii="Arial Narrow" w:hAnsi="Arial Narrow" w:cs="Times New Roman"/>
                <w:color w:val="000000"/>
                <w:sz w:val="20"/>
                <w:szCs w:val="20"/>
              </w:rPr>
            </w:pPr>
            <w:r w:rsidRPr="00544DD6">
              <w:rPr>
                <w:rFonts w:ascii="Arial Narrow" w:hAnsi="Arial Narrow" w:cs="Times New Roman"/>
                <w:color w:val="000000"/>
                <w:sz w:val="20"/>
                <w:szCs w:val="20"/>
              </w:rPr>
              <w:t>4.64±0.38</w:t>
            </w:r>
          </w:p>
        </w:tc>
      </w:tr>
      <w:tr w:rsidR="0010124D" w:rsidRPr="00E75BE2" w14:paraId="58FEEB9E" w14:textId="77777777" w:rsidTr="002317AA">
        <w:trPr>
          <w:trHeight w:val="840"/>
        </w:trPr>
        <w:tc>
          <w:tcPr>
            <w:tcW w:w="485" w:type="dxa"/>
            <w:vAlign w:val="center"/>
          </w:tcPr>
          <w:p w14:paraId="715C442B" w14:textId="77777777" w:rsidR="0010124D" w:rsidRPr="00544DD6" w:rsidRDefault="0010124D" w:rsidP="002317AA">
            <w:pPr>
              <w:spacing w:before="120" w:after="120"/>
              <w:jc w:val="center"/>
              <w:rPr>
                <w:rFonts w:ascii="Arial Narrow" w:hAnsi="Arial Narrow" w:cs="Times New Roman"/>
                <w:color w:val="000000"/>
                <w:sz w:val="20"/>
                <w:szCs w:val="20"/>
              </w:rPr>
            </w:pPr>
            <w:r w:rsidRPr="00544DD6">
              <w:rPr>
                <w:rFonts w:ascii="Arial Narrow" w:hAnsi="Arial Narrow" w:cs="Times New Roman"/>
                <w:color w:val="000000"/>
                <w:spacing w:val="-10"/>
                <w:sz w:val="20"/>
                <w:szCs w:val="20"/>
              </w:rPr>
              <w:t>6</w:t>
            </w:r>
          </w:p>
        </w:tc>
        <w:tc>
          <w:tcPr>
            <w:tcW w:w="3479" w:type="dxa"/>
            <w:vAlign w:val="center"/>
          </w:tcPr>
          <w:p w14:paraId="2B8EC79C" w14:textId="77777777" w:rsidR="0010124D" w:rsidRPr="00544DD6" w:rsidRDefault="0010124D" w:rsidP="002317AA">
            <w:pPr>
              <w:spacing w:before="120" w:after="120"/>
              <w:jc w:val="center"/>
              <w:rPr>
                <w:rFonts w:ascii="Arial Narrow" w:hAnsi="Arial Narrow" w:cs="Times New Roman"/>
                <w:color w:val="000000"/>
                <w:sz w:val="20"/>
                <w:szCs w:val="20"/>
              </w:rPr>
            </w:pPr>
            <w:r w:rsidRPr="00544DD6">
              <w:rPr>
                <w:rFonts w:ascii="Arial Narrow" w:hAnsi="Arial Narrow" w:cs="Times New Roman"/>
                <w:color w:val="000000"/>
                <w:sz w:val="20"/>
                <w:szCs w:val="20"/>
              </w:rPr>
              <w:t xml:space="preserve">Total bilirubin (mg/dl) </w:t>
            </w:r>
            <w:r w:rsidRPr="00544DD6">
              <w:rPr>
                <w:rFonts w:ascii="Arial Narrow" w:hAnsi="Arial Narrow" w:cs="Times New Roman"/>
                <w:color w:val="000000"/>
                <w:spacing w:val="-2"/>
                <w:sz w:val="20"/>
                <w:szCs w:val="20"/>
              </w:rPr>
              <w:t>(*)</w:t>
            </w:r>
          </w:p>
        </w:tc>
        <w:tc>
          <w:tcPr>
            <w:tcW w:w="1560" w:type="dxa"/>
            <w:vAlign w:val="center"/>
          </w:tcPr>
          <w:p w14:paraId="1F8C64B2" w14:textId="77777777" w:rsidR="0010124D" w:rsidRPr="00544DD6" w:rsidRDefault="0010124D" w:rsidP="002317AA">
            <w:pPr>
              <w:spacing w:before="120" w:after="120"/>
              <w:jc w:val="center"/>
              <w:rPr>
                <w:rFonts w:ascii="Arial Narrow" w:hAnsi="Arial Narrow" w:cs="Times New Roman"/>
                <w:color w:val="000000"/>
                <w:sz w:val="20"/>
                <w:szCs w:val="20"/>
              </w:rPr>
            </w:pPr>
            <w:r w:rsidRPr="00544DD6">
              <w:rPr>
                <w:rFonts w:ascii="Arial Narrow" w:hAnsi="Arial Narrow" w:cs="Times New Roman"/>
                <w:color w:val="000000"/>
                <w:sz w:val="20"/>
                <w:szCs w:val="20"/>
              </w:rPr>
              <w:t>0.20±0.04</w:t>
            </w:r>
          </w:p>
        </w:tc>
        <w:tc>
          <w:tcPr>
            <w:tcW w:w="2126" w:type="dxa"/>
            <w:vAlign w:val="center"/>
          </w:tcPr>
          <w:p w14:paraId="67FFBCE8" w14:textId="77777777" w:rsidR="0010124D" w:rsidRPr="00544DD6" w:rsidRDefault="0010124D" w:rsidP="002317AA">
            <w:pPr>
              <w:spacing w:before="120" w:after="120"/>
              <w:jc w:val="center"/>
              <w:rPr>
                <w:rFonts w:ascii="Arial Narrow" w:hAnsi="Arial Narrow" w:cs="Times New Roman"/>
                <w:color w:val="000000"/>
                <w:sz w:val="20"/>
                <w:szCs w:val="20"/>
              </w:rPr>
            </w:pPr>
            <w:r w:rsidRPr="00544DD6">
              <w:rPr>
                <w:rFonts w:ascii="Arial Narrow" w:hAnsi="Arial Narrow" w:cs="Times New Roman"/>
                <w:color w:val="000000"/>
                <w:sz w:val="20"/>
                <w:szCs w:val="20"/>
              </w:rPr>
              <w:t>1.20±0.38</w:t>
            </w:r>
          </w:p>
        </w:tc>
      </w:tr>
      <w:tr w:rsidR="0010124D" w:rsidRPr="00E75BE2" w14:paraId="34D27569" w14:textId="77777777" w:rsidTr="00C95D65">
        <w:trPr>
          <w:trHeight w:val="838"/>
        </w:trPr>
        <w:tc>
          <w:tcPr>
            <w:tcW w:w="485" w:type="dxa"/>
            <w:vAlign w:val="center"/>
          </w:tcPr>
          <w:p w14:paraId="4E748807" w14:textId="77777777" w:rsidR="0010124D" w:rsidRPr="00544DD6" w:rsidRDefault="0010124D" w:rsidP="002317AA">
            <w:pPr>
              <w:spacing w:before="120" w:after="120"/>
              <w:jc w:val="center"/>
              <w:rPr>
                <w:rFonts w:ascii="Arial Narrow" w:hAnsi="Arial Narrow" w:cs="Times New Roman"/>
                <w:color w:val="000000"/>
                <w:sz w:val="20"/>
                <w:szCs w:val="20"/>
              </w:rPr>
            </w:pPr>
            <w:r w:rsidRPr="00544DD6">
              <w:rPr>
                <w:rFonts w:ascii="Arial Narrow" w:hAnsi="Arial Narrow" w:cs="Times New Roman"/>
                <w:color w:val="000000"/>
                <w:spacing w:val="-10"/>
                <w:sz w:val="20"/>
                <w:szCs w:val="20"/>
              </w:rPr>
              <w:t>7</w:t>
            </w:r>
          </w:p>
        </w:tc>
        <w:tc>
          <w:tcPr>
            <w:tcW w:w="3479" w:type="dxa"/>
            <w:vAlign w:val="center"/>
          </w:tcPr>
          <w:p w14:paraId="1894BE64" w14:textId="77777777" w:rsidR="0010124D" w:rsidRPr="00544DD6" w:rsidRDefault="0010124D" w:rsidP="002317AA">
            <w:pPr>
              <w:widowControl w:val="0"/>
              <w:autoSpaceDE w:val="0"/>
              <w:autoSpaceDN w:val="0"/>
              <w:spacing w:before="120" w:after="120" w:line="247" w:lineRule="exact"/>
              <w:jc w:val="center"/>
              <w:rPr>
                <w:rFonts w:ascii="Arial Narrow" w:eastAsia="Times New Roman" w:hAnsi="Arial Narrow" w:cs="Times New Roman"/>
                <w:color w:val="000000"/>
                <w:sz w:val="20"/>
                <w:szCs w:val="20"/>
              </w:rPr>
            </w:pPr>
            <w:r w:rsidRPr="00544DD6">
              <w:rPr>
                <w:rFonts w:ascii="Arial Narrow" w:eastAsia="Times New Roman" w:hAnsi="Arial Narrow" w:cs="Times New Roman"/>
                <w:color w:val="000000"/>
                <w:spacing w:val="-2"/>
                <w:sz w:val="20"/>
                <w:szCs w:val="20"/>
              </w:rPr>
              <w:t>Glucose (mg/dl) (**)</w:t>
            </w:r>
          </w:p>
        </w:tc>
        <w:tc>
          <w:tcPr>
            <w:tcW w:w="1560" w:type="dxa"/>
            <w:vAlign w:val="center"/>
          </w:tcPr>
          <w:p w14:paraId="1D58B1D6" w14:textId="77777777" w:rsidR="0010124D" w:rsidRPr="00544DD6" w:rsidRDefault="0010124D" w:rsidP="002317AA">
            <w:pPr>
              <w:spacing w:before="120" w:after="120"/>
              <w:jc w:val="center"/>
              <w:rPr>
                <w:rFonts w:ascii="Arial Narrow" w:hAnsi="Arial Narrow" w:cs="Times New Roman"/>
                <w:color w:val="000000"/>
                <w:sz w:val="20"/>
                <w:szCs w:val="20"/>
              </w:rPr>
            </w:pPr>
            <w:r w:rsidRPr="00544DD6">
              <w:rPr>
                <w:rFonts w:ascii="Arial Narrow" w:hAnsi="Arial Narrow" w:cs="Times New Roman"/>
                <w:color w:val="000000"/>
                <w:sz w:val="20"/>
                <w:szCs w:val="20"/>
              </w:rPr>
              <w:t>95.11±3.39</w:t>
            </w:r>
          </w:p>
        </w:tc>
        <w:tc>
          <w:tcPr>
            <w:tcW w:w="2126" w:type="dxa"/>
            <w:vAlign w:val="center"/>
          </w:tcPr>
          <w:p w14:paraId="6EAB185C" w14:textId="77777777" w:rsidR="0010124D" w:rsidRPr="00544DD6" w:rsidRDefault="0010124D" w:rsidP="002317AA">
            <w:pPr>
              <w:spacing w:before="120" w:after="120"/>
              <w:jc w:val="center"/>
              <w:rPr>
                <w:rFonts w:ascii="Arial Narrow" w:hAnsi="Arial Narrow" w:cs="Times New Roman"/>
                <w:color w:val="000000"/>
                <w:sz w:val="20"/>
                <w:szCs w:val="20"/>
              </w:rPr>
            </w:pPr>
            <w:r w:rsidRPr="00544DD6">
              <w:rPr>
                <w:rFonts w:ascii="Arial Narrow" w:hAnsi="Arial Narrow" w:cs="Times New Roman"/>
                <w:color w:val="000000"/>
                <w:sz w:val="20"/>
                <w:szCs w:val="20"/>
              </w:rPr>
              <w:t>64.16±6.48</w:t>
            </w:r>
          </w:p>
        </w:tc>
      </w:tr>
    </w:tbl>
    <w:p w14:paraId="1B0A2DD0" w14:textId="77777777" w:rsidR="006417D1" w:rsidRPr="00544DD6" w:rsidRDefault="006417D1" w:rsidP="006417D1">
      <w:pPr>
        <w:spacing w:before="120" w:line="480" w:lineRule="auto"/>
        <w:jc w:val="both"/>
        <w:rPr>
          <w:rFonts w:ascii="Arial Narrow" w:eastAsia="Calibri" w:hAnsi="Arial Narrow" w:cs="Times New Roman"/>
          <w:color w:val="000000"/>
          <w:sz w:val="20"/>
          <w:szCs w:val="20"/>
        </w:rPr>
      </w:pPr>
      <w:r w:rsidRPr="00544DD6">
        <w:rPr>
          <w:rFonts w:ascii="Arial Narrow" w:eastAsia="Calibri" w:hAnsi="Arial Narrow" w:cs="Times New Roman"/>
          <w:color w:val="000000"/>
          <w:sz w:val="20"/>
          <w:szCs w:val="20"/>
        </w:rPr>
        <w:t xml:space="preserve">* The variations in mean value were significant (p&lt;0.05) when compared with the </w:t>
      </w:r>
      <w:r w:rsidRPr="00544DD6">
        <w:rPr>
          <w:rFonts w:ascii="Arial Narrow" w:eastAsia="Calibri" w:hAnsi="Arial Narrow" w:cs="Times New Roman"/>
          <w:color w:val="000000"/>
          <w:sz w:val="20"/>
          <w:szCs w:val="20"/>
        </w:rPr>
        <w:br/>
        <w:t xml:space="preserve">    mean value of healthy control group.</w:t>
      </w:r>
    </w:p>
    <w:p w14:paraId="741FBF9D" w14:textId="24E34925" w:rsidR="00DF5264" w:rsidRPr="00544DD6" w:rsidRDefault="006417D1" w:rsidP="006417D1">
      <w:pPr>
        <w:spacing w:line="480" w:lineRule="auto"/>
        <w:jc w:val="both"/>
        <w:rPr>
          <w:rFonts w:ascii="Arial Narrow" w:eastAsia="Calibri" w:hAnsi="Arial Narrow" w:cs="Times New Roman"/>
          <w:color w:val="000000"/>
          <w:sz w:val="20"/>
          <w:szCs w:val="20"/>
        </w:rPr>
      </w:pPr>
      <w:r w:rsidRPr="00544DD6">
        <w:rPr>
          <w:rFonts w:ascii="Arial Narrow" w:eastAsia="Calibri" w:hAnsi="Arial Narrow" w:cs="Times New Roman"/>
          <w:color w:val="000000"/>
          <w:sz w:val="20"/>
          <w:szCs w:val="20"/>
        </w:rPr>
        <w:t xml:space="preserve">** The variations in mean value were highly significant (p&lt;0.01) when compared with </w:t>
      </w:r>
      <w:r w:rsidRPr="00544DD6">
        <w:rPr>
          <w:rFonts w:ascii="Arial Narrow" w:eastAsia="Calibri" w:hAnsi="Arial Narrow" w:cs="Times New Roman"/>
          <w:color w:val="000000"/>
          <w:sz w:val="20"/>
          <w:szCs w:val="20"/>
        </w:rPr>
        <w:br/>
        <w:t xml:space="preserve">     the mean value of healthy control group.</w:t>
      </w:r>
    </w:p>
    <w:p w14:paraId="0A3B2BD9" w14:textId="1D0620B1" w:rsidR="0056590B" w:rsidRPr="00544DD6" w:rsidRDefault="0056590B" w:rsidP="00542ACB">
      <w:pPr>
        <w:spacing w:line="480" w:lineRule="auto"/>
        <w:jc w:val="both"/>
        <w:rPr>
          <w:rFonts w:ascii="Arial Narrow" w:hAnsi="Arial Narrow" w:cs="Times New Roman"/>
          <w:sz w:val="20"/>
          <w:szCs w:val="20"/>
        </w:rPr>
      </w:pPr>
      <w:r w:rsidRPr="00544DD6">
        <w:rPr>
          <w:rFonts w:ascii="Arial Narrow" w:hAnsi="Arial Narrow" w:cs="Times New Roman"/>
          <w:sz w:val="20"/>
          <w:szCs w:val="20"/>
        </w:rPr>
        <w:t>The mean</w:t>
      </w:r>
      <w:r w:rsidRPr="00544DD6">
        <w:rPr>
          <w:rFonts w:ascii="Arial" w:hAnsi="Arial" w:cs="Arial"/>
          <w:sz w:val="20"/>
          <w:szCs w:val="20"/>
        </w:rPr>
        <w:t> </w:t>
      </w:r>
      <w:r w:rsidRPr="00544DD6">
        <w:rPr>
          <w:rFonts w:ascii="Arial Narrow" w:hAnsi="Arial Narrow" w:cs="Arial Narrow"/>
          <w:sz w:val="20"/>
          <w:szCs w:val="20"/>
        </w:rPr>
        <w:t>±</w:t>
      </w:r>
      <w:r w:rsidRPr="00544DD6">
        <w:rPr>
          <w:rFonts w:ascii="Arial" w:hAnsi="Arial" w:cs="Arial"/>
          <w:sz w:val="20"/>
          <w:szCs w:val="20"/>
        </w:rPr>
        <w:t> </w:t>
      </w:r>
      <w:r w:rsidRPr="00544DD6">
        <w:rPr>
          <w:rFonts w:ascii="Arial Narrow" w:hAnsi="Arial Narrow" w:cs="Times New Roman"/>
          <w:sz w:val="20"/>
          <w:szCs w:val="20"/>
        </w:rPr>
        <w:t>SE value of alanine aminotransferase (ALT) in the hepatic dysfunction group (162.16</w:t>
      </w:r>
      <w:r w:rsidRPr="00544DD6">
        <w:rPr>
          <w:rFonts w:ascii="Arial" w:hAnsi="Arial" w:cs="Arial"/>
          <w:sz w:val="20"/>
          <w:szCs w:val="20"/>
        </w:rPr>
        <w:t> </w:t>
      </w:r>
      <w:r w:rsidRPr="00544DD6">
        <w:rPr>
          <w:rFonts w:ascii="Arial Narrow" w:hAnsi="Arial Narrow" w:cs="Arial Narrow"/>
          <w:sz w:val="20"/>
          <w:szCs w:val="20"/>
        </w:rPr>
        <w:t>±</w:t>
      </w:r>
      <w:r w:rsidRPr="00544DD6">
        <w:rPr>
          <w:rFonts w:ascii="Arial" w:hAnsi="Arial" w:cs="Arial"/>
          <w:sz w:val="20"/>
          <w:szCs w:val="20"/>
        </w:rPr>
        <w:t> </w:t>
      </w:r>
      <w:r w:rsidRPr="00544DD6">
        <w:rPr>
          <w:rFonts w:ascii="Arial Narrow" w:hAnsi="Arial Narrow" w:cs="Times New Roman"/>
          <w:sz w:val="20"/>
          <w:szCs w:val="20"/>
        </w:rPr>
        <w:t>5.61 IU/L) was significantly (p&lt;0.01) higher in comparison to healthy controls (41.67</w:t>
      </w:r>
      <w:r w:rsidRPr="00544DD6">
        <w:rPr>
          <w:rFonts w:ascii="Arial" w:hAnsi="Arial" w:cs="Arial"/>
          <w:sz w:val="20"/>
          <w:szCs w:val="20"/>
        </w:rPr>
        <w:t> </w:t>
      </w:r>
      <w:r w:rsidRPr="00544DD6">
        <w:rPr>
          <w:rFonts w:ascii="Arial Narrow" w:hAnsi="Arial Narrow" w:cs="Arial Narrow"/>
          <w:sz w:val="20"/>
          <w:szCs w:val="20"/>
        </w:rPr>
        <w:t>±</w:t>
      </w:r>
      <w:r w:rsidRPr="00544DD6">
        <w:rPr>
          <w:rFonts w:ascii="Arial" w:hAnsi="Arial" w:cs="Arial"/>
          <w:sz w:val="20"/>
          <w:szCs w:val="20"/>
        </w:rPr>
        <w:t> </w:t>
      </w:r>
      <w:r w:rsidRPr="00544DD6">
        <w:rPr>
          <w:rFonts w:ascii="Arial Narrow" w:hAnsi="Arial Narrow" w:cs="Times New Roman"/>
          <w:sz w:val="20"/>
          <w:szCs w:val="20"/>
        </w:rPr>
        <w:t>2.24 IU/L). ALT is a cytosolic enzyme predominantly found in hepatocytes and its elevated levels of activity suggests the hepatocellular damage due to irreversible necrosis or reversible injury resulting in cytoplasmic leakage or blebbing. Common contributing factors includes inflammation, hypoxia, toxins, drugs and neoplasia (Lawrence and Steiner, 2017).</w:t>
      </w:r>
      <w:r w:rsidR="00404D13" w:rsidRPr="00544DD6">
        <w:rPr>
          <w:rFonts w:ascii="Arial Narrow" w:hAnsi="Arial Narrow" w:cs="Times New Roman"/>
          <w:sz w:val="20"/>
          <w:szCs w:val="20"/>
        </w:rPr>
        <w:t xml:space="preserve"> </w:t>
      </w:r>
      <w:r w:rsidRPr="00544DD6">
        <w:rPr>
          <w:rFonts w:ascii="Arial Narrow" w:hAnsi="Arial Narrow" w:cs="Times New Roman"/>
          <w:sz w:val="20"/>
          <w:szCs w:val="20"/>
        </w:rPr>
        <w:t xml:space="preserve">These findings </w:t>
      </w:r>
      <w:proofErr w:type="gramStart"/>
      <w:r w:rsidRPr="00544DD6">
        <w:rPr>
          <w:rFonts w:ascii="Arial Narrow" w:hAnsi="Arial Narrow" w:cs="Times New Roman"/>
          <w:sz w:val="20"/>
          <w:szCs w:val="20"/>
        </w:rPr>
        <w:t>aligns</w:t>
      </w:r>
      <w:proofErr w:type="gramEnd"/>
      <w:r w:rsidRPr="00544DD6">
        <w:rPr>
          <w:rFonts w:ascii="Arial Narrow" w:hAnsi="Arial Narrow" w:cs="Times New Roman"/>
          <w:sz w:val="20"/>
          <w:szCs w:val="20"/>
        </w:rPr>
        <w:t xml:space="preserve"> with </w:t>
      </w:r>
      <w:proofErr w:type="spellStart"/>
      <w:r w:rsidRPr="00544DD6">
        <w:rPr>
          <w:rFonts w:ascii="Arial Narrow" w:hAnsi="Arial Narrow" w:cs="Times New Roman"/>
          <w:sz w:val="20"/>
          <w:szCs w:val="20"/>
        </w:rPr>
        <w:t>Tantary</w:t>
      </w:r>
      <w:proofErr w:type="spellEnd"/>
      <w:r w:rsidRPr="00544DD6">
        <w:rPr>
          <w:rFonts w:ascii="Arial Narrow" w:hAnsi="Arial Narrow" w:cs="Times New Roman"/>
          <w:sz w:val="20"/>
          <w:szCs w:val="20"/>
        </w:rPr>
        <w:t xml:space="preserve"> </w:t>
      </w:r>
      <w:r w:rsidRPr="00A35E4E">
        <w:rPr>
          <w:rFonts w:ascii="Arial Narrow" w:hAnsi="Arial Narrow" w:cs="Times New Roman"/>
          <w:i/>
          <w:iCs/>
          <w:sz w:val="20"/>
          <w:szCs w:val="20"/>
        </w:rPr>
        <w:t>et al.</w:t>
      </w:r>
      <w:r w:rsidRPr="00544DD6">
        <w:rPr>
          <w:rFonts w:ascii="Arial Narrow" w:hAnsi="Arial Narrow" w:cs="Times New Roman"/>
          <w:sz w:val="20"/>
          <w:szCs w:val="20"/>
        </w:rPr>
        <w:t xml:space="preserve">, (2014) and Pandya </w:t>
      </w:r>
      <w:r w:rsidRPr="00A35E4E">
        <w:rPr>
          <w:rFonts w:ascii="Arial Narrow" w:hAnsi="Arial Narrow" w:cs="Times New Roman"/>
          <w:i/>
          <w:iCs/>
          <w:sz w:val="20"/>
          <w:szCs w:val="20"/>
        </w:rPr>
        <w:t>et al.</w:t>
      </w:r>
      <w:r w:rsidRPr="00544DD6">
        <w:rPr>
          <w:rFonts w:ascii="Arial Narrow" w:hAnsi="Arial Narrow" w:cs="Times New Roman"/>
          <w:sz w:val="20"/>
          <w:szCs w:val="20"/>
        </w:rPr>
        <w:t xml:space="preserve">, (2022), who observed similar ALT elevations in </w:t>
      </w:r>
      <w:r w:rsidR="007A27CC" w:rsidRPr="00544DD6">
        <w:rPr>
          <w:rFonts w:ascii="Arial Narrow" w:hAnsi="Arial Narrow" w:cs="Times New Roman"/>
          <w:sz w:val="20"/>
          <w:szCs w:val="20"/>
        </w:rPr>
        <w:t>dogs with</w:t>
      </w:r>
      <w:r w:rsidRPr="00544DD6">
        <w:rPr>
          <w:rFonts w:ascii="Arial Narrow" w:hAnsi="Arial Narrow" w:cs="Times New Roman"/>
          <w:sz w:val="20"/>
          <w:szCs w:val="20"/>
        </w:rPr>
        <w:t xml:space="preserve"> hepatic disorders. Similarly, aspartate aminotransferase (AST), a leakage enzyme presents in both cytoplasm and mitochondria showed a significant (p&lt;0.01) increase in affected dogs (148.87</w:t>
      </w:r>
      <w:r w:rsidRPr="00544DD6">
        <w:rPr>
          <w:rFonts w:ascii="Arial" w:hAnsi="Arial" w:cs="Arial"/>
          <w:sz w:val="20"/>
          <w:szCs w:val="20"/>
        </w:rPr>
        <w:t> </w:t>
      </w:r>
      <w:r w:rsidRPr="00544DD6">
        <w:rPr>
          <w:rFonts w:ascii="Arial Narrow" w:hAnsi="Arial Narrow" w:cs="Arial Narrow"/>
          <w:sz w:val="20"/>
          <w:szCs w:val="20"/>
        </w:rPr>
        <w:t>±</w:t>
      </w:r>
      <w:r w:rsidRPr="00544DD6">
        <w:rPr>
          <w:rFonts w:ascii="Arial" w:hAnsi="Arial" w:cs="Arial"/>
          <w:sz w:val="20"/>
          <w:szCs w:val="20"/>
        </w:rPr>
        <w:t> </w:t>
      </w:r>
      <w:r w:rsidRPr="00544DD6">
        <w:rPr>
          <w:rFonts w:ascii="Arial Narrow" w:hAnsi="Arial Narrow" w:cs="Times New Roman"/>
          <w:sz w:val="20"/>
          <w:szCs w:val="20"/>
        </w:rPr>
        <w:t>7.14 IU/L) as compared to healthy controls (38.36</w:t>
      </w:r>
      <w:r w:rsidRPr="00544DD6">
        <w:rPr>
          <w:rFonts w:ascii="Arial" w:hAnsi="Arial" w:cs="Arial"/>
          <w:sz w:val="20"/>
          <w:szCs w:val="20"/>
        </w:rPr>
        <w:t> </w:t>
      </w:r>
      <w:r w:rsidRPr="00544DD6">
        <w:rPr>
          <w:rFonts w:ascii="Arial Narrow" w:hAnsi="Arial Narrow" w:cs="Arial Narrow"/>
          <w:sz w:val="20"/>
          <w:szCs w:val="20"/>
        </w:rPr>
        <w:t>±</w:t>
      </w:r>
      <w:r w:rsidRPr="00544DD6">
        <w:rPr>
          <w:rFonts w:ascii="Arial" w:hAnsi="Arial" w:cs="Arial"/>
          <w:sz w:val="20"/>
          <w:szCs w:val="20"/>
        </w:rPr>
        <w:t> </w:t>
      </w:r>
      <w:r w:rsidRPr="00544DD6">
        <w:rPr>
          <w:rFonts w:ascii="Arial Narrow" w:hAnsi="Arial Narrow" w:cs="Times New Roman"/>
          <w:sz w:val="20"/>
          <w:szCs w:val="20"/>
        </w:rPr>
        <w:t xml:space="preserve">2.90 IU/L). Elevated AST levels are a hallmark of both acute and chronic hepatocellular injury and necrosis (Webster, 2010). These results are consistent with findings of </w:t>
      </w:r>
      <w:r w:rsidR="00381298" w:rsidRPr="00544DD6">
        <w:rPr>
          <w:rFonts w:ascii="Arial Narrow" w:hAnsi="Arial Narrow" w:cs="Times New Roman"/>
          <w:sz w:val="20"/>
          <w:szCs w:val="20"/>
        </w:rPr>
        <w:t xml:space="preserve"> </w:t>
      </w:r>
      <w:r w:rsidRPr="00544DD6">
        <w:rPr>
          <w:rFonts w:ascii="Arial Narrow" w:hAnsi="Arial Narrow" w:cs="Times New Roman"/>
          <w:sz w:val="20"/>
          <w:szCs w:val="20"/>
        </w:rPr>
        <w:t xml:space="preserve"> Lakshmi and Padmaja (2021) and Verma </w:t>
      </w:r>
      <w:r w:rsidRPr="00A35E4E">
        <w:rPr>
          <w:rFonts w:ascii="Arial Narrow" w:hAnsi="Arial Narrow" w:cs="Times New Roman"/>
          <w:i/>
          <w:iCs/>
          <w:sz w:val="20"/>
          <w:szCs w:val="20"/>
        </w:rPr>
        <w:t>et al.</w:t>
      </w:r>
      <w:r w:rsidRPr="00544DD6">
        <w:rPr>
          <w:rFonts w:ascii="Arial Narrow" w:hAnsi="Arial Narrow" w:cs="Times New Roman"/>
          <w:sz w:val="20"/>
          <w:szCs w:val="20"/>
        </w:rPr>
        <w:t xml:space="preserve">, (2024), highlighting AST as </w:t>
      </w:r>
      <w:r w:rsidR="00182847" w:rsidRPr="00544DD6">
        <w:rPr>
          <w:rFonts w:ascii="Arial Narrow" w:hAnsi="Arial Narrow" w:cs="Times New Roman"/>
          <w:sz w:val="20"/>
          <w:szCs w:val="20"/>
        </w:rPr>
        <w:t>a</w:t>
      </w:r>
      <w:r w:rsidRPr="00544DD6">
        <w:rPr>
          <w:rFonts w:ascii="Arial Narrow" w:hAnsi="Arial Narrow" w:cs="Times New Roman"/>
          <w:sz w:val="20"/>
          <w:szCs w:val="20"/>
        </w:rPr>
        <w:t xml:space="preserve"> useful biomarker in hepatobiliary disorders.</w:t>
      </w:r>
    </w:p>
    <w:p w14:paraId="3F05AF3B" w14:textId="376E85C4" w:rsidR="00E14E64" w:rsidRPr="00544DD6" w:rsidRDefault="00E14E64" w:rsidP="00ED0E09">
      <w:pPr>
        <w:spacing w:line="480" w:lineRule="auto"/>
        <w:jc w:val="both"/>
        <w:rPr>
          <w:rFonts w:ascii="Arial Narrow" w:hAnsi="Arial Narrow" w:cs="Times New Roman"/>
          <w:sz w:val="20"/>
          <w:szCs w:val="20"/>
        </w:rPr>
      </w:pPr>
      <w:r w:rsidRPr="00544DD6">
        <w:rPr>
          <w:rFonts w:ascii="Arial Narrow" w:hAnsi="Arial Narrow" w:cs="Times New Roman"/>
          <w:sz w:val="20"/>
          <w:szCs w:val="20"/>
        </w:rPr>
        <w:t>In addition to hepatocellular injury, cholestasis indicators were also significantly altered. Alkaline phosphatase (ALP) activity was markedly elevated (p&lt;0.01) in affected dogs (301.28</w:t>
      </w:r>
      <w:r w:rsidRPr="00544DD6">
        <w:rPr>
          <w:rFonts w:ascii="Arial" w:hAnsi="Arial" w:cs="Arial"/>
          <w:sz w:val="20"/>
          <w:szCs w:val="20"/>
        </w:rPr>
        <w:t> </w:t>
      </w:r>
      <w:r w:rsidRPr="00544DD6">
        <w:rPr>
          <w:rFonts w:ascii="Arial Narrow" w:hAnsi="Arial Narrow" w:cs="Arial Narrow"/>
          <w:sz w:val="20"/>
          <w:szCs w:val="20"/>
        </w:rPr>
        <w:t>±</w:t>
      </w:r>
      <w:r w:rsidRPr="00544DD6">
        <w:rPr>
          <w:rFonts w:ascii="Arial" w:hAnsi="Arial" w:cs="Arial"/>
          <w:sz w:val="20"/>
          <w:szCs w:val="20"/>
        </w:rPr>
        <w:t> </w:t>
      </w:r>
      <w:r w:rsidRPr="00544DD6">
        <w:rPr>
          <w:rFonts w:ascii="Arial Narrow" w:hAnsi="Arial Narrow" w:cs="Times New Roman"/>
          <w:sz w:val="20"/>
          <w:szCs w:val="20"/>
        </w:rPr>
        <w:t>29.27 IU/L) in comparison to healthy controls (76.89</w:t>
      </w:r>
      <w:r w:rsidRPr="00544DD6">
        <w:rPr>
          <w:rFonts w:ascii="Arial" w:hAnsi="Arial" w:cs="Arial"/>
          <w:sz w:val="20"/>
          <w:szCs w:val="20"/>
        </w:rPr>
        <w:t> </w:t>
      </w:r>
      <w:r w:rsidRPr="00544DD6">
        <w:rPr>
          <w:rFonts w:ascii="Arial Narrow" w:hAnsi="Arial Narrow" w:cs="Arial Narrow"/>
          <w:sz w:val="20"/>
          <w:szCs w:val="20"/>
        </w:rPr>
        <w:t>±</w:t>
      </w:r>
      <w:r w:rsidRPr="00544DD6">
        <w:rPr>
          <w:rFonts w:ascii="Arial" w:hAnsi="Arial" w:cs="Arial"/>
          <w:sz w:val="20"/>
          <w:szCs w:val="20"/>
        </w:rPr>
        <w:t> </w:t>
      </w:r>
      <w:r w:rsidRPr="00544DD6">
        <w:rPr>
          <w:rFonts w:ascii="Arial Narrow" w:hAnsi="Arial Narrow" w:cs="Times New Roman"/>
          <w:sz w:val="20"/>
          <w:szCs w:val="20"/>
        </w:rPr>
        <w:t xml:space="preserve">5.46 IU/L). Elevated levels of ALP is an indicative of both acute and chronic liver diseases, with significantly higher elevations indicating cholestasis. The most marked increases are generally seen in cases of cholangitis, biliary cirrhosis, or obstruction of the </w:t>
      </w:r>
      <w:r w:rsidRPr="00544DD6">
        <w:rPr>
          <w:rFonts w:ascii="Arial Narrow" w:hAnsi="Arial Narrow" w:cs="Times New Roman"/>
          <w:sz w:val="20"/>
          <w:szCs w:val="20"/>
        </w:rPr>
        <w:lastRenderedPageBreak/>
        <w:t xml:space="preserve">extrahepatic bile ducts (Tennant and </w:t>
      </w:r>
      <w:proofErr w:type="spellStart"/>
      <w:r w:rsidRPr="00544DD6">
        <w:rPr>
          <w:rFonts w:ascii="Arial Narrow" w:hAnsi="Arial Narrow" w:cs="Times New Roman"/>
          <w:sz w:val="20"/>
          <w:szCs w:val="20"/>
        </w:rPr>
        <w:t>Center</w:t>
      </w:r>
      <w:proofErr w:type="spellEnd"/>
      <w:r w:rsidRPr="00544DD6">
        <w:rPr>
          <w:rFonts w:ascii="Arial Narrow" w:hAnsi="Arial Narrow" w:cs="Times New Roman"/>
          <w:sz w:val="20"/>
          <w:szCs w:val="20"/>
        </w:rPr>
        <w:t xml:space="preserve">, 2008). Similar findings were also recorded by Elhiblu </w:t>
      </w:r>
      <w:r w:rsidRPr="00A35E4E">
        <w:rPr>
          <w:rFonts w:ascii="Arial Narrow" w:hAnsi="Arial Narrow" w:cs="Times New Roman"/>
          <w:i/>
          <w:iCs/>
          <w:sz w:val="20"/>
          <w:szCs w:val="20"/>
        </w:rPr>
        <w:t>et al.</w:t>
      </w:r>
      <w:r w:rsidR="003711FE" w:rsidRPr="003711FE">
        <w:rPr>
          <w:rFonts w:ascii="Arial Narrow" w:hAnsi="Arial Narrow" w:cs="Times New Roman"/>
          <w:sz w:val="20"/>
          <w:szCs w:val="20"/>
        </w:rPr>
        <w:t>,</w:t>
      </w:r>
      <w:r w:rsidRPr="00544DD6">
        <w:rPr>
          <w:rFonts w:ascii="Arial Narrow" w:hAnsi="Arial Narrow" w:cs="Times New Roman"/>
          <w:sz w:val="20"/>
          <w:szCs w:val="20"/>
        </w:rPr>
        <w:t xml:space="preserve"> (2015) and Das and </w:t>
      </w:r>
      <w:proofErr w:type="spellStart"/>
      <w:r w:rsidRPr="00544DD6">
        <w:rPr>
          <w:rFonts w:ascii="Arial Narrow" w:hAnsi="Arial Narrow" w:cs="Times New Roman"/>
          <w:sz w:val="20"/>
          <w:szCs w:val="20"/>
        </w:rPr>
        <w:t>Lodh</w:t>
      </w:r>
      <w:proofErr w:type="spellEnd"/>
      <w:r w:rsidRPr="00544DD6">
        <w:rPr>
          <w:rFonts w:ascii="Arial Narrow" w:hAnsi="Arial Narrow" w:cs="Times New Roman"/>
          <w:sz w:val="20"/>
          <w:szCs w:val="20"/>
        </w:rPr>
        <w:t xml:space="preserve"> (2024). Gamma-glutamyl transferase (GGT) a sensitive marker of cholestasis and hepatic oxidative stress</w:t>
      </w:r>
      <w:r w:rsidR="00CB4480" w:rsidRPr="00544DD6">
        <w:rPr>
          <w:rFonts w:ascii="Arial Narrow" w:hAnsi="Arial Narrow" w:cs="Times New Roman"/>
          <w:sz w:val="20"/>
          <w:szCs w:val="20"/>
        </w:rPr>
        <w:t xml:space="preserve"> </w:t>
      </w:r>
      <w:r w:rsidRPr="00544DD6">
        <w:rPr>
          <w:rFonts w:ascii="Arial Narrow" w:hAnsi="Arial Narrow" w:cs="Times New Roman"/>
          <w:sz w:val="20"/>
          <w:szCs w:val="20"/>
        </w:rPr>
        <w:t>was also significantly increased (p&lt;0.01) in affected dogs (17.72</w:t>
      </w:r>
      <w:r w:rsidRPr="00544DD6">
        <w:rPr>
          <w:rFonts w:ascii="Arial" w:hAnsi="Arial" w:cs="Arial"/>
          <w:sz w:val="20"/>
          <w:szCs w:val="20"/>
        </w:rPr>
        <w:t> </w:t>
      </w:r>
      <w:r w:rsidRPr="00544DD6">
        <w:rPr>
          <w:rFonts w:ascii="Arial Narrow" w:hAnsi="Arial Narrow" w:cs="Arial Narrow"/>
          <w:sz w:val="20"/>
          <w:szCs w:val="20"/>
        </w:rPr>
        <w:t>±</w:t>
      </w:r>
      <w:r w:rsidRPr="00544DD6">
        <w:rPr>
          <w:rFonts w:ascii="Arial" w:hAnsi="Arial" w:cs="Arial"/>
          <w:sz w:val="20"/>
          <w:szCs w:val="20"/>
        </w:rPr>
        <w:t> </w:t>
      </w:r>
      <w:r w:rsidRPr="00544DD6">
        <w:rPr>
          <w:rFonts w:ascii="Arial Narrow" w:hAnsi="Arial Narrow" w:cs="Times New Roman"/>
          <w:sz w:val="20"/>
          <w:szCs w:val="20"/>
        </w:rPr>
        <w:t>2.74 IU/L) as compared to healthy controls (5.19</w:t>
      </w:r>
      <w:r w:rsidRPr="00544DD6">
        <w:rPr>
          <w:rFonts w:ascii="Arial" w:hAnsi="Arial" w:cs="Arial"/>
          <w:sz w:val="20"/>
          <w:szCs w:val="20"/>
        </w:rPr>
        <w:t> </w:t>
      </w:r>
      <w:r w:rsidRPr="00544DD6">
        <w:rPr>
          <w:rFonts w:ascii="Arial Narrow" w:hAnsi="Arial Narrow" w:cs="Arial Narrow"/>
          <w:sz w:val="20"/>
          <w:szCs w:val="20"/>
        </w:rPr>
        <w:t>±</w:t>
      </w:r>
      <w:r w:rsidRPr="00544DD6">
        <w:rPr>
          <w:rFonts w:ascii="Arial" w:hAnsi="Arial" w:cs="Arial"/>
          <w:sz w:val="20"/>
          <w:szCs w:val="20"/>
        </w:rPr>
        <w:t> </w:t>
      </w:r>
      <w:r w:rsidRPr="00544DD6">
        <w:rPr>
          <w:rFonts w:ascii="Arial Narrow" w:hAnsi="Arial Narrow" w:cs="Times New Roman"/>
          <w:sz w:val="20"/>
          <w:szCs w:val="20"/>
        </w:rPr>
        <w:t xml:space="preserve">0.40 IU/L). Its elevation may be linked to endocrine disorders, neoplasia, benign nodular hyperplasia, drug-induced hepatic changes or idiopathic breed predispositions (Alvarez and Whittemore, 2009). These results are corroborated with findings of </w:t>
      </w:r>
      <w:proofErr w:type="spellStart"/>
      <w:r w:rsidRPr="00544DD6">
        <w:rPr>
          <w:rFonts w:ascii="Arial Narrow" w:hAnsi="Arial Narrow" w:cs="Times New Roman"/>
          <w:sz w:val="20"/>
          <w:szCs w:val="20"/>
        </w:rPr>
        <w:t>Bhadesiya</w:t>
      </w:r>
      <w:proofErr w:type="spellEnd"/>
      <w:r w:rsidRPr="00544DD6">
        <w:rPr>
          <w:rFonts w:ascii="Arial Narrow" w:hAnsi="Arial Narrow" w:cs="Times New Roman"/>
          <w:sz w:val="20"/>
          <w:szCs w:val="20"/>
        </w:rPr>
        <w:t xml:space="preserve"> </w:t>
      </w:r>
      <w:r w:rsidRPr="00705AB2">
        <w:rPr>
          <w:rFonts w:ascii="Arial Narrow" w:hAnsi="Arial Narrow" w:cs="Times New Roman"/>
          <w:i/>
          <w:iCs/>
          <w:sz w:val="20"/>
          <w:szCs w:val="20"/>
        </w:rPr>
        <w:t>et al.</w:t>
      </w:r>
      <w:r w:rsidRPr="00544DD6">
        <w:rPr>
          <w:rFonts w:ascii="Arial Narrow" w:hAnsi="Arial Narrow" w:cs="Times New Roman"/>
          <w:sz w:val="20"/>
          <w:szCs w:val="20"/>
        </w:rPr>
        <w:t>, (2015)</w:t>
      </w:r>
      <w:r w:rsidR="00381298" w:rsidRPr="00544DD6">
        <w:rPr>
          <w:rFonts w:ascii="Arial Narrow" w:hAnsi="Arial Narrow" w:cs="Times New Roman"/>
          <w:sz w:val="20"/>
          <w:szCs w:val="20"/>
        </w:rPr>
        <w:t xml:space="preserve"> and </w:t>
      </w:r>
      <w:r w:rsidRPr="00544DD6">
        <w:rPr>
          <w:rFonts w:ascii="Arial Narrow" w:hAnsi="Arial Narrow" w:cs="Times New Roman"/>
          <w:sz w:val="20"/>
          <w:szCs w:val="20"/>
        </w:rPr>
        <w:t xml:space="preserve">Assawarachan </w:t>
      </w:r>
      <w:r w:rsidRPr="008E6A41">
        <w:rPr>
          <w:rFonts w:ascii="Arial Narrow" w:hAnsi="Arial Narrow" w:cs="Times New Roman"/>
          <w:i/>
          <w:iCs/>
          <w:sz w:val="20"/>
          <w:szCs w:val="20"/>
        </w:rPr>
        <w:t>et al.</w:t>
      </w:r>
      <w:r w:rsidRPr="00544DD6">
        <w:rPr>
          <w:rFonts w:ascii="Arial Narrow" w:hAnsi="Arial Narrow" w:cs="Times New Roman"/>
          <w:sz w:val="20"/>
          <w:szCs w:val="20"/>
        </w:rPr>
        <w:t>, (2021)</w:t>
      </w:r>
      <w:r w:rsidR="00C40C62">
        <w:rPr>
          <w:rFonts w:ascii="Arial Narrow" w:hAnsi="Arial Narrow" w:cs="Times New Roman"/>
          <w:sz w:val="20"/>
          <w:szCs w:val="20"/>
        </w:rPr>
        <w:t>.</w:t>
      </w:r>
    </w:p>
    <w:p w14:paraId="295CEA03" w14:textId="58DA5D97" w:rsidR="00ED0E09" w:rsidRPr="00544DD6" w:rsidRDefault="00ED0E09" w:rsidP="00ED0E09">
      <w:pPr>
        <w:spacing w:line="480" w:lineRule="auto"/>
        <w:jc w:val="both"/>
        <w:rPr>
          <w:rFonts w:ascii="Arial Narrow" w:hAnsi="Arial Narrow" w:cs="Times New Roman"/>
          <w:sz w:val="20"/>
          <w:szCs w:val="20"/>
        </w:rPr>
      </w:pPr>
      <w:r w:rsidRPr="00544DD6">
        <w:rPr>
          <w:rFonts w:ascii="Arial Narrow" w:hAnsi="Arial Narrow" w:cs="Times New Roman"/>
          <w:sz w:val="20"/>
          <w:szCs w:val="20"/>
        </w:rPr>
        <w:t>There was significant elevation(p&lt;0.05) of Total bilirubin concentration was observed in dogs with hepatic dysfunction (1.20</w:t>
      </w:r>
      <w:r w:rsidRPr="00544DD6">
        <w:rPr>
          <w:rFonts w:ascii="Arial" w:hAnsi="Arial" w:cs="Arial"/>
          <w:sz w:val="20"/>
          <w:szCs w:val="20"/>
        </w:rPr>
        <w:t> </w:t>
      </w:r>
      <w:r w:rsidRPr="00544DD6">
        <w:rPr>
          <w:rFonts w:ascii="Arial Narrow" w:hAnsi="Arial Narrow" w:cs="Arial Narrow"/>
          <w:sz w:val="20"/>
          <w:szCs w:val="20"/>
        </w:rPr>
        <w:t>±</w:t>
      </w:r>
      <w:r w:rsidRPr="00544DD6">
        <w:rPr>
          <w:rFonts w:ascii="Arial" w:hAnsi="Arial" w:cs="Arial"/>
          <w:sz w:val="20"/>
          <w:szCs w:val="20"/>
        </w:rPr>
        <w:t> </w:t>
      </w:r>
      <w:r w:rsidRPr="00544DD6">
        <w:rPr>
          <w:rFonts w:ascii="Arial Narrow" w:hAnsi="Arial Narrow" w:cs="Times New Roman"/>
          <w:sz w:val="20"/>
          <w:szCs w:val="20"/>
        </w:rPr>
        <w:t>0.38 mg/dL) as compared to healthy controls (0.20</w:t>
      </w:r>
      <w:r w:rsidRPr="00544DD6">
        <w:rPr>
          <w:rFonts w:ascii="Arial" w:hAnsi="Arial" w:cs="Arial"/>
          <w:sz w:val="20"/>
          <w:szCs w:val="20"/>
        </w:rPr>
        <w:t> </w:t>
      </w:r>
      <w:r w:rsidRPr="00544DD6">
        <w:rPr>
          <w:rFonts w:ascii="Arial Narrow" w:hAnsi="Arial Narrow" w:cs="Arial Narrow"/>
          <w:sz w:val="20"/>
          <w:szCs w:val="20"/>
        </w:rPr>
        <w:t>±</w:t>
      </w:r>
      <w:r w:rsidRPr="00544DD6">
        <w:rPr>
          <w:rFonts w:ascii="Arial" w:hAnsi="Arial" w:cs="Arial"/>
          <w:sz w:val="20"/>
          <w:szCs w:val="20"/>
        </w:rPr>
        <w:t> </w:t>
      </w:r>
      <w:r w:rsidRPr="00544DD6">
        <w:rPr>
          <w:rFonts w:ascii="Arial Narrow" w:hAnsi="Arial Narrow" w:cs="Times New Roman"/>
          <w:sz w:val="20"/>
          <w:szCs w:val="20"/>
        </w:rPr>
        <w:t xml:space="preserve">0.04 mg/dL).  This hyperbilirubinemia reflects </w:t>
      </w:r>
      <w:r w:rsidR="00E14E64" w:rsidRPr="00544DD6">
        <w:rPr>
          <w:rFonts w:ascii="Arial Narrow" w:hAnsi="Arial Narrow" w:cs="Times New Roman"/>
          <w:sz w:val="20"/>
          <w:szCs w:val="20"/>
        </w:rPr>
        <w:t>impaired excretion</w:t>
      </w:r>
      <w:r w:rsidRPr="00544DD6">
        <w:rPr>
          <w:rFonts w:ascii="Arial Narrow" w:hAnsi="Arial Narrow" w:cs="Times New Roman"/>
          <w:sz w:val="20"/>
          <w:szCs w:val="20"/>
        </w:rPr>
        <w:t xml:space="preserve"> of bilirubin due to hepatocellular damage or biliary obstruction, indicating decreased hepatic excretory function or impaired bile flow (Vijayakumar </w:t>
      </w:r>
      <w:r w:rsidRPr="001932B6">
        <w:rPr>
          <w:rFonts w:ascii="Arial Narrow" w:hAnsi="Arial Narrow" w:cs="Times New Roman"/>
          <w:i/>
          <w:iCs/>
          <w:sz w:val="20"/>
          <w:szCs w:val="20"/>
        </w:rPr>
        <w:t>et al.</w:t>
      </w:r>
      <w:r w:rsidRPr="00544DD6">
        <w:rPr>
          <w:rFonts w:ascii="Arial Narrow" w:hAnsi="Arial Narrow" w:cs="Times New Roman"/>
          <w:sz w:val="20"/>
          <w:szCs w:val="20"/>
        </w:rPr>
        <w:t xml:space="preserve">, 2008). The finding of increased total </w:t>
      </w:r>
      <w:r w:rsidR="00E14E64" w:rsidRPr="00544DD6">
        <w:rPr>
          <w:rFonts w:ascii="Arial Narrow" w:hAnsi="Arial Narrow" w:cs="Times New Roman"/>
          <w:sz w:val="20"/>
          <w:szCs w:val="20"/>
        </w:rPr>
        <w:t>bilirubin</w:t>
      </w:r>
      <w:r w:rsidRPr="00544DD6">
        <w:rPr>
          <w:rFonts w:ascii="Arial Narrow" w:hAnsi="Arial Narrow" w:cs="Times New Roman"/>
          <w:sz w:val="20"/>
          <w:szCs w:val="20"/>
        </w:rPr>
        <w:t xml:space="preserve"> was also reported by Saravanan </w:t>
      </w:r>
      <w:r w:rsidRPr="00705AB2">
        <w:rPr>
          <w:rFonts w:ascii="Arial Narrow" w:hAnsi="Arial Narrow" w:cs="Times New Roman"/>
          <w:i/>
          <w:iCs/>
          <w:sz w:val="20"/>
          <w:szCs w:val="20"/>
        </w:rPr>
        <w:t>et al.</w:t>
      </w:r>
      <w:r w:rsidRPr="00544DD6">
        <w:rPr>
          <w:rFonts w:ascii="Arial Narrow" w:hAnsi="Arial Narrow" w:cs="Times New Roman"/>
          <w:sz w:val="20"/>
          <w:szCs w:val="20"/>
        </w:rPr>
        <w:t xml:space="preserve">, (2014) and Verma </w:t>
      </w:r>
      <w:r w:rsidRPr="00705AB2">
        <w:rPr>
          <w:rFonts w:ascii="Arial Narrow" w:hAnsi="Arial Narrow" w:cs="Times New Roman"/>
          <w:i/>
          <w:iCs/>
          <w:sz w:val="20"/>
          <w:szCs w:val="20"/>
        </w:rPr>
        <w:t>et al.</w:t>
      </w:r>
      <w:r w:rsidRPr="00544DD6">
        <w:rPr>
          <w:rFonts w:ascii="Arial Narrow" w:hAnsi="Arial Narrow" w:cs="Times New Roman"/>
          <w:sz w:val="20"/>
          <w:szCs w:val="20"/>
        </w:rPr>
        <w:t>, (2024).</w:t>
      </w:r>
    </w:p>
    <w:p w14:paraId="026F1481" w14:textId="77777777" w:rsidR="000A5539" w:rsidRPr="00544DD6" w:rsidRDefault="000A5539" w:rsidP="00542ACB">
      <w:pPr>
        <w:spacing w:line="480" w:lineRule="auto"/>
        <w:jc w:val="both"/>
        <w:rPr>
          <w:rFonts w:ascii="Arial Narrow" w:hAnsi="Arial Narrow" w:cs="Times New Roman"/>
          <w:sz w:val="20"/>
          <w:szCs w:val="20"/>
        </w:rPr>
      </w:pPr>
      <w:r w:rsidRPr="00544DD6">
        <w:rPr>
          <w:rFonts w:ascii="Arial Narrow" w:hAnsi="Arial Narrow" w:cs="Times New Roman"/>
          <w:sz w:val="20"/>
          <w:szCs w:val="20"/>
        </w:rPr>
        <w:t>In current study metabolic disturbances were evident as blood glucose levels were significantly decreased (p&lt;0.01) in affected dogs (64.16</w:t>
      </w:r>
      <w:r w:rsidRPr="00544DD6">
        <w:rPr>
          <w:rFonts w:ascii="Arial" w:hAnsi="Arial" w:cs="Arial"/>
          <w:sz w:val="20"/>
          <w:szCs w:val="20"/>
        </w:rPr>
        <w:t> </w:t>
      </w:r>
      <w:r w:rsidRPr="00544DD6">
        <w:rPr>
          <w:rFonts w:ascii="Arial Narrow" w:hAnsi="Arial Narrow" w:cs="Arial Narrow"/>
          <w:sz w:val="20"/>
          <w:szCs w:val="20"/>
        </w:rPr>
        <w:t>±</w:t>
      </w:r>
      <w:r w:rsidRPr="00544DD6">
        <w:rPr>
          <w:rFonts w:ascii="Arial" w:hAnsi="Arial" w:cs="Arial"/>
          <w:sz w:val="20"/>
          <w:szCs w:val="20"/>
        </w:rPr>
        <w:t> </w:t>
      </w:r>
      <w:r w:rsidRPr="00544DD6">
        <w:rPr>
          <w:rFonts w:ascii="Arial Narrow" w:hAnsi="Arial Narrow" w:cs="Times New Roman"/>
          <w:sz w:val="20"/>
          <w:szCs w:val="20"/>
        </w:rPr>
        <w:t>6.48 mg/dL) in comparison to controls (95.11</w:t>
      </w:r>
      <w:r w:rsidRPr="00544DD6">
        <w:rPr>
          <w:rFonts w:ascii="Arial" w:hAnsi="Arial" w:cs="Arial"/>
          <w:sz w:val="20"/>
          <w:szCs w:val="20"/>
        </w:rPr>
        <w:t> </w:t>
      </w:r>
      <w:r w:rsidRPr="00544DD6">
        <w:rPr>
          <w:rFonts w:ascii="Arial Narrow" w:hAnsi="Arial Narrow" w:cs="Arial Narrow"/>
          <w:sz w:val="20"/>
          <w:szCs w:val="20"/>
        </w:rPr>
        <w:t>±</w:t>
      </w:r>
      <w:r w:rsidRPr="00544DD6">
        <w:rPr>
          <w:rFonts w:ascii="Arial" w:hAnsi="Arial" w:cs="Arial"/>
          <w:sz w:val="20"/>
          <w:szCs w:val="20"/>
        </w:rPr>
        <w:t> </w:t>
      </w:r>
      <w:r w:rsidRPr="00544DD6">
        <w:rPr>
          <w:rFonts w:ascii="Arial Narrow" w:hAnsi="Arial Narrow" w:cs="Times New Roman"/>
          <w:sz w:val="20"/>
          <w:szCs w:val="20"/>
        </w:rPr>
        <w:t xml:space="preserve">3.39 mg/dL). </w:t>
      </w:r>
      <w:proofErr w:type="spellStart"/>
      <w:r w:rsidRPr="00544DD6">
        <w:rPr>
          <w:rFonts w:ascii="Arial Narrow" w:hAnsi="Arial Narrow" w:cs="Times New Roman"/>
          <w:sz w:val="20"/>
          <w:szCs w:val="20"/>
        </w:rPr>
        <w:t>Hypoglycemia</w:t>
      </w:r>
      <w:proofErr w:type="spellEnd"/>
      <w:r w:rsidRPr="00544DD6">
        <w:rPr>
          <w:rFonts w:ascii="Arial Narrow" w:hAnsi="Arial Narrow" w:cs="Times New Roman"/>
          <w:sz w:val="20"/>
          <w:szCs w:val="20"/>
        </w:rPr>
        <w:t xml:space="preserve"> in hepatic disease is attributed to loss of hepatic functional mass due to conditions like portosystemic shunts or acute and chronic liver failure. The liver diseases also prevent the breakdown of insulin, and this further exacerbates the </w:t>
      </w:r>
      <w:proofErr w:type="spellStart"/>
      <w:r w:rsidRPr="00544DD6">
        <w:rPr>
          <w:rFonts w:ascii="Arial Narrow" w:hAnsi="Arial Narrow" w:cs="Times New Roman"/>
          <w:sz w:val="20"/>
          <w:szCs w:val="20"/>
        </w:rPr>
        <w:t>hypoglycemia</w:t>
      </w:r>
      <w:proofErr w:type="spellEnd"/>
      <w:r w:rsidRPr="00544DD6">
        <w:rPr>
          <w:rFonts w:ascii="Arial Narrow" w:hAnsi="Arial Narrow" w:cs="Times New Roman"/>
          <w:sz w:val="20"/>
          <w:szCs w:val="20"/>
        </w:rPr>
        <w:t xml:space="preserve">. (Schoemann, 2012). These observations agree with findings by </w:t>
      </w:r>
      <w:proofErr w:type="spellStart"/>
      <w:r w:rsidRPr="00544DD6">
        <w:rPr>
          <w:rFonts w:ascii="Arial Narrow" w:hAnsi="Arial Narrow" w:cs="Times New Roman"/>
          <w:sz w:val="20"/>
          <w:szCs w:val="20"/>
        </w:rPr>
        <w:t>Lathamani</w:t>
      </w:r>
      <w:proofErr w:type="spellEnd"/>
      <w:r w:rsidRPr="00544DD6">
        <w:rPr>
          <w:rFonts w:ascii="Arial Narrow" w:hAnsi="Arial Narrow" w:cs="Times New Roman"/>
          <w:sz w:val="20"/>
          <w:szCs w:val="20"/>
        </w:rPr>
        <w:t xml:space="preserve"> and </w:t>
      </w:r>
      <w:proofErr w:type="spellStart"/>
      <w:r w:rsidRPr="00544DD6">
        <w:rPr>
          <w:rFonts w:ascii="Arial Narrow" w:hAnsi="Arial Narrow" w:cs="Times New Roman"/>
          <w:sz w:val="20"/>
          <w:szCs w:val="20"/>
        </w:rPr>
        <w:t>Nalinikumari</w:t>
      </w:r>
      <w:proofErr w:type="spellEnd"/>
      <w:r w:rsidRPr="00544DD6">
        <w:rPr>
          <w:rFonts w:ascii="Arial Narrow" w:hAnsi="Arial Narrow" w:cs="Times New Roman"/>
          <w:sz w:val="20"/>
          <w:szCs w:val="20"/>
        </w:rPr>
        <w:t xml:space="preserve"> (2015) and Hassan </w:t>
      </w:r>
      <w:r w:rsidRPr="00705AB2">
        <w:rPr>
          <w:rFonts w:ascii="Arial Narrow" w:hAnsi="Arial Narrow" w:cs="Times New Roman"/>
          <w:i/>
          <w:iCs/>
          <w:sz w:val="20"/>
          <w:szCs w:val="20"/>
        </w:rPr>
        <w:t>et al.</w:t>
      </w:r>
      <w:r w:rsidRPr="00544DD6">
        <w:rPr>
          <w:rFonts w:ascii="Arial Narrow" w:hAnsi="Arial Narrow" w:cs="Times New Roman"/>
          <w:sz w:val="20"/>
          <w:szCs w:val="20"/>
        </w:rPr>
        <w:t>, (2022).</w:t>
      </w:r>
    </w:p>
    <w:p w14:paraId="49AF662A" w14:textId="5836D801" w:rsidR="00E14E64" w:rsidRPr="00544DD6" w:rsidRDefault="00E14E64" w:rsidP="00542ACB">
      <w:pPr>
        <w:spacing w:line="480" w:lineRule="auto"/>
        <w:jc w:val="both"/>
        <w:rPr>
          <w:rFonts w:ascii="Arial Narrow" w:hAnsi="Arial Narrow" w:cs="Times New Roman"/>
          <w:sz w:val="20"/>
          <w:szCs w:val="20"/>
        </w:rPr>
      </w:pPr>
      <w:r w:rsidRPr="00544DD6">
        <w:rPr>
          <w:rFonts w:ascii="Arial Narrow" w:hAnsi="Arial Narrow" w:cs="Times New Roman"/>
          <w:sz w:val="20"/>
          <w:szCs w:val="20"/>
        </w:rPr>
        <w:t>Finally, total protein concentration was significantly reduced (p&lt;0.01) in diseased dogs (4.64</w:t>
      </w:r>
      <w:r w:rsidRPr="00544DD6">
        <w:rPr>
          <w:rFonts w:ascii="Arial" w:hAnsi="Arial" w:cs="Arial"/>
          <w:sz w:val="20"/>
          <w:szCs w:val="20"/>
        </w:rPr>
        <w:t> </w:t>
      </w:r>
      <w:r w:rsidRPr="00544DD6">
        <w:rPr>
          <w:rFonts w:ascii="Arial Narrow" w:hAnsi="Arial Narrow" w:cs="Arial Narrow"/>
          <w:sz w:val="20"/>
          <w:szCs w:val="20"/>
        </w:rPr>
        <w:t>±</w:t>
      </w:r>
      <w:r w:rsidRPr="00544DD6">
        <w:rPr>
          <w:rFonts w:ascii="Arial" w:hAnsi="Arial" w:cs="Arial"/>
          <w:sz w:val="20"/>
          <w:szCs w:val="20"/>
        </w:rPr>
        <w:t> </w:t>
      </w:r>
      <w:r w:rsidRPr="00544DD6">
        <w:rPr>
          <w:rFonts w:ascii="Arial Narrow" w:hAnsi="Arial Narrow" w:cs="Times New Roman"/>
          <w:sz w:val="20"/>
          <w:szCs w:val="20"/>
        </w:rPr>
        <w:t>0.38 g/dL) compared to controls (6.26</w:t>
      </w:r>
      <w:r w:rsidRPr="00544DD6">
        <w:rPr>
          <w:rFonts w:ascii="Arial" w:hAnsi="Arial" w:cs="Arial"/>
          <w:sz w:val="20"/>
          <w:szCs w:val="20"/>
        </w:rPr>
        <w:t> </w:t>
      </w:r>
      <w:r w:rsidRPr="00544DD6">
        <w:rPr>
          <w:rFonts w:ascii="Arial Narrow" w:hAnsi="Arial Narrow" w:cs="Arial Narrow"/>
          <w:sz w:val="20"/>
          <w:szCs w:val="20"/>
        </w:rPr>
        <w:t>±</w:t>
      </w:r>
      <w:r w:rsidRPr="00544DD6">
        <w:rPr>
          <w:rFonts w:ascii="Arial" w:hAnsi="Arial" w:cs="Arial"/>
          <w:sz w:val="20"/>
          <w:szCs w:val="20"/>
        </w:rPr>
        <w:t> </w:t>
      </w:r>
      <w:r w:rsidRPr="00544DD6">
        <w:rPr>
          <w:rFonts w:ascii="Arial Narrow" w:hAnsi="Arial Narrow" w:cs="Times New Roman"/>
          <w:sz w:val="20"/>
          <w:szCs w:val="20"/>
        </w:rPr>
        <w:t>0.18 g/dL). Hypoproteinaemia is commonly seen in chronic hepatic conditions such as cirrhosis or portosystemic shunting due to diminished hepatic synthetic capacity because of compromised hepatic synthetic function. Albumin,</w:t>
      </w:r>
      <w:r w:rsidR="00C40C62">
        <w:rPr>
          <w:rFonts w:ascii="Arial Narrow" w:hAnsi="Arial Narrow" w:cs="Times New Roman"/>
          <w:sz w:val="20"/>
          <w:szCs w:val="20"/>
        </w:rPr>
        <w:t xml:space="preserve"> </w:t>
      </w:r>
      <w:r w:rsidRPr="00544DD6">
        <w:rPr>
          <w:rFonts w:ascii="Arial Narrow" w:hAnsi="Arial Narrow" w:cs="Times New Roman"/>
          <w:sz w:val="20"/>
          <w:szCs w:val="20"/>
        </w:rPr>
        <w:t xml:space="preserve">serum protein made exclusively in the liver, act as a sensitive marker of chronic liver disease (Tennant, 1997). Similar results have been reported by Chaturvedi </w:t>
      </w:r>
      <w:r w:rsidRPr="001A3DC2">
        <w:rPr>
          <w:rFonts w:ascii="Arial Narrow" w:hAnsi="Arial Narrow" w:cs="Times New Roman"/>
          <w:i/>
          <w:iCs/>
          <w:sz w:val="20"/>
          <w:szCs w:val="20"/>
        </w:rPr>
        <w:t>et al.</w:t>
      </w:r>
      <w:r w:rsidRPr="00544DD6">
        <w:rPr>
          <w:rFonts w:ascii="Arial Narrow" w:hAnsi="Arial Narrow" w:cs="Times New Roman"/>
          <w:sz w:val="20"/>
          <w:szCs w:val="20"/>
        </w:rPr>
        <w:t>, (2013)</w:t>
      </w:r>
      <w:r w:rsidR="00440B03">
        <w:rPr>
          <w:rFonts w:ascii="Arial Narrow" w:hAnsi="Arial Narrow" w:cs="Times New Roman"/>
          <w:sz w:val="20"/>
          <w:szCs w:val="20"/>
        </w:rPr>
        <w:t xml:space="preserve"> and </w:t>
      </w:r>
      <w:r w:rsidRPr="00544DD6">
        <w:rPr>
          <w:rFonts w:ascii="Arial Narrow" w:hAnsi="Arial Narrow" w:cs="Times New Roman"/>
          <w:sz w:val="20"/>
          <w:szCs w:val="20"/>
        </w:rPr>
        <w:t xml:space="preserve">Lakshmi </w:t>
      </w:r>
      <w:r w:rsidRPr="001A3DC2">
        <w:rPr>
          <w:rFonts w:ascii="Arial Narrow" w:hAnsi="Arial Narrow" w:cs="Times New Roman"/>
          <w:i/>
          <w:iCs/>
          <w:sz w:val="20"/>
          <w:szCs w:val="20"/>
        </w:rPr>
        <w:t>et al.</w:t>
      </w:r>
      <w:r w:rsidRPr="00544DD6">
        <w:rPr>
          <w:rFonts w:ascii="Arial Narrow" w:hAnsi="Arial Narrow" w:cs="Times New Roman"/>
          <w:sz w:val="20"/>
          <w:szCs w:val="20"/>
        </w:rPr>
        <w:t>, (2018).</w:t>
      </w:r>
      <w:r w:rsidR="00AD0B6C" w:rsidRPr="00544DD6">
        <w:rPr>
          <w:rFonts w:ascii="Arial Narrow" w:hAnsi="Arial Narrow" w:cs="Times New Roman"/>
          <w:sz w:val="20"/>
          <w:szCs w:val="20"/>
        </w:rPr>
        <w:t xml:space="preserve"> </w:t>
      </w:r>
    </w:p>
    <w:p w14:paraId="05FADA22" w14:textId="4BB068C0" w:rsidR="008B159F" w:rsidRPr="00544DD6" w:rsidRDefault="00F6241F" w:rsidP="00542ACB">
      <w:pPr>
        <w:spacing w:line="480" w:lineRule="auto"/>
        <w:jc w:val="both"/>
        <w:rPr>
          <w:rFonts w:ascii="Arial Narrow" w:hAnsi="Arial Narrow" w:cs="Times New Roman"/>
          <w:b/>
          <w:bCs/>
        </w:rPr>
      </w:pPr>
      <w:r w:rsidRPr="00544DD6">
        <w:rPr>
          <w:rFonts w:ascii="Arial Narrow" w:hAnsi="Arial Narrow" w:cs="Times New Roman"/>
          <w:b/>
          <w:bCs/>
        </w:rPr>
        <w:t>CONCLUSION</w:t>
      </w:r>
    </w:p>
    <w:p w14:paraId="577AC264" w14:textId="77777777" w:rsidR="00E75BE2" w:rsidRPr="00544DD6" w:rsidRDefault="00E14E64" w:rsidP="00542ACB">
      <w:pPr>
        <w:spacing w:line="480" w:lineRule="auto"/>
        <w:jc w:val="both"/>
        <w:rPr>
          <w:rFonts w:ascii="Arial Narrow" w:hAnsi="Arial Narrow" w:cs="Times New Roman"/>
          <w:sz w:val="20"/>
          <w:szCs w:val="20"/>
        </w:rPr>
      </w:pPr>
      <w:r w:rsidRPr="00544DD6">
        <w:rPr>
          <w:rFonts w:ascii="Arial Narrow" w:hAnsi="Arial Narrow" w:cs="Times New Roman"/>
          <w:sz w:val="20"/>
          <w:szCs w:val="20"/>
        </w:rPr>
        <w:t xml:space="preserve">The study demonstrates that liver dysfunction in the </w:t>
      </w:r>
      <w:proofErr w:type="gramStart"/>
      <w:r w:rsidRPr="00544DD6">
        <w:rPr>
          <w:rFonts w:ascii="Arial Narrow" w:hAnsi="Arial Narrow" w:cs="Times New Roman"/>
          <w:sz w:val="20"/>
          <w:szCs w:val="20"/>
        </w:rPr>
        <w:t>dogs</w:t>
      </w:r>
      <w:proofErr w:type="gramEnd"/>
      <w:r w:rsidRPr="00544DD6">
        <w:rPr>
          <w:rFonts w:ascii="Arial Narrow" w:hAnsi="Arial Narrow" w:cs="Times New Roman"/>
          <w:sz w:val="20"/>
          <w:szCs w:val="20"/>
        </w:rPr>
        <w:t xml:space="preserve"> results in marked biochemical alterations. These are elevated levels of ALT, AST, ALP, GGT and total bilirubin, while glucose and</w:t>
      </w:r>
      <w:r w:rsidRPr="00544DD6">
        <w:rPr>
          <w:rFonts w:ascii="Arial Narrow" w:hAnsi="Arial Narrow" w:cs="Times New Roman"/>
          <w:sz w:val="20"/>
          <w:szCs w:val="20"/>
        </w:rPr>
        <w:t> </w:t>
      </w:r>
      <w:r w:rsidRPr="00544DD6">
        <w:rPr>
          <w:rFonts w:ascii="Arial Narrow" w:hAnsi="Arial Narrow" w:cs="Times New Roman"/>
          <w:sz w:val="20"/>
          <w:szCs w:val="20"/>
        </w:rPr>
        <w:t>total protein levels are decreased. These alterations reflect the damage of liver cells, cholestasis and impaired liver</w:t>
      </w:r>
      <w:r w:rsidRPr="00544DD6">
        <w:rPr>
          <w:rFonts w:ascii="Arial Narrow" w:hAnsi="Arial Narrow" w:cs="Times New Roman"/>
          <w:sz w:val="20"/>
          <w:szCs w:val="20"/>
        </w:rPr>
        <w:t> </w:t>
      </w:r>
      <w:r w:rsidRPr="00544DD6">
        <w:rPr>
          <w:rFonts w:ascii="Arial Narrow" w:hAnsi="Arial Narrow" w:cs="Times New Roman"/>
          <w:sz w:val="20"/>
          <w:szCs w:val="20"/>
        </w:rPr>
        <w:t>functions. It is suggested that biochemical profiling is an effective approach for early diagnosis, monitoring and treatment of</w:t>
      </w:r>
      <w:r w:rsidRPr="00544DD6">
        <w:rPr>
          <w:rFonts w:ascii="Arial Narrow" w:hAnsi="Arial Narrow" w:cs="Times New Roman"/>
          <w:sz w:val="20"/>
          <w:szCs w:val="20"/>
        </w:rPr>
        <w:t> </w:t>
      </w:r>
      <w:r w:rsidRPr="00544DD6">
        <w:rPr>
          <w:rFonts w:ascii="Arial Narrow" w:hAnsi="Arial Narrow" w:cs="Times New Roman"/>
          <w:sz w:val="20"/>
          <w:szCs w:val="20"/>
        </w:rPr>
        <w:t>liver diseases in dogs.</w:t>
      </w:r>
    </w:p>
    <w:p w14:paraId="7BCC4D92" w14:textId="77777777" w:rsidR="00B52F51" w:rsidRDefault="00B52F51" w:rsidP="00381298">
      <w:pPr>
        <w:spacing w:line="480" w:lineRule="auto"/>
        <w:rPr>
          <w:rFonts w:ascii="Arial Narrow" w:hAnsi="Arial Narrow" w:cs="Times New Roman"/>
          <w:b/>
          <w:bCs/>
        </w:rPr>
      </w:pPr>
    </w:p>
    <w:p w14:paraId="76BEBC9E" w14:textId="59325AA5" w:rsidR="00381298" w:rsidRPr="00544DD6" w:rsidRDefault="00F6241F" w:rsidP="00381298">
      <w:pPr>
        <w:spacing w:line="480" w:lineRule="auto"/>
        <w:rPr>
          <w:rFonts w:ascii="Arial Narrow" w:hAnsi="Arial Narrow" w:cs="Times New Roman"/>
          <w:b/>
          <w:bCs/>
        </w:rPr>
      </w:pPr>
      <w:r w:rsidRPr="00544DD6">
        <w:rPr>
          <w:rFonts w:ascii="Arial Narrow" w:hAnsi="Arial Narrow" w:cs="Times New Roman"/>
          <w:b/>
          <w:bCs/>
        </w:rPr>
        <w:t xml:space="preserve">REFERENCES </w:t>
      </w:r>
    </w:p>
    <w:p w14:paraId="52B9E3F9" w14:textId="77777777" w:rsidR="00C21B2C" w:rsidRPr="00544DD6" w:rsidRDefault="00C21B2C" w:rsidP="00C21B2C">
      <w:pPr>
        <w:spacing w:line="480" w:lineRule="auto"/>
        <w:jc w:val="both"/>
        <w:rPr>
          <w:rFonts w:ascii="Arial Narrow" w:hAnsi="Arial Narrow" w:cs="Times New Roman"/>
          <w:sz w:val="20"/>
          <w:szCs w:val="20"/>
        </w:rPr>
      </w:pPr>
      <w:r w:rsidRPr="00544DD6">
        <w:rPr>
          <w:rFonts w:ascii="Arial Narrow" w:hAnsi="Arial Narrow" w:cs="Times New Roman"/>
          <w:sz w:val="20"/>
          <w:szCs w:val="20"/>
        </w:rPr>
        <w:lastRenderedPageBreak/>
        <w:t xml:space="preserve">Alvarez, L., &amp; Whittemore, J. (2009). Liver enzyme elevations in dogs: Physiology and pathophysiology. </w:t>
      </w:r>
      <w:r w:rsidRPr="00544DD6">
        <w:rPr>
          <w:rFonts w:ascii="Arial Narrow" w:hAnsi="Arial Narrow" w:cs="Times New Roman"/>
          <w:i/>
          <w:iCs/>
          <w:sz w:val="20"/>
          <w:szCs w:val="20"/>
        </w:rPr>
        <w:t>Compendium (Yardley, PA)</w:t>
      </w:r>
      <w:r w:rsidRPr="00544DD6">
        <w:rPr>
          <w:rFonts w:ascii="Arial Narrow" w:hAnsi="Arial Narrow" w:cs="Times New Roman"/>
          <w:sz w:val="20"/>
          <w:szCs w:val="20"/>
        </w:rPr>
        <w:t>, 31(9), 408–410.</w:t>
      </w:r>
    </w:p>
    <w:p w14:paraId="406BA03F" w14:textId="77777777" w:rsidR="00C21B2C" w:rsidRPr="00544DD6" w:rsidRDefault="00C21B2C" w:rsidP="00C21B2C">
      <w:pPr>
        <w:spacing w:line="480" w:lineRule="auto"/>
        <w:jc w:val="both"/>
        <w:rPr>
          <w:rFonts w:ascii="Arial Narrow" w:hAnsi="Arial Narrow" w:cs="Times New Roman"/>
          <w:sz w:val="20"/>
          <w:szCs w:val="20"/>
        </w:rPr>
      </w:pPr>
      <w:r w:rsidRPr="00544DD6">
        <w:rPr>
          <w:rFonts w:ascii="Arial Narrow" w:hAnsi="Arial Narrow" w:cs="Times New Roman"/>
          <w:sz w:val="20"/>
          <w:szCs w:val="20"/>
        </w:rPr>
        <w:t xml:space="preserve">Assawarachan, S. N., </w:t>
      </w:r>
      <w:proofErr w:type="spellStart"/>
      <w:r w:rsidRPr="00544DD6">
        <w:rPr>
          <w:rFonts w:ascii="Arial Narrow" w:hAnsi="Arial Narrow" w:cs="Times New Roman"/>
          <w:sz w:val="20"/>
          <w:szCs w:val="20"/>
        </w:rPr>
        <w:t>Chuchalermporn</w:t>
      </w:r>
      <w:proofErr w:type="spellEnd"/>
      <w:r w:rsidRPr="00544DD6">
        <w:rPr>
          <w:rFonts w:ascii="Arial Narrow" w:hAnsi="Arial Narrow" w:cs="Times New Roman"/>
          <w:sz w:val="20"/>
          <w:szCs w:val="20"/>
        </w:rPr>
        <w:t xml:space="preserve">, P., </w:t>
      </w:r>
      <w:proofErr w:type="spellStart"/>
      <w:r w:rsidRPr="00544DD6">
        <w:rPr>
          <w:rFonts w:ascii="Arial Narrow" w:hAnsi="Arial Narrow" w:cs="Times New Roman"/>
          <w:sz w:val="20"/>
          <w:szCs w:val="20"/>
        </w:rPr>
        <w:t>Maneesaay</w:t>
      </w:r>
      <w:proofErr w:type="spellEnd"/>
      <w:r w:rsidRPr="00544DD6">
        <w:rPr>
          <w:rFonts w:ascii="Arial Narrow" w:hAnsi="Arial Narrow" w:cs="Times New Roman"/>
          <w:sz w:val="20"/>
          <w:szCs w:val="20"/>
        </w:rPr>
        <w:t xml:space="preserve">, P., &amp; </w:t>
      </w:r>
      <w:proofErr w:type="spellStart"/>
      <w:r w:rsidRPr="00544DD6">
        <w:rPr>
          <w:rFonts w:ascii="Arial Narrow" w:hAnsi="Arial Narrow" w:cs="Times New Roman"/>
          <w:sz w:val="20"/>
          <w:szCs w:val="20"/>
        </w:rPr>
        <w:t>Thengchaisri</w:t>
      </w:r>
      <w:proofErr w:type="spellEnd"/>
      <w:r w:rsidRPr="00544DD6">
        <w:rPr>
          <w:rFonts w:ascii="Arial Narrow" w:hAnsi="Arial Narrow" w:cs="Times New Roman"/>
          <w:sz w:val="20"/>
          <w:szCs w:val="20"/>
        </w:rPr>
        <w:t xml:space="preserve">, N. (2021). Changes in serum lipid profiles among canine patients suffering from chronic hepatitis. </w:t>
      </w:r>
      <w:r w:rsidRPr="00544DD6">
        <w:rPr>
          <w:rFonts w:ascii="Arial Narrow" w:hAnsi="Arial Narrow" w:cs="Times New Roman"/>
          <w:i/>
          <w:iCs/>
          <w:sz w:val="20"/>
          <w:szCs w:val="20"/>
        </w:rPr>
        <w:t>Veterinary Sciences</w:t>
      </w:r>
      <w:r w:rsidRPr="00544DD6">
        <w:rPr>
          <w:rFonts w:ascii="Arial Narrow" w:hAnsi="Arial Narrow" w:cs="Times New Roman"/>
          <w:sz w:val="20"/>
          <w:szCs w:val="20"/>
        </w:rPr>
        <w:t>, 8(10), 221.</w:t>
      </w:r>
    </w:p>
    <w:p w14:paraId="7BEF7417" w14:textId="77777777" w:rsidR="00C21B2C" w:rsidRPr="00544DD6" w:rsidRDefault="00C21B2C" w:rsidP="00C21B2C">
      <w:pPr>
        <w:spacing w:line="480" w:lineRule="auto"/>
        <w:jc w:val="both"/>
        <w:rPr>
          <w:rFonts w:ascii="Arial Narrow" w:hAnsi="Arial Narrow" w:cs="Times New Roman"/>
          <w:sz w:val="20"/>
          <w:szCs w:val="20"/>
        </w:rPr>
      </w:pPr>
      <w:proofErr w:type="spellStart"/>
      <w:r w:rsidRPr="00544DD6">
        <w:rPr>
          <w:rFonts w:ascii="Arial Narrow" w:hAnsi="Arial Narrow" w:cs="Times New Roman"/>
          <w:sz w:val="20"/>
          <w:szCs w:val="20"/>
        </w:rPr>
        <w:t>Bexfield</w:t>
      </w:r>
      <w:proofErr w:type="spellEnd"/>
      <w:r w:rsidRPr="00544DD6">
        <w:rPr>
          <w:rFonts w:ascii="Arial Narrow" w:hAnsi="Arial Narrow" w:cs="Times New Roman"/>
          <w:sz w:val="20"/>
          <w:szCs w:val="20"/>
        </w:rPr>
        <w:t xml:space="preserve">, N., &amp; Watson, P. (2006). Diagnosis of canine liver disease. </w:t>
      </w:r>
      <w:r w:rsidRPr="00544DD6">
        <w:rPr>
          <w:rFonts w:ascii="Arial Narrow" w:hAnsi="Arial Narrow" w:cs="Times New Roman"/>
          <w:i/>
          <w:iCs/>
          <w:sz w:val="20"/>
          <w:szCs w:val="20"/>
        </w:rPr>
        <w:t>In Practice</w:t>
      </w:r>
      <w:r w:rsidRPr="00544DD6">
        <w:rPr>
          <w:rFonts w:ascii="Arial Narrow" w:hAnsi="Arial Narrow" w:cs="Times New Roman"/>
          <w:sz w:val="20"/>
          <w:szCs w:val="20"/>
        </w:rPr>
        <w:t>, 28(8), 444–453.</w:t>
      </w:r>
    </w:p>
    <w:p w14:paraId="2C458314" w14:textId="77777777" w:rsidR="00C21B2C" w:rsidRPr="00544DD6" w:rsidRDefault="00C21B2C" w:rsidP="00C21B2C">
      <w:pPr>
        <w:spacing w:line="480" w:lineRule="auto"/>
        <w:jc w:val="both"/>
        <w:rPr>
          <w:rFonts w:ascii="Arial Narrow" w:hAnsi="Arial Narrow" w:cs="Times New Roman"/>
          <w:sz w:val="20"/>
          <w:szCs w:val="20"/>
        </w:rPr>
      </w:pPr>
      <w:proofErr w:type="spellStart"/>
      <w:r w:rsidRPr="00544DD6">
        <w:rPr>
          <w:rFonts w:ascii="Arial Narrow" w:hAnsi="Arial Narrow" w:cs="Times New Roman"/>
          <w:sz w:val="20"/>
          <w:szCs w:val="20"/>
        </w:rPr>
        <w:t>Bhadesiya</w:t>
      </w:r>
      <w:proofErr w:type="spellEnd"/>
      <w:r w:rsidRPr="00544DD6">
        <w:rPr>
          <w:rFonts w:ascii="Arial Narrow" w:hAnsi="Arial Narrow" w:cs="Times New Roman"/>
          <w:sz w:val="20"/>
          <w:szCs w:val="20"/>
        </w:rPr>
        <w:t xml:space="preserve">, C. M., Jani, R. G., Parikh, P. V., Pandey, A. M., Rao, N., &amp; Shai, A. (2015). </w:t>
      </w:r>
      <w:proofErr w:type="spellStart"/>
      <w:r w:rsidRPr="00544DD6">
        <w:rPr>
          <w:rFonts w:ascii="Arial Narrow" w:hAnsi="Arial Narrow" w:cs="Times New Roman"/>
          <w:sz w:val="20"/>
          <w:szCs w:val="20"/>
        </w:rPr>
        <w:t>Haematobiochemistry</w:t>
      </w:r>
      <w:proofErr w:type="spellEnd"/>
      <w:r w:rsidRPr="00544DD6">
        <w:rPr>
          <w:rFonts w:ascii="Arial Narrow" w:hAnsi="Arial Narrow" w:cs="Times New Roman"/>
          <w:sz w:val="20"/>
          <w:szCs w:val="20"/>
        </w:rPr>
        <w:t xml:space="preserve"> and imaging study on ascites with hepatic and cardiac involvement in a German Shepherd pup. </w:t>
      </w:r>
      <w:r w:rsidRPr="00544DD6">
        <w:rPr>
          <w:rFonts w:ascii="Arial Narrow" w:hAnsi="Arial Narrow" w:cs="Times New Roman"/>
          <w:i/>
          <w:iCs/>
          <w:sz w:val="20"/>
          <w:szCs w:val="20"/>
        </w:rPr>
        <w:t>International Research Journal of Chemistry</w:t>
      </w:r>
      <w:r w:rsidRPr="00544DD6">
        <w:rPr>
          <w:rFonts w:ascii="Arial Narrow" w:hAnsi="Arial Narrow" w:cs="Times New Roman"/>
          <w:sz w:val="20"/>
          <w:szCs w:val="20"/>
        </w:rPr>
        <w:t>, 11, 14–22.</w:t>
      </w:r>
    </w:p>
    <w:p w14:paraId="01C25F53" w14:textId="77777777" w:rsidR="00C21B2C" w:rsidRPr="00544DD6" w:rsidRDefault="00C21B2C" w:rsidP="00C21B2C">
      <w:pPr>
        <w:spacing w:line="480" w:lineRule="auto"/>
        <w:jc w:val="both"/>
        <w:rPr>
          <w:rFonts w:ascii="Arial Narrow" w:hAnsi="Arial Narrow" w:cs="Times New Roman"/>
          <w:sz w:val="20"/>
          <w:szCs w:val="20"/>
        </w:rPr>
      </w:pPr>
      <w:r w:rsidRPr="00544DD6">
        <w:rPr>
          <w:rFonts w:ascii="Arial Narrow" w:hAnsi="Arial Narrow" w:cs="Times New Roman"/>
          <w:sz w:val="20"/>
          <w:szCs w:val="20"/>
        </w:rPr>
        <w:t xml:space="preserve">Chaturvedi, M., </w:t>
      </w:r>
      <w:proofErr w:type="spellStart"/>
      <w:r w:rsidRPr="00544DD6">
        <w:rPr>
          <w:rFonts w:ascii="Arial Narrow" w:hAnsi="Arial Narrow" w:cs="Times New Roman"/>
          <w:sz w:val="20"/>
          <w:szCs w:val="20"/>
        </w:rPr>
        <w:t>Gonaie</w:t>
      </w:r>
      <w:proofErr w:type="spellEnd"/>
      <w:r w:rsidRPr="00544DD6">
        <w:rPr>
          <w:rFonts w:ascii="Arial Narrow" w:hAnsi="Arial Narrow" w:cs="Times New Roman"/>
          <w:sz w:val="20"/>
          <w:szCs w:val="20"/>
        </w:rPr>
        <w:t xml:space="preserve">, A. H., </w:t>
      </w:r>
      <w:proofErr w:type="spellStart"/>
      <w:r w:rsidRPr="00544DD6">
        <w:rPr>
          <w:rFonts w:ascii="Arial Narrow" w:hAnsi="Arial Narrow" w:cs="Times New Roman"/>
          <w:sz w:val="20"/>
          <w:szCs w:val="20"/>
        </w:rPr>
        <w:t>Shekawat</w:t>
      </w:r>
      <w:proofErr w:type="spellEnd"/>
      <w:r w:rsidRPr="00544DD6">
        <w:rPr>
          <w:rFonts w:ascii="Arial Narrow" w:hAnsi="Arial Narrow" w:cs="Times New Roman"/>
          <w:sz w:val="20"/>
          <w:szCs w:val="20"/>
        </w:rPr>
        <w:t xml:space="preserve">, M. S., Chaudhary, D., Jakhar, A., &amp; Chaudhari, M. (2013). Serum haemato-biochemical profile in ascitic dogs. </w:t>
      </w:r>
      <w:r w:rsidRPr="00544DD6">
        <w:rPr>
          <w:rFonts w:ascii="Arial Narrow" w:hAnsi="Arial Narrow" w:cs="Times New Roman"/>
          <w:i/>
          <w:iCs/>
          <w:sz w:val="20"/>
          <w:szCs w:val="20"/>
        </w:rPr>
        <w:t>Haryana Veterinarian</w:t>
      </w:r>
      <w:r w:rsidRPr="00544DD6">
        <w:rPr>
          <w:rFonts w:ascii="Arial Narrow" w:hAnsi="Arial Narrow" w:cs="Times New Roman"/>
          <w:sz w:val="20"/>
          <w:szCs w:val="20"/>
        </w:rPr>
        <w:t>, 52, 129–130.</w:t>
      </w:r>
    </w:p>
    <w:p w14:paraId="18CFAA74" w14:textId="77777777" w:rsidR="00C21B2C" w:rsidRPr="00544DD6" w:rsidRDefault="00C21B2C" w:rsidP="00C21B2C">
      <w:pPr>
        <w:spacing w:line="480" w:lineRule="auto"/>
        <w:jc w:val="both"/>
        <w:rPr>
          <w:rFonts w:ascii="Arial Narrow" w:hAnsi="Arial Narrow" w:cs="Times New Roman"/>
          <w:sz w:val="20"/>
          <w:szCs w:val="20"/>
        </w:rPr>
      </w:pPr>
      <w:r w:rsidRPr="00544DD6">
        <w:rPr>
          <w:rFonts w:ascii="Arial Narrow" w:hAnsi="Arial Narrow" w:cs="Times New Roman"/>
          <w:sz w:val="20"/>
          <w:szCs w:val="20"/>
        </w:rPr>
        <w:t xml:space="preserve">Das, S., &amp; </w:t>
      </w:r>
      <w:proofErr w:type="spellStart"/>
      <w:r w:rsidRPr="00544DD6">
        <w:rPr>
          <w:rFonts w:ascii="Arial Narrow" w:hAnsi="Arial Narrow" w:cs="Times New Roman"/>
          <w:sz w:val="20"/>
          <w:szCs w:val="20"/>
        </w:rPr>
        <w:t>Lodh</w:t>
      </w:r>
      <w:proofErr w:type="spellEnd"/>
      <w:r w:rsidRPr="00544DD6">
        <w:rPr>
          <w:rFonts w:ascii="Arial Narrow" w:hAnsi="Arial Narrow" w:cs="Times New Roman"/>
          <w:sz w:val="20"/>
          <w:szCs w:val="20"/>
        </w:rPr>
        <w:t xml:space="preserve">, C. (2024). Diagnostic studies in canine hepatic cirrhosis. </w:t>
      </w:r>
      <w:r w:rsidRPr="00544DD6">
        <w:rPr>
          <w:rFonts w:ascii="Arial Narrow" w:hAnsi="Arial Narrow" w:cs="Times New Roman"/>
          <w:i/>
          <w:iCs/>
          <w:sz w:val="20"/>
          <w:szCs w:val="20"/>
        </w:rPr>
        <w:t>Indian Journal of Canine Practice</w:t>
      </w:r>
      <w:r w:rsidRPr="00544DD6">
        <w:rPr>
          <w:rFonts w:ascii="Arial Narrow" w:hAnsi="Arial Narrow" w:cs="Times New Roman"/>
          <w:sz w:val="20"/>
          <w:szCs w:val="20"/>
        </w:rPr>
        <w:t>, 16(1), 28–32.</w:t>
      </w:r>
    </w:p>
    <w:p w14:paraId="71CAD990" w14:textId="77777777" w:rsidR="00C21B2C" w:rsidRPr="00544DD6" w:rsidRDefault="00C21B2C" w:rsidP="00C21B2C">
      <w:pPr>
        <w:spacing w:line="480" w:lineRule="auto"/>
        <w:jc w:val="both"/>
        <w:rPr>
          <w:rFonts w:ascii="Arial Narrow" w:hAnsi="Arial Narrow" w:cs="Times New Roman"/>
          <w:sz w:val="20"/>
          <w:szCs w:val="20"/>
        </w:rPr>
      </w:pPr>
      <w:r w:rsidRPr="00544DD6">
        <w:rPr>
          <w:rFonts w:ascii="Arial Narrow" w:hAnsi="Arial Narrow" w:cs="Times New Roman"/>
          <w:sz w:val="20"/>
          <w:szCs w:val="20"/>
        </w:rPr>
        <w:t xml:space="preserve">Elhiblu, M. A., Dua, K., </w:t>
      </w:r>
      <w:proofErr w:type="spellStart"/>
      <w:r w:rsidRPr="00544DD6">
        <w:rPr>
          <w:rFonts w:ascii="Arial Narrow" w:hAnsi="Arial Narrow" w:cs="Times New Roman"/>
          <w:sz w:val="20"/>
          <w:szCs w:val="20"/>
        </w:rPr>
        <w:t>Mohindroo</w:t>
      </w:r>
      <w:proofErr w:type="spellEnd"/>
      <w:r w:rsidRPr="00544DD6">
        <w:rPr>
          <w:rFonts w:ascii="Arial Narrow" w:hAnsi="Arial Narrow" w:cs="Times New Roman"/>
          <w:sz w:val="20"/>
          <w:szCs w:val="20"/>
        </w:rPr>
        <w:t xml:space="preserve">, J., Mahajan, S. K., Sood, N. K., &amp; Dhaliwal, P. S. (2015). </w:t>
      </w:r>
      <w:proofErr w:type="spellStart"/>
      <w:r w:rsidRPr="00544DD6">
        <w:rPr>
          <w:rFonts w:ascii="Arial Narrow" w:hAnsi="Arial Narrow" w:cs="Times New Roman"/>
          <w:sz w:val="20"/>
          <w:szCs w:val="20"/>
        </w:rPr>
        <w:t>Clinico</w:t>
      </w:r>
      <w:proofErr w:type="spellEnd"/>
      <w:r w:rsidRPr="00544DD6">
        <w:rPr>
          <w:rFonts w:ascii="Arial Narrow" w:hAnsi="Arial Narrow" w:cs="Times New Roman"/>
          <w:sz w:val="20"/>
          <w:szCs w:val="20"/>
        </w:rPr>
        <w:t xml:space="preserve"> </w:t>
      </w:r>
      <w:proofErr w:type="spellStart"/>
      <w:r w:rsidRPr="00544DD6">
        <w:rPr>
          <w:rFonts w:ascii="Arial Narrow" w:hAnsi="Arial Narrow" w:cs="Times New Roman"/>
          <w:sz w:val="20"/>
          <w:szCs w:val="20"/>
        </w:rPr>
        <w:t>hemato</w:t>
      </w:r>
      <w:proofErr w:type="spellEnd"/>
      <w:r w:rsidRPr="00544DD6">
        <w:rPr>
          <w:rFonts w:ascii="Arial Narrow" w:hAnsi="Arial Narrow" w:cs="Times New Roman"/>
          <w:sz w:val="20"/>
          <w:szCs w:val="20"/>
        </w:rPr>
        <w:t xml:space="preserve">-biochemical profile of dogs with liver cirrhosis. </w:t>
      </w:r>
      <w:r w:rsidRPr="00544DD6">
        <w:rPr>
          <w:rFonts w:ascii="Arial Narrow" w:hAnsi="Arial Narrow" w:cs="Times New Roman"/>
          <w:i/>
          <w:iCs/>
          <w:sz w:val="20"/>
          <w:szCs w:val="20"/>
        </w:rPr>
        <w:t>Veterinary World</w:t>
      </w:r>
      <w:r w:rsidRPr="00544DD6">
        <w:rPr>
          <w:rFonts w:ascii="Arial Narrow" w:hAnsi="Arial Narrow" w:cs="Times New Roman"/>
          <w:sz w:val="20"/>
          <w:szCs w:val="20"/>
        </w:rPr>
        <w:t>, 8(4), 487–491.</w:t>
      </w:r>
    </w:p>
    <w:p w14:paraId="0E096DB7" w14:textId="77777777" w:rsidR="00C21B2C" w:rsidRPr="00544DD6" w:rsidRDefault="00C21B2C" w:rsidP="00C21B2C">
      <w:pPr>
        <w:spacing w:line="480" w:lineRule="auto"/>
        <w:jc w:val="both"/>
        <w:rPr>
          <w:rFonts w:ascii="Arial Narrow" w:hAnsi="Arial Narrow" w:cs="Times New Roman"/>
          <w:sz w:val="20"/>
          <w:szCs w:val="20"/>
        </w:rPr>
      </w:pPr>
      <w:r w:rsidRPr="00544DD6">
        <w:rPr>
          <w:rFonts w:ascii="Arial Narrow" w:hAnsi="Arial Narrow" w:cs="Times New Roman"/>
          <w:sz w:val="20"/>
          <w:szCs w:val="20"/>
        </w:rPr>
        <w:t xml:space="preserve">Hassan, M. S. M., Abdel-Saeed, H., Abd El Aziz Ahmed, K., &amp; Abdou, O. M. (2022). Clinical and </w:t>
      </w:r>
      <w:proofErr w:type="spellStart"/>
      <w:r w:rsidRPr="00544DD6">
        <w:rPr>
          <w:rFonts w:ascii="Arial Narrow" w:hAnsi="Arial Narrow" w:cs="Times New Roman"/>
          <w:sz w:val="20"/>
          <w:szCs w:val="20"/>
        </w:rPr>
        <w:t>hemato</w:t>
      </w:r>
      <w:proofErr w:type="spellEnd"/>
      <w:r w:rsidRPr="00544DD6">
        <w:rPr>
          <w:rFonts w:ascii="Arial Narrow" w:hAnsi="Arial Narrow" w:cs="Times New Roman"/>
          <w:sz w:val="20"/>
          <w:szCs w:val="20"/>
        </w:rPr>
        <w:t xml:space="preserve">-biochemical studies on canine </w:t>
      </w:r>
      <w:proofErr w:type="spellStart"/>
      <w:r w:rsidRPr="00544DD6">
        <w:rPr>
          <w:rFonts w:ascii="Arial Narrow" w:hAnsi="Arial Narrow" w:cs="Times New Roman"/>
          <w:sz w:val="20"/>
          <w:szCs w:val="20"/>
        </w:rPr>
        <w:t>anemia</w:t>
      </w:r>
      <w:proofErr w:type="spellEnd"/>
      <w:r w:rsidRPr="00544DD6">
        <w:rPr>
          <w:rFonts w:ascii="Arial Narrow" w:hAnsi="Arial Narrow" w:cs="Times New Roman"/>
          <w:sz w:val="20"/>
          <w:szCs w:val="20"/>
        </w:rPr>
        <w:t xml:space="preserve">. </w:t>
      </w:r>
      <w:r w:rsidRPr="00544DD6">
        <w:rPr>
          <w:rFonts w:ascii="Arial Narrow" w:hAnsi="Arial Narrow" w:cs="Times New Roman"/>
          <w:i/>
          <w:iCs/>
          <w:sz w:val="20"/>
          <w:szCs w:val="20"/>
        </w:rPr>
        <w:t>Advances in Animal and Veterinary Sciences</w:t>
      </w:r>
      <w:r w:rsidRPr="00544DD6">
        <w:rPr>
          <w:rFonts w:ascii="Arial Narrow" w:hAnsi="Arial Narrow" w:cs="Times New Roman"/>
          <w:sz w:val="20"/>
          <w:szCs w:val="20"/>
        </w:rPr>
        <w:t>, 10(4), 838–844.</w:t>
      </w:r>
    </w:p>
    <w:p w14:paraId="1AC2B776" w14:textId="77777777" w:rsidR="00C21B2C" w:rsidRPr="00544DD6" w:rsidRDefault="00C21B2C" w:rsidP="00C21B2C">
      <w:pPr>
        <w:spacing w:line="480" w:lineRule="auto"/>
        <w:jc w:val="both"/>
        <w:rPr>
          <w:rFonts w:ascii="Arial Narrow" w:hAnsi="Arial Narrow" w:cs="Times New Roman"/>
          <w:sz w:val="20"/>
          <w:szCs w:val="20"/>
        </w:rPr>
      </w:pPr>
      <w:proofErr w:type="spellStart"/>
      <w:r w:rsidRPr="00544DD6">
        <w:rPr>
          <w:rFonts w:ascii="Arial Narrow" w:hAnsi="Arial Narrow" w:cs="Times New Roman"/>
          <w:sz w:val="20"/>
          <w:szCs w:val="20"/>
        </w:rPr>
        <w:t>Kozat</w:t>
      </w:r>
      <w:proofErr w:type="spellEnd"/>
      <w:r w:rsidRPr="00544DD6">
        <w:rPr>
          <w:rFonts w:ascii="Arial Narrow" w:hAnsi="Arial Narrow" w:cs="Times New Roman"/>
          <w:sz w:val="20"/>
          <w:szCs w:val="20"/>
        </w:rPr>
        <w:t xml:space="preserve">, S., &amp; </w:t>
      </w:r>
      <w:proofErr w:type="spellStart"/>
      <w:r w:rsidRPr="00544DD6">
        <w:rPr>
          <w:rFonts w:ascii="Arial Narrow" w:hAnsi="Arial Narrow" w:cs="Times New Roman"/>
          <w:sz w:val="20"/>
          <w:szCs w:val="20"/>
        </w:rPr>
        <w:t>Sepehrizadeh</w:t>
      </w:r>
      <w:proofErr w:type="spellEnd"/>
      <w:r w:rsidRPr="00544DD6">
        <w:rPr>
          <w:rFonts w:ascii="Arial Narrow" w:hAnsi="Arial Narrow" w:cs="Times New Roman"/>
          <w:sz w:val="20"/>
          <w:szCs w:val="20"/>
        </w:rPr>
        <w:t xml:space="preserve">, E. (2017). Methods of diagnosing in liver diseases for dog and cats. </w:t>
      </w:r>
      <w:r w:rsidRPr="00544DD6">
        <w:rPr>
          <w:rFonts w:ascii="Arial Narrow" w:hAnsi="Arial Narrow" w:cs="Times New Roman"/>
          <w:i/>
          <w:iCs/>
          <w:sz w:val="20"/>
          <w:szCs w:val="20"/>
        </w:rPr>
        <w:t xml:space="preserve">Turk </w:t>
      </w:r>
      <w:proofErr w:type="spellStart"/>
      <w:r w:rsidRPr="00544DD6">
        <w:rPr>
          <w:rFonts w:ascii="Arial Narrow" w:hAnsi="Arial Narrow" w:cs="Times New Roman"/>
          <w:i/>
          <w:iCs/>
          <w:sz w:val="20"/>
          <w:szCs w:val="20"/>
        </w:rPr>
        <w:t>Bilimsel</w:t>
      </w:r>
      <w:proofErr w:type="spellEnd"/>
      <w:r w:rsidRPr="00544DD6">
        <w:rPr>
          <w:rFonts w:ascii="Arial Narrow" w:hAnsi="Arial Narrow" w:cs="Times New Roman"/>
          <w:i/>
          <w:iCs/>
          <w:sz w:val="20"/>
          <w:szCs w:val="20"/>
        </w:rPr>
        <w:t xml:space="preserve"> </w:t>
      </w:r>
      <w:proofErr w:type="spellStart"/>
      <w:r w:rsidRPr="00544DD6">
        <w:rPr>
          <w:rFonts w:ascii="Arial Narrow" w:hAnsi="Arial Narrow" w:cs="Times New Roman"/>
          <w:i/>
          <w:iCs/>
          <w:sz w:val="20"/>
          <w:szCs w:val="20"/>
        </w:rPr>
        <w:t>Derlemeler</w:t>
      </w:r>
      <w:proofErr w:type="spellEnd"/>
      <w:r w:rsidRPr="00544DD6">
        <w:rPr>
          <w:rFonts w:ascii="Arial Narrow" w:hAnsi="Arial Narrow" w:cs="Times New Roman"/>
          <w:i/>
          <w:iCs/>
          <w:sz w:val="20"/>
          <w:szCs w:val="20"/>
        </w:rPr>
        <w:t xml:space="preserve"> </w:t>
      </w:r>
      <w:proofErr w:type="spellStart"/>
      <w:r w:rsidRPr="00544DD6">
        <w:rPr>
          <w:rFonts w:ascii="Arial Narrow" w:hAnsi="Arial Narrow" w:cs="Times New Roman"/>
          <w:i/>
          <w:iCs/>
          <w:sz w:val="20"/>
          <w:szCs w:val="20"/>
        </w:rPr>
        <w:t>Dergisi</w:t>
      </w:r>
      <w:proofErr w:type="spellEnd"/>
      <w:r w:rsidRPr="00544DD6">
        <w:rPr>
          <w:rFonts w:ascii="Arial Narrow" w:hAnsi="Arial Narrow" w:cs="Times New Roman"/>
          <w:sz w:val="20"/>
          <w:szCs w:val="20"/>
        </w:rPr>
        <w:t>, 10(2), 36–46.</w:t>
      </w:r>
    </w:p>
    <w:p w14:paraId="3B04E343" w14:textId="77777777" w:rsidR="00C21B2C" w:rsidRPr="00544DD6" w:rsidRDefault="00C21B2C" w:rsidP="00C21B2C">
      <w:pPr>
        <w:spacing w:line="480" w:lineRule="auto"/>
        <w:jc w:val="both"/>
        <w:rPr>
          <w:rFonts w:ascii="Arial Narrow" w:hAnsi="Arial Narrow" w:cs="Times New Roman"/>
          <w:sz w:val="20"/>
          <w:szCs w:val="20"/>
        </w:rPr>
      </w:pPr>
      <w:r w:rsidRPr="00544DD6">
        <w:rPr>
          <w:rFonts w:ascii="Arial Narrow" w:hAnsi="Arial Narrow" w:cs="Times New Roman"/>
          <w:sz w:val="20"/>
          <w:szCs w:val="20"/>
        </w:rPr>
        <w:t xml:space="preserve">Lakshmi, K., &amp; Padmaja, K. (2021). Clinico-pathological evaluation of hepatobiliary disorders in dogs. </w:t>
      </w:r>
      <w:r w:rsidRPr="00544DD6">
        <w:rPr>
          <w:rFonts w:ascii="Arial Narrow" w:hAnsi="Arial Narrow" w:cs="Times New Roman"/>
          <w:i/>
          <w:iCs/>
          <w:sz w:val="20"/>
          <w:szCs w:val="20"/>
        </w:rPr>
        <w:t>International Journal of Current Microbiology and Applied Sciences</w:t>
      </w:r>
      <w:r w:rsidRPr="00544DD6">
        <w:rPr>
          <w:rFonts w:ascii="Arial Narrow" w:hAnsi="Arial Narrow" w:cs="Times New Roman"/>
          <w:sz w:val="20"/>
          <w:szCs w:val="20"/>
        </w:rPr>
        <w:t>, 10(2), 1733–1738.</w:t>
      </w:r>
    </w:p>
    <w:p w14:paraId="458F606D" w14:textId="77777777" w:rsidR="00C21B2C" w:rsidRPr="00544DD6" w:rsidRDefault="00C21B2C" w:rsidP="00C21B2C">
      <w:pPr>
        <w:spacing w:line="480" w:lineRule="auto"/>
        <w:jc w:val="both"/>
        <w:rPr>
          <w:rFonts w:ascii="Arial Narrow" w:hAnsi="Arial Narrow" w:cs="Times New Roman"/>
          <w:sz w:val="20"/>
          <w:szCs w:val="20"/>
        </w:rPr>
      </w:pPr>
      <w:r w:rsidRPr="00544DD6">
        <w:rPr>
          <w:rFonts w:ascii="Arial Narrow" w:hAnsi="Arial Narrow" w:cs="Times New Roman"/>
          <w:sz w:val="20"/>
          <w:szCs w:val="20"/>
        </w:rPr>
        <w:t xml:space="preserve">Lakshmi, K., Padmaja, K., Nagaraj, P., Reddy, A. G., &amp; Prakash, M. G. (2018). </w:t>
      </w:r>
      <w:proofErr w:type="spellStart"/>
      <w:r w:rsidRPr="00544DD6">
        <w:rPr>
          <w:rFonts w:ascii="Arial Narrow" w:hAnsi="Arial Narrow" w:cs="Times New Roman"/>
          <w:sz w:val="20"/>
          <w:szCs w:val="20"/>
        </w:rPr>
        <w:t>Haematobiochemical</w:t>
      </w:r>
      <w:proofErr w:type="spellEnd"/>
      <w:r w:rsidRPr="00544DD6">
        <w:rPr>
          <w:rFonts w:ascii="Arial Narrow" w:hAnsi="Arial Narrow" w:cs="Times New Roman"/>
          <w:sz w:val="20"/>
          <w:szCs w:val="20"/>
        </w:rPr>
        <w:t xml:space="preserve"> studies of hepatobiliary disorders in dogs. </w:t>
      </w:r>
      <w:r w:rsidRPr="00544DD6">
        <w:rPr>
          <w:rFonts w:ascii="Arial Narrow" w:hAnsi="Arial Narrow" w:cs="Times New Roman"/>
          <w:i/>
          <w:iCs/>
          <w:sz w:val="20"/>
          <w:szCs w:val="20"/>
        </w:rPr>
        <w:t>International Journal of Current Microbiology and Applied Sciences</w:t>
      </w:r>
      <w:r w:rsidRPr="00544DD6">
        <w:rPr>
          <w:rFonts w:ascii="Arial Narrow" w:hAnsi="Arial Narrow" w:cs="Times New Roman"/>
          <w:sz w:val="20"/>
          <w:szCs w:val="20"/>
        </w:rPr>
        <w:t>, 7(1), 1406–1411.</w:t>
      </w:r>
    </w:p>
    <w:p w14:paraId="2872FC55" w14:textId="77777777" w:rsidR="00C21B2C" w:rsidRPr="00544DD6" w:rsidRDefault="00C21B2C" w:rsidP="00C21B2C">
      <w:pPr>
        <w:spacing w:line="480" w:lineRule="auto"/>
        <w:jc w:val="both"/>
        <w:rPr>
          <w:rFonts w:ascii="Arial Narrow" w:hAnsi="Arial Narrow" w:cs="Times New Roman"/>
          <w:sz w:val="20"/>
          <w:szCs w:val="20"/>
        </w:rPr>
      </w:pPr>
      <w:proofErr w:type="spellStart"/>
      <w:r w:rsidRPr="00544DD6">
        <w:rPr>
          <w:rFonts w:ascii="Arial Narrow" w:hAnsi="Arial Narrow" w:cs="Times New Roman"/>
          <w:sz w:val="20"/>
          <w:szCs w:val="20"/>
        </w:rPr>
        <w:t>Lathamani</w:t>
      </w:r>
      <w:proofErr w:type="spellEnd"/>
      <w:r w:rsidRPr="00544DD6">
        <w:rPr>
          <w:rFonts w:ascii="Arial Narrow" w:hAnsi="Arial Narrow" w:cs="Times New Roman"/>
          <w:sz w:val="20"/>
          <w:szCs w:val="20"/>
        </w:rPr>
        <w:t xml:space="preserve">, V. S., &amp; </w:t>
      </w:r>
      <w:proofErr w:type="spellStart"/>
      <w:r w:rsidRPr="00544DD6">
        <w:rPr>
          <w:rFonts w:ascii="Arial Narrow" w:hAnsi="Arial Narrow" w:cs="Times New Roman"/>
          <w:sz w:val="20"/>
          <w:szCs w:val="20"/>
        </w:rPr>
        <w:t>Nalinikumari</w:t>
      </w:r>
      <w:proofErr w:type="spellEnd"/>
      <w:r w:rsidRPr="00544DD6">
        <w:rPr>
          <w:rFonts w:ascii="Arial Narrow" w:hAnsi="Arial Narrow" w:cs="Times New Roman"/>
          <w:sz w:val="20"/>
          <w:szCs w:val="20"/>
        </w:rPr>
        <w:t xml:space="preserve">, K. (2015). Studies on therapeutic efficacy of Liv 52 in dogs suffering from hepatic disorders. </w:t>
      </w:r>
      <w:r w:rsidRPr="00544DD6">
        <w:rPr>
          <w:rFonts w:ascii="Arial Narrow" w:hAnsi="Arial Narrow" w:cs="Times New Roman"/>
          <w:i/>
          <w:iCs/>
          <w:sz w:val="20"/>
          <w:szCs w:val="20"/>
        </w:rPr>
        <w:t>International Journal of Innovative Research in Science, Engineering and Technology</w:t>
      </w:r>
      <w:r w:rsidRPr="00544DD6">
        <w:rPr>
          <w:rFonts w:ascii="Arial Narrow" w:hAnsi="Arial Narrow" w:cs="Times New Roman"/>
          <w:sz w:val="20"/>
          <w:szCs w:val="20"/>
        </w:rPr>
        <w:t>, 4(8), 7361–7363.</w:t>
      </w:r>
    </w:p>
    <w:p w14:paraId="5E470E56" w14:textId="77777777" w:rsidR="00C21B2C" w:rsidRPr="00544DD6" w:rsidRDefault="00C21B2C" w:rsidP="00C21B2C">
      <w:pPr>
        <w:spacing w:line="480" w:lineRule="auto"/>
        <w:jc w:val="both"/>
        <w:rPr>
          <w:rFonts w:ascii="Arial Narrow" w:hAnsi="Arial Narrow" w:cs="Times New Roman"/>
          <w:sz w:val="20"/>
          <w:szCs w:val="20"/>
        </w:rPr>
      </w:pPr>
      <w:r w:rsidRPr="00544DD6">
        <w:rPr>
          <w:rFonts w:ascii="Arial Narrow" w:hAnsi="Arial Narrow" w:cs="Times New Roman"/>
          <w:sz w:val="20"/>
          <w:szCs w:val="20"/>
        </w:rPr>
        <w:t xml:space="preserve">Lawrence, Y. A., &amp; Steiner, J. M. (2017). Laboratory evaluation of the liver. </w:t>
      </w:r>
      <w:r w:rsidRPr="00544DD6">
        <w:rPr>
          <w:rFonts w:ascii="Arial Narrow" w:hAnsi="Arial Narrow" w:cs="Times New Roman"/>
          <w:i/>
          <w:iCs/>
          <w:sz w:val="20"/>
          <w:szCs w:val="20"/>
        </w:rPr>
        <w:t>Veterinary Clinics of North America: Small Animal Practice</w:t>
      </w:r>
      <w:r w:rsidRPr="00544DD6">
        <w:rPr>
          <w:rFonts w:ascii="Arial Narrow" w:hAnsi="Arial Narrow" w:cs="Times New Roman"/>
          <w:sz w:val="20"/>
          <w:szCs w:val="20"/>
        </w:rPr>
        <w:t>, 47(3), 539–553.</w:t>
      </w:r>
    </w:p>
    <w:p w14:paraId="66FDE1B1" w14:textId="77777777" w:rsidR="00C21B2C" w:rsidRPr="00544DD6" w:rsidRDefault="00C21B2C" w:rsidP="00C21B2C">
      <w:pPr>
        <w:spacing w:line="480" w:lineRule="auto"/>
        <w:jc w:val="both"/>
        <w:rPr>
          <w:rFonts w:ascii="Arial Narrow" w:hAnsi="Arial Narrow" w:cs="Times New Roman"/>
          <w:sz w:val="20"/>
          <w:szCs w:val="20"/>
        </w:rPr>
      </w:pPr>
      <w:r w:rsidRPr="00544DD6">
        <w:rPr>
          <w:rFonts w:ascii="Arial Narrow" w:hAnsi="Arial Narrow" w:cs="Times New Roman"/>
          <w:sz w:val="20"/>
          <w:szCs w:val="20"/>
        </w:rPr>
        <w:lastRenderedPageBreak/>
        <w:t xml:space="preserve">Pandya, P. B., Vagh, A. A., Joseph, J. P., </w:t>
      </w:r>
      <w:proofErr w:type="spellStart"/>
      <w:r w:rsidRPr="00544DD6">
        <w:rPr>
          <w:rFonts w:ascii="Arial Narrow" w:hAnsi="Arial Narrow" w:cs="Times New Roman"/>
          <w:sz w:val="20"/>
          <w:szCs w:val="20"/>
        </w:rPr>
        <w:t>Bilwal</w:t>
      </w:r>
      <w:proofErr w:type="spellEnd"/>
      <w:r w:rsidRPr="00544DD6">
        <w:rPr>
          <w:rFonts w:ascii="Arial Narrow" w:hAnsi="Arial Narrow" w:cs="Times New Roman"/>
          <w:sz w:val="20"/>
          <w:szCs w:val="20"/>
        </w:rPr>
        <w:t xml:space="preserve">, A. K., &amp; Parmar, V. L. (2022). Assessment of hepatobiliary ultrasound score with </w:t>
      </w:r>
      <w:proofErr w:type="spellStart"/>
      <w:r w:rsidRPr="00544DD6">
        <w:rPr>
          <w:rFonts w:ascii="Arial Narrow" w:hAnsi="Arial Narrow" w:cs="Times New Roman"/>
          <w:sz w:val="20"/>
          <w:szCs w:val="20"/>
        </w:rPr>
        <w:t>hemato</w:t>
      </w:r>
      <w:proofErr w:type="spellEnd"/>
      <w:r w:rsidRPr="00544DD6">
        <w:rPr>
          <w:rFonts w:ascii="Arial Narrow" w:hAnsi="Arial Narrow" w:cs="Times New Roman"/>
          <w:sz w:val="20"/>
          <w:szCs w:val="20"/>
        </w:rPr>
        <w:t xml:space="preserve">-biochemical alterations between healthy dogs and dogs with hepatobiliary dysfunctions. </w:t>
      </w:r>
      <w:r w:rsidRPr="00544DD6">
        <w:rPr>
          <w:rFonts w:ascii="Arial Narrow" w:hAnsi="Arial Narrow" w:cs="Times New Roman"/>
          <w:i/>
          <w:iCs/>
          <w:sz w:val="20"/>
          <w:szCs w:val="20"/>
        </w:rPr>
        <w:t>The Pharma Innovation Journal</w:t>
      </w:r>
      <w:r w:rsidRPr="00544DD6">
        <w:rPr>
          <w:rFonts w:ascii="Arial Narrow" w:hAnsi="Arial Narrow" w:cs="Times New Roman"/>
          <w:sz w:val="20"/>
          <w:szCs w:val="20"/>
        </w:rPr>
        <w:t>, SP-11(11), 933–937.</w:t>
      </w:r>
    </w:p>
    <w:p w14:paraId="0A08C91F" w14:textId="77777777" w:rsidR="009C6DF4" w:rsidRPr="00544DD6" w:rsidRDefault="009C6DF4" w:rsidP="00C21B2C">
      <w:pPr>
        <w:spacing w:line="480" w:lineRule="auto"/>
        <w:jc w:val="both"/>
        <w:rPr>
          <w:rFonts w:ascii="Arial Narrow" w:hAnsi="Arial Narrow" w:cs="Times New Roman"/>
          <w:sz w:val="20"/>
          <w:szCs w:val="20"/>
        </w:rPr>
      </w:pPr>
      <w:r w:rsidRPr="00544DD6">
        <w:rPr>
          <w:rFonts w:ascii="Arial Narrow" w:hAnsi="Arial Narrow" w:cs="Times New Roman"/>
          <w:sz w:val="20"/>
          <w:szCs w:val="20"/>
        </w:rPr>
        <w:t xml:space="preserve">Saravanan, M., Mondal, D. B., Sarma, K., Mahendran, K., Vijayakumar, H., &amp; Sasikala, V. (2014). Comprehensive study of haemato-biochemical, ascitic fluid analysis and ultrasonography in the diagnosis of ascites due to hepatobiliary disorders in dog. </w:t>
      </w:r>
      <w:r w:rsidRPr="00544DD6">
        <w:rPr>
          <w:rFonts w:ascii="Arial Narrow" w:hAnsi="Arial Narrow" w:cs="Times New Roman"/>
          <w:i/>
          <w:iCs/>
          <w:sz w:val="20"/>
          <w:szCs w:val="20"/>
        </w:rPr>
        <w:t>Indian Journal of Animal Sciences</w:t>
      </w:r>
      <w:r w:rsidRPr="00544DD6">
        <w:rPr>
          <w:rFonts w:ascii="Arial Narrow" w:hAnsi="Arial Narrow" w:cs="Times New Roman"/>
          <w:sz w:val="20"/>
          <w:szCs w:val="20"/>
        </w:rPr>
        <w:t>, 84(5), 503–506.</w:t>
      </w:r>
    </w:p>
    <w:p w14:paraId="0E186CCD" w14:textId="77777777" w:rsidR="009C6DF4" w:rsidRPr="00544DD6" w:rsidRDefault="009C6DF4" w:rsidP="00C21B2C">
      <w:pPr>
        <w:spacing w:line="480" w:lineRule="auto"/>
        <w:jc w:val="both"/>
        <w:rPr>
          <w:rFonts w:ascii="Arial Narrow" w:hAnsi="Arial Narrow" w:cs="Times New Roman"/>
          <w:sz w:val="20"/>
          <w:szCs w:val="20"/>
        </w:rPr>
      </w:pPr>
      <w:r w:rsidRPr="00544DD6">
        <w:rPr>
          <w:rFonts w:ascii="Arial Narrow" w:hAnsi="Arial Narrow" w:cs="Times New Roman"/>
          <w:sz w:val="20"/>
          <w:szCs w:val="20"/>
        </w:rPr>
        <w:t xml:space="preserve">Schoeman, J. P. (2012). Investigation of hypoglycaemia. In British Small Animal Veterinary Association (Ed.), </w:t>
      </w:r>
      <w:r w:rsidRPr="00544DD6">
        <w:rPr>
          <w:rFonts w:ascii="Arial Narrow" w:hAnsi="Arial Narrow" w:cs="Times New Roman"/>
          <w:i/>
          <w:iCs/>
          <w:sz w:val="20"/>
          <w:szCs w:val="20"/>
        </w:rPr>
        <w:t>BSAVA manual of canine and feline endocrinology</w:t>
      </w:r>
      <w:r w:rsidRPr="00544DD6">
        <w:rPr>
          <w:rFonts w:ascii="Arial Narrow" w:hAnsi="Arial Narrow" w:cs="Times New Roman"/>
          <w:sz w:val="20"/>
          <w:szCs w:val="20"/>
        </w:rPr>
        <w:t xml:space="preserve"> (pp. 259–264). BSAVA Library.</w:t>
      </w:r>
    </w:p>
    <w:p w14:paraId="5A12B356" w14:textId="77777777" w:rsidR="009C6DF4" w:rsidRPr="00544DD6" w:rsidRDefault="009C6DF4" w:rsidP="00C21B2C">
      <w:pPr>
        <w:spacing w:line="480" w:lineRule="auto"/>
        <w:jc w:val="both"/>
        <w:rPr>
          <w:rFonts w:ascii="Arial Narrow" w:hAnsi="Arial Narrow" w:cs="Times New Roman"/>
          <w:sz w:val="20"/>
          <w:szCs w:val="20"/>
        </w:rPr>
      </w:pPr>
      <w:r w:rsidRPr="00544DD6">
        <w:rPr>
          <w:rFonts w:ascii="Arial Narrow" w:hAnsi="Arial Narrow" w:cs="Times New Roman"/>
          <w:sz w:val="20"/>
          <w:szCs w:val="20"/>
        </w:rPr>
        <w:t xml:space="preserve">Singh, S. K., Shukla, S. K., Bhatt, P., &amp; Singh, A. K. (2019). </w:t>
      </w:r>
      <w:proofErr w:type="spellStart"/>
      <w:r w:rsidRPr="00544DD6">
        <w:rPr>
          <w:rFonts w:ascii="Arial Narrow" w:hAnsi="Arial Narrow" w:cs="Times New Roman"/>
          <w:sz w:val="20"/>
          <w:szCs w:val="20"/>
        </w:rPr>
        <w:t>Clinico</w:t>
      </w:r>
      <w:proofErr w:type="spellEnd"/>
      <w:r w:rsidRPr="00544DD6">
        <w:rPr>
          <w:rFonts w:ascii="Arial Narrow" w:hAnsi="Arial Narrow" w:cs="Times New Roman"/>
          <w:sz w:val="20"/>
          <w:szCs w:val="20"/>
        </w:rPr>
        <w:t xml:space="preserve"> therapeutic studies on ascites in canines. </w:t>
      </w:r>
      <w:r w:rsidRPr="00544DD6">
        <w:rPr>
          <w:rFonts w:ascii="Arial Narrow" w:hAnsi="Arial Narrow" w:cs="Times New Roman"/>
          <w:i/>
          <w:iCs/>
          <w:sz w:val="20"/>
          <w:szCs w:val="20"/>
        </w:rPr>
        <w:t>International Journal of Current Microbiology and Applied Sciences</w:t>
      </w:r>
      <w:r w:rsidRPr="00544DD6">
        <w:rPr>
          <w:rFonts w:ascii="Arial Narrow" w:hAnsi="Arial Narrow" w:cs="Times New Roman"/>
          <w:sz w:val="20"/>
          <w:szCs w:val="20"/>
        </w:rPr>
        <w:t>, 8(9), 1120–1137.</w:t>
      </w:r>
    </w:p>
    <w:p w14:paraId="1A76D34B" w14:textId="77777777" w:rsidR="009C6DF4" w:rsidRPr="00544DD6" w:rsidRDefault="009C6DF4" w:rsidP="00C21B2C">
      <w:pPr>
        <w:spacing w:line="480" w:lineRule="auto"/>
        <w:jc w:val="both"/>
        <w:rPr>
          <w:rFonts w:ascii="Arial Narrow" w:hAnsi="Arial Narrow" w:cs="Times New Roman"/>
          <w:sz w:val="20"/>
          <w:szCs w:val="20"/>
        </w:rPr>
      </w:pPr>
      <w:r w:rsidRPr="009C6DF4">
        <w:rPr>
          <w:rFonts w:ascii="Arial Narrow" w:hAnsi="Arial Narrow" w:cs="Times New Roman"/>
          <w:sz w:val="20"/>
          <w:szCs w:val="20"/>
        </w:rPr>
        <w:t>Snedecor, G. W., &amp; Cochran, W. G. (2004). Statistical methods (8th ed.). East West Press.</w:t>
      </w:r>
    </w:p>
    <w:p w14:paraId="5B94B10C" w14:textId="77777777" w:rsidR="009C6DF4" w:rsidRDefault="009C6DF4" w:rsidP="00C21B2C">
      <w:pPr>
        <w:spacing w:line="480" w:lineRule="auto"/>
        <w:jc w:val="both"/>
        <w:rPr>
          <w:rFonts w:ascii="Arial Narrow" w:hAnsi="Arial Narrow" w:cs="Times New Roman"/>
          <w:sz w:val="20"/>
          <w:szCs w:val="20"/>
        </w:rPr>
      </w:pPr>
      <w:r w:rsidRPr="00544DD6">
        <w:rPr>
          <w:rFonts w:ascii="Arial Narrow" w:hAnsi="Arial Narrow" w:cs="Times New Roman"/>
          <w:sz w:val="20"/>
          <w:szCs w:val="20"/>
        </w:rPr>
        <w:t xml:space="preserve">Sultana, F., Gupta, A. R., Sarkar, S., </w:t>
      </w:r>
      <w:proofErr w:type="spellStart"/>
      <w:r w:rsidRPr="00544DD6">
        <w:rPr>
          <w:rFonts w:ascii="Arial Narrow" w:hAnsi="Arial Narrow" w:cs="Times New Roman"/>
          <w:sz w:val="20"/>
          <w:szCs w:val="20"/>
        </w:rPr>
        <w:t>Lodh</w:t>
      </w:r>
      <w:proofErr w:type="spellEnd"/>
      <w:r w:rsidRPr="00544DD6">
        <w:rPr>
          <w:rFonts w:ascii="Arial Narrow" w:hAnsi="Arial Narrow" w:cs="Times New Roman"/>
          <w:sz w:val="20"/>
          <w:szCs w:val="20"/>
        </w:rPr>
        <w:t xml:space="preserve">, C., Ghosh, D., &amp; </w:t>
      </w:r>
      <w:proofErr w:type="spellStart"/>
      <w:r w:rsidRPr="00544DD6">
        <w:rPr>
          <w:rFonts w:ascii="Arial Narrow" w:hAnsi="Arial Narrow" w:cs="Times New Roman"/>
          <w:sz w:val="20"/>
          <w:szCs w:val="20"/>
        </w:rPr>
        <w:t>Batabyal</w:t>
      </w:r>
      <w:proofErr w:type="spellEnd"/>
      <w:r w:rsidRPr="00544DD6">
        <w:rPr>
          <w:rFonts w:ascii="Arial Narrow" w:hAnsi="Arial Narrow" w:cs="Times New Roman"/>
          <w:sz w:val="20"/>
          <w:szCs w:val="20"/>
        </w:rPr>
        <w:t xml:space="preserve">, S. (2022). Serum biochemical profile of dogs with hepatic disorders. </w:t>
      </w:r>
      <w:r w:rsidRPr="00544DD6">
        <w:rPr>
          <w:rFonts w:ascii="Arial Narrow" w:hAnsi="Arial Narrow" w:cs="Times New Roman"/>
          <w:i/>
          <w:iCs/>
          <w:sz w:val="20"/>
          <w:szCs w:val="20"/>
        </w:rPr>
        <w:t>The Pharma Innovation Journal</w:t>
      </w:r>
      <w:r w:rsidRPr="00544DD6">
        <w:rPr>
          <w:rFonts w:ascii="Arial Narrow" w:hAnsi="Arial Narrow" w:cs="Times New Roman"/>
          <w:sz w:val="20"/>
          <w:szCs w:val="20"/>
        </w:rPr>
        <w:t xml:space="preserve">, </w:t>
      </w:r>
      <w:r w:rsidRPr="00544DD6">
        <w:rPr>
          <w:rFonts w:ascii="Arial Narrow" w:hAnsi="Arial Narrow" w:cs="Times New Roman"/>
          <w:i/>
          <w:iCs/>
          <w:sz w:val="20"/>
          <w:szCs w:val="20"/>
        </w:rPr>
        <w:t>SP-11</w:t>
      </w:r>
      <w:r w:rsidRPr="00544DD6">
        <w:rPr>
          <w:rFonts w:ascii="Arial Narrow" w:hAnsi="Arial Narrow" w:cs="Times New Roman"/>
          <w:sz w:val="20"/>
          <w:szCs w:val="20"/>
        </w:rPr>
        <w:t>(9), 2468–2471.</w:t>
      </w:r>
    </w:p>
    <w:p w14:paraId="1089A213" w14:textId="77777777" w:rsidR="00C21B2C" w:rsidRPr="00544DD6" w:rsidRDefault="00C21B2C" w:rsidP="00C21B2C">
      <w:pPr>
        <w:spacing w:line="480" w:lineRule="auto"/>
        <w:jc w:val="both"/>
        <w:rPr>
          <w:rFonts w:ascii="Arial Narrow" w:hAnsi="Arial Narrow" w:cs="Times New Roman"/>
          <w:sz w:val="20"/>
          <w:szCs w:val="20"/>
        </w:rPr>
      </w:pPr>
      <w:proofErr w:type="spellStart"/>
      <w:r w:rsidRPr="00544DD6">
        <w:rPr>
          <w:rFonts w:ascii="Arial Narrow" w:hAnsi="Arial Narrow" w:cs="Times New Roman"/>
          <w:sz w:val="20"/>
          <w:szCs w:val="20"/>
        </w:rPr>
        <w:t>Tantary</w:t>
      </w:r>
      <w:proofErr w:type="spellEnd"/>
      <w:r w:rsidRPr="00544DD6">
        <w:rPr>
          <w:rFonts w:ascii="Arial Narrow" w:hAnsi="Arial Narrow" w:cs="Times New Roman"/>
          <w:sz w:val="20"/>
          <w:szCs w:val="20"/>
        </w:rPr>
        <w:t xml:space="preserve">, H. A., </w:t>
      </w:r>
      <w:proofErr w:type="spellStart"/>
      <w:r w:rsidRPr="00544DD6">
        <w:rPr>
          <w:rFonts w:ascii="Arial Narrow" w:hAnsi="Arial Narrow" w:cs="Times New Roman"/>
          <w:sz w:val="20"/>
          <w:szCs w:val="20"/>
        </w:rPr>
        <w:t>Soodan</w:t>
      </w:r>
      <w:proofErr w:type="spellEnd"/>
      <w:r w:rsidRPr="00544DD6">
        <w:rPr>
          <w:rFonts w:ascii="Arial Narrow" w:hAnsi="Arial Narrow" w:cs="Times New Roman"/>
          <w:sz w:val="20"/>
          <w:szCs w:val="20"/>
        </w:rPr>
        <w:t xml:space="preserve">, J. S., Sahrish, C., Ansari, M. M., Sandeep, K., &amp; </w:t>
      </w:r>
      <w:proofErr w:type="spellStart"/>
      <w:r w:rsidRPr="00544DD6">
        <w:rPr>
          <w:rFonts w:ascii="Arial Narrow" w:hAnsi="Arial Narrow" w:cs="Times New Roman"/>
          <w:sz w:val="20"/>
          <w:szCs w:val="20"/>
        </w:rPr>
        <w:t>Taziyun</w:t>
      </w:r>
      <w:proofErr w:type="spellEnd"/>
      <w:r w:rsidRPr="00544DD6">
        <w:rPr>
          <w:rFonts w:ascii="Arial Narrow" w:hAnsi="Arial Narrow" w:cs="Times New Roman"/>
          <w:sz w:val="20"/>
          <w:szCs w:val="20"/>
        </w:rPr>
        <w:t xml:space="preserve">, I. (2014). Diagnostic studies in dogs with hepatic disorders. </w:t>
      </w:r>
      <w:r w:rsidRPr="00544DD6">
        <w:rPr>
          <w:rFonts w:ascii="Arial Narrow" w:hAnsi="Arial Narrow" w:cs="Times New Roman"/>
          <w:i/>
          <w:iCs/>
          <w:sz w:val="20"/>
          <w:szCs w:val="20"/>
        </w:rPr>
        <w:t>International Journal of Veterinary Science</w:t>
      </w:r>
      <w:r w:rsidRPr="00544DD6">
        <w:rPr>
          <w:rFonts w:ascii="Arial Narrow" w:hAnsi="Arial Narrow" w:cs="Times New Roman"/>
          <w:sz w:val="20"/>
          <w:szCs w:val="20"/>
        </w:rPr>
        <w:t xml:space="preserve">, </w:t>
      </w:r>
      <w:r w:rsidRPr="00544DD6">
        <w:rPr>
          <w:rFonts w:ascii="Arial Narrow" w:hAnsi="Arial Narrow" w:cs="Times New Roman"/>
          <w:i/>
          <w:iCs/>
          <w:sz w:val="20"/>
          <w:szCs w:val="20"/>
        </w:rPr>
        <w:t>3</w:t>
      </w:r>
      <w:r w:rsidRPr="00544DD6">
        <w:rPr>
          <w:rFonts w:ascii="Arial Narrow" w:hAnsi="Arial Narrow" w:cs="Times New Roman"/>
          <w:sz w:val="20"/>
          <w:szCs w:val="20"/>
        </w:rPr>
        <w:t>(4), 210–215.</w:t>
      </w:r>
    </w:p>
    <w:p w14:paraId="0B1B7D4F" w14:textId="77777777" w:rsidR="00C21B2C" w:rsidRPr="00544DD6" w:rsidRDefault="00C21B2C" w:rsidP="00C21B2C">
      <w:pPr>
        <w:spacing w:line="480" w:lineRule="auto"/>
        <w:jc w:val="both"/>
        <w:rPr>
          <w:rFonts w:ascii="Arial Narrow" w:hAnsi="Arial Narrow" w:cs="Times New Roman"/>
          <w:sz w:val="20"/>
          <w:szCs w:val="20"/>
        </w:rPr>
      </w:pPr>
      <w:r w:rsidRPr="00544DD6">
        <w:rPr>
          <w:rFonts w:ascii="Arial Narrow" w:hAnsi="Arial Narrow" w:cs="Times New Roman"/>
          <w:sz w:val="20"/>
          <w:szCs w:val="20"/>
        </w:rPr>
        <w:t xml:space="preserve">Tennant, B. C. (1997). Hepatic function. In R. J. Kaneko (Ed.), </w:t>
      </w:r>
      <w:r w:rsidRPr="00544DD6">
        <w:rPr>
          <w:rFonts w:ascii="Arial Narrow" w:hAnsi="Arial Narrow" w:cs="Times New Roman"/>
          <w:i/>
          <w:iCs/>
          <w:sz w:val="20"/>
          <w:szCs w:val="20"/>
        </w:rPr>
        <w:t>Clinical biochemistry of domestic animals</w:t>
      </w:r>
      <w:r w:rsidRPr="00544DD6">
        <w:rPr>
          <w:rFonts w:ascii="Arial Narrow" w:hAnsi="Arial Narrow" w:cs="Times New Roman"/>
          <w:sz w:val="20"/>
          <w:szCs w:val="20"/>
        </w:rPr>
        <w:t xml:space="preserve"> (5th ed., p. 237). Academic Press.</w:t>
      </w:r>
    </w:p>
    <w:p w14:paraId="38A30156" w14:textId="77777777" w:rsidR="00C21B2C" w:rsidRPr="00544DD6" w:rsidRDefault="00C21B2C" w:rsidP="00C21B2C">
      <w:pPr>
        <w:spacing w:line="480" w:lineRule="auto"/>
        <w:jc w:val="both"/>
        <w:rPr>
          <w:rFonts w:ascii="Arial Narrow" w:hAnsi="Arial Narrow" w:cs="Times New Roman"/>
          <w:sz w:val="20"/>
          <w:szCs w:val="20"/>
        </w:rPr>
      </w:pPr>
      <w:r w:rsidRPr="00544DD6">
        <w:rPr>
          <w:rFonts w:ascii="Arial Narrow" w:hAnsi="Arial Narrow" w:cs="Times New Roman"/>
          <w:sz w:val="20"/>
          <w:szCs w:val="20"/>
        </w:rPr>
        <w:t xml:space="preserve">Tennant, B. C., &amp; Centre, S. A. (2008). Hepatic function. In J. J. Kaneko, J. W. Harvey, &amp; M. L. Bruss (Eds.), </w:t>
      </w:r>
      <w:r w:rsidRPr="00544DD6">
        <w:rPr>
          <w:rFonts w:ascii="Arial Narrow" w:hAnsi="Arial Narrow" w:cs="Times New Roman"/>
          <w:i/>
          <w:iCs/>
          <w:sz w:val="20"/>
          <w:szCs w:val="20"/>
        </w:rPr>
        <w:t>Clinical biochemistry of domestic animals</w:t>
      </w:r>
      <w:r w:rsidRPr="00544DD6">
        <w:rPr>
          <w:rFonts w:ascii="Arial Narrow" w:hAnsi="Arial Narrow" w:cs="Times New Roman"/>
          <w:sz w:val="20"/>
          <w:szCs w:val="20"/>
        </w:rPr>
        <w:t xml:space="preserve"> (6th ed., pp. 379–412). Academic Press Elsevier.</w:t>
      </w:r>
    </w:p>
    <w:p w14:paraId="60771E93" w14:textId="77777777" w:rsidR="00C21B2C" w:rsidRPr="00544DD6" w:rsidRDefault="00C21B2C" w:rsidP="00C21B2C">
      <w:pPr>
        <w:spacing w:line="480" w:lineRule="auto"/>
        <w:jc w:val="both"/>
        <w:rPr>
          <w:rFonts w:ascii="Arial Narrow" w:hAnsi="Arial Narrow" w:cs="Times New Roman"/>
          <w:sz w:val="20"/>
          <w:szCs w:val="20"/>
        </w:rPr>
      </w:pPr>
      <w:r w:rsidRPr="00544DD6">
        <w:rPr>
          <w:rFonts w:ascii="Arial Narrow" w:hAnsi="Arial Narrow" w:cs="Times New Roman"/>
          <w:sz w:val="20"/>
          <w:szCs w:val="20"/>
        </w:rPr>
        <w:t xml:space="preserve">Verma, P., Arora, N., Kalita, J. C., Singh, A. K., Prasad, A., &amp; Mrigesh, M. (2024). An investigation of canine hepatic dysfunction using different diagnostic methods. </w:t>
      </w:r>
      <w:r w:rsidRPr="00544DD6">
        <w:rPr>
          <w:rFonts w:ascii="Arial Narrow" w:hAnsi="Arial Narrow" w:cs="Times New Roman"/>
          <w:i/>
          <w:iCs/>
          <w:sz w:val="20"/>
          <w:szCs w:val="20"/>
        </w:rPr>
        <w:t>International Journal of Bio-resource and Stress Management</w:t>
      </w:r>
      <w:r w:rsidRPr="00544DD6">
        <w:rPr>
          <w:rFonts w:ascii="Arial Narrow" w:hAnsi="Arial Narrow" w:cs="Times New Roman"/>
          <w:sz w:val="20"/>
          <w:szCs w:val="20"/>
        </w:rPr>
        <w:t>, 15(5), 1–8.</w:t>
      </w:r>
    </w:p>
    <w:p w14:paraId="54DCE18A" w14:textId="77777777" w:rsidR="00C21B2C" w:rsidRPr="00544DD6" w:rsidRDefault="00C21B2C" w:rsidP="00C21B2C">
      <w:pPr>
        <w:spacing w:line="480" w:lineRule="auto"/>
        <w:jc w:val="both"/>
        <w:rPr>
          <w:rFonts w:ascii="Arial Narrow" w:hAnsi="Arial Narrow" w:cs="Times New Roman"/>
          <w:sz w:val="20"/>
          <w:szCs w:val="20"/>
        </w:rPr>
      </w:pPr>
      <w:r w:rsidRPr="00544DD6">
        <w:rPr>
          <w:rFonts w:ascii="Arial Narrow" w:hAnsi="Arial Narrow" w:cs="Times New Roman"/>
          <w:sz w:val="20"/>
          <w:szCs w:val="20"/>
        </w:rPr>
        <w:t xml:space="preserve">Vijayakumar, G., </w:t>
      </w:r>
      <w:proofErr w:type="spellStart"/>
      <w:r w:rsidRPr="00544DD6">
        <w:rPr>
          <w:rFonts w:ascii="Arial Narrow" w:hAnsi="Arial Narrow" w:cs="Times New Roman"/>
          <w:sz w:val="20"/>
          <w:szCs w:val="20"/>
        </w:rPr>
        <w:t>Pandayan</w:t>
      </w:r>
      <w:proofErr w:type="spellEnd"/>
      <w:r w:rsidRPr="00544DD6">
        <w:rPr>
          <w:rFonts w:ascii="Arial Narrow" w:hAnsi="Arial Narrow" w:cs="Times New Roman"/>
          <w:sz w:val="20"/>
          <w:szCs w:val="20"/>
        </w:rPr>
        <w:t xml:space="preserve">, V., Balasubramanian, G. A., &amp; Subramanian, M. (2008). </w:t>
      </w:r>
      <w:proofErr w:type="spellStart"/>
      <w:r w:rsidRPr="00544DD6">
        <w:rPr>
          <w:rFonts w:ascii="Arial Narrow" w:hAnsi="Arial Narrow" w:cs="Times New Roman"/>
          <w:sz w:val="20"/>
          <w:szCs w:val="20"/>
        </w:rPr>
        <w:t>Haematobiochemical</w:t>
      </w:r>
      <w:proofErr w:type="spellEnd"/>
      <w:r w:rsidRPr="00544DD6">
        <w:rPr>
          <w:rFonts w:ascii="Arial Narrow" w:hAnsi="Arial Narrow" w:cs="Times New Roman"/>
          <w:sz w:val="20"/>
          <w:szCs w:val="20"/>
        </w:rPr>
        <w:t xml:space="preserve"> changes in dogs with hepatic disorders. </w:t>
      </w:r>
      <w:r w:rsidRPr="00544DD6">
        <w:rPr>
          <w:rFonts w:ascii="Arial Narrow" w:hAnsi="Arial Narrow" w:cs="Times New Roman"/>
          <w:i/>
          <w:iCs/>
          <w:sz w:val="20"/>
          <w:szCs w:val="20"/>
        </w:rPr>
        <w:t>Indian Veterinary Journal</w:t>
      </w:r>
      <w:r w:rsidRPr="00544DD6">
        <w:rPr>
          <w:rFonts w:ascii="Arial Narrow" w:hAnsi="Arial Narrow" w:cs="Times New Roman"/>
          <w:sz w:val="20"/>
          <w:szCs w:val="20"/>
        </w:rPr>
        <w:t>, 85, 341–342.</w:t>
      </w:r>
    </w:p>
    <w:p w14:paraId="38C559CD" w14:textId="77777777" w:rsidR="00C21B2C" w:rsidRPr="00544DD6" w:rsidRDefault="00C21B2C" w:rsidP="00C21B2C">
      <w:pPr>
        <w:spacing w:line="480" w:lineRule="auto"/>
        <w:jc w:val="both"/>
        <w:rPr>
          <w:rFonts w:ascii="Arial Narrow" w:hAnsi="Arial Narrow" w:cs="Times New Roman"/>
          <w:sz w:val="20"/>
          <w:szCs w:val="20"/>
        </w:rPr>
      </w:pPr>
      <w:r w:rsidRPr="00544DD6">
        <w:rPr>
          <w:rFonts w:ascii="Arial Narrow" w:hAnsi="Arial Narrow" w:cs="Times New Roman"/>
          <w:sz w:val="20"/>
          <w:szCs w:val="20"/>
        </w:rPr>
        <w:t xml:space="preserve">Webster, C. R. L. (2010). History, clinical signs and physical findings in hepatobiliary disease. In S. J. Ettinger &amp; E. C. Feldman (Eds.), </w:t>
      </w:r>
      <w:r w:rsidRPr="00544DD6">
        <w:rPr>
          <w:rFonts w:ascii="Arial Narrow" w:hAnsi="Arial Narrow" w:cs="Times New Roman"/>
          <w:i/>
          <w:iCs/>
          <w:sz w:val="20"/>
          <w:szCs w:val="20"/>
        </w:rPr>
        <w:t>Textbook of veterinary internal medicine</w:t>
      </w:r>
      <w:r w:rsidRPr="00544DD6">
        <w:rPr>
          <w:rFonts w:ascii="Arial Narrow" w:hAnsi="Arial Narrow" w:cs="Times New Roman"/>
          <w:sz w:val="20"/>
          <w:szCs w:val="20"/>
        </w:rPr>
        <w:t xml:space="preserve"> (7th ed., pp. 1612–1618). Elsevier Saunders.</w:t>
      </w:r>
    </w:p>
    <w:p w14:paraId="78A4C6E5" w14:textId="24CC7539" w:rsidR="00381298" w:rsidRPr="00544DD6" w:rsidRDefault="00381298" w:rsidP="00C21B2C">
      <w:pPr>
        <w:spacing w:line="480" w:lineRule="auto"/>
        <w:jc w:val="both"/>
        <w:rPr>
          <w:rFonts w:ascii="Arial Narrow" w:hAnsi="Arial Narrow" w:cs="Times New Roman"/>
          <w:sz w:val="20"/>
          <w:szCs w:val="20"/>
        </w:rPr>
      </w:pPr>
    </w:p>
    <w:sectPr w:rsidR="00381298" w:rsidRPr="00544DD6" w:rsidSect="00CB31B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A1CEE" w14:textId="77777777" w:rsidR="0062383A" w:rsidRDefault="0062383A" w:rsidP="00B52F51">
      <w:pPr>
        <w:spacing w:after="0" w:line="240" w:lineRule="auto"/>
      </w:pPr>
      <w:r>
        <w:separator/>
      </w:r>
    </w:p>
  </w:endnote>
  <w:endnote w:type="continuationSeparator" w:id="0">
    <w:p w14:paraId="0FDFC901" w14:textId="77777777" w:rsidR="0062383A" w:rsidRDefault="0062383A" w:rsidP="00B52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E7667" w14:textId="77777777" w:rsidR="00B52F51" w:rsidRDefault="00B52F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A90E0" w14:textId="77777777" w:rsidR="00B52F51" w:rsidRDefault="00B52F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AA421" w14:textId="77777777" w:rsidR="00B52F51" w:rsidRDefault="00B52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ABDBF" w14:textId="77777777" w:rsidR="0062383A" w:rsidRDefault="0062383A" w:rsidP="00B52F51">
      <w:pPr>
        <w:spacing w:after="0" w:line="240" w:lineRule="auto"/>
      </w:pPr>
      <w:r>
        <w:separator/>
      </w:r>
    </w:p>
  </w:footnote>
  <w:footnote w:type="continuationSeparator" w:id="0">
    <w:p w14:paraId="70E0446D" w14:textId="77777777" w:rsidR="0062383A" w:rsidRDefault="0062383A" w:rsidP="00B52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19B4E" w14:textId="297C3B8B" w:rsidR="00B52F51" w:rsidRDefault="00B52F51">
    <w:pPr>
      <w:pStyle w:val="Header"/>
    </w:pPr>
    <w:r>
      <w:rPr>
        <w:noProof/>
      </w:rPr>
      <w:pict w14:anchorId="6BBC14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11878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5E5BE" w14:textId="6F6E131F" w:rsidR="00B52F51" w:rsidRDefault="00B52F51">
    <w:pPr>
      <w:pStyle w:val="Header"/>
    </w:pPr>
    <w:r>
      <w:rPr>
        <w:noProof/>
      </w:rPr>
      <w:pict w14:anchorId="14D5F6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11878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2DFA1" w14:textId="7D52337A" w:rsidR="00B52F51" w:rsidRDefault="00B52F51">
    <w:pPr>
      <w:pStyle w:val="Header"/>
    </w:pPr>
    <w:r>
      <w:rPr>
        <w:noProof/>
      </w:rPr>
      <w:pict w14:anchorId="5F9F4C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11878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A3A"/>
    <w:rsid w:val="0000006D"/>
    <w:rsid w:val="00000A26"/>
    <w:rsid w:val="000067CA"/>
    <w:rsid w:val="00016EE5"/>
    <w:rsid w:val="00025209"/>
    <w:rsid w:val="00031306"/>
    <w:rsid w:val="00034C1D"/>
    <w:rsid w:val="00057C74"/>
    <w:rsid w:val="0006276F"/>
    <w:rsid w:val="0007294A"/>
    <w:rsid w:val="000748D3"/>
    <w:rsid w:val="000754FB"/>
    <w:rsid w:val="00084FF5"/>
    <w:rsid w:val="000A5539"/>
    <w:rsid w:val="000A615E"/>
    <w:rsid w:val="000D472E"/>
    <w:rsid w:val="000E4CD1"/>
    <w:rsid w:val="000E67A2"/>
    <w:rsid w:val="000F2A86"/>
    <w:rsid w:val="0010124D"/>
    <w:rsid w:val="00101D06"/>
    <w:rsid w:val="00101F23"/>
    <w:rsid w:val="00107B74"/>
    <w:rsid w:val="00125E51"/>
    <w:rsid w:val="001375B3"/>
    <w:rsid w:val="00145E02"/>
    <w:rsid w:val="00152DC2"/>
    <w:rsid w:val="00171880"/>
    <w:rsid w:val="00172179"/>
    <w:rsid w:val="00182847"/>
    <w:rsid w:val="00187A20"/>
    <w:rsid w:val="001932B6"/>
    <w:rsid w:val="001A3DC2"/>
    <w:rsid w:val="001A72A5"/>
    <w:rsid w:val="001B0A91"/>
    <w:rsid w:val="001B1630"/>
    <w:rsid w:val="001C3A5D"/>
    <w:rsid w:val="001D6696"/>
    <w:rsid w:val="001E3E46"/>
    <w:rsid w:val="001F4CC6"/>
    <w:rsid w:val="0020670F"/>
    <w:rsid w:val="002123FB"/>
    <w:rsid w:val="00215A38"/>
    <w:rsid w:val="00226154"/>
    <w:rsid w:val="002317AA"/>
    <w:rsid w:val="00254655"/>
    <w:rsid w:val="002609CF"/>
    <w:rsid w:val="00261CE1"/>
    <w:rsid w:val="00262832"/>
    <w:rsid w:val="0026333B"/>
    <w:rsid w:val="00277EF3"/>
    <w:rsid w:val="00285760"/>
    <w:rsid w:val="0029162A"/>
    <w:rsid w:val="00293DB3"/>
    <w:rsid w:val="002B10E2"/>
    <w:rsid w:val="002B19E4"/>
    <w:rsid w:val="002D12DC"/>
    <w:rsid w:val="002D21E1"/>
    <w:rsid w:val="002D4EEC"/>
    <w:rsid w:val="002E38E7"/>
    <w:rsid w:val="002E4E8E"/>
    <w:rsid w:val="002F1701"/>
    <w:rsid w:val="002F3BC7"/>
    <w:rsid w:val="00301726"/>
    <w:rsid w:val="003045F8"/>
    <w:rsid w:val="003074E4"/>
    <w:rsid w:val="00310E92"/>
    <w:rsid w:val="003111A2"/>
    <w:rsid w:val="00315221"/>
    <w:rsid w:val="0032399F"/>
    <w:rsid w:val="003244A3"/>
    <w:rsid w:val="00330F5C"/>
    <w:rsid w:val="00357C37"/>
    <w:rsid w:val="003658F1"/>
    <w:rsid w:val="003711FE"/>
    <w:rsid w:val="00381298"/>
    <w:rsid w:val="003B7E7C"/>
    <w:rsid w:val="003C06D9"/>
    <w:rsid w:val="003C6124"/>
    <w:rsid w:val="003D2DC8"/>
    <w:rsid w:val="003D700B"/>
    <w:rsid w:val="003E510C"/>
    <w:rsid w:val="003F2EC7"/>
    <w:rsid w:val="00400151"/>
    <w:rsid w:val="00404D13"/>
    <w:rsid w:val="00416293"/>
    <w:rsid w:val="00421D91"/>
    <w:rsid w:val="00427A86"/>
    <w:rsid w:val="00440B03"/>
    <w:rsid w:val="004513DF"/>
    <w:rsid w:val="00452F9D"/>
    <w:rsid w:val="00460571"/>
    <w:rsid w:val="00484924"/>
    <w:rsid w:val="004A2FD8"/>
    <w:rsid w:val="004A41D6"/>
    <w:rsid w:val="004A627A"/>
    <w:rsid w:val="004B4D31"/>
    <w:rsid w:val="004B71EB"/>
    <w:rsid w:val="00513B66"/>
    <w:rsid w:val="00534DFE"/>
    <w:rsid w:val="00542ACB"/>
    <w:rsid w:val="00544DD6"/>
    <w:rsid w:val="00552633"/>
    <w:rsid w:val="0056148C"/>
    <w:rsid w:val="0056590B"/>
    <w:rsid w:val="005738CE"/>
    <w:rsid w:val="00577A06"/>
    <w:rsid w:val="005B6273"/>
    <w:rsid w:val="005C5BAE"/>
    <w:rsid w:val="005D0852"/>
    <w:rsid w:val="005D0A6C"/>
    <w:rsid w:val="005D62B3"/>
    <w:rsid w:val="0061365D"/>
    <w:rsid w:val="0062383A"/>
    <w:rsid w:val="00623E28"/>
    <w:rsid w:val="00640544"/>
    <w:rsid w:val="006417D1"/>
    <w:rsid w:val="0065421F"/>
    <w:rsid w:val="006555B1"/>
    <w:rsid w:val="00662022"/>
    <w:rsid w:val="006679F0"/>
    <w:rsid w:val="00687281"/>
    <w:rsid w:val="00693FDE"/>
    <w:rsid w:val="006A1ABC"/>
    <w:rsid w:val="006A5355"/>
    <w:rsid w:val="006B3667"/>
    <w:rsid w:val="006D66C5"/>
    <w:rsid w:val="006E1505"/>
    <w:rsid w:val="006E4350"/>
    <w:rsid w:val="00700796"/>
    <w:rsid w:val="00705AB2"/>
    <w:rsid w:val="00710E29"/>
    <w:rsid w:val="00711366"/>
    <w:rsid w:val="007208B8"/>
    <w:rsid w:val="00720A3A"/>
    <w:rsid w:val="007230BE"/>
    <w:rsid w:val="007275A9"/>
    <w:rsid w:val="00737ACF"/>
    <w:rsid w:val="007406C2"/>
    <w:rsid w:val="00743A52"/>
    <w:rsid w:val="007472E7"/>
    <w:rsid w:val="00752B3A"/>
    <w:rsid w:val="00754EBB"/>
    <w:rsid w:val="00772DFC"/>
    <w:rsid w:val="00780C6E"/>
    <w:rsid w:val="007825AA"/>
    <w:rsid w:val="00796535"/>
    <w:rsid w:val="007A27CC"/>
    <w:rsid w:val="007A2F56"/>
    <w:rsid w:val="007A3A3D"/>
    <w:rsid w:val="007B0D8E"/>
    <w:rsid w:val="007C1E6A"/>
    <w:rsid w:val="007C3EE0"/>
    <w:rsid w:val="007E4AF1"/>
    <w:rsid w:val="007E4C84"/>
    <w:rsid w:val="007E6D2F"/>
    <w:rsid w:val="007F1C09"/>
    <w:rsid w:val="00804DDE"/>
    <w:rsid w:val="00806CFD"/>
    <w:rsid w:val="00812905"/>
    <w:rsid w:val="0082187C"/>
    <w:rsid w:val="00853BB2"/>
    <w:rsid w:val="00866629"/>
    <w:rsid w:val="008757CF"/>
    <w:rsid w:val="0088112C"/>
    <w:rsid w:val="00884AE8"/>
    <w:rsid w:val="008A4094"/>
    <w:rsid w:val="008B0195"/>
    <w:rsid w:val="008B159F"/>
    <w:rsid w:val="008E43E7"/>
    <w:rsid w:val="008E6A41"/>
    <w:rsid w:val="008E7A0B"/>
    <w:rsid w:val="008F30B1"/>
    <w:rsid w:val="00904C62"/>
    <w:rsid w:val="0090577A"/>
    <w:rsid w:val="009227BE"/>
    <w:rsid w:val="00927235"/>
    <w:rsid w:val="0093793B"/>
    <w:rsid w:val="00942324"/>
    <w:rsid w:val="00965F2B"/>
    <w:rsid w:val="00986560"/>
    <w:rsid w:val="00996CC2"/>
    <w:rsid w:val="009A1479"/>
    <w:rsid w:val="009A401D"/>
    <w:rsid w:val="009B42D4"/>
    <w:rsid w:val="009C0FC4"/>
    <w:rsid w:val="009C2F1E"/>
    <w:rsid w:val="009C4A39"/>
    <w:rsid w:val="009C6DF4"/>
    <w:rsid w:val="00A06304"/>
    <w:rsid w:val="00A21DEE"/>
    <w:rsid w:val="00A224B1"/>
    <w:rsid w:val="00A34EA3"/>
    <w:rsid w:val="00A35E4E"/>
    <w:rsid w:val="00A36BCF"/>
    <w:rsid w:val="00A4204C"/>
    <w:rsid w:val="00A452FD"/>
    <w:rsid w:val="00A66B44"/>
    <w:rsid w:val="00A70172"/>
    <w:rsid w:val="00A85E55"/>
    <w:rsid w:val="00A92A35"/>
    <w:rsid w:val="00A975C9"/>
    <w:rsid w:val="00AB3AEB"/>
    <w:rsid w:val="00AD0B6C"/>
    <w:rsid w:val="00AE459D"/>
    <w:rsid w:val="00AF54E2"/>
    <w:rsid w:val="00B01DC9"/>
    <w:rsid w:val="00B14FA5"/>
    <w:rsid w:val="00B16487"/>
    <w:rsid w:val="00B176B2"/>
    <w:rsid w:val="00B22613"/>
    <w:rsid w:val="00B37496"/>
    <w:rsid w:val="00B4045F"/>
    <w:rsid w:val="00B431DC"/>
    <w:rsid w:val="00B52F51"/>
    <w:rsid w:val="00B6428D"/>
    <w:rsid w:val="00B7034A"/>
    <w:rsid w:val="00B710DC"/>
    <w:rsid w:val="00BA0609"/>
    <w:rsid w:val="00BA0D9D"/>
    <w:rsid w:val="00BB21CD"/>
    <w:rsid w:val="00BE6EAE"/>
    <w:rsid w:val="00C02DF1"/>
    <w:rsid w:val="00C03AB1"/>
    <w:rsid w:val="00C13CAF"/>
    <w:rsid w:val="00C21B2C"/>
    <w:rsid w:val="00C36063"/>
    <w:rsid w:val="00C40C62"/>
    <w:rsid w:val="00C63C49"/>
    <w:rsid w:val="00C95D65"/>
    <w:rsid w:val="00CA46B6"/>
    <w:rsid w:val="00CB15A4"/>
    <w:rsid w:val="00CB2FAB"/>
    <w:rsid w:val="00CB31B1"/>
    <w:rsid w:val="00CB4480"/>
    <w:rsid w:val="00CB4499"/>
    <w:rsid w:val="00CC12AD"/>
    <w:rsid w:val="00CC2A11"/>
    <w:rsid w:val="00CC48EA"/>
    <w:rsid w:val="00CE4597"/>
    <w:rsid w:val="00CF0992"/>
    <w:rsid w:val="00D03CC2"/>
    <w:rsid w:val="00D1596E"/>
    <w:rsid w:val="00D20E06"/>
    <w:rsid w:val="00D5415B"/>
    <w:rsid w:val="00D55A46"/>
    <w:rsid w:val="00D60CF7"/>
    <w:rsid w:val="00D62B80"/>
    <w:rsid w:val="00D6457A"/>
    <w:rsid w:val="00D73F36"/>
    <w:rsid w:val="00D845B4"/>
    <w:rsid w:val="00D84BBB"/>
    <w:rsid w:val="00D92F65"/>
    <w:rsid w:val="00D96789"/>
    <w:rsid w:val="00DA2A3B"/>
    <w:rsid w:val="00DC48D5"/>
    <w:rsid w:val="00DD0937"/>
    <w:rsid w:val="00DD4E96"/>
    <w:rsid w:val="00DE1073"/>
    <w:rsid w:val="00DE18FE"/>
    <w:rsid w:val="00DE47F4"/>
    <w:rsid w:val="00DE5E1E"/>
    <w:rsid w:val="00DF2F13"/>
    <w:rsid w:val="00DF5264"/>
    <w:rsid w:val="00E02C22"/>
    <w:rsid w:val="00E04E89"/>
    <w:rsid w:val="00E132AC"/>
    <w:rsid w:val="00E14E64"/>
    <w:rsid w:val="00E17D1A"/>
    <w:rsid w:val="00E363DD"/>
    <w:rsid w:val="00E443A0"/>
    <w:rsid w:val="00E44C31"/>
    <w:rsid w:val="00E53733"/>
    <w:rsid w:val="00E71171"/>
    <w:rsid w:val="00E729C0"/>
    <w:rsid w:val="00E73970"/>
    <w:rsid w:val="00E75BE2"/>
    <w:rsid w:val="00E92250"/>
    <w:rsid w:val="00E970AE"/>
    <w:rsid w:val="00E97D19"/>
    <w:rsid w:val="00EB2D5B"/>
    <w:rsid w:val="00ED0E09"/>
    <w:rsid w:val="00ED0E67"/>
    <w:rsid w:val="00EE34A1"/>
    <w:rsid w:val="00EE4BB6"/>
    <w:rsid w:val="00F10DB7"/>
    <w:rsid w:val="00F13ED4"/>
    <w:rsid w:val="00F1732D"/>
    <w:rsid w:val="00F27495"/>
    <w:rsid w:val="00F42FB2"/>
    <w:rsid w:val="00F53D70"/>
    <w:rsid w:val="00F53E87"/>
    <w:rsid w:val="00F6241F"/>
    <w:rsid w:val="00F71052"/>
    <w:rsid w:val="00F761E7"/>
    <w:rsid w:val="00F77DC4"/>
    <w:rsid w:val="00F82FB0"/>
    <w:rsid w:val="00F866F5"/>
    <w:rsid w:val="00F92D31"/>
    <w:rsid w:val="00F95792"/>
    <w:rsid w:val="00FA042F"/>
    <w:rsid w:val="00FA4A48"/>
    <w:rsid w:val="00FB743F"/>
    <w:rsid w:val="00FC2FE6"/>
    <w:rsid w:val="00FD5770"/>
    <w:rsid w:val="00FE04EB"/>
    <w:rsid w:val="00FF2E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9E9B5"/>
  <w15:chartTrackingRefBased/>
  <w15:docId w15:val="{9CD4416D-1FFF-4EFB-B53F-6E12AC4C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0A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20A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20A3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20A3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20A3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20A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0A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0A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0A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A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720A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20A3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20A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20A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20A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0A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0A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0A3A"/>
    <w:rPr>
      <w:rFonts w:eastAsiaTheme="majorEastAsia" w:cstheme="majorBidi"/>
      <w:color w:val="272727" w:themeColor="text1" w:themeTint="D8"/>
    </w:rPr>
  </w:style>
  <w:style w:type="paragraph" w:styleId="Title">
    <w:name w:val="Title"/>
    <w:basedOn w:val="Normal"/>
    <w:next w:val="Normal"/>
    <w:link w:val="TitleChar"/>
    <w:uiPriority w:val="10"/>
    <w:qFormat/>
    <w:rsid w:val="00720A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0A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0A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0A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0A3A"/>
    <w:pPr>
      <w:spacing w:before="160"/>
      <w:jc w:val="center"/>
    </w:pPr>
    <w:rPr>
      <w:i/>
      <w:iCs/>
      <w:color w:val="404040" w:themeColor="text1" w:themeTint="BF"/>
    </w:rPr>
  </w:style>
  <w:style w:type="character" w:customStyle="1" w:styleId="QuoteChar">
    <w:name w:val="Quote Char"/>
    <w:basedOn w:val="DefaultParagraphFont"/>
    <w:link w:val="Quote"/>
    <w:uiPriority w:val="29"/>
    <w:rsid w:val="00720A3A"/>
    <w:rPr>
      <w:i/>
      <w:iCs/>
      <w:color w:val="404040" w:themeColor="text1" w:themeTint="BF"/>
    </w:rPr>
  </w:style>
  <w:style w:type="paragraph" w:styleId="ListParagraph">
    <w:name w:val="List Paragraph"/>
    <w:basedOn w:val="Normal"/>
    <w:uiPriority w:val="34"/>
    <w:qFormat/>
    <w:rsid w:val="00720A3A"/>
    <w:pPr>
      <w:ind w:left="720"/>
      <w:contextualSpacing/>
    </w:pPr>
  </w:style>
  <w:style w:type="character" w:styleId="IntenseEmphasis">
    <w:name w:val="Intense Emphasis"/>
    <w:basedOn w:val="DefaultParagraphFont"/>
    <w:uiPriority w:val="21"/>
    <w:qFormat/>
    <w:rsid w:val="00720A3A"/>
    <w:rPr>
      <w:i/>
      <w:iCs/>
      <w:color w:val="2F5496" w:themeColor="accent1" w:themeShade="BF"/>
    </w:rPr>
  </w:style>
  <w:style w:type="paragraph" w:styleId="IntenseQuote">
    <w:name w:val="Intense Quote"/>
    <w:basedOn w:val="Normal"/>
    <w:next w:val="Normal"/>
    <w:link w:val="IntenseQuoteChar"/>
    <w:uiPriority w:val="30"/>
    <w:qFormat/>
    <w:rsid w:val="00720A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20A3A"/>
    <w:rPr>
      <w:i/>
      <w:iCs/>
      <w:color w:val="2F5496" w:themeColor="accent1" w:themeShade="BF"/>
    </w:rPr>
  </w:style>
  <w:style w:type="character" w:styleId="IntenseReference">
    <w:name w:val="Intense Reference"/>
    <w:basedOn w:val="DefaultParagraphFont"/>
    <w:uiPriority w:val="32"/>
    <w:qFormat/>
    <w:rsid w:val="00720A3A"/>
    <w:rPr>
      <w:b/>
      <w:bCs/>
      <w:smallCaps/>
      <w:color w:val="2F5496" w:themeColor="accent1" w:themeShade="BF"/>
      <w:spacing w:val="5"/>
    </w:rPr>
  </w:style>
  <w:style w:type="character" w:styleId="Hyperlink">
    <w:name w:val="Hyperlink"/>
    <w:basedOn w:val="DefaultParagraphFont"/>
    <w:uiPriority w:val="99"/>
    <w:unhideWhenUsed/>
    <w:rsid w:val="00F92D31"/>
    <w:rPr>
      <w:color w:val="0563C1" w:themeColor="hyperlink"/>
      <w:u w:val="single"/>
    </w:rPr>
  </w:style>
  <w:style w:type="character" w:styleId="UnresolvedMention">
    <w:name w:val="Unresolved Mention"/>
    <w:basedOn w:val="DefaultParagraphFont"/>
    <w:uiPriority w:val="99"/>
    <w:semiHidden/>
    <w:unhideWhenUsed/>
    <w:rsid w:val="00F92D31"/>
    <w:rPr>
      <w:color w:val="605E5C"/>
      <w:shd w:val="clear" w:color="auto" w:fill="E1DFDD"/>
    </w:rPr>
  </w:style>
  <w:style w:type="table" w:customStyle="1" w:styleId="TableGrid1">
    <w:name w:val="Table Grid1"/>
    <w:basedOn w:val="TableNormal"/>
    <w:next w:val="TableGrid"/>
    <w:uiPriority w:val="39"/>
    <w:rsid w:val="0010124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01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2F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F51"/>
  </w:style>
  <w:style w:type="paragraph" w:styleId="Footer">
    <w:name w:val="footer"/>
    <w:basedOn w:val="Normal"/>
    <w:link w:val="FooterChar"/>
    <w:uiPriority w:val="99"/>
    <w:unhideWhenUsed/>
    <w:rsid w:val="00B52F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923119">
      <w:bodyDiv w:val="1"/>
      <w:marLeft w:val="0"/>
      <w:marRight w:val="0"/>
      <w:marTop w:val="0"/>
      <w:marBottom w:val="0"/>
      <w:divBdr>
        <w:top w:val="none" w:sz="0" w:space="0" w:color="auto"/>
        <w:left w:val="none" w:sz="0" w:space="0" w:color="auto"/>
        <w:bottom w:val="none" w:sz="0" w:space="0" w:color="auto"/>
        <w:right w:val="none" w:sz="0" w:space="0" w:color="auto"/>
      </w:divBdr>
    </w:div>
    <w:div w:id="487013415">
      <w:bodyDiv w:val="1"/>
      <w:marLeft w:val="0"/>
      <w:marRight w:val="0"/>
      <w:marTop w:val="0"/>
      <w:marBottom w:val="0"/>
      <w:divBdr>
        <w:top w:val="none" w:sz="0" w:space="0" w:color="auto"/>
        <w:left w:val="none" w:sz="0" w:space="0" w:color="auto"/>
        <w:bottom w:val="none" w:sz="0" w:space="0" w:color="auto"/>
        <w:right w:val="none" w:sz="0" w:space="0" w:color="auto"/>
      </w:divBdr>
    </w:div>
    <w:div w:id="526137628">
      <w:bodyDiv w:val="1"/>
      <w:marLeft w:val="0"/>
      <w:marRight w:val="0"/>
      <w:marTop w:val="0"/>
      <w:marBottom w:val="0"/>
      <w:divBdr>
        <w:top w:val="none" w:sz="0" w:space="0" w:color="auto"/>
        <w:left w:val="none" w:sz="0" w:space="0" w:color="auto"/>
        <w:bottom w:val="none" w:sz="0" w:space="0" w:color="auto"/>
        <w:right w:val="none" w:sz="0" w:space="0" w:color="auto"/>
      </w:divBdr>
    </w:div>
    <w:div w:id="566231616">
      <w:bodyDiv w:val="1"/>
      <w:marLeft w:val="0"/>
      <w:marRight w:val="0"/>
      <w:marTop w:val="0"/>
      <w:marBottom w:val="0"/>
      <w:divBdr>
        <w:top w:val="none" w:sz="0" w:space="0" w:color="auto"/>
        <w:left w:val="none" w:sz="0" w:space="0" w:color="auto"/>
        <w:bottom w:val="none" w:sz="0" w:space="0" w:color="auto"/>
        <w:right w:val="none" w:sz="0" w:space="0" w:color="auto"/>
      </w:divBdr>
    </w:div>
    <w:div w:id="592709114">
      <w:bodyDiv w:val="1"/>
      <w:marLeft w:val="0"/>
      <w:marRight w:val="0"/>
      <w:marTop w:val="0"/>
      <w:marBottom w:val="0"/>
      <w:divBdr>
        <w:top w:val="none" w:sz="0" w:space="0" w:color="auto"/>
        <w:left w:val="none" w:sz="0" w:space="0" w:color="auto"/>
        <w:bottom w:val="none" w:sz="0" w:space="0" w:color="auto"/>
        <w:right w:val="none" w:sz="0" w:space="0" w:color="auto"/>
      </w:divBdr>
    </w:div>
    <w:div w:id="630283645">
      <w:bodyDiv w:val="1"/>
      <w:marLeft w:val="0"/>
      <w:marRight w:val="0"/>
      <w:marTop w:val="0"/>
      <w:marBottom w:val="0"/>
      <w:divBdr>
        <w:top w:val="none" w:sz="0" w:space="0" w:color="auto"/>
        <w:left w:val="none" w:sz="0" w:space="0" w:color="auto"/>
        <w:bottom w:val="none" w:sz="0" w:space="0" w:color="auto"/>
        <w:right w:val="none" w:sz="0" w:space="0" w:color="auto"/>
      </w:divBdr>
    </w:div>
    <w:div w:id="775255115">
      <w:bodyDiv w:val="1"/>
      <w:marLeft w:val="0"/>
      <w:marRight w:val="0"/>
      <w:marTop w:val="0"/>
      <w:marBottom w:val="0"/>
      <w:divBdr>
        <w:top w:val="none" w:sz="0" w:space="0" w:color="auto"/>
        <w:left w:val="none" w:sz="0" w:space="0" w:color="auto"/>
        <w:bottom w:val="none" w:sz="0" w:space="0" w:color="auto"/>
        <w:right w:val="none" w:sz="0" w:space="0" w:color="auto"/>
      </w:divBdr>
    </w:div>
    <w:div w:id="924070587">
      <w:bodyDiv w:val="1"/>
      <w:marLeft w:val="0"/>
      <w:marRight w:val="0"/>
      <w:marTop w:val="0"/>
      <w:marBottom w:val="0"/>
      <w:divBdr>
        <w:top w:val="none" w:sz="0" w:space="0" w:color="auto"/>
        <w:left w:val="none" w:sz="0" w:space="0" w:color="auto"/>
        <w:bottom w:val="none" w:sz="0" w:space="0" w:color="auto"/>
        <w:right w:val="none" w:sz="0" w:space="0" w:color="auto"/>
      </w:divBdr>
    </w:div>
    <w:div w:id="944188707">
      <w:bodyDiv w:val="1"/>
      <w:marLeft w:val="0"/>
      <w:marRight w:val="0"/>
      <w:marTop w:val="0"/>
      <w:marBottom w:val="0"/>
      <w:divBdr>
        <w:top w:val="none" w:sz="0" w:space="0" w:color="auto"/>
        <w:left w:val="none" w:sz="0" w:space="0" w:color="auto"/>
        <w:bottom w:val="none" w:sz="0" w:space="0" w:color="auto"/>
        <w:right w:val="none" w:sz="0" w:space="0" w:color="auto"/>
      </w:divBdr>
    </w:div>
    <w:div w:id="988896967">
      <w:bodyDiv w:val="1"/>
      <w:marLeft w:val="0"/>
      <w:marRight w:val="0"/>
      <w:marTop w:val="0"/>
      <w:marBottom w:val="0"/>
      <w:divBdr>
        <w:top w:val="none" w:sz="0" w:space="0" w:color="auto"/>
        <w:left w:val="none" w:sz="0" w:space="0" w:color="auto"/>
        <w:bottom w:val="none" w:sz="0" w:space="0" w:color="auto"/>
        <w:right w:val="none" w:sz="0" w:space="0" w:color="auto"/>
      </w:divBdr>
    </w:div>
    <w:div w:id="1245605045">
      <w:bodyDiv w:val="1"/>
      <w:marLeft w:val="0"/>
      <w:marRight w:val="0"/>
      <w:marTop w:val="0"/>
      <w:marBottom w:val="0"/>
      <w:divBdr>
        <w:top w:val="none" w:sz="0" w:space="0" w:color="auto"/>
        <w:left w:val="none" w:sz="0" w:space="0" w:color="auto"/>
        <w:bottom w:val="none" w:sz="0" w:space="0" w:color="auto"/>
        <w:right w:val="none" w:sz="0" w:space="0" w:color="auto"/>
      </w:divBdr>
    </w:div>
    <w:div w:id="1265307132">
      <w:bodyDiv w:val="1"/>
      <w:marLeft w:val="0"/>
      <w:marRight w:val="0"/>
      <w:marTop w:val="0"/>
      <w:marBottom w:val="0"/>
      <w:divBdr>
        <w:top w:val="none" w:sz="0" w:space="0" w:color="auto"/>
        <w:left w:val="none" w:sz="0" w:space="0" w:color="auto"/>
        <w:bottom w:val="none" w:sz="0" w:space="0" w:color="auto"/>
        <w:right w:val="none" w:sz="0" w:space="0" w:color="auto"/>
      </w:divBdr>
    </w:div>
    <w:div w:id="1276523683">
      <w:bodyDiv w:val="1"/>
      <w:marLeft w:val="0"/>
      <w:marRight w:val="0"/>
      <w:marTop w:val="0"/>
      <w:marBottom w:val="0"/>
      <w:divBdr>
        <w:top w:val="none" w:sz="0" w:space="0" w:color="auto"/>
        <w:left w:val="none" w:sz="0" w:space="0" w:color="auto"/>
        <w:bottom w:val="none" w:sz="0" w:space="0" w:color="auto"/>
        <w:right w:val="none" w:sz="0" w:space="0" w:color="auto"/>
      </w:divBdr>
    </w:div>
    <w:div w:id="1397514527">
      <w:bodyDiv w:val="1"/>
      <w:marLeft w:val="0"/>
      <w:marRight w:val="0"/>
      <w:marTop w:val="0"/>
      <w:marBottom w:val="0"/>
      <w:divBdr>
        <w:top w:val="none" w:sz="0" w:space="0" w:color="auto"/>
        <w:left w:val="none" w:sz="0" w:space="0" w:color="auto"/>
        <w:bottom w:val="none" w:sz="0" w:space="0" w:color="auto"/>
        <w:right w:val="none" w:sz="0" w:space="0" w:color="auto"/>
      </w:divBdr>
    </w:div>
    <w:div w:id="1463039510">
      <w:bodyDiv w:val="1"/>
      <w:marLeft w:val="0"/>
      <w:marRight w:val="0"/>
      <w:marTop w:val="0"/>
      <w:marBottom w:val="0"/>
      <w:divBdr>
        <w:top w:val="none" w:sz="0" w:space="0" w:color="auto"/>
        <w:left w:val="none" w:sz="0" w:space="0" w:color="auto"/>
        <w:bottom w:val="none" w:sz="0" w:space="0" w:color="auto"/>
        <w:right w:val="none" w:sz="0" w:space="0" w:color="auto"/>
      </w:divBdr>
    </w:div>
    <w:div w:id="1514416560">
      <w:bodyDiv w:val="1"/>
      <w:marLeft w:val="0"/>
      <w:marRight w:val="0"/>
      <w:marTop w:val="0"/>
      <w:marBottom w:val="0"/>
      <w:divBdr>
        <w:top w:val="none" w:sz="0" w:space="0" w:color="auto"/>
        <w:left w:val="none" w:sz="0" w:space="0" w:color="auto"/>
        <w:bottom w:val="none" w:sz="0" w:space="0" w:color="auto"/>
        <w:right w:val="none" w:sz="0" w:space="0" w:color="auto"/>
      </w:divBdr>
    </w:div>
    <w:div w:id="1703431758">
      <w:bodyDiv w:val="1"/>
      <w:marLeft w:val="0"/>
      <w:marRight w:val="0"/>
      <w:marTop w:val="0"/>
      <w:marBottom w:val="0"/>
      <w:divBdr>
        <w:top w:val="none" w:sz="0" w:space="0" w:color="auto"/>
        <w:left w:val="none" w:sz="0" w:space="0" w:color="auto"/>
        <w:bottom w:val="none" w:sz="0" w:space="0" w:color="auto"/>
        <w:right w:val="none" w:sz="0" w:space="0" w:color="auto"/>
      </w:divBdr>
    </w:div>
    <w:div w:id="1805385911">
      <w:bodyDiv w:val="1"/>
      <w:marLeft w:val="0"/>
      <w:marRight w:val="0"/>
      <w:marTop w:val="0"/>
      <w:marBottom w:val="0"/>
      <w:divBdr>
        <w:top w:val="none" w:sz="0" w:space="0" w:color="auto"/>
        <w:left w:val="none" w:sz="0" w:space="0" w:color="auto"/>
        <w:bottom w:val="none" w:sz="0" w:space="0" w:color="auto"/>
        <w:right w:val="none" w:sz="0" w:space="0" w:color="auto"/>
      </w:divBdr>
    </w:div>
    <w:div w:id="1807628273">
      <w:bodyDiv w:val="1"/>
      <w:marLeft w:val="0"/>
      <w:marRight w:val="0"/>
      <w:marTop w:val="0"/>
      <w:marBottom w:val="0"/>
      <w:divBdr>
        <w:top w:val="none" w:sz="0" w:space="0" w:color="auto"/>
        <w:left w:val="none" w:sz="0" w:space="0" w:color="auto"/>
        <w:bottom w:val="none" w:sz="0" w:space="0" w:color="auto"/>
        <w:right w:val="none" w:sz="0" w:space="0" w:color="auto"/>
      </w:divBdr>
    </w:div>
    <w:div w:id="1812749433">
      <w:bodyDiv w:val="1"/>
      <w:marLeft w:val="0"/>
      <w:marRight w:val="0"/>
      <w:marTop w:val="0"/>
      <w:marBottom w:val="0"/>
      <w:divBdr>
        <w:top w:val="none" w:sz="0" w:space="0" w:color="auto"/>
        <w:left w:val="none" w:sz="0" w:space="0" w:color="auto"/>
        <w:bottom w:val="none" w:sz="0" w:space="0" w:color="auto"/>
        <w:right w:val="none" w:sz="0" w:space="0" w:color="auto"/>
      </w:divBdr>
      <w:divsChild>
        <w:div w:id="86387356">
          <w:marLeft w:val="0"/>
          <w:marRight w:val="0"/>
          <w:marTop w:val="0"/>
          <w:marBottom w:val="0"/>
          <w:divBdr>
            <w:top w:val="none" w:sz="0" w:space="0" w:color="auto"/>
            <w:left w:val="none" w:sz="0" w:space="0" w:color="auto"/>
            <w:bottom w:val="single" w:sz="6" w:space="0" w:color="DDDDDD"/>
            <w:right w:val="none" w:sz="0" w:space="0" w:color="auto"/>
          </w:divBdr>
          <w:divsChild>
            <w:div w:id="1969630585">
              <w:marLeft w:val="0"/>
              <w:marRight w:val="0"/>
              <w:marTop w:val="0"/>
              <w:marBottom w:val="0"/>
              <w:divBdr>
                <w:top w:val="none" w:sz="0" w:space="0" w:color="auto"/>
                <w:left w:val="none" w:sz="0" w:space="0" w:color="auto"/>
                <w:bottom w:val="none" w:sz="0" w:space="0" w:color="auto"/>
                <w:right w:val="none" w:sz="0" w:space="0" w:color="auto"/>
              </w:divBdr>
            </w:div>
          </w:divsChild>
        </w:div>
        <w:div w:id="1602568393">
          <w:marLeft w:val="0"/>
          <w:marRight w:val="0"/>
          <w:marTop w:val="0"/>
          <w:marBottom w:val="0"/>
          <w:divBdr>
            <w:top w:val="none" w:sz="0" w:space="0" w:color="auto"/>
            <w:left w:val="none" w:sz="0" w:space="0" w:color="auto"/>
            <w:bottom w:val="none" w:sz="0" w:space="0" w:color="auto"/>
            <w:right w:val="none" w:sz="0" w:space="0" w:color="auto"/>
          </w:divBdr>
          <w:divsChild>
            <w:div w:id="8327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40818">
      <w:bodyDiv w:val="1"/>
      <w:marLeft w:val="0"/>
      <w:marRight w:val="0"/>
      <w:marTop w:val="0"/>
      <w:marBottom w:val="0"/>
      <w:divBdr>
        <w:top w:val="none" w:sz="0" w:space="0" w:color="auto"/>
        <w:left w:val="none" w:sz="0" w:space="0" w:color="auto"/>
        <w:bottom w:val="none" w:sz="0" w:space="0" w:color="auto"/>
        <w:right w:val="none" w:sz="0" w:space="0" w:color="auto"/>
      </w:divBdr>
      <w:divsChild>
        <w:div w:id="1353923020">
          <w:marLeft w:val="0"/>
          <w:marRight w:val="0"/>
          <w:marTop w:val="0"/>
          <w:marBottom w:val="0"/>
          <w:divBdr>
            <w:top w:val="none" w:sz="0" w:space="0" w:color="auto"/>
            <w:left w:val="none" w:sz="0" w:space="0" w:color="auto"/>
            <w:bottom w:val="single" w:sz="6" w:space="0" w:color="DDDDDD"/>
            <w:right w:val="none" w:sz="0" w:space="0" w:color="auto"/>
          </w:divBdr>
          <w:divsChild>
            <w:div w:id="1151942426">
              <w:marLeft w:val="0"/>
              <w:marRight w:val="0"/>
              <w:marTop w:val="0"/>
              <w:marBottom w:val="0"/>
              <w:divBdr>
                <w:top w:val="none" w:sz="0" w:space="0" w:color="auto"/>
                <w:left w:val="none" w:sz="0" w:space="0" w:color="auto"/>
                <w:bottom w:val="none" w:sz="0" w:space="0" w:color="auto"/>
                <w:right w:val="none" w:sz="0" w:space="0" w:color="auto"/>
              </w:divBdr>
            </w:div>
          </w:divsChild>
        </w:div>
        <w:div w:id="879440035">
          <w:marLeft w:val="0"/>
          <w:marRight w:val="0"/>
          <w:marTop w:val="0"/>
          <w:marBottom w:val="0"/>
          <w:divBdr>
            <w:top w:val="none" w:sz="0" w:space="0" w:color="auto"/>
            <w:left w:val="none" w:sz="0" w:space="0" w:color="auto"/>
            <w:bottom w:val="none" w:sz="0" w:space="0" w:color="auto"/>
            <w:right w:val="none" w:sz="0" w:space="0" w:color="auto"/>
          </w:divBdr>
          <w:divsChild>
            <w:div w:id="16728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96560">
      <w:bodyDiv w:val="1"/>
      <w:marLeft w:val="0"/>
      <w:marRight w:val="0"/>
      <w:marTop w:val="0"/>
      <w:marBottom w:val="0"/>
      <w:divBdr>
        <w:top w:val="none" w:sz="0" w:space="0" w:color="auto"/>
        <w:left w:val="none" w:sz="0" w:space="0" w:color="auto"/>
        <w:bottom w:val="none" w:sz="0" w:space="0" w:color="auto"/>
        <w:right w:val="none" w:sz="0" w:space="0" w:color="auto"/>
      </w:divBdr>
    </w:div>
    <w:div w:id="1942763661">
      <w:bodyDiv w:val="1"/>
      <w:marLeft w:val="0"/>
      <w:marRight w:val="0"/>
      <w:marTop w:val="0"/>
      <w:marBottom w:val="0"/>
      <w:divBdr>
        <w:top w:val="none" w:sz="0" w:space="0" w:color="auto"/>
        <w:left w:val="none" w:sz="0" w:space="0" w:color="auto"/>
        <w:bottom w:val="none" w:sz="0" w:space="0" w:color="auto"/>
        <w:right w:val="none" w:sz="0" w:space="0" w:color="auto"/>
      </w:divBdr>
    </w:div>
    <w:div w:id="213123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2577</TotalTime>
  <Pages>6</Pages>
  <Words>2231</Words>
  <Characters>12718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laptop</dc:creator>
  <cp:keywords/>
  <dc:description/>
  <cp:lastModifiedBy>Editor-22</cp:lastModifiedBy>
  <cp:revision>81</cp:revision>
  <cp:lastPrinted>2025-06-11T04:25:00Z</cp:lastPrinted>
  <dcterms:created xsi:type="dcterms:W3CDTF">2025-06-20T05:13:00Z</dcterms:created>
  <dcterms:modified xsi:type="dcterms:W3CDTF">2025-06-24T12:42:00Z</dcterms:modified>
</cp:coreProperties>
</file>