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9CF" w:rsidRPr="00CC0442" w:rsidRDefault="008C69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8C69CF" w:rsidRPr="00CC0442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8C69CF" w:rsidRPr="00CC0442" w:rsidRDefault="008C69CF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8C69CF" w:rsidRPr="00CC0442">
        <w:trPr>
          <w:trHeight w:val="290"/>
        </w:trPr>
        <w:tc>
          <w:tcPr>
            <w:tcW w:w="5167" w:type="dxa"/>
          </w:tcPr>
          <w:p w:rsidR="008C69CF" w:rsidRPr="00CC0442" w:rsidRDefault="0099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C0442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9CF" w:rsidRPr="00CC0442" w:rsidRDefault="00997577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CC044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South Asian Journal of Social Studies and Economics</w:t>
              </w:r>
            </w:hyperlink>
            <w:r w:rsidRPr="00CC0442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8C69CF" w:rsidRPr="00CC0442">
        <w:trPr>
          <w:trHeight w:val="290"/>
        </w:trPr>
        <w:tc>
          <w:tcPr>
            <w:tcW w:w="5167" w:type="dxa"/>
          </w:tcPr>
          <w:p w:rsidR="008C69CF" w:rsidRPr="00CC0442" w:rsidRDefault="0099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C0442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9CF" w:rsidRPr="00CC0442" w:rsidRDefault="0099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C044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Ms_SAJSSE_139334</w:t>
            </w:r>
          </w:p>
        </w:tc>
      </w:tr>
      <w:tr w:rsidR="008C69CF" w:rsidRPr="00CC0442">
        <w:trPr>
          <w:trHeight w:val="650"/>
        </w:trPr>
        <w:tc>
          <w:tcPr>
            <w:tcW w:w="5167" w:type="dxa"/>
          </w:tcPr>
          <w:p w:rsidR="008C69CF" w:rsidRPr="00CC0442" w:rsidRDefault="0099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C044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9CF" w:rsidRPr="00CC0442" w:rsidRDefault="0099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C044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Vigan's Living Heritage: A Brown-Green Path to Sustainable Community and Conservation</w:t>
            </w:r>
          </w:p>
        </w:tc>
      </w:tr>
      <w:tr w:rsidR="008C69CF" w:rsidRPr="00CC0442">
        <w:trPr>
          <w:trHeight w:val="332"/>
        </w:trPr>
        <w:tc>
          <w:tcPr>
            <w:tcW w:w="5167" w:type="dxa"/>
          </w:tcPr>
          <w:p w:rsidR="008C69CF" w:rsidRPr="00CC0442" w:rsidRDefault="0099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C0442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9CF" w:rsidRPr="00CC0442" w:rsidRDefault="0099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C0442">
              <w:rPr>
                <w:rFonts w:ascii="Arial" w:eastAsia="Arial" w:hAnsi="Arial" w:cs="Arial"/>
                <w:b/>
                <w:sz w:val="20"/>
                <w:szCs w:val="20"/>
              </w:rPr>
              <w:t xml:space="preserve">Policy Article and </w:t>
            </w:r>
          </w:p>
        </w:tc>
      </w:tr>
    </w:tbl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heading=h.gwf0hxhaeixo" w:colFirst="0" w:colLast="0"/>
      <w:bookmarkEnd w:id="0"/>
    </w:p>
    <w:p w:rsidR="008C69CF" w:rsidRPr="00CC0442" w:rsidRDefault="008C69CF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8C69CF" w:rsidRPr="00CC0442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8C69CF" w:rsidRPr="00CC0442" w:rsidRDefault="0099757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C0442">
              <w:rPr>
                <w:rFonts w:ascii="Arial" w:eastAsia="Times New Roman" w:hAnsi="Arial" w:cs="Arial"/>
                <w:highlight w:val="yellow"/>
              </w:rPr>
              <w:t>PART  1:</w:t>
            </w:r>
            <w:r w:rsidRPr="00CC0442">
              <w:rPr>
                <w:rFonts w:ascii="Arial" w:eastAsia="Times New Roman" w:hAnsi="Arial" w:cs="Arial"/>
              </w:rPr>
              <w:t xml:space="preserve"> Comments</w:t>
            </w:r>
            <w:bookmarkStart w:id="1" w:name="_GoBack"/>
            <w:bookmarkEnd w:id="1"/>
          </w:p>
          <w:p w:rsidR="008C69CF" w:rsidRPr="00CC0442" w:rsidRDefault="008C69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69CF" w:rsidRPr="00CC0442">
        <w:tc>
          <w:tcPr>
            <w:tcW w:w="5351" w:type="dxa"/>
          </w:tcPr>
          <w:p w:rsidR="008C69CF" w:rsidRPr="00CC0442" w:rsidRDefault="008C69C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8C69CF" w:rsidRPr="00CC0442" w:rsidRDefault="0099757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C0442">
              <w:rPr>
                <w:rFonts w:ascii="Arial" w:eastAsia="Times New Roman" w:hAnsi="Arial" w:cs="Arial"/>
              </w:rPr>
              <w:t>Reviewer’s comment</w:t>
            </w:r>
          </w:p>
          <w:p w:rsidR="008C69CF" w:rsidRPr="00CC0442" w:rsidRDefault="00997577">
            <w:pPr>
              <w:rPr>
                <w:rFonts w:ascii="Arial" w:hAnsi="Arial" w:cs="Arial"/>
                <w:sz w:val="20"/>
                <w:szCs w:val="20"/>
              </w:rPr>
            </w:pPr>
            <w:r w:rsidRPr="00CC044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8C69CF" w:rsidRPr="00CC0442" w:rsidRDefault="008C6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8C69CF" w:rsidRPr="00CC0442" w:rsidRDefault="00997577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CC0442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CC0442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8C69CF" w:rsidRPr="00CC0442" w:rsidRDefault="008C69C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8C69CF" w:rsidRPr="00CC0442">
        <w:trPr>
          <w:trHeight w:val="1264"/>
        </w:trPr>
        <w:tc>
          <w:tcPr>
            <w:tcW w:w="5351" w:type="dxa"/>
          </w:tcPr>
          <w:p w:rsidR="008C69CF" w:rsidRPr="00CC0442" w:rsidRDefault="0099757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C0442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8C69CF" w:rsidRPr="00CC0442" w:rsidRDefault="008C69C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C69CF" w:rsidRPr="00CC0442" w:rsidRDefault="009975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442">
              <w:rPr>
                <w:rFonts w:ascii="Arial" w:hAnsi="Arial" w:cs="Arial"/>
                <w:sz w:val="20"/>
                <w:szCs w:val="20"/>
              </w:rPr>
              <w:t>The paper</w:t>
            </w:r>
            <w:r w:rsidRPr="00CC0442">
              <w:rPr>
                <w:rFonts w:ascii="Arial" w:eastAsia="Merriweather" w:hAnsi="Arial" w:cs="Arial"/>
                <w:sz w:val="20"/>
                <w:szCs w:val="20"/>
              </w:rPr>
              <w:t xml:space="preserve"> „</w:t>
            </w:r>
            <w:r w:rsidRPr="00CC0442">
              <w:rPr>
                <w:rFonts w:ascii="Arial" w:hAnsi="Arial" w:cs="Arial"/>
                <w:sz w:val="20"/>
                <w:szCs w:val="20"/>
              </w:rPr>
              <w:t xml:space="preserve">Vigan's Living Heritage: A Brown-Green Path to Sustainable Community and </w:t>
            </w:r>
            <w:proofErr w:type="gramStart"/>
            <w:r w:rsidRPr="00CC0442">
              <w:rPr>
                <w:rFonts w:ascii="Arial" w:hAnsi="Arial" w:cs="Arial"/>
                <w:sz w:val="20"/>
                <w:szCs w:val="20"/>
              </w:rPr>
              <w:t>Conservation</w:t>
            </w:r>
            <w:r w:rsidRPr="00CC0442">
              <w:rPr>
                <w:rFonts w:ascii="Arial" w:eastAsia="Merriweather" w:hAnsi="Arial" w:cs="Arial"/>
                <w:sz w:val="20"/>
                <w:szCs w:val="20"/>
              </w:rPr>
              <w:t xml:space="preserve">“ </w:t>
            </w:r>
            <w:r w:rsidRPr="00CC044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Pr="00CC0442">
              <w:rPr>
                <w:rFonts w:ascii="Arial" w:hAnsi="Arial" w:cs="Arial"/>
                <w:sz w:val="20"/>
                <w:szCs w:val="20"/>
              </w:rPr>
              <w:t>presents a well-rounded, multi-dimensional approach to sustainable urban heritage management, integrating technological, environmental, cultural, and economic strategie</w:t>
            </w:r>
            <w:r w:rsidRPr="00CC0442">
              <w:rPr>
                <w:rFonts w:ascii="Arial" w:hAnsi="Arial" w:cs="Arial"/>
                <w:sz w:val="20"/>
                <w:szCs w:val="20"/>
              </w:rPr>
              <w:t>s.</w:t>
            </w:r>
          </w:p>
        </w:tc>
        <w:tc>
          <w:tcPr>
            <w:tcW w:w="6442" w:type="dxa"/>
          </w:tcPr>
          <w:p w:rsidR="008C69CF" w:rsidRPr="00CC0442" w:rsidRDefault="0099757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2" w:name="_heading=h.ty71mxio2063" w:colFirst="0" w:colLast="0"/>
            <w:bookmarkEnd w:id="2"/>
            <w:r w:rsidRPr="00CC0442">
              <w:rPr>
                <w:rFonts w:ascii="Arial" w:eastAsia="Times New Roman" w:hAnsi="Arial" w:cs="Arial"/>
                <w:b w:val="0"/>
              </w:rPr>
              <w:t>The paper is well-rounded, tapping not only on the economic and technological aspects but also on socio-cultural and environmental aspects. This indeed aims to contribute to the achievement of SDG 11.</w:t>
            </w:r>
          </w:p>
        </w:tc>
      </w:tr>
      <w:tr w:rsidR="008C69CF" w:rsidRPr="00CC0442">
        <w:trPr>
          <w:trHeight w:val="1262"/>
        </w:trPr>
        <w:tc>
          <w:tcPr>
            <w:tcW w:w="5351" w:type="dxa"/>
          </w:tcPr>
          <w:p w:rsidR="008C69CF" w:rsidRPr="00CC0442" w:rsidRDefault="0099757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C0442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8C69CF" w:rsidRPr="00CC0442" w:rsidRDefault="0099757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C0442">
              <w:rPr>
                <w:rFonts w:ascii="Arial" w:hAnsi="Arial" w:cs="Arial"/>
                <w:b/>
                <w:sz w:val="20"/>
                <w:szCs w:val="20"/>
              </w:rPr>
              <w:t>(If not pleas</w:t>
            </w:r>
            <w:r w:rsidRPr="00CC0442">
              <w:rPr>
                <w:rFonts w:ascii="Arial" w:hAnsi="Arial" w:cs="Arial"/>
                <w:b/>
                <w:sz w:val="20"/>
                <w:szCs w:val="20"/>
              </w:rPr>
              <w:t>e suggest an alternative title)</w:t>
            </w:r>
          </w:p>
          <w:p w:rsidR="008C69CF" w:rsidRPr="00CC0442" w:rsidRDefault="008C69C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C69CF" w:rsidRPr="00CC0442" w:rsidRDefault="0099757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442">
              <w:rPr>
                <w:rFonts w:ascii="Arial" w:hAnsi="Arial" w:cs="Arial"/>
                <w:sz w:val="20"/>
                <w:szCs w:val="20"/>
              </w:rPr>
              <w:t>The title is acceptable. However, the paper could also be worded as: Vigan's Living Heritage: A Brown-Green Path to Sustainable Community and Conservation.</w:t>
            </w:r>
          </w:p>
        </w:tc>
        <w:tc>
          <w:tcPr>
            <w:tcW w:w="6442" w:type="dxa"/>
          </w:tcPr>
          <w:p w:rsidR="008C69CF" w:rsidRPr="00CC0442" w:rsidRDefault="0099757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3" w:name="_heading=h.sxw05akpk87" w:colFirst="0" w:colLast="0"/>
            <w:bookmarkEnd w:id="3"/>
            <w:r w:rsidRPr="00CC0442">
              <w:rPr>
                <w:rFonts w:ascii="Arial" w:eastAsia="Times New Roman" w:hAnsi="Arial" w:cs="Arial"/>
                <w:b w:val="0"/>
              </w:rPr>
              <w:t>“Vigan's Living Heritage: A Brown-Green Path to Sustainable Community and Conservation” has already been adopted.</w:t>
            </w:r>
          </w:p>
        </w:tc>
      </w:tr>
      <w:tr w:rsidR="008C69CF" w:rsidRPr="00CC0442">
        <w:trPr>
          <w:trHeight w:val="1262"/>
        </w:trPr>
        <w:tc>
          <w:tcPr>
            <w:tcW w:w="5351" w:type="dxa"/>
          </w:tcPr>
          <w:p w:rsidR="008C69CF" w:rsidRPr="00CC0442" w:rsidRDefault="0099757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C0442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</w:t>
            </w:r>
            <w:r w:rsidRPr="00CC0442">
              <w:rPr>
                <w:rFonts w:ascii="Arial" w:eastAsia="Times New Roman" w:hAnsi="Arial" w:cs="Arial"/>
              </w:rPr>
              <w:t>gestions here.</w:t>
            </w:r>
          </w:p>
          <w:p w:rsidR="008C69CF" w:rsidRPr="00CC0442" w:rsidRDefault="008C69C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8C69CF" w:rsidRPr="00CC0442" w:rsidRDefault="0099757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442">
              <w:rPr>
                <w:rFonts w:ascii="Arial" w:hAnsi="Arial" w:cs="Arial"/>
                <w:sz w:val="20"/>
                <w:szCs w:val="20"/>
              </w:rPr>
              <w:t>The essence of the issue is presented in a fairly balanced manner in the summary. Even a non-specialist can understand what the summary of the work is intended to address.</w:t>
            </w:r>
          </w:p>
        </w:tc>
        <w:tc>
          <w:tcPr>
            <w:tcW w:w="6442" w:type="dxa"/>
          </w:tcPr>
          <w:p w:rsidR="008C69CF" w:rsidRPr="00CC0442" w:rsidRDefault="0099757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C0442">
              <w:rPr>
                <w:rFonts w:ascii="Arial" w:eastAsia="Times New Roman" w:hAnsi="Arial" w:cs="Arial"/>
                <w:b w:val="0"/>
              </w:rPr>
              <w:t>The summary effectively and accessibly outlines the core issue, maki</w:t>
            </w:r>
            <w:r w:rsidRPr="00CC0442">
              <w:rPr>
                <w:rFonts w:ascii="Arial" w:eastAsia="Times New Roman" w:hAnsi="Arial" w:cs="Arial"/>
                <w:b w:val="0"/>
              </w:rPr>
              <w:t>ng it understandable for all.</w:t>
            </w:r>
          </w:p>
        </w:tc>
      </w:tr>
      <w:tr w:rsidR="008C69CF" w:rsidRPr="00CC0442">
        <w:trPr>
          <w:trHeight w:val="704"/>
        </w:trPr>
        <w:tc>
          <w:tcPr>
            <w:tcW w:w="5351" w:type="dxa"/>
          </w:tcPr>
          <w:p w:rsidR="008C69CF" w:rsidRPr="00CC0442" w:rsidRDefault="0099757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CC0442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8C69CF" w:rsidRPr="00CC0442" w:rsidRDefault="0099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442">
              <w:rPr>
                <w:rFonts w:ascii="Arial" w:hAnsi="Arial" w:cs="Arial"/>
                <w:color w:val="000000"/>
                <w:sz w:val="20"/>
                <w:szCs w:val="20"/>
              </w:rPr>
              <w:t>Yes, that is correct. For me, as a historian, history, tourism, urbanization, economic development and other similar issues are discussed in the above-mentioned wo</w:t>
            </w:r>
            <w:r w:rsidRPr="00CC0442">
              <w:rPr>
                <w:rFonts w:ascii="Arial" w:hAnsi="Arial" w:cs="Arial"/>
                <w:color w:val="000000"/>
                <w:sz w:val="20"/>
                <w:szCs w:val="20"/>
              </w:rPr>
              <w:t>rk.</w:t>
            </w:r>
          </w:p>
          <w:p w:rsidR="008C69CF" w:rsidRPr="00CC0442" w:rsidRDefault="0099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442">
              <w:rPr>
                <w:rFonts w:ascii="Arial" w:hAnsi="Arial" w:cs="Arial"/>
                <w:color w:val="000000"/>
                <w:sz w:val="20"/>
                <w:szCs w:val="20"/>
              </w:rPr>
              <w:t>It is unthinkable for a historian to be far from such issues, because the main backbone of the development of a state is the economy of the country and its development.</w:t>
            </w:r>
          </w:p>
        </w:tc>
        <w:tc>
          <w:tcPr>
            <w:tcW w:w="6442" w:type="dxa"/>
          </w:tcPr>
          <w:p w:rsidR="008C69CF" w:rsidRPr="00CC0442" w:rsidRDefault="0099757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C0442">
              <w:rPr>
                <w:rFonts w:ascii="Arial" w:eastAsia="Times New Roman" w:hAnsi="Arial" w:cs="Arial"/>
                <w:b w:val="0"/>
              </w:rPr>
              <w:t>The work explores how Vigan's historical significance intertwines with its development as a tourist destination, the pressures of urbanization, and the broader economic impacts, all while attempting to preserve its unique cultural identity.</w:t>
            </w:r>
          </w:p>
        </w:tc>
      </w:tr>
      <w:tr w:rsidR="008C69CF" w:rsidRPr="00CC0442">
        <w:trPr>
          <w:trHeight w:val="703"/>
        </w:trPr>
        <w:tc>
          <w:tcPr>
            <w:tcW w:w="5351" w:type="dxa"/>
          </w:tcPr>
          <w:p w:rsidR="008C69CF" w:rsidRPr="00CC0442" w:rsidRDefault="0099757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C0442">
              <w:rPr>
                <w:rFonts w:ascii="Arial" w:hAnsi="Arial" w:cs="Arial"/>
                <w:b/>
                <w:sz w:val="20"/>
                <w:szCs w:val="20"/>
              </w:rPr>
              <w:t>Are the refere</w:t>
            </w:r>
            <w:r w:rsidRPr="00CC0442">
              <w:rPr>
                <w:rFonts w:ascii="Arial" w:hAnsi="Arial" w:cs="Arial"/>
                <w:b/>
                <w:sz w:val="20"/>
                <w:szCs w:val="20"/>
              </w:rPr>
              <w:t>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8C69CF" w:rsidRPr="00CC0442" w:rsidRDefault="0099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442">
              <w:rPr>
                <w:rFonts w:ascii="Arial" w:hAnsi="Arial" w:cs="Arial"/>
                <w:color w:val="000000"/>
                <w:sz w:val="20"/>
                <w:szCs w:val="20"/>
              </w:rPr>
              <w:t>The author has a wealth of literature to his credit. However, it is always a pleasure to find and add new ones.</w:t>
            </w:r>
          </w:p>
        </w:tc>
        <w:tc>
          <w:tcPr>
            <w:tcW w:w="6442" w:type="dxa"/>
          </w:tcPr>
          <w:p w:rsidR="008C69CF" w:rsidRPr="00CC0442" w:rsidRDefault="0099757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C0442">
              <w:rPr>
                <w:rFonts w:ascii="Arial" w:eastAsia="Times New Roman" w:hAnsi="Arial" w:cs="Arial"/>
                <w:b w:val="0"/>
              </w:rPr>
              <w:t>The literature and sources added are already enough, for changing them may reduce their credibility.</w:t>
            </w:r>
          </w:p>
        </w:tc>
      </w:tr>
      <w:tr w:rsidR="008C69CF" w:rsidRPr="00CC0442">
        <w:trPr>
          <w:trHeight w:val="386"/>
        </w:trPr>
        <w:tc>
          <w:tcPr>
            <w:tcW w:w="5351" w:type="dxa"/>
          </w:tcPr>
          <w:p w:rsidR="008C69CF" w:rsidRPr="00CC0442" w:rsidRDefault="0099757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C0442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8C69CF" w:rsidRPr="00CC0442" w:rsidRDefault="008C69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C69CF" w:rsidRPr="00CC0442" w:rsidRDefault="00997577">
            <w:pPr>
              <w:rPr>
                <w:rFonts w:ascii="Arial" w:hAnsi="Arial" w:cs="Arial"/>
                <w:sz w:val="20"/>
                <w:szCs w:val="20"/>
              </w:rPr>
            </w:pPr>
            <w:r w:rsidRPr="00CC0442">
              <w:rPr>
                <w:rFonts w:ascii="Arial" w:hAnsi="Arial" w:cs="Arial"/>
                <w:sz w:val="20"/>
                <w:szCs w:val="20"/>
              </w:rPr>
              <w:t>Yes, it is clear.</w:t>
            </w:r>
          </w:p>
        </w:tc>
        <w:tc>
          <w:tcPr>
            <w:tcW w:w="6442" w:type="dxa"/>
          </w:tcPr>
          <w:p w:rsidR="008C69CF" w:rsidRPr="00CC0442" w:rsidRDefault="00997577">
            <w:pPr>
              <w:rPr>
                <w:rFonts w:ascii="Arial" w:hAnsi="Arial" w:cs="Arial"/>
                <w:sz w:val="20"/>
                <w:szCs w:val="20"/>
              </w:rPr>
            </w:pPr>
            <w:r w:rsidRPr="00CC0442">
              <w:rPr>
                <w:rFonts w:ascii="Arial" w:hAnsi="Arial" w:cs="Arial"/>
                <w:sz w:val="20"/>
                <w:szCs w:val="20"/>
              </w:rPr>
              <w:t>The language is clear and easy to understand.</w:t>
            </w:r>
          </w:p>
        </w:tc>
      </w:tr>
      <w:tr w:rsidR="008C69CF" w:rsidRPr="00CC0442">
        <w:trPr>
          <w:trHeight w:val="1178"/>
        </w:trPr>
        <w:tc>
          <w:tcPr>
            <w:tcW w:w="5351" w:type="dxa"/>
          </w:tcPr>
          <w:p w:rsidR="008C69CF" w:rsidRPr="00CC0442" w:rsidRDefault="0099757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C0442">
              <w:rPr>
                <w:rFonts w:ascii="Arial" w:eastAsia="Times New Roman" w:hAnsi="Arial" w:cs="Arial"/>
                <w:u w:val="single"/>
              </w:rPr>
              <w:t>Op</w:t>
            </w:r>
            <w:r w:rsidRPr="00CC0442">
              <w:rPr>
                <w:rFonts w:ascii="Arial" w:eastAsia="Times New Roman" w:hAnsi="Arial" w:cs="Arial"/>
                <w:u w:val="single"/>
              </w:rPr>
              <w:t>tional/General</w:t>
            </w:r>
            <w:r w:rsidRPr="00CC0442">
              <w:rPr>
                <w:rFonts w:ascii="Arial" w:eastAsia="Times New Roman" w:hAnsi="Arial" w:cs="Arial"/>
              </w:rPr>
              <w:t xml:space="preserve"> </w:t>
            </w:r>
            <w:r w:rsidRPr="00CC0442">
              <w:rPr>
                <w:rFonts w:ascii="Arial" w:eastAsia="Times New Roman" w:hAnsi="Arial" w:cs="Arial"/>
                <w:b w:val="0"/>
              </w:rPr>
              <w:t>comments</w:t>
            </w:r>
          </w:p>
          <w:p w:rsidR="008C69CF" w:rsidRPr="00CC0442" w:rsidRDefault="008C69C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8C69CF" w:rsidRPr="00CC0442" w:rsidRDefault="009975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442">
              <w:rPr>
                <w:rFonts w:ascii="Arial" w:hAnsi="Arial" w:cs="Arial"/>
                <w:color w:val="000000"/>
                <w:sz w:val="20"/>
                <w:szCs w:val="20"/>
              </w:rPr>
              <w:t>In my opinion, the manuscript effectively combines insights from urban planning, environmental science, heritage conservation, and socio-economic development, reflecting interdisciplinary rigor.</w:t>
            </w:r>
          </w:p>
        </w:tc>
        <w:tc>
          <w:tcPr>
            <w:tcW w:w="6442" w:type="dxa"/>
          </w:tcPr>
          <w:p w:rsidR="008C69CF" w:rsidRPr="00CC0442" w:rsidRDefault="00997577">
            <w:pPr>
              <w:rPr>
                <w:rFonts w:ascii="Arial" w:hAnsi="Arial" w:cs="Arial"/>
                <w:sz w:val="20"/>
                <w:szCs w:val="20"/>
              </w:rPr>
            </w:pPr>
            <w:r w:rsidRPr="00CC0442">
              <w:rPr>
                <w:rFonts w:ascii="Arial" w:hAnsi="Arial" w:cs="Arial"/>
                <w:sz w:val="20"/>
                <w:szCs w:val="20"/>
              </w:rPr>
              <w:t>As the author, I've striven to create a truly well-rounded paper, delving beyond just the economic and technological facets. My aim was to thoroughly explore the crucial socio-cultural and environmental dimensions as well. This comprehensive approach, I be</w:t>
            </w:r>
            <w:r w:rsidRPr="00CC0442">
              <w:rPr>
                <w:rFonts w:ascii="Arial" w:hAnsi="Arial" w:cs="Arial"/>
                <w:sz w:val="20"/>
                <w:szCs w:val="20"/>
              </w:rPr>
              <w:t>lieve, directly contributes to the overarching goals of SDG 11, fostering sustainable cities and communities.</w:t>
            </w:r>
          </w:p>
        </w:tc>
      </w:tr>
    </w:tbl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4" w:name="_heading=h.7ij4ptuqk4ur" w:colFirst="0" w:colLast="0"/>
      <w:bookmarkEnd w:id="4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8C69CF" w:rsidRPr="00CC0442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9CF" w:rsidRPr="00CC0442" w:rsidRDefault="0099757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CC0442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CC0442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8C69CF" w:rsidRPr="00CC0442" w:rsidRDefault="008C69C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8C69CF" w:rsidRPr="00CC0442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9CF" w:rsidRPr="00CC0442" w:rsidRDefault="008C69C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9CF" w:rsidRPr="00CC0442" w:rsidRDefault="00997577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C0442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9CF" w:rsidRPr="00CC0442" w:rsidRDefault="00997577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C0442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CC044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CC0442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C69CF" w:rsidRPr="00CC0442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9CF" w:rsidRPr="00CC0442" w:rsidRDefault="0099757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C0442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8C69CF" w:rsidRPr="00CC0442" w:rsidRDefault="008C69C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9CF" w:rsidRPr="00CC0442" w:rsidRDefault="0099757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CC0442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CC0442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CC0442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</w:t>
            </w:r>
            <w:r w:rsidRPr="00CC0442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s here in details)</w:t>
            </w:r>
          </w:p>
          <w:p w:rsidR="008C69CF" w:rsidRPr="00CC0442" w:rsidRDefault="008C69C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8C69CF" w:rsidRPr="00CC0442" w:rsidRDefault="008C69C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9CF" w:rsidRPr="00CC0442" w:rsidRDefault="008C69C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8C69CF" w:rsidRPr="00CC0442" w:rsidRDefault="008C69CF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8C69CF" w:rsidRPr="00CC0442" w:rsidRDefault="00997577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C0442">
              <w:rPr>
                <w:rFonts w:ascii="Arial" w:eastAsia="Arial" w:hAnsi="Arial" w:cs="Arial"/>
                <w:sz w:val="20"/>
                <w:szCs w:val="20"/>
              </w:rPr>
              <w:t>The research and its manuscript strictly adhered to all relevant ethical guidelines and protocols, including securing proper permissions, providing acknowledgment through cited references, and ensuring full compliance with the Data P</w:t>
            </w:r>
            <w:r w:rsidRPr="00CC0442">
              <w:rPr>
                <w:rFonts w:ascii="Arial" w:eastAsia="Arial" w:hAnsi="Arial" w:cs="Arial"/>
                <w:sz w:val="20"/>
                <w:szCs w:val="20"/>
              </w:rPr>
              <w:t>rivacy Act.</w:t>
            </w:r>
          </w:p>
        </w:tc>
      </w:tr>
    </w:tbl>
    <w:p w:rsidR="008C69CF" w:rsidRPr="00CC0442" w:rsidRDefault="008C69CF">
      <w:pPr>
        <w:rPr>
          <w:rFonts w:ascii="Arial" w:hAnsi="Arial" w:cs="Arial"/>
          <w:sz w:val="20"/>
          <w:szCs w:val="20"/>
        </w:rPr>
      </w:pPr>
    </w:p>
    <w:p w:rsidR="008C69CF" w:rsidRPr="00CC0442" w:rsidRDefault="008C69CF">
      <w:pPr>
        <w:rPr>
          <w:rFonts w:ascii="Arial" w:hAnsi="Arial" w:cs="Arial"/>
          <w:sz w:val="20"/>
          <w:szCs w:val="20"/>
        </w:rPr>
      </w:pPr>
    </w:p>
    <w:p w:rsidR="008C69CF" w:rsidRPr="00CC0442" w:rsidRDefault="008C69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8C69CF" w:rsidRPr="00CC0442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577" w:rsidRDefault="00997577">
      <w:r>
        <w:separator/>
      </w:r>
    </w:p>
  </w:endnote>
  <w:endnote w:type="continuationSeparator" w:id="0">
    <w:p w:rsidR="00997577" w:rsidRDefault="0099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9CF" w:rsidRDefault="0099757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577" w:rsidRDefault="00997577">
      <w:r>
        <w:separator/>
      </w:r>
    </w:p>
  </w:footnote>
  <w:footnote w:type="continuationSeparator" w:id="0">
    <w:p w:rsidR="00997577" w:rsidRDefault="00997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9CF" w:rsidRDefault="008C69CF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8C69CF" w:rsidRDefault="00997577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9CF"/>
    <w:rsid w:val="008C69CF"/>
    <w:rsid w:val="00997577"/>
    <w:rsid w:val="00CC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08AB-82EE-4FA5-A85D-7F7E4523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sajsse.com/index.php/SAJSS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126iN9751zF7TVOYSHFhc6+HfA==">CgMxLjAyDmguZ3dmMGh4aGFlaXhvMg5oLnR5NzFteGlvMjA2MzINaC5zeHcwNWFrcGs4NzIOaC43aWo0cHR1cWs0dXI4AHIhMWNqTjBLYlhTV0l1WVQycFJXT0pndUw2cGFHWFBHTHkt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2</cp:revision>
  <dcterms:created xsi:type="dcterms:W3CDTF">2025-06-28T10:08:00Z</dcterms:created>
  <dcterms:modified xsi:type="dcterms:W3CDTF">2025-07-03T08:07:00Z</dcterms:modified>
</cp:coreProperties>
</file>