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985FE7" w14:paraId="53D3633E" w14:textId="77777777" w:rsidTr="002643B3">
        <w:trPr>
          <w:trHeight w:val="290"/>
        </w:trPr>
        <w:tc>
          <w:tcPr>
            <w:tcW w:w="5000" w:type="pct"/>
            <w:gridSpan w:val="2"/>
            <w:tcBorders>
              <w:top w:val="nil"/>
              <w:left w:val="nil"/>
              <w:right w:val="nil"/>
            </w:tcBorders>
          </w:tcPr>
          <w:p w14:paraId="77D8D0E9" w14:textId="77777777" w:rsidR="00602F7D" w:rsidRPr="00985FE7" w:rsidRDefault="00602F7D" w:rsidP="00F2643C">
            <w:pPr>
              <w:pStyle w:val="Heading2"/>
              <w:jc w:val="left"/>
              <w:rPr>
                <w:rFonts w:ascii="Arial" w:hAnsi="Arial" w:cs="Arial"/>
                <w:b w:val="0"/>
                <w:bCs w:val="0"/>
                <w:lang w:val="en-GB"/>
              </w:rPr>
            </w:pPr>
          </w:p>
        </w:tc>
      </w:tr>
      <w:tr w:rsidR="0000007A" w:rsidRPr="00985FE7" w14:paraId="0F3C79F8" w14:textId="77777777" w:rsidTr="002643B3">
        <w:trPr>
          <w:trHeight w:val="290"/>
        </w:trPr>
        <w:tc>
          <w:tcPr>
            <w:tcW w:w="1234" w:type="pct"/>
          </w:tcPr>
          <w:p w14:paraId="6F93313D" w14:textId="77777777" w:rsidR="0000007A" w:rsidRPr="00985FE7" w:rsidRDefault="0000007A" w:rsidP="00696CAD">
            <w:pPr>
              <w:pStyle w:val="BodyText"/>
              <w:ind w:left="90"/>
              <w:jc w:val="left"/>
              <w:rPr>
                <w:rFonts w:ascii="Arial" w:hAnsi="Arial" w:cs="Arial"/>
                <w:bCs/>
                <w:sz w:val="20"/>
                <w:szCs w:val="20"/>
                <w:lang w:val="en-GB"/>
              </w:rPr>
            </w:pPr>
            <w:r w:rsidRPr="00985FE7">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7CD4EAB1" w14:textId="77777777" w:rsidR="0000007A" w:rsidRPr="00985FE7" w:rsidRDefault="00986A9B" w:rsidP="00E65EB7">
            <w:pPr>
              <w:rPr>
                <w:rFonts w:ascii="Arial" w:hAnsi="Arial" w:cs="Arial"/>
                <w:b/>
                <w:bCs/>
                <w:color w:val="0000FF"/>
                <w:sz w:val="20"/>
                <w:szCs w:val="20"/>
              </w:rPr>
            </w:pPr>
            <w:hyperlink r:id="rId8" w:history="1">
              <w:r w:rsidR="00E210E7" w:rsidRPr="00985FE7">
                <w:rPr>
                  <w:rStyle w:val="Hyperlink"/>
                  <w:rFonts w:ascii="Arial" w:hAnsi="Arial" w:cs="Arial"/>
                  <w:b/>
                  <w:bCs/>
                  <w:sz w:val="20"/>
                  <w:szCs w:val="20"/>
                </w:rPr>
                <w:t>Journal of Advances in Biology &amp; Biotechnology</w:t>
              </w:r>
            </w:hyperlink>
            <w:r w:rsidR="00E210E7" w:rsidRPr="00985FE7">
              <w:rPr>
                <w:rFonts w:ascii="Arial" w:hAnsi="Arial" w:cs="Arial"/>
                <w:b/>
                <w:bCs/>
                <w:color w:val="0000FF"/>
                <w:sz w:val="20"/>
                <w:szCs w:val="20"/>
              </w:rPr>
              <w:t xml:space="preserve"> </w:t>
            </w:r>
          </w:p>
        </w:tc>
      </w:tr>
      <w:tr w:rsidR="0000007A" w:rsidRPr="00985FE7" w14:paraId="69C550AC" w14:textId="77777777" w:rsidTr="002643B3">
        <w:trPr>
          <w:trHeight w:val="290"/>
        </w:trPr>
        <w:tc>
          <w:tcPr>
            <w:tcW w:w="1234" w:type="pct"/>
          </w:tcPr>
          <w:p w14:paraId="1E1FE7B4" w14:textId="77777777" w:rsidR="0000007A" w:rsidRPr="00985FE7" w:rsidRDefault="0000007A" w:rsidP="00696CAD">
            <w:pPr>
              <w:pStyle w:val="BodyText"/>
              <w:ind w:left="90"/>
              <w:jc w:val="left"/>
              <w:rPr>
                <w:rFonts w:ascii="Arial" w:hAnsi="Arial" w:cs="Arial"/>
                <w:bCs/>
                <w:sz w:val="20"/>
                <w:szCs w:val="20"/>
                <w:lang w:val="en-GB"/>
              </w:rPr>
            </w:pPr>
            <w:r w:rsidRPr="00985FE7">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4908983E" w14:textId="77777777" w:rsidR="0000007A" w:rsidRPr="00985FE7" w:rsidRDefault="00F03A6B" w:rsidP="00F3669D">
            <w:pPr>
              <w:pStyle w:val="NormalWeb"/>
              <w:spacing w:before="0" w:beforeAutospacing="0" w:after="0" w:afterAutospacing="0"/>
              <w:rPr>
                <w:rFonts w:ascii="Arial" w:hAnsi="Arial" w:cs="Arial"/>
                <w:b/>
                <w:bCs/>
                <w:sz w:val="20"/>
                <w:szCs w:val="20"/>
                <w:lang w:val="en-GB"/>
              </w:rPr>
            </w:pPr>
            <w:r w:rsidRPr="00985FE7">
              <w:rPr>
                <w:rFonts w:ascii="Arial" w:hAnsi="Arial" w:cs="Arial"/>
                <w:b/>
                <w:bCs/>
                <w:sz w:val="20"/>
                <w:szCs w:val="20"/>
                <w:lang w:val="en-GB"/>
              </w:rPr>
              <w:t>Ms_JABB_140819</w:t>
            </w:r>
          </w:p>
        </w:tc>
      </w:tr>
      <w:tr w:rsidR="0000007A" w:rsidRPr="00985FE7" w14:paraId="1156D1CA" w14:textId="77777777" w:rsidTr="002643B3">
        <w:trPr>
          <w:trHeight w:val="650"/>
        </w:trPr>
        <w:tc>
          <w:tcPr>
            <w:tcW w:w="1234" w:type="pct"/>
          </w:tcPr>
          <w:p w14:paraId="51B4C1A2" w14:textId="77777777" w:rsidR="0000007A" w:rsidRPr="00985FE7" w:rsidRDefault="0000007A" w:rsidP="00696CAD">
            <w:pPr>
              <w:pStyle w:val="BodyText"/>
              <w:ind w:left="90"/>
              <w:jc w:val="left"/>
              <w:rPr>
                <w:rFonts w:ascii="Arial" w:hAnsi="Arial" w:cs="Arial"/>
                <w:bCs/>
                <w:sz w:val="20"/>
                <w:szCs w:val="20"/>
                <w:lang w:val="en-GB"/>
              </w:rPr>
            </w:pPr>
            <w:r w:rsidRPr="00985FE7">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1E7533F4" w14:textId="77777777" w:rsidR="0000007A" w:rsidRPr="00985FE7" w:rsidRDefault="00D72A0A" w:rsidP="000450FC">
            <w:pPr>
              <w:pStyle w:val="NormalWeb"/>
              <w:spacing w:before="0" w:beforeAutospacing="0" w:after="0" w:afterAutospacing="0"/>
              <w:rPr>
                <w:rFonts w:ascii="Arial" w:hAnsi="Arial" w:cs="Arial"/>
                <w:b/>
                <w:sz w:val="20"/>
                <w:szCs w:val="20"/>
                <w:lang w:val="en-GB"/>
              </w:rPr>
            </w:pPr>
            <w:r w:rsidRPr="00985FE7">
              <w:rPr>
                <w:rFonts w:ascii="Arial" w:hAnsi="Arial" w:cs="Arial"/>
                <w:b/>
                <w:sz w:val="20"/>
                <w:szCs w:val="20"/>
                <w:lang w:val="en-GB"/>
              </w:rPr>
              <w:t xml:space="preserve">Recombinant Expression of Taq DNA Polymerase Using </w:t>
            </w:r>
            <w:proofErr w:type="spellStart"/>
            <w:r w:rsidRPr="00985FE7">
              <w:rPr>
                <w:rFonts w:ascii="Arial" w:hAnsi="Arial" w:cs="Arial"/>
                <w:b/>
                <w:sz w:val="20"/>
                <w:szCs w:val="20"/>
                <w:lang w:val="en-GB"/>
              </w:rPr>
              <w:t>pBluescript</w:t>
            </w:r>
            <w:proofErr w:type="spellEnd"/>
            <w:r w:rsidRPr="00985FE7">
              <w:rPr>
                <w:rFonts w:ascii="Arial" w:hAnsi="Arial" w:cs="Arial"/>
                <w:b/>
                <w:sz w:val="20"/>
                <w:szCs w:val="20"/>
                <w:lang w:val="en-GB"/>
              </w:rPr>
              <w:t xml:space="preserve"> </w:t>
            </w:r>
            <w:proofErr w:type="gramStart"/>
            <w:r w:rsidRPr="00985FE7">
              <w:rPr>
                <w:rFonts w:ascii="Arial" w:hAnsi="Arial" w:cs="Arial"/>
                <w:b/>
                <w:sz w:val="20"/>
                <w:szCs w:val="20"/>
                <w:lang w:val="en-GB"/>
              </w:rPr>
              <w:t>SK(</w:t>
            </w:r>
            <w:proofErr w:type="gramEnd"/>
            <w:r w:rsidRPr="00985FE7">
              <w:rPr>
                <w:rFonts w:ascii="Arial" w:hAnsi="Arial" w:cs="Arial"/>
                <w:b/>
                <w:sz w:val="20"/>
                <w:szCs w:val="20"/>
                <w:lang w:val="en-GB"/>
              </w:rPr>
              <w:t>+) and Chromatography-Free Purification: A Cost-Effective Strategy for Low-Resource Laboratories</w:t>
            </w:r>
          </w:p>
        </w:tc>
      </w:tr>
      <w:tr w:rsidR="00CF0BBB" w:rsidRPr="00985FE7" w14:paraId="72D0853B" w14:textId="77777777" w:rsidTr="002643B3">
        <w:trPr>
          <w:trHeight w:val="332"/>
        </w:trPr>
        <w:tc>
          <w:tcPr>
            <w:tcW w:w="1234" w:type="pct"/>
          </w:tcPr>
          <w:p w14:paraId="4ABAE40F" w14:textId="77777777" w:rsidR="00CF0BBB" w:rsidRPr="00985FE7" w:rsidRDefault="00CF0BBB" w:rsidP="00696CAD">
            <w:pPr>
              <w:pStyle w:val="BodyText"/>
              <w:ind w:left="90"/>
              <w:jc w:val="left"/>
              <w:rPr>
                <w:rFonts w:ascii="Arial" w:hAnsi="Arial" w:cs="Arial"/>
                <w:bCs/>
                <w:sz w:val="20"/>
                <w:szCs w:val="20"/>
                <w:lang w:val="en-GB"/>
              </w:rPr>
            </w:pPr>
            <w:r w:rsidRPr="00985FE7">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7ECBFDB2" w14:textId="77777777" w:rsidR="00CF0BBB" w:rsidRPr="00985FE7" w:rsidRDefault="00864BD3" w:rsidP="000450FC">
            <w:pPr>
              <w:pStyle w:val="NormalWeb"/>
              <w:spacing w:before="0" w:beforeAutospacing="0" w:after="0" w:afterAutospacing="0"/>
              <w:rPr>
                <w:rFonts w:ascii="Arial" w:hAnsi="Arial" w:cs="Arial"/>
                <w:b/>
                <w:sz w:val="20"/>
                <w:szCs w:val="20"/>
                <w:lang w:val="en-GB"/>
              </w:rPr>
            </w:pPr>
            <w:r w:rsidRPr="00985FE7">
              <w:rPr>
                <w:rFonts w:ascii="Arial" w:hAnsi="Arial" w:cs="Arial"/>
                <w:b/>
                <w:sz w:val="20"/>
                <w:szCs w:val="20"/>
                <w:lang w:val="en-GB"/>
              </w:rPr>
              <w:t>Original Research Article</w:t>
            </w:r>
          </w:p>
        </w:tc>
      </w:tr>
    </w:tbl>
    <w:p w14:paraId="0617080E" w14:textId="5D9234E4" w:rsidR="002F1235" w:rsidRPr="00985FE7" w:rsidRDefault="002F1235" w:rsidP="002F1235">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2F1235" w:rsidRPr="00985FE7" w14:paraId="670C8865" w14:textId="77777777">
        <w:tc>
          <w:tcPr>
            <w:tcW w:w="5000" w:type="pct"/>
            <w:gridSpan w:val="3"/>
            <w:tcBorders>
              <w:top w:val="nil"/>
              <w:left w:val="nil"/>
              <w:right w:val="nil"/>
            </w:tcBorders>
            <w:noWrap/>
          </w:tcPr>
          <w:p w14:paraId="3C9CA26E" w14:textId="77777777" w:rsidR="002F1235" w:rsidRPr="00985FE7" w:rsidRDefault="002F1235">
            <w:pPr>
              <w:pStyle w:val="Heading2"/>
              <w:jc w:val="left"/>
              <w:rPr>
                <w:rFonts w:ascii="Arial" w:hAnsi="Arial" w:cs="Arial"/>
                <w:lang w:val="en-GB"/>
              </w:rPr>
            </w:pPr>
            <w:r w:rsidRPr="00985FE7">
              <w:rPr>
                <w:rFonts w:ascii="Arial" w:hAnsi="Arial" w:cs="Arial"/>
                <w:highlight w:val="yellow"/>
                <w:lang w:val="en-GB"/>
              </w:rPr>
              <w:t>PART  1:</w:t>
            </w:r>
            <w:r w:rsidRPr="00985FE7">
              <w:rPr>
                <w:rFonts w:ascii="Arial" w:hAnsi="Arial" w:cs="Arial"/>
                <w:lang w:val="en-GB"/>
              </w:rPr>
              <w:t xml:space="preserve"> Comments</w:t>
            </w:r>
          </w:p>
          <w:p w14:paraId="60102948" w14:textId="77777777" w:rsidR="002F1235" w:rsidRPr="00985FE7" w:rsidRDefault="002F1235">
            <w:pPr>
              <w:rPr>
                <w:rFonts w:ascii="Arial" w:hAnsi="Arial" w:cs="Arial"/>
                <w:sz w:val="20"/>
                <w:szCs w:val="20"/>
                <w:lang w:val="en-GB"/>
              </w:rPr>
            </w:pPr>
          </w:p>
        </w:tc>
      </w:tr>
      <w:tr w:rsidR="002F1235" w:rsidRPr="00985FE7" w14:paraId="2A40B3F1" w14:textId="77777777">
        <w:tc>
          <w:tcPr>
            <w:tcW w:w="1265" w:type="pct"/>
            <w:noWrap/>
          </w:tcPr>
          <w:p w14:paraId="66D97157" w14:textId="77777777" w:rsidR="002F1235" w:rsidRPr="00985FE7" w:rsidRDefault="002F1235">
            <w:pPr>
              <w:pStyle w:val="Heading2"/>
              <w:jc w:val="left"/>
              <w:rPr>
                <w:rFonts w:ascii="Arial" w:hAnsi="Arial" w:cs="Arial"/>
                <w:lang w:val="en-GB"/>
              </w:rPr>
            </w:pPr>
          </w:p>
        </w:tc>
        <w:tc>
          <w:tcPr>
            <w:tcW w:w="2212" w:type="pct"/>
          </w:tcPr>
          <w:p w14:paraId="3EDE10F7" w14:textId="77777777" w:rsidR="002F1235" w:rsidRPr="00985FE7" w:rsidRDefault="002F1235">
            <w:pPr>
              <w:pStyle w:val="Heading2"/>
              <w:jc w:val="left"/>
              <w:rPr>
                <w:rFonts w:ascii="Arial" w:hAnsi="Arial" w:cs="Arial"/>
                <w:lang w:val="en-GB"/>
              </w:rPr>
            </w:pPr>
            <w:r w:rsidRPr="00985FE7">
              <w:rPr>
                <w:rFonts w:ascii="Arial" w:hAnsi="Arial" w:cs="Arial"/>
                <w:lang w:val="en-GB"/>
              </w:rPr>
              <w:t>Reviewer’s comment</w:t>
            </w:r>
          </w:p>
          <w:p w14:paraId="683D9EF5" w14:textId="77777777" w:rsidR="00D91000" w:rsidRPr="00985FE7" w:rsidRDefault="00D91000" w:rsidP="00D91000">
            <w:pPr>
              <w:rPr>
                <w:rFonts w:ascii="Arial" w:hAnsi="Arial" w:cs="Arial"/>
                <w:b/>
                <w:bCs/>
                <w:sz w:val="20"/>
                <w:szCs w:val="20"/>
              </w:rPr>
            </w:pPr>
            <w:r w:rsidRPr="00985FE7">
              <w:rPr>
                <w:rFonts w:ascii="Arial" w:hAnsi="Arial" w:cs="Arial"/>
                <w:b/>
                <w:bCs/>
                <w:sz w:val="20"/>
                <w:szCs w:val="20"/>
                <w:highlight w:val="yellow"/>
              </w:rPr>
              <w:t>Artificial Intelligence (AI) generated or assisted review comments are strictly prohibited during peer review.</w:t>
            </w:r>
          </w:p>
          <w:p w14:paraId="1F0804EF" w14:textId="77777777" w:rsidR="00D91000" w:rsidRPr="00985FE7" w:rsidRDefault="00D91000" w:rsidP="00D91000">
            <w:pPr>
              <w:rPr>
                <w:rFonts w:ascii="Arial" w:hAnsi="Arial" w:cs="Arial"/>
                <w:sz w:val="20"/>
                <w:szCs w:val="20"/>
                <w:lang w:val="en-GB"/>
              </w:rPr>
            </w:pPr>
          </w:p>
        </w:tc>
        <w:tc>
          <w:tcPr>
            <w:tcW w:w="1523" w:type="pct"/>
          </w:tcPr>
          <w:p w14:paraId="11B1F5D5" w14:textId="77777777" w:rsidR="00D6310E" w:rsidRPr="00985FE7" w:rsidRDefault="00D6310E" w:rsidP="00D6310E">
            <w:pPr>
              <w:spacing w:after="160" w:line="256" w:lineRule="auto"/>
              <w:rPr>
                <w:rFonts w:ascii="Arial" w:eastAsia="Calibri" w:hAnsi="Arial" w:cs="Arial"/>
                <w:kern w:val="2"/>
                <w:sz w:val="20"/>
                <w:szCs w:val="20"/>
                <w:lang w:val="en-IN"/>
              </w:rPr>
            </w:pPr>
            <w:r w:rsidRPr="00985FE7">
              <w:rPr>
                <w:rFonts w:ascii="Arial" w:eastAsia="Calibri" w:hAnsi="Arial" w:cs="Arial"/>
                <w:b/>
                <w:kern w:val="2"/>
                <w:sz w:val="20"/>
                <w:szCs w:val="20"/>
                <w:lang w:val="en-IN"/>
              </w:rPr>
              <w:t>Author’s Feedback</w:t>
            </w:r>
            <w:r w:rsidRPr="00985FE7">
              <w:rPr>
                <w:rFonts w:ascii="Arial" w:eastAsia="Calibri" w:hAnsi="Arial" w:cs="Arial"/>
                <w:kern w:val="2"/>
                <w:sz w:val="20"/>
                <w:szCs w:val="20"/>
                <w:lang w:val="en-IN"/>
              </w:rPr>
              <w:t xml:space="preserve"> (It is mandatory that authors should write his/her feedback here)</w:t>
            </w:r>
          </w:p>
          <w:p w14:paraId="733097E9" w14:textId="77777777" w:rsidR="002F1235" w:rsidRPr="00985FE7" w:rsidRDefault="002F1235">
            <w:pPr>
              <w:pStyle w:val="Heading2"/>
              <w:jc w:val="left"/>
              <w:rPr>
                <w:rFonts w:ascii="Arial" w:hAnsi="Arial" w:cs="Arial"/>
                <w:b w:val="0"/>
                <w:lang w:val="en-GB"/>
              </w:rPr>
            </w:pPr>
          </w:p>
        </w:tc>
      </w:tr>
      <w:tr w:rsidR="002F1235" w:rsidRPr="00985FE7" w14:paraId="07A40443" w14:textId="77777777">
        <w:trPr>
          <w:trHeight w:val="1264"/>
        </w:trPr>
        <w:tc>
          <w:tcPr>
            <w:tcW w:w="1265" w:type="pct"/>
            <w:noWrap/>
          </w:tcPr>
          <w:p w14:paraId="0F43E66B" w14:textId="77777777" w:rsidR="002F1235" w:rsidRPr="00985FE7" w:rsidRDefault="002F1235">
            <w:pPr>
              <w:ind w:left="360"/>
              <w:rPr>
                <w:rFonts w:ascii="Arial" w:hAnsi="Arial" w:cs="Arial"/>
                <w:b/>
                <w:bCs/>
                <w:sz w:val="20"/>
                <w:szCs w:val="20"/>
                <w:lang w:val="en-GB"/>
              </w:rPr>
            </w:pPr>
            <w:r w:rsidRPr="00985FE7">
              <w:rPr>
                <w:rFonts w:ascii="Arial" w:hAnsi="Arial" w:cs="Arial"/>
                <w:b/>
                <w:bCs/>
                <w:sz w:val="20"/>
                <w:szCs w:val="20"/>
                <w:lang w:val="en-GB"/>
              </w:rPr>
              <w:t>Please write a few sentences regarding the importance of this manuscript for the scientific community. A minimum of 3-4 sentences may be required for this part.</w:t>
            </w:r>
          </w:p>
          <w:p w14:paraId="3AEB3D63" w14:textId="77777777" w:rsidR="002F1235" w:rsidRPr="00985FE7" w:rsidRDefault="002F1235">
            <w:pPr>
              <w:ind w:left="360"/>
              <w:rPr>
                <w:rFonts w:ascii="Arial" w:eastAsia="MS Mincho" w:hAnsi="Arial" w:cs="Arial"/>
                <w:b/>
                <w:bCs/>
                <w:sz w:val="20"/>
                <w:szCs w:val="20"/>
                <w:lang w:val="en-GB"/>
              </w:rPr>
            </w:pPr>
          </w:p>
        </w:tc>
        <w:tc>
          <w:tcPr>
            <w:tcW w:w="2212" w:type="pct"/>
          </w:tcPr>
          <w:p w14:paraId="2FEFD133" w14:textId="5603857A" w:rsidR="002F1235" w:rsidRPr="00985FE7" w:rsidRDefault="00930A6E">
            <w:pPr>
              <w:pStyle w:val="ListParagraph"/>
              <w:ind w:left="0"/>
              <w:rPr>
                <w:rFonts w:ascii="Arial" w:hAnsi="Arial" w:cs="Arial"/>
                <w:b/>
                <w:bCs/>
                <w:sz w:val="20"/>
                <w:szCs w:val="20"/>
                <w:lang w:val="en-GB"/>
              </w:rPr>
            </w:pPr>
            <w:r w:rsidRPr="00985FE7">
              <w:rPr>
                <w:rFonts w:ascii="Arial" w:hAnsi="Arial" w:cs="Arial"/>
                <w:b/>
                <w:bCs/>
                <w:sz w:val="20"/>
                <w:szCs w:val="20"/>
                <w:lang w:val="en-GB"/>
              </w:rPr>
              <w:t xml:space="preserve">This study titled as "Recombinant Expression of Taq DNA Polymerase Using </w:t>
            </w:r>
            <w:proofErr w:type="spellStart"/>
            <w:r w:rsidRPr="00985FE7">
              <w:rPr>
                <w:rFonts w:ascii="Arial" w:hAnsi="Arial" w:cs="Arial"/>
                <w:b/>
                <w:bCs/>
                <w:sz w:val="20"/>
                <w:szCs w:val="20"/>
                <w:lang w:val="en-GB"/>
              </w:rPr>
              <w:t>pBluescript</w:t>
            </w:r>
            <w:proofErr w:type="spellEnd"/>
            <w:r w:rsidRPr="00985FE7">
              <w:rPr>
                <w:rFonts w:ascii="Arial" w:hAnsi="Arial" w:cs="Arial"/>
                <w:b/>
                <w:bCs/>
                <w:sz w:val="20"/>
                <w:szCs w:val="20"/>
                <w:lang w:val="en-GB"/>
              </w:rPr>
              <w:t xml:space="preserve"> </w:t>
            </w:r>
            <w:proofErr w:type="gramStart"/>
            <w:r w:rsidRPr="00985FE7">
              <w:rPr>
                <w:rFonts w:ascii="Arial" w:hAnsi="Arial" w:cs="Arial"/>
                <w:b/>
                <w:bCs/>
                <w:sz w:val="20"/>
                <w:szCs w:val="20"/>
                <w:lang w:val="en-GB"/>
              </w:rPr>
              <w:t>SK(</w:t>
            </w:r>
            <w:proofErr w:type="gramEnd"/>
            <w:r w:rsidRPr="00985FE7">
              <w:rPr>
                <w:rFonts w:ascii="Arial" w:hAnsi="Arial" w:cs="Arial"/>
                <w:b/>
                <w:bCs/>
                <w:sz w:val="20"/>
                <w:szCs w:val="20"/>
                <w:lang w:val="en-GB"/>
              </w:rPr>
              <w:t>+) and  Chromatography-Free Purification: A Cost-Effective Strategy for Low-Resource </w:t>
            </w:r>
          </w:p>
          <w:p w14:paraId="5C882A95" w14:textId="281ED91E" w:rsidR="00930A6E" w:rsidRPr="00985FE7" w:rsidRDefault="00930A6E">
            <w:pPr>
              <w:pStyle w:val="ListParagraph"/>
              <w:ind w:left="0"/>
              <w:rPr>
                <w:rFonts w:ascii="Arial" w:hAnsi="Arial" w:cs="Arial"/>
                <w:b/>
                <w:bCs/>
                <w:sz w:val="20"/>
                <w:szCs w:val="20"/>
                <w:lang w:val="en-GB"/>
              </w:rPr>
            </w:pPr>
            <w:r w:rsidRPr="00985FE7">
              <w:rPr>
                <w:rFonts w:ascii="Arial" w:hAnsi="Arial" w:cs="Arial"/>
                <w:b/>
                <w:bCs/>
                <w:sz w:val="20"/>
                <w:szCs w:val="20"/>
                <w:lang w:val="en-GB"/>
              </w:rPr>
              <w:t xml:space="preserve"> Laboratories" holds potent importance as it demonstrate the first experimentally validated expression of thermostable Taq DNA polymerase using the widely available </w:t>
            </w:r>
            <w:proofErr w:type="spellStart"/>
            <w:r w:rsidRPr="00985FE7">
              <w:rPr>
                <w:rFonts w:ascii="Arial" w:hAnsi="Arial" w:cs="Arial"/>
                <w:b/>
                <w:bCs/>
                <w:sz w:val="20"/>
                <w:szCs w:val="20"/>
                <w:lang w:val="en-GB"/>
              </w:rPr>
              <w:t>pBluescript</w:t>
            </w:r>
            <w:proofErr w:type="spellEnd"/>
            <w:r w:rsidRPr="00985FE7">
              <w:rPr>
                <w:rFonts w:ascii="Arial" w:hAnsi="Arial" w:cs="Arial"/>
                <w:b/>
                <w:bCs/>
                <w:sz w:val="20"/>
                <w:szCs w:val="20"/>
                <w:lang w:val="en-GB"/>
              </w:rPr>
              <w:t xml:space="preserve"> </w:t>
            </w:r>
            <w:proofErr w:type="gramStart"/>
            <w:r w:rsidRPr="00985FE7">
              <w:rPr>
                <w:rFonts w:ascii="Arial" w:hAnsi="Arial" w:cs="Arial"/>
                <w:b/>
                <w:bCs/>
                <w:sz w:val="20"/>
                <w:szCs w:val="20"/>
                <w:lang w:val="en-GB"/>
              </w:rPr>
              <w:t>SK(</w:t>
            </w:r>
            <w:proofErr w:type="gramEnd"/>
            <w:r w:rsidRPr="00985FE7">
              <w:rPr>
                <w:rFonts w:ascii="Arial" w:hAnsi="Arial" w:cs="Arial"/>
                <w:b/>
                <w:bCs/>
                <w:sz w:val="20"/>
                <w:szCs w:val="20"/>
                <w:lang w:val="en-GB"/>
              </w:rPr>
              <w:t xml:space="preserve">+) cloning vector traditionally used for blue-white screening—as a protein expression platform in E. coli. The authors mention that the protocol reduced the cost-per-reaction </w:t>
            </w:r>
            <w:proofErr w:type="gramStart"/>
            <w:r w:rsidRPr="00985FE7">
              <w:rPr>
                <w:rFonts w:ascii="Arial" w:hAnsi="Arial" w:cs="Arial"/>
                <w:b/>
                <w:bCs/>
                <w:sz w:val="20"/>
                <w:szCs w:val="20"/>
                <w:lang w:val="en-GB"/>
              </w:rPr>
              <w:t>by  70</w:t>
            </w:r>
            <w:proofErr w:type="gramEnd"/>
            <w:r w:rsidRPr="00985FE7">
              <w:rPr>
                <w:rFonts w:ascii="Arial" w:hAnsi="Arial" w:cs="Arial"/>
                <w:b/>
                <w:bCs/>
                <w:sz w:val="20"/>
                <w:szCs w:val="20"/>
                <w:lang w:val="en-GB"/>
              </w:rPr>
              <w:t xml:space="preserve">–85%, depending on enzyme input and Their findings demonstrate that </w:t>
            </w:r>
            <w:proofErr w:type="spellStart"/>
            <w:r w:rsidRPr="00985FE7">
              <w:rPr>
                <w:rFonts w:ascii="Arial" w:hAnsi="Arial" w:cs="Arial"/>
                <w:b/>
                <w:bCs/>
                <w:sz w:val="20"/>
                <w:szCs w:val="20"/>
                <w:lang w:val="en-GB"/>
              </w:rPr>
              <w:t>pBluescript</w:t>
            </w:r>
            <w:proofErr w:type="spellEnd"/>
            <w:r w:rsidRPr="00985FE7">
              <w:rPr>
                <w:rFonts w:ascii="Arial" w:hAnsi="Arial" w:cs="Arial"/>
                <w:b/>
                <w:bCs/>
                <w:sz w:val="20"/>
                <w:szCs w:val="20"/>
                <w:lang w:val="en-GB"/>
              </w:rPr>
              <w:t xml:space="preserve"> SK(+) which is typically reserved for cloning purposes. On the </w:t>
            </w:r>
            <w:proofErr w:type="spellStart"/>
            <w:r w:rsidRPr="00985FE7">
              <w:rPr>
                <w:rFonts w:ascii="Arial" w:hAnsi="Arial" w:cs="Arial"/>
                <w:b/>
                <w:bCs/>
                <w:sz w:val="20"/>
                <w:szCs w:val="20"/>
                <w:lang w:val="en-GB"/>
              </w:rPr>
              <w:t>otherhand</w:t>
            </w:r>
            <w:proofErr w:type="spellEnd"/>
            <w:r w:rsidRPr="00985FE7">
              <w:rPr>
                <w:rFonts w:ascii="Arial" w:hAnsi="Arial" w:cs="Arial"/>
                <w:b/>
                <w:bCs/>
                <w:sz w:val="20"/>
                <w:szCs w:val="20"/>
                <w:lang w:val="en-GB"/>
              </w:rPr>
              <w:t xml:space="preserve">, under-resourced research environments this study may act as open-access alternative to proprietary enzyme production. As it visualize fully open-access alternative to conventional Taq polymerase production by repurposing </w:t>
            </w:r>
            <w:proofErr w:type="spellStart"/>
            <w:r w:rsidRPr="00985FE7">
              <w:rPr>
                <w:rFonts w:ascii="Arial" w:hAnsi="Arial" w:cs="Arial"/>
                <w:b/>
                <w:bCs/>
                <w:sz w:val="20"/>
                <w:szCs w:val="20"/>
                <w:lang w:val="en-GB"/>
              </w:rPr>
              <w:t>pBluescript</w:t>
            </w:r>
            <w:proofErr w:type="spellEnd"/>
            <w:r w:rsidRPr="00985FE7">
              <w:rPr>
                <w:rFonts w:ascii="Arial" w:hAnsi="Arial" w:cs="Arial"/>
                <w:b/>
                <w:bCs/>
                <w:sz w:val="20"/>
                <w:szCs w:val="20"/>
                <w:lang w:val="en-GB"/>
              </w:rPr>
              <w:t xml:space="preserve"> </w:t>
            </w:r>
            <w:proofErr w:type="gramStart"/>
            <w:r w:rsidRPr="00985FE7">
              <w:rPr>
                <w:rFonts w:ascii="Arial" w:hAnsi="Arial" w:cs="Arial"/>
                <w:b/>
                <w:bCs/>
                <w:sz w:val="20"/>
                <w:szCs w:val="20"/>
                <w:lang w:val="en-GB"/>
              </w:rPr>
              <w:t>SK(</w:t>
            </w:r>
            <w:proofErr w:type="gramEnd"/>
            <w:r w:rsidRPr="00985FE7">
              <w:rPr>
                <w:rFonts w:ascii="Arial" w:hAnsi="Arial" w:cs="Arial"/>
                <w:b/>
                <w:bCs/>
                <w:sz w:val="20"/>
                <w:szCs w:val="20"/>
                <w:lang w:val="en-GB"/>
              </w:rPr>
              <w:t xml:space="preserve">+), a widely available vector not previously validated for thermostable enzyme expression, it may be considered as a good finding for scientific community. </w:t>
            </w:r>
          </w:p>
          <w:p w14:paraId="3478446C" w14:textId="77777777" w:rsidR="00930A6E" w:rsidRPr="00985FE7" w:rsidRDefault="00930A6E">
            <w:pPr>
              <w:pStyle w:val="ListParagraph"/>
              <w:ind w:left="0"/>
              <w:rPr>
                <w:rFonts w:ascii="Arial" w:hAnsi="Arial" w:cs="Arial"/>
                <w:b/>
                <w:bCs/>
                <w:sz w:val="20"/>
                <w:szCs w:val="20"/>
                <w:lang w:val="en-GB"/>
              </w:rPr>
            </w:pPr>
          </w:p>
          <w:p w14:paraId="6D9EC060" w14:textId="5B0D4216" w:rsidR="00930A6E" w:rsidRPr="00985FE7" w:rsidRDefault="00930A6E">
            <w:pPr>
              <w:pStyle w:val="ListParagraph"/>
              <w:ind w:left="0"/>
              <w:rPr>
                <w:rFonts w:ascii="Arial" w:hAnsi="Arial" w:cs="Arial"/>
                <w:b/>
                <w:bCs/>
                <w:sz w:val="20"/>
                <w:szCs w:val="20"/>
                <w:lang w:val="en-GB"/>
              </w:rPr>
            </w:pPr>
          </w:p>
        </w:tc>
        <w:tc>
          <w:tcPr>
            <w:tcW w:w="1523" w:type="pct"/>
          </w:tcPr>
          <w:p w14:paraId="42097AF4" w14:textId="43EACAF0" w:rsidR="002F1235" w:rsidRPr="00985FE7" w:rsidRDefault="00754702">
            <w:pPr>
              <w:pStyle w:val="Heading2"/>
              <w:jc w:val="left"/>
              <w:rPr>
                <w:rFonts w:ascii="Arial" w:hAnsi="Arial" w:cs="Arial"/>
                <w:b w:val="0"/>
                <w:lang w:val="en-GB"/>
              </w:rPr>
            </w:pPr>
            <w:r w:rsidRPr="00985FE7">
              <w:rPr>
                <w:rFonts w:ascii="Arial" w:hAnsi="Arial" w:cs="Arial"/>
                <w:b w:val="0"/>
                <w:lang w:val="en-GB"/>
              </w:rPr>
              <w:t>We agree with the reviewer’s assessment and thank them for highlighting the importance of our work. In response, we have revised and expanded our response</w:t>
            </w:r>
            <w:r w:rsidR="00811703" w:rsidRPr="00985FE7">
              <w:rPr>
                <w:rFonts w:ascii="Arial" w:hAnsi="Arial" w:cs="Arial"/>
                <w:b w:val="0"/>
                <w:lang w:val="en-GB"/>
              </w:rPr>
              <w:t xml:space="preserve"> </w:t>
            </w:r>
            <w:r w:rsidRPr="00985FE7">
              <w:rPr>
                <w:rFonts w:ascii="Arial" w:hAnsi="Arial" w:cs="Arial"/>
                <w:b w:val="0"/>
                <w:lang w:val="en-GB"/>
              </w:rPr>
              <w:t>to read as follows:</w:t>
            </w:r>
          </w:p>
          <w:p w14:paraId="7E4712AA" w14:textId="379FB64D" w:rsidR="00754702" w:rsidRPr="00985FE7" w:rsidRDefault="00754702" w:rsidP="00754702">
            <w:pPr>
              <w:rPr>
                <w:rFonts w:ascii="Arial" w:hAnsi="Arial" w:cs="Arial"/>
                <w:sz w:val="20"/>
                <w:szCs w:val="20"/>
                <w:lang w:val="en-GB"/>
              </w:rPr>
            </w:pPr>
            <w:r w:rsidRPr="00985FE7">
              <w:rPr>
                <w:rFonts w:ascii="Arial" w:hAnsi="Arial" w:cs="Arial"/>
                <w:sz w:val="20"/>
                <w:szCs w:val="20"/>
              </w:rPr>
              <w:t xml:space="preserve">"This study presents the first experimentally validated use of the widely available </w:t>
            </w:r>
            <w:proofErr w:type="spellStart"/>
            <w:r w:rsidRPr="00985FE7">
              <w:rPr>
                <w:rFonts w:ascii="Arial" w:hAnsi="Arial" w:cs="Arial"/>
                <w:sz w:val="20"/>
                <w:szCs w:val="20"/>
              </w:rPr>
              <w:t>pBluescript</w:t>
            </w:r>
            <w:proofErr w:type="spellEnd"/>
            <w:r w:rsidRPr="00985FE7">
              <w:rPr>
                <w:rFonts w:ascii="Arial" w:hAnsi="Arial" w:cs="Arial"/>
                <w:sz w:val="20"/>
                <w:szCs w:val="20"/>
              </w:rPr>
              <w:t xml:space="preserve"> </w:t>
            </w:r>
            <w:proofErr w:type="gramStart"/>
            <w:r w:rsidRPr="00985FE7">
              <w:rPr>
                <w:rFonts w:ascii="Arial" w:hAnsi="Arial" w:cs="Arial"/>
                <w:sz w:val="20"/>
                <w:szCs w:val="20"/>
              </w:rPr>
              <w:t>SK(</w:t>
            </w:r>
            <w:proofErr w:type="gramEnd"/>
            <w:r w:rsidRPr="00985FE7">
              <w:rPr>
                <w:rFonts w:ascii="Arial" w:hAnsi="Arial" w:cs="Arial"/>
                <w:sz w:val="20"/>
                <w:szCs w:val="20"/>
              </w:rPr>
              <w:t xml:space="preserve">+) vector for the expression of thermostable Taq DNA polymerase in </w:t>
            </w:r>
            <w:r w:rsidRPr="00985FE7">
              <w:rPr>
                <w:rFonts w:ascii="Arial" w:hAnsi="Arial" w:cs="Arial"/>
                <w:i/>
                <w:iCs/>
                <w:sz w:val="20"/>
                <w:szCs w:val="20"/>
              </w:rPr>
              <w:t>E. coli</w:t>
            </w:r>
            <w:r w:rsidRPr="00985FE7">
              <w:rPr>
                <w:rFonts w:ascii="Arial" w:hAnsi="Arial" w:cs="Arial"/>
                <w:sz w:val="20"/>
                <w:szCs w:val="20"/>
              </w:rPr>
              <w:t>. Unlike conventional strategies that require proprietary systems, our protocol relies solely on generic reagents and a chromatography-free purification method, making it highly accessible and cost-effective. The approach reduced the cost per reaction by 70–85% and preserved enzyme activity and thermostability, making it a viable and scalable alternative for teaching and research in under-resourced laboratories. This work thus addresses an important gap in enzyme production workflows for the academic and educational sectors."</w:t>
            </w:r>
          </w:p>
        </w:tc>
      </w:tr>
      <w:tr w:rsidR="002F1235" w:rsidRPr="00985FE7" w14:paraId="79968ECB" w14:textId="77777777">
        <w:trPr>
          <w:trHeight w:val="1262"/>
        </w:trPr>
        <w:tc>
          <w:tcPr>
            <w:tcW w:w="1265" w:type="pct"/>
            <w:noWrap/>
          </w:tcPr>
          <w:p w14:paraId="3A444599" w14:textId="77777777" w:rsidR="002F1235" w:rsidRPr="00985FE7" w:rsidRDefault="002F1235">
            <w:pPr>
              <w:ind w:left="360"/>
              <w:rPr>
                <w:rFonts w:ascii="Arial" w:hAnsi="Arial" w:cs="Arial"/>
                <w:b/>
                <w:bCs/>
                <w:sz w:val="20"/>
                <w:szCs w:val="20"/>
                <w:lang w:val="en-GB"/>
              </w:rPr>
            </w:pPr>
            <w:r w:rsidRPr="00985FE7">
              <w:rPr>
                <w:rFonts w:ascii="Arial" w:hAnsi="Arial" w:cs="Arial"/>
                <w:b/>
                <w:bCs/>
                <w:sz w:val="20"/>
                <w:szCs w:val="20"/>
                <w:lang w:val="en-GB"/>
              </w:rPr>
              <w:t>Is the title of the article suitable?</w:t>
            </w:r>
          </w:p>
          <w:p w14:paraId="682ECE74" w14:textId="77777777" w:rsidR="002F1235" w:rsidRPr="00985FE7" w:rsidRDefault="002F1235">
            <w:pPr>
              <w:ind w:left="360"/>
              <w:rPr>
                <w:rFonts w:ascii="Arial" w:hAnsi="Arial" w:cs="Arial"/>
                <w:b/>
                <w:bCs/>
                <w:sz w:val="20"/>
                <w:szCs w:val="20"/>
                <w:lang w:val="en-GB"/>
              </w:rPr>
            </w:pPr>
            <w:r w:rsidRPr="00985FE7">
              <w:rPr>
                <w:rFonts w:ascii="Arial" w:hAnsi="Arial" w:cs="Arial"/>
                <w:b/>
                <w:bCs/>
                <w:sz w:val="20"/>
                <w:szCs w:val="20"/>
                <w:lang w:val="en-GB"/>
              </w:rPr>
              <w:t>(If not please suggest an alternative title)</w:t>
            </w:r>
          </w:p>
          <w:p w14:paraId="66B32A1B" w14:textId="77777777" w:rsidR="002F1235" w:rsidRPr="00985FE7" w:rsidRDefault="002F1235">
            <w:pPr>
              <w:pStyle w:val="Heading2"/>
              <w:jc w:val="left"/>
              <w:rPr>
                <w:rFonts w:ascii="Arial" w:hAnsi="Arial" w:cs="Arial"/>
                <w:u w:val="single"/>
                <w:lang w:val="en-GB"/>
              </w:rPr>
            </w:pPr>
          </w:p>
        </w:tc>
        <w:tc>
          <w:tcPr>
            <w:tcW w:w="2212" w:type="pct"/>
          </w:tcPr>
          <w:p w14:paraId="02633237" w14:textId="12F71F89" w:rsidR="002F1235" w:rsidRPr="00985FE7" w:rsidRDefault="00930A6E">
            <w:pPr>
              <w:ind w:left="360"/>
              <w:rPr>
                <w:rFonts w:ascii="Arial" w:hAnsi="Arial" w:cs="Arial"/>
                <w:b/>
                <w:bCs/>
                <w:sz w:val="20"/>
                <w:szCs w:val="20"/>
                <w:lang w:val="en-GB"/>
              </w:rPr>
            </w:pPr>
            <w:r w:rsidRPr="00985FE7">
              <w:rPr>
                <w:rFonts w:ascii="Arial" w:hAnsi="Arial" w:cs="Arial"/>
                <w:b/>
                <w:bCs/>
                <w:sz w:val="20"/>
                <w:szCs w:val="20"/>
                <w:lang w:val="en-GB"/>
              </w:rPr>
              <w:t xml:space="preserve">Yes, </w:t>
            </w:r>
            <w:proofErr w:type="gramStart"/>
            <w:r w:rsidRPr="00985FE7">
              <w:rPr>
                <w:rFonts w:ascii="Arial" w:hAnsi="Arial" w:cs="Arial"/>
                <w:b/>
                <w:bCs/>
                <w:sz w:val="20"/>
                <w:szCs w:val="20"/>
                <w:lang w:val="en-GB"/>
              </w:rPr>
              <w:t>The</w:t>
            </w:r>
            <w:proofErr w:type="gramEnd"/>
            <w:r w:rsidRPr="00985FE7">
              <w:rPr>
                <w:rFonts w:ascii="Arial" w:hAnsi="Arial" w:cs="Arial"/>
                <w:b/>
                <w:bCs/>
                <w:sz w:val="20"/>
                <w:szCs w:val="20"/>
                <w:lang w:val="en-GB"/>
              </w:rPr>
              <w:t xml:space="preserve"> title of the article is suitable.</w:t>
            </w:r>
          </w:p>
        </w:tc>
        <w:tc>
          <w:tcPr>
            <w:tcW w:w="1523" w:type="pct"/>
          </w:tcPr>
          <w:p w14:paraId="0619335A" w14:textId="77777777" w:rsidR="006323A7" w:rsidRPr="00985FE7" w:rsidRDefault="006323A7" w:rsidP="006323A7">
            <w:pPr>
              <w:rPr>
                <w:rFonts w:ascii="Arial" w:eastAsia="MS Mincho" w:hAnsi="Arial" w:cs="Arial"/>
                <w:bCs/>
                <w:sz w:val="20"/>
                <w:szCs w:val="20"/>
                <w:lang w:val="en-GB"/>
              </w:rPr>
            </w:pPr>
            <w:r w:rsidRPr="00985FE7">
              <w:rPr>
                <w:rFonts w:ascii="Arial" w:eastAsia="MS Mincho" w:hAnsi="Arial" w:cs="Arial"/>
                <w:bCs/>
                <w:sz w:val="20"/>
                <w:szCs w:val="20"/>
                <w:lang w:val="en-GB"/>
              </w:rPr>
              <w:t>We thank the reviewer for confirming the suitability of the title.</w:t>
            </w:r>
          </w:p>
          <w:p w14:paraId="328A2ABE" w14:textId="77777777" w:rsidR="002F1235" w:rsidRPr="00985FE7" w:rsidRDefault="002F1235">
            <w:pPr>
              <w:pStyle w:val="Heading2"/>
              <w:jc w:val="left"/>
              <w:rPr>
                <w:rFonts w:ascii="Arial" w:hAnsi="Arial" w:cs="Arial"/>
                <w:b w:val="0"/>
                <w:lang w:val="en-GB"/>
              </w:rPr>
            </w:pPr>
          </w:p>
        </w:tc>
      </w:tr>
      <w:tr w:rsidR="002F1235" w:rsidRPr="00985FE7" w14:paraId="58D32C76" w14:textId="77777777">
        <w:trPr>
          <w:trHeight w:val="1262"/>
        </w:trPr>
        <w:tc>
          <w:tcPr>
            <w:tcW w:w="1265" w:type="pct"/>
            <w:noWrap/>
          </w:tcPr>
          <w:p w14:paraId="1FF0F570" w14:textId="77777777" w:rsidR="002F1235" w:rsidRPr="00985FE7" w:rsidRDefault="002F1235">
            <w:pPr>
              <w:pStyle w:val="Heading2"/>
              <w:ind w:left="360"/>
              <w:jc w:val="left"/>
              <w:rPr>
                <w:rFonts w:ascii="Arial" w:hAnsi="Arial" w:cs="Arial"/>
                <w:lang w:val="en-GB"/>
              </w:rPr>
            </w:pPr>
            <w:r w:rsidRPr="00985FE7">
              <w:rPr>
                <w:rFonts w:ascii="Arial" w:hAnsi="Arial" w:cs="Arial"/>
                <w:lang w:val="en-GB"/>
              </w:rPr>
              <w:t>Is the abstract of the article comprehensive? Do you suggest the addition (or deletion) of some points in this section? Please write your suggestions here.</w:t>
            </w:r>
          </w:p>
          <w:p w14:paraId="7A048E8B" w14:textId="77777777" w:rsidR="002F1235" w:rsidRPr="00985FE7" w:rsidRDefault="002F1235">
            <w:pPr>
              <w:pStyle w:val="Heading2"/>
              <w:jc w:val="left"/>
              <w:rPr>
                <w:rFonts w:ascii="Arial" w:hAnsi="Arial" w:cs="Arial"/>
                <w:u w:val="single"/>
                <w:lang w:val="en-GB"/>
              </w:rPr>
            </w:pPr>
          </w:p>
        </w:tc>
        <w:tc>
          <w:tcPr>
            <w:tcW w:w="2212" w:type="pct"/>
          </w:tcPr>
          <w:p w14:paraId="2C8D80D2" w14:textId="77777777" w:rsidR="002F1235" w:rsidRPr="00985FE7" w:rsidRDefault="00E444BE">
            <w:pPr>
              <w:ind w:left="360"/>
              <w:rPr>
                <w:rFonts w:ascii="Arial" w:hAnsi="Arial" w:cs="Arial"/>
                <w:b/>
                <w:bCs/>
                <w:sz w:val="20"/>
                <w:szCs w:val="20"/>
                <w:lang w:val="en-GB"/>
              </w:rPr>
            </w:pPr>
            <w:r w:rsidRPr="00985FE7">
              <w:rPr>
                <w:rFonts w:ascii="Arial" w:hAnsi="Arial" w:cs="Arial"/>
                <w:b/>
                <w:bCs/>
                <w:sz w:val="20"/>
                <w:szCs w:val="20"/>
                <w:lang w:val="en-GB"/>
              </w:rPr>
              <w:t>The Abstract of the article is comprehensive and also structured into a series-aim, methods, results and conclusions.</w:t>
            </w:r>
            <w:r w:rsidRPr="00985FE7">
              <w:rPr>
                <w:rFonts w:ascii="Arial" w:hAnsi="Arial" w:cs="Arial"/>
                <w:b/>
                <w:bCs/>
                <w:sz w:val="20"/>
                <w:szCs w:val="20"/>
                <w:lang w:val="en-GB"/>
              </w:rPr>
              <w:tab/>
            </w:r>
          </w:p>
          <w:p w14:paraId="7F58E005" w14:textId="77777777" w:rsidR="00E444BE" w:rsidRPr="00985FE7" w:rsidRDefault="00E444BE">
            <w:pPr>
              <w:ind w:left="360"/>
              <w:rPr>
                <w:rFonts w:ascii="Arial" w:hAnsi="Arial" w:cs="Arial"/>
                <w:b/>
                <w:bCs/>
                <w:sz w:val="20"/>
                <w:szCs w:val="20"/>
                <w:lang w:val="en-GB"/>
              </w:rPr>
            </w:pPr>
          </w:p>
          <w:p w14:paraId="1BDD67EE" w14:textId="1FF09463" w:rsidR="00E444BE" w:rsidRPr="00985FE7" w:rsidRDefault="00E444BE">
            <w:pPr>
              <w:ind w:left="360"/>
              <w:rPr>
                <w:rFonts w:ascii="Arial" w:hAnsi="Arial" w:cs="Arial"/>
                <w:b/>
                <w:bCs/>
                <w:sz w:val="20"/>
                <w:szCs w:val="20"/>
                <w:lang w:val="en-GB"/>
              </w:rPr>
            </w:pPr>
          </w:p>
        </w:tc>
        <w:tc>
          <w:tcPr>
            <w:tcW w:w="1523" w:type="pct"/>
          </w:tcPr>
          <w:p w14:paraId="17E8CB7D" w14:textId="53B06DB7" w:rsidR="002F1235" w:rsidRPr="00985FE7" w:rsidRDefault="006323A7">
            <w:pPr>
              <w:pStyle w:val="Heading2"/>
              <w:jc w:val="left"/>
              <w:rPr>
                <w:rFonts w:ascii="Arial" w:hAnsi="Arial" w:cs="Arial"/>
                <w:b w:val="0"/>
                <w:lang w:val="en-GB"/>
              </w:rPr>
            </w:pPr>
            <w:r w:rsidRPr="00985FE7">
              <w:rPr>
                <w:rFonts w:ascii="Arial" w:hAnsi="Arial" w:cs="Arial"/>
                <w:b w:val="0"/>
                <w:lang w:val="en-GB"/>
              </w:rPr>
              <w:t>We thank the reviewer for their positive evaluation of the abstract.</w:t>
            </w:r>
          </w:p>
        </w:tc>
      </w:tr>
      <w:tr w:rsidR="002F1235" w:rsidRPr="00985FE7" w14:paraId="14231E17" w14:textId="77777777">
        <w:trPr>
          <w:trHeight w:val="704"/>
        </w:trPr>
        <w:tc>
          <w:tcPr>
            <w:tcW w:w="1265" w:type="pct"/>
            <w:noWrap/>
          </w:tcPr>
          <w:p w14:paraId="385D9198" w14:textId="77777777" w:rsidR="002F1235" w:rsidRPr="00985FE7" w:rsidRDefault="002F1235">
            <w:pPr>
              <w:pStyle w:val="Heading2"/>
              <w:ind w:left="360"/>
              <w:jc w:val="left"/>
              <w:rPr>
                <w:rFonts w:ascii="Arial" w:hAnsi="Arial" w:cs="Arial"/>
                <w:b w:val="0"/>
                <w:bCs w:val="0"/>
                <w:u w:val="single"/>
                <w:lang w:val="en-GB"/>
              </w:rPr>
            </w:pPr>
            <w:r w:rsidRPr="00985FE7">
              <w:rPr>
                <w:rFonts w:ascii="Arial" w:hAnsi="Arial" w:cs="Arial"/>
                <w:lang w:val="en-GB"/>
              </w:rPr>
              <w:t>Is the manuscript scientifically, correct? Please write here.</w:t>
            </w:r>
          </w:p>
        </w:tc>
        <w:tc>
          <w:tcPr>
            <w:tcW w:w="2212" w:type="pct"/>
          </w:tcPr>
          <w:p w14:paraId="78A74F2E" w14:textId="7E6FEF33" w:rsidR="002F1235" w:rsidRPr="00985FE7" w:rsidRDefault="00C62F5A">
            <w:pPr>
              <w:pStyle w:val="ListParagraph"/>
              <w:ind w:left="0"/>
              <w:rPr>
                <w:rFonts w:ascii="Arial" w:hAnsi="Arial" w:cs="Arial"/>
                <w:bCs/>
                <w:sz w:val="20"/>
                <w:szCs w:val="20"/>
                <w:lang w:val="en-GB"/>
              </w:rPr>
            </w:pPr>
            <w:r w:rsidRPr="00985FE7">
              <w:rPr>
                <w:rFonts w:ascii="Arial" w:hAnsi="Arial" w:cs="Arial"/>
                <w:bCs/>
                <w:sz w:val="20"/>
                <w:szCs w:val="20"/>
                <w:lang w:val="en-GB"/>
              </w:rPr>
              <w:t xml:space="preserve">The manuscript is scientifically correct </w:t>
            </w:r>
          </w:p>
        </w:tc>
        <w:tc>
          <w:tcPr>
            <w:tcW w:w="1523" w:type="pct"/>
          </w:tcPr>
          <w:p w14:paraId="4595852E" w14:textId="3DA5F822" w:rsidR="002F1235" w:rsidRPr="00985FE7" w:rsidRDefault="007F3C9E">
            <w:pPr>
              <w:pStyle w:val="Heading2"/>
              <w:jc w:val="left"/>
              <w:rPr>
                <w:rFonts w:ascii="Arial" w:hAnsi="Arial" w:cs="Arial"/>
                <w:b w:val="0"/>
                <w:lang w:val="en-GB"/>
              </w:rPr>
            </w:pPr>
            <w:r w:rsidRPr="00985FE7">
              <w:rPr>
                <w:rFonts w:ascii="Arial" w:hAnsi="Arial" w:cs="Arial"/>
                <w:b w:val="0"/>
                <w:lang w:val="en-GB"/>
              </w:rPr>
              <w:t>We appreciate the reviewer’s confirmation of the scientific soundness of the manuscript.</w:t>
            </w:r>
          </w:p>
        </w:tc>
      </w:tr>
      <w:tr w:rsidR="002F1235" w:rsidRPr="00985FE7" w14:paraId="2238F166" w14:textId="77777777">
        <w:trPr>
          <w:trHeight w:val="703"/>
        </w:trPr>
        <w:tc>
          <w:tcPr>
            <w:tcW w:w="1265" w:type="pct"/>
            <w:noWrap/>
          </w:tcPr>
          <w:p w14:paraId="22460CCF" w14:textId="77777777" w:rsidR="002F1235" w:rsidRPr="00985FE7" w:rsidRDefault="002F1235">
            <w:pPr>
              <w:ind w:left="360"/>
              <w:rPr>
                <w:rFonts w:ascii="Arial" w:hAnsi="Arial" w:cs="Arial"/>
                <w:b/>
                <w:bCs/>
                <w:sz w:val="20"/>
                <w:szCs w:val="20"/>
                <w:lang w:val="en-GB"/>
              </w:rPr>
            </w:pPr>
            <w:r w:rsidRPr="00985FE7">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37AFDBC1" w14:textId="7AA0BA46" w:rsidR="002F1235" w:rsidRPr="00985FE7" w:rsidRDefault="00694013">
            <w:pPr>
              <w:pStyle w:val="ListParagraph"/>
              <w:ind w:left="0"/>
              <w:rPr>
                <w:rFonts w:ascii="Arial" w:hAnsi="Arial" w:cs="Arial"/>
                <w:bCs/>
                <w:sz w:val="20"/>
                <w:szCs w:val="20"/>
                <w:lang w:val="en-GB"/>
              </w:rPr>
            </w:pPr>
            <w:r w:rsidRPr="00985FE7">
              <w:rPr>
                <w:rFonts w:ascii="Arial" w:hAnsi="Arial" w:cs="Arial"/>
                <w:bCs/>
                <w:sz w:val="20"/>
                <w:szCs w:val="20"/>
                <w:lang w:val="en-GB"/>
              </w:rPr>
              <w:t xml:space="preserve">The references are sufficient. </w:t>
            </w:r>
            <w:r w:rsidR="00301169" w:rsidRPr="00985FE7">
              <w:rPr>
                <w:rFonts w:ascii="Arial" w:hAnsi="Arial" w:cs="Arial"/>
                <w:bCs/>
                <w:sz w:val="20"/>
                <w:szCs w:val="20"/>
                <w:lang w:val="en-GB"/>
              </w:rPr>
              <w:t>Most of the references are almost recent, however, the authors can consider replacing these below references if possible and only if they are not integral parts of the paper, as they are quite old. </w:t>
            </w:r>
          </w:p>
          <w:p w14:paraId="1B4A7543" w14:textId="77777777" w:rsidR="00301169" w:rsidRPr="00985FE7" w:rsidRDefault="00301169">
            <w:pPr>
              <w:pStyle w:val="ListParagraph"/>
              <w:ind w:left="0"/>
              <w:rPr>
                <w:rFonts w:ascii="Arial" w:hAnsi="Arial" w:cs="Arial"/>
                <w:bCs/>
                <w:sz w:val="20"/>
                <w:szCs w:val="20"/>
                <w:lang w:val="en-GB"/>
              </w:rPr>
            </w:pPr>
          </w:p>
          <w:p w14:paraId="033CAAA3" w14:textId="77777777" w:rsidR="00301169" w:rsidRPr="00985FE7" w:rsidRDefault="00301169">
            <w:pPr>
              <w:pStyle w:val="ListParagraph"/>
              <w:ind w:left="0"/>
              <w:rPr>
                <w:rFonts w:ascii="Arial" w:hAnsi="Arial" w:cs="Arial"/>
                <w:bCs/>
                <w:sz w:val="20"/>
                <w:szCs w:val="20"/>
                <w:lang w:val="en-GB"/>
              </w:rPr>
            </w:pPr>
            <w:bookmarkStart w:id="2" w:name="_GoBack"/>
            <w:bookmarkEnd w:id="2"/>
          </w:p>
          <w:p w14:paraId="61B80A60" w14:textId="77777777" w:rsidR="00301169" w:rsidRPr="00985FE7" w:rsidRDefault="00301169">
            <w:pPr>
              <w:pStyle w:val="ListParagraph"/>
              <w:ind w:left="0"/>
              <w:rPr>
                <w:rFonts w:ascii="Arial" w:hAnsi="Arial" w:cs="Arial"/>
                <w:bCs/>
                <w:sz w:val="20"/>
                <w:szCs w:val="20"/>
                <w:lang w:val="en-GB"/>
              </w:rPr>
            </w:pPr>
            <w:r w:rsidRPr="00985FE7">
              <w:rPr>
                <w:rFonts w:ascii="Arial" w:hAnsi="Arial" w:cs="Arial"/>
                <w:bCs/>
                <w:sz w:val="20"/>
                <w:szCs w:val="20"/>
                <w:lang w:val="en-GB"/>
              </w:rPr>
              <w:t>Chien, A., Edgar, D. B., &amp; Trela, J. M. (1976). Deoxyribonucleic acid polymerase from the </w:t>
            </w:r>
          </w:p>
          <w:p w14:paraId="11DBF5DB" w14:textId="77777777" w:rsidR="00301169" w:rsidRPr="00985FE7" w:rsidRDefault="00301169">
            <w:pPr>
              <w:pStyle w:val="ListParagraph"/>
              <w:ind w:left="0"/>
              <w:rPr>
                <w:rFonts w:ascii="Arial" w:hAnsi="Arial" w:cs="Arial"/>
                <w:bCs/>
                <w:sz w:val="20"/>
                <w:szCs w:val="20"/>
                <w:lang w:val="en-GB"/>
              </w:rPr>
            </w:pPr>
          </w:p>
          <w:p w14:paraId="0104F134" w14:textId="77777777" w:rsidR="00301169" w:rsidRPr="00985FE7" w:rsidRDefault="00301169">
            <w:pPr>
              <w:pStyle w:val="ListParagraph"/>
              <w:ind w:left="0"/>
              <w:rPr>
                <w:rFonts w:ascii="Arial" w:hAnsi="Arial" w:cs="Arial"/>
                <w:bCs/>
                <w:sz w:val="20"/>
                <w:szCs w:val="20"/>
                <w:lang w:val="en-GB"/>
              </w:rPr>
            </w:pPr>
            <w:r w:rsidRPr="00985FE7">
              <w:rPr>
                <w:rFonts w:ascii="Arial" w:hAnsi="Arial" w:cs="Arial"/>
                <w:bCs/>
                <w:sz w:val="20"/>
                <w:szCs w:val="20"/>
                <w:lang w:val="en-GB"/>
              </w:rPr>
              <w:t>653 extreme thermophile Thermus aquaticus. Journal of Bacteriology, 127(3), 1550–1557.</w:t>
            </w:r>
          </w:p>
          <w:p w14:paraId="401A0F49" w14:textId="77777777" w:rsidR="00301169" w:rsidRPr="00985FE7" w:rsidRDefault="00301169">
            <w:pPr>
              <w:pStyle w:val="ListParagraph"/>
              <w:ind w:left="0"/>
              <w:rPr>
                <w:rFonts w:ascii="Arial" w:hAnsi="Arial" w:cs="Arial"/>
                <w:bCs/>
                <w:sz w:val="20"/>
                <w:szCs w:val="20"/>
                <w:lang w:val="en-GB"/>
              </w:rPr>
            </w:pPr>
          </w:p>
          <w:p w14:paraId="3BBFB58E" w14:textId="77777777" w:rsidR="00301169" w:rsidRPr="00985FE7" w:rsidRDefault="00301169">
            <w:pPr>
              <w:pStyle w:val="ListParagraph"/>
              <w:ind w:left="0"/>
              <w:rPr>
                <w:rFonts w:ascii="Arial" w:hAnsi="Arial" w:cs="Arial"/>
                <w:bCs/>
                <w:sz w:val="20"/>
                <w:szCs w:val="20"/>
                <w:lang w:val="en-GB"/>
              </w:rPr>
            </w:pPr>
          </w:p>
          <w:p w14:paraId="18FDD7FF" w14:textId="77777777" w:rsidR="00301169" w:rsidRPr="00985FE7" w:rsidRDefault="00301169">
            <w:pPr>
              <w:pStyle w:val="ListParagraph"/>
              <w:ind w:left="0"/>
              <w:rPr>
                <w:rFonts w:ascii="Arial" w:hAnsi="Arial" w:cs="Arial"/>
                <w:bCs/>
                <w:sz w:val="20"/>
                <w:szCs w:val="20"/>
                <w:lang w:val="en-GB"/>
              </w:rPr>
            </w:pPr>
            <w:r w:rsidRPr="00985FE7">
              <w:rPr>
                <w:rFonts w:ascii="Arial" w:hAnsi="Arial" w:cs="Arial"/>
                <w:bCs/>
                <w:sz w:val="20"/>
                <w:szCs w:val="20"/>
                <w:lang w:val="en-GB"/>
              </w:rPr>
              <w:t>Saiki, R. K., Gelfand, D. H., Stoffel, S., Scharf, S. J., Higuchi, R., Horn, G. T., Mullis, K. B., &amp; </w:t>
            </w:r>
          </w:p>
          <w:p w14:paraId="7C2F7CE0" w14:textId="77777777" w:rsidR="00301169" w:rsidRPr="00985FE7" w:rsidRDefault="00301169">
            <w:pPr>
              <w:pStyle w:val="ListParagraph"/>
              <w:ind w:left="0"/>
              <w:rPr>
                <w:rFonts w:ascii="Arial" w:hAnsi="Arial" w:cs="Arial"/>
                <w:bCs/>
                <w:sz w:val="20"/>
                <w:szCs w:val="20"/>
                <w:lang w:val="en-GB"/>
              </w:rPr>
            </w:pPr>
          </w:p>
          <w:p w14:paraId="7343425B" w14:textId="77777777" w:rsidR="00301169" w:rsidRPr="00985FE7" w:rsidRDefault="00301169">
            <w:pPr>
              <w:pStyle w:val="ListParagraph"/>
              <w:ind w:left="0"/>
              <w:rPr>
                <w:rFonts w:ascii="Arial" w:hAnsi="Arial" w:cs="Arial"/>
                <w:bCs/>
                <w:sz w:val="20"/>
                <w:szCs w:val="20"/>
                <w:lang w:val="en-GB"/>
              </w:rPr>
            </w:pPr>
            <w:r w:rsidRPr="00985FE7">
              <w:rPr>
                <w:rFonts w:ascii="Arial" w:hAnsi="Arial" w:cs="Arial"/>
                <w:bCs/>
                <w:sz w:val="20"/>
                <w:szCs w:val="20"/>
                <w:lang w:val="en-GB"/>
              </w:rPr>
              <w:t> Erlich, H. A. (1988). Primer-directed enzymatic amplification of DNA with a thermostable DNA </w:t>
            </w:r>
          </w:p>
          <w:p w14:paraId="4B56FDEB" w14:textId="77777777" w:rsidR="00301169" w:rsidRPr="00985FE7" w:rsidRDefault="00301169">
            <w:pPr>
              <w:pStyle w:val="ListParagraph"/>
              <w:ind w:left="0"/>
              <w:rPr>
                <w:rFonts w:ascii="Arial" w:hAnsi="Arial" w:cs="Arial"/>
                <w:bCs/>
                <w:sz w:val="20"/>
                <w:szCs w:val="20"/>
                <w:lang w:val="en-GB"/>
              </w:rPr>
            </w:pPr>
          </w:p>
          <w:p w14:paraId="3950DAA5" w14:textId="77777777" w:rsidR="00301169" w:rsidRPr="00985FE7" w:rsidRDefault="00301169">
            <w:pPr>
              <w:pStyle w:val="ListParagraph"/>
              <w:ind w:left="0"/>
              <w:rPr>
                <w:rFonts w:ascii="Arial" w:hAnsi="Arial" w:cs="Arial"/>
                <w:bCs/>
                <w:sz w:val="20"/>
                <w:szCs w:val="20"/>
                <w:lang w:val="en-GB"/>
              </w:rPr>
            </w:pPr>
            <w:r w:rsidRPr="00985FE7">
              <w:rPr>
                <w:rFonts w:ascii="Arial" w:hAnsi="Arial" w:cs="Arial"/>
                <w:bCs/>
                <w:sz w:val="20"/>
                <w:szCs w:val="20"/>
                <w:lang w:val="en-GB"/>
              </w:rPr>
              <w:lastRenderedPageBreak/>
              <w:t>polymerase. Science, 239(4839), 487–491.</w:t>
            </w:r>
          </w:p>
          <w:p w14:paraId="613BD068" w14:textId="77777777" w:rsidR="00301169" w:rsidRPr="00985FE7" w:rsidRDefault="00301169">
            <w:pPr>
              <w:pStyle w:val="ListParagraph"/>
              <w:ind w:left="0"/>
              <w:rPr>
                <w:rFonts w:ascii="Arial" w:hAnsi="Arial" w:cs="Arial"/>
                <w:bCs/>
                <w:sz w:val="20"/>
                <w:szCs w:val="20"/>
                <w:lang w:val="en-GB"/>
              </w:rPr>
            </w:pPr>
          </w:p>
          <w:p w14:paraId="60592753" w14:textId="77777777" w:rsidR="00301169" w:rsidRPr="00985FE7" w:rsidRDefault="00301169">
            <w:pPr>
              <w:pStyle w:val="ListParagraph"/>
              <w:ind w:left="0"/>
              <w:rPr>
                <w:rFonts w:ascii="Arial" w:hAnsi="Arial" w:cs="Arial"/>
                <w:bCs/>
                <w:sz w:val="20"/>
                <w:szCs w:val="20"/>
                <w:lang w:val="en-GB"/>
              </w:rPr>
            </w:pPr>
          </w:p>
          <w:p w14:paraId="50CB56F8" w14:textId="77777777" w:rsidR="00301169" w:rsidRPr="00985FE7" w:rsidRDefault="00301169">
            <w:pPr>
              <w:pStyle w:val="ListParagraph"/>
              <w:ind w:left="0"/>
              <w:rPr>
                <w:rFonts w:ascii="Arial" w:hAnsi="Arial" w:cs="Arial"/>
                <w:bCs/>
                <w:sz w:val="20"/>
                <w:szCs w:val="20"/>
                <w:lang w:val="en-GB"/>
              </w:rPr>
            </w:pPr>
            <w:r w:rsidRPr="00985FE7">
              <w:rPr>
                <w:rFonts w:ascii="Arial" w:hAnsi="Arial" w:cs="Arial"/>
                <w:bCs/>
                <w:sz w:val="20"/>
                <w:szCs w:val="20"/>
                <w:lang w:val="en-GB"/>
              </w:rPr>
              <w:t xml:space="preserve">Engelke, D. R., </w:t>
            </w:r>
            <w:proofErr w:type="spellStart"/>
            <w:r w:rsidRPr="00985FE7">
              <w:rPr>
                <w:rFonts w:ascii="Arial" w:hAnsi="Arial" w:cs="Arial"/>
                <w:bCs/>
                <w:sz w:val="20"/>
                <w:szCs w:val="20"/>
                <w:lang w:val="en-GB"/>
              </w:rPr>
              <w:t>Krikos</w:t>
            </w:r>
            <w:proofErr w:type="spellEnd"/>
            <w:r w:rsidRPr="00985FE7">
              <w:rPr>
                <w:rFonts w:ascii="Arial" w:hAnsi="Arial" w:cs="Arial"/>
                <w:bCs/>
                <w:sz w:val="20"/>
                <w:szCs w:val="20"/>
                <w:lang w:val="en-GB"/>
              </w:rPr>
              <w:t>, A., Bruck, M. E., &amp; Ginsburg, D. (1990). Purification of Thermus </w:t>
            </w:r>
          </w:p>
          <w:p w14:paraId="21BE5651" w14:textId="77777777" w:rsidR="00301169" w:rsidRPr="00985FE7" w:rsidRDefault="00301169">
            <w:pPr>
              <w:pStyle w:val="ListParagraph"/>
              <w:ind w:left="0"/>
              <w:rPr>
                <w:rFonts w:ascii="Arial" w:hAnsi="Arial" w:cs="Arial"/>
                <w:bCs/>
                <w:sz w:val="20"/>
                <w:szCs w:val="20"/>
                <w:lang w:val="en-GB"/>
              </w:rPr>
            </w:pPr>
          </w:p>
          <w:p w14:paraId="3B210705" w14:textId="77777777" w:rsidR="00301169" w:rsidRPr="00985FE7" w:rsidRDefault="00301169">
            <w:pPr>
              <w:pStyle w:val="ListParagraph"/>
              <w:ind w:left="0"/>
              <w:rPr>
                <w:rFonts w:ascii="Arial" w:hAnsi="Arial" w:cs="Arial"/>
                <w:bCs/>
                <w:sz w:val="20"/>
                <w:szCs w:val="20"/>
                <w:lang w:val="en-GB"/>
              </w:rPr>
            </w:pPr>
            <w:r w:rsidRPr="00985FE7">
              <w:rPr>
                <w:rFonts w:ascii="Arial" w:hAnsi="Arial" w:cs="Arial"/>
                <w:bCs/>
                <w:sz w:val="20"/>
                <w:szCs w:val="20"/>
                <w:lang w:val="en-GB"/>
              </w:rPr>
              <w:t> aquaticus DNA polymerase expressed in Escherichia coli. Analytical Biochemistry, 191(2), 396– 400.</w:t>
            </w:r>
          </w:p>
          <w:p w14:paraId="790BF38C" w14:textId="77777777" w:rsidR="00301169" w:rsidRPr="00985FE7" w:rsidRDefault="00301169">
            <w:pPr>
              <w:pStyle w:val="ListParagraph"/>
              <w:ind w:left="0"/>
              <w:rPr>
                <w:rFonts w:ascii="Arial" w:hAnsi="Arial" w:cs="Arial"/>
                <w:bCs/>
                <w:sz w:val="20"/>
                <w:szCs w:val="20"/>
                <w:lang w:val="en-GB"/>
              </w:rPr>
            </w:pPr>
          </w:p>
          <w:p w14:paraId="2D049F75" w14:textId="77777777" w:rsidR="00301169" w:rsidRPr="00985FE7" w:rsidRDefault="00301169">
            <w:pPr>
              <w:pStyle w:val="ListParagraph"/>
              <w:ind w:left="0"/>
              <w:rPr>
                <w:rFonts w:ascii="Arial" w:hAnsi="Arial" w:cs="Arial"/>
                <w:bCs/>
                <w:sz w:val="20"/>
                <w:szCs w:val="20"/>
                <w:lang w:val="en-GB"/>
              </w:rPr>
            </w:pPr>
          </w:p>
          <w:p w14:paraId="00DBC5A0" w14:textId="77777777" w:rsidR="00301169" w:rsidRPr="00985FE7" w:rsidRDefault="00301169">
            <w:pPr>
              <w:pStyle w:val="ListParagraph"/>
              <w:ind w:left="0"/>
              <w:rPr>
                <w:rFonts w:ascii="Arial" w:hAnsi="Arial" w:cs="Arial"/>
                <w:bCs/>
                <w:sz w:val="20"/>
                <w:szCs w:val="20"/>
                <w:lang w:val="en-GB"/>
              </w:rPr>
            </w:pPr>
            <w:r w:rsidRPr="00985FE7">
              <w:rPr>
                <w:rFonts w:ascii="Arial" w:hAnsi="Arial" w:cs="Arial"/>
                <w:bCs/>
                <w:sz w:val="20"/>
                <w:szCs w:val="20"/>
                <w:lang w:val="en-GB"/>
              </w:rPr>
              <w:t>Lawyer, F. C., Stoffel, S., Saiki, R. K., Myambo, K., Drummond, R., &amp; Gelfand, D. H. (1989). </w:t>
            </w:r>
          </w:p>
          <w:p w14:paraId="5328D457" w14:textId="77777777" w:rsidR="00301169" w:rsidRPr="00985FE7" w:rsidRDefault="00301169">
            <w:pPr>
              <w:pStyle w:val="ListParagraph"/>
              <w:ind w:left="0"/>
              <w:rPr>
                <w:rFonts w:ascii="Arial" w:hAnsi="Arial" w:cs="Arial"/>
                <w:bCs/>
                <w:sz w:val="20"/>
                <w:szCs w:val="20"/>
                <w:lang w:val="en-GB"/>
              </w:rPr>
            </w:pPr>
          </w:p>
          <w:p w14:paraId="59D1BCFF" w14:textId="77777777" w:rsidR="00301169" w:rsidRPr="00985FE7" w:rsidRDefault="00301169">
            <w:pPr>
              <w:pStyle w:val="ListParagraph"/>
              <w:ind w:left="0"/>
              <w:rPr>
                <w:rFonts w:ascii="Arial" w:hAnsi="Arial" w:cs="Arial"/>
                <w:bCs/>
                <w:sz w:val="20"/>
                <w:szCs w:val="20"/>
                <w:lang w:val="en-GB"/>
              </w:rPr>
            </w:pPr>
            <w:r w:rsidRPr="00985FE7">
              <w:rPr>
                <w:rFonts w:ascii="Arial" w:hAnsi="Arial" w:cs="Arial"/>
                <w:bCs/>
                <w:sz w:val="20"/>
                <w:szCs w:val="20"/>
                <w:lang w:val="en-GB"/>
              </w:rPr>
              <w:t xml:space="preserve"> Isolation, characterization, and expression in Escherichia coli of the DNA polymerase gene </w:t>
            </w:r>
            <w:proofErr w:type="gramStart"/>
            <w:r w:rsidRPr="00985FE7">
              <w:rPr>
                <w:rFonts w:ascii="Arial" w:hAnsi="Arial" w:cs="Arial"/>
                <w:bCs/>
                <w:sz w:val="20"/>
                <w:szCs w:val="20"/>
                <w:lang w:val="en-GB"/>
              </w:rPr>
              <w:t>from  Thermus</w:t>
            </w:r>
            <w:proofErr w:type="gramEnd"/>
            <w:r w:rsidRPr="00985FE7">
              <w:rPr>
                <w:rFonts w:ascii="Arial" w:hAnsi="Arial" w:cs="Arial"/>
                <w:bCs/>
                <w:sz w:val="20"/>
                <w:szCs w:val="20"/>
                <w:lang w:val="en-GB"/>
              </w:rPr>
              <w:t xml:space="preserve"> aquaticus. Journal of Biological Chemistry, 264(11), 6427–6437.</w:t>
            </w:r>
          </w:p>
          <w:p w14:paraId="31F7AC55" w14:textId="77777777" w:rsidR="00301169" w:rsidRPr="00985FE7" w:rsidRDefault="00301169">
            <w:pPr>
              <w:pStyle w:val="ListParagraph"/>
              <w:ind w:left="0"/>
              <w:rPr>
                <w:rFonts w:ascii="Arial" w:hAnsi="Arial" w:cs="Arial"/>
                <w:bCs/>
                <w:sz w:val="20"/>
                <w:szCs w:val="20"/>
                <w:lang w:val="en-GB"/>
              </w:rPr>
            </w:pPr>
          </w:p>
          <w:p w14:paraId="24DD000D" w14:textId="77777777" w:rsidR="00301169" w:rsidRPr="00985FE7" w:rsidRDefault="00301169">
            <w:pPr>
              <w:pStyle w:val="ListParagraph"/>
              <w:ind w:left="0"/>
              <w:rPr>
                <w:rFonts w:ascii="Arial" w:hAnsi="Arial" w:cs="Arial"/>
                <w:bCs/>
                <w:sz w:val="20"/>
                <w:szCs w:val="20"/>
                <w:lang w:val="en-GB"/>
              </w:rPr>
            </w:pPr>
          </w:p>
          <w:p w14:paraId="20D46898" w14:textId="77777777" w:rsidR="00301169" w:rsidRPr="00985FE7" w:rsidRDefault="00301169">
            <w:pPr>
              <w:pStyle w:val="ListParagraph"/>
              <w:ind w:left="0"/>
              <w:rPr>
                <w:rFonts w:ascii="Arial" w:hAnsi="Arial" w:cs="Arial"/>
                <w:bCs/>
                <w:sz w:val="20"/>
                <w:szCs w:val="20"/>
                <w:lang w:val="en-GB"/>
              </w:rPr>
            </w:pPr>
            <w:proofErr w:type="spellStart"/>
            <w:r w:rsidRPr="00985FE7">
              <w:rPr>
                <w:rFonts w:ascii="Arial" w:hAnsi="Arial" w:cs="Arial"/>
                <w:bCs/>
                <w:sz w:val="20"/>
                <w:szCs w:val="20"/>
                <w:lang w:val="en-GB"/>
              </w:rPr>
              <w:t>Pluthero</w:t>
            </w:r>
            <w:proofErr w:type="spellEnd"/>
            <w:r w:rsidRPr="00985FE7">
              <w:rPr>
                <w:rFonts w:ascii="Arial" w:hAnsi="Arial" w:cs="Arial"/>
                <w:bCs/>
                <w:sz w:val="20"/>
                <w:szCs w:val="20"/>
                <w:lang w:val="en-GB"/>
              </w:rPr>
              <w:t>, F. G. (1993). Rapid purification of high-activity Taq DNA polymerase. Nucleic Acids </w:t>
            </w:r>
          </w:p>
          <w:p w14:paraId="6CB9E10E" w14:textId="77777777" w:rsidR="00301169" w:rsidRPr="00985FE7" w:rsidRDefault="00301169">
            <w:pPr>
              <w:pStyle w:val="ListParagraph"/>
              <w:ind w:left="0"/>
              <w:rPr>
                <w:rFonts w:ascii="Arial" w:hAnsi="Arial" w:cs="Arial"/>
                <w:bCs/>
                <w:sz w:val="20"/>
                <w:szCs w:val="20"/>
                <w:lang w:val="en-GB"/>
              </w:rPr>
            </w:pPr>
          </w:p>
          <w:p w14:paraId="2807AE4F" w14:textId="77777777" w:rsidR="00301169" w:rsidRPr="00985FE7" w:rsidRDefault="00301169">
            <w:pPr>
              <w:pStyle w:val="ListParagraph"/>
              <w:ind w:left="0"/>
              <w:rPr>
                <w:rFonts w:ascii="Arial" w:hAnsi="Arial" w:cs="Arial"/>
                <w:bCs/>
                <w:sz w:val="20"/>
                <w:szCs w:val="20"/>
                <w:lang w:val="en-GB"/>
              </w:rPr>
            </w:pPr>
            <w:r w:rsidRPr="00985FE7">
              <w:rPr>
                <w:rFonts w:ascii="Arial" w:hAnsi="Arial" w:cs="Arial"/>
                <w:bCs/>
                <w:sz w:val="20"/>
                <w:szCs w:val="20"/>
                <w:lang w:val="en-GB"/>
              </w:rPr>
              <w:t> Research, 21(20), 4850.</w:t>
            </w:r>
          </w:p>
          <w:p w14:paraId="07DC97A3" w14:textId="77777777" w:rsidR="00301169" w:rsidRPr="00985FE7" w:rsidRDefault="00301169">
            <w:pPr>
              <w:pStyle w:val="ListParagraph"/>
              <w:ind w:left="0"/>
              <w:rPr>
                <w:rFonts w:ascii="Arial" w:hAnsi="Arial" w:cs="Arial"/>
                <w:bCs/>
                <w:sz w:val="20"/>
                <w:szCs w:val="20"/>
                <w:lang w:val="en-GB"/>
              </w:rPr>
            </w:pPr>
          </w:p>
          <w:p w14:paraId="2BF1BCE3" w14:textId="77777777" w:rsidR="00301169" w:rsidRPr="00985FE7" w:rsidRDefault="00301169">
            <w:pPr>
              <w:pStyle w:val="ListParagraph"/>
              <w:ind w:left="0"/>
              <w:rPr>
                <w:rFonts w:ascii="Arial" w:hAnsi="Arial" w:cs="Arial"/>
                <w:bCs/>
                <w:sz w:val="20"/>
                <w:szCs w:val="20"/>
                <w:lang w:val="en-GB"/>
              </w:rPr>
            </w:pPr>
          </w:p>
          <w:p w14:paraId="2D889FFC" w14:textId="77777777" w:rsidR="00301169" w:rsidRPr="00985FE7" w:rsidRDefault="00301169">
            <w:pPr>
              <w:pStyle w:val="ListParagraph"/>
              <w:ind w:left="0"/>
              <w:rPr>
                <w:rFonts w:ascii="Arial" w:hAnsi="Arial" w:cs="Arial"/>
                <w:bCs/>
                <w:sz w:val="20"/>
                <w:szCs w:val="20"/>
                <w:lang w:val="en-GB"/>
              </w:rPr>
            </w:pPr>
            <w:r w:rsidRPr="00985FE7">
              <w:rPr>
                <w:rFonts w:ascii="Arial" w:hAnsi="Arial" w:cs="Arial"/>
                <w:bCs/>
                <w:sz w:val="20"/>
                <w:szCs w:val="20"/>
                <w:lang w:val="en-GB"/>
              </w:rPr>
              <w:t>Brock, T. D., &amp; Freeze, H. (1969). Thermus aquaticus gen. n. and sp. n., a nonsporulating </w:t>
            </w:r>
          </w:p>
          <w:p w14:paraId="3CFBF894" w14:textId="77777777" w:rsidR="00301169" w:rsidRPr="00985FE7" w:rsidRDefault="00301169">
            <w:pPr>
              <w:pStyle w:val="ListParagraph"/>
              <w:ind w:left="0"/>
              <w:rPr>
                <w:rFonts w:ascii="Arial" w:hAnsi="Arial" w:cs="Arial"/>
                <w:bCs/>
                <w:sz w:val="20"/>
                <w:szCs w:val="20"/>
                <w:lang w:val="en-GB"/>
              </w:rPr>
            </w:pPr>
          </w:p>
          <w:p w14:paraId="70110912" w14:textId="77777777" w:rsidR="00301169" w:rsidRPr="00985FE7" w:rsidRDefault="00301169">
            <w:pPr>
              <w:pStyle w:val="ListParagraph"/>
              <w:ind w:left="0"/>
              <w:rPr>
                <w:rFonts w:ascii="Arial" w:hAnsi="Arial" w:cs="Arial"/>
                <w:bCs/>
                <w:sz w:val="20"/>
                <w:szCs w:val="20"/>
                <w:lang w:val="en-GB"/>
              </w:rPr>
            </w:pPr>
            <w:r w:rsidRPr="00985FE7">
              <w:rPr>
                <w:rFonts w:ascii="Arial" w:hAnsi="Arial" w:cs="Arial"/>
                <w:bCs/>
                <w:sz w:val="20"/>
                <w:szCs w:val="20"/>
                <w:lang w:val="en-GB"/>
              </w:rPr>
              <w:t> extreme thermophile. Journal of Bacteriology, 98(1), 289–297.</w:t>
            </w:r>
          </w:p>
          <w:p w14:paraId="0C5C650D" w14:textId="77777777" w:rsidR="00301169" w:rsidRPr="00985FE7" w:rsidRDefault="00301169">
            <w:pPr>
              <w:pStyle w:val="ListParagraph"/>
              <w:ind w:left="0"/>
              <w:rPr>
                <w:rFonts w:ascii="Arial" w:hAnsi="Arial" w:cs="Arial"/>
                <w:bCs/>
                <w:sz w:val="20"/>
                <w:szCs w:val="20"/>
                <w:lang w:val="en-GB"/>
              </w:rPr>
            </w:pPr>
          </w:p>
          <w:p w14:paraId="64BF1353" w14:textId="77777777" w:rsidR="00301169" w:rsidRPr="00985FE7" w:rsidRDefault="00301169">
            <w:pPr>
              <w:pStyle w:val="ListParagraph"/>
              <w:ind w:left="0"/>
              <w:rPr>
                <w:rFonts w:ascii="Arial" w:hAnsi="Arial" w:cs="Arial"/>
                <w:bCs/>
                <w:sz w:val="20"/>
                <w:szCs w:val="20"/>
                <w:lang w:val="en-GB"/>
              </w:rPr>
            </w:pPr>
          </w:p>
          <w:p w14:paraId="30E05A93" w14:textId="77777777" w:rsidR="00301169" w:rsidRPr="00985FE7" w:rsidRDefault="00301169">
            <w:pPr>
              <w:pStyle w:val="ListParagraph"/>
              <w:ind w:left="0"/>
              <w:rPr>
                <w:rFonts w:ascii="Arial" w:hAnsi="Arial" w:cs="Arial"/>
                <w:bCs/>
                <w:sz w:val="20"/>
                <w:szCs w:val="20"/>
                <w:lang w:val="en-GB"/>
              </w:rPr>
            </w:pPr>
            <w:r w:rsidRPr="00985FE7">
              <w:rPr>
                <w:rFonts w:ascii="Arial" w:hAnsi="Arial" w:cs="Arial"/>
                <w:bCs/>
                <w:sz w:val="20"/>
                <w:szCs w:val="20"/>
                <w:lang w:val="en-GB"/>
              </w:rPr>
              <w:t>Gelfand, D. H. (1989). Taq DNA polymerase. In PCR Technology: Principles and Applications </w:t>
            </w:r>
          </w:p>
          <w:p w14:paraId="4A425FE8" w14:textId="77777777" w:rsidR="00301169" w:rsidRPr="00985FE7" w:rsidRDefault="00301169">
            <w:pPr>
              <w:pStyle w:val="ListParagraph"/>
              <w:ind w:left="0"/>
              <w:rPr>
                <w:rFonts w:ascii="Arial" w:hAnsi="Arial" w:cs="Arial"/>
                <w:bCs/>
                <w:sz w:val="20"/>
                <w:szCs w:val="20"/>
                <w:lang w:val="en-GB"/>
              </w:rPr>
            </w:pPr>
          </w:p>
          <w:p w14:paraId="557EB266" w14:textId="77777777" w:rsidR="00301169" w:rsidRPr="00985FE7" w:rsidRDefault="00301169">
            <w:pPr>
              <w:pStyle w:val="ListParagraph"/>
              <w:ind w:left="0"/>
              <w:rPr>
                <w:rFonts w:ascii="Arial" w:hAnsi="Arial" w:cs="Arial"/>
                <w:bCs/>
                <w:sz w:val="20"/>
                <w:szCs w:val="20"/>
                <w:lang w:val="en-GB"/>
              </w:rPr>
            </w:pPr>
            <w:r w:rsidRPr="00985FE7">
              <w:rPr>
                <w:rFonts w:ascii="Arial" w:hAnsi="Arial" w:cs="Arial"/>
                <w:bCs/>
                <w:sz w:val="20"/>
                <w:szCs w:val="20"/>
                <w:lang w:val="en-GB"/>
              </w:rPr>
              <w:t> for DNA Amplification (pp. 17–22). London: Palgrave Macmillan UK.</w:t>
            </w:r>
          </w:p>
          <w:p w14:paraId="18A22703" w14:textId="77777777" w:rsidR="00301169" w:rsidRPr="00985FE7" w:rsidRDefault="00301169">
            <w:pPr>
              <w:pStyle w:val="ListParagraph"/>
              <w:ind w:left="0"/>
              <w:rPr>
                <w:rFonts w:ascii="Arial" w:hAnsi="Arial" w:cs="Arial"/>
                <w:bCs/>
                <w:sz w:val="20"/>
                <w:szCs w:val="20"/>
                <w:lang w:val="en-GB"/>
              </w:rPr>
            </w:pPr>
          </w:p>
          <w:p w14:paraId="74661A5E" w14:textId="6F661AD3" w:rsidR="00301169" w:rsidRPr="00985FE7" w:rsidRDefault="00301169">
            <w:pPr>
              <w:pStyle w:val="ListParagraph"/>
              <w:ind w:left="0"/>
              <w:rPr>
                <w:rFonts w:ascii="Arial" w:hAnsi="Arial" w:cs="Arial"/>
                <w:bCs/>
                <w:sz w:val="20"/>
                <w:szCs w:val="20"/>
                <w:lang w:val="en-GB"/>
              </w:rPr>
            </w:pPr>
          </w:p>
        </w:tc>
        <w:tc>
          <w:tcPr>
            <w:tcW w:w="1523" w:type="pct"/>
          </w:tcPr>
          <w:p w14:paraId="6DBBD7D1" w14:textId="77777777" w:rsidR="002C7470" w:rsidRPr="00985FE7" w:rsidRDefault="002C7470" w:rsidP="002C7470">
            <w:pPr>
              <w:pStyle w:val="Heading2"/>
              <w:rPr>
                <w:rFonts w:ascii="Arial" w:hAnsi="Arial" w:cs="Arial"/>
                <w:b w:val="0"/>
                <w:bCs w:val="0"/>
                <w:lang w:val="en-US"/>
              </w:rPr>
            </w:pPr>
            <w:r w:rsidRPr="00985FE7">
              <w:rPr>
                <w:rFonts w:ascii="Arial" w:hAnsi="Arial" w:cs="Arial"/>
                <w:b w:val="0"/>
                <w:bCs w:val="0"/>
                <w:lang w:val="en-US"/>
              </w:rPr>
              <w:lastRenderedPageBreak/>
              <w:t xml:space="preserve">In response to the reviewer’s suggestion to consider replacing older references, we appreciate the opportunity to clarify that each of the cited works serves a foundational or contextually essential role that cannot be substituted by newer sources without compromising historical accuracy or scientific continuity. </w:t>
            </w:r>
            <w:r w:rsidRPr="00985FE7">
              <w:rPr>
                <w:rFonts w:ascii="Arial" w:hAnsi="Arial" w:cs="Arial"/>
                <w:lang w:val="en-US"/>
              </w:rPr>
              <w:t>Chien et al. (1976)</w:t>
            </w:r>
            <w:r w:rsidRPr="00985FE7">
              <w:rPr>
                <w:rFonts w:ascii="Arial" w:hAnsi="Arial" w:cs="Arial"/>
                <w:b w:val="0"/>
                <w:bCs w:val="0"/>
                <w:lang w:val="en-US"/>
              </w:rPr>
              <w:t xml:space="preserve"> is the seminal study that first identified and characterized </w:t>
            </w:r>
            <w:r w:rsidRPr="00985FE7">
              <w:rPr>
                <w:rFonts w:ascii="Arial" w:hAnsi="Arial" w:cs="Arial"/>
                <w:b w:val="0"/>
                <w:bCs w:val="0"/>
                <w:i/>
                <w:iCs/>
                <w:lang w:val="en-US"/>
              </w:rPr>
              <w:t>Taq</w:t>
            </w:r>
            <w:r w:rsidRPr="00985FE7">
              <w:rPr>
                <w:rFonts w:ascii="Arial" w:hAnsi="Arial" w:cs="Arial"/>
                <w:b w:val="0"/>
                <w:bCs w:val="0"/>
                <w:lang w:val="en-US"/>
              </w:rPr>
              <w:t xml:space="preserve"> DNA polymerase from </w:t>
            </w:r>
            <w:r w:rsidRPr="00985FE7">
              <w:rPr>
                <w:rFonts w:ascii="Arial" w:hAnsi="Arial" w:cs="Arial"/>
                <w:b w:val="0"/>
                <w:bCs w:val="0"/>
                <w:i/>
                <w:iCs/>
                <w:lang w:val="en-US"/>
              </w:rPr>
              <w:t>Thermus aquaticus</w:t>
            </w:r>
            <w:r w:rsidRPr="00985FE7">
              <w:rPr>
                <w:rFonts w:ascii="Arial" w:hAnsi="Arial" w:cs="Arial"/>
                <w:b w:val="0"/>
                <w:bCs w:val="0"/>
                <w:lang w:val="en-US"/>
              </w:rPr>
              <w:t xml:space="preserve">, demonstrating its thermostability and enzymatic activity—an essential citation in any work involving </w:t>
            </w:r>
            <w:r w:rsidRPr="00985FE7">
              <w:rPr>
                <w:rFonts w:ascii="Arial" w:hAnsi="Arial" w:cs="Arial"/>
                <w:b w:val="0"/>
                <w:bCs w:val="0"/>
                <w:i/>
                <w:iCs/>
                <w:lang w:val="en-US"/>
              </w:rPr>
              <w:t>Taq</w:t>
            </w:r>
            <w:r w:rsidRPr="00985FE7">
              <w:rPr>
                <w:rFonts w:ascii="Arial" w:hAnsi="Arial" w:cs="Arial"/>
                <w:b w:val="0"/>
                <w:bCs w:val="0"/>
                <w:lang w:val="en-US"/>
              </w:rPr>
              <w:t xml:space="preserve"> due to its foundational nature. </w:t>
            </w:r>
            <w:r w:rsidRPr="00985FE7">
              <w:rPr>
                <w:rFonts w:ascii="Arial" w:hAnsi="Arial" w:cs="Arial"/>
                <w:lang w:val="en-US"/>
              </w:rPr>
              <w:t>Brock and Freeze (1969)</w:t>
            </w:r>
            <w:r w:rsidRPr="00985FE7">
              <w:rPr>
                <w:rFonts w:ascii="Arial" w:hAnsi="Arial" w:cs="Arial"/>
                <w:b w:val="0"/>
                <w:bCs w:val="0"/>
                <w:lang w:val="en-US"/>
              </w:rPr>
              <w:t xml:space="preserve"> represents the original taxonomic description of </w:t>
            </w:r>
            <w:r w:rsidRPr="00985FE7">
              <w:rPr>
                <w:rFonts w:ascii="Arial" w:hAnsi="Arial" w:cs="Arial"/>
                <w:b w:val="0"/>
                <w:bCs w:val="0"/>
                <w:i/>
                <w:iCs/>
                <w:lang w:val="en-US"/>
              </w:rPr>
              <w:t>Thermus aquaticus</w:t>
            </w:r>
            <w:r w:rsidRPr="00985FE7">
              <w:rPr>
                <w:rFonts w:ascii="Arial" w:hAnsi="Arial" w:cs="Arial"/>
                <w:b w:val="0"/>
                <w:bCs w:val="0"/>
                <w:lang w:val="en-US"/>
              </w:rPr>
              <w:t xml:space="preserve">, and this reference was requested by our </w:t>
            </w:r>
            <w:r w:rsidRPr="00985FE7">
              <w:rPr>
                <w:rFonts w:ascii="Arial" w:hAnsi="Arial" w:cs="Arial"/>
                <w:b w:val="0"/>
                <w:bCs w:val="0"/>
                <w:i/>
                <w:iCs/>
                <w:lang w:val="en-US"/>
              </w:rPr>
              <w:t>T. aquaticus</w:t>
            </w:r>
            <w:r w:rsidRPr="00985FE7">
              <w:rPr>
                <w:rFonts w:ascii="Arial" w:hAnsi="Arial" w:cs="Arial"/>
                <w:b w:val="0"/>
                <w:bCs w:val="0"/>
                <w:lang w:val="en-US"/>
              </w:rPr>
              <w:t xml:space="preserve"> strain supplier to ensure proper attribution. It also provides critical microbiological context for the source of the enzyme. </w:t>
            </w:r>
            <w:r w:rsidRPr="00985FE7">
              <w:rPr>
                <w:rFonts w:ascii="Arial" w:hAnsi="Arial" w:cs="Arial"/>
                <w:lang w:val="en-US"/>
              </w:rPr>
              <w:t>Lawyer et al. (1989)</w:t>
            </w:r>
            <w:r w:rsidRPr="00985FE7">
              <w:rPr>
                <w:rFonts w:ascii="Arial" w:hAnsi="Arial" w:cs="Arial"/>
                <w:b w:val="0"/>
                <w:bCs w:val="0"/>
                <w:lang w:val="en-US"/>
              </w:rPr>
              <w:t xml:space="preserve"> was the first to clone and express the </w:t>
            </w:r>
            <w:r w:rsidRPr="00985FE7">
              <w:rPr>
                <w:rFonts w:ascii="Arial" w:hAnsi="Arial" w:cs="Arial"/>
                <w:b w:val="0"/>
                <w:bCs w:val="0"/>
                <w:i/>
                <w:iCs/>
                <w:lang w:val="en-US"/>
              </w:rPr>
              <w:t>Taq</w:t>
            </w:r>
            <w:r w:rsidRPr="00985FE7">
              <w:rPr>
                <w:rFonts w:ascii="Arial" w:hAnsi="Arial" w:cs="Arial"/>
                <w:b w:val="0"/>
                <w:bCs w:val="0"/>
                <w:lang w:val="en-US"/>
              </w:rPr>
              <w:t xml:space="preserve"> polymerase gene in </w:t>
            </w:r>
            <w:r w:rsidRPr="00985FE7">
              <w:rPr>
                <w:rFonts w:ascii="Arial" w:hAnsi="Arial" w:cs="Arial"/>
                <w:b w:val="0"/>
                <w:bCs w:val="0"/>
                <w:i/>
                <w:iCs/>
                <w:lang w:val="en-US"/>
              </w:rPr>
              <w:t>E. coli</w:t>
            </w:r>
            <w:r w:rsidRPr="00985FE7">
              <w:rPr>
                <w:rFonts w:ascii="Arial" w:hAnsi="Arial" w:cs="Arial"/>
                <w:b w:val="0"/>
                <w:bCs w:val="0"/>
                <w:lang w:val="en-US"/>
              </w:rPr>
              <w:t xml:space="preserve">, which directly laid the </w:t>
            </w:r>
            <w:r w:rsidRPr="00985FE7">
              <w:rPr>
                <w:rFonts w:ascii="Arial" w:hAnsi="Arial" w:cs="Arial"/>
                <w:b w:val="0"/>
                <w:bCs w:val="0"/>
                <w:lang w:val="en-US"/>
              </w:rPr>
              <w:lastRenderedPageBreak/>
              <w:t>groundwork for all recombinant production systems—including our simplified educational version—and is indispensable in tracing this methodological lineage.</w:t>
            </w:r>
          </w:p>
          <w:p w14:paraId="5A5353A7" w14:textId="0D06403F" w:rsidR="002C7470" w:rsidRPr="00985FE7" w:rsidRDefault="002C7470" w:rsidP="002C7470">
            <w:pPr>
              <w:pStyle w:val="Heading2"/>
              <w:rPr>
                <w:rFonts w:ascii="Arial" w:hAnsi="Arial" w:cs="Arial"/>
                <w:b w:val="0"/>
                <w:bCs w:val="0"/>
                <w:lang w:val="en-US"/>
              </w:rPr>
            </w:pPr>
            <w:r w:rsidRPr="00985FE7">
              <w:rPr>
                <w:rFonts w:ascii="Arial" w:hAnsi="Arial" w:cs="Arial"/>
                <w:lang w:val="en-US"/>
              </w:rPr>
              <w:t>Engelke et al. (1990)</w:t>
            </w:r>
            <w:r w:rsidRPr="00985FE7">
              <w:rPr>
                <w:rFonts w:ascii="Arial" w:hAnsi="Arial" w:cs="Arial"/>
                <w:b w:val="0"/>
                <w:bCs w:val="0"/>
                <w:lang w:val="en-US"/>
              </w:rPr>
              <w:t xml:space="preserve"> pioneered a heat-denaturation purification approach for </w:t>
            </w:r>
            <w:r w:rsidRPr="00985FE7">
              <w:rPr>
                <w:rFonts w:ascii="Arial" w:hAnsi="Arial" w:cs="Arial"/>
                <w:b w:val="0"/>
                <w:bCs w:val="0"/>
                <w:i/>
                <w:iCs/>
                <w:lang w:val="en-US"/>
              </w:rPr>
              <w:t>Taq</w:t>
            </w:r>
            <w:r w:rsidRPr="00985FE7">
              <w:rPr>
                <w:rFonts w:ascii="Arial" w:hAnsi="Arial" w:cs="Arial"/>
                <w:b w:val="0"/>
                <w:bCs w:val="0"/>
                <w:lang w:val="en-US"/>
              </w:rPr>
              <w:t xml:space="preserve"> polymerase, forming the conceptual foundation for our chromatography-free strategy. Our protocol refines this principle to enhance yield, cost-efficiency, and accessibility, and thus must cite the original strategy it builds upon. </w:t>
            </w:r>
            <w:proofErr w:type="spellStart"/>
            <w:r w:rsidRPr="00985FE7">
              <w:rPr>
                <w:rFonts w:ascii="Arial" w:hAnsi="Arial" w:cs="Arial"/>
                <w:lang w:val="en-US"/>
              </w:rPr>
              <w:t>Pluthero</w:t>
            </w:r>
            <w:proofErr w:type="spellEnd"/>
            <w:r w:rsidRPr="00985FE7">
              <w:rPr>
                <w:rFonts w:ascii="Arial" w:hAnsi="Arial" w:cs="Arial"/>
                <w:lang w:val="en-US"/>
              </w:rPr>
              <w:t xml:space="preserve"> (1993)</w:t>
            </w:r>
            <w:r w:rsidRPr="00985FE7">
              <w:rPr>
                <w:rFonts w:ascii="Arial" w:hAnsi="Arial" w:cs="Arial"/>
                <w:b w:val="0"/>
                <w:bCs w:val="0"/>
                <w:lang w:val="en-US"/>
              </w:rPr>
              <w:t xml:space="preserve"> is</w:t>
            </w:r>
            <w:r w:rsidRPr="00985FE7">
              <w:rPr>
                <w:rFonts w:ascii="Arial" w:hAnsi="Arial" w:cs="Arial"/>
                <w:lang w:val="en-US"/>
              </w:rPr>
              <w:t xml:space="preserve"> </w:t>
            </w:r>
            <w:r w:rsidRPr="00985FE7">
              <w:rPr>
                <w:rFonts w:ascii="Arial" w:hAnsi="Arial" w:cs="Arial"/>
                <w:b w:val="0"/>
                <w:bCs w:val="0"/>
                <w:lang w:val="en-US"/>
              </w:rPr>
              <w:t xml:space="preserve">another key milestone that introduced a rapid, non-chromatographic method for purifying </w:t>
            </w:r>
            <w:r w:rsidRPr="00985FE7">
              <w:rPr>
                <w:rFonts w:ascii="Arial" w:hAnsi="Arial" w:cs="Arial"/>
                <w:b w:val="0"/>
                <w:bCs w:val="0"/>
                <w:i/>
                <w:iCs/>
                <w:lang w:val="en-US"/>
              </w:rPr>
              <w:t>Taq</w:t>
            </w:r>
            <w:r w:rsidRPr="00985FE7">
              <w:rPr>
                <w:rFonts w:ascii="Arial" w:hAnsi="Arial" w:cs="Arial"/>
                <w:b w:val="0"/>
                <w:bCs w:val="0"/>
                <w:lang w:val="en-US"/>
              </w:rPr>
              <w:t xml:space="preserve">, closely aligned with our resin-free workflow and thus necessary to establish methodological continuity and benchmark comparison. Lastly, </w:t>
            </w:r>
            <w:r w:rsidRPr="00985FE7">
              <w:rPr>
                <w:rFonts w:ascii="Arial" w:hAnsi="Arial" w:cs="Arial"/>
                <w:lang w:val="en-US"/>
              </w:rPr>
              <w:t>Gelfand (1989)</w:t>
            </w:r>
            <w:r w:rsidRPr="00985FE7">
              <w:rPr>
                <w:rFonts w:ascii="Arial" w:hAnsi="Arial" w:cs="Arial"/>
                <w:b w:val="0"/>
                <w:bCs w:val="0"/>
                <w:lang w:val="en-US"/>
              </w:rPr>
              <w:t xml:space="preserve"> contextualizes the transformative impact of </w:t>
            </w:r>
            <w:r w:rsidRPr="00985FE7">
              <w:rPr>
                <w:rFonts w:ascii="Arial" w:hAnsi="Arial" w:cs="Arial"/>
                <w:b w:val="0"/>
                <w:bCs w:val="0"/>
                <w:i/>
                <w:iCs/>
                <w:lang w:val="en-US"/>
              </w:rPr>
              <w:t>Taq</w:t>
            </w:r>
            <w:r w:rsidRPr="00985FE7">
              <w:rPr>
                <w:rFonts w:ascii="Arial" w:hAnsi="Arial" w:cs="Arial"/>
                <w:b w:val="0"/>
                <w:bCs w:val="0"/>
                <w:lang w:val="en-US"/>
              </w:rPr>
              <w:t xml:space="preserve"> polymerase in the PCR era from a biotechnological perspective. Citing this source reinforces our argument for broadening access to PCR-grade enzymes for educational and low-resource applications and supports the relevance of our strategy in a global, instructional context. </w:t>
            </w:r>
          </w:p>
          <w:p w14:paraId="49BD08B5" w14:textId="43DB5E98" w:rsidR="002C7470" w:rsidRPr="00985FE7" w:rsidRDefault="002C7470" w:rsidP="002C7470">
            <w:pPr>
              <w:pStyle w:val="Heading2"/>
              <w:rPr>
                <w:rFonts w:ascii="Arial" w:hAnsi="Arial" w:cs="Arial"/>
                <w:b w:val="0"/>
                <w:bCs w:val="0"/>
                <w:lang w:val="en-US"/>
              </w:rPr>
            </w:pPr>
            <w:r w:rsidRPr="00985FE7">
              <w:rPr>
                <w:rFonts w:ascii="Arial" w:hAnsi="Arial" w:cs="Arial"/>
                <w:b w:val="0"/>
                <w:bCs w:val="0"/>
                <w:lang w:val="en-US"/>
              </w:rPr>
              <w:t>Together, these references provide essential historical, methodological, and conceptual grounding. While more recent literature has been included where appropriate, these specific works have enduring relevance that justifies their retention.</w:t>
            </w:r>
            <w:r w:rsidRPr="00985FE7">
              <w:rPr>
                <w:rFonts w:ascii="Arial" w:hAnsi="Arial" w:cs="Arial"/>
              </w:rPr>
              <w:t xml:space="preserve"> </w:t>
            </w:r>
            <w:r w:rsidRPr="00985FE7">
              <w:rPr>
                <w:rFonts w:ascii="Arial" w:hAnsi="Arial" w:cs="Arial"/>
                <w:b w:val="0"/>
                <w:bCs w:val="0"/>
                <w:lang w:val="en-US"/>
              </w:rPr>
              <w:t xml:space="preserve">That said, we have replaced the </w:t>
            </w:r>
            <w:r w:rsidRPr="00985FE7">
              <w:rPr>
                <w:rFonts w:ascii="Arial" w:hAnsi="Arial" w:cs="Arial"/>
                <w:lang w:val="en-US"/>
              </w:rPr>
              <w:t>Saiki et al., 1988</w:t>
            </w:r>
            <w:r w:rsidRPr="00985FE7">
              <w:rPr>
                <w:rFonts w:ascii="Arial" w:hAnsi="Arial" w:cs="Arial"/>
                <w:b w:val="0"/>
                <w:bCs w:val="0"/>
                <w:lang w:val="en-US"/>
              </w:rPr>
              <w:t xml:space="preserve"> reference with a newer source that supports the same claim.</w:t>
            </w:r>
          </w:p>
          <w:p w14:paraId="0C0E78B2" w14:textId="77777777" w:rsidR="002F1235" w:rsidRPr="00985FE7" w:rsidRDefault="002F1235">
            <w:pPr>
              <w:pStyle w:val="Heading2"/>
              <w:jc w:val="left"/>
              <w:rPr>
                <w:rFonts w:ascii="Arial" w:hAnsi="Arial" w:cs="Arial"/>
                <w:b w:val="0"/>
                <w:lang w:val="en-GB"/>
              </w:rPr>
            </w:pPr>
          </w:p>
        </w:tc>
      </w:tr>
      <w:tr w:rsidR="002F1235" w:rsidRPr="00985FE7" w14:paraId="291F02A5" w14:textId="77777777">
        <w:trPr>
          <w:trHeight w:val="386"/>
        </w:trPr>
        <w:tc>
          <w:tcPr>
            <w:tcW w:w="1265" w:type="pct"/>
            <w:noWrap/>
          </w:tcPr>
          <w:p w14:paraId="7D919A63" w14:textId="77777777" w:rsidR="002F1235" w:rsidRPr="00985FE7" w:rsidRDefault="002F1235">
            <w:pPr>
              <w:pStyle w:val="Heading2"/>
              <w:ind w:left="360"/>
              <w:jc w:val="left"/>
              <w:rPr>
                <w:rFonts w:ascii="Arial" w:hAnsi="Arial" w:cs="Arial"/>
                <w:bCs w:val="0"/>
                <w:lang w:val="en-GB"/>
              </w:rPr>
            </w:pPr>
            <w:r w:rsidRPr="00985FE7">
              <w:rPr>
                <w:rFonts w:ascii="Arial" w:hAnsi="Arial" w:cs="Arial"/>
                <w:bCs w:val="0"/>
                <w:lang w:val="en-GB"/>
              </w:rPr>
              <w:lastRenderedPageBreak/>
              <w:t>Is the language/English quality of the article suitable for scholarly communications?</w:t>
            </w:r>
          </w:p>
          <w:p w14:paraId="55DCBAFB" w14:textId="77777777" w:rsidR="002F1235" w:rsidRPr="00985FE7" w:rsidRDefault="002F1235">
            <w:pPr>
              <w:rPr>
                <w:rFonts w:ascii="Arial" w:hAnsi="Arial" w:cs="Arial"/>
                <w:sz w:val="20"/>
                <w:szCs w:val="20"/>
                <w:lang w:val="en-GB"/>
              </w:rPr>
            </w:pPr>
          </w:p>
        </w:tc>
        <w:tc>
          <w:tcPr>
            <w:tcW w:w="2212" w:type="pct"/>
          </w:tcPr>
          <w:p w14:paraId="0FFE0222" w14:textId="4829D5A8" w:rsidR="002F1235" w:rsidRPr="00985FE7" w:rsidRDefault="002C696D">
            <w:pPr>
              <w:rPr>
                <w:rFonts w:ascii="Arial" w:hAnsi="Arial" w:cs="Arial"/>
                <w:sz w:val="20"/>
                <w:szCs w:val="20"/>
                <w:lang w:val="en-GB"/>
              </w:rPr>
            </w:pPr>
            <w:r w:rsidRPr="00985FE7">
              <w:rPr>
                <w:rFonts w:ascii="Arial" w:hAnsi="Arial" w:cs="Arial"/>
                <w:sz w:val="20"/>
                <w:szCs w:val="20"/>
                <w:lang w:val="en-GB"/>
              </w:rPr>
              <w:t>The Language/English quality of the article suitable and fulfils criteria for scholarly communications.</w:t>
            </w:r>
          </w:p>
        </w:tc>
        <w:tc>
          <w:tcPr>
            <w:tcW w:w="1523" w:type="pct"/>
          </w:tcPr>
          <w:p w14:paraId="1EA488C0" w14:textId="0861AB91" w:rsidR="002F1235" w:rsidRPr="00985FE7" w:rsidRDefault="007F3C9E">
            <w:pPr>
              <w:rPr>
                <w:rFonts w:ascii="Arial" w:hAnsi="Arial" w:cs="Arial"/>
                <w:sz w:val="20"/>
                <w:szCs w:val="20"/>
                <w:lang w:val="en-GB"/>
              </w:rPr>
            </w:pPr>
            <w:r w:rsidRPr="00985FE7">
              <w:rPr>
                <w:rFonts w:ascii="Arial" w:hAnsi="Arial" w:cs="Arial"/>
                <w:sz w:val="20"/>
                <w:szCs w:val="20"/>
                <w:lang w:val="en-GB"/>
              </w:rPr>
              <w:t>We thank the reviewer for this affirmation. We have nonetheless performed a final round of proofreading to further improve clarity and consistency.</w:t>
            </w:r>
          </w:p>
        </w:tc>
      </w:tr>
      <w:tr w:rsidR="002F1235" w:rsidRPr="00985FE7" w14:paraId="0DED9FFA" w14:textId="77777777">
        <w:trPr>
          <w:trHeight w:val="1178"/>
        </w:trPr>
        <w:tc>
          <w:tcPr>
            <w:tcW w:w="1265" w:type="pct"/>
            <w:noWrap/>
          </w:tcPr>
          <w:p w14:paraId="25B54611" w14:textId="77777777" w:rsidR="002F1235" w:rsidRPr="00985FE7" w:rsidRDefault="002F1235">
            <w:pPr>
              <w:pStyle w:val="Heading2"/>
              <w:jc w:val="left"/>
              <w:rPr>
                <w:rFonts w:ascii="Arial" w:hAnsi="Arial" w:cs="Arial"/>
                <w:b w:val="0"/>
                <w:bCs w:val="0"/>
                <w:lang w:val="en-GB"/>
              </w:rPr>
            </w:pPr>
            <w:r w:rsidRPr="00985FE7">
              <w:rPr>
                <w:rFonts w:ascii="Arial" w:hAnsi="Arial" w:cs="Arial"/>
                <w:bCs w:val="0"/>
                <w:u w:val="single"/>
                <w:lang w:val="en-GB"/>
              </w:rPr>
              <w:t>Optional/General</w:t>
            </w:r>
            <w:r w:rsidRPr="00985FE7">
              <w:rPr>
                <w:rFonts w:ascii="Arial" w:hAnsi="Arial" w:cs="Arial"/>
                <w:bCs w:val="0"/>
                <w:lang w:val="en-GB"/>
              </w:rPr>
              <w:t xml:space="preserve"> </w:t>
            </w:r>
            <w:r w:rsidRPr="00985FE7">
              <w:rPr>
                <w:rFonts w:ascii="Arial" w:hAnsi="Arial" w:cs="Arial"/>
                <w:b w:val="0"/>
                <w:bCs w:val="0"/>
                <w:lang w:val="en-GB"/>
              </w:rPr>
              <w:t>comments</w:t>
            </w:r>
          </w:p>
          <w:p w14:paraId="364DB0A6" w14:textId="77777777" w:rsidR="002F1235" w:rsidRPr="00985FE7" w:rsidRDefault="002F1235">
            <w:pPr>
              <w:pStyle w:val="Heading2"/>
              <w:jc w:val="left"/>
              <w:rPr>
                <w:rFonts w:ascii="Arial" w:hAnsi="Arial" w:cs="Arial"/>
                <w:b w:val="0"/>
                <w:lang w:val="en-GB"/>
              </w:rPr>
            </w:pPr>
          </w:p>
        </w:tc>
        <w:tc>
          <w:tcPr>
            <w:tcW w:w="2212" w:type="pct"/>
          </w:tcPr>
          <w:p w14:paraId="5D7EAC2A" w14:textId="77777777" w:rsidR="002F1235" w:rsidRPr="00985FE7" w:rsidRDefault="002F1235">
            <w:pPr>
              <w:pStyle w:val="NormalWeb"/>
              <w:spacing w:before="0" w:beforeAutospacing="0" w:after="0" w:afterAutospacing="0"/>
              <w:rPr>
                <w:rFonts w:ascii="Arial" w:hAnsi="Arial" w:cs="Arial"/>
                <w:b/>
                <w:sz w:val="20"/>
                <w:szCs w:val="20"/>
                <w:lang w:val="en-GB"/>
              </w:rPr>
            </w:pPr>
          </w:p>
        </w:tc>
        <w:tc>
          <w:tcPr>
            <w:tcW w:w="1523" w:type="pct"/>
          </w:tcPr>
          <w:p w14:paraId="5F9FBB9F" w14:textId="77777777" w:rsidR="002F1235" w:rsidRPr="00985FE7" w:rsidRDefault="002F1235">
            <w:pPr>
              <w:rPr>
                <w:rFonts w:ascii="Arial" w:hAnsi="Arial" w:cs="Arial"/>
                <w:sz w:val="20"/>
                <w:szCs w:val="20"/>
                <w:lang w:val="en-GB"/>
              </w:rPr>
            </w:pPr>
          </w:p>
        </w:tc>
      </w:tr>
    </w:tbl>
    <w:p w14:paraId="131B6D8D" w14:textId="77777777" w:rsidR="002F1235" w:rsidRPr="00985FE7" w:rsidRDefault="002F1235" w:rsidP="002F1235">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AB50C7" w:rsidRPr="00985FE7" w14:paraId="4313154E" w14:textId="77777777" w:rsidTr="00110257">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12FFF886" w14:textId="77777777" w:rsidR="00AB50C7" w:rsidRPr="00985FE7" w:rsidRDefault="00AB50C7" w:rsidP="00110257">
            <w:pPr>
              <w:rPr>
                <w:rFonts w:ascii="Arial" w:eastAsia="Arial Unicode MS" w:hAnsi="Arial" w:cs="Arial"/>
                <w:b/>
                <w:sz w:val="20"/>
                <w:szCs w:val="20"/>
                <w:u w:val="single"/>
                <w:lang w:val="en-GB"/>
              </w:rPr>
            </w:pPr>
            <w:bookmarkStart w:id="3" w:name="_Hlk156057883"/>
            <w:bookmarkStart w:id="4" w:name="_Hlk156057704"/>
            <w:bookmarkEnd w:id="0"/>
            <w:bookmarkEnd w:id="1"/>
            <w:r w:rsidRPr="00985FE7">
              <w:rPr>
                <w:rFonts w:ascii="Arial" w:eastAsia="Arial Unicode MS" w:hAnsi="Arial" w:cs="Arial"/>
                <w:b/>
                <w:sz w:val="20"/>
                <w:szCs w:val="20"/>
                <w:highlight w:val="yellow"/>
                <w:u w:val="single"/>
                <w:lang w:val="en-GB"/>
              </w:rPr>
              <w:t>PART  2:</w:t>
            </w:r>
            <w:r w:rsidRPr="00985FE7">
              <w:rPr>
                <w:rFonts w:ascii="Arial" w:eastAsia="Arial Unicode MS" w:hAnsi="Arial" w:cs="Arial"/>
                <w:b/>
                <w:sz w:val="20"/>
                <w:szCs w:val="20"/>
                <w:u w:val="single"/>
                <w:lang w:val="en-GB"/>
              </w:rPr>
              <w:t xml:space="preserve"> </w:t>
            </w:r>
          </w:p>
          <w:p w14:paraId="00EDEFBF" w14:textId="77777777" w:rsidR="00AB50C7" w:rsidRPr="00985FE7" w:rsidRDefault="00AB50C7" w:rsidP="00110257">
            <w:pPr>
              <w:rPr>
                <w:rFonts w:ascii="Arial" w:eastAsia="Arial Unicode MS" w:hAnsi="Arial" w:cs="Arial"/>
                <w:b/>
                <w:sz w:val="20"/>
                <w:szCs w:val="20"/>
                <w:u w:val="single"/>
                <w:lang w:val="en-GB"/>
              </w:rPr>
            </w:pPr>
          </w:p>
        </w:tc>
      </w:tr>
      <w:tr w:rsidR="00AB50C7" w:rsidRPr="00985FE7" w14:paraId="576E86C4" w14:textId="77777777" w:rsidTr="00110257">
        <w:tc>
          <w:tcPr>
            <w:tcW w:w="1615" w:type="pct"/>
            <w:shd w:val="clear" w:color="auto" w:fill="auto"/>
            <w:noWrap/>
            <w:tcMar>
              <w:top w:w="0" w:type="dxa"/>
              <w:left w:w="108" w:type="dxa"/>
              <w:bottom w:w="0" w:type="dxa"/>
              <w:right w:w="108" w:type="dxa"/>
            </w:tcMar>
            <w:vAlign w:val="center"/>
          </w:tcPr>
          <w:p w14:paraId="4E251D8A" w14:textId="77777777" w:rsidR="00AB50C7" w:rsidRPr="00985FE7" w:rsidRDefault="00AB50C7" w:rsidP="00110257">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00EB1206" w14:textId="77777777" w:rsidR="00AB50C7" w:rsidRPr="00985FE7" w:rsidRDefault="00AB50C7" w:rsidP="00110257">
            <w:pPr>
              <w:keepNext/>
              <w:outlineLvl w:val="1"/>
              <w:rPr>
                <w:rFonts w:ascii="Arial" w:eastAsia="MS Mincho" w:hAnsi="Arial" w:cs="Arial"/>
                <w:b/>
                <w:bCs/>
                <w:sz w:val="20"/>
                <w:szCs w:val="20"/>
                <w:lang w:val="en-GB"/>
              </w:rPr>
            </w:pPr>
            <w:r w:rsidRPr="00985FE7">
              <w:rPr>
                <w:rFonts w:ascii="Arial" w:eastAsia="MS Mincho" w:hAnsi="Arial" w:cs="Arial"/>
                <w:b/>
                <w:bCs/>
                <w:sz w:val="20"/>
                <w:szCs w:val="20"/>
                <w:lang w:val="en-GB"/>
              </w:rPr>
              <w:t>Reviewer’s comment</w:t>
            </w:r>
          </w:p>
        </w:tc>
        <w:tc>
          <w:tcPr>
            <w:tcW w:w="1691" w:type="pct"/>
            <w:shd w:val="clear" w:color="auto" w:fill="auto"/>
          </w:tcPr>
          <w:p w14:paraId="551F3051" w14:textId="77777777" w:rsidR="00AB50C7" w:rsidRPr="00985FE7" w:rsidRDefault="00AB50C7" w:rsidP="00110257">
            <w:pPr>
              <w:spacing w:after="160" w:line="252" w:lineRule="auto"/>
              <w:rPr>
                <w:rFonts w:ascii="Arial" w:eastAsia="Calibri" w:hAnsi="Arial" w:cs="Arial"/>
                <w:kern w:val="2"/>
                <w:sz w:val="20"/>
                <w:szCs w:val="20"/>
                <w:lang w:val="en-IN"/>
              </w:rPr>
            </w:pPr>
            <w:r w:rsidRPr="00985FE7">
              <w:rPr>
                <w:rFonts w:ascii="Arial" w:eastAsia="Calibri" w:hAnsi="Arial" w:cs="Arial"/>
                <w:b/>
                <w:kern w:val="2"/>
                <w:sz w:val="20"/>
                <w:szCs w:val="20"/>
                <w:lang w:val="en-IN"/>
              </w:rPr>
              <w:t>Author’s Feedback</w:t>
            </w:r>
            <w:r w:rsidRPr="00985FE7">
              <w:rPr>
                <w:rFonts w:ascii="Arial" w:eastAsia="Calibri" w:hAnsi="Arial" w:cs="Arial"/>
                <w:kern w:val="2"/>
                <w:sz w:val="20"/>
                <w:szCs w:val="20"/>
                <w:lang w:val="en-IN"/>
              </w:rPr>
              <w:t xml:space="preserve"> (It is mandatory that authors should write his/her feedback here)</w:t>
            </w:r>
          </w:p>
          <w:p w14:paraId="288D7FDA" w14:textId="77777777" w:rsidR="00AB50C7" w:rsidRPr="00985FE7" w:rsidRDefault="00AB50C7" w:rsidP="00110257">
            <w:pPr>
              <w:keepNext/>
              <w:outlineLvl w:val="1"/>
              <w:rPr>
                <w:rFonts w:ascii="Arial" w:eastAsia="MS Mincho" w:hAnsi="Arial" w:cs="Arial"/>
                <w:bCs/>
                <w:sz w:val="20"/>
                <w:szCs w:val="20"/>
                <w:lang w:val="en-GB"/>
              </w:rPr>
            </w:pPr>
          </w:p>
        </w:tc>
      </w:tr>
      <w:tr w:rsidR="00AB50C7" w:rsidRPr="00985FE7" w14:paraId="101E7FE2" w14:textId="77777777" w:rsidTr="00110257">
        <w:trPr>
          <w:trHeight w:val="890"/>
        </w:trPr>
        <w:tc>
          <w:tcPr>
            <w:tcW w:w="1615" w:type="pct"/>
            <w:shd w:val="clear" w:color="auto" w:fill="auto"/>
            <w:noWrap/>
            <w:tcMar>
              <w:top w:w="0" w:type="dxa"/>
              <w:left w:w="108" w:type="dxa"/>
              <w:bottom w:w="0" w:type="dxa"/>
              <w:right w:w="108" w:type="dxa"/>
            </w:tcMar>
            <w:vAlign w:val="center"/>
          </w:tcPr>
          <w:p w14:paraId="4634EC5D" w14:textId="77777777" w:rsidR="00AB50C7" w:rsidRPr="00985FE7" w:rsidRDefault="00AB50C7" w:rsidP="00110257">
            <w:pPr>
              <w:rPr>
                <w:rFonts w:ascii="Arial" w:eastAsia="Arial Unicode MS" w:hAnsi="Arial" w:cs="Arial"/>
                <w:b/>
                <w:sz w:val="20"/>
                <w:szCs w:val="20"/>
                <w:lang w:val="en-GB"/>
              </w:rPr>
            </w:pPr>
            <w:r w:rsidRPr="00985FE7">
              <w:rPr>
                <w:rFonts w:ascii="Arial" w:eastAsia="Arial Unicode MS" w:hAnsi="Arial" w:cs="Arial"/>
                <w:b/>
                <w:sz w:val="20"/>
                <w:szCs w:val="20"/>
                <w:lang w:val="en-GB"/>
              </w:rPr>
              <w:t xml:space="preserve">Are there ethical issues in this manuscript? </w:t>
            </w:r>
          </w:p>
          <w:p w14:paraId="775C797C" w14:textId="77777777" w:rsidR="00AB50C7" w:rsidRPr="00985FE7" w:rsidRDefault="00AB50C7" w:rsidP="00110257">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31AD71C0" w14:textId="77777777" w:rsidR="00AB50C7" w:rsidRPr="00985FE7" w:rsidRDefault="00AB50C7" w:rsidP="00110257">
            <w:pPr>
              <w:rPr>
                <w:rFonts w:ascii="Arial" w:eastAsia="Arial Unicode MS" w:hAnsi="Arial" w:cs="Arial"/>
                <w:i/>
                <w:iCs/>
                <w:sz w:val="20"/>
                <w:szCs w:val="20"/>
                <w:u w:val="single"/>
                <w:lang w:val="en-GB"/>
              </w:rPr>
            </w:pPr>
            <w:r w:rsidRPr="00985FE7">
              <w:rPr>
                <w:rFonts w:ascii="Arial" w:eastAsia="Arial Unicode MS" w:hAnsi="Arial" w:cs="Arial"/>
                <w:i/>
                <w:iCs/>
                <w:sz w:val="20"/>
                <w:szCs w:val="20"/>
                <w:u w:val="single"/>
                <w:lang w:val="en-GB"/>
              </w:rPr>
              <w:t xml:space="preserve">(If yes, </w:t>
            </w:r>
            <w:proofErr w:type="gramStart"/>
            <w:r w:rsidRPr="00985FE7">
              <w:rPr>
                <w:rFonts w:ascii="Arial" w:eastAsia="Arial Unicode MS" w:hAnsi="Arial" w:cs="Arial"/>
                <w:i/>
                <w:iCs/>
                <w:sz w:val="20"/>
                <w:szCs w:val="20"/>
                <w:u w:val="single"/>
                <w:lang w:val="en-GB"/>
              </w:rPr>
              <w:t>Kindly</w:t>
            </w:r>
            <w:proofErr w:type="gramEnd"/>
            <w:r w:rsidRPr="00985FE7">
              <w:rPr>
                <w:rFonts w:ascii="Arial" w:eastAsia="Arial Unicode MS" w:hAnsi="Arial" w:cs="Arial"/>
                <w:i/>
                <w:iCs/>
                <w:sz w:val="20"/>
                <w:szCs w:val="20"/>
                <w:u w:val="single"/>
                <w:lang w:val="en-GB"/>
              </w:rPr>
              <w:t xml:space="preserve"> please write down the ethical issues here in details)</w:t>
            </w:r>
          </w:p>
          <w:p w14:paraId="65F19536" w14:textId="77777777" w:rsidR="00AB50C7" w:rsidRPr="00985FE7" w:rsidRDefault="00AB50C7" w:rsidP="00110257">
            <w:pPr>
              <w:rPr>
                <w:rFonts w:ascii="Arial" w:eastAsia="Arial Unicode MS" w:hAnsi="Arial" w:cs="Arial"/>
                <w:sz w:val="20"/>
                <w:szCs w:val="20"/>
                <w:lang w:val="en-GB"/>
              </w:rPr>
            </w:pPr>
          </w:p>
          <w:p w14:paraId="7FF616E0" w14:textId="77777777" w:rsidR="00AB50C7" w:rsidRPr="00985FE7" w:rsidRDefault="00AB50C7" w:rsidP="00110257">
            <w:pPr>
              <w:rPr>
                <w:rFonts w:ascii="Arial" w:eastAsia="Arial Unicode MS" w:hAnsi="Arial" w:cs="Arial"/>
                <w:sz w:val="20"/>
                <w:szCs w:val="20"/>
                <w:lang w:val="en-GB"/>
              </w:rPr>
            </w:pPr>
          </w:p>
        </w:tc>
        <w:tc>
          <w:tcPr>
            <w:tcW w:w="1691" w:type="pct"/>
            <w:shd w:val="clear" w:color="auto" w:fill="auto"/>
            <w:vAlign w:val="center"/>
          </w:tcPr>
          <w:p w14:paraId="1ED87C8C" w14:textId="1053DFFD" w:rsidR="00AB50C7" w:rsidRPr="00985FE7" w:rsidRDefault="00817E92" w:rsidP="00110257">
            <w:pPr>
              <w:rPr>
                <w:rFonts w:ascii="Arial" w:eastAsia="Arial Unicode MS" w:hAnsi="Arial" w:cs="Arial"/>
                <w:sz w:val="20"/>
                <w:szCs w:val="20"/>
                <w:lang w:val="en-GB"/>
              </w:rPr>
            </w:pPr>
            <w:r w:rsidRPr="00985FE7">
              <w:rPr>
                <w:rFonts w:ascii="Arial" w:eastAsia="Arial Unicode MS" w:hAnsi="Arial" w:cs="Arial"/>
                <w:sz w:val="20"/>
                <w:szCs w:val="20"/>
                <w:lang w:val="en-GB"/>
              </w:rPr>
              <w:t>We confirm that there are no ethical issues associated with this manuscript. No human or animal subjects were involved, and all procedures were conducted using microbial strains and publicly available plasmid systems.</w:t>
            </w:r>
          </w:p>
          <w:p w14:paraId="722ED35C" w14:textId="77777777" w:rsidR="00AB50C7" w:rsidRPr="00985FE7" w:rsidRDefault="00AB50C7" w:rsidP="00110257">
            <w:pPr>
              <w:rPr>
                <w:rFonts w:ascii="Arial" w:eastAsia="Arial Unicode MS" w:hAnsi="Arial" w:cs="Arial"/>
                <w:sz w:val="20"/>
                <w:szCs w:val="20"/>
                <w:lang w:val="en-GB"/>
              </w:rPr>
            </w:pPr>
          </w:p>
          <w:p w14:paraId="096F5BB9" w14:textId="77777777" w:rsidR="00AB50C7" w:rsidRPr="00985FE7" w:rsidRDefault="00AB50C7" w:rsidP="00110257">
            <w:pPr>
              <w:rPr>
                <w:rFonts w:ascii="Arial" w:eastAsia="Arial Unicode MS" w:hAnsi="Arial" w:cs="Arial"/>
                <w:sz w:val="20"/>
                <w:szCs w:val="20"/>
                <w:lang w:val="en-GB"/>
              </w:rPr>
            </w:pPr>
          </w:p>
        </w:tc>
      </w:tr>
      <w:bookmarkEnd w:id="3"/>
    </w:tbl>
    <w:p w14:paraId="7D1CB300" w14:textId="77777777" w:rsidR="00AB50C7" w:rsidRPr="00985FE7" w:rsidRDefault="00AB50C7" w:rsidP="00AB50C7">
      <w:pPr>
        <w:rPr>
          <w:rFonts w:ascii="Arial" w:hAnsi="Arial" w:cs="Arial"/>
          <w:sz w:val="20"/>
          <w:szCs w:val="20"/>
        </w:rPr>
      </w:pPr>
    </w:p>
    <w:p w14:paraId="510C0627" w14:textId="77777777" w:rsidR="00AB50C7" w:rsidRPr="00985FE7" w:rsidRDefault="00AB50C7" w:rsidP="00AB50C7">
      <w:pPr>
        <w:rPr>
          <w:rFonts w:ascii="Arial" w:hAnsi="Arial" w:cs="Arial"/>
          <w:sz w:val="20"/>
          <w:szCs w:val="20"/>
        </w:rPr>
      </w:pPr>
    </w:p>
    <w:p w14:paraId="5554E972" w14:textId="77777777" w:rsidR="00AB50C7" w:rsidRPr="00985FE7" w:rsidRDefault="00AB50C7" w:rsidP="00AB50C7">
      <w:pPr>
        <w:rPr>
          <w:rFonts w:ascii="Arial" w:hAnsi="Arial" w:cs="Arial"/>
          <w:bCs/>
          <w:sz w:val="20"/>
          <w:szCs w:val="20"/>
          <w:u w:val="single"/>
          <w:lang w:val="en-GB"/>
        </w:rPr>
      </w:pPr>
    </w:p>
    <w:bookmarkEnd w:id="4"/>
    <w:p w14:paraId="358CAE1B" w14:textId="77777777" w:rsidR="00AB50C7" w:rsidRPr="00985FE7" w:rsidRDefault="00AB50C7" w:rsidP="00AB50C7">
      <w:pPr>
        <w:rPr>
          <w:rFonts w:ascii="Arial" w:hAnsi="Arial" w:cs="Arial"/>
          <w:sz w:val="20"/>
          <w:szCs w:val="20"/>
        </w:rPr>
      </w:pPr>
    </w:p>
    <w:p w14:paraId="105E0159" w14:textId="77777777" w:rsidR="008913D5" w:rsidRPr="00985FE7" w:rsidRDefault="008913D5" w:rsidP="00AB50C7">
      <w:pPr>
        <w:pStyle w:val="BodyText"/>
        <w:rPr>
          <w:rFonts w:ascii="Arial" w:hAnsi="Arial" w:cs="Arial"/>
          <w:sz w:val="20"/>
          <w:szCs w:val="20"/>
          <w:lang w:val="en-GB"/>
        </w:rPr>
      </w:pPr>
    </w:p>
    <w:sectPr w:rsidR="008913D5" w:rsidRPr="00985FE7" w:rsidSect="00A57DB1">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79D0C4" w14:textId="77777777" w:rsidR="00986A9B" w:rsidRPr="0000007A" w:rsidRDefault="00986A9B" w:rsidP="0099583E">
      <w:r>
        <w:separator/>
      </w:r>
    </w:p>
  </w:endnote>
  <w:endnote w:type="continuationSeparator" w:id="0">
    <w:p w14:paraId="7809E86F" w14:textId="77777777" w:rsidR="00986A9B" w:rsidRPr="0000007A" w:rsidRDefault="00986A9B"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Aptos Display">
    <w:altName w:val="Calibri"/>
    <w:charset w:val="00"/>
    <w:family w:val="swiss"/>
    <w:pitch w:val="variable"/>
    <w:sig w:usb0="20000287" w:usb1="00000003" w:usb2="00000000" w:usb3="00000000" w:csb0="0000019F" w:csb1="00000000"/>
  </w:font>
  <w:font w:name="Vrinda">
    <w:panose1 w:val="00000400000000000000"/>
    <w:charset w:val="00"/>
    <w:family w:val="swiss"/>
    <w:pitch w:val="variable"/>
    <w:sig w:usb0="00010003" w:usb1="00000000" w:usb2="00000000" w:usb3="00000000" w:csb0="00000001"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2B859"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030D76" w:rsidRPr="00030D76">
      <w:rPr>
        <w:sz w:val="16"/>
      </w:rPr>
      <w:t xml:space="preserve">Version: </w:t>
    </w:r>
    <w:r w:rsidR="006869FC">
      <w:rPr>
        <w:sz w:val="16"/>
      </w:rPr>
      <w:t>3</w:t>
    </w:r>
    <w:r w:rsidR="00030D76" w:rsidRPr="00030D76">
      <w:rPr>
        <w:sz w:val="16"/>
      </w:rPr>
      <w:t xml:space="preserve"> (0</w:t>
    </w:r>
    <w:r w:rsidR="006869FC">
      <w:rPr>
        <w:sz w:val="16"/>
      </w:rPr>
      <w:t>7</w:t>
    </w:r>
    <w:r w:rsidR="00030D76" w:rsidRPr="00030D76">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B7E228" w14:textId="77777777" w:rsidR="00986A9B" w:rsidRPr="0000007A" w:rsidRDefault="00986A9B" w:rsidP="0099583E">
      <w:r>
        <w:separator/>
      </w:r>
    </w:p>
  </w:footnote>
  <w:footnote w:type="continuationSeparator" w:id="0">
    <w:p w14:paraId="69BEA452" w14:textId="77777777" w:rsidR="00986A9B" w:rsidRPr="0000007A" w:rsidRDefault="00986A9B"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4E3A8"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19CE76C1"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6869FC">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IN" w:vendorID="64" w:dllVersion="6" w:nlCheck="1" w:checkStyle="1"/>
  <w:activeWritingStyle w:appName="MSWord" w:lang="en-GB" w:vendorID="64" w:dllVersion="0" w:nlCheck="1" w:checkStyle="0"/>
  <w:activeWritingStyle w:appName="MSWord" w:lang="en-US" w:vendorID="64" w:dllVersion="0"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26EEF"/>
    <w:rsid w:val="00030D76"/>
    <w:rsid w:val="00037D52"/>
    <w:rsid w:val="0004072C"/>
    <w:rsid w:val="000450FC"/>
    <w:rsid w:val="00056CB0"/>
    <w:rsid w:val="000577C2"/>
    <w:rsid w:val="0006257C"/>
    <w:rsid w:val="00084D7C"/>
    <w:rsid w:val="00091112"/>
    <w:rsid w:val="000936AC"/>
    <w:rsid w:val="00095A59"/>
    <w:rsid w:val="000A2134"/>
    <w:rsid w:val="000A6F41"/>
    <w:rsid w:val="000A75CD"/>
    <w:rsid w:val="000B4EE5"/>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67EA1"/>
    <w:rsid w:val="0017480A"/>
    <w:rsid w:val="001766DF"/>
    <w:rsid w:val="00184644"/>
    <w:rsid w:val="0018753A"/>
    <w:rsid w:val="0019527A"/>
    <w:rsid w:val="00197E68"/>
    <w:rsid w:val="001A1605"/>
    <w:rsid w:val="001A7CB3"/>
    <w:rsid w:val="001B0C63"/>
    <w:rsid w:val="001D3A1D"/>
    <w:rsid w:val="001E4B3D"/>
    <w:rsid w:val="001F24FF"/>
    <w:rsid w:val="001F2913"/>
    <w:rsid w:val="001F707F"/>
    <w:rsid w:val="002011F3"/>
    <w:rsid w:val="00201A0A"/>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C696D"/>
    <w:rsid w:val="002C7470"/>
    <w:rsid w:val="002D7EA9"/>
    <w:rsid w:val="002E0D69"/>
    <w:rsid w:val="002E1211"/>
    <w:rsid w:val="002E2339"/>
    <w:rsid w:val="002E6D86"/>
    <w:rsid w:val="002F1235"/>
    <w:rsid w:val="002F4300"/>
    <w:rsid w:val="002F6935"/>
    <w:rsid w:val="00301169"/>
    <w:rsid w:val="00312559"/>
    <w:rsid w:val="003204B8"/>
    <w:rsid w:val="00334F81"/>
    <w:rsid w:val="0033692F"/>
    <w:rsid w:val="00346223"/>
    <w:rsid w:val="0039513C"/>
    <w:rsid w:val="003A04E7"/>
    <w:rsid w:val="003A4991"/>
    <w:rsid w:val="003A6E1A"/>
    <w:rsid w:val="003B2172"/>
    <w:rsid w:val="003D5BB0"/>
    <w:rsid w:val="003E746A"/>
    <w:rsid w:val="0042465A"/>
    <w:rsid w:val="004258F3"/>
    <w:rsid w:val="004356CC"/>
    <w:rsid w:val="00435B36"/>
    <w:rsid w:val="00442B24"/>
    <w:rsid w:val="0044444D"/>
    <w:rsid w:val="0044519B"/>
    <w:rsid w:val="00445B35"/>
    <w:rsid w:val="00446659"/>
    <w:rsid w:val="00457AB1"/>
    <w:rsid w:val="00457BC0"/>
    <w:rsid w:val="00462996"/>
    <w:rsid w:val="00464003"/>
    <w:rsid w:val="004674B4"/>
    <w:rsid w:val="0047721E"/>
    <w:rsid w:val="004B1ED0"/>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7BE7"/>
    <w:rsid w:val="00567DE0"/>
    <w:rsid w:val="005735A5"/>
    <w:rsid w:val="00592D0D"/>
    <w:rsid w:val="005A5BE0"/>
    <w:rsid w:val="005B12E0"/>
    <w:rsid w:val="005C25A0"/>
    <w:rsid w:val="005D230D"/>
    <w:rsid w:val="005E2EAE"/>
    <w:rsid w:val="00602F7D"/>
    <w:rsid w:val="00605952"/>
    <w:rsid w:val="00620677"/>
    <w:rsid w:val="00624032"/>
    <w:rsid w:val="006323A7"/>
    <w:rsid w:val="00645A56"/>
    <w:rsid w:val="006532DF"/>
    <w:rsid w:val="0065579D"/>
    <w:rsid w:val="00663792"/>
    <w:rsid w:val="00670196"/>
    <w:rsid w:val="0067046C"/>
    <w:rsid w:val="00676845"/>
    <w:rsid w:val="00680547"/>
    <w:rsid w:val="006830F4"/>
    <w:rsid w:val="0068446F"/>
    <w:rsid w:val="006869FC"/>
    <w:rsid w:val="006908B0"/>
    <w:rsid w:val="00694013"/>
    <w:rsid w:val="0069428E"/>
    <w:rsid w:val="00696CAD"/>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52052"/>
    <w:rsid w:val="00754702"/>
    <w:rsid w:val="00766889"/>
    <w:rsid w:val="00766A0D"/>
    <w:rsid w:val="00767F8C"/>
    <w:rsid w:val="00780B67"/>
    <w:rsid w:val="007B1099"/>
    <w:rsid w:val="007B329E"/>
    <w:rsid w:val="007B6E18"/>
    <w:rsid w:val="007D0246"/>
    <w:rsid w:val="007F3C9E"/>
    <w:rsid w:val="007F5873"/>
    <w:rsid w:val="00806382"/>
    <w:rsid w:val="00811703"/>
    <w:rsid w:val="00815F94"/>
    <w:rsid w:val="00817E92"/>
    <w:rsid w:val="0082130C"/>
    <w:rsid w:val="008224E2"/>
    <w:rsid w:val="00825DC9"/>
    <w:rsid w:val="0082676D"/>
    <w:rsid w:val="00831055"/>
    <w:rsid w:val="008423BB"/>
    <w:rsid w:val="0084566E"/>
    <w:rsid w:val="00846F1F"/>
    <w:rsid w:val="008642A0"/>
    <w:rsid w:val="00864BD3"/>
    <w:rsid w:val="0087201B"/>
    <w:rsid w:val="00877F10"/>
    <w:rsid w:val="00882091"/>
    <w:rsid w:val="008913D5"/>
    <w:rsid w:val="00893E75"/>
    <w:rsid w:val="008B51AC"/>
    <w:rsid w:val="008C2778"/>
    <w:rsid w:val="008C2F62"/>
    <w:rsid w:val="008D020E"/>
    <w:rsid w:val="008D1117"/>
    <w:rsid w:val="008D15A4"/>
    <w:rsid w:val="008F36E4"/>
    <w:rsid w:val="00915A9F"/>
    <w:rsid w:val="00930A6E"/>
    <w:rsid w:val="00933C8B"/>
    <w:rsid w:val="009553EC"/>
    <w:rsid w:val="00966E04"/>
    <w:rsid w:val="0097330E"/>
    <w:rsid w:val="00974330"/>
    <w:rsid w:val="0097498C"/>
    <w:rsid w:val="00982766"/>
    <w:rsid w:val="009852C4"/>
    <w:rsid w:val="00985F26"/>
    <w:rsid w:val="00985FE7"/>
    <w:rsid w:val="00986A9B"/>
    <w:rsid w:val="0099583E"/>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57DB1"/>
    <w:rsid w:val="00A6343B"/>
    <w:rsid w:val="00A65C50"/>
    <w:rsid w:val="00A66DD2"/>
    <w:rsid w:val="00AA15BE"/>
    <w:rsid w:val="00AA41B3"/>
    <w:rsid w:val="00AA6670"/>
    <w:rsid w:val="00AB1ED6"/>
    <w:rsid w:val="00AB397D"/>
    <w:rsid w:val="00AB50C7"/>
    <w:rsid w:val="00AB638A"/>
    <w:rsid w:val="00AB67A8"/>
    <w:rsid w:val="00AB6E43"/>
    <w:rsid w:val="00AB727F"/>
    <w:rsid w:val="00AC1349"/>
    <w:rsid w:val="00AD6C51"/>
    <w:rsid w:val="00AF3016"/>
    <w:rsid w:val="00B03A45"/>
    <w:rsid w:val="00B076F8"/>
    <w:rsid w:val="00B2236C"/>
    <w:rsid w:val="00B22FE6"/>
    <w:rsid w:val="00B3033D"/>
    <w:rsid w:val="00B356AF"/>
    <w:rsid w:val="00B62087"/>
    <w:rsid w:val="00B62F41"/>
    <w:rsid w:val="00B73785"/>
    <w:rsid w:val="00B73F7D"/>
    <w:rsid w:val="00B760E1"/>
    <w:rsid w:val="00B807F8"/>
    <w:rsid w:val="00B858FF"/>
    <w:rsid w:val="00BA1AB3"/>
    <w:rsid w:val="00BA6421"/>
    <w:rsid w:val="00BB34E6"/>
    <w:rsid w:val="00BB4FEC"/>
    <w:rsid w:val="00BC402F"/>
    <w:rsid w:val="00BD216C"/>
    <w:rsid w:val="00BD27BA"/>
    <w:rsid w:val="00BE13EF"/>
    <w:rsid w:val="00BE40A5"/>
    <w:rsid w:val="00BE6454"/>
    <w:rsid w:val="00BF39A4"/>
    <w:rsid w:val="00C02797"/>
    <w:rsid w:val="00C10283"/>
    <w:rsid w:val="00C110CC"/>
    <w:rsid w:val="00C22886"/>
    <w:rsid w:val="00C25C8F"/>
    <w:rsid w:val="00C263C6"/>
    <w:rsid w:val="00C62F5A"/>
    <w:rsid w:val="00C635B6"/>
    <w:rsid w:val="00C70DFC"/>
    <w:rsid w:val="00C82466"/>
    <w:rsid w:val="00C84097"/>
    <w:rsid w:val="00CB429B"/>
    <w:rsid w:val="00CC2753"/>
    <w:rsid w:val="00CD093E"/>
    <w:rsid w:val="00CD1556"/>
    <w:rsid w:val="00CD1FD7"/>
    <w:rsid w:val="00CE199A"/>
    <w:rsid w:val="00CE5AC7"/>
    <w:rsid w:val="00CF0BBB"/>
    <w:rsid w:val="00CF4412"/>
    <w:rsid w:val="00CF56C5"/>
    <w:rsid w:val="00D1283A"/>
    <w:rsid w:val="00D17979"/>
    <w:rsid w:val="00D17F90"/>
    <w:rsid w:val="00D2075F"/>
    <w:rsid w:val="00D3257B"/>
    <w:rsid w:val="00D40416"/>
    <w:rsid w:val="00D437C9"/>
    <w:rsid w:val="00D45CF7"/>
    <w:rsid w:val="00D4782A"/>
    <w:rsid w:val="00D50253"/>
    <w:rsid w:val="00D533D1"/>
    <w:rsid w:val="00D6310E"/>
    <w:rsid w:val="00D64633"/>
    <w:rsid w:val="00D72A0A"/>
    <w:rsid w:val="00D7603E"/>
    <w:rsid w:val="00D8579C"/>
    <w:rsid w:val="00D90124"/>
    <w:rsid w:val="00D91000"/>
    <w:rsid w:val="00D9392F"/>
    <w:rsid w:val="00DA41F5"/>
    <w:rsid w:val="00DB5B54"/>
    <w:rsid w:val="00DB7E1B"/>
    <w:rsid w:val="00DC1D81"/>
    <w:rsid w:val="00DC7F31"/>
    <w:rsid w:val="00DE1EB0"/>
    <w:rsid w:val="00E210E7"/>
    <w:rsid w:val="00E316BF"/>
    <w:rsid w:val="00E444BE"/>
    <w:rsid w:val="00E451EA"/>
    <w:rsid w:val="00E53E52"/>
    <w:rsid w:val="00E57F4B"/>
    <w:rsid w:val="00E63889"/>
    <w:rsid w:val="00E65EB7"/>
    <w:rsid w:val="00E71C8D"/>
    <w:rsid w:val="00E72360"/>
    <w:rsid w:val="00E972A7"/>
    <w:rsid w:val="00EA2839"/>
    <w:rsid w:val="00EB3E91"/>
    <w:rsid w:val="00EB5656"/>
    <w:rsid w:val="00EC6894"/>
    <w:rsid w:val="00ED6B12"/>
    <w:rsid w:val="00EE0D3E"/>
    <w:rsid w:val="00EF326D"/>
    <w:rsid w:val="00EF53FE"/>
    <w:rsid w:val="00F03A6B"/>
    <w:rsid w:val="00F204E5"/>
    <w:rsid w:val="00F245A7"/>
    <w:rsid w:val="00F2643C"/>
    <w:rsid w:val="00F3295A"/>
    <w:rsid w:val="00F34D8E"/>
    <w:rsid w:val="00F3669D"/>
    <w:rsid w:val="00F405F8"/>
    <w:rsid w:val="00F41154"/>
    <w:rsid w:val="00F4700F"/>
    <w:rsid w:val="00F51F7F"/>
    <w:rsid w:val="00F573EA"/>
    <w:rsid w:val="00F57E9D"/>
    <w:rsid w:val="00FA6528"/>
    <w:rsid w:val="00FB1FCA"/>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672600"/>
  <w15:chartTrackingRefBased/>
  <w15:docId w15:val="{4780667B-1679-CC42-AE4E-021E2977D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bn-BD"/>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bidi="ar-SA"/>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bidi="ar-SA"/>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D502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791217306">
      <w:bodyDiv w:val="1"/>
      <w:marLeft w:val="0"/>
      <w:marRight w:val="0"/>
      <w:marTop w:val="0"/>
      <w:marBottom w:val="0"/>
      <w:divBdr>
        <w:top w:val="none" w:sz="0" w:space="0" w:color="auto"/>
        <w:left w:val="none" w:sz="0" w:space="0" w:color="auto"/>
        <w:bottom w:val="none" w:sz="0" w:space="0" w:color="auto"/>
        <w:right w:val="none" w:sz="0" w:space="0" w:color="auto"/>
      </w:divBdr>
    </w:div>
    <w:div w:id="822084447">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79503104">
      <w:bodyDiv w:val="1"/>
      <w:marLeft w:val="0"/>
      <w:marRight w:val="0"/>
      <w:marTop w:val="0"/>
      <w:marBottom w:val="0"/>
      <w:divBdr>
        <w:top w:val="none" w:sz="0" w:space="0" w:color="auto"/>
        <w:left w:val="none" w:sz="0" w:space="0" w:color="auto"/>
        <w:bottom w:val="none" w:sz="0" w:space="0" w:color="auto"/>
        <w:right w:val="none" w:sz="0" w:space="0" w:color="auto"/>
      </w:divBdr>
    </w:div>
    <w:div w:id="1058623973">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85546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abb.com/index.php/JAB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B7956-E78D-4DD3-A9EE-5BB4E3207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1252</Words>
  <Characters>7140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8376</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6946861</vt:i4>
      </vt:variant>
      <vt:variant>
        <vt:i4>0</vt:i4>
      </vt:variant>
      <vt:variant>
        <vt:i4>0</vt:i4>
      </vt:variant>
      <vt:variant>
        <vt:i4>5</vt:i4>
      </vt:variant>
      <vt:variant>
        <vt:lpwstr>https://journaljabb.com/index.php/JABB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1186</cp:lastModifiedBy>
  <cp:revision>33</cp:revision>
  <dcterms:created xsi:type="dcterms:W3CDTF">2025-07-16T13:01:00Z</dcterms:created>
  <dcterms:modified xsi:type="dcterms:W3CDTF">2025-07-18T12:41:00Z</dcterms:modified>
</cp:coreProperties>
</file>