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20F0E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C20F0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20F0E" w14:paraId="51D2E4ED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C20F0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27F1E" w14:textId="77777777" w:rsidR="0000007A" w:rsidRPr="00C20F0E" w:rsidRDefault="006A756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C20F0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Medical and Pharmaceutical Case Reports</w:t>
              </w:r>
            </w:hyperlink>
            <w:r w:rsidRPr="00C20F0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20F0E" w14:paraId="1F59F5F8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C20F0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7660" w14:textId="77777777" w:rsidR="0000007A" w:rsidRPr="00C20F0E" w:rsidRDefault="007669D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Ms_IJMPCR_140066</w:t>
            </w:r>
          </w:p>
        </w:tc>
      </w:tr>
      <w:tr w:rsidR="0000007A" w:rsidRPr="00C20F0E" w14:paraId="005D8A5F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C20F0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B454" w14:textId="77777777" w:rsidR="0000007A" w:rsidRPr="00C20F0E" w:rsidRDefault="007669D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Ancient Schwannoma Mimicking Salivary Gland </w:t>
            </w:r>
            <w:proofErr w:type="spellStart"/>
            <w:r w:rsidRPr="00C20F0E">
              <w:rPr>
                <w:rFonts w:ascii="Arial" w:hAnsi="Arial" w:cs="Arial"/>
                <w:b/>
                <w:sz w:val="20"/>
                <w:szCs w:val="20"/>
                <w:lang w:val="en-GB"/>
              </w:rPr>
              <w:t>Tumor</w:t>
            </w:r>
            <w:proofErr w:type="spellEnd"/>
            <w:r w:rsidRPr="00C20F0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the Submental Space: Diagnostic and Histopathological Insights</w:t>
            </w:r>
          </w:p>
        </w:tc>
      </w:tr>
      <w:tr w:rsidR="00CF0BBB" w:rsidRPr="00C20F0E" w14:paraId="0BF88381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C20F0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4BBE" w14:textId="77777777" w:rsidR="00CF0BBB" w:rsidRPr="00C20F0E" w:rsidRDefault="007669D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5DAB6C7B" w14:textId="77777777" w:rsidR="00037D52" w:rsidRPr="00C20F0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EB378F" w14:textId="77777777" w:rsidR="00605952" w:rsidRPr="00C20F0E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05A809" w14:textId="77777777" w:rsidR="005A3013" w:rsidRPr="00C20F0E" w:rsidRDefault="005A3013" w:rsidP="005A301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A3013" w:rsidRPr="00C20F0E" w14:paraId="5D849130" w14:textId="77777777" w:rsidTr="1D44F04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5A3013" w:rsidRPr="00C20F0E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20F0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20F0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A39BBE3" w14:textId="77777777" w:rsidR="005A3013" w:rsidRPr="00C20F0E" w:rsidRDefault="005A30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A3013" w:rsidRPr="00C20F0E" w14:paraId="425D58D4" w14:textId="77777777" w:rsidTr="1D44F049">
        <w:tc>
          <w:tcPr>
            <w:tcW w:w="1265" w:type="pct"/>
            <w:noWrap/>
          </w:tcPr>
          <w:p w14:paraId="41C8F396" w14:textId="77777777" w:rsidR="005A3013" w:rsidRPr="00C20F0E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5A3013" w:rsidRPr="00C20F0E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20F0E">
              <w:rPr>
                <w:rFonts w:ascii="Arial" w:hAnsi="Arial" w:cs="Arial"/>
                <w:lang w:val="en-GB"/>
              </w:rPr>
              <w:t>Reviewer’s comment</w:t>
            </w:r>
          </w:p>
          <w:p w14:paraId="19FCC298" w14:textId="77777777" w:rsidR="00CA17EF" w:rsidRPr="00C20F0E" w:rsidRDefault="00CA17EF" w:rsidP="00CA17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2A3D3EC" w14:textId="77777777" w:rsidR="00CA17EF" w:rsidRPr="00C20F0E" w:rsidRDefault="00CA17EF" w:rsidP="00CA1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423EBE" w:rsidRPr="00C20F0E" w:rsidRDefault="00423EBE" w:rsidP="00423EBE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20F0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20F0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D0B940D" w14:textId="77777777" w:rsidR="005A3013" w:rsidRPr="00C20F0E" w:rsidRDefault="005A30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A3013" w:rsidRPr="00C20F0E" w14:paraId="459660E6" w14:textId="77777777" w:rsidTr="1D44F049">
        <w:trPr>
          <w:trHeight w:val="1264"/>
        </w:trPr>
        <w:tc>
          <w:tcPr>
            <w:tcW w:w="1265" w:type="pct"/>
            <w:noWrap/>
          </w:tcPr>
          <w:p w14:paraId="7C78407A" w14:textId="77777777" w:rsidR="005A3013" w:rsidRPr="00C20F0E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E27B00A" w14:textId="77777777" w:rsidR="005A3013" w:rsidRPr="00C20F0E" w:rsidRDefault="005A301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vAlign w:val="center"/>
          </w:tcPr>
          <w:p w14:paraId="79F89C9D" w14:textId="77777777" w:rsidR="00FB1D64" w:rsidRPr="00C20F0E" w:rsidRDefault="00FB1D64" w:rsidP="00052B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60061E4C" w14:textId="77777777" w:rsidR="00FB1D64" w:rsidRPr="00C20F0E" w:rsidRDefault="00FB1D64" w:rsidP="00052B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E59BD75" w14:textId="77777777" w:rsidR="005A3013" w:rsidRPr="00C20F0E" w:rsidRDefault="00FB1D64" w:rsidP="00052B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manuscript highlights a rare case of ancient schwannoma in the submental region, which can mimic salivary gland </w:t>
            </w:r>
            <w:proofErr w:type="spellStart"/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tumors</w:t>
            </w:r>
            <w:proofErr w:type="spellEnd"/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clinically and radiologically. It underscores the importance of histopathological diagnosis to ensure accurate identification and appropriate management.</w:t>
            </w:r>
          </w:p>
        </w:tc>
        <w:tc>
          <w:tcPr>
            <w:tcW w:w="1523" w:type="pct"/>
          </w:tcPr>
          <w:p w14:paraId="44EAFD9C" w14:textId="657EA1DA" w:rsidR="005A3013" w:rsidRPr="00C20F0E" w:rsidRDefault="7850642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 xml:space="preserve">This case report highlights a rare presentation of ancient schwannoma in the submental region, a location where such </w:t>
            </w:r>
            <w:proofErr w:type="spellStart"/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>tumors</w:t>
            </w:r>
            <w:proofErr w:type="spellEnd"/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 xml:space="preserve"> are seldom encountered and often misdiagnosed. By detailing the clinical, radiological, and histopathological features, the manuscript underscores the diagnostic challenges in differentiating these </w:t>
            </w:r>
            <w:proofErr w:type="spellStart"/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>tumors</w:t>
            </w:r>
            <w:proofErr w:type="spellEnd"/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 xml:space="preserve"> from salivary gland neoplasms. </w:t>
            </w:r>
          </w:p>
        </w:tc>
      </w:tr>
      <w:tr w:rsidR="00FB1D64" w:rsidRPr="00C20F0E" w14:paraId="511BCAB3" w14:textId="77777777" w:rsidTr="1D44F049">
        <w:trPr>
          <w:trHeight w:val="620"/>
        </w:trPr>
        <w:tc>
          <w:tcPr>
            <w:tcW w:w="1265" w:type="pct"/>
            <w:noWrap/>
          </w:tcPr>
          <w:p w14:paraId="32CC438C" w14:textId="77777777" w:rsidR="00FB1D64" w:rsidRPr="00C20F0E" w:rsidRDefault="00FB1D6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FB1D64" w:rsidRPr="00C20F0E" w:rsidRDefault="00FB1D6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B94D5A5" w14:textId="77777777" w:rsidR="00FB1D64" w:rsidRPr="00C20F0E" w:rsidRDefault="00FB1D6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vAlign w:val="center"/>
          </w:tcPr>
          <w:p w14:paraId="3089FD00" w14:textId="77777777" w:rsidR="00FB1D64" w:rsidRPr="00C20F0E" w:rsidRDefault="00FB1D64" w:rsidP="00052B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0F0E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3DEEC669" w14:textId="54E89253" w:rsidR="00FB1D64" w:rsidRPr="00C20F0E" w:rsidRDefault="0DDB45F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>Yes</w:t>
            </w:r>
          </w:p>
        </w:tc>
      </w:tr>
      <w:tr w:rsidR="00FB1D64" w:rsidRPr="00C20F0E" w14:paraId="71D42AF8" w14:textId="77777777" w:rsidTr="1D44F049">
        <w:trPr>
          <w:trHeight w:val="728"/>
        </w:trPr>
        <w:tc>
          <w:tcPr>
            <w:tcW w:w="1265" w:type="pct"/>
            <w:noWrap/>
          </w:tcPr>
          <w:p w14:paraId="3405B17B" w14:textId="77777777" w:rsidR="00FB1D64" w:rsidRPr="00C20F0E" w:rsidRDefault="00FB1D6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20F0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656B9AB" w14:textId="77777777" w:rsidR="00FB1D64" w:rsidRPr="00C20F0E" w:rsidRDefault="00FB1D6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vAlign w:val="center"/>
          </w:tcPr>
          <w:p w14:paraId="3CF346C6" w14:textId="77777777" w:rsidR="00FB1D64" w:rsidRPr="00C20F0E" w:rsidRDefault="00FB1D64" w:rsidP="00052B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0F0E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  <w:p w14:paraId="4232681F" w14:textId="77777777" w:rsidR="00CB3682" w:rsidRPr="00C20F0E" w:rsidRDefault="00CB3682" w:rsidP="00052B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0F0E">
              <w:rPr>
                <w:rFonts w:ascii="Arial" w:hAnsi="Arial" w:cs="Arial"/>
                <w:b/>
                <w:sz w:val="20"/>
                <w:szCs w:val="20"/>
              </w:rPr>
              <w:t>The abstract is clear and well-structured, but briefly mentioning the histological features that confirmed the diagnosis would enhance clarity. Including a short note on the diagnostic challenge due to FNAC suspicion of malignancy adds clinical relevance.</w:t>
            </w:r>
          </w:p>
        </w:tc>
        <w:tc>
          <w:tcPr>
            <w:tcW w:w="1523" w:type="pct"/>
          </w:tcPr>
          <w:p w14:paraId="45FB0818" w14:textId="7F385A71" w:rsidR="00FB1D64" w:rsidRPr="00C20F0E" w:rsidRDefault="2BA5425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 xml:space="preserve">Short note on </w:t>
            </w:r>
            <w:proofErr w:type="spellStart"/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>dianostic</w:t>
            </w:r>
            <w:proofErr w:type="spellEnd"/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 xml:space="preserve"> challenges due to FNAC suspicious of malignancy will be added in the revised manuscript.</w:t>
            </w:r>
          </w:p>
        </w:tc>
      </w:tr>
      <w:tr w:rsidR="00FB1D64" w:rsidRPr="00C20F0E" w14:paraId="05CF609E" w14:textId="77777777" w:rsidTr="1D44F049">
        <w:trPr>
          <w:trHeight w:val="704"/>
        </w:trPr>
        <w:tc>
          <w:tcPr>
            <w:tcW w:w="1265" w:type="pct"/>
            <w:noWrap/>
          </w:tcPr>
          <w:p w14:paraId="129A0ED8" w14:textId="77777777" w:rsidR="00FB1D64" w:rsidRPr="00C20F0E" w:rsidRDefault="00FB1D6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20F0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vAlign w:val="center"/>
          </w:tcPr>
          <w:p w14:paraId="0C87830B" w14:textId="49B1D67C" w:rsidR="00FB1D64" w:rsidRPr="00C20F0E" w:rsidRDefault="00FB1D64" w:rsidP="1D44F0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  <w:r w:rsidR="2DDCCD2C" w:rsidRPr="00C20F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3" w:type="pct"/>
          </w:tcPr>
          <w:p w14:paraId="049F31CB" w14:textId="3FCF8AFD" w:rsidR="00FB1D64" w:rsidRPr="00C20F0E" w:rsidRDefault="3599123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>Yes</w:t>
            </w:r>
          </w:p>
        </w:tc>
      </w:tr>
      <w:tr w:rsidR="005A3013" w:rsidRPr="00C20F0E" w14:paraId="6A600970" w14:textId="77777777" w:rsidTr="1D44F049">
        <w:trPr>
          <w:trHeight w:val="703"/>
        </w:trPr>
        <w:tc>
          <w:tcPr>
            <w:tcW w:w="1265" w:type="pct"/>
            <w:noWrap/>
          </w:tcPr>
          <w:p w14:paraId="6D68EF76" w14:textId="77777777" w:rsidR="005A3013" w:rsidRPr="00C20F0E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vAlign w:val="center"/>
          </w:tcPr>
          <w:p w14:paraId="3C625688" w14:textId="77777777" w:rsidR="005A3013" w:rsidRPr="00C20F0E" w:rsidRDefault="00FB1D64" w:rsidP="00052B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</w:p>
          <w:p w14:paraId="3EFB4CC5" w14:textId="77777777" w:rsidR="00FB1D64" w:rsidRPr="00C20F0E" w:rsidRDefault="00FB1D64" w:rsidP="00052BCC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Kindly include recent reference</w:t>
            </w:r>
          </w:p>
          <w:p w14:paraId="53128261" w14:textId="77777777" w:rsidR="00FB1D64" w:rsidRPr="00C20F0E" w:rsidRDefault="00FB1D64" w:rsidP="00052B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2486C05" w14:textId="4942998E" w:rsidR="005A3013" w:rsidRPr="00C20F0E" w:rsidRDefault="16153B7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>Recent references will be added.</w:t>
            </w:r>
          </w:p>
        </w:tc>
      </w:tr>
      <w:tr w:rsidR="00FB1D64" w:rsidRPr="00C20F0E" w14:paraId="57F62662" w14:textId="77777777" w:rsidTr="1D44F049">
        <w:trPr>
          <w:trHeight w:val="386"/>
        </w:trPr>
        <w:tc>
          <w:tcPr>
            <w:tcW w:w="1265" w:type="pct"/>
            <w:noWrap/>
          </w:tcPr>
          <w:p w14:paraId="38B4B1DF" w14:textId="77777777" w:rsidR="00FB1D64" w:rsidRPr="00C20F0E" w:rsidRDefault="00FB1D6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20F0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101652C" w14:textId="77777777" w:rsidR="00FB1D64" w:rsidRPr="00C20F0E" w:rsidRDefault="00FB1D6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vAlign w:val="center"/>
          </w:tcPr>
          <w:p w14:paraId="08DCFEE8" w14:textId="77777777" w:rsidR="00FB1D64" w:rsidRPr="00C20F0E" w:rsidRDefault="00FB1D64" w:rsidP="00052B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0F0E">
              <w:rPr>
                <w:rFonts w:ascii="Arial" w:hAnsi="Arial" w:cs="Arial"/>
                <w:b/>
                <w:sz w:val="20"/>
                <w:szCs w:val="20"/>
              </w:rPr>
              <w:t xml:space="preserve"> YES</w:t>
            </w:r>
          </w:p>
        </w:tc>
        <w:tc>
          <w:tcPr>
            <w:tcW w:w="1523" w:type="pct"/>
          </w:tcPr>
          <w:p w14:paraId="4B99056E" w14:textId="6F7B2496" w:rsidR="00FB1D64" w:rsidRPr="00C20F0E" w:rsidRDefault="2DDCCD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20F0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FB1D64" w:rsidRPr="00C20F0E" w14:paraId="33B8C86B" w14:textId="77777777" w:rsidTr="1D44F049">
        <w:trPr>
          <w:trHeight w:val="1178"/>
        </w:trPr>
        <w:tc>
          <w:tcPr>
            <w:tcW w:w="1265" w:type="pct"/>
            <w:noWrap/>
          </w:tcPr>
          <w:p w14:paraId="33A5ADFC" w14:textId="77777777" w:rsidR="00FB1D64" w:rsidRPr="00C20F0E" w:rsidRDefault="00FB1D6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0F0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20F0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20F0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299C43A" w14:textId="77777777" w:rsidR="00FB1D64" w:rsidRPr="00C20F0E" w:rsidRDefault="00FB1D6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vAlign w:val="center"/>
          </w:tcPr>
          <w:p w14:paraId="0B35279D" w14:textId="77777777" w:rsidR="00FB1D64" w:rsidRPr="00C20F0E" w:rsidRDefault="00FB1D64" w:rsidP="00052B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0F0E">
              <w:rPr>
                <w:rFonts w:ascii="Arial" w:hAnsi="Arial" w:cs="Arial"/>
                <w:b/>
                <w:sz w:val="20"/>
                <w:szCs w:val="20"/>
              </w:rPr>
              <w:t>GOOD</w:t>
            </w:r>
          </w:p>
        </w:tc>
        <w:tc>
          <w:tcPr>
            <w:tcW w:w="1523" w:type="pct"/>
          </w:tcPr>
          <w:p w14:paraId="4DDBEF00" w14:textId="77777777" w:rsidR="00FB1D64" w:rsidRPr="00C20F0E" w:rsidRDefault="00FB1D6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461D779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F2D8B6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B78278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FC39945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562CB0E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CE0A41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EBF3C5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98A12B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46DB82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97CC1D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0FFD37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FEB5B0" w14:textId="76A5B90A" w:rsidR="00574A99" w:rsidRPr="00C20F0E" w:rsidRDefault="00574A99" w:rsidP="00574A99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30D7AA69" w14:textId="77777777" w:rsidR="00574A99" w:rsidRPr="00C20F0E" w:rsidRDefault="00574A99" w:rsidP="00574A99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tbl>
      <w:tblPr>
        <w:tblpPr w:leftFromText="180" w:rightFromText="180" w:vertAnchor="text" w:horzAnchor="margin" w:tblpY="-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B3DD2" w:rsidRPr="00C20F0E" w14:paraId="5C2AA5B3" w14:textId="77777777" w:rsidTr="1D44F04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C20F0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20F0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196D064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B3DD2" w:rsidRPr="00C20F0E" w14:paraId="63A44DA7" w14:textId="77777777" w:rsidTr="1D44F04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F1C98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B535E" w14:textId="77777777" w:rsidR="005B3DD2" w:rsidRPr="00C20F0E" w:rsidRDefault="005B3DD2" w:rsidP="005B3DD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7C63" w14:textId="77777777" w:rsidR="005B3DD2" w:rsidRPr="00C20F0E" w:rsidRDefault="005B3DD2" w:rsidP="005B3DD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20F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20F0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20F0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B3DD2" w:rsidRPr="00C20F0E" w14:paraId="1EA22A3D" w14:textId="77777777" w:rsidTr="1D44F04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20F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D072C0D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46A9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20F0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8A21919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D18F9B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01FE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3CABC7" w14:textId="588A33B9" w:rsidR="005B3DD2" w:rsidRPr="00C20F0E" w:rsidRDefault="2889F7A4" w:rsidP="005B3D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20F0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 issue in this manuscript.</w:t>
            </w:r>
          </w:p>
          <w:p w14:paraId="5B08B5D1" w14:textId="77777777" w:rsidR="005B3DD2" w:rsidRPr="00C20F0E" w:rsidRDefault="005B3DD2" w:rsidP="005B3D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16DEB4AB" w14:textId="77777777" w:rsidR="005A3013" w:rsidRPr="00C20F0E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5A3013" w:rsidRPr="00C20F0E" w:rsidSect="00232506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FD04" w14:textId="77777777" w:rsidR="00A438A6" w:rsidRPr="0000007A" w:rsidRDefault="00A438A6" w:rsidP="0099583E">
      <w:r>
        <w:separator/>
      </w:r>
    </w:p>
  </w:endnote>
  <w:endnote w:type="continuationSeparator" w:id="0">
    <w:p w14:paraId="7935F846" w14:textId="77777777" w:rsidR="00A438A6" w:rsidRPr="0000007A" w:rsidRDefault="00A438A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77728D" w:rsidRPr="0077728D">
      <w:rPr>
        <w:sz w:val="16"/>
      </w:rPr>
      <w:t xml:space="preserve">Version: </w:t>
    </w:r>
    <w:r w:rsidR="00085F6F">
      <w:rPr>
        <w:sz w:val="16"/>
      </w:rPr>
      <w:t xml:space="preserve">3 </w:t>
    </w:r>
    <w:r w:rsidR="0077728D" w:rsidRPr="0077728D">
      <w:rPr>
        <w:sz w:val="16"/>
      </w:rPr>
      <w:t>(0</w:t>
    </w:r>
    <w:r w:rsidR="00085F6F">
      <w:rPr>
        <w:sz w:val="16"/>
      </w:rPr>
      <w:t>7</w:t>
    </w:r>
    <w:r w:rsidR="0077728D" w:rsidRPr="0077728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4D6F9" w14:textId="77777777" w:rsidR="00A438A6" w:rsidRPr="0000007A" w:rsidRDefault="00A438A6" w:rsidP="0099583E">
      <w:r>
        <w:separator/>
      </w:r>
    </w:p>
  </w:footnote>
  <w:footnote w:type="continuationSeparator" w:id="0">
    <w:p w14:paraId="565067C3" w14:textId="77777777" w:rsidR="00A438A6" w:rsidRPr="0000007A" w:rsidRDefault="00A438A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B140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E6A9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03998183">
    <w:abstractNumId w:val="4"/>
  </w:num>
  <w:num w:numId="2" w16cid:durableId="663044615">
    <w:abstractNumId w:val="8"/>
  </w:num>
  <w:num w:numId="3" w16cid:durableId="1184515075">
    <w:abstractNumId w:val="7"/>
  </w:num>
  <w:num w:numId="4" w16cid:durableId="1610165751">
    <w:abstractNumId w:val="9"/>
  </w:num>
  <w:num w:numId="5" w16cid:durableId="558201771">
    <w:abstractNumId w:val="6"/>
  </w:num>
  <w:num w:numId="6" w16cid:durableId="761148435">
    <w:abstractNumId w:val="0"/>
  </w:num>
  <w:num w:numId="7" w16cid:durableId="1737968860">
    <w:abstractNumId w:val="3"/>
  </w:num>
  <w:num w:numId="8" w16cid:durableId="1509445669">
    <w:abstractNumId w:val="11"/>
  </w:num>
  <w:num w:numId="9" w16cid:durableId="1736512612">
    <w:abstractNumId w:val="10"/>
  </w:num>
  <w:num w:numId="10" w16cid:durableId="2072733260">
    <w:abstractNumId w:val="2"/>
  </w:num>
  <w:num w:numId="11" w16cid:durableId="961619012">
    <w:abstractNumId w:val="1"/>
  </w:num>
  <w:num w:numId="12" w16cid:durableId="159976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2BCC"/>
    <w:rsid w:val="00056CB0"/>
    <w:rsid w:val="000577C2"/>
    <w:rsid w:val="0006257C"/>
    <w:rsid w:val="00084D7C"/>
    <w:rsid w:val="00085F6F"/>
    <w:rsid w:val="00091112"/>
    <w:rsid w:val="000936AC"/>
    <w:rsid w:val="00094197"/>
    <w:rsid w:val="00095A59"/>
    <w:rsid w:val="000A2134"/>
    <w:rsid w:val="000A6F41"/>
    <w:rsid w:val="000B1221"/>
    <w:rsid w:val="000B4EE5"/>
    <w:rsid w:val="000B74A1"/>
    <w:rsid w:val="000B757E"/>
    <w:rsid w:val="000C0837"/>
    <w:rsid w:val="000C3B7E"/>
    <w:rsid w:val="000C74F3"/>
    <w:rsid w:val="00100577"/>
    <w:rsid w:val="00101322"/>
    <w:rsid w:val="00136984"/>
    <w:rsid w:val="0014331B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2506"/>
    <w:rsid w:val="0023696A"/>
    <w:rsid w:val="002422CB"/>
    <w:rsid w:val="00245E23"/>
    <w:rsid w:val="0025366D"/>
    <w:rsid w:val="00254F80"/>
    <w:rsid w:val="00262634"/>
    <w:rsid w:val="002643B3"/>
    <w:rsid w:val="00265CD7"/>
    <w:rsid w:val="00275984"/>
    <w:rsid w:val="00280EC9"/>
    <w:rsid w:val="00285741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131E"/>
    <w:rsid w:val="0033692F"/>
    <w:rsid w:val="00346223"/>
    <w:rsid w:val="003A04E7"/>
    <w:rsid w:val="003A4991"/>
    <w:rsid w:val="003A6E1A"/>
    <w:rsid w:val="003B2172"/>
    <w:rsid w:val="003E746A"/>
    <w:rsid w:val="00423EBE"/>
    <w:rsid w:val="0042465A"/>
    <w:rsid w:val="004356CC"/>
    <w:rsid w:val="00435B36"/>
    <w:rsid w:val="00442B24"/>
    <w:rsid w:val="0044444D"/>
    <w:rsid w:val="0044519B"/>
    <w:rsid w:val="00445B35"/>
    <w:rsid w:val="00446659"/>
    <w:rsid w:val="00457130"/>
    <w:rsid w:val="00457AB1"/>
    <w:rsid w:val="00457BC0"/>
    <w:rsid w:val="00462996"/>
    <w:rsid w:val="004674B4"/>
    <w:rsid w:val="004676E7"/>
    <w:rsid w:val="00472847"/>
    <w:rsid w:val="004B4CAD"/>
    <w:rsid w:val="004B4FDC"/>
    <w:rsid w:val="004C3DF1"/>
    <w:rsid w:val="004D2E36"/>
    <w:rsid w:val="004E14E6"/>
    <w:rsid w:val="005011AD"/>
    <w:rsid w:val="00503AB6"/>
    <w:rsid w:val="005047C5"/>
    <w:rsid w:val="00510920"/>
    <w:rsid w:val="00521812"/>
    <w:rsid w:val="00523D2C"/>
    <w:rsid w:val="00531C82"/>
    <w:rsid w:val="005339A8"/>
    <w:rsid w:val="00533FC1"/>
    <w:rsid w:val="00537C02"/>
    <w:rsid w:val="0054564B"/>
    <w:rsid w:val="00545A13"/>
    <w:rsid w:val="00546343"/>
    <w:rsid w:val="00557CD3"/>
    <w:rsid w:val="00560D3C"/>
    <w:rsid w:val="00567DE0"/>
    <w:rsid w:val="00572201"/>
    <w:rsid w:val="005735A5"/>
    <w:rsid w:val="00574A99"/>
    <w:rsid w:val="005A3013"/>
    <w:rsid w:val="005A5BE0"/>
    <w:rsid w:val="005B12E0"/>
    <w:rsid w:val="005B3DD2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A7563"/>
    <w:rsid w:val="006B4D0B"/>
    <w:rsid w:val="006C3797"/>
    <w:rsid w:val="006E7D6E"/>
    <w:rsid w:val="006F6F2F"/>
    <w:rsid w:val="00701186"/>
    <w:rsid w:val="00707BE1"/>
    <w:rsid w:val="007238EB"/>
    <w:rsid w:val="0072731D"/>
    <w:rsid w:val="0072789A"/>
    <w:rsid w:val="007317C3"/>
    <w:rsid w:val="00734756"/>
    <w:rsid w:val="0073538B"/>
    <w:rsid w:val="00741BD0"/>
    <w:rsid w:val="007426E6"/>
    <w:rsid w:val="00746370"/>
    <w:rsid w:val="0076091E"/>
    <w:rsid w:val="00766889"/>
    <w:rsid w:val="007669DD"/>
    <w:rsid w:val="00766A0D"/>
    <w:rsid w:val="00767F8C"/>
    <w:rsid w:val="0077728D"/>
    <w:rsid w:val="00780B67"/>
    <w:rsid w:val="00782CFA"/>
    <w:rsid w:val="007B1099"/>
    <w:rsid w:val="007B6E18"/>
    <w:rsid w:val="007C42F4"/>
    <w:rsid w:val="007D0246"/>
    <w:rsid w:val="007F39D2"/>
    <w:rsid w:val="007F5873"/>
    <w:rsid w:val="00806382"/>
    <w:rsid w:val="00815F94"/>
    <w:rsid w:val="0082130C"/>
    <w:rsid w:val="008224E2"/>
    <w:rsid w:val="00825DC9"/>
    <w:rsid w:val="0082664B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96010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6F63"/>
    <w:rsid w:val="00A31AAC"/>
    <w:rsid w:val="00A32905"/>
    <w:rsid w:val="00A36C95"/>
    <w:rsid w:val="00A37DE3"/>
    <w:rsid w:val="00A438A6"/>
    <w:rsid w:val="00A519D1"/>
    <w:rsid w:val="00A6343B"/>
    <w:rsid w:val="00A65C50"/>
    <w:rsid w:val="00A66DD2"/>
    <w:rsid w:val="00AA41B3"/>
    <w:rsid w:val="00AA6670"/>
    <w:rsid w:val="00AB10F0"/>
    <w:rsid w:val="00AB1ED6"/>
    <w:rsid w:val="00AB397D"/>
    <w:rsid w:val="00AB5F38"/>
    <w:rsid w:val="00AB638A"/>
    <w:rsid w:val="00AB6E43"/>
    <w:rsid w:val="00AC1349"/>
    <w:rsid w:val="00AD6C51"/>
    <w:rsid w:val="00AF12DE"/>
    <w:rsid w:val="00AF3016"/>
    <w:rsid w:val="00AF662F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0F0E"/>
    <w:rsid w:val="00C22886"/>
    <w:rsid w:val="00C25C8F"/>
    <w:rsid w:val="00C263C6"/>
    <w:rsid w:val="00C565A9"/>
    <w:rsid w:val="00C635B6"/>
    <w:rsid w:val="00C70DFC"/>
    <w:rsid w:val="00C82466"/>
    <w:rsid w:val="00C84097"/>
    <w:rsid w:val="00C91075"/>
    <w:rsid w:val="00CA17EF"/>
    <w:rsid w:val="00CB3682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7CD4"/>
    <w:rsid w:val="00D7603E"/>
    <w:rsid w:val="00D80D48"/>
    <w:rsid w:val="00D8579C"/>
    <w:rsid w:val="00D90124"/>
    <w:rsid w:val="00D9392F"/>
    <w:rsid w:val="00DA41F5"/>
    <w:rsid w:val="00DB5B54"/>
    <w:rsid w:val="00DB7E1B"/>
    <w:rsid w:val="00DC1D81"/>
    <w:rsid w:val="00E06670"/>
    <w:rsid w:val="00E25925"/>
    <w:rsid w:val="00E451EA"/>
    <w:rsid w:val="00E53E52"/>
    <w:rsid w:val="00E57F4B"/>
    <w:rsid w:val="00E6307F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6A9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1D64"/>
    <w:rsid w:val="00FC2E17"/>
    <w:rsid w:val="00FC6387"/>
    <w:rsid w:val="00FC6802"/>
    <w:rsid w:val="00FD70A7"/>
    <w:rsid w:val="00FF09A0"/>
    <w:rsid w:val="0DDB45F8"/>
    <w:rsid w:val="14FDD0F2"/>
    <w:rsid w:val="16153B76"/>
    <w:rsid w:val="1D44F049"/>
    <w:rsid w:val="26C3A211"/>
    <w:rsid w:val="2889F7A4"/>
    <w:rsid w:val="2BA54254"/>
    <w:rsid w:val="2DDCCD2C"/>
    <w:rsid w:val="31B7763E"/>
    <w:rsid w:val="35991236"/>
    <w:rsid w:val="5B8C6F26"/>
    <w:rsid w:val="7850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5B391"/>
  <w15:chartTrackingRefBased/>
  <w15:docId w15:val="{95142657-301A-4759-B27E-7BDC58FC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2CF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7C42F4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782CFA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go">
    <w:name w:val="go"/>
    <w:rsid w:val="007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mpcr.com/index.php/IJMPC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6459B-3B52-4878-865A-357CF227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130</cp:revision>
  <dcterms:created xsi:type="dcterms:W3CDTF">2025-07-10T13:14:00Z</dcterms:created>
  <dcterms:modified xsi:type="dcterms:W3CDTF">2025-07-11T06:00:00Z</dcterms:modified>
</cp:coreProperties>
</file>