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2E992" w14:textId="77777777" w:rsidR="00872079" w:rsidRPr="000E3AE5" w:rsidRDefault="00872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72079" w:rsidRPr="000E3AE5" w14:paraId="1239BFAF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6B754B7" w14:textId="77777777" w:rsidR="00872079" w:rsidRPr="000E3AE5" w:rsidRDefault="0087207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72079" w:rsidRPr="000E3AE5" w14:paraId="1C9FC269" w14:textId="77777777">
        <w:trPr>
          <w:trHeight w:val="290"/>
        </w:trPr>
        <w:tc>
          <w:tcPr>
            <w:tcW w:w="5167" w:type="dxa"/>
          </w:tcPr>
          <w:p w14:paraId="4C7B4FD3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234C9" w14:textId="77777777" w:rsidR="00872079" w:rsidRPr="000E3AE5" w:rsidRDefault="0044763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821EE0" w:rsidRPr="000E3AE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Medicine and Health</w:t>
              </w:r>
            </w:hyperlink>
            <w:r w:rsidR="00821EE0" w:rsidRPr="000E3AE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72079" w:rsidRPr="000E3AE5" w14:paraId="16F1D453" w14:textId="77777777">
        <w:trPr>
          <w:trHeight w:val="290"/>
        </w:trPr>
        <w:tc>
          <w:tcPr>
            <w:tcW w:w="5167" w:type="dxa"/>
          </w:tcPr>
          <w:p w14:paraId="37F2033F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35E34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Ms_AJMAH_140610</w:t>
            </w:r>
          </w:p>
        </w:tc>
      </w:tr>
      <w:tr w:rsidR="00872079" w:rsidRPr="000E3AE5" w14:paraId="31916335" w14:textId="77777777">
        <w:trPr>
          <w:trHeight w:val="650"/>
        </w:trPr>
        <w:tc>
          <w:tcPr>
            <w:tcW w:w="5167" w:type="dxa"/>
          </w:tcPr>
          <w:p w14:paraId="566B290D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2BAB3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Fetal Goiter: Ultrasound Diagnosis- A Case Report</w:t>
            </w:r>
          </w:p>
        </w:tc>
      </w:tr>
      <w:tr w:rsidR="00872079" w:rsidRPr="000E3AE5" w14:paraId="3FAED847" w14:textId="77777777">
        <w:trPr>
          <w:trHeight w:val="332"/>
        </w:trPr>
        <w:tc>
          <w:tcPr>
            <w:tcW w:w="5167" w:type="dxa"/>
          </w:tcPr>
          <w:p w14:paraId="3197BD99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16C27" w14:textId="77777777" w:rsidR="00872079" w:rsidRPr="000E3AE5" w:rsidRDefault="00821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31ABF9E7" w14:textId="77777777" w:rsidR="00872079" w:rsidRPr="000E3AE5" w:rsidRDefault="008720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D9EF227" w14:textId="77777777" w:rsidR="00872079" w:rsidRPr="000E3AE5" w:rsidRDefault="008720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j4vch9311pqs" w:colFirst="0" w:colLast="0"/>
      <w:bookmarkEnd w:id="0"/>
    </w:p>
    <w:p w14:paraId="45BC96D6" w14:textId="77777777" w:rsidR="00872079" w:rsidRPr="000E3AE5" w:rsidRDefault="00872079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72079" w:rsidRPr="000E3AE5" w14:paraId="56D239A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EF37352" w14:textId="77777777" w:rsidR="00872079" w:rsidRPr="000E3AE5" w:rsidRDefault="00821EE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3AE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E3AE5">
              <w:rPr>
                <w:rFonts w:ascii="Arial" w:eastAsia="Times New Roman" w:hAnsi="Arial" w:cs="Arial"/>
              </w:rPr>
              <w:t xml:space="preserve"> Comments</w:t>
            </w:r>
          </w:p>
          <w:p w14:paraId="0C9BF9FE" w14:textId="77777777" w:rsidR="00872079" w:rsidRPr="000E3AE5" w:rsidRDefault="008720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079" w:rsidRPr="000E3AE5" w14:paraId="7D6E303B" w14:textId="77777777">
        <w:tc>
          <w:tcPr>
            <w:tcW w:w="5351" w:type="dxa"/>
          </w:tcPr>
          <w:p w14:paraId="59FA6DDE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755D24F" w14:textId="77777777" w:rsidR="00872079" w:rsidRPr="000E3AE5" w:rsidRDefault="00821EE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3AE5">
              <w:rPr>
                <w:rFonts w:ascii="Arial" w:eastAsia="Times New Roman" w:hAnsi="Arial" w:cs="Arial"/>
              </w:rPr>
              <w:t>Reviewer’s comment</w:t>
            </w:r>
          </w:p>
          <w:p w14:paraId="327219C9" w14:textId="77777777" w:rsidR="00872079" w:rsidRPr="000E3AE5" w:rsidRDefault="00821EE0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E53FBE0" w14:textId="77777777" w:rsidR="00872079" w:rsidRPr="000E3AE5" w:rsidRDefault="008720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6F2A1A1" w14:textId="77777777" w:rsidR="00872079" w:rsidRPr="000E3AE5" w:rsidRDefault="00821EE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E3AE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52F94DA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4E49FC82" w14:textId="77777777">
        <w:trPr>
          <w:trHeight w:val="1264"/>
        </w:trPr>
        <w:tc>
          <w:tcPr>
            <w:tcW w:w="5351" w:type="dxa"/>
          </w:tcPr>
          <w:p w14:paraId="073D3AC1" w14:textId="77777777" w:rsidR="00872079" w:rsidRPr="000E3AE5" w:rsidRDefault="00821EE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303A034" w14:textId="77777777" w:rsidR="00872079" w:rsidRPr="000E3AE5" w:rsidRDefault="0087207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D25DD88" w14:textId="77777777" w:rsidR="00872079" w:rsidRPr="000E3AE5" w:rsidRDefault="00872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0B080CD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5AE9651C" w14:textId="77777777">
        <w:trPr>
          <w:trHeight w:val="1262"/>
        </w:trPr>
        <w:tc>
          <w:tcPr>
            <w:tcW w:w="5351" w:type="dxa"/>
          </w:tcPr>
          <w:p w14:paraId="0768DE5F" w14:textId="77777777" w:rsidR="00872079" w:rsidRPr="000E3AE5" w:rsidRDefault="00821EE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D279F80" w14:textId="77777777" w:rsidR="00872079" w:rsidRPr="000E3AE5" w:rsidRDefault="00821EE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41EEC28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156A1A2" w14:textId="77777777" w:rsidR="00872079" w:rsidRPr="000E3AE5" w:rsidRDefault="0087207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3839B4B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3A2A39BD" w14:textId="77777777">
        <w:trPr>
          <w:trHeight w:val="1262"/>
        </w:trPr>
        <w:tc>
          <w:tcPr>
            <w:tcW w:w="5351" w:type="dxa"/>
          </w:tcPr>
          <w:p w14:paraId="46D8CD58" w14:textId="77777777" w:rsidR="00872079" w:rsidRPr="000E3AE5" w:rsidRDefault="00821EE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3AE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64A9193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5BF5764" w14:textId="77777777" w:rsidR="00872079" w:rsidRPr="000E3AE5" w:rsidRDefault="0087207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88890DD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3B3C9584" w14:textId="77777777">
        <w:trPr>
          <w:trHeight w:val="704"/>
        </w:trPr>
        <w:tc>
          <w:tcPr>
            <w:tcW w:w="5351" w:type="dxa"/>
          </w:tcPr>
          <w:p w14:paraId="00F5DE22" w14:textId="77777777" w:rsidR="00872079" w:rsidRPr="000E3AE5" w:rsidRDefault="00821EE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E3AE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35762FD" w14:textId="77777777" w:rsidR="00872079" w:rsidRPr="000E3AE5" w:rsidRDefault="00872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A7D7D4B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5CFEA665" w14:textId="77777777">
        <w:trPr>
          <w:trHeight w:val="703"/>
        </w:trPr>
        <w:tc>
          <w:tcPr>
            <w:tcW w:w="5351" w:type="dxa"/>
          </w:tcPr>
          <w:p w14:paraId="1E40B8C1" w14:textId="77777777" w:rsidR="00872079" w:rsidRPr="000E3AE5" w:rsidRDefault="00821EE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3FC88C0" w14:textId="77777777" w:rsidR="00872079" w:rsidRPr="000E3AE5" w:rsidRDefault="00872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A16EFE9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2079" w:rsidRPr="000E3AE5" w14:paraId="3357D3CB" w14:textId="77777777">
        <w:trPr>
          <w:trHeight w:val="386"/>
        </w:trPr>
        <w:tc>
          <w:tcPr>
            <w:tcW w:w="5351" w:type="dxa"/>
          </w:tcPr>
          <w:p w14:paraId="30424822" w14:textId="77777777" w:rsidR="00872079" w:rsidRPr="000E3AE5" w:rsidRDefault="00821EE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3AE5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14:paraId="79D61937" w14:textId="77777777" w:rsidR="00872079" w:rsidRPr="000E3AE5" w:rsidRDefault="008720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5923D28" w14:textId="77777777" w:rsidR="00872079" w:rsidRPr="000E3AE5" w:rsidRDefault="008720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640E9D7" w14:textId="77777777" w:rsidR="00872079" w:rsidRPr="000E3AE5" w:rsidRDefault="008720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079" w:rsidRPr="000E3AE5" w14:paraId="787C450F" w14:textId="77777777">
        <w:trPr>
          <w:trHeight w:val="1178"/>
        </w:trPr>
        <w:tc>
          <w:tcPr>
            <w:tcW w:w="5351" w:type="dxa"/>
          </w:tcPr>
          <w:p w14:paraId="4B64E1CC" w14:textId="77777777" w:rsidR="00872079" w:rsidRPr="000E3AE5" w:rsidRDefault="00821EE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AE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E3AE5">
              <w:rPr>
                <w:rFonts w:ascii="Arial" w:eastAsia="Times New Roman" w:hAnsi="Arial" w:cs="Arial"/>
              </w:rPr>
              <w:t xml:space="preserve"> </w:t>
            </w:r>
            <w:r w:rsidRPr="000E3AE5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8371AC9" w14:textId="77777777" w:rsidR="00872079" w:rsidRPr="000E3AE5" w:rsidRDefault="008720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750B7C64" w14:textId="77777777" w:rsidR="00872079" w:rsidRPr="000E3AE5" w:rsidRDefault="00872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a1"/>
              <w:tblW w:w="9016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2"/>
              <w:gridCol w:w="3296"/>
              <w:gridCol w:w="3088"/>
            </w:tblGrid>
            <w:tr w:rsidR="00872079" w:rsidRPr="000E3AE5" w14:paraId="30BCA6BF" w14:textId="77777777">
              <w:tc>
                <w:tcPr>
                  <w:tcW w:w="2632" w:type="dxa"/>
                </w:tcPr>
                <w:p w14:paraId="54AFED68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Heading</w:t>
                  </w:r>
                </w:p>
              </w:tc>
              <w:tc>
                <w:tcPr>
                  <w:tcW w:w="3296" w:type="dxa"/>
                </w:tcPr>
                <w:p w14:paraId="7C3389F7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Original line</w:t>
                  </w:r>
                </w:p>
              </w:tc>
              <w:tc>
                <w:tcPr>
                  <w:tcW w:w="3088" w:type="dxa"/>
                </w:tcPr>
                <w:p w14:paraId="6040CB1B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Reviewer’s comment</w:t>
                  </w:r>
                </w:p>
              </w:tc>
            </w:tr>
            <w:tr w:rsidR="00872079" w:rsidRPr="000E3AE5" w14:paraId="01ED128F" w14:textId="77777777">
              <w:tc>
                <w:tcPr>
                  <w:tcW w:w="2632" w:type="dxa"/>
                </w:tcPr>
                <w:p w14:paraId="5055C25B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Abstract</w:t>
                  </w:r>
                </w:p>
              </w:tc>
              <w:tc>
                <w:tcPr>
                  <w:tcW w:w="3296" w:type="dxa"/>
                </w:tcPr>
                <w:p w14:paraId="050DF627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This article presents the case of a 27-year-old patient with a history of Graves’ disease and thyroid hormone intake during the first trimester, unaware of her pregnancy.</w:t>
                  </w:r>
                </w:p>
              </w:tc>
              <w:tc>
                <w:tcPr>
                  <w:tcW w:w="3088" w:type="dxa"/>
                </w:tcPr>
                <w:p w14:paraId="03A8E886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Is it thyroid hormone or, antithyroid </w:t>
                  </w:r>
                  <w:proofErr w:type="gram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drug.</w:t>
                  </w:r>
                  <w:proofErr w:type="gram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 Kindly clarify. Also, you need to mention TFT reports. There must be some old reports available in a known case of </w:t>
                  </w:r>
                  <w:proofErr w:type="spell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graves</w:t>
                  </w:r>
                  <w:proofErr w:type="spell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 disease. Also, the initial symptoms, duration need to be discussed in details.</w:t>
                  </w:r>
                </w:p>
              </w:tc>
            </w:tr>
            <w:tr w:rsidR="00872079" w:rsidRPr="000E3AE5" w14:paraId="44EBFB89" w14:textId="77777777">
              <w:tc>
                <w:tcPr>
                  <w:tcW w:w="2632" w:type="dxa"/>
                </w:tcPr>
                <w:p w14:paraId="7EED9C10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Introduction</w:t>
                  </w:r>
                </w:p>
              </w:tc>
              <w:tc>
                <w:tcPr>
                  <w:tcW w:w="3296" w:type="dxa"/>
                </w:tcPr>
                <w:p w14:paraId="7C8900C8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Causing central hypothyroidism and morphological thyroid changes.</w:t>
                  </w:r>
                </w:p>
              </w:tc>
              <w:tc>
                <w:tcPr>
                  <w:tcW w:w="3088" w:type="dxa"/>
                </w:tcPr>
                <w:p w14:paraId="2EEFE9E0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Kindly explain, how central hypothyroidism is related to current scenario of fetal </w:t>
                  </w:r>
                  <w:proofErr w:type="spell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goitre</w:t>
                  </w:r>
                  <w:proofErr w:type="spell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872079" w:rsidRPr="000E3AE5" w14:paraId="048B7AC3" w14:textId="77777777">
              <w:tc>
                <w:tcPr>
                  <w:tcW w:w="2632" w:type="dxa"/>
                </w:tcPr>
                <w:p w14:paraId="2C1D8359" w14:textId="77777777" w:rsidR="00872079" w:rsidRPr="000E3AE5" w:rsidRDefault="008720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96" w:type="dxa"/>
                </w:tcPr>
                <w:p w14:paraId="0344B93D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Human chorionic gonadotropin interferes with maternal TSH</w:t>
                  </w:r>
                </w:p>
              </w:tc>
              <w:tc>
                <w:tcPr>
                  <w:tcW w:w="3088" w:type="dxa"/>
                </w:tcPr>
                <w:p w14:paraId="7E830CB5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hCG</w:t>
                  </w:r>
                  <w:proofErr w:type="spell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 acts similar to TSH. Remove the term ‘interferes’.</w:t>
                  </w:r>
                </w:p>
              </w:tc>
            </w:tr>
            <w:tr w:rsidR="00872079" w:rsidRPr="000E3AE5" w14:paraId="70AACD0F" w14:textId="77777777">
              <w:tc>
                <w:tcPr>
                  <w:tcW w:w="2632" w:type="dxa"/>
                </w:tcPr>
                <w:p w14:paraId="75F150BF" w14:textId="77777777" w:rsidR="00872079" w:rsidRPr="000E3AE5" w:rsidRDefault="008720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96" w:type="dxa"/>
                </w:tcPr>
                <w:p w14:paraId="45B39B49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Antithyroid medications during pregnancy, which also cross the placenta and inhibit fetal thyroid stimulation</w:t>
                  </w:r>
                </w:p>
              </w:tc>
              <w:tc>
                <w:tcPr>
                  <w:tcW w:w="3088" w:type="dxa"/>
                </w:tcPr>
                <w:p w14:paraId="16590894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Remove the word thyroid stimulation with ‘thyroid function’.</w:t>
                  </w:r>
                </w:p>
              </w:tc>
            </w:tr>
            <w:tr w:rsidR="00872079" w:rsidRPr="000E3AE5" w14:paraId="29CBDE07" w14:textId="77777777">
              <w:tc>
                <w:tcPr>
                  <w:tcW w:w="2632" w:type="dxa"/>
                </w:tcPr>
                <w:p w14:paraId="6389BA99" w14:textId="77777777" w:rsidR="00872079" w:rsidRPr="000E3AE5" w:rsidRDefault="008720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96" w:type="dxa"/>
                </w:tcPr>
                <w:p w14:paraId="35C86D0E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And metabolic complications (e.g., heart failure, mental retardation, growth restriction</w:t>
                  </w:r>
                </w:p>
              </w:tc>
              <w:tc>
                <w:tcPr>
                  <w:tcW w:w="3088" w:type="dxa"/>
                </w:tcPr>
                <w:p w14:paraId="650C7405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Remove ‘mental retardation’. Mention poor brain development.</w:t>
                  </w:r>
                </w:p>
              </w:tc>
            </w:tr>
            <w:tr w:rsidR="00872079" w:rsidRPr="000E3AE5" w14:paraId="31642C43" w14:textId="77777777">
              <w:tc>
                <w:tcPr>
                  <w:tcW w:w="2632" w:type="dxa"/>
                </w:tcPr>
                <w:p w14:paraId="0D116FD6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Case Presentation</w:t>
                  </w:r>
                </w:p>
              </w:tc>
              <w:tc>
                <w:tcPr>
                  <w:tcW w:w="3296" w:type="dxa"/>
                </w:tcPr>
                <w:p w14:paraId="70FC2E8B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The second-trimester ultrasound was the first performed during the entire pregnancy.</w:t>
                  </w:r>
                </w:p>
              </w:tc>
              <w:tc>
                <w:tcPr>
                  <w:tcW w:w="3088" w:type="dxa"/>
                </w:tcPr>
                <w:p w14:paraId="1592877B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Why even after diagnosis of fetal </w:t>
                  </w:r>
                  <w:proofErr w:type="spell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goitre</w:t>
                  </w:r>
                  <w:proofErr w:type="spell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, no follow up USG was done throughout pregnancy. </w:t>
                  </w:r>
                </w:p>
              </w:tc>
            </w:tr>
            <w:tr w:rsidR="00872079" w:rsidRPr="000E3AE5" w14:paraId="0361739E" w14:textId="77777777">
              <w:tc>
                <w:tcPr>
                  <w:tcW w:w="2632" w:type="dxa"/>
                </w:tcPr>
                <w:p w14:paraId="6B02D11E" w14:textId="77777777" w:rsidR="00872079" w:rsidRPr="000E3AE5" w:rsidRDefault="00821EE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Conclusion</w:t>
                  </w:r>
                </w:p>
              </w:tc>
              <w:tc>
                <w:tcPr>
                  <w:tcW w:w="3296" w:type="dxa"/>
                </w:tcPr>
                <w:p w14:paraId="661D5060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The importance of obstetric ultrasound in patients with thyroid hormone abnormalities lies in early detection of central nervous system malformations and thyroid anomalies.</w:t>
                  </w:r>
                </w:p>
              </w:tc>
              <w:tc>
                <w:tcPr>
                  <w:tcW w:w="3088" w:type="dxa"/>
                </w:tcPr>
                <w:p w14:paraId="0DA1630C" w14:textId="77777777" w:rsidR="00872079" w:rsidRPr="000E3AE5" w:rsidRDefault="00821E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Significance of doing TFT after diagnosis of </w:t>
                  </w:r>
                  <w:proofErr w:type="spellStart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>goitre</w:t>
                  </w:r>
                  <w:proofErr w:type="spellEnd"/>
                  <w:r w:rsidRPr="000E3AE5">
                    <w:rPr>
                      <w:rFonts w:ascii="Arial" w:hAnsi="Arial" w:cs="Arial"/>
                      <w:sz w:val="20"/>
                      <w:szCs w:val="20"/>
                    </w:rPr>
                    <w:t xml:space="preserve"> and management of such cases should be highlighted.</w:t>
                  </w:r>
                </w:p>
              </w:tc>
            </w:tr>
          </w:tbl>
          <w:p w14:paraId="4C9D26F9" w14:textId="77777777" w:rsidR="00872079" w:rsidRPr="000E3AE5" w:rsidRDefault="00872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BF68075" w14:textId="77777777" w:rsidR="00872079" w:rsidRPr="000E3AE5" w:rsidRDefault="00467927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Abstract: </w:t>
            </w:r>
          </w:p>
          <w:p w14:paraId="51658ACE" w14:textId="77777777" w:rsidR="001D4EAB" w:rsidRPr="000E3AE5" w:rsidRDefault="00467927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We have made the correction of the </w:t>
            </w:r>
            <w:r w:rsidR="00941802" w:rsidRPr="000E3AE5">
              <w:rPr>
                <w:rFonts w:ascii="Arial" w:hAnsi="Arial" w:cs="Arial"/>
                <w:sz w:val="20"/>
                <w:szCs w:val="20"/>
              </w:rPr>
              <w:t xml:space="preserve">Anti-drug utilized. </w:t>
            </w:r>
            <w:proofErr w:type="gramStart"/>
            <w:r w:rsidR="00941802" w:rsidRPr="000E3AE5">
              <w:rPr>
                <w:rFonts w:ascii="Arial" w:hAnsi="Arial" w:cs="Arial"/>
                <w:sz w:val="20"/>
                <w:szCs w:val="20"/>
              </w:rPr>
              <w:t>Sadly</w:t>
            </w:r>
            <w:proofErr w:type="gramEnd"/>
            <w:r w:rsidR="00941802" w:rsidRPr="000E3AE5">
              <w:rPr>
                <w:rFonts w:ascii="Arial" w:hAnsi="Arial" w:cs="Arial"/>
                <w:sz w:val="20"/>
                <w:szCs w:val="20"/>
              </w:rPr>
              <w:t xml:space="preserve"> here in our country (Mexico) we don’t have a medical record or digital record, we only have the last medical note, were its referred the TFT results, but not the </w:t>
            </w:r>
            <w:r w:rsidR="001D4EAB" w:rsidRPr="000E3AE5">
              <w:rPr>
                <w:rFonts w:ascii="Arial" w:hAnsi="Arial" w:cs="Arial"/>
                <w:sz w:val="20"/>
                <w:szCs w:val="20"/>
              </w:rPr>
              <w:t>values.</w:t>
            </w:r>
          </w:p>
          <w:p w14:paraId="4D83AA0D" w14:textId="77777777" w:rsidR="001D4EAB" w:rsidRPr="000E3AE5" w:rsidRDefault="001D4E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9531F" w14:textId="77777777" w:rsidR="001D4EAB" w:rsidRPr="000E3AE5" w:rsidRDefault="001D4E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E847C" w14:textId="77777777" w:rsidR="001D4EAB" w:rsidRPr="000E3AE5" w:rsidRDefault="001D4E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0E65A" w14:textId="5A90491D" w:rsidR="001D4EAB" w:rsidRPr="000E3AE5" w:rsidRDefault="00CD5D52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>Introduction</w:t>
            </w:r>
            <w:r w:rsidR="001D4EAB" w:rsidRPr="000E3A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A58C74F" w14:textId="77777777" w:rsidR="00467927" w:rsidRPr="000E3AE5" w:rsidRDefault="001D4EAB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We have explained in the </w:t>
            </w:r>
            <w:r w:rsidR="003248B4" w:rsidRPr="000E3AE5">
              <w:rPr>
                <w:rFonts w:ascii="Arial" w:hAnsi="Arial" w:cs="Arial"/>
                <w:sz w:val="20"/>
                <w:szCs w:val="20"/>
              </w:rPr>
              <w:t xml:space="preserve">text about the central hypothyroidism; it was about the mother, not fetal </w:t>
            </w:r>
            <w:r w:rsidR="00265991" w:rsidRPr="000E3AE5">
              <w:rPr>
                <w:rFonts w:ascii="Arial" w:hAnsi="Arial" w:cs="Arial"/>
                <w:sz w:val="20"/>
                <w:szCs w:val="20"/>
              </w:rPr>
              <w:t xml:space="preserve">central hypothyroidism. </w:t>
            </w:r>
          </w:p>
          <w:p w14:paraId="6DFE8FA7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21C56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3AE5">
              <w:rPr>
                <w:rFonts w:ascii="Arial" w:hAnsi="Arial" w:cs="Arial"/>
                <w:sz w:val="20"/>
                <w:szCs w:val="20"/>
              </w:rPr>
              <w:t>hGC</w:t>
            </w:r>
            <w:proofErr w:type="spellEnd"/>
            <w:r w:rsidRPr="000E3AE5">
              <w:rPr>
                <w:rFonts w:ascii="Arial" w:hAnsi="Arial" w:cs="Arial"/>
                <w:sz w:val="20"/>
                <w:szCs w:val="20"/>
              </w:rPr>
              <w:t xml:space="preserve"> has been changed. </w:t>
            </w:r>
          </w:p>
          <w:p w14:paraId="38C95818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FACD4E" w14:textId="12F2694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Thyroid Stimulation has been </w:t>
            </w:r>
            <w:r w:rsidR="00CD5D52" w:rsidRPr="000E3AE5">
              <w:rPr>
                <w:rFonts w:ascii="Arial" w:hAnsi="Arial" w:cs="Arial"/>
                <w:sz w:val="20"/>
                <w:szCs w:val="20"/>
              </w:rPr>
              <w:t>changed</w:t>
            </w:r>
            <w:r w:rsidRPr="000E3AE5">
              <w:rPr>
                <w:rFonts w:ascii="Arial" w:hAnsi="Arial" w:cs="Arial"/>
                <w:sz w:val="20"/>
                <w:szCs w:val="20"/>
              </w:rPr>
              <w:t xml:space="preserve"> for Thyroid function. </w:t>
            </w:r>
          </w:p>
          <w:p w14:paraId="24596291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337CD" w14:textId="66BFEDAC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We change </w:t>
            </w:r>
            <w:proofErr w:type="spellStart"/>
            <w:r w:rsidRPr="000E3AE5">
              <w:rPr>
                <w:rFonts w:ascii="Arial" w:hAnsi="Arial" w:cs="Arial"/>
                <w:sz w:val="20"/>
                <w:szCs w:val="20"/>
              </w:rPr>
              <w:t>metal</w:t>
            </w:r>
            <w:proofErr w:type="spellEnd"/>
            <w:r w:rsidRPr="000E3AE5">
              <w:rPr>
                <w:rFonts w:ascii="Arial" w:hAnsi="Arial" w:cs="Arial"/>
                <w:sz w:val="20"/>
                <w:szCs w:val="20"/>
              </w:rPr>
              <w:t xml:space="preserve"> reta</w:t>
            </w:r>
            <w:r w:rsidR="00F4392B" w:rsidRPr="000E3AE5">
              <w:rPr>
                <w:rFonts w:ascii="Arial" w:hAnsi="Arial" w:cs="Arial"/>
                <w:sz w:val="20"/>
                <w:szCs w:val="20"/>
              </w:rPr>
              <w:t>r</w:t>
            </w:r>
            <w:r w:rsidRPr="000E3AE5">
              <w:rPr>
                <w:rFonts w:ascii="Arial" w:hAnsi="Arial" w:cs="Arial"/>
                <w:sz w:val="20"/>
                <w:szCs w:val="20"/>
              </w:rPr>
              <w:t xml:space="preserve">dation with poor brain development. </w:t>
            </w:r>
          </w:p>
          <w:p w14:paraId="6F989CFF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375EF0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FF366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67FBC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EDD7B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3C426D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05389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Case Presentation: </w:t>
            </w:r>
          </w:p>
          <w:p w14:paraId="40BD3000" w14:textId="77777777" w:rsidR="00265991" w:rsidRPr="000E3AE5" w:rsidRDefault="0026599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3AE5">
              <w:rPr>
                <w:rFonts w:ascii="Arial" w:hAnsi="Arial" w:cs="Arial"/>
                <w:sz w:val="20"/>
                <w:szCs w:val="20"/>
              </w:rPr>
              <w:t>Sadly</w:t>
            </w:r>
            <w:proofErr w:type="gramEnd"/>
            <w:r w:rsidRPr="000E3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78F9" w:rsidRPr="000E3AE5">
              <w:rPr>
                <w:rFonts w:ascii="Arial" w:hAnsi="Arial" w:cs="Arial"/>
                <w:sz w:val="20"/>
                <w:szCs w:val="20"/>
              </w:rPr>
              <w:t>our patient is from a very poor village, were she doesn’t have the opportunity for a good education</w:t>
            </w:r>
            <w:r w:rsidR="00156ED4" w:rsidRPr="000E3AE5">
              <w:rPr>
                <w:rFonts w:ascii="Arial" w:hAnsi="Arial" w:cs="Arial"/>
                <w:sz w:val="20"/>
                <w:szCs w:val="20"/>
              </w:rPr>
              <w:t xml:space="preserve">, so, basically the mother is not interested in traditional medicine, so, the only </w:t>
            </w:r>
            <w:r w:rsidR="00882698" w:rsidRPr="000E3AE5">
              <w:rPr>
                <w:rFonts w:ascii="Arial" w:hAnsi="Arial" w:cs="Arial"/>
                <w:sz w:val="20"/>
                <w:szCs w:val="20"/>
              </w:rPr>
              <w:t xml:space="preserve">USG was the one made in that week, we didn’t </w:t>
            </w:r>
            <w:r w:rsidR="00F4392B" w:rsidRPr="000E3AE5">
              <w:rPr>
                <w:rFonts w:ascii="Arial" w:hAnsi="Arial" w:cs="Arial"/>
                <w:sz w:val="20"/>
                <w:szCs w:val="20"/>
              </w:rPr>
              <w:t xml:space="preserve">see the mother after two weeks of treatment. </w:t>
            </w:r>
          </w:p>
          <w:p w14:paraId="2603260F" w14:textId="77777777" w:rsidR="00F4392B" w:rsidRPr="000E3AE5" w:rsidRDefault="00F439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8E6249" w14:textId="77777777" w:rsidR="00F4392B" w:rsidRPr="000E3AE5" w:rsidRDefault="00F4392B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>Conclusion:</w:t>
            </w:r>
          </w:p>
          <w:p w14:paraId="43ED0F99" w14:textId="31A6CAD4" w:rsidR="00F4392B" w:rsidRPr="000E3AE5" w:rsidRDefault="00F4392B">
            <w:pPr>
              <w:rPr>
                <w:rFonts w:ascii="Arial" w:hAnsi="Arial" w:cs="Arial"/>
                <w:sz w:val="20"/>
                <w:szCs w:val="20"/>
              </w:rPr>
            </w:pPr>
            <w:r w:rsidRPr="000E3AE5">
              <w:rPr>
                <w:rFonts w:ascii="Arial" w:hAnsi="Arial" w:cs="Arial"/>
                <w:sz w:val="20"/>
                <w:szCs w:val="20"/>
              </w:rPr>
              <w:t xml:space="preserve">We included a new paragraph for TFT and treatment. </w:t>
            </w:r>
          </w:p>
        </w:tc>
      </w:tr>
    </w:tbl>
    <w:p w14:paraId="0EC0DB55" w14:textId="77777777" w:rsidR="00872079" w:rsidRPr="000E3AE5" w:rsidRDefault="008720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p w14:paraId="17AAF1F2" w14:textId="77777777" w:rsidR="00872079" w:rsidRPr="000E3AE5" w:rsidRDefault="008720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yw85depel8a7" w:colFirst="0" w:colLast="0"/>
      <w:bookmarkEnd w:id="2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72079" w:rsidRPr="000E3AE5" w14:paraId="51A83C15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08EE2" w14:textId="77777777" w:rsidR="00872079" w:rsidRPr="000E3AE5" w:rsidRDefault="00821EE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E3AE5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E3AE5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5A462FE5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72079" w:rsidRPr="000E3AE5" w14:paraId="544E4BA2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CDF1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67FF" w14:textId="77777777" w:rsidR="00872079" w:rsidRPr="000E3AE5" w:rsidRDefault="00821EE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8C7D" w14:textId="77777777" w:rsidR="00872079" w:rsidRPr="000E3AE5" w:rsidRDefault="00821EE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0E3AE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E3AE5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72079" w:rsidRPr="000E3AE5" w14:paraId="39333015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76D8" w14:textId="77777777" w:rsidR="00872079" w:rsidRPr="000E3AE5" w:rsidRDefault="00821EE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E3AE5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71B41302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2C10" w14:textId="77777777" w:rsidR="00872079" w:rsidRPr="000E3AE5" w:rsidRDefault="00821EE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E3AE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E3AE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E3AE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C8930DD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2459F6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1DBC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2DC0AA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9450DE8" w14:textId="77777777" w:rsidR="00872079" w:rsidRPr="000E3AE5" w:rsidRDefault="008720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BC8754F" w14:textId="77777777" w:rsidR="00872079" w:rsidRPr="000E3AE5" w:rsidRDefault="008720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72079" w:rsidRPr="000E3AE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B4CBF" w14:textId="77777777" w:rsidR="00447636" w:rsidRDefault="00447636">
      <w:r>
        <w:separator/>
      </w:r>
    </w:p>
  </w:endnote>
  <w:endnote w:type="continuationSeparator" w:id="0">
    <w:p w14:paraId="6C2A09C3" w14:textId="77777777" w:rsidR="00447636" w:rsidRDefault="0044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1336E" w14:textId="77777777" w:rsidR="00872079" w:rsidRDefault="00821EE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E1C97" w14:textId="77777777" w:rsidR="00447636" w:rsidRDefault="00447636">
      <w:r>
        <w:separator/>
      </w:r>
    </w:p>
  </w:footnote>
  <w:footnote w:type="continuationSeparator" w:id="0">
    <w:p w14:paraId="10BA7535" w14:textId="77777777" w:rsidR="00447636" w:rsidRDefault="00447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959BD" w14:textId="77777777" w:rsidR="00872079" w:rsidRDefault="0087207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05475CF" w14:textId="77777777" w:rsidR="00872079" w:rsidRDefault="00821EE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079"/>
    <w:rsid w:val="000E3AE5"/>
    <w:rsid w:val="00156ED4"/>
    <w:rsid w:val="001D4EAB"/>
    <w:rsid w:val="00265991"/>
    <w:rsid w:val="003248B4"/>
    <w:rsid w:val="00447636"/>
    <w:rsid w:val="00467927"/>
    <w:rsid w:val="00821EE0"/>
    <w:rsid w:val="00872079"/>
    <w:rsid w:val="00882698"/>
    <w:rsid w:val="00941802"/>
    <w:rsid w:val="009C69B8"/>
    <w:rsid w:val="00CD5D52"/>
    <w:rsid w:val="00DF78F9"/>
    <w:rsid w:val="00E14409"/>
    <w:rsid w:val="00F4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97586"/>
  <w15:docId w15:val="{12A5AC7B-9963-4B58-847F-73B7D6BB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Jazmín Saraí Conejo</dc:creator>
  <cp:lastModifiedBy>Editor-11</cp:lastModifiedBy>
  <cp:revision>13</cp:revision>
  <dcterms:created xsi:type="dcterms:W3CDTF">2025-07-19T03:37:00Z</dcterms:created>
  <dcterms:modified xsi:type="dcterms:W3CDTF">2025-07-19T07:16:00Z</dcterms:modified>
</cp:coreProperties>
</file>