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4" w:rsidRDefault="00A75C44" w:rsidP="00A75C44">
      <w:pPr>
        <w:rPr>
          <w:b/>
          <w:u w:val="single"/>
        </w:rPr>
      </w:pPr>
      <w:r w:rsidRPr="009344FF">
        <w:rPr>
          <w:b/>
          <w:u w:val="single"/>
        </w:rPr>
        <w:t xml:space="preserve">Editor’s </w:t>
      </w:r>
      <w:r>
        <w:rPr>
          <w:b/>
          <w:u w:val="single"/>
        </w:rPr>
        <w:t>comment</w:t>
      </w:r>
      <w:r w:rsidRPr="009344FF">
        <w:rPr>
          <w:b/>
          <w:u w:val="single"/>
        </w:rPr>
        <w:t>:</w:t>
      </w:r>
    </w:p>
    <w:p w:rsidR="00A75C44" w:rsidRPr="00A75C44" w:rsidRDefault="00A75C44" w:rsidP="00A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Decision: Major Revision – Severe</w:t>
      </w:r>
    </w:p>
    <w:p w:rsidR="00A75C44" w:rsidRPr="00A75C44" w:rsidRDefault="00A75C44" w:rsidP="00A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I am extremely disappointed with the current state of this manuscript. There is a fundamental and unacceptable flaw: multiple references cited in the main text do </w:t>
      </w:r>
      <w:r w:rsidRPr="00A75C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not</w:t>
      </w: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 appear in the reference list, and conversely, several items in the reference list are </w:t>
      </w:r>
      <w:r w:rsidRPr="00A75C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never cited</w:t>
      </w: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 in the text. This is not a minor oversight—it is a </w:t>
      </w:r>
      <w:r w:rsidRPr="00A75C44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critical failure</w:t>
      </w: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 that violates the most basic standards of academic publishing. If your journal starts publishing papers with such glaring inconsistencies, it will rapidly lose credibility in the academic community.</w:t>
      </w:r>
    </w:p>
    <w:p w:rsidR="00A75C44" w:rsidRPr="00A75C44" w:rsidRDefault="00A75C44" w:rsidP="00A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You state that the author “needs an urgent decision regarding his/her thesis submission.” I understand the urgency, but let me be clear: I cannot, under any circumstances, accept a paper in this condition. It fails to meet essential scholarly standards, and accepting it would compromise the integrity of the journal.</w:t>
      </w:r>
    </w:p>
    <w:p w:rsidR="00A75C44" w:rsidRPr="00A75C44" w:rsidRDefault="00A75C44" w:rsidP="00A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To illustrate the severity of the issue, the following references are </w:t>
      </w:r>
      <w:r w:rsidRPr="00A75C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cited in the text but missing from the reference list</w:t>
      </w: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Balasubramanian</w:t>
      </w:r>
      <w:proofErr w:type="spellEnd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et al., 2012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Singh et al., 2015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GoTN</w:t>
      </w:r>
      <w:proofErr w:type="spellEnd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, 2013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Kumar &amp; </w:t>
      </w:r>
      <w:proofErr w:type="spellStart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Narayanamoorthy</w:t>
      </w:r>
      <w:proofErr w:type="spellEnd"/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, 2018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Shah, 2014</w:t>
      </w:r>
    </w:p>
    <w:p w:rsidR="00A75C44" w:rsidRPr="00A75C44" w:rsidRDefault="00A75C44" w:rsidP="00A75C4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Reddy et al., 2017</w:t>
      </w:r>
    </w:p>
    <w:p w:rsidR="00A75C44" w:rsidRPr="00A75C44" w:rsidRDefault="00A75C44" w:rsidP="00A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This kind of carelessness is unacceptable. The paper needs a </w:t>
      </w:r>
      <w:r w:rsidRPr="00A75C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thorough and immediate overhaul</w:t>
      </w:r>
      <w:r w:rsidRPr="00A75C44">
        <w:rPr>
          <w:rFonts w:ascii="Arial" w:eastAsia="Times New Roman" w:hAnsi="Arial" w:cs="Arial"/>
          <w:color w:val="000000"/>
          <w:sz w:val="24"/>
          <w:szCs w:val="24"/>
          <w:lang w:val="en-US"/>
        </w:rPr>
        <w:t> before it can be considered for publication.</w:t>
      </w:r>
    </w:p>
    <w:p w:rsidR="00A75C44" w:rsidRPr="00A75C44" w:rsidRDefault="00A75C44" w:rsidP="00A75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 </w:t>
      </w:r>
    </w:p>
    <w:p w:rsidR="00A75C44" w:rsidRPr="00A75C44" w:rsidRDefault="00A75C44" w:rsidP="00A75C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The references in the reference list below except #7 do not appear in the text.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1.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Kaviya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P., &amp; S.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Durairaj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. (2023). A Study on Profile beneficiaries of IAMWARM farmers in Tiruchirappalli District of Tamil Nadu. “New Era Agriculture Magazine”.</w:t>
      </w:r>
      <w:r w:rsidRPr="00A75C44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  <w:r w:rsidRPr="00A75C44">
        <w:rPr>
          <w:rFonts w:ascii="Arial" w:eastAsia="Times New Roman" w:hAnsi="Arial" w:cs="Arial"/>
          <w:color w:val="222222"/>
          <w:lang w:val="en-US"/>
        </w:rPr>
        <w:t>E-ISSN: 2583-5173, 2(1). Pp: 77-82.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2.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Kamesh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, T.M., et al. (2023). Study on Irrigation water Productivity under different environments of Tamil Nadu.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Journal of Experimental Agriculture International</w:t>
      </w:r>
      <w:r w:rsidRPr="00A75C44">
        <w:rPr>
          <w:rFonts w:ascii="Arial" w:eastAsia="Times New Roman" w:hAnsi="Arial" w:cs="Arial"/>
          <w:color w:val="222222"/>
          <w:lang w:val="en-US"/>
        </w:rPr>
        <w:t>, 45(9), 108–116.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3.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Anbarasan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P., &amp;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Elango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, D. (2021). A case study analysis on E-agriculture (e-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velanmai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): An ICT-based farm advisory service in Tamil Nadu.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International Journal of Current Microbiology and Applied Sciences</w:t>
      </w:r>
      <w:r w:rsidRPr="00A75C44">
        <w:rPr>
          <w:rFonts w:ascii="Arial" w:eastAsia="Times New Roman" w:hAnsi="Arial" w:cs="Arial"/>
          <w:color w:val="222222"/>
          <w:lang w:val="en-US"/>
        </w:rPr>
        <w:t>, 10(1), 434-438.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4.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Ravichandran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V.K., et al. (2015). Socio-economic impact of SRI and traditional rice cultivation in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Villupuram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 District of Tamil Nadu: Experiences from TN-IAMWARM project.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International Journal of Agricultural Sciences, 11(1)</w:t>
      </w:r>
      <w:r w:rsidRPr="00A75C44">
        <w:rPr>
          <w:rFonts w:ascii="Arial" w:eastAsia="Times New Roman" w:hAnsi="Arial" w:cs="Arial"/>
          <w:color w:val="222222"/>
          <w:lang w:val="en-US"/>
        </w:rPr>
        <w:t>, 166–171.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5.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Gowthami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, N., &amp; Ramesh, S. (2020). Impact of knowledge on TN-IAMP black gram growers in Madurai District of Tamil Nadu.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Indian Journal of Pure &amp; Applied Biosciences</w:t>
      </w:r>
      <w:r w:rsidRPr="00A75C44">
        <w:rPr>
          <w:rFonts w:ascii="Arial" w:eastAsia="Times New Roman" w:hAnsi="Arial" w:cs="Arial"/>
          <w:color w:val="222222"/>
          <w:lang w:val="en-US"/>
        </w:rPr>
        <w:t>, 8(5), 335–338.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6.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Jenkins</w:t>
      </w:r>
      <w:r w:rsidRPr="00A75C44">
        <w:rPr>
          <w:rFonts w:ascii="Arial" w:eastAsia="Times New Roman" w:hAnsi="Arial" w:cs="Arial"/>
          <w:color w:val="222222"/>
          <w:lang w:val="en-US"/>
        </w:rPr>
        <w:t xml:space="preserve">, M. W., &amp; Scott, B. (2007).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Behavioural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 indicators of household decision-making and demand for sanitation and potential gains from social marketing in Ghana.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Social Science &amp; Medicine</w:t>
      </w:r>
      <w:r w:rsidRPr="00A75C44">
        <w:rPr>
          <w:rFonts w:ascii="Arial" w:eastAsia="Times New Roman" w:hAnsi="Arial" w:cs="Arial"/>
          <w:color w:val="222222"/>
          <w:lang w:val="en-US"/>
        </w:rPr>
        <w:t>, 64(12), 2427–2442.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lastRenderedPageBreak/>
        <w:t>7.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Pingali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>, P. (2012). Green revolution: Impacts, limits, and the path ahead.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Proceedings of the National Academy of Sciences (PNAS)</w:t>
      </w:r>
      <w:r w:rsidRPr="00A75C44">
        <w:rPr>
          <w:rFonts w:ascii="Arial" w:eastAsia="Times New Roman" w:hAnsi="Arial" w:cs="Arial"/>
          <w:color w:val="222222"/>
          <w:lang w:val="en-US"/>
        </w:rPr>
        <w:t>, 109(31), 12302–12308.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8.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Paramasivan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M &amp; A.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Selvarani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. (2017). Productivity, water use efficiency and economics of system of rice intensification (SRI) in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Nichabanadhi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 sub basin of southern Tamil Nadu.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“Applied and Natural Science Foundation. 9(1), 286-290</w:t>
      </w:r>
      <w:r w:rsidRPr="00A75C44">
        <w:rPr>
          <w:rFonts w:ascii="Arial" w:eastAsia="Times New Roman" w:hAnsi="Arial" w:cs="Arial"/>
          <w:color w:val="222222"/>
          <w:lang w:val="en-US"/>
        </w:rPr>
        <w:t>. DOI: </w:t>
      </w:r>
      <w:hyperlink r:id="rId5" w:tgtFrame="_blank" w:history="1">
        <w:r w:rsidRPr="00A75C44">
          <w:rPr>
            <w:rFonts w:ascii="Arial" w:eastAsia="Times New Roman" w:hAnsi="Arial" w:cs="Arial"/>
            <w:color w:val="1155CC"/>
            <w:u w:val="single"/>
            <w:lang w:val="en-US"/>
          </w:rPr>
          <w:t>https://doi.org/10.31018/jans.v9i1.1185</w:t>
        </w:r>
      </w:hyperlink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9.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</w:t>
      </w:r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Tamil Nadu Irrigated Agriculture Modernization Project (TN-IAMP)</w:t>
      </w:r>
      <w:r w:rsidRPr="00A75C44">
        <w:rPr>
          <w:rFonts w:ascii="Arial" w:eastAsia="Times New Roman" w:hAnsi="Arial" w:cs="Arial"/>
          <w:color w:val="222222"/>
          <w:lang w:val="en-US"/>
        </w:rPr>
        <w:t>. Retrieved from </w:t>
      </w:r>
      <w:hyperlink r:id="rId6" w:tgtFrame="_blank" w:history="1">
        <w:r w:rsidRPr="00A75C44">
          <w:rPr>
            <w:rFonts w:ascii="Arial" w:eastAsia="Times New Roman" w:hAnsi="Arial" w:cs="Arial"/>
            <w:color w:val="1155CC"/>
            <w:u w:val="single"/>
            <w:lang w:val="en-US"/>
          </w:rPr>
          <w:t>iamwarm.gov.in</w:t>
        </w:r>
      </w:hyperlink>
      <w:r w:rsidRPr="00A75C44">
        <w:rPr>
          <w:rFonts w:ascii="Arial" w:eastAsia="Times New Roman" w:hAnsi="Arial" w:cs="Arial"/>
          <w:color w:val="222222"/>
          <w:lang w:val="en-US"/>
        </w:rPr>
        <w:t>.</w:t>
      </w:r>
    </w:p>
    <w:p w:rsidR="00A75C44" w:rsidRPr="00A75C44" w:rsidRDefault="00A75C44" w:rsidP="00A75C44">
      <w:pPr>
        <w:shd w:val="clear" w:color="auto" w:fill="FFFFFF"/>
        <w:spacing w:before="100" w:beforeAutospacing="1" w:after="0" w:line="224" w:lineRule="atLeast"/>
        <w:ind w:left="142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10.</w:t>
      </w:r>
      <w:r w:rsidRPr="00A75C44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</w:t>
      </w:r>
      <w:proofErr w:type="spellStart"/>
      <w:r w:rsidRPr="00A75C44">
        <w:rPr>
          <w:rFonts w:ascii="Arial" w:eastAsia="Times New Roman" w:hAnsi="Arial" w:cs="Arial"/>
          <w:color w:val="222222"/>
          <w:shd w:val="clear" w:color="auto" w:fill="FFFF00"/>
          <w:lang w:val="en-US"/>
        </w:rPr>
        <w:t>Muthulakshmi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K.,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Ponnarasi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T., &amp;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Gangadharan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, S. (2024). Impact of Tamil Nadu Irrigated Agriculture Modernization Project </w:t>
      </w:r>
      <w:proofErr w:type="spellStart"/>
      <w:r w:rsidRPr="00A75C44">
        <w:rPr>
          <w:rFonts w:ascii="Arial" w:eastAsia="Times New Roman" w:hAnsi="Arial" w:cs="Arial"/>
          <w:color w:val="222222"/>
          <w:lang w:val="en-US"/>
        </w:rPr>
        <w:t>Melur</w:t>
      </w:r>
      <w:proofErr w:type="spellEnd"/>
      <w:r w:rsidRPr="00A75C44">
        <w:rPr>
          <w:rFonts w:ascii="Arial" w:eastAsia="Times New Roman" w:hAnsi="Arial" w:cs="Arial"/>
          <w:color w:val="222222"/>
          <w:lang w:val="en-US"/>
        </w:rPr>
        <w:t xml:space="preserve"> Farmer Producer Organization Company Ltd., - A socio-economic analysis. </w:t>
      </w:r>
      <w:r w:rsidRPr="00A75C44">
        <w:rPr>
          <w:rFonts w:ascii="Arial" w:eastAsia="Times New Roman" w:hAnsi="Arial" w:cs="Arial"/>
          <w:i/>
          <w:iCs/>
          <w:color w:val="222222"/>
          <w:lang w:val="en-US"/>
        </w:rPr>
        <w:t>Economic Affairs</w:t>
      </w:r>
      <w:r w:rsidRPr="00A75C44">
        <w:rPr>
          <w:rFonts w:ascii="Arial" w:eastAsia="Times New Roman" w:hAnsi="Arial" w:cs="Arial"/>
          <w:color w:val="222222"/>
          <w:lang w:val="en-US"/>
        </w:rPr>
        <w:t>, 69(1), 751–754.</w:t>
      </w:r>
    </w:p>
    <w:p w:rsidR="00A75C44" w:rsidRPr="00A75C44" w:rsidRDefault="00A75C44" w:rsidP="00A75C44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75C44">
        <w:rPr>
          <w:rFonts w:ascii="Arial" w:eastAsia="Times New Roman" w:hAnsi="Arial" w:cs="Arial"/>
          <w:color w:val="222222"/>
          <w:lang w:val="en-US"/>
        </w:rPr>
        <w:t> </w:t>
      </w:r>
      <w:bookmarkStart w:id="0" w:name="_GoBack"/>
      <w:bookmarkEnd w:id="0"/>
    </w:p>
    <w:p w:rsidR="00362A83" w:rsidRDefault="00362A83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05CA1" w:rsidRPr="00605CA1" w:rsidRDefault="00605CA1" w:rsidP="00605CA1">
      <w:pPr>
        <w:pStyle w:val="NoSpacing1"/>
        <w:rPr>
          <w:rFonts w:ascii="Cambria" w:hAnsi="Cambria" w:cs="Arial"/>
          <w:b/>
          <w:bCs/>
          <w:sz w:val="24"/>
          <w:szCs w:val="24"/>
        </w:rPr>
      </w:pPr>
      <w:r w:rsidRPr="00605CA1">
        <w:rPr>
          <w:rFonts w:ascii="Cambria" w:hAnsi="Cambria" w:cs="Arial"/>
          <w:bCs/>
          <w:sz w:val="24"/>
          <w:szCs w:val="24"/>
        </w:rPr>
        <w:t xml:space="preserve">Dr. </w:t>
      </w:r>
      <w:proofErr w:type="spellStart"/>
      <w:r w:rsidRPr="00605CA1">
        <w:rPr>
          <w:rFonts w:ascii="Cambria" w:hAnsi="Cambria" w:cs="Arial"/>
          <w:bCs/>
          <w:sz w:val="24"/>
          <w:szCs w:val="24"/>
        </w:rPr>
        <w:t>Masafumi</w:t>
      </w:r>
      <w:proofErr w:type="spellEnd"/>
      <w:r w:rsidRPr="00605CA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605CA1">
        <w:rPr>
          <w:rFonts w:ascii="Cambria" w:hAnsi="Cambria" w:cs="Arial"/>
          <w:bCs/>
          <w:sz w:val="24"/>
          <w:szCs w:val="24"/>
        </w:rPr>
        <w:t>Tateda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9E0B3E">
        <w:rPr>
          <w:rFonts w:ascii="Cambria" w:hAnsi="Cambria" w:cs="Arial"/>
          <w:bCs/>
          <w:sz w:val="24"/>
          <w:szCs w:val="24"/>
        </w:rPr>
        <w:t>Toyama Prefectural University</w:t>
      </w:r>
      <w:r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9E0B3E">
        <w:rPr>
          <w:rFonts w:ascii="Cambria" w:hAnsi="Cambria" w:cs="Arial"/>
          <w:bCs/>
          <w:sz w:val="24"/>
          <w:szCs w:val="24"/>
        </w:rPr>
        <w:t>Japan</w:t>
      </w:r>
    </w:p>
    <w:p w:rsidR="00605CA1" w:rsidRPr="009344FF" w:rsidRDefault="00605CA1" w:rsidP="009344FF">
      <w:pPr>
        <w:rPr>
          <w:b/>
          <w:u w:val="single"/>
        </w:rPr>
      </w:pPr>
    </w:p>
    <w:sectPr w:rsidR="00605CA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107"/>
    <w:multiLevelType w:val="multilevel"/>
    <w:tmpl w:val="8AC2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wMLKwNLYwNzEzMjFW0lEKTi0uzszPAymwqAUAGBVwKCwAAAA="/>
  </w:docVars>
  <w:rsids>
    <w:rsidRoot w:val="00A72896"/>
    <w:rsid w:val="000864A3"/>
    <w:rsid w:val="002C0B2C"/>
    <w:rsid w:val="002E1697"/>
    <w:rsid w:val="00362A83"/>
    <w:rsid w:val="00450007"/>
    <w:rsid w:val="004A5970"/>
    <w:rsid w:val="00605CA1"/>
    <w:rsid w:val="009344FF"/>
    <w:rsid w:val="00970AC6"/>
    <w:rsid w:val="009F328F"/>
    <w:rsid w:val="00A72896"/>
    <w:rsid w:val="00A75C44"/>
    <w:rsid w:val="00C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1C6DE-5D1A-405E-A848-71C59DC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05CA1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6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62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mwarm.gov.in/" TargetMode="External"/><Relationship Id="rId5" Type="http://schemas.openxmlformats.org/officeDocument/2006/relationships/hyperlink" Target="https://doi.org/10.31018/jans.v9i1.1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11</cp:revision>
  <dcterms:created xsi:type="dcterms:W3CDTF">2025-02-19T08:37:00Z</dcterms:created>
  <dcterms:modified xsi:type="dcterms:W3CDTF">2025-05-14T05:24:00Z</dcterms:modified>
</cp:coreProperties>
</file>