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5F34FB" w:rsidRDefault="009344FF" w:rsidP="009344FF">
      <w:pPr>
        <w:rPr>
          <w:rFonts w:ascii="Arial" w:hAnsi="Arial" w:cs="Arial"/>
          <w:b/>
          <w:sz w:val="20"/>
          <w:szCs w:val="20"/>
          <w:u w:val="single"/>
        </w:rPr>
      </w:pPr>
      <w:r w:rsidRPr="005F34FB">
        <w:rPr>
          <w:rFonts w:ascii="Arial" w:hAnsi="Arial" w:cs="Arial"/>
          <w:b/>
          <w:sz w:val="20"/>
          <w:szCs w:val="20"/>
          <w:u w:val="single"/>
        </w:rPr>
        <w:t>Editor’s Comment:</w:t>
      </w:r>
    </w:p>
    <w:p w:rsidR="005F34FB" w:rsidRPr="005F34FB" w:rsidRDefault="005F34FB" w:rsidP="005F34FB">
      <w:pPr>
        <w:rPr>
          <w:rFonts w:ascii="Arial" w:hAnsi="Arial" w:cs="Arial"/>
          <w:sz w:val="20"/>
          <w:szCs w:val="20"/>
        </w:rPr>
      </w:pPr>
      <w:r w:rsidRPr="005F34FB">
        <w:rPr>
          <w:rFonts w:ascii="Arial" w:hAnsi="Arial" w:cs="Arial"/>
          <w:sz w:val="20"/>
          <w:szCs w:val="20"/>
        </w:rPr>
        <w:t xml:space="preserve">Kawasaki disease (KD) is an acute inflammatory disorder that primarily affects children. KD exhibits distinct seasonal patterns, with incidence peaks typically occurring in the winter and early spring months. It can lead to several long-term cardiovascular </w:t>
      </w:r>
      <w:proofErr w:type="spellStart"/>
      <w:r w:rsidRPr="005F34FB">
        <w:rPr>
          <w:rFonts w:ascii="Arial" w:hAnsi="Arial" w:cs="Arial"/>
          <w:sz w:val="20"/>
          <w:szCs w:val="20"/>
        </w:rPr>
        <w:t>complications.This</w:t>
      </w:r>
      <w:proofErr w:type="spellEnd"/>
      <w:r w:rsidRPr="005F34FB">
        <w:rPr>
          <w:rFonts w:ascii="Arial" w:hAnsi="Arial" w:cs="Arial"/>
          <w:sz w:val="20"/>
          <w:szCs w:val="20"/>
        </w:rPr>
        <w:t xml:space="preserve"> article highlights the significant role of medical dramas in shaping public understanding of health issues as Kawasaki. It demonstrates how entertainment media, particularly medical shows, can serve as a tool for raising awareness and educating the public on various medical conditions and treatments. The review delves into the medical accuracy portrayed in these dramas, </w:t>
      </w:r>
      <w:proofErr w:type="spellStart"/>
      <w:r w:rsidRPr="005F34FB">
        <w:rPr>
          <w:rFonts w:ascii="Arial" w:hAnsi="Arial" w:cs="Arial"/>
          <w:sz w:val="20"/>
          <w:szCs w:val="20"/>
        </w:rPr>
        <w:t>analyzing</w:t>
      </w:r>
      <w:proofErr w:type="spellEnd"/>
      <w:r w:rsidRPr="005F34FB">
        <w:rPr>
          <w:rFonts w:ascii="Arial" w:hAnsi="Arial" w:cs="Arial"/>
          <w:sz w:val="20"/>
          <w:szCs w:val="20"/>
        </w:rPr>
        <w:t xml:space="preserve"> their potential to both inform and mislead audiences. By examining the portrayal of medical practices, diagnoses, and patient outcomes in the media, the article highlights the importance of accurate representation to ensure that the public receives reliable health information.</w:t>
      </w:r>
    </w:p>
    <w:p w:rsidR="009344FF" w:rsidRPr="005F34FB" w:rsidRDefault="005F34FB" w:rsidP="005F34FB">
      <w:pPr>
        <w:rPr>
          <w:rFonts w:ascii="Arial" w:hAnsi="Arial" w:cs="Arial"/>
          <w:sz w:val="20"/>
          <w:szCs w:val="20"/>
        </w:rPr>
      </w:pPr>
      <w:r w:rsidRPr="005F34FB">
        <w:rPr>
          <w:rFonts w:ascii="Arial" w:hAnsi="Arial" w:cs="Arial"/>
          <w:sz w:val="20"/>
          <w:szCs w:val="20"/>
        </w:rPr>
        <w:t>With due consideration to the reviewer's comments and the revision done, the decision on the manuscript for the Asian Journal of Cardiology Research  is  Accepted.</w:t>
      </w:r>
    </w:p>
    <w:p w:rsidR="00000000" w:rsidRPr="005F34FB" w:rsidRDefault="009344FF" w:rsidP="009344FF">
      <w:pPr>
        <w:rPr>
          <w:rFonts w:ascii="Arial" w:hAnsi="Arial" w:cs="Arial"/>
          <w:b/>
          <w:sz w:val="20"/>
          <w:szCs w:val="20"/>
          <w:u w:val="single"/>
        </w:rPr>
      </w:pPr>
      <w:r w:rsidRPr="005F34FB">
        <w:rPr>
          <w:rFonts w:ascii="Arial" w:hAnsi="Arial" w:cs="Arial"/>
          <w:b/>
          <w:sz w:val="20"/>
          <w:szCs w:val="20"/>
          <w:u w:val="single"/>
        </w:rPr>
        <w:t>Editor’s Details:</w:t>
      </w:r>
    </w:p>
    <w:p w:rsidR="005F34FB" w:rsidRPr="005F34FB" w:rsidRDefault="005F34FB" w:rsidP="009344FF">
      <w:pPr>
        <w:rPr>
          <w:rFonts w:ascii="Arial" w:hAnsi="Arial" w:cs="Arial"/>
          <w:bCs/>
          <w:sz w:val="20"/>
          <w:szCs w:val="20"/>
        </w:rPr>
      </w:pPr>
      <w:bookmarkStart w:id="0" w:name="_Hlk204681173"/>
      <w:r w:rsidRPr="005F34FB">
        <w:rPr>
          <w:rFonts w:ascii="Arial" w:hAnsi="Arial" w:cs="Arial"/>
          <w:bCs/>
          <w:sz w:val="20"/>
          <w:szCs w:val="20"/>
        </w:rPr>
        <w:t>Prof. Abha Chandra</w:t>
      </w:r>
      <w:r w:rsidRPr="005F34FB">
        <w:rPr>
          <w:rFonts w:ascii="Arial" w:hAnsi="Arial" w:cs="Arial"/>
          <w:bCs/>
          <w:sz w:val="20"/>
          <w:szCs w:val="20"/>
        </w:rPr>
        <w:t xml:space="preserve">, </w:t>
      </w:r>
      <w:r w:rsidRPr="005F34FB">
        <w:rPr>
          <w:rFonts w:ascii="Arial" w:hAnsi="Arial" w:cs="Arial"/>
          <w:bCs/>
          <w:sz w:val="20"/>
          <w:szCs w:val="20"/>
        </w:rPr>
        <w:t>Integral University, India</w:t>
      </w:r>
      <w:bookmarkEnd w:id="0"/>
    </w:p>
    <w:sectPr w:rsidR="005F34FB" w:rsidRPr="005F3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F34FB"/>
    <w:rsid w:val="009344FF"/>
    <w:rsid w:val="009F328F"/>
    <w:rsid w:val="00A72896"/>
    <w:rsid w:val="00AD68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3DD6"/>
  <w15:docId w15:val="{ED7F9008-2DCB-4D68-8E88-7A5F2CBD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2025-07-29T06:02:00Z</dcterms:modified>
</cp:coreProperties>
</file>