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452C85" w:rsidRDefault="009344FF" w:rsidP="009344FF">
      <w:pPr>
        <w:rPr>
          <w:rFonts w:ascii="Arial" w:hAnsi="Arial" w:cs="Arial"/>
          <w:b/>
          <w:sz w:val="20"/>
          <w:szCs w:val="20"/>
          <w:u w:val="single"/>
        </w:rPr>
      </w:pPr>
      <w:r w:rsidRPr="00452C85">
        <w:rPr>
          <w:rFonts w:ascii="Arial" w:hAnsi="Arial" w:cs="Arial"/>
          <w:b/>
          <w:sz w:val="20"/>
          <w:szCs w:val="20"/>
          <w:u w:val="single"/>
        </w:rPr>
        <w:t>Editor’s Comment:</w:t>
      </w:r>
    </w:p>
    <w:p w:rsidR="00452C85" w:rsidRPr="00452C85" w:rsidRDefault="00452C85" w:rsidP="00452C85">
      <w:pPr>
        <w:shd w:val="clear" w:color="auto" w:fill="FFFFFF"/>
        <w:spacing w:after="0" w:line="360" w:lineRule="atLeast"/>
        <w:ind w:firstLine="720"/>
        <w:rPr>
          <w:rFonts w:ascii="Arial" w:eastAsia="Times New Roman" w:hAnsi="Arial" w:cs="Arial"/>
          <w:color w:val="000000"/>
          <w:sz w:val="20"/>
          <w:szCs w:val="20"/>
          <w:lang w:val="en-US"/>
        </w:rPr>
      </w:pPr>
      <w:r w:rsidRPr="00452C85">
        <w:rPr>
          <w:rFonts w:ascii="Arial" w:eastAsia="Times New Roman" w:hAnsi="Arial" w:cs="Arial"/>
          <w:color w:val="000000"/>
          <w:sz w:val="20"/>
          <w:szCs w:val="20"/>
          <w:lang w:val="en-US"/>
        </w:rPr>
        <w:t>N-terminal pro b-type natriuretic peptide (NT-</w:t>
      </w:r>
      <w:proofErr w:type="spellStart"/>
      <w:r w:rsidRPr="00452C85">
        <w:rPr>
          <w:rFonts w:ascii="Arial" w:eastAsia="Times New Roman" w:hAnsi="Arial" w:cs="Arial"/>
          <w:color w:val="000000"/>
          <w:sz w:val="20"/>
          <w:szCs w:val="20"/>
          <w:lang w:val="en-US"/>
        </w:rPr>
        <w:t>proBNP</w:t>
      </w:r>
      <w:proofErr w:type="spellEnd"/>
      <w:r w:rsidRPr="00452C85">
        <w:rPr>
          <w:rFonts w:ascii="Arial" w:eastAsia="Times New Roman" w:hAnsi="Arial" w:cs="Arial"/>
          <w:color w:val="000000"/>
          <w:sz w:val="20"/>
          <w:szCs w:val="20"/>
          <w:lang w:val="en-US"/>
        </w:rPr>
        <w:t>) is a well-established biomarker used for diagnosing and evaluating cardiac function, particularly in heart failure, and for assessing the prognosis of cardiovascular diseases. The authors in this study offers a comprehensive evaluation of NT-</w:t>
      </w:r>
      <w:proofErr w:type="spellStart"/>
      <w:r w:rsidRPr="00452C85">
        <w:rPr>
          <w:rFonts w:ascii="Arial" w:eastAsia="Times New Roman" w:hAnsi="Arial" w:cs="Arial"/>
          <w:color w:val="000000"/>
          <w:sz w:val="20"/>
          <w:szCs w:val="20"/>
          <w:lang w:val="en-US"/>
        </w:rPr>
        <w:t>proBNP</w:t>
      </w:r>
      <w:proofErr w:type="spellEnd"/>
      <w:r w:rsidRPr="00452C85">
        <w:rPr>
          <w:rFonts w:ascii="Arial" w:eastAsia="Times New Roman" w:hAnsi="Arial" w:cs="Arial"/>
          <w:color w:val="000000"/>
          <w:sz w:val="20"/>
          <w:szCs w:val="20"/>
          <w:lang w:val="en-US"/>
        </w:rPr>
        <w:t xml:space="preserve"> levels across various age groups, genders, and clinical conditions, with a particular focus on differentiating between dyspneic and non-dyspneic patients. Elevated NT-</w:t>
      </w:r>
      <w:proofErr w:type="spellStart"/>
      <w:r w:rsidRPr="00452C85">
        <w:rPr>
          <w:rFonts w:ascii="Arial" w:eastAsia="Times New Roman" w:hAnsi="Arial" w:cs="Arial"/>
          <w:color w:val="000000"/>
          <w:sz w:val="20"/>
          <w:szCs w:val="20"/>
          <w:lang w:val="en-US"/>
        </w:rPr>
        <w:t>proBNP</w:t>
      </w:r>
      <w:proofErr w:type="spellEnd"/>
      <w:r w:rsidRPr="00452C85">
        <w:rPr>
          <w:rFonts w:ascii="Arial" w:eastAsia="Times New Roman" w:hAnsi="Arial" w:cs="Arial"/>
          <w:color w:val="000000"/>
          <w:sz w:val="20"/>
          <w:szCs w:val="20"/>
          <w:lang w:val="en-US"/>
        </w:rPr>
        <w:t xml:space="preserve"> levels were more commonly observed in patients presenting with dyspnea, especially among those with cardiovascular comorbidities, indicating a strong association between NT-</w:t>
      </w:r>
      <w:proofErr w:type="spellStart"/>
      <w:r w:rsidRPr="00452C85">
        <w:rPr>
          <w:rFonts w:ascii="Arial" w:eastAsia="Times New Roman" w:hAnsi="Arial" w:cs="Arial"/>
          <w:color w:val="000000"/>
          <w:sz w:val="20"/>
          <w:szCs w:val="20"/>
          <w:lang w:val="en-US"/>
        </w:rPr>
        <w:t>proBNP</w:t>
      </w:r>
      <w:proofErr w:type="spellEnd"/>
      <w:r w:rsidRPr="00452C85">
        <w:rPr>
          <w:rFonts w:ascii="Arial" w:eastAsia="Times New Roman" w:hAnsi="Arial" w:cs="Arial"/>
          <w:color w:val="000000"/>
          <w:sz w:val="20"/>
          <w:szCs w:val="20"/>
          <w:lang w:val="en-US"/>
        </w:rPr>
        <w:t xml:space="preserve"> and respiratory distress. The findings underscore NT-</w:t>
      </w:r>
      <w:proofErr w:type="spellStart"/>
      <w:r w:rsidRPr="00452C85">
        <w:rPr>
          <w:rFonts w:ascii="Arial" w:eastAsia="Times New Roman" w:hAnsi="Arial" w:cs="Arial"/>
          <w:color w:val="000000"/>
          <w:sz w:val="20"/>
          <w:szCs w:val="20"/>
          <w:lang w:val="en-US"/>
        </w:rPr>
        <w:t>proBNP’s</w:t>
      </w:r>
      <w:proofErr w:type="spellEnd"/>
      <w:r w:rsidRPr="00452C85">
        <w:rPr>
          <w:rFonts w:ascii="Arial" w:eastAsia="Times New Roman" w:hAnsi="Arial" w:cs="Arial"/>
          <w:color w:val="000000"/>
          <w:sz w:val="20"/>
          <w:szCs w:val="20"/>
          <w:lang w:val="en-US"/>
        </w:rPr>
        <w:t xml:space="preserve"> value not only as a diagnostic marker for cardiovascular diseases but also its broader utility in identifying other systemic conditions. These insights are particularly valuable for clinician’s managing patients with complex, multi-system involvement. The study highlights the importance of incorporating NT-</w:t>
      </w:r>
      <w:proofErr w:type="spellStart"/>
      <w:r w:rsidRPr="00452C85">
        <w:rPr>
          <w:rFonts w:ascii="Arial" w:eastAsia="Times New Roman" w:hAnsi="Arial" w:cs="Arial"/>
          <w:color w:val="000000"/>
          <w:sz w:val="20"/>
          <w:szCs w:val="20"/>
          <w:lang w:val="en-US"/>
        </w:rPr>
        <w:t>proBNP</w:t>
      </w:r>
      <w:proofErr w:type="spellEnd"/>
      <w:r w:rsidRPr="00452C85">
        <w:rPr>
          <w:rFonts w:ascii="Arial" w:eastAsia="Times New Roman" w:hAnsi="Arial" w:cs="Arial"/>
          <w:color w:val="000000"/>
          <w:sz w:val="20"/>
          <w:szCs w:val="20"/>
          <w:lang w:val="en-US"/>
        </w:rPr>
        <w:t xml:space="preserve"> testing into routine evaluations of patients presenting with dyspnea to support early detection of heart failure and improve clinical outcomes.</w:t>
      </w:r>
    </w:p>
    <w:p w:rsidR="00452C85" w:rsidRPr="00452C85" w:rsidRDefault="00452C85" w:rsidP="00452C85">
      <w:pPr>
        <w:shd w:val="clear" w:color="auto" w:fill="FFFFFF"/>
        <w:spacing w:after="0" w:line="240" w:lineRule="auto"/>
        <w:rPr>
          <w:rFonts w:ascii="Arial" w:eastAsia="Times New Roman" w:hAnsi="Arial" w:cs="Arial"/>
          <w:color w:val="222222"/>
          <w:sz w:val="20"/>
          <w:szCs w:val="20"/>
          <w:lang w:val="en-US"/>
        </w:rPr>
      </w:pPr>
      <w:r w:rsidRPr="00452C85">
        <w:rPr>
          <w:rFonts w:ascii="Arial" w:eastAsia="Times New Roman" w:hAnsi="Arial" w:cs="Arial"/>
          <w:color w:val="222222"/>
          <w:sz w:val="20"/>
          <w:szCs w:val="20"/>
          <w:lang w:val="en-US"/>
        </w:rPr>
        <w:t>This manuscript adds to the growing body of evidence supporting the clinical utility of NT-</w:t>
      </w:r>
      <w:proofErr w:type="spellStart"/>
      <w:r w:rsidRPr="00452C85">
        <w:rPr>
          <w:rFonts w:ascii="Arial" w:eastAsia="Times New Roman" w:hAnsi="Arial" w:cs="Arial"/>
          <w:color w:val="222222"/>
          <w:sz w:val="20"/>
          <w:szCs w:val="20"/>
          <w:lang w:val="en-US"/>
        </w:rPr>
        <w:t>proBNP</w:t>
      </w:r>
      <w:proofErr w:type="spellEnd"/>
      <w:r w:rsidRPr="00452C85">
        <w:rPr>
          <w:rFonts w:ascii="Arial" w:eastAsia="Times New Roman" w:hAnsi="Arial" w:cs="Arial"/>
          <w:color w:val="222222"/>
          <w:sz w:val="20"/>
          <w:szCs w:val="20"/>
          <w:lang w:val="en-US"/>
        </w:rPr>
        <w:t xml:space="preserve"> in diagnosing and managing cardiac and non-cardiac conditions. By evaluating NT-</w:t>
      </w:r>
      <w:proofErr w:type="spellStart"/>
      <w:r w:rsidRPr="00452C85">
        <w:rPr>
          <w:rFonts w:ascii="Arial" w:eastAsia="Times New Roman" w:hAnsi="Arial" w:cs="Arial"/>
          <w:color w:val="222222"/>
          <w:sz w:val="20"/>
          <w:szCs w:val="20"/>
          <w:lang w:val="en-US"/>
        </w:rPr>
        <w:t>proBNP</w:t>
      </w:r>
      <w:proofErr w:type="spellEnd"/>
      <w:r w:rsidRPr="00452C85">
        <w:rPr>
          <w:rFonts w:ascii="Arial" w:eastAsia="Times New Roman" w:hAnsi="Arial" w:cs="Arial"/>
          <w:color w:val="222222"/>
          <w:sz w:val="20"/>
          <w:szCs w:val="20"/>
          <w:lang w:val="en-US"/>
        </w:rPr>
        <w:t xml:space="preserve"> levels in both dyspneic and non-dyspneic patients across varied comorbidities, it provides useful data for clinicians in tertiary care settings. The study also reinforces the relevance of this biomarker in respiratory and systemic illness, beyond its traditional cardiac associations.</w:t>
      </w:r>
    </w:p>
    <w:p w:rsidR="00452C85" w:rsidRPr="00452C85" w:rsidRDefault="00452C85" w:rsidP="00452C85">
      <w:pPr>
        <w:shd w:val="clear" w:color="auto" w:fill="FFFFFF"/>
        <w:spacing w:before="100" w:beforeAutospacing="1" w:after="0" w:line="240" w:lineRule="auto"/>
        <w:rPr>
          <w:rFonts w:ascii="Arial" w:eastAsia="Times New Roman" w:hAnsi="Arial" w:cs="Arial"/>
          <w:color w:val="222222"/>
          <w:sz w:val="20"/>
          <w:szCs w:val="20"/>
          <w:lang w:val="en-US"/>
        </w:rPr>
      </w:pPr>
      <w:r w:rsidRPr="00452C85">
        <w:rPr>
          <w:rFonts w:ascii="Arial" w:eastAsia="Times New Roman" w:hAnsi="Arial" w:cs="Arial"/>
          <w:color w:val="222222"/>
          <w:sz w:val="20"/>
          <w:szCs w:val="20"/>
          <w:lang w:val="en-GB"/>
        </w:rPr>
        <w:t>With due consideration to the reviewer's comments and the revision done, the decision on the manuscript </w:t>
      </w:r>
      <w:r w:rsidRPr="00452C85">
        <w:rPr>
          <w:rFonts w:ascii="Arial" w:eastAsia="Times New Roman" w:hAnsi="Arial" w:cs="Arial"/>
          <w:color w:val="222222"/>
          <w:sz w:val="20"/>
          <w:szCs w:val="20"/>
          <w:lang w:val="en-US"/>
        </w:rPr>
        <w:t>  </w:t>
      </w:r>
      <w:r w:rsidRPr="00452C85">
        <w:rPr>
          <w:rFonts w:ascii="Arial" w:eastAsia="Times New Roman" w:hAnsi="Arial" w:cs="Arial"/>
          <w:color w:val="222222"/>
          <w:sz w:val="20"/>
          <w:szCs w:val="20"/>
          <w:lang w:val="en-GB"/>
        </w:rPr>
        <w:t xml:space="preserve">for the Asian Journal of Cardiology </w:t>
      </w:r>
      <w:proofErr w:type="gramStart"/>
      <w:r w:rsidRPr="00452C85">
        <w:rPr>
          <w:rFonts w:ascii="Arial" w:eastAsia="Times New Roman" w:hAnsi="Arial" w:cs="Arial"/>
          <w:color w:val="222222"/>
          <w:sz w:val="20"/>
          <w:szCs w:val="20"/>
          <w:lang w:val="en-GB"/>
        </w:rPr>
        <w:t>Research</w:t>
      </w:r>
      <w:r w:rsidRPr="00452C85">
        <w:rPr>
          <w:rFonts w:ascii="Arial" w:eastAsia="Times New Roman" w:hAnsi="Arial" w:cs="Arial"/>
          <w:color w:val="222222"/>
          <w:sz w:val="20"/>
          <w:szCs w:val="20"/>
          <w:lang w:val="en-US"/>
        </w:rPr>
        <w:t>  is</w:t>
      </w:r>
      <w:proofErr w:type="gramEnd"/>
      <w:r w:rsidRPr="00452C85">
        <w:rPr>
          <w:rFonts w:ascii="Arial" w:eastAsia="Times New Roman" w:hAnsi="Arial" w:cs="Arial"/>
          <w:color w:val="222222"/>
          <w:sz w:val="20"/>
          <w:szCs w:val="20"/>
          <w:lang w:val="en-US"/>
        </w:rPr>
        <w:t>  Accepted.</w:t>
      </w:r>
    </w:p>
    <w:p w:rsidR="009344FF" w:rsidRPr="00452C85" w:rsidRDefault="009344FF" w:rsidP="009344FF">
      <w:pPr>
        <w:rPr>
          <w:rFonts w:ascii="Arial" w:hAnsi="Arial" w:cs="Arial"/>
          <w:sz w:val="20"/>
          <w:szCs w:val="20"/>
        </w:rPr>
      </w:pPr>
    </w:p>
    <w:p w:rsidR="00000000" w:rsidRPr="00452C85" w:rsidRDefault="009344FF" w:rsidP="009344FF">
      <w:pPr>
        <w:rPr>
          <w:rFonts w:ascii="Arial" w:hAnsi="Arial" w:cs="Arial"/>
          <w:b/>
          <w:sz w:val="20"/>
          <w:szCs w:val="20"/>
          <w:u w:val="single"/>
        </w:rPr>
      </w:pPr>
      <w:r w:rsidRPr="00452C85">
        <w:rPr>
          <w:rFonts w:ascii="Arial" w:hAnsi="Arial" w:cs="Arial"/>
          <w:b/>
          <w:sz w:val="20"/>
          <w:szCs w:val="20"/>
          <w:u w:val="single"/>
        </w:rPr>
        <w:t>Editor’s Details:</w:t>
      </w:r>
    </w:p>
    <w:p w:rsidR="00452C85" w:rsidRPr="00452C85" w:rsidRDefault="00452C85" w:rsidP="009344FF">
      <w:pPr>
        <w:rPr>
          <w:rFonts w:ascii="Arial" w:hAnsi="Arial" w:cs="Arial"/>
          <w:bCs/>
          <w:sz w:val="20"/>
          <w:szCs w:val="20"/>
        </w:rPr>
      </w:pPr>
      <w:bookmarkStart w:id="0" w:name="_Hlk202365023"/>
      <w:r w:rsidRPr="00452C85">
        <w:rPr>
          <w:rFonts w:ascii="Arial" w:hAnsi="Arial" w:cs="Arial"/>
          <w:bCs/>
          <w:sz w:val="20"/>
          <w:szCs w:val="20"/>
        </w:rPr>
        <w:t>Prof. Abha Chandra</w:t>
      </w:r>
      <w:r w:rsidRPr="00452C85">
        <w:rPr>
          <w:rFonts w:ascii="Arial" w:hAnsi="Arial" w:cs="Arial"/>
          <w:bCs/>
          <w:sz w:val="20"/>
          <w:szCs w:val="20"/>
        </w:rPr>
        <w:t xml:space="preserve">, </w:t>
      </w:r>
      <w:r w:rsidRPr="00452C85">
        <w:rPr>
          <w:rFonts w:ascii="Arial" w:hAnsi="Arial" w:cs="Arial"/>
          <w:bCs/>
          <w:sz w:val="20"/>
          <w:szCs w:val="20"/>
        </w:rPr>
        <w:t>Integral University, India</w:t>
      </w:r>
      <w:bookmarkEnd w:id="0"/>
    </w:p>
    <w:sectPr w:rsidR="00452C85" w:rsidRPr="00452C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52C85"/>
    <w:rsid w:val="009344FF"/>
    <w:rsid w:val="009F328F"/>
    <w:rsid w:val="00A72896"/>
    <w:rsid w:val="00EE1A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5006"/>
  <w15:docId w15:val="{43242890-DDE4-4907-B2D2-54745E50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046153">
      <w:bodyDiv w:val="1"/>
      <w:marLeft w:val="0"/>
      <w:marRight w:val="0"/>
      <w:marTop w:val="0"/>
      <w:marBottom w:val="0"/>
      <w:divBdr>
        <w:top w:val="none" w:sz="0" w:space="0" w:color="auto"/>
        <w:left w:val="none" w:sz="0" w:space="0" w:color="auto"/>
        <w:bottom w:val="none" w:sz="0" w:space="0" w:color="auto"/>
        <w:right w:val="none" w:sz="0" w:space="0" w:color="auto"/>
      </w:divBdr>
    </w:div>
    <w:div w:id="1903327453">
      <w:bodyDiv w:val="1"/>
      <w:marLeft w:val="0"/>
      <w:marRight w:val="0"/>
      <w:marTop w:val="0"/>
      <w:marBottom w:val="0"/>
      <w:divBdr>
        <w:top w:val="none" w:sz="0" w:space="0" w:color="auto"/>
        <w:left w:val="none" w:sz="0" w:space="0" w:color="auto"/>
        <w:bottom w:val="none" w:sz="0" w:space="0" w:color="auto"/>
        <w:right w:val="none" w:sz="0" w:space="0" w:color="auto"/>
      </w:divBdr>
    </w:div>
    <w:div w:id="195096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2025-07-02T10:40:00Z</dcterms:modified>
</cp:coreProperties>
</file>