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37B4CA4" w14:textId="77777777" w:rsidR="001B489B" w:rsidRDefault="001B489B" w:rsidP="002309B8">
      <w:pPr>
        <w:jc w:val="right"/>
        <w:rPr>
          <w:rFonts w:ascii="Arial" w:hAnsi="Arial" w:cs="Arial"/>
          <w:b/>
          <w:noProof/>
          <w:sz w:val="28"/>
          <w:szCs w:val="28"/>
          <w:lang w:eastAsia="en-PH"/>
        </w:rPr>
      </w:pPr>
    </w:p>
    <w:p w14:paraId="77F35F6E" w14:textId="0C16F967" w:rsidR="002309B8" w:rsidRDefault="00D233F6" w:rsidP="00456851">
      <w:pPr>
        <w:jc w:val="right"/>
        <w:rPr>
          <w:rFonts w:ascii="Arial" w:hAnsi="Arial" w:cs="Arial"/>
          <w:b/>
          <w:noProof/>
          <w:sz w:val="28"/>
          <w:szCs w:val="28"/>
          <w:lang w:eastAsia="en-PH"/>
        </w:rPr>
      </w:pPr>
      <w:r w:rsidRPr="00D233F6">
        <w:rPr>
          <w:rFonts w:ascii="Arial" w:hAnsi="Arial" w:cs="Arial"/>
          <w:b/>
          <w:noProof/>
          <w:sz w:val="28"/>
          <w:szCs w:val="28"/>
          <w:lang w:eastAsia="en-PH"/>
        </w:rPr>
        <w:t xml:space="preserve">   CUSTOMARY INSTRUCTIONAL TECHNIQUES AND FORMALIZED</w:t>
      </w:r>
      <w:r>
        <w:rPr>
          <w:rFonts w:ascii="Arial" w:hAnsi="Arial" w:cs="Arial"/>
          <w:b/>
          <w:noProof/>
          <w:sz w:val="28"/>
          <w:szCs w:val="28"/>
          <w:lang w:eastAsia="en-PH"/>
        </w:rPr>
        <w:t xml:space="preserve"> </w:t>
      </w:r>
      <w:r w:rsidRPr="00D233F6">
        <w:rPr>
          <w:rFonts w:ascii="Arial" w:hAnsi="Arial" w:cs="Arial"/>
          <w:b/>
          <w:noProof/>
          <w:sz w:val="28"/>
          <w:szCs w:val="28"/>
          <w:lang w:eastAsia="en-PH"/>
        </w:rPr>
        <w:t>COLLECTIVE MANAGEMENT OF TEACHERS IN PUBLIC SECONDARY SCHOOLS</w:t>
      </w:r>
    </w:p>
    <w:p w14:paraId="686A8945" w14:textId="77777777" w:rsidR="00456851" w:rsidRPr="002309B8" w:rsidRDefault="00456851" w:rsidP="00456851">
      <w:pPr>
        <w:jc w:val="right"/>
        <w:rPr>
          <w:rFonts w:ascii="Arial" w:hAnsi="Arial" w:cs="Arial"/>
          <w:b/>
          <w:noProof/>
          <w:sz w:val="28"/>
          <w:szCs w:val="28"/>
          <w:lang w:eastAsia="en-PH"/>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312D4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326"/>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Pr="007E5C64" w:rsidRDefault="00180859">
      <w:pPr>
        <w:pStyle w:val="AbstHead"/>
        <w:spacing w:after="0"/>
        <w:jc w:val="both"/>
        <w:rPr>
          <w:rFonts w:ascii="Arial" w:hAnsi="Arial" w:cs="Arial"/>
          <w:sz w:val="20"/>
        </w:rPr>
      </w:pPr>
      <w:r w:rsidRPr="007E5C64">
        <w:rPr>
          <w:rFonts w:ascii="Arial" w:hAnsi="Arial" w:cs="Arial"/>
          <w:sz w:val="20"/>
        </w:rPr>
        <w:lastRenderedPageBreak/>
        <w:t xml:space="preserve">ABSTRACT </w:t>
      </w:r>
    </w:p>
    <w:p w14:paraId="3D835972" w14:textId="77777777" w:rsidR="00717F2E" w:rsidRPr="007E5C64"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7E5C64" w14:paraId="4274D69E" w14:textId="77777777" w:rsidTr="008825C9">
        <w:trPr>
          <w:trHeight w:val="3167"/>
        </w:trPr>
        <w:tc>
          <w:tcPr>
            <w:tcW w:w="9576" w:type="dxa"/>
            <w:shd w:val="clear" w:color="auto" w:fill="F2F2F2"/>
          </w:tcPr>
          <w:p w14:paraId="10E1D353" w14:textId="5D817466" w:rsidR="00717F2E" w:rsidRPr="007E5C64" w:rsidRDefault="00D73646" w:rsidP="00896129">
            <w:pPr>
              <w:jc w:val="both"/>
              <w:rPr>
                <w:rFonts w:ascii="Arial" w:hAnsi="Arial" w:cs="Arial"/>
                <w:iCs/>
                <w:sz w:val="20"/>
                <w:szCs w:val="20"/>
              </w:rPr>
            </w:pPr>
            <w:r w:rsidRPr="00D73646">
              <w:rPr>
                <w:rFonts w:ascii="Arial" w:hAnsi="Arial" w:cs="Arial"/>
                <w:iCs/>
                <w:sz w:val="20"/>
                <w:szCs w:val="20"/>
                <w:highlight w:val="yellow"/>
              </w:rPr>
              <w:t xml:space="preserve">This study aimed to examine the significant relationship between customary instructional techniques and formalized collective management among public secondary school teachers. A descriptive-correlational research design was utilized, involving all 135 teachers in </w:t>
            </w:r>
            <w:proofErr w:type="spellStart"/>
            <w:r w:rsidRPr="00D73646">
              <w:rPr>
                <w:rFonts w:ascii="Arial" w:hAnsi="Arial" w:cs="Arial"/>
                <w:iCs/>
                <w:sz w:val="20"/>
                <w:szCs w:val="20"/>
                <w:highlight w:val="yellow"/>
              </w:rPr>
              <w:t>Manay</w:t>
            </w:r>
            <w:proofErr w:type="spellEnd"/>
            <w:r w:rsidRPr="00D73646">
              <w:rPr>
                <w:rFonts w:ascii="Arial" w:hAnsi="Arial" w:cs="Arial"/>
                <w:iCs/>
                <w:sz w:val="20"/>
                <w:szCs w:val="20"/>
                <w:highlight w:val="yellow"/>
              </w:rPr>
              <w:t xml:space="preserve"> District, Division of Davao Oriental, through universal sampling. Data were collected using standardized survey questionnaires and were analyzed through mean, Pearson product-moment correlation, and multiple linear regression </w:t>
            </w:r>
            <w:proofErr w:type="spellStart"/>
            <w:proofErr w:type="gramStart"/>
            <w:r w:rsidRPr="00D73646">
              <w:rPr>
                <w:rFonts w:ascii="Arial" w:hAnsi="Arial" w:cs="Arial"/>
                <w:iCs/>
                <w:sz w:val="20"/>
                <w:szCs w:val="20"/>
                <w:highlight w:val="yellow"/>
              </w:rPr>
              <w:t>analysis.</w:t>
            </w:r>
            <w:r w:rsidR="00D71536" w:rsidRPr="00D71536">
              <w:rPr>
                <w:rFonts w:ascii="Arial" w:hAnsi="Arial" w:cs="Arial"/>
                <w:iCs/>
                <w:sz w:val="20"/>
                <w:szCs w:val="20"/>
              </w:rPr>
              <w:t>The</w:t>
            </w:r>
            <w:proofErr w:type="spellEnd"/>
            <w:proofErr w:type="gramEnd"/>
            <w:r w:rsidR="00D71536" w:rsidRPr="00D71536">
              <w:rPr>
                <w:rFonts w:ascii="Arial" w:hAnsi="Arial" w:cs="Arial"/>
                <w:iCs/>
                <w:sz w:val="20"/>
                <w:szCs w:val="20"/>
              </w:rPr>
              <w:t xml:space="preserve"> findings revealed that cus</w:t>
            </w:r>
            <w:r w:rsidR="00D53911">
              <w:rPr>
                <w:rFonts w:ascii="Arial" w:hAnsi="Arial" w:cs="Arial"/>
                <w:iCs/>
                <w:sz w:val="20"/>
                <w:szCs w:val="20"/>
              </w:rPr>
              <w:t xml:space="preserve">tomary instructional techniques, </w:t>
            </w:r>
            <w:r w:rsidR="00D71536" w:rsidRPr="00D71536">
              <w:rPr>
                <w:rFonts w:ascii="Arial" w:hAnsi="Arial" w:cs="Arial"/>
                <w:iCs/>
                <w:sz w:val="20"/>
                <w:szCs w:val="20"/>
              </w:rPr>
              <w:t>specifically in the domains of teacher-centered approach, use of standardized textbooks, lecture-based instruction, drill-and-practice e</w:t>
            </w:r>
            <w:r w:rsidR="00D53911">
              <w:rPr>
                <w:rFonts w:ascii="Arial" w:hAnsi="Arial" w:cs="Arial"/>
                <w:iCs/>
                <w:sz w:val="20"/>
                <w:szCs w:val="20"/>
              </w:rPr>
              <w:t xml:space="preserve">xercises, and rote memorization, </w:t>
            </w:r>
            <w:r w:rsidR="00D71536" w:rsidRPr="00D71536">
              <w:rPr>
                <w:rFonts w:ascii="Arial" w:hAnsi="Arial" w:cs="Arial"/>
                <w:iCs/>
                <w:sz w:val="20"/>
                <w:szCs w:val="20"/>
              </w:rPr>
              <w:t>were generally rated high, while formalized collective management was also rated high. Correlation analysis showed a significant positive relationship between customary instructional techniques and f</w:t>
            </w:r>
            <w:r w:rsidR="0007021A">
              <w:rPr>
                <w:rFonts w:ascii="Arial" w:hAnsi="Arial" w:cs="Arial"/>
                <w:iCs/>
                <w:sz w:val="20"/>
                <w:szCs w:val="20"/>
              </w:rPr>
              <w:t xml:space="preserve">ormalized collective management </w:t>
            </w:r>
            <w:r w:rsidR="0007021A" w:rsidRPr="0007021A">
              <w:rPr>
                <w:rFonts w:ascii="Arial" w:hAnsi="Arial" w:cs="Arial"/>
                <w:iCs/>
                <w:sz w:val="20"/>
                <w:szCs w:val="20"/>
                <w:highlight w:val="yellow"/>
              </w:rPr>
              <w:t>(r=0.734; p-value=</w:t>
            </w:r>
            <w:r w:rsidR="0007021A" w:rsidRPr="0007021A">
              <w:rPr>
                <w:highlight w:val="yellow"/>
              </w:rPr>
              <w:t xml:space="preserve"> </w:t>
            </w:r>
            <w:r w:rsidR="0007021A" w:rsidRPr="0007021A">
              <w:rPr>
                <w:rFonts w:ascii="Arial" w:hAnsi="Arial" w:cs="Arial"/>
                <w:iCs/>
                <w:sz w:val="20"/>
                <w:szCs w:val="20"/>
                <w:highlight w:val="yellow"/>
              </w:rPr>
              <w:t>p&lt;</w:t>
            </w:r>
            <w:r w:rsidR="0007021A">
              <w:rPr>
                <w:rFonts w:ascii="Arial" w:hAnsi="Arial" w:cs="Arial"/>
                <w:iCs/>
                <w:sz w:val="20"/>
                <w:szCs w:val="20"/>
                <w:highlight w:val="yellow"/>
              </w:rPr>
              <w:t>0.05</w:t>
            </w:r>
            <w:r w:rsidR="0007021A" w:rsidRPr="0007021A">
              <w:rPr>
                <w:rFonts w:ascii="Arial" w:hAnsi="Arial" w:cs="Arial"/>
                <w:iCs/>
                <w:sz w:val="20"/>
                <w:szCs w:val="20"/>
                <w:highlight w:val="yellow"/>
              </w:rPr>
              <w:t>).</w:t>
            </w:r>
            <w:r w:rsidR="0007021A">
              <w:rPr>
                <w:rFonts w:ascii="Arial" w:hAnsi="Arial" w:cs="Arial"/>
                <w:iCs/>
                <w:sz w:val="20"/>
                <w:szCs w:val="20"/>
              </w:rPr>
              <w:t xml:space="preserve"> </w:t>
            </w:r>
            <w:r w:rsidR="00D71536" w:rsidRPr="00D71536">
              <w:rPr>
                <w:rFonts w:ascii="Arial" w:hAnsi="Arial" w:cs="Arial"/>
                <w:iCs/>
                <w:sz w:val="20"/>
                <w:szCs w:val="20"/>
              </w:rPr>
              <w:t>Furthermore, multiple regression analysis indicated that the teacher-centered approach, use of standardized textbooks, and lecture-based instruction significantly and positively influenced formalized collective management. However, drill-and-practice exercises had a significant negative influence, while rote memorization did</w:t>
            </w:r>
            <w:r w:rsidR="0007021A">
              <w:rPr>
                <w:rFonts w:ascii="Arial" w:hAnsi="Arial" w:cs="Arial"/>
                <w:iCs/>
                <w:sz w:val="20"/>
                <w:szCs w:val="20"/>
              </w:rPr>
              <w:t xml:space="preserve"> not yield a significant effect </w:t>
            </w:r>
            <w:r w:rsidR="0007021A">
              <w:rPr>
                <w:rFonts w:ascii="Arial" w:hAnsi="Arial" w:cs="Arial"/>
                <w:iCs/>
                <w:sz w:val="20"/>
                <w:szCs w:val="20"/>
                <w:highlight w:val="yellow"/>
              </w:rPr>
              <w:t>(r=0.907</w:t>
            </w:r>
            <w:r w:rsidR="0007021A" w:rsidRPr="0007021A">
              <w:rPr>
                <w:rFonts w:ascii="Arial" w:hAnsi="Arial" w:cs="Arial"/>
                <w:iCs/>
                <w:sz w:val="20"/>
                <w:szCs w:val="20"/>
                <w:highlight w:val="yellow"/>
              </w:rPr>
              <w:t>; p-value=</w:t>
            </w:r>
            <w:r w:rsidR="0007021A" w:rsidRPr="0007021A">
              <w:rPr>
                <w:highlight w:val="yellow"/>
              </w:rPr>
              <w:t xml:space="preserve"> </w:t>
            </w:r>
            <w:r w:rsidR="0007021A" w:rsidRPr="0007021A">
              <w:rPr>
                <w:rFonts w:ascii="Arial" w:hAnsi="Arial" w:cs="Arial"/>
                <w:iCs/>
                <w:sz w:val="20"/>
                <w:szCs w:val="20"/>
                <w:highlight w:val="yellow"/>
              </w:rPr>
              <w:t>p&lt;</w:t>
            </w:r>
            <w:r w:rsidR="0007021A">
              <w:rPr>
                <w:rFonts w:ascii="Arial" w:hAnsi="Arial" w:cs="Arial"/>
                <w:iCs/>
                <w:sz w:val="20"/>
                <w:szCs w:val="20"/>
                <w:highlight w:val="yellow"/>
              </w:rPr>
              <w:t>0.05</w:t>
            </w:r>
            <w:r w:rsidR="0007021A" w:rsidRPr="0007021A">
              <w:rPr>
                <w:rFonts w:ascii="Arial" w:hAnsi="Arial" w:cs="Arial"/>
                <w:iCs/>
                <w:sz w:val="20"/>
                <w:szCs w:val="20"/>
                <w:highlight w:val="yellow"/>
              </w:rPr>
              <w:t>).</w:t>
            </w:r>
            <w:r w:rsidR="0007021A">
              <w:rPr>
                <w:rFonts w:ascii="Arial" w:hAnsi="Arial" w:cs="Arial"/>
                <w:iCs/>
                <w:sz w:val="20"/>
                <w:szCs w:val="20"/>
              </w:rPr>
              <w:t xml:space="preserve"> </w:t>
            </w:r>
            <w:r w:rsidR="00D71536" w:rsidRPr="00D71536">
              <w:rPr>
                <w:rFonts w:ascii="Arial" w:hAnsi="Arial" w:cs="Arial"/>
                <w:iCs/>
                <w:sz w:val="20"/>
                <w:szCs w:val="20"/>
              </w:rPr>
              <w:t xml:space="preserve"> </w:t>
            </w:r>
            <w:proofErr w:type="gramStart"/>
            <w:r w:rsidR="00D71536" w:rsidRPr="00D71536">
              <w:rPr>
                <w:rFonts w:ascii="Arial" w:hAnsi="Arial" w:cs="Arial"/>
                <w:iCs/>
                <w:sz w:val="20"/>
                <w:szCs w:val="20"/>
              </w:rPr>
              <w:t>Based</w:t>
            </w:r>
            <w:proofErr w:type="gramEnd"/>
            <w:r w:rsidR="00D71536" w:rsidRPr="00D71536">
              <w:rPr>
                <w:rFonts w:ascii="Arial" w:hAnsi="Arial" w:cs="Arial"/>
                <w:iCs/>
                <w:sz w:val="20"/>
                <w:szCs w:val="20"/>
              </w:rPr>
              <w:t xml:space="preserve"> on these findings, it is recommended that school leaders and educators strengthen teacher-centered strategies and promote the effective use of standardized instructional materials to improve collective management practices. Further studies are encouraged to investigate the underlying reasons for the negative impact of drill-and-practice methods and the non-significant role of rote memorization.</w:t>
            </w:r>
          </w:p>
        </w:tc>
      </w:tr>
    </w:tbl>
    <w:p w14:paraId="175A3F79" w14:textId="77777777" w:rsidR="00717F2E" w:rsidRPr="007E5C64" w:rsidRDefault="00717F2E">
      <w:pPr>
        <w:pStyle w:val="Body"/>
        <w:spacing w:after="0"/>
        <w:rPr>
          <w:rFonts w:ascii="Arial" w:hAnsi="Arial" w:cs="Arial"/>
          <w:i/>
        </w:rPr>
      </w:pPr>
    </w:p>
    <w:p w14:paraId="63DA1D4D" w14:textId="7AA12480" w:rsidR="00DC2754" w:rsidRPr="007E5C64" w:rsidRDefault="00180859" w:rsidP="00BB0E63">
      <w:pPr>
        <w:jc w:val="both"/>
        <w:rPr>
          <w:rFonts w:ascii="Arial" w:hAnsi="Arial" w:cs="Arial"/>
          <w:iCs/>
          <w:sz w:val="20"/>
          <w:szCs w:val="20"/>
        </w:rPr>
      </w:pPr>
      <w:r w:rsidRPr="007E5C64">
        <w:rPr>
          <w:rFonts w:ascii="Arial" w:hAnsi="Arial" w:cs="Arial"/>
          <w:i/>
          <w:iCs/>
          <w:sz w:val="20"/>
          <w:szCs w:val="20"/>
        </w:rPr>
        <w:t>Keywords</w:t>
      </w:r>
      <w:r w:rsidRPr="007E5C64">
        <w:rPr>
          <w:rFonts w:ascii="Arial" w:hAnsi="Arial" w:cs="Arial"/>
          <w:sz w:val="20"/>
          <w:szCs w:val="20"/>
        </w:rPr>
        <w:t xml:space="preserve">: </w:t>
      </w:r>
      <w:r w:rsidR="00B705EB" w:rsidRPr="00B705EB">
        <w:rPr>
          <w:rFonts w:ascii="Arial" w:hAnsi="Arial" w:cs="Arial"/>
          <w:iCs/>
          <w:sz w:val="20"/>
          <w:szCs w:val="20"/>
        </w:rPr>
        <w:t>Customary Instructional Techniques</w:t>
      </w:r>
      <w:r w:rsidR="00B705EB" w:rsidRPr="007E5C64">
        <w:rPr>
          <w:rFonts w:ascii="Arial" w:hAnsi="Arial" w:cs="Arial"/>
          <w:iCs/>
          <w:sz w:val="20"/>
          <w:szCs w:val="20"/>
        </w:rPr>
        <w:t xml:space="preserve">, </w:t>
      </w:r>
      <w:r w:rsidR="00B705EB" w:rsidRPr="00B705EB">
        <w:rPr>
          <w:rFonts w:ascii="Arial" w:hAnsi="Arial" w:cs="Arial"/>
          <w:iCs/>
          <w:sz w:val="20"/>
          <w:szCs w:val="20"/>
        </w:rPr>
        <w:t>Formalized Collective Management</w:t>
      </w:r>
      <w:r w:rsidR="00BB0E63" w:rsidRPr="007E5C64">
        <w:rPr>
          <w:rFonts w:ascii="Arial" w:hAnsi="Arial" w:cs="Arial"/>
          <w:iCs/>
          <w:sz w:val="20"/>
          <w:szCs w:val="20"/>
        </w:rPr>
        <w:t xml:space="preserve">, Public </w:t>
      </w:r>
      <w:r w:rsidR="00182F4C">
        <w:rPr>
          <w:rFonts w:ascii="Arial" w:hAnsi="Arial" w:cs="Arial"/>
          <w:iCs/>
          <w:sz w:val="20"/>
          <w:szCs w:val="20"/>
        </w:rPr>
        <w:t>Secondary</w:t>
      </w:r>
      <w:r w:rsidR="00BB0E63" w:rsidRPr="007E5C64">
        <w:rPr>
          <w:rFonts w:ascii="Arial" w:hAnsi="Arial" w:cs="Arial"/>
          <w:iCs/>
          <w:sz w:val="20"/>
          <w:szCs w:val="20"/>
        </w:rPr>
        <w:t xml:space="preserve"> School Students, Descriptive-Correlational, Education</w:t>
      </w:r>
    </w:p>
    <w:p w14:paraId="63A7B6AA" w14:textId="77777777" w:rsidR="00BB0E63" w:rsidRPr="007E5C64" w:rsidRDefault="00BB0E63" w:rsidP="00BB0E63">
      <w:pPr>
        <w:jc w:val="both"/>
        <w:rPr>
          <w:rFonts w:ascii="Arial" w:hAnsi="Arial" w:cs="Arial"/>
          <w:sz w:val="20"/>
          <w:szCs w:val="20"/>
        </w:rPr>
      </w:pPr>
    </w:p>
    <w:p w14:paraId="0C7D9A8E" w14:textId="77777777" w:rsidR="00717F2E" w:rsidRPr="007E5C64" w:rsidRDefault="00180859">
      <w:pPr>
        <w:pStyle w:val="AbstHead"/>
        <w:spacing w:after="0"/>
        <w:jc w:val="both"/>
        <w:rPr>
          <w:rFonts w:ascii="Arial" w:hAnsi="Arial" w:cs="Arial"/>
          <w:sz w:val="20"/>
        </w:rPr>
      </w:pPr>
      <w:r w:rsidRPr="007E5C64">
        <w:rPr>
          <w:rFonts w:ascii="Arial" w:hAnsi="Arial" w:cs="Arial"/>
          <w:sz w:val="20"/>
        </w:rPr>
        <w:t>1. INTRODUCTION</w:t>
      </w:r>
    </w:p>
    <w:p w14:paraId="499EF934" w14:textId="77777777" w:rsidR="00717F2E" w:rsidRPr="007E5C64" w:rsidRDefault="00717F2E">
      <w:pPr>
        <w:pStyle w:val="AbstHead"/>
        <w:spacing w:after="0"/>
        <w:jc w:val="both"/>
        <w:rPr>
          <w:rFonts w:ascii="Arial" w:hAnsi="Arial" w:cs="Arial"/>
          <w:sz w:val="20"/>
        </w:rPr>
      </w:pPr>
    </w:p>
    <w:p w14:paraId="73040AB0" w14:textId="358FDDFC" w:rsidR="00E1151B" w:rsidRPr="00E1151B" w:rsidRDefault="00E1151B" w:rsidP="00E1151B">
      <w:pPr>
        <w:jc w:val="both"/>
        <w:rPr>
          <w:rFonts w:ascii="Arial" w:hAnsi="Arial"/>
          <w:sz w:val="20"/>
          <w:szCs w:val="20"/>
        </w:rPr>
      </w:pPr>
      <w:r w:rsidRPr="00E1151B">
        <w:rPr>
          <w:rFonts w:ascii="Arial" w:hAnsi="Arial"/>
          <w:sz w:val="20"/>
          <w:szCs w:val="20"/>
        </w:rPr>
        <w:t>The issue of formalized collective management among teachers has gained increasing attention due to its impact on school governance, collaboration, and professional culture</w:t>
      </w:r>
      <w:r w:rsidR="004010F9">
        <w:rPr>
          <w:rFonts w:ascii="Arial" w:hAnsi="Arial"/>
          <w:sz w:val="20"/>
          <w:szCs w:val="20"/>
        </w:rPr>
        <w:t xml:space="preserve"> (</w:t>
      </w:r>
      <w:r w:rsidR="004010F9" w:rsidRPr="004010F9">
        <w:rPr>
          <w:rFonts w:ascii="Arial" w:hAnsi="Arial"/>
          <w:sz w:val="20"/>
          <w:szCs w:val="20"/>
        </w:rPr>
        <w:t>Passarelli</w:t>
      </w:r>
      <w:r w:rsidR="004010F9">
        <w:rPr>
          <w:rFonts w:ascii="Arial" w:hAnsi="Arial"/>
          <w:sz w:val="20"/>
          <w:szCs w:val="20"/>
        </w:rPr>
        <w:t>, 2023)</w:t>
      </w:r>
      <w:r w:rsidRPr="00E1151B">
        <w:rPr>
          <w:rFonts w:ascii="Arial" w:hAnsi="Arial"/>
          <w:sz w:val="20"/>
          <w:szCs w:val="20"/>
        </w:rPr>
        <w:t>. Despite institutional policies designed to promote shared decision-making and collective accountability, many public secondary schools continue to struggle with weak or fragmented implementation</w:t>
      </w:r>
      <w:r w:rsidR="004010F9">
        <w:rPr>
          <w:rFonts w:ascii="Arial" w:hAnsi="Arial"/>
          <w:sz w:val="20"/>
          <w:szCs w:val="20"/>
        </w:rPr>
        <w:t xml:space="preserve"> (</w:t>
      </w:r>
      <w:proofErr w:type="spellStart"/>
      <w:r w:rsidR="004010F9" w:rsidRPr="004010F9">
        <w:rPr>
          <w:rFonts w:ascii="Arial" w:hAnsi="Arial"/>
          <w:sz w:val="20"/>
          <w:szCs w:val="20"/>
        </w:rPr>
        <w:t>Meirink</w:t>
      </w:r>
      <w:proofErr w:type="spellEnd"/>
      <w:r w:rsidR="004010F9">
        <w:rPr>
          <w:rFonts w:ascii="Arial" w:hAnsi="Arial"/>
          <w:sz w:val="20"/>
          <w:szCs w:val="20"/>
        </w:rPr>
        <w:t xml:space="preserve"> et al., 2020)</w:t>
      </w:r>
      <w:r w:rsidRPr="00E1151B">
        <w:rPr>
          <w:rFonts w:ascii="Arial" w:hAnsi="Arial"/>
          <w:sz w:val="20"/>
          <w:szCs w:val="20"/>
        </w:rPr>
        <w:t>. Teachers often work in silos, and their participation in formal structures of collaboration, such as committees, professional learning communities, and shared governance bodies, remains inconsistent</w:t>
      </w:r>
      <w:r w:rsidR="004010F9">
        <w:rPr>
          <w:rFonts w:ascii="Arial" w:hAnsi="Arial"/>
          <w:sz w:val="20"/>
          <w:szCs w:val="20"/>
        </w:rPr>
        <w:t xml:space="preserve"> (</w:t>
      </w:r>
      <w:r w:rsidR="004010F9" w:rsidRPr="004010F9">
        <w:rPr>
          <w:rFonts w:ascii="Arial" w:hAnsi="Arial"/>
          <w:sz w:val="20"/>
          <w:szCs w:val="20"/>
        </w:rPr>
        <w:t>Margolis</w:t>
      </w:r>
      <w:r w:rsidR="004010F9">
        <w:rPr>
          <w:rFonts w:ascii="Arial" w:hAnsi="Arial"/>
          <w:sz w:val="20"/>
          <w:szCs w:val="20"/>
        </w:rPr>
        <w:t>, 2020)</w:t>
      </w:r>
      <w:r w:rsidRPr="00E1151B">
        <w:rPr>
          <w:rFonts w:ascii="Arial" w:hAnsi="Arial"/>
          <w:sz w:val="20"/>
          <w:szCs w:val="20"/>
        </w:rPr>
        <w:t>. This lack of cohesion hampers efforts to build a unified educational culture, undermining instructional effectiveness, teacher motivation, and the delivery of quality education. As such, formalized collective management remains a critical challenge in the pursuit of inclusive and participatory school leadership.</w:t>
      </w:r>
    </w:p>
    <w:p w14:paraId="7D1AEAE9" w14:textId="77777777" w:rsidR="00E1151B" w:rsidRPr="00E1151B" w:rsidRDefault="00E1151B" w:rsidP="00E1151B">
      <w:pPr>
        <w:jc w:val="both"/>
        <w:rPr>
          <w:rFonts w:ascii="Arial" w:hAnsi="Arial"/>
          <w:sz w:val="20"/>
          <w:szCs w:val="20"/>
        </w:rPr>
      </w:pPr>
    </w:p>
    <w:p w14:paraId="0CB2D8EB" w14:textId="779E6BA7" w:rsidR="00E1151B" w:rsidRPr="00E1151B" w:rsidRDefault="00E1151B" w:rsidP="00E1151B">
      <w:pPr>
        <w:jc w:val="both"/>
        <w:rPr>
          <w:rFonts w:ascii="Arial" w:hAnsi="Arial"/>
          <w:sz w:val="20"/>
          <w:szCs w:val="20"/>
        </w:rPr>
      </w:pPr>
      <w:r w:rsidRPr="00E1151B">
        <w:rPr>
          <w:rFonts w:ascii="Arial" w:hAnsi="Arial"/>
          <w:sz w:val="20"/>
          <w:szCs w:val="20"/>
        </w:rPr>
        <w:lastRenderedPageBreak/>
        <w:t xml:space="preserve">In the international context, formalized collective management has been embraced differently across education systems. In </w:t>
      </w:r>
      <w:r>
        <w:rPr>
          <w:rFonts w:ascii="Arial" w:hAnsi="Arial"/>
          <w:sz w:val="20"/>
          <w:szCs w:val="20"/>
        </w:rPr>
        <w:t>South Korea</w:t>
      </w:r>
      <w:r w:rsidRPr="00E1151B">
        <w:rPr>
          <w:rFonts w:ascii="Arial" w:hAnsi="Arial"/>
          <w:sz w:val="20"/>
          <w:szCs w:val="20"/>
        </w:rPr>
        <w:t>, for instance, teacher collaboration is institutionalized through shared leadership practices and peer networks that promote trust and professionalism</w:t>
      </w:r>
      <w:r w:rsidR="004010F9">
        <w:rPr>
          <w:rFonts w:ascii="Arial" w:hAnsi="Arial"/>
          <w:sz w:val="20"/>
          <w:szCs w:val="20"/>
        </w:rPr>
        <w:t xml:space="preserve"> (</w:t>
      </w:r>
      <w:r w:rsidR="004010F9" w:rsidRPr="004010F9">
        <w:rPr>
          <w:rFonts w:ascii="Arial" w:hAnsi="Arial"/>
          <w:sz w:val="20"/>
          <w:szCs w:val="20"/>
        </w:rPr>
        <w:t>Joo</w:t>
      </w:r>
      <w:r w:rsidR="004010F9">
        <w:rPr>
          <w:rFonts w:ascii="Arial" w:hAnsi="Arial"/>
          <w:sz w:val="20"/>
          <w:szCs w:val="20"/>
        </w:rPr>
        <w:t>, 2020)</w:t>
      </w:r>
      <w:r w:rsidRPr="00E1151B">
        <w:rPr>
          <w:rFonts w:ascii="Arial" w:hAnsi="Arial"/>
          <w:sz w:val="20"/>
          <w:szCs w:val="20"/>
        </w:rPr>
        <w:t>. In Japan, lesson study groups and professional learning communities serve as structured venues for teachers to engage in collaborative planning and problem-solving</w:t>
      </w:r>
      <w:r w:rsidR="004010F9">
        <w:rPr>
          <w:rFonts w:ascii="Arial" w:hAnsi="Arial"/>
          <w:sz w:val="20"/>
          <w:szCs w:val="20"/>
        </w:rPr>
        <w:t xml:space="preserve"> (</w:t>
      </w:r>
      <w:r w:rsidR="004010F9" w:rsidRPr="004010F9">
        <w:rPr>
          <w:rFonts w:ascii="Arial" w:hAnsi="Arial"/>
          <w:sz w:val="20"/>
          <w:szCs w:val="20"/>
        </w:rPr>
        <w:t>Yoshida</w:t>
      </w:r>
      <w:r w:rsidR="004010F9">
        <w:rPr>
          <w:rFonts w:ascii="Arial" w:hAnsi="Arial"/>
          <w:sz w:val="20"/>
          <w:szCs w:val="20"/>
        </w:rPr>
        <w:t xml:space="preserve"> et al., 2021)</w:t>
      </w:r>
      <w:r w:rsidRPr="00E1151B">
        <w:rPr>
          <w:rFonts w:ascii="Arial" w:hAnsi="Arial"/>
          <w:sz w:val="20"/>
          <w:szCs w:val="20"/>
        </w:rPr>
        <w:t>. Meanwhile, in Canada, collective agreements and teacher associations ensure that educators have a formal voice in school operations and policy development</w:t>
      </w:r>
      <w:r w:rsidR="004010F9">
        <w:rPr>
          <w:rFonts w:ascii="Arial" w:hAnsi="Arial"/>
          <w:sz w:val="20"/>
          <w:szCs w:val="20"/>
        </w:rPr>
        <w:t xml:space="preserve"> (</w:t>
      </w:r>
      <w:r w:rsidR="004010F9" w:rsidRPr="004010F9">
        <w:rPr>
          <w:rFonts w:ascii="Arial" w:hAnsi="Arial"/>
          <w:sz w:val="20"/>
          <w:szCs w:val="20"/>
        </w:rPr>
        <w:t>Hargreaves</w:t>
      </w:r>
      <w:r w:rsidR="004010F9">
        <w:rPr>
          <w:rFonts w:ascii="Arial" w:hAnsi="Arial"/>
          <w:sz w:val="20"/>
          <w:szCs w:val="20"/>
        </w:rPr>
        <w:t>, 2021)</w:t>
      </w:r>
      <w:r w:rsidRPr="00E1151B">
        <w:rPr>
          <w:rFonts w:ascii="Arial" w:hAnsi="Arial"/>
          <w:sz w:val="20"/>
          <w:szCs w:val="20"/>
        </w:rPr>
        <w:t>. These countries exemplify how institutional support, cultural values, and policy alignment can shape effective collective management among educators.</w:t>
      </w:r>
    </w:p>
    <w:p w14:paraId="443874FB" w14:textId="77777777" w:rsidR="00E1151B" w:rsidRPr="00E1151B" w:rsidRDefault="00E1151B" w:rsidP="00E1151B">
      <w:pPr>
        <w:jc w:val="both"/>
        <w:rPr>
          <w:rFonts w:ascii="Arial" w:hAnsi="Arial"/>
          <w:sz w:val="20"/>
          <w:szCs w:val="20"/>
        </w:rPr>
      </w:pPr>
    </w:p>
    <w:p w14:paraId="44EC9135" w14:textId="63DCA006" w:rsidR="00E1151B" w:rsidRPr="00E1151B" w:rsidRDefault="00E1151B" w:rsidP="00E1151B">
      <w:pPr>
        <w:jc w:val="both"/>
        <w:rPr>
          <w:rFonts w:ascii="Arial" w:hAnsi="Arial"/>
          <w:sz w:val="20"/>
          <w:szCs w:val="20"/>
        </w:rPr>
      </w:pPr>
      <w:r w:rsidRPr="00E1151B">
        <w:rPr>
          <w:rFonts w:ascii="Arial" w:hAnsi="Arial"/>
          <w:sz w:val="20"/>
          <w:szCs w:val="20"/>
        </w:rPr>
        <w:t>In the Philippines, the Department of Education has institutionalized school-based management (SBM), which emphasizes collective participation of teachers, school heads, and stakeholders in planning, implementation, and monitoring of school programs</w:t>
      </w:r>
      <w:r w:rsidR="004010F9">
        <w:rPr>
          <w:rFonts w:ascii="Arial" w:hAnsi="Arial"/>
          <w:sz w:val="20"/>
          <w:szCs w:val="20"/>
        </w:rPr>
        <w:t xml:space="preserve"> (</w:t>
      </w:r>
      <w:r w:rsidR="004010F9" w:rsidRPr="004010F9">
        <w:rPr>
          <w:rFonts w:ascii="Arial" w:hAnsi="Arial"/>
          <w:sz w:val="20"/>
          <w:szCs w:val="20"/>
        </w:rPr>
        <w:t>Saro</w:t>
      </w:r>
      <w:r w:rsidR="004010F9">
        <w:rPr>
          <w:rFonts w:ascii="Arial" w:hAnsi="Arial"/>
          <w:sz w:val="20"/>
          <w:szCs w:val="20"/>
        </w:rPr>
        <w:t xml:space="preserve"> et al., 2022)</w:t>
      </w:r>
      <w:r w:rsidRPr="00E1151B">
        <w:rPr>
          <w:rFonts w:ascii="Arial" w:hAnsi="Arial"/>
          <w:sz w:val="20"/>
          <w:szCs w:val="20"/>
        </w:rPr>
        <w:t>. However, despite these policies, the practice of formalized collective management among public secondary school teachers varies significantly</w:t>
      </w:r>
      <w:r w:rsidR="004010F9">
        <w:rPr>
          <w:rFonts w:ascii="Arial" w:hAnsi="Arial"/>
          <w:sz w:val="20"/>
          <w:szCs w:val="20"/>
        </w:rPr>
        <w:t xml:space="preserve"> (</w:t>
      </w:r>
      <w:r w:rsidR="004010F9" w:rsidRPr="004010F9">
        <w:rPr>
          <w:rFonts w:ascii="Arial" w:hAnsi="Arial"/>
          <w:sz w:val="20"/>
          <w:szCs w:val="20"/>
        </w:rPr>
        <w:t>Pasion</w:t>
      </w:r>
      <w:r w:rsidR="004010F9">
        <w:rPr>
          <w:rFonts w:ascii="Arial" w:hAnsi="Arial"/>
          <w:sz w:val="20"/>
          <w:szCs w:val="20"/>
        </w:rPr>
        <w:t>, 2023)</w:t>
      </w:r>
      <w:r w:rsidRPr="00E1151B">
        <w:rPr>
          <w:rFonts w:ascii="Arial" w:hAnsi="Arial"/>
          <w:sz w:val="20"/>
          <w:szCs w:val="20"/>
        </w:rPr>
        <w:t>. Factors such as administrative support, professional development access, and the presence of clearly defined collaborative structures influence the extent to which teachers engage in formalized management processes</w:t>
      </w:r>
      <w:r w:rsidR="004010F9">
        <w:rPr>
          <w:rFonts w:ascii="Arial" w:hAnsi="Arial"/>
          <w:sz w:val="20"/>
          <w:szCs w:val="20"/>
        </w:rPr>
        <w:t xml:space="preserve"> (</w:t>
      </w:r>
      <w:r w:rsidR="004010F9" w:rsidRPr="004010F9">
        <w:rPr>
          <w:rFonts w:ascii="Arial" w:hAnsi="Arial"/>
          <w:sz w:val="20"/>
          <w:szCs w:val="20"/>
        </w:rPr>
        <w:t>Sabanal</w:t>
      </w:r>
      <w:r w:rsidR="004010F9">
        <w:rPr>
          <w:rFonts w:ascii="Arial" w:hAnsi="Arial"/>
          <w:sz w:val="20"/>
          <w:szCs w:val="20"/>
        </w:rPr>
        <w:t>, 2023)</w:t>
      </w:r>
      <w:r w:rsidRPr="00E1151B">
        <w:rPr>
          <w:rFonts w:ascii="Arial" w:hAnsi="Arial"/>
          <w:sz w:val="20"/>
          <w:szCs w:val="20"/>
        </w:rPr>
        <w:t>. While some schools demonstrate strong collective leadership and shared responsibilities, others exhibit minimal teacher involvement beyond instructional duties, revealing inconsistencies in the actual practice of collective management.</w:t>
      </w:r>
    </w:p>
    <w:p w14:paraId="428B77CB" w14:textId="77777777" w:rsidR="00E1151B" w:rsidRPr="00E1151B" w:rsidRDefault="00E1151B" w:rsidP="00E1151B">
      <w:pPr>
        <w:jc w:val="both"/>
        <w:rPr>
          <w:rFonts w:ascii="Arial" w:hAnsi="Arial"/>
          <w:sz w:val="20"/>
          <w:szCs w:val="20"/>
        </w:rPr>
      </w:pPr>
    </w:p>
    <w:p w14:paraId="7B7F82E8" w14:textId="48CB3E1C" w:rsidR="00E1151B" w:rsidRPr="00E1151B" w:rsidRDefault="00E1151B" w:rsidP="00E1151B">
      <w:pPr>
        <w:jc w:val="both"/>
        <w:rPr>
          <w:rFonts w:ascii="Arial" w:hAnsi="Arial"/>
          <w:sz w:val="20"/>
          <w:szCs w:val="20"/>
        </w:rPr>
      </w:pPr>
      <w:r w:rsidRPr="00E1151B">
        <w:rPr>
          <w:rFonts w:ascii="Arial" w:hAnsi="Arial"/>
          <w:sz w:val="20"/>
          <w:szCs w:val="20"/>
        </w:rPr>
        <w:t>Customary instructional techniques play a vital role in shaping the professional environment within schools, and their influence may extend beyond the classroom into management practices</w:t>
      </w:r>
      <w:r w:rsidR="004010F9">
        <w:rPr>
          <w:rFonts w:ascii="Arial" w:hAnsi="Arial"/>
          <w:sz w:val="20"/>
          <w:szCs w:val="20"/>
        </w:rPr>
        <w:t xml:space="preserve"> (</w:t>
      </w:r>
      <w:proofErr w:type="spellStart"/>
      <w:r w:rsidR="004010F9" w:rsidRPr="004010F9">
        <w:rPr>
          <w:rFonts w:ascii="Arial" w:hAnsi="Arial"/>
          <w:sz w:val="20"/>
          <w:szCs w:val="20"/>
        </w:rPr>
        <w:t>Rabiman</w:t>
      </w:r>
      <w:proofErr w:type="spellEnd"/>
      <w:r w:rsidR="004010F9">
        <w:rPr>
          <w:rFonts w:ascii="Arial" w:hAnsi="Arial"/>
          <w:sz w:val="20"/>
          <w:szCs w:val="20"/>
        </w:rPr>
        <w:t xml:space="preserve"> et al., 2020)</w:t>
      </w:r>
      <w:r w:rsidRPr="00E1151B">
        <w:rPr>
          <w:rFonts w:ascii="Arial" w:hAnsi="Arial"/>
          <w:sz w:val="20"/>
          <w:szCs w:val="20"/>
        </w:rPr>
        <w:t>. Approaches such as teacher-centered strategies, textbook reliance, lecture-based instruction, and rote learning not only affect student outcomes but also inform how teachers interact, share responsibilities, and engage in collaborative governance</w:t>
      </w:r>
      <w:r w:rsidR="004010F9">
        <w:rPr>
          <w:rFonts w:ascii="Arial" w:hAnsi="Arial"/>
          <w:sz w:val="20"/>
          <w:szCs w:val="20"/>
        </w:rPr>
        <w:t xml:space="preserve"> (</w:t>
      </w:r>
      <w:r w:rsidR="004010F9" w:rsidRPr="004010F9">
        <w:rPr>
          <w:rFonts w:ascii="Arial" w:hAnsi="Arial"/>
          <w:sz w:val="20"/>
          <w:szCs w:val="20"/>
        </w:rPr>
        <w:t>Maros</w:t>
      </w:r>
      <w:r w:rsidR="004010F9">
        <w:rPr>
          <w:rFonts w:ascii="Arial" w:hAnsi="Arial"/>
          <w:sz w:val="20"/>
          <w:szCs w:val="20"/>
        </w:rPr>
        <w:t xml:space="preserve"> et al., 2023)</w:t>
      </w:r>
      <w:r w:rsidRPr="00E1151B">
        <w:rPr>
          <w:rFonts w:ascii="Arial" w:hAnsi="Arial"/>
          <w:sz w:val="20"/>
          <w:szCs w:val="20"/>
        </w:rPr>
        <w:t>. When instructional practices encourage autonomy, peer engagement, and reflective practice, they may foster a culture more conducive to collective decision-making</w:t>
      </w:r>
      <w:r w:rsidR="004010F9">
        <w:rPr>
          <w:rFonts w:ascii="Arial" w:hAnsi="Arial"/>
          <w:sz w:val="20"/>
          <w:szCs w:val="20"/>
        </w:rPr>
        <w:t xml:space="preserve"> (</w:t>
      </w:r>
      <w:r w:rsidR="004010F9" w:rsidRPr="004010F9">
        <w:rPr>
          <w:rFonts w:ascii="Arial" w:hAnsi="Arial"/>
          <w:sz w:val="20"/>
          <w:szCs w:val="20"/>
        </w:rPr>
        <w:t>Henriksen</w:t>
      </w:r>
      <w:r w:rsidR="004010F9">
        <w:rPr>
          <w:rFonts w:ascii="Arial" w:hAnsi="Arial"/>
          <w:sz w:val="20"/>
          <w:szCs w:val="20"/>
        </w:rPr>
        <w:t xml:space="preserve"> et al., 2020)</w:t>
      </w:r>
      <w:r w:rsidRPr="00E1151B">
        <w:rPr>
          <w:rFonts w:ascii="Arial" w:hAnsi="Arial"/>
          <w:sz w:val="20"/>
          <w:szCs w:val="20"/>
        </w:rPr>
        <w:t>. Therefore, examining how commonly employed instructional techniques relate to formalized collective management can reveal patterns that influence organizational dynamics among educators.</w:t>
      </w:r>
    </w:p>
    <w:p w14:paraId="65CDE827" w14:textId="77777777" w:rsidR="00E1151B" w:rsidRPr="00E1151B" w:rsidRDefault="00E1151B" w:rsidP="00E1151B">
      <w:pPr>
        <w:jc w:val="both"/>
        <w:rPr>
          <w:rFonts w:ascii="Arial" w:hAnsi="Arial"/>
          <w:sz w:val="20"/>
          <w:szCs w:val="20"/>
        </w:rPr>
      </w:pPr>
    </w:p>
    <w:p w14:paraId="27501356" w14:textId="77777777" w:rsidR="00E1151B" w:rsidRPr="00E1151B" w:rsidRDefault="00E1151B" w:rsidP="00E1151B">
      <w:pPr>
        <w:jc w:val="both"/>
        <w:rPr>
          <w:rFonts w:ascii="Arial" w:hAnsi="Arial"/>
          <w:sz w:val="20"/>
          <w:szCs w:val="20"/>
        </w:rPr>
      </w:pPr>
      <w:r w:rsidRPr="00E1151B">
        <w:rPr>
          <w:rFonts w:ascii="Arial" w:hAnsi="Arial"/>
          <w:sz w:val="20"/>
          <w:szCs w:val="20"/>
        </w:rPr>
        <w:t>Despite existing literature on school leadership and instructional practices, limited research specifically explores the relationship between customary instructional techniques and formalized collective management among teachers in the Philippine context. Most studies focus on student achievement, teaching effectiveness, or leadership styles in isolation, without addressing how day-to-day teaching approaches may intersect with teachers' participation in collective school governance. This research gap calls for a more integrated examination of how pedagogical norms may contribute to or hinder the development of formalized collective structures in schools.</w:t>
      </w:r>
    </w:p>
    <w:p w14:paraId="460284B0" w14:textId="77777777" w:rsidR="00E1151B" w:rsidRPr="00E1151B" w:rsidRDefault="00E1151B" w:rsidP="00E1151B">
      <w:pPr>
        <w:jc w:val="both"/>
        <w:rPr>
          <w:rFonts w:ascii="Arial" w:hAnsi="Arial"/>
          <w:sz w:val="20"/>
          <w:szCs w:val="20"/>
        </w:rPr>
      </w:pPr>
    </w:p>
    <w:p w14:paraId="4F724057" w14:textId="69A9217C" w:rsidR="00BB0E63" w:rsidRPr="007E5C64" w:rsidRDefault="00E1151B" w:rsidP="00E1151B">
      <w:pPr>
        <w:jc w:val="both"/>
        <w:rPr>
          <w:rFonts w:ascii="Arial" w:hAnsi="Arial"/>
          <w:sz w:val="20"/>
          <w:szCs w:val="20"/>
        </w:rPr>
      </w:pPr>
      <w:r w:rsidRPr="00E1151B">
        <w:rPr>
          <w:rFonts w:ascii="Arial" w:hAnsi="Arial"/>
          <w:sz w:val="20"/>
          <w:szCs w:val="20"/>
        </w:rPr>
        <w:t xml:space="preserve">This study aimed to examine the significant relationship between customary instructional techniques and formalized collective management among public secondary school teachers in </w:t>
      </w:r>
      <w:proofErr w:type="spellStart"/>
      <w:r w:rsidRPr="00E1151B">
        <w:rPr>
          <w:rFonts w:ascii="Arial" w:hAnsi="Arial"/>
          <w:sz w:val="20"/>
          <w:szCs w:val="20"/>
        </w:rPr>
        <w:t>Manay</w:t>
      </w:r>
      <w:proofErr w:type="spellEnd"/>
      <w:r w:rsidRPr="00E1151B">
        <w:rPr>
          <w:rFonts w:ascii="Arial" w:hAnsi="Arial"/>
          <w:sz w:val="20"/>
          <w:szCs w:val="20"/>
        </w:rPr>
        <w:t xml:space="preserve"> District, Division of Davao Oriental. By investigating the interplay between teaching methods and collective management practices, the study intends to provide evidence-based insights for improving school leadership, enhancing collaborative teacher engagement, and fostering a professional culture grounded in shared accountability.</w:t>
      </w:r>
    </w:p>
    <w:p w14:paraId="138E8A69" w14:textId="7C14E77B" w:rsidR="00CA30FF" w:rsidRPr="007E5C64" w:rsidRDefault="00CA30FF" w:rsidP="00CA30FF">
      <w:pPr>
        <w:jc w:val="both"/>
        <w:rPr>
          <w:noProof/>
          <w:sz w:val="20"/>
          <w:szCs w:val="20"/>
        </w:rPr>
      </w:pPr>
    </w:p>
    <w:p w14:paraId="5DF8BEF5" w14:textId="54AB1415" w:rsidR="00CA30FF" w:rsidRPr="007E5C64" w:rsidRDefault="00CA30FF" w:rsidP="00CA30FF">
      <w:pPr>
        <w:jc w:val="both"/>
        <w:rPr>
          <w:noProof/>
          <w:sz w:val="20"/>
          <w:szCs w:val="20"/>
        </w:rPr>
      </w:pPr>
    </w:p>
    <w:p w14:paraId="7AEEE99D" w14:textId="544C5C05" w:rsidR="0074551A" w:rsidRPr="007E5C64" w:rsidRDefault="0074551A" w:rsidP="00D8415F">
      <w:pPr>
        <w:jc w:val="both"/>
        <w:rPr>
          <w:rFonts w:ascii="Arial" w:eastAsia="MS Mincho" w:hAnsi="Arial" w:cs="Arial"/>
          <w:b/>
          <w:bCs/>
          <w:sz w:val="20"/>
          <w:szCs w:val="20"/>
          <w:lang w:eastAsia="ja-JP"/>
        </w:rPr>
      </w:pPr>
    </w:p>
    <w:p w14:paraId="24AB303C" w14:textId="77777777" w:rsidR="0074551A" w:rsidRPr="007E5C64" w:rsidRDefault="0074551A" w:rsidP="00323BB4">
      <w:pPr>
        <w:jc w:val="center"/>
        <w:rPr>
          <w:rFonts w:ascii="Arial" w:eastAsia="MS Mincho" w:hAnsi="Arial" w:cs="Arial"/>
          <w:b/>
          <w:bCs/>
          <w:sz w:val="20"/>
          <w:szCs w:val="20"/>
          <w:lang w:eastAsia="ja-JP"/>
        </w:rPr>
      </w:pPr>
    </w:p>
    <w:p w14:paraId="779EF7AF" w14:textId="77777777" w:rsidR="0056218A" w:rsidRPr="007E5C64" w:rsidRDefault="0056218A" w:rsidP="00323BB4">
      <w:pPr>
        <w:jc w:val="center"/>
        <w:rPr>
          <w:rFonts w:ascii="Arial" w:eastAsia="MS Mincho" w:hAnsi="Arial" w:cs="Arial"/>
          <w:b/>
          <w:bCs/>
          <w:sz w:val="20"/>
          <w:szCs w:val="20"/>
          <w:lang w:eastAsia="ja-JP"/>
        </w:rPr>
      </w:pPr>
    </w:p>
    <w:p w14:paraId="3017206B" w14:textId="77777777" w:rsidR="003227FA" w:rsidRPr="007E5C64" w:rsidRDefault="003227FA" w:rsidP="00323BB4">
      <w:pPr>
        <w:jc w:val="center"/>
        <w:rPr>
          <w:rFonts w:ascii="Arial" w:eastAsia="MS Mincho" w:hAnsi="Arial" w:cs="Arial"/>
          <w:b/>
          <w:bCs/>
          <w:sz w:val="20"/>
          <w:szCs w:val="20"/>
          <w:lang w:eastAsia="ja-JP"/>
        </w:rPr>
      </w:pPr>
    </w:p>
    <w:p w14:paraId="4E2B6B39" w14:textId="77777777" w:rsidR="003227FA" w:rsidRPr="007E5C64" w:rsidRDefault="003227FA" w:rsidP="00323BB4">
      <w:pPr>
        <w:jc w:val="center"/>
        <w:rPr>
          <w:rFonts w:ascii="Arial" w:eastAsia="MS Mincho" w:hAnsi="Arial" w:cs="Arial"/>
          <w:b/>
          <w:bCs/>
          <w:sz w:val="20"/>
          <w:szCs w:val="20"/>
          <w:lang w:eastAsia="ja-JP"/>
        </w:rPr>
      </w:pPr>
    </w:p>
    <w:p w14:paraId="14CB7266" w14:textId="77777777" w:rsidR="003227FA" w:rsidRPr="007E5C64" w:rsidRDefault="003227FA" w:rsidP="00323BB4">
      <w:pPr>
        <w:jc w:val="center"/>
        <w:rPr>
          <w:rFonts w:ascii="Arial" w:eastAsia="MS Mincho" w:hAnsi="Arial" w:cs="Arial"/>
          <w:b/>
          <w:bCs/>
          <w:sz w:val="20"/>
          <w:szCs w:val="20"/>
          <w:lang w:eastAsia="ja-JP"/>
        </w:rPr>
      </w:pPr>
    </w:p>
    <w:p w14:paraId="2816209E" w14:textId="46B3EABC" w:rsidR="003227FA" w:rsidRPr="007E5C64" w:rsidRDefault="009C63D2" w:rsidP="003340B8">
      <w:pPr>
        <w:jc w:val="center"/>
        <w:rPr>
          <w:rFonts w:ascii="Arial" w:eastAsia="MS Mincho" w:hAnsi="Arial" w:cs="Arial"/>
          <w:b/>
          <w:bCs/>
          <w:sz w:val="20"/>
          <w:szCs w:val="20"/>
          <w:lang w:eastAsia="ja-JP"/>
        </w:rPr>
      </w:pPr>
      <w:r w:rsidRPr="009C63D2">
        <w:rPr>
          <w:rFonts w:ascii="Arial" w:eastAsia="MS Mincho" w:hAnsi="Arial" w:cs="Arial"/>
          <w:b/>
          <w:bCs/>
          <w:noProof/>
          <w:sz w:val="20"/>
          <w:szCs w:val="20"/>
          <w:lang w:val="en-US"/>
        </w:rPr>
        <w:drawing>
          <wp:inline distT="0" distB="0" distL="0" distR="0" wp14:anchorId="7F410F40" wp14:editId="31354922">
            <wp:extent cx="3972088" cy="2966484"/>
            <wp:effectExtent l="0" t="0" r="0" b="0"/>
            <wp:docPr id="31349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95598" name=""/>
                    <pic:cNvPicPr/>
                  </pic:nvPicPr>
                  <pic:blipFill>
                    <a:blip r:embed="rId14"/>
                    <a:stretch>
                      <a:fillRect/>
                    </a:stretch>
                  </pic:blipFill>
                  <pic:spPr>
                    <a:xfrm>
                      <a:off x="0" y="0"/>
                      <a:ext cx="3993258" cy="2982294"/>
                    </a:xfrm>
                    <a:prstGeom prst="rect">
                      <a:avLst/>
                    </a:prstGeom>
                  </pic:spPr>
                </pic:pic>
              </a:graphicData>
            </a:graphic>
          </wp:inline>
        </w:drawing>
      </w:r>
    </w:p>
    <w:p w14:paraId="37236F59" w14:textId="77777777" w:rsidR="003227FA" w:rsidRPr="007E5C64" w:rsidRDefault="003227FA" w:rsidP="00323BB4">
      <w:pPr>
        <w:jc w:val="center"/>
        <w:rPr>
          <w:rFonts w:ascii="Arial" w:eastAsia="MS Mincho" w:hAnsi="Arial" w:cs="Arial"/>
          <w:b/>
          <w:bCs/>
          <w:sz w:val="20"/>
          <w:szCs w:val="20"/>
          <w:lang w:eastAsia="ja-JP"/>
        </w:rPr>
      </w:pPr>
    </w:p>
    <w:p w14:paraId="70BF97C8" w14:textId="5B81A52E" w:rsidR="00717F2E" w:rsidRPr="007E5C64" w:rsidRDefault="00180859" w:rsidP="00323BB4">
      <w:pPr>
        <w:jc w:val="center"/>
        <w:rPr>
          <w:rFonts w:ascii="Arial" w:eastAsia="MS Mincho" w:hAnsi="Arial" w:cs="Arial"/>
          <w:sz w:val="20"/>
          <w:szCs w:val="20"/>
          <w:lang w:eastAsia="ja-JP"/>
        </w:rPr>
      </w:pPr>
      <w:r w:rsidRPr="007E5C64">
        <w:rPr>
          <w:rFonts w:ascii="Arial" w:eastAsia="MS Mincho" w:hAnsi="Arial" w:cs="Arial"/>
          <w:b/>
          <w:bCs/>
          <w:sz w:val="20"/>
          <w:szCs w:val="20"/>
          <w:lang w:eastAsia="ja-JP"/>
        </w:rPr>
        <w:t xml:space="preserve">Figure 1:  </w:t>
      </w:r>
      <w:r w:rsidRPr="007E5C64">
        <w:rPr>
          <w:rFonts w:ascii="Arial" w:eastAsia="MS Mincho" w:hAnsi="Arial" w:cs="Arial"/>
          <w:sz w:val="20"/>
          <w:szCs w:val="20"/>
          <w:lang w:eastAsia="ja-JP"/>
        </w:rPr>
        <w:t>Conceptual Framework of the Study</w:t>
      </w:r>
    </w:p>
    <w:p w14:paraId="0ED0213D" w14:textId="60A60C46" w:rsidR="002F5C4B" w:rsidRPr="007E5C64" w:rsidRDefault="002F5C4B" w:rsidP="002F5C4B">
      <w:pPr>
        <w:rPr>
          <w:rFonts w:ascii="Arial" w:eastAsia="MS Mincho" w:hAnsi="Arial" w:cs="Arial"/>
          <w:sz w:val="20"/>
          <w:szCs w:val="20"/>
          <w:lang w:eastAsia="ja-JP"/>
        </w:rPr>
      </w:pPr>
    </w:p>
    <w:p w14:paraId="305CBFC1" w14:textId="23EF8DCF" w:rsidR="000D23E6" w:rsidRPr="007E5C64" w:rsidRDefault="002F5C4B" w:rsidP="000D23E6">
      <w:pPr>
        <w:rPr>
          <w:rFonts w:ascii="Arial" w:eastAsia="MS Mincho" w:hAnsi="Arial" w:cs="Arial"/>
          <w:b/>
          <w:sz w:val="20"/>
          <w:szCs w:val="20"/>
          <w:lang w:eastAsia="ja-JP"/>
        </w:rPr>
      </w:pPr>
      <w:r w:rsidRPr="007E5C64">
        <w:rPr>
          <w:rFonts w:ascii="Arial" w:eastAsia="MS Mincho" w:hAnsi="Arial" w:cs="Arial"/>
          <w:b/>
          <w:sz w:val="20"/>
          <w:szCs w:val="20"/>
          <w:lang w:eastAsia="ja-JP"/>
        </w:rPr>
        <w:t>1.1 Statement of the Problem</w:t>
      </w:r>
    </w:p>
    <w:p w14:paraId="71350A61" w14:textId="77777777" w:rsidR="000D23E6" w:rsidRPr="007E5C64" w:rsidRDefault="000D23E6" w:rsidP="000D23E6">
      <w:pPr>
        <w:rPr>
          <w:rFonts w:ascii="Arial" w:eastAsia="MS Mincho" w:hAnsi="Arial" w:cs="Arial"/>
          <w:sz w:val="20"/>
          <w:szCs w:val="20"/>
          <w:lang w:eastAsia="ja-JP"/>
        </w:rPr>
      </w:pPr>
    </w:p>
    <w:p w14:paraId="3F16FC39"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This study aimed to determine the customary instructional techniques and formalize collective management of teachers in public secondary schools in </w:t>
      </w:r>
      <w:proofErr w:type="spellStart"/>
      <w:r w:rsidRPr="00053A37">
        <w:rPr>
          <w:rFonts w:ascii="Arial" w:eastAsia="MS Mincho" w:hAnsi="Arial" w:cs="Arial"/>
          <w:sz w:val="20"/>
          <w:szCs w:val="20"/>
          <w:lang w:eastAsia="ja-JP"/>
        </w:rPr>
        <w:t>Manay</w:t>
      </w:r>
      <w:proofErr w:type="spellEnd"/>
      <w:r w:rsidRPr="00053A37">
        <w:rPr>
          <w:rFonts w:ascii="Arial" w:eastAsia="MS Mincho" w:hAnsi="Arial" w:cs="Arial"/>
          <w:sz w:val="20"/>
          <w:szCs w:val="20"/>
          <w:lang w:eastAsia="ja-JP"/>
        </w:rPr>
        <w:t xml:space="preserve"> North and South District, Division of Davao Oriental. Specifically, it sought answers to the following sub-problems:</w:t>
      </w:r>
    </w:p>
    <w:p w14:paraId="43BA2E25" w14:textId="77777777" w:rsidR="00053A37" w:rsidRDefault="00053A37" w:rsidP="00053A37">
      <w:pPr>
        <w:jc w:val="both"/>
        <w:rPr>
          <w:rFonts w:ascii="Arial" w:eastAsia="MS Mincho" w:hAnsi="Arial" w:cs="Arial"/>
          <w:sz w:val="20"/>
          <w:szCs w:val="20"/>
          <w:lang w:eastAsia="ja-JP"/>
        </w:rPr>
      </w:pPr>
    </w:p>
    <w:p w14:paraId="6FD6EAC6" w14:textId="4A874DA2"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1. What is the level of customary instructional techniques of public secondary school teachers in terms of:</w:t>
      </w:r>
    </w:p>
    <w:p w14:paraId="22F9A67E"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1.1 Lecture-based instruction, </w:t>
      </w:r>
    </w:p>
    <w:p w14:paraId="5E74ED4A"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1.2 Rote memorization and repetition, </w:t>
      </w:r>
    </w:p>
    <w:p w14:paraId="46C00E9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1.3 Teacher-centered approach, </w:t>
      </w:r>
    </w:p>
    <w:p w14:paraId="50FCA779"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1.4 Use of standardized textbooks and materials, and </w:t>
      </w:r>
    </w:p>
    <w:p w14:paraId="07B1A706"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1.5 Drill-and-practice exercises?</w:t>
      </w:r>
    </w:p>
    <w:p w14:paraId="284E0ABC" w14:textId="77777777" w:rsidR="00053A37" w:rsidRDefault="00053A37" w:rsidP="00053A37">
      <w:pPr>
        <w:jc w:val="both"/>
        <w:rPr>
          <w:rFonts w:ascii="Arial" w:eastAsia="MS Mincho" w:hAnsi="Arial" w:cs="Arial"/>
          <w:sz w:val="20"/>
          <w:szCs w:val="20"/>
          <w:lang w:eastAsia="ja-JP"/>
        </w:rPr>
      </w:pPr>
    </w:p>
    <w:p w14:paraId="45615165" w14:textId="5BCB7B82"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2. What is the level of formalized collective management of public secondary school teachers in terms of:</w:t>
      </w:r>
    </w:p>
    <w:p w14:paraId="417C5CB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2.1 Organizational structure and Hierarchy, </w:t>
      </w:r>
    </w:p>
    <w:p w14:paraId="5AFDCE31"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 xml:space="preserve">2.2 Standardized policies and procedures, and </w:t>
      </w:r>
    </w:p>
    <w:p w14:paraId="55DC155A"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2.3 Professional development and training?</w:t>
      </w:r>
    </w:p>
    <w:p w14:paraId="6CEF0935" w14:textId="77777777" w:rsidR="00053A37" w:rsidRDefault="00053A37" w:rsidP="00053A37">
      <w:pPr>
        <w:jc w:val="both"/>
        <w:rPr>
          <w:rFonts w:ascii="Arial" w:eastAsia="MS Mincho" w:hAnsi="Arial" w:cs="Arial"/>
          <w:sz w:val="20"/>
          <w:szCs w:val="20"/>
          <w:lang w:eastAsia="ja-JP"/>
        </w:rPr>
      </w:pPr>
    </w:p>
    <w:p w14:paraId="772BF895" w14:textId="2BE0DF9B"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3. Is there a significant relationship between customary instructional techniques and formalized collective management of teachers in public secondary schools?</w:t>
      </w:r>
    </w:p>
    <w:p w14:paraId="1E3ACF25" w14:textId="77777777" w:rsidR="00053A37" w:rsidRDefault="00053A37" w:rsidP="00053A37">
      <w:pPr>
        <w:jc w:val="both"/>
        <w:rPr>
          <w:rFonts w:ascii="Arial" w:eastAsia="MS Mincho" w:hAnsi="Arial" w:cs="Arial"/>
          <w:sz w:val="20"/>
          <w:szCs w:val="20"/>
          <w:lang w:eastAsia="ja-JP"/>
        </w:rPr>
      </w:pPr>
    </w:p>
    <w:p w14:paraId="326BDC65" w14:textId="4F8E3958" w:rsidR="003340B8" w:rsidRPr="007E5C64"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4. Which domains of customary instructional techniques significantly influence formalized collective management of public secondary school teachers?</w:t>
      </w:r>
    </w:p>
    <w:p w14:paraId="5A8C5127" w14:textId="77777777" w:rsidR="000D23E6" w:rsidRPr="007E5C64" w:rsidRDefault="000D23E6" w:rsidP="000D23E6">
      <w:pPr>
        <w:rPr>
          <w:rFonts w:ascii="Arial" w:eastAsia="MS Mincho" w:hAnsi="Arial" w:cs="Arial"/>
          <w:sz w:val="20"/>
          <w:szCs w:val="20"/>
          <w:lang w:eastAsia="ja-JP"/>
        </w:rPr>
      </w:pPr>
    </w:p>
    <w:p w14:paraId="4110F409" w14:textId="2A19F9F9" w:rsidR="002F5C4B" w:rsidRPr="007E5C64" w:rsidRDefault="002F5C4B" w:rsidP="002F5C4B">
      <w:pPr>
        <w:rPr>
          <w:rFonts w:ascii="Arial" w:eastAsia="MS Mincho" w:hAnsi="Arial" w:cs="Arial"/>
          <w:b/>
          <w:sz w:val="20"/>
          <w:szCs w:val="20"/>
          <w:lang w:eastAsia="ja-JP"/>
        </w:rPr>
      </w:pPr>
      <w:r w:rsidRPr="007E5C64">
        <w:rPr>
          <w:rFonts w:ascii="Arial" w:eastAsia="MS Mincho" w:hAnsi="Arial" w:cs="Arial"/>
          <w:b/>
          <w:sz w:val="20"/>
          <w:szCs w:val="20"/>
          <w:lang w:eastAsia="ja-JP"/>
        </w:rPr>
        <w:t>1.2 Hypotheses</w:t>
      </w:r>
    </w:p>
    <w:p w14:paraId="426EE532" w14:textId="77777777" w:rsidR="002F5C4B" w:rsidRPr="007E5C64" w:rsidRDefault="002F5C4B" w:rsidP="002F5C4B">
      <w:pPr>
        <w:rPr>
          <w:rFonts w:ascii="Arial" w:eastAsia="MS Mincho" w:hAnsi="Arial" w:cs="Arial"/>
          <w:sz w:val="20"/>
          <w:szCs w:val="20"/>
          <w:lang w:eastAsia="ja-JP"/>
        </w:rPr>
      </w:pPr>
    </w:p>
    <w:p w14:paraId="335B8688" w14:textId="573A3A88" w:rsidR="002F5C4B" w:rsidRPr="007E5C64" w:rsidRDefault="002F5C4B" w:rsidP="002F5C4B">
      <w:pPr>
        <w:rPr>
          <w:rFonts w:ascii="Arial" w:eastAsia="MS Mincho" w:hAnsi="Arial" w:cs="Arial"/>
          <w:sz w:val="20"/>
          <w:szCs w:val="20"/>
          <w:lang w:eastAsia="ja-JP"/>
        </w:rPr>
      </w:pPr>
      <w:r w:rsidRPr="007E5C64">
        <w:rPr>
          <w:rFonts w:ascii="Arial" w:eastAsia="MS Mincho" w:hAnsi="Arial" w:cs="Arial"/>
          <w:sz w:val="20"/>
          <w:szCs w:val="20"/>
          <w:lang w:eastAsia="ja-JP"/>
        </w:rPr>
        <w:t>The null hypotheses were tested at 0.05 level of significance:</w:t>
      </w:r>
    </w:p>
    <w:p w14:paraId="4DCE443D" w14:textId="77777777" w:rsidR="002F5C4B" w:rsidRPr="007E5C64" w:rsidRDefault="002F5C4B" w:rsidP="002F5C4B">
      <w:pPr>
        <w:rPr>
          <w:rFonts w:ascii="Arial" w:eastAsia="MS Mincho" w:hAnsi="Arial" w:cs="Arial"/>
          <w:sz w:val="20"/>
          <w:szCs w:val="20"/>
          <w:lang w:eastAsia="ja-JP"/>
        </w:rPr>
      </w:pPr>
    </w:p>
    <w:p w14:paraId="2B4D79F8" w14:textId="77777777" w:rsidR="00053A37" w:rsidRPr="00053A37"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Ho1. There is no significant relationship between the customary instructional techniques and formalized collective management of teachers in public secondary schools.</w:t>
      </w:r>
    </w:p>
    <w:p w14:paraId="2761BBBA" w14:textId="0EA1EC6A" w:rsidR="000D23E6" w:rsidRPr="007E5C64" w:rsidRDefault="00053A37" w:rsidP="00053A37">
      <w:pPr>
        <w:jc w:val="both"/>
        <w:rPr>
          <w:rFonts w:ascii="Arial" w:eastAsia="MS Mincho" w:hAnsi="Arial" w:cs="Arial"/>
          <w:sz w:val="20"/>
          <w:szCs w:val="20"/>
          <w:lang w:eastAsia="ja-JP"/>
        </w:rPr>
      </w:pPr>
      <w:r w:rsidRPr="00053A37">
        <w:rPr>
          <w:rFonts w:ascii="Arial" w:eastAsia="MS Mincho" w:hAnsi="Arial" w:cs="Arial"/>
          <w:sz w:val="20"/>
          <w:szCs w:val="20"/>
          <w:lang w:eastAsia="ja-JP"/>
        </w:rPr>
        <w:t>Ho2. None of the domains of customary instructional techniques of teachers significantly influences the formalized collective management of public secondary school teachers.</w:t>
      </w:r>
    </w:p>
    <w:p w14:paraId="551314C1" w14:textId="77777777" w:rsidR="00907C80" w:rsidRPr="007E5C64" w:rsidRDefault="00907C80" w:rsidP="00907C80">
      <w:pPr>
        <w:rPr>
          <w:rFonts w:ascii="Arial" w:hAnsi="Arial" w:cs="Arial"/>
          <w:sz w:val="20"/>
          <w:szCs w:val="20"/>
        </w:rPr>
      </w:pPr>
    </w:p>
    <w:p w14:paraId="012EB897" w14:textId="367C4A5B" w:rsidR="00717F2E" w:rsidRPr="007E5C64" w:rsidRDefault="00180859">
      <w:pPr>
        <w:pStyle w:val="AbstHead"/>
        <w:spacing w:after="0"/>
        <w:jc w:val="both"/>
        <w:rPr>
          <w:rFonts w:ascii="Arial" w:hAnsi="Arial" w:cs="Arial"/>
          <w:sz w:val="20"/>
        </w:rPr>
      </w:pPr>
      <w:r w:rsidRPr="007E5C64">
        <w:rPr>
          <w:rFonts w:ascii="Arial" w:hAnsi="Arial" w:cs="Arial"/>
          <w:sz w:val="20"/>
        </w:rPr>
        <w:t>2. methodology</w:t>
      </w:r>
    </w:p>
    <w:p w14:paraId="786C1FBD" w14:textId="77777777" w:rsidR="00717F2E" w:rsidRPr="007E5C64" w:rsidRDefault="00717F2E">
      <w:pPr>
        <w:pStyle w:val="Body"/>
        <w:spacing w:after="0"/>
        <w:rPr>
          <w:rFonts w:ascii="Arial" w:hAnsi="Arial" w:cs="Arial"/>
        </w:rPr>
      </w:pPr>
    </w:p>
    <w:p w14:paraId="670AA047" w14:textId="77777777" w:rsidR="00717F2E" w:rsidRPr="007E5C64" w:rsidRDefault="00180859">
      <w:pPr>
        <w:rPr>
          <w:rFonts w:ascii="Arial" w:hAnsi="Arial" w:cs="Arial"/>
          <w:b/>
          <w:bCs/>
          <w:sz w:val="20"/>
          <w:szCs w:val="20"/>
        </w:rPr>
      </w:pPr>
      <w:r w:rsidRPr="007E5C64">
        <w:rPr>
          <w:rFonts w:ascii="Arial" w:hAnsi="Arial" w:cs="Arial"/>
          <w:b/>
          <w:bCs/>
          <w:sz w:val="20"/>
          <w:szCs w:val="20"/>
        </w:rPr>
        <w:t>2.1 Research Design</w:t>
      </w:r>
    </w:p>
    <w:p w14:paraId="1DB3AA86" w14:textId="77777777" w:rsidR="00717F2E" w:rsidRPr="007E5C64" w:rsidRDefault="00717F2E">
      <w:pPr>
        <w:rPr>
          <w:rFonts w:ascii="Arial" w:hAnsi="Arial" w:cs="Arial"/>
          <w:b/>
          <w:bCs/>
          <w:sz w:val="20"/>
          <w:szCs w:val="20"/>
        </w:rPr>
      </w:pPr>
    </w:p>
    <w:p w14:paraId="60D88826" w14:textId="0CBB75B0" w:rsidR="000D23E6" w:rsidRDefault="00463446" w:rsidP="003340B8">
      <w:pPr>
        <w:jc w:val="both"/>
        <w:rPr>
          <w:rFonts w:ascii="Arial" w:hAnsi="Arial" w:cs="Arial"/>
          <w:sz w:val="20"/>
          <w:szCs w:val="20"/>
        </w:rPr>
      </w:pPr>
      <w:r w:rsidRPr="00463446">
        <w:rPr>
          <w:rFonts w:ascii="Arial" w:hAnsi="Arial" w:cs="Arial"/>
          <w:sz w:val="20"/>
          <w:szCs w:val="20"/>
        </w:rPr>
        <w:t xml:space="preserve">This study employed a non-experimental quantitative research design utilizing the correlational method. This design was deemed appropriate for investigating the degree of association between customary instructional techniques and formalized collective management among public secondary school teachers. As </w:t>
      </w:r>
      <w:proofErr w:type="spellStart"/>
      <w:r w:rsidRPr="00463446">
        <w:rPr>
          <w:rFonts w:ascii="Arial" w:hAnsi="Arial" w:cs="Arial"/>
          <w:sz w:val="20"/>
          <w:szCs w:val="20"/>
        </w:rPr>
        <w:t>Pregoner</w:t>
      </w:r>
      <w:proofErr w:type="spellEnd"/>
      <w:r w:rsidRPr="00463446">
        <w:rPr>
          <w:rFonts w:ascii="Arial" w:hAnsi="Arial" w:cs="Arial"/>
          <w:sz w:val="20"/>
          <w:szCs w:val="20"/>
        </w:rPr>
        <w:t xml:space="preserve"> (2025) emphasized, relationships between variables may emerge through consistent behavioral patterns or external systemic influences. The correlational method in this study allowed the researcher to examine whether the levels of commonly practiced instructional techniques had a significant relationship with the implementation of formalized collective management among teachers. Through this approach, the study aimed to generate data that could inform instructional practices and collaborative leadership initiatives within the secondary education system.</w:t>
      </w:r>
    </w:p>
    <w:p w14:paraId="3D049842" w14:textId="77777777" w:rsidR="00251748" w:rsidRPr="007E5C64" w:rsidRDefault="00251748" w:rsidP="003340B8">
      <w:pPr>
        <w:jc w:val="both"/>
        <w:rPr>
          <w:rFonts w:ascii="Arial" w:hAnsi="Arial" w:cs="Arial"/>
          <w:b/>
          <w:bCs/>
          <w:sz w:val="20"/>
          <w:szCs w:val="20"/>
        </w:rPr>
      </w:pPr>
    </w:p>
    <w:p w14:paraId="318F0781" w14:textId="3871AFA8" w:rsidR="00717F2E" w:rsidRPr="007E5C64" w:rsidRDefault="00180859">
      <w:pPr>
        <w:rPr>
          <w:rFonts w:ascii="Arial" w:hAnsi="Arial" w:cs="Arial"/>
          <w:b/>
          <w:bCs/>
          <w:sz w:val="20"/>
          <w:szCs w:val="20"/>
        </w:rPr>
      </w:pPr>
      <w:r w:rsidRPr="007E5C64">
        <w:rPr>
          <w:rFonts w:ascii="Arial" w:hAnsi="Arial" w:cs="Arial"/>
          <w:b/>
          <w:bCs/>
          <w:sz w:val="20"/>
          <w:szCs w:val="20"/>
        </w:rPr>
        <w:t>2.2 Research Respondents</w:t>
      </w:r>
    </w:p>
    <w:p w14:paraId="56FDFA7F" w14:textId="77777777" w:rsidR="00D453B9" w:rsidRPr="007E5C64" w:rsidRDefault="00D453B9">
      <w:pPr>
        <w:rPr>
          <w:rFonts w:ascii="Arial" w:hAnsi="Arial" w:cs="Arial"/>
          <w:b/>
          <w:bCs/>
          <w:sz w:val="20"/>
          <w:szCs w:val="20"/>
        </w:rPr>
      </w:pPr>
    </w:p>
    <w:p w14:paraId="4C88B07F" w14:textId="47425C54" w:rsidR="00171A32" w:rsidRPr="007E5C64" w:rsidRDefault="00463446" w:rsidP="009628FB">
      <w:pPr>
        <w:jc w:val="both"/>
        <w:rPr>
          <w:rFonts w:ascii="Arial" w:hAnsi="Arial" w:cs="Arial"/>
          <w:sz w:val="20"/>
          <w:szCs w:val="20"/>
        </w:rPr>
      </w:pPr>
      <w:r w:rsidRPr="00463446">
        <w:rPr>
          <w:rFonts w:ascii="Arial" w:hAnsi="Arial" w:cs="Arial"/>
          <w:sz w:val="20"/>
          <w:szCs w:val="20"/>
        </w:rPr>
        <w:t xml:space="preserve">The respondents of this study were 135 public secondary school teachers from </w:t>
      </w:r>
      <w:proofErr w:type="spellStart"/>
      <w:r w:rsidRPr="00463446">
        <w:rPr>
          <w:rFonts w:ascii="Arial" w:hAnsi="Arial" w:cs="Arial"/>
          <w:sz w:val="20"/>
          <w:szCs w:val="20"/>
        </w:rPr>
        <w:t>Manay</w:t>
      </w:r>
      <w:proofErr w:type="spellEnd"/>
      <w:r w:rsidRPr="00463446">
        <w:rPr>
          <w:rFonts w:ascii="Arial" w:hAnsi="Arial" w:cs="Arial"/>
          <w:sz w:val="20"/>
          <w:szCs w:val="20"/>
        </w:rPr>
        <w:t xml:space="preserve"> District, Division of Davao Oriental. All participants were actively involved in classroom instruction across various subject areas and year levels, representing a diversity of professional experiences and teaching backgrounds. The study utilized universal sampling, where all eligible public secondary school teachers in the district were included. Prior to data collection, the respondents were oriented on the purpose and ethical guidelines of the study and voluntarily consented to participate by providing truthful responses to the research instruments. The data collection took place during the academic year 2024–2025.</w:t>
      </w:r>
    </w:p>
    <w:p w14:paraId="3FACA4E2" w14:textId="77777777" w:rsidR="000D23E6" w:rsidRPr="007E5C64" w:rsidRDefault="000D23E6">
      <w:pPr>
        <w:rPr>
          <w:rFonts w:ascii="Arial" w:hAnsi="Arial" w:cs="Arial"/>
          <w:sz w:val="20"/>
          <w:szCs w:val="20"/>
        </w:rPr>
      </w:pPr>
    </w:p>
    <w:p w14:paraId="6BE2C45C" w14:textId="112B9625" w:rsidR="00717F2E" w:rsidRPr="007E5C64" w:rsidRDefault="00180859">
      <w:pPr>
        <w:rPr>
          <w:rFonts w:ascii="Arial" w:hAnsi="Arial" w:cs="Arial"/>
          <w:b/>
          <w:bCs/>
          <w:sz w:val="20"/>
          <w:szCs w:val="20"/>
        </w:rPr>
      </w:pPr>
      <w:r w:rsidRPr="007E5C64">
        <w:rPr>
          <w:rFonts w:ascii="Arial" w:hAnsi="Arial" w:cs="Arial"/>
          <w:b/>
          <w:bCs/>
          <w:sz w:val="20"/>
          <w:szCs w:val="20"/>
        </w:rPr>
        <w:t>2.3 Research Instrument</w:t>
      </w:r>
    </w:p>
    <w:p w14:paraId="7593DDB4" w14:textId="77777777" w:rsidR="00717F2E" w:rsidRPr="007E5C64" w:rsidRDefault="00717F2E">
      <w:pPr>
        <w:rPr>
          <w:rFonts w:ascii="Arial" w:hAnsi="Arial" w:cs="Arial"/>
          <w:b/>
          <w:bCs/>
          <w:sz w:val="20"/>
          <w:szCs w:val="20"/>
        </w:rPr>
      </w:pPr>
    </w:p>
    <w:p w14:paraId="6B981B5A" w14:textId="77777777" w:rsidR="00463446" w:rsidRPr="00463446" w:rsidRDefault="00463446" w:rsidP="00463446">
      <w:pPr>
        <w:jc w:val="both"/>
        <w:rPr>
          <w:rFonts w:ascii="Arial" w:hAnsi="Arial" w:cs="Arial"/>
          <w:sz w:val="20"/>
          <w:szCs w:val="20"/>
        </w:rPr>
      </w:pPr>
      <w:r w:rsidRPr="00463446">
        <w:rPr>
          <w:rFonts w:ascii="Arial" w:hAnsi="Arial" w:cs="Arial"/>
          <w:sz w:val="20"/>
          <w:szCs w:val="20"/>
        </w:rPr>
        <w:t xml:space="preserve">The primary data gathering tool used in this study was a researcher-developed survey questionnaire intended to assess the levels of customary instructional techniques and formalized collective management as perceived by public secondary school teachers in </w:t>
      </w:r>
      <w:proofErr w:type="spellStart"/>
      <w:r w:rsidRPr="00463446">
        <w:rPr>
          <w:rFonts w:ascii="Arial" w:hAnsi="Arial" w:cs="Arial"/>
          <w:sz w:val="20"/>
          <w:szCs w:val="20"/>
        </w:rPr>
        <w:t>Manay</w:t>
      </w:r>
      <w:proofErr w:type="spellEnd"/>
      <w:r w:rsidRPr="00463446">
        <w:rPr>
          <w:rFonts w:ascii="Arial" w:hAnsi="Arial" w:cs="Arial"/>
          <w:sz w:val="20"/>
          <w:szCs w:val="20"/>
        </w:rPr>
        <w:t xml:space="preserve"> District. The items were formulated based on established pedagogical frameworks, collective management theories, and findings from relevant literature. The initial instrument underwent thorough face and content validation by a panel of experts in Curriculum and Instruction, Educational Management, and Secondary Education. Revisions were made in response to the validators’ recommendations to improve item clarity, content alignment, and contextual appropriateness.</w:t>
      </w:r>
    </w:p>
    <w:p w14:paraId="455E338C" w14:textId="77777777" w:rsidR="00463446" w:rsidRPr="00463446" w:rsidRDefault="00463446" w:rsidP="00463446">
      <w:pPr>
        <w:jc w:val="both"/>
        <w:rPr>
          <w:rFonts w:ascii="Arial" w:hAnsi="Arial" w:cs="Arial"/>
          <w:sz w:val="20"/>
          <w:szCs w:val="20"/>
        </w:rPr>
      </w:pPr>
    </w:p>
    <w:p w14:paraId="2CD2B35E" w14:textId="49EC692F" w:rsidR="002F5C4B" w:rsidRPr="007E5C64" w:rsidRDefault="00463446" w:rsidP="00463446">
      <w:pPr>
        <w:jc w:val="both"/>
        <w:rPr>
          <w:rFonts w:ascii="Arial" w:hAnsi="Arial" w:cs="Arial"/>
          <w:sz w:val="20"/>
          <w:szCs w:val="20"/>
        </w:rPr>
      </w:pPr>
      <w:r w:rsidRPr="00463446">
        <w:rPr>
          <w:rFonts w:ascii="Arial" w:hAnsi="Arial" w:cs="Arial"/>
          <w:sz w:val="20"/>
          <w:szCs w:val="20"/>
        </w:rPr>
        <w:t>To ensure the instrument’s reliability, a pilot test was conducted among 30 public secondary school teachers from a neighboring district not included in the actual study. The pilot test yielded high internal consistency, with a Cronbach’s Alpha of 0.913 for the Customary Instructional Techniques subscale and 0.921 for the Formalized Collective Management subscale.</w:t>
      </w:r>
    </w:p>
    <w:p w14:paraId="04BEB936" w14:textId="77777777" w:rsidR="000D23E6" w:rsidRPr="007E5C64" w:rsidRDefault="000D23E6" w:rsidP="000D23E6">
      <w:pPr>
        <w:rPr>
          <w:rFonts w:ascii="Arial" w:hAnsi="Arial" w:cs="Arial"/>
          <w:b/>
          <w:bCs/>
          <w:sz w:val="20"/>
          <w:szCs w:val="20"/>
        </w:rPr>
      </w:pPr>
    </w:p>
    <w:p w14:paraId="27C6641A" w14:textId="563AE792" w:rsidR="005D71AE" w:rsidRPr="007E5C64" w:rsidRDefault="00180859" w:rsidP="005D71AE">
      <w:pPr>
        <w:rPr>
          <w:rFonts w:ascii="Arial" w:hAnsi="Arial" w:cs="Arial"/>
          <w:b/>
          <w:bCs/>
          <w:sz w:val="20"/>
          <w:szCs w:val="20"/>
        </w:rPr>
      </w:pPr>
      <w:r w:rsidRPr="007E5C64">
        <w:rPr>
          <w:rFonts w:ascii="Arial" w:hAnsi="Arial" w:cs="Arial"/>
          <w:b/>
          <w:bCs/>
          <w:sz w:val="20"/>
          <w:szCs w:val="20"/>
        </w:rPr>
        <w:t>2.4 Data Gathering Procedure</w:t>
      </w:r>
    </w:p>
    <w:p w14:paraId="0409FDF5" w14:textId="77777777" w:rsidR="00CC5ECD" w:rsidRPr="007E5C64" w:rsidRDefault="00CC5ECD" w:rsidP="005D71AE">
      <w:pPr>
        <w:rPr>
          <w:rFonts w:ascii="Arial" w:hAnsi="Arial" w:cs="Arial"/>
          <w:b/>
          <w:bCs/>
          <w:sz w:val="20"/>
          <w:szCs w:val="20"/>
        </w:rPr>
      </w:pPr>
    </w:p>
    <w:p w14:paraId="09048CFB" w14:textId="77777777" w:rsidR="00AD752D" w:rsidRPr="00AD752D" w:rsidRDefault="00AD752D" w:rsidP="00AD752D">
      <w:pPr>
        <w:pStyle w:val="Heading1"/>
        <w:jc w:val="both"/>
        <w:rPr>
          <w:rFonts w:cs="Arial"/>
          <w:b w:val="0"/>
          <w:kern w:val="0"/>
          <w:sz w:val="20"/>
        </w:rPr>
      </w:pPr>
      <w:r w:rsidRPr="00AD752D">
        <w:rPr>
          <w:rFonts w:cs="Arial"/>
          <w:b w:val="0"/>
          <w:kern w:val="0"/>
          <w:sz w:val="20"/>
        </w:rPr>
        <w:t xml:space="preserve">The data collection was conducted in a systematic and ethically compliant manner. The researcher first obtained an endorsement from the Dean of the Graduate School and secured ethical clearance from the institution’s authorized Ethics Review Committee. A formal request to conduct the study was submitted to the Office of the Schools Division Superintendent of the Division of Davao Oriental. Once approved, an endorsement letter was issued to the School Heads of the participating public secondary schools in </w:t>
      </w:r>
      <w:proofErr w:type="spellStart"/>
      <w:r w:rsidRPr="00AD752D">
        <w:rPr>
          <w:rFonts w:cs="Arial"/>
          <w:b w:val="0"/>
          <w:kern w:val="0"/>
          <w:sz w:val="20"/>
        </w:rPr>
        <w:t>Manay</w:t>
      </w:r>
      <w:proofErr w:type="spellEnd"/>
      <w:r w:rsidRPr="00AD752D">
        <w:rPr>
          <w:rFonts w:cs="Arial"/>
          <w:b w:val="0"/>
          <w:kern w:val="0"/>
          <w:sz w:val="20"/>
        </w:rPr>
        <w:t xml:space="preserve"> District to authorize the data collection process.</w:t>
      </w:r>
    </w:p>
    <w:p w14:paraId="3579E42E" w14:textId="0EA13188" w:rsidR="000D23E6" w:rsidRPr="007E5C64" w:rsidRDefault="00AD752D" w:rsidP="00AD752D">
      <w:pPr>
        <w:pStyle w:val="Heading1"/>
        <w:jc w:val="both"/>
        <w:rPr>
          <w:rFonts w:cs="Arial"/>
          <w:b w:val="0"/>
          <w:kern w:val="0"/>
          <w:sz w:val="20"/>
        </w:rPr>
      </w:pPr>
      <w:r w:rsidRPr="00AD752D">
        <w:rPr>
          <w:rFonts w:cs="Arial"/>
          <w:b w:val="0"/>
          <w:kern w:val="0"/>
          <w:sz w:val="20"/>
        </w:rPr>
        <w:t>A pilot study was first conducted to test the clarity and reliability of the instrument. Upon completion of revisions, the final survey questionnaires were distributed to the 135 teacher-respondents using a universal sampling method. Respondents were oriented on the purpose of the study and instructed on how to complete the survey. The completed questionnaires were personally collected by the researcher and submitted to a licensed statistician for data encoding, tabulation, and statistical analysis.</w:t>
      </w:r>
    </w:p>
    <w:p w14:paraId="1C13872C" w14:textId="6651CA6D" w:rsidR="00717F2E" w:rsidRPr="007E5C64" w:rsidRDefault="00180859" w:rsidP="000D23E6">
      <w:pPr>
        <w:pStyle w:val="Heading1"/>
        <w:rPr>
          <w:rFonts w:cs="Arial"/>
          <w:sz w:val="20"/>
        </w:rPr>
      </w:pPr>
      <w:r w:rsidRPr="007E5C64">
        <w:rPr>
          <w:rFonts w:cs="Arial"/>
          <w:sz w:val="20"/>
        </w:rPr>
        <w:t>2.5 Data Analysis</w:t>
      </w:r>
    </w:p>
    <w:p w14:paraId="3CB0DE7E" w14:textId="77777777" w:rsidR="005D71AE" w:rsidRPr="007E5C64" w:rsidRDefault="005D71AE" w:rsidP="00304469">
      <w:pPr>
        <w:pStyle w:val="Head1"/>
        <w:jc w:val="both"/>
        <w:rPr>
          <w:rFonts w:ascii="Arial" w:hAnsi="Arial" w:cs="Arial"/>
          <w:b w:val="0"/>
          <w:caps w:val="0"/>
          <w:sz w:val="20"/>
        </w:rPr>
      </w:pPr>
    </w:p>
    <w:p w14:paraId="43E98CE8" w14:textId="58B352DF" w:rsidR="005923EA" w:rsidRPr="007E5C64" w:rsidRDefault="005923EA" w:rsidP="005923EA">
      <w:pPr>
        <w:pStyle w:val="Head1"/>
        <w:jc w:val="both"/>
        <w:rPr>
          <w:rFonts w:ascii="Arial" w:hAnsi="Arial" w:cs="Arial"/>
          <w:b w:val="0"/>
          <w:caps w:val="0"/>
          <w:sz w:val="20"/>
        </w:rPr>
      </w:pPr>
      <w:r w:rsidRPr="007E5C64">
        <w:rPr>
          <w:rFonts w:ascii="Arial" w:hAnsi="Arial" w:cs="Arial"/>
          <w:b w:val="0"/>
          <w:caps w:val="0"/>
          <w:sz w:val="20"/>
        </w:rPr>
        <w:t>To analyze the data collected and effectively address the research questions of this study, the following statistical tools were utilized:</w:t>
      </w:r>
    </w:p>
    <w:p w14:paraId="6AEE98AD" w14:textId="77777777" w:rsidR="00082C9F" w:rsidRPr="00082C9F" w:rsidRDefault="00082C9F" w:rsidP="00082C9F">
      <w:pPr>
        <w:pStyle w:val="Head1"/>
        <w:jc w:val="both"/>
        <w:rPr>
          <w:rFonts w:ascii="Arial" w:hAnsi="Arial" w:cs="Arial"/>
          <w:b w:val="0"/>
          <w:caps w:val="0"/>
          <w:sz w:val="20"/>
        </w:rPr>
      </w:pPr>
      <w:r w:rsidRPr="00082C9F">
        <w:rPr>
          <w:rFonts w:ascii="Arial" w:hAnsi="Arial" w:cs="Arial"/>
          <w:b w:val="0"/>
          <w:caps w:val="0"/>
          <w:sz w:val="20"/>
        </w:rPr>
        <w:t>Mean. This was used to determine the levels of customary instructional techniques and formalized collective management as perceived by the respondents. It provided a measure of central tendency for each instructional and management domain.</w:t>
      </w:r>
    </w:p>
    <w:p w14:paraId="5E641131" w14:textId="77777777" w:rsidR="00082C9F" w:rsidRPr="00082C9F" w:rsidRDefault="00082C9F" w:rsidP="00082C9F">
      <w:pPr>
        <w:pStyle w:val="Head1"/>
        <w:jc w:val="both"/>
        <w:rPr>
          <w:rFonts w:ascii="Arial" w:hAnsi="Arial" w:cs="Arial"/>
          <w:b w:val="0"/>
          <w:caps w:val="0"/>
          <w:sz w:val="20"/>
        </w:rPr>
      </w:pPr>
      <w:r w:rsidRPr="00082C9F">
        <w:rPr>
          <w:rFonts w:ascii="Arial" w:hAnsi="Arial" w:cs="Arial"/>
          <w:b w:val="0"/>
          <w:caps w:val="0"/>
          <w:sz w:val="20"/>
        </w:rPr>
        <w:t>Pearson Product-Moment Correlation Coefficient (Pearson r). This tool was used to determine the strength and direction of the relationship between customary instructional techniques and formalized collective management. It assessed whether a statistically significant linear association existed between the two primary variables.</w:t>
      </w:r>
    </w:p>
    <w:p w14:paraId="2E0E53B8" w14:textId="3FF477AB" w:rsidR="00EF4B2D" w:rsidRPr="007E5C64" w:rsidRDefault="00082C9F" w:rsidP="00082C9F">
      <w:pPr>
        <w:pStyle w:val="Head1"/>
        <w:jc w:val="both"/>
        <w:rPr>
          <w:rFonts w:ascii="Arial" w:hAnsi="Arial" w:cs="Arial"/>
          <w:b w:val="0"/>
          <w:caps w:val="0"/>
          <w:sz w:val="20"/>
        </w:rPr>
      </w:pPr>
      <w:r w:rsidRPr="00082C9F">
        <w:rPr>
          <w:rFonts w:ascii="Arial" w:hAnsi="Arial" w:cs="Arial"/>
          <w:b w:val="0"/>
          <w:caps w:val="0"/>
          <w:sz w:val="20"/>
        </w:rPr>
        <w:t>Multiple Regression Analysis. This statistical method was employed to examine the extent to which specific domains of customary instructional techniques significantly predicted formalized collective management. It identified the instructional components that had the strongest influence on fostering collective organizational practices among teachers.</w:t>
      </w:r>
    </w:p>
    <w:p w14:paraId="54E1E55E" w14:textId="77777777" w:rsidR="005923EA" w:rsidRPr="007E5C64" w:rsidRDefault="005923EA" w:rsidP="005923EA">
      <w:pPr>
        <w:pStyle w:val="Head1"/>
        <w:spacing w:after="0"/>
        <w:jc w:val="both"/>
        <w:rPr>
          <w:rFonts w:ascii="Arial" w:hAnsi="Arial" w:cs="Arial"/>
          <w:sz w:val="20"/>
        </w:rPr>
      </w:pPr>
    </w:p>
    <w:p w14:paraId="54D02440" w14:textId="330D7BFD" w:rsidR="00717F2E" w:rsidRPr="007E5C64" w:rsidRDefault="00180859">
      <w:pPr>
        <w:pStyle w:val="Head1"/>
        <w:spacing w:after="0"/>
        <w:jc w:val="both"/>
        <w:rPr>
          <w:rFonts w:ascii="Arial" w:hAnsi="Arial" w:cs="Arial"/>
          <w:sz w:val="20"/>
        </w:rPr>
      </w:pPr>
      <w:r w:rsidRPr="007E5C64">
        <w:rPr>
          <w:rFonts w:ascii="Arial" w:hAnsi="Arial" w:cs="Arial"/>
          <w:sz w:val="20"/>
        </w:rPr>
        <w:t>3. results and discussion</w:t>
      </w:r>
    </w:p>
    <w:p w14:paraId="500B7B33" w14:textId="77777777" w:rsidR="00717F2E" w:rsidRPr="007E5C64" w:rsidRDefault="00717F2E">
      <w:pPr>
        <w:rPr>
          <w:rFonts w:ascii="Arial" w:hAnsi="Arial" w:cs="Arial"/>
          <w:b/>
          <w:i/>
          <w:sz w:val="20"/>
          <w:szCs w:val="20"/>
        </w:rPr>
      </w:pPr>
    </w:p>
    <w:p w14:paraId="1DF55D87" w14:textId="0314DC76" w:rsidR="005D71AE" w:rsidRPr="007E5C64" w:rsidRDefault="00180859">
      <w:pPr>
        <w:suppressAutoHyphens/>
        <w:jc w:val="both"/>
        <w:rPr>
          <w:rFonts w:ascii="Arial" w:hAnsi="Arial" w:cs="Arial"/>
          <w:b/>
          <w:sz w:val="20"/>
          <w:szCs w:val="20"/>
        </w:rPr>
      </w:pPr>
      <w:r w:rsidRPr="007E5C64">
        <w:rPr>
          <w:rFonts w:ascii="Arial" w:hAnsi="Arial" w:cs="Arial"/>
          <w:b/>
          <w:sz w:val="20"/>
          <w:szCs w:val="20"/>
        </w:rPr>
        <w:t xml:space="preserve">3.1 </w:t>
      </w:r>
      <w:r w:rsidR="00C768A5" w:rsidRPr="00C768A5">
        <w:rPr>
          <w:rFonts w:ascii="Arial" w:hAnsi="Arial" w:cs="Arial"/>
          <w:b/>
          <w:sz w:val="20"/>
          <w:szCs w:val="20"/>
        </w:rPr>
        <w:t>Level of Customary Instructional Techniques among Secondary School Language Teachers</w:t>
      </w:r>
    </w:p>
    <w:p w14:paraId="1B38FF68" w14:textId="77777777" w:rsidR="00EF4B2D" w:rsidRPr="007E5C64" w:rsidRDefault="00EF4B2D">
      <w:pPr>
        <w:suppressAutoHyphens/>
        <w:jc w:val="both"/>
        <w:rPr>
          <w:rFonts w:ascii="Arial" w:hAnsi="Arial" w:cs="Arial"/>
          <w:b/>
          <w:sz w:val="20"/>
          <w:szCs w:val="20"/>
        </w:rPr>
      </w:pPr>
    </w:p>
    <w:p w14:paraId="496DE70A" w14:textId="2D016031" w:rsidR="002F5C4B" w:rsidRPr="007E5C64" w:rsidRDefault="00180859">
      <w:pPr>
        <w:suppressAutoHyphens/>
        <w:jc w:val="both"/>
        <w:rPr>
          <w:rFonts w:ascii="Arial" w:hAnsi="Arial" w:cs="Arial"/>
          <w:i/>
          <w:iCs/>
          <w:sz w:val="20"/>
          <w:szCs w:val="20"/>
        </w:rPr>
      </w:pPr>
      <w:r w:rsidRPr="007E5C64">
        <w:rPr>
          <w:rFonts w:ascii="Arial" w:hAnsi="Arial" w:cs="Arial"/>
          <w:iCs/>
          <w:sz w:val="20"/>
          <w:szCs w:val="20"/>
        </w:rPr>
        <w:t>Table 1</w:t>
      </w:r>
      <w:r w:rsidR="00CC5ECD" w:rsidRPr="007E5C64">
        <w:rPr>
          <w:rFonts w:ascii="Arial" w:hAnsi="Arial" w:cs="Arial"/>
          <w:iCs/>
          <w:sz w:val="20"/>
          <w:szCs w:val="20"/>
        </w:rPr>
        <w:t>.</w:t>
      </w:r>
      <w:r w:rsidR="00CC5ECD" w:rsidRPr="007E5C64">
        <w:rPr>
          <w:sz w:val="20"/>
          <w:szCs w:val="20"/>
        </w:rPr>
        <w:t xml:space="preserve"> </w:t>
      </w:r>
      <w:r w:rsidR="00C768A5" w:rsidRPr="00C768A5">
        <w:rPr>
          <w:rFonts w:ascii="Arial" w:hAnsi="Arial" w:cs="Arial"/>
          <w:i/>
          <w:iCs/>
          <w:sz w:val="20"/>
          <w:szCs w:val="20"/>
        </w:rPr>
        <w:t>Level of Customary Instructional Techniques among Secondary School Language Teachers</w:t>
      </w:r>
    </w:p>
    <w:p w14:paraId="67CCBDF6" w14:textId="77777777" w:rsidR="00D21D9E" w:rsidRPr="007E5C64" w:rsidRDefault="00D21D9E">
      <w:pPr>
        <w:suppressAutoHyphens/>
        <w:jc w:val="both"/>
        <w:rPr>
          <w:rFonts w:ascii="Arial" w:hAnsi="Arial" w:cs="Arial"/>
          <w:i/>
          <w:sz w:val="20"/>
          <w:szCs w:val="20"/>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7E5C64"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7E5C64" w:rsidRDefault="005923EA" w:rsidP="00C8398D">
            <w:pPr>
              <w:jc w:val="center"/>
              <w:rPr>
                <w:rFonts w:ascii="Arial" w:hAnsi="Arial"/>
                <w:b/>
                <w:sz w:val="20"/>
                <w:szCs w:val="20"/>
              </w:rPr>
            </w:pPr>
            <w:r w:rsidRPr="007E5C64">
              <w:rPr>
                <w:rFonts w:ascii="Arial" w:hAnsi="Arial"/>
                <w:b/>
                <w:sz w:val="20"/>
                <w:szCs w:val="20"/>
              </w:rPr>
              <w:t xml:space="preserve">Domains </w:t>
            </w:r>
          </w:p>
        </w:tc>
        <w:tc>
          <w:tcPr>
            <w:tcW w:w="862" w:type="dxa"/>
            <w:tcBorders>
              <w:bottom w:val="single" w:sz="4" w:space="0" w:color="auto"/>
            </w:tcBorders>
          </w:tcPr>
          <w:p w14:paraId="724F4F2C" w14:textId="77777777" w:rsidR="005923EA" w:rsidRPr="007E5C64" w:rsidRDefault="005923EA" w:rsidP="00C8398D">
            <w:pPr>
              <w:jc w:val="center"/>
              <w:rPr>
                <w:rFonts w:ascii="Arial" w:hAnsi="Arial"/>
                <w:b/>
                <w:sz w:val="20"/>
                <w:szCs w:val="20"/>
              </w:rPr>
            </w:pPr>
            <w:r w:rsidRPr="007E5C64">
              <w:rPr>
                <w:rFonts w:ascii="Arial" w:hAnsi="Arial"/>
                <w:b/>
                <w:sz w:val="20"/>
                <w:szCs w:val="20"/>
              </w:rPr>
              <w:t>SD</w:t>
            </w:r>
          </w:p>
        </w:tc>
        <w:tc>
          <w:tcPr>
            <w:tcW w:w="1019" w:type="dxa"/>
            <w:gridSpan w:val="2"/>
            <w:tcBorders>
              <w:bottom w:val="single" w:sz="4" w:space="0" w:color="auto"/>
            </w:tcBorders>
          </w:tcPr>
          <w:p w14:paraId="679D4F61" w14:textId="77777777" w:rsidR="005923EA" w:rsidRPr="007E5C64" w:rsidRDefault="005923EA" w:rsidP="00C8398D">
            <w:pPr>
              <w:jc w:val="center"/>
              <w:rPr>
                <w:rFonts w:ascii="Arial" w:hAnsi="Arial"/>
                <w:b/>
                <w:sz w:val="20"/>
                <w:szCs w:val="20"/>
              </w:rPr>
            </w:pPr>
            <w:r w:rsidRPr="007E5C64">
              <w:rPr>
                <w:rFonts w:ascii="Arial" w:hAnsi="Arial"/>
                <w:b/>
                <w:sz w:val="20"/>
                <w:szCs w:val="20"/>
              </w:rPr>
              <w:t>Mean</w:t>
            </w:r>
          </w:p>
        </w:tc>
        <w:tc>
          <w:tcPr>
            <w:tcW w:w="2245" w:type="dxa"/>
            <w:tcBorders>
              <w:bottom w:val="single" w:sz="4" w:space="0" w:color="auto"/>
            </w:tcBorders>
          </w:tcPr>
          <w:p w14:paraId="18FB3AF2" w14:textId="77777777" w:rsidR="005923EA" w:rsidRPr="007E5C64" w:rsidRDefault="005923EA" w:rsidP="00C8398D">
            <w:pPr>
              <w:jc w:val="center"/>
              <w:rPr>
                <w:rFonts w:ascii="Arial" w:hAnsi="Arial"/>
                <w:b/>
                <w:sz w:val="20"/>
                <w:szCs w:val="20"/>
              </w:rPr>
            </w:pPr>
            <w:r w:rsidRPr="007E5C64">
              <w:rPr>
                <w:rFonts w:ascii="Arial" w:hAnsi="Arial"/>
                <w:b/>
                <w:sz w:val="20"/>
                <w:szCs w:val="20"/>
              </w:rPr>
              <w:t>Descriptive Level</w:t>
            </w:r>
          </w:p>
        </w:tc>
      </w:tr>
      <w:tr w:rsidR="000C7F7D" w:rsidRPr="007E5C64" w14:paraId="15DA0C79" w14:textId="77777777" w:rsidTr="001371BA">
        <w:trPr>
          <w:gridAfter w:val="1"/>
          <w:wAfter w:w="11" w:type="dxa"/>
          <w:trHeight w:val="422"/>
        </w:trPr>
        <w:tc>
          <w:tcPr>
            <w:tcW w:w="4320" w:type="dxa"/>
            <w:gridSpan w:val="2"/>
            <w:tcBorders>
              <w:top w:val="single" w:sz="4" w:space="0" w:color="auto"/>
            </w:tcBorders>
            <w:vAlign w:val="center"/>
          </w:tcPr>
          <w:p w14:paraId="1E8528C9" w14:textId="058C3491"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Lecture-based instruction</w:t>
            </w:r>
          </w:p>
        </w:tc>
        <w:tc>
          <w:tcPr>
            <w:tcW w:w="862" w:type="dxa"/>
            <w:tcBorders>
              <w:top w:val="single" w:sz="4" w:space="0" w:color="auto"/>
            </w:tcBorders>
            <w:vAlign w:val="center"/>
          </w:tcPr>
          <w:p w14:paraId="757A6DD3" w14:textId="3B08835C" w:rsidR="000C7F7D" w:rsidRPr="000C7F7D" w:rsidRDefault="000C7F7D" w:rsidP="000C7F7D">
            <w:pPr>
              <w:jc w:val="center"/>
              <w:rPr>
                <w:rFonts w:ascii="Arial" w:hAnsi="Arial" w:cs="Arial"/>
                <w:sz w:val="20"/>
                <w:szCs w:val="20"/>
              </w:rPr>
            </w:pPr>
            <w:r w:rsidRPr="00477310">
              <w:rPr>
                <w:rFonts w:ascii="Arial" w:hAnsi="Arial" w:cs="Arial"/>
                <w:sz w:val="20"/>
                <w:szCs w:val="20"/>
              </w:rPr>
              <w:t>0.66</w:t>
            </w:r>
          </w:p>
        </w:tc>
        <w:tc>
          <w:tcPr>
            <w:tcW w:w="1019" w:type="dxa"/>
            <w:gridSpan w:val="2"/>
            <w:tcBorders>
              <w:top w:val="single" w:sz="4" w:space="0" w:color="auto"/>
            </w:tcBorders>
            <w:vAlign w:val="center"/>
          </w:tcPr>
          <w:p w14:paraId="74D42A71" w14:textId="46A9B608" w:rsidR="000C7F7D" w:rsidRPr="000C7F7D" w:rsidRDefault="000C7F7D" w:rsidP="000C7F7D">
            <w:pPr>
              <w:jc w:val="center"/>
              <w:rPr>
                <w:rFonts w:ascii="Arial" w:hAnsi="Arial" w:cs="Arial"/>
                <w:sz w:val="20"/>
                <w:szCs w:val="20"/>
              </w:rPr>
            </w:pPr>
            <w:r w:rsidRPr="00477310">
              <w:rPr>
                <w:rFonts w:ascii="Arial" w:hAnsi="Arial" w:cs="Arial"/>
                <w:sz w:val="20"/>
                <w:szCs w:val="20"/>
              </w:rPr>
              <w:t>4.06</w:t>
            </w:r>
          </w:p>
        </w:tc>
        <w:tc>
          <w:tcPr>
            <w:tcW w:w="2245" w:type="dxa"/>
            <w:tcBorders>
              <w:top w:val="single" w:sz="4" w:space="0" w:color="auto"/>
            </w:tcBorders>
            <w:vAlign w:val="center"/>
          </w:tcPr>
          <w:p w14:paraId="0A6D1562" w14:textId="13A44A57"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2549B442" w14:textId="77777777" w:rsidTr="001371BA">
        <w:trPr>
          <w:gridAfter w:val="1"/>
          <w:wAfter w:w="11" w:type="dxa"/>
          <w:trHeight w:val="438"/>
        </w:trPr>
        <w:tc>
          <w:tcPr>
            <w:tcW w:w="4320" w:type="dxa"/>
            <w:gridSpan w:val="2"/>
            <w:vAlign w:val="center"/>
          </w:tcPr>
          <w:p w14:paraId="3520AFA9" w14:textId="33F4E4D5"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Rote memorization and repetition</w:t>
            </w:r>
          </w:p>
        </w:tc>
        <w:tc>
          <w:tcPr>
            <w:tcW w:w="862" w:type="dxa"/>
            <w:vAlign w:val="center"/>
          </w:tcPr>
          <w:p w14:paraId="41FFBD16" w14:textId="5417C0AB" w:rsidR="000C7F7D" w:rsidRPr="000C7F7D" w:rsidRDefault="000C7F7D" w:rsidP="000C7F7D">
            <w:pPr>
              <w:jc w:val="center"/>
              <w:rPr>
                <w:rFonts w:ascii="Arial" w:hAnsi="Arial" w:cs="Arial"/>
                <w:sz w:val="20"/>
                <w:szCs w:val="20"/>
              </w:rPr>
            </w:pPr>
            <w:r w:rsidRPr="00477310">
              <w:rPr>
                <w:rFonts w:ascii="Arial" w:hAnsi="Arial" w:cs="Arial"/>
                <w:sz w:val="20"/>
                <w:szCs w:val="20"/>
              </w:rPr>
              <w:t>0.55</w:t>
            </w:r>
          </w:p>
        </w:tc>
        <w:tc>
          <w:tcPr>
            <w:tcW w:w="1019" w:type="dxa"/>
            <w:gridSpan w:val="2"/>
            <w:vAlign w:val="center"/>
          </w:tcPr>
          <w:p w14:paraId="0B05D4E7" w14:textId="7FCC09E9" w:rsidR="000C7F7D" w:rsidRPr="000C7F7D" w:rsidRDefault="000C7F7D" w:rsidP="000C7F7D">
            <w:pPr>
              <w:jc w:val="center"/>
              <w:rPr>
                <w:rFonts w:ascii="Arial" w:hAnsi="Arial" w:cs="Arial"/>
                <w:sz w:val="20"/>
                <w:szCs w:val="20"/>
              </w:rPr>
            </w:pPr>
            <w:r w:rsidRPr="00477310">
              <w:rPr>
                <w:rFonts w:ascii="Arial" w:hAnsi="Arial" w:cs="Arial"/>
                <w:sz w:val="20"/>
                <w:szCs w:val="20"/>
              </w:rPr>
              <w:t>4.28</w:t>
            </w:r>
          </w:p>
        </w:tc>
        <w:tc>
          <w:tcPr>
            <w:tcW w:w="2245" w:type="dxa"/>
            <w:vAlign w:val="center"/>
          </w:tcPr>
          <w:p w14:paraId="79C56892" w14:textId="4AD2D670" w:rsidR="000C7F7D" w:rsidRPr="000C7F7D" w:rsidRDefault="000C7F7D" w:rsidP="000C7F7D">
            <w:pPr>
              <w:jc w:val="center"/>
              <w:rPr>
                <w:rFonts w:ascii="Arial" w:hAnsi="Arial" w:cs="Arial"/>
                <w:sz w:val="20"/>
                <w:szCs w:val="20"/>
              </w:rPr>
            </w:pPr>
            <w:r w:rsidRPr="00477310">
              <w:rPr>
                <w:rFonts w:ascii="Arial" w:hAnsi="Arial" w:cs="Arial"/>
                <w:sz w:val="20"/>
                <w:szCs w:val="20"/>
              </w:rPr>
              <w:t>Very High</w:t>
            </w:r>
          </w:p>
        </w:tc>
      </w:tr>
      <w:tr w:rsidR="000C7F7D" w:rsidRPr="007E5C64" w14:paraId="53B396A6" w14:textId="77777777" w:rsidTr="001371BA">
        <w:trPr>
          <w:gridAfter w:val="1"/>
          <w:wAfter w:w="11" w:type="dxa"/>
          <w:trHeight w:val="438"/>
        </w:trPr>
        <w:tc>
          <w:tcPr>
            <w:tcW w:w="4320" w:type="dxa"/>
            <w:gridSpan w:val="2"/>
            <w:vAlign w:val="center"/>
          </w:tcPr>
          <w:p w14:paraId="17950E30" w14:textId="6E087ABC"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lastRenderedPageBreak/>
              <w:t>Teacher-centered approach</w:t>
            </w:r>
          </w:p>
        </w:tc>
        <w:tc>
          <w:tcPr>
            <w:tcW w:w="862" w:type="dxa"/>
            <w:vAlign w:val="center"/>
          </w:tcPr>
          <w:p w14:paraId="4C4E027B" w14:textId="42AA226C" w:rsidR="000C7F7D" w:rsidRPr="000C7F7D" w:rsidRDefault="000C7F7D" w:rsidP="000C7F7D">
            <w:pPr>
              <w:jc w:val="center"/>
              <w:rPr>
                <w:rFonts w:ascii="Arial" w:hAnsi="Arial" w:cs="Arial"/>
                <w:sz w:val="20"/>
                <w:szCs w:val="20"/>
              </w:rPr>
            </w:pPr>
            <w:r w:rsidRPr="00477310">
              <w:rPr>
                <w:rFonts w:ascii="Arial" w:hAnsi="Arial" w:cs="Arial"/>
                <w:sz w:val="20"/>
                <w:szCs w:val="20"/>
              </w:rPr>
              <w:t>0.67</w:t>
            </w:r>
          </w:p>
        </w:tc>
        <w:tc>
          <w:tcPr>
            <w:tcW w:w="1019" w:type="dxa"/>
            <w:gridSpan w:val="2"/>
            <w:vAlign w:val="center"/>
          </w:tcPr>
          <w:p w14:paraId="67C2079E" w14:textId="13E5C9FC" w:rsidR="000C7F7D" w:rsidRPr="000C7F7D" w:rsidRDefault="000C7F7D" w:rsidP="000C7F7D">
            <w:pPr>
              <w:jc w:val="center"/>
              <w:rPr>
                <w:rFonts w:ascii="Arial" w:hAnsi="Arial" w:cs="Arial"/>
                <w:sz w:val="20"/>
                <w:szCs w:val="20"/>
              </w:rPr>
            </w:pPr>
            <w:r w:rsidRPr="00477310">
              <w:rPr>
                <w:rFonts w:ascii="Arial" w:hAnsi="Arial" w:cs="Arial"/>
                <w:sz w:val="20"/>
                <w:szCs w:val="20"/>
              </w:rPr>
              <w:t>3.71</w:t>
            </w:r>
          </w:p>
        </w:tc>
        <w:tc>
          <w:tcPr>
            <w:tcW w:w="2245" w:type="dxa"/>
            <w:vAlign w:val="center"/>
          </w:tcPr>
          <w:p w14:paraId="19AB178F" w14:textId="35B1A5CB"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64CBAB2B" w14:textId="77777777" w:rsidTr="001371BA">
        <w:trPr>
          <w:gridAfter w:val="1"/>
          <w:wAfter w:w="11" w:type="dxa"/>
          <w:trHeight w:val="438"/>
        </w:trPr>
        <w:tc>
          <w:tcPr>
            <w:tcW w:w="4320" w:type="dxa"/>
            <w:gridSpan w:val="2"/>
            <w:vAlign w:val="center"/>
          </w:tcPr>
          <w:p w14:paraId="2BA74602" w14:textId="4E1A848C"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Use of standardized textbooks and materials</w:t>
            </w:r>
          </w:p>
        </w:tc>
        <w:tc>
          <w:tcPr>
            <w:tcW w:w="862" w:type="dxa"/>
            <w:vAlign w:val="center"/>
          </w:tcPr>
          <w:p w14:paraId="4B357D30" w14:textId="5D9F932A" w:rsidR="000C7F7D" w:rsidRPr="000C7F7D" w:rsidRDefault="000C7F7D" w:rsidP="000C7F7D">
            <w:pPr>
              <w:jc w:val="center"/>
              <w:rPr>
                <w:rFonts w:ascii="Arial" w:hAnsi="Arial" w:cs="Arial"/>
                <w:sz w:val="20"/>
                <w:szCs w:val="20"/>
              </w:rPr>
            </w:pPr>
            <w:r w:rsidRPr="00477310">
              <w:rPr>
                <w:rFonts w:ascii="Arial" w:hAnsi="Arial" w:cs="Arial"/>
                <w:sz w:val="20"/>
                <w:szCs w:val="20"/>
              </w:rPr>
              <w:t>0.46</w:t>
            </w:r>
          </w:p>
        </w:tc>
        <w:tc>
          <w:tcPr>
            <w:tcW w:w="1019" w:type="dxa"/>
            <w:gridSpan w:val="2"/>
            <w:vAlign w:val="center"/>
          </w:tcPr>
          <w:p w14:paraId="5E1078B2" w14:textId="496554F5" w:rsidR="000C7F7D" w:rsidRPr="000C7F7D" w:rsidRDefault="000C7F7D" w:rsidP="000C7F7D">
            <w:pPr>
              <w:jc w:val="center"/>
              <w:rPr>
                <w:rFonts w:ascii="Arial" w:hAnsi="Arial" w:cs="Arial"/>
                <w:sz w:val="20"/>
                <w:szCs w:val="20"/>
              </w:rPr>
            </w:pPr>
            <w:r w:rsidRPr="00477310">
              <w:rPr>
                <w:rFonts w:ascii="Arial" w:hAnsi="Arial" w:cs="Arial"/>
                <w:sz w:val="20"/>
                <w:szCs w:val="20"/>
              </w:rPr>
              <w:t>3.81</w:t>
            </w:r>
          </w:p>
        </w:tc>
        <w:tc>
          <w:tcPr>
            <w:tcW w:w="2245" w:type="dxa"/>
            <w:vAlign w:val="center"/>
          </w:tcPr>
          <w:p w14:paraId="38F331D6" w14:textId="74692565" w:rsidR="000C7F7D" w:rsidRPr="000C7F7D" w:rsidRDefault="000C7F7D" w:rsidP="000C7F7D">
            <w:pPr>
              <w:jc w:val="center"/>
              <w:rPr>
                <w:rFonts w:ascii="Arial" w:hAnsi="Arial" w:cs="Arial"/>
                <w:sz w:val="20"/>
                <w:szCs w:val="20"/>
              </w:rPr>
            </w:pPr>
            <w:r w:rsidRPr="00477310">
              <w:rPr>
                <w:rFonts w:ascii="Arial" w:hAnsi="Arial" w:cs="Arial"/>
                <w:sz w:val="20"/>
                <w:szCs w:val="20"/>
              </w:rPr>
              <w:t>High</w:t>
            </w:r>
          </w:p>
        </w:tc>
      </w:tr>
      <w:tr w:rsidR="000C7F7D" w:rsidRPr="007E5C64" w14:paraId="3985B10B" w14:textId="77777777" w:rsidTr="001371BA">
        <w:trPr>
          <w:gridAfter w:val="1"/>
          <w:wAfter w:w="11" w:type="dxa"/>
          <w:trHeight w:val="438"/>
        </w:trPr>
        <w:tc>
          <w:tcPr>
            <w:tcW w:w="4320" w:type="dxa"/>
            <w:gridSpan w:val="2"/>
            <w:vAlign w:val="center"/>
          </w:tcPr>
          <w:p w14:paraId="691D3673" w14:textId="41D71B02" w:rsidR="000C7F7D" w:rsidRPr="000C7F7D" w:rsidRDefault="000C7F7D" w:rsidP="000C7F7D">
            <w:pPr>
              <w:widowControl w:val="0"/>
              <w:ind w:left="431"/>
              <w:rPr>
                <w:rFonts w:ascii="Arial" w:hAnsi="Arial" w:cs="Arial"/>
                <w:sz w:val="20"/>
                <w:szCs w:val="20"/>
              </w:rPr>
            </w:pPr>
            <w:r w:rsidRPr="00477310">
              <w:rPr>
                <w:rFonts w:ascii="Arial" w:hAnsi="Arial" w:cs="Arial"/>
                <w:sz w:val="20"/>
                <w:szCs w:val="20"/>
              </w:rPr>
              <w:t>Drill-and-practice exercises</w:t>
            </w:r>
          </w:p>
        </w:tc>
        <w:tc>
          <w:tcPr>
            <w:tcW w:w="862" w:type="dxa"/>
            <w:vAlign w:val="center"/>
          </w:tcPr>
          <w:p w14:paraId="20BED855" w14:textId="0A6321AA" w:rsidR="000C7F7D" w:rsidRPr="000C7F7D" w:rsidRDefault="000C7F7D" w:rsidP="000C7F7D">
            <w:pPr>
              <w:jc w:val="center"/>
              <w:rPr>
                <w:rFonts w:ascii="Arial" w:hAnsi="Arial" w:cs="Arial"/>
                <w:sz w:val="20"/>
                <w:szCs w:val="20"/>
              </w:rPr>
            </w:pPr>
            <w:r w:rsidRPr="00477310">
              <w:rPr>
                <w:rFonts w:ascii="Arial" w:hAnsi="Arial" w:cs="Arial"/>
                <w:sz w:val="20"/>
                <w:szCs w:val="20"/>
              </w:rPr>
              <w:t>0.50</w:t>
            </w:r>
          </w:p>
        </w:tc>
        <w:tc>
          <w:tcPr>
            <w:tcW w:w="1019" w:type="dxa"/>
            <w:gridSpan w:val="2"/>
            <w:vAlign w:val="center"/>
          </w:tcPr>
          <w:p w14:paraId="547E06B3" w14:textId="1BFEAD00" w:rsidR="000C7F7D" w:rsidRPr="000C7F7D" w:rsidRDefault="000C7F7D" w:rsidP="000C7F7D">
            <w:pPr>
              <w:jc w:val="center"/>
              <w:rPr>
                <w:rFonts w:ascii="Arial" w:hAnsi="Arial" w:cs="Arial"/>
                <w:sz w:val="20"/>
                <w:szCs w:val="20"/>
              </w:rPr>
            </w:pPr>
            <w:r w:rsidRPr="00477310">
              <w:rPr>
                <w:rFonts w:ascii="Arial" w:hAnsi="Arial" w:cs="Arial"/>
                <w:sz w:val="20"/>
                <w:szCs w:val="20"/>
              </w:rPr>
              <w:t>4.43</w:t>
            </w:r>
          </w:p>
        </w:tc>
        <w:tc>
          <w:tcPr>
            <w:tcW w:w="2245" w:type="dxa"/>
            <w:vAlign w:val="center"/>
          </w:tcPr>
          <w:p w14:paraId="01D3E85C" w14:textId="68FC47F3" w:rsidR="000C7F7D" w:rsidRPr="000C7F7D" w:rsidRDefault="000C7F7D" w:rsidP="000C7F7D">
            <w:pPr>
              <w:jc w:val="center"/>
              <w:rPr>
                <w:rFonts w:ascii="Arial" w:hAnsi="Arial" w:cs="Arial"/>
                <w:sz w:val="20"/>
                <w:szCs w:val="20"/>
              </w:rPr>
            </w:pPr>
            <w:r w:rsidRPr="00477310">
              <w:rPr>
                <w:rFonts w:ascii="Arial" w:hAnsi="Arial" w:cs="Arial"/>
                <w:sz w:val="20"/>
                <w:szCs w:val="20"/>
              </w:rPr>
              <w:t>Very High</w:t>
            </w:r>
          </w:p>
        </w:tc>
      </w:tr>
      <w:tr w:rsidR="000C7F7D" w:rsidRPr="007E5C64" w14:paraId="5A3D4E46" w14:textId="77777777" w:rsidTr="001371BA">
        <w:trPr>
          <w:trHeight w:val="413"/>
        </w:trPr>
        <w:tc>
          <w:tcPr>
            <w:tcW w:w="4278" w:type="dxa"/>
            <w:vAlign w:val="center"/>
          </w:tcPr>
          <w:p w14:paraId="591D560C" w14:textId="77D7D22A" w:rsidR="000C7F7D" w:rsidRPr="000C7F7D" w:rsidRDefault="000C7F7D" w:rsidP="000C7F7D">
            <w:pPr>
              <w:jc w:val="center"/>
              <w:rPr>
                <w:rFonts w:ascii="Arial" w:eastAsia="Calibri" w:hAnsi="Arial" w:cs="Arial"/>
                <w:b/>
                <w:sz w:val="20"/>
                <w:szCs w:val="20"/>
              </w:rPr>
            </w:pPr>
            <w:r w:rsidRPr="00477310">
              <w:rPr>
                <w:rFonts w:ascii="Arial" w:hAnsi="Arial" w:cs="Arial"/>
                <w:b/>
                <w:bCs/>
                <w:sz w:val="20"/>
                <w:szCs w:val="20"/>
              </w:rPr>
              <w:t>Overall</w:t>
            </w:r>
          </w:p>
        </w:tc>
        <w:tc>
          <w:tcPr>
            <w:tcW w:w="904" w:type="dxa"/>
            <w:gridSpan w:val="2"/>
            <w:vAlign w:val="center"/>
          </w:tcPr>
          <w:p w14:paraId="557AE64C" w14:textId="6A7BA4B7"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0.35</w:t>
            </w:r>
          </w:p>
        </w:tc>
        <w:tc>
          <w:tcPr>
            <w:tcW w:w="1000" w:type="dxa"/>
            <w:vAlign w:val="center"/>
          </w:tcPr>
          <w:p w14:paraId="66E1C693" w14:textId="36933BEE"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4.06</w:t>
            </w:r>
          </w:p>
        </w:tc>
        <w:tc>
          <w:tcPr>
            <w:tcW w:w="2275" w:type="dxa"/>
            <w:gridSpan w:val="3"/>
            <w:vAlign w:val="center"/>
          </w:tcPr>
          <w:p w14:paraId="7E8BF4DA" w14:textId="3F958CDD" w:rsidR="000C7F7D" w:rsidRPr="000C7F7D" w:rsidRDefault="000C7F7D" w:rsidP="000C7F7D">
            <w:pPr>
              <w:jc w:val="center"/>
              <w:rPr>
                <w:rFonts w:ascii="Arial" w:hAnsi="Arial" w:cs="Arial"/>
                <w:b/>
                <w:bCs/>
                <w:sz w:val="20"/>
                <w:szCs w:val="20"/>
              </w:rPr>
            </w:pPr>
            <w:r w:rsidRPr="00477310">
              <w:rPr>
                <w:rFonts w:ascii="Arial" w:hAnsi="Arial" w:cs="Arial"/>
                <w:b/>
                <w:bCs/>
                <w:sz w:val="20"/>
                <w:szCs w:val="20"/>
              </w:rPr>
              <w:t>High</w:t>
            </w:r>
          </w:p>
        </w:tc>
      </w:tr>
    </w:tbl>
    <w:p w14:paraId="20CF6BE0" w14:textId="77777777" w:rsidR="00D453B9" w:rsidRPr="007E5C64" w:rsidRDefault="00D453B9" w:rsidP="003248E3">
      <w:pPr>
        <w:jc w:val="both"/>
        <w:rPr>
          <w:rFonts w:ascii="Arial" w:hAnsi="Arial" w:cs="Arial"/>
          <w:sz w:val="20"/>
          <w:szCs w:val="20"/>
        </w:rPr>
      </w:pPr>
    </w:p>
    <w:p w14:paraId="1A4DBCB7" w14:textId="77777777" w:rsidR="009A447A" w:rsidRPr="009A447A" w:rsidRDefault="009A447A" w:rsidP="009A447A">
      <w:pPr>
        <w:jc w:val="both"/>
        <w:rPr>
          <w:rFonts w:ascii="Arial" w:hAnsi="Arial" w:cs="Arial"/>
          <w:sz w:val="20"/>
          <w:szCs w:val="20"/>
        </w:rPr>
      </w:pPr>
      <w:r w:rsidRPr="009A447A">
        <w:rPr>
          <w:rFonts w:ascii="Arial" w:hAnsi="Arial" w:cs="Arial"/>
          <w:sz w:val="20"/>
          <w:szCs w:val="20"/>
        </w:rPr>
        <w:t>Presented in Table 1 is the summary of the domains in the level of customary instructional techniques among secondary school language teachers. The domains include lecture-based instruction, rote memorization and repetition, teacher-centered approach, use of standardized textbooks and materials, and drill-and-practice exercises. Among these, drill-and-practice exercises received the highest mean of 4.43, interpreted as “very high,” followed by rote memorization and repetition with a mean of 4.28, also described as “very high.” The use of standardized textbooks and materials obtained a mean of 3.81, while lecture-based instruction received a mean of 4.06. Both were categorized as “high.” The teacher-centered approach had the lowest mean of 3.71, but still fell within the “high” descriptive level. The overall mean of 4.06 likewise indicates a “high” level, suggesting that these instructional techniques are frequently practiced by the respondents.</w:t>
      </w:r>
    </w:p>
    <w:p w14:paraId="334D8402" w14:textId="77777777" w:rsidR="009A447A" w:rsidRPr="009A447A" w:rsidRDefault="009A447A" w:rsidP="009A447A">
      <w:pPr>
        <w:jc w:val="both"/>
        <w:rPr>
          <w:rFonts w:ascii="Arial" w:hAnsi="Arial" w:cs="Arial"/>
          <w:sz w:val="20"/>
          <w:szCs w:val="20"/>
        </w:rPr>
      </w:pPr>
    </w:p>
    <w:p w14:paraId="3FCE1E2A" w14:textId="77777777" w:rsidR="009A447A" w:rsidRPr="009A447A" w:rsidRDefault="009A447A" w:rsidP="009A447A">
      <w:pPr>
        <w:jc w:val="both"/>
        <w:rPr>
          <w:rFonts w:ascii="Arial" w:hAnsi="Arial" w:cs="Arial"/>
          <w:sz w:val="20"/>
          <w:szCs w:val="20"/>
        </w:rPr>
      </w:pPr>
      <w:r w:rsidRPr="009A447A">
        <w:rPr>
          <w:rFonts w:ascii="Arial" w:hAnsi="Arial" w:cs="Arial"/>
          <w:sz w:val="20"/>
          <w:szCs w:val="20"/>
        </w:rPr>
        <w:t>The overall standard deviation of 0.35 indicates relatively consistent responses among teachers in their perception of how frequently these techniques are used. This implies a generally uniform instructional approach across the language teachers in the district, where traditional methods remain prevalent. The high usage of drill-and-practice exercises and rote memorization points to a continuing reliance on repetition-based and skills-focused teaching methods, which may be linked to curriculum demands and assessment strategies.</w:t>
      </w:r>
    </w:p>
    <w:p w14:paraId="6167F823" w14:textId="77777777" w:rsidR="009A447A" w:rsidRPr="009A447A" w:rsidRDefault="009A447A" w:rsidP="009A447A">
      <w:pPr>
        <w:jc w:val="both"/>
        <w:rPr>
          <w:rFonts w:ascii="Arial" w:hAnsi="Arial" w:cs="Arial"/>
          <w:sz w:val="20"/>
          <w:szCs w:val="20"/>
        </w:rPr>
      </w:pPr>
    </w:p>
    <w:p w14:paraId="6BEB0603" w14:textId="14F74757" w:rsidR="005923EA" w:rsidRPr="007E5C64" w:rsidRDefault="009A447A" w:rsidP="009A447A">
      <w:pPr>
        <w:jc w:val="both"/>
        <w:rPr>
          <w:rFonts w:ascii="Arial" w:hAnsi="Arial" w:cs="Arial"/>
          <w:sz w:val="20"/>
          <w:szCs w:val="20"/>
        </w:rPr>
      </w:pPr>
      <w:r w:rsidRPr="009A447A">
        <w:rPr>
          <w:rFonts w:ascii="Arial" w:hAnsi="Arial" w:cs="Arial"/>
          <w:sz w:val="20"/>
          <w:szCs w:val="20"/>
        </w:rPr>
        <w:t xml:space="preserve">This finding aligns with the study of </w:t>
      </w:r>
      <w:r w:rsidR="00210B0F" w:rsidRPr="00210B0F">
        <w:rPr>
          <w:rFonts w:ascii="Arial" w:hAnsi="Arial" w:cs="Arial"/>
          <w:sz w:val="20"/>
          <w:szCs w:val="20"/>
        </w:rPr>
        <w:t xml:space="preserve">Yang </w:t>
      </w:r>
      <w:r w:rsidR="00210B0F">
        <w:rPr>
          <w:rFonts w:ascii="Arial" w:hAnsi="Arial" w:cs="Arial"/>
          <w:sz w:val="20"/>
          <w:szCs w:val="20"/>
        </w:rPr>
        <w:t xml:space="preserve">et al. </w:t>
      </w:r>
      <w:r w:rsidRPr="009A447A">
        <w:rPr>
          <w:rFonts w:ascii="Arial" w:hAnsi="Arial" w:cs="Arial"/>
          <w:sz w:val="20"/>
          <w:szCs w:val="20"/>
        </w:rPr>
        <w:t>(</w:t>
      </w:r>
      <w:r w:rsidR="00210B0F">
        <w:rPr>
          <w:rFonts w:ascii="Arial" w:hAnsi="Arial" w:cs="Arial"/>
          <w:sz w:val="20"/>
          <w:szCs w:val="20"/>
        </w:rPr>
        <w:t>2020</w:t>
      </w:r>
      <w:r w:rsidRPr="009A447A">
        <w:rPr>
          <w:rFonts w:ascii="Arial" w:hAnsi="Arial" w:cs="Arial"/>
          <w:sz w:val="20"/>
          <w:szCs w:val="20"/>
        </w:rPr>
        <w:t xml:space="preserve">), who emphasized that structured and repetitive instructional strategies remain dominant in many Asian classrooms due to their perceived effectiveness in reinforcing core competencies. Similarly, </w:t>
      </w:r>
      <w:r w:rsidR="00210B0F" w:rsidRPr="00210B0F">
        <w:rPr>
          <w:rFonts w:ascii="Arial" w:hAnsi="Arial" w:cs="Arial"/>
          <w:sz w:val="20"/>
          <w:szCs w:val="20"/>
        </w:rPr>
        <w:t xml:space="preserve">Paderes </w:t>
      </w:r>
      <w:r w:rsidR="00210B0F">
        <w:rPr>
          <w:rFonts w:ascii="Arial" w:hAnsi="Arial" w:cs="Arial"/>
          <w:sz w:val="20"/>
          <w:szCs w:val="20"/>
        </w:rPr>
        <w:t xml:space="preserve">et al. </w:t>
      </w:r>
      <w:r w:rsidRPr="009A447A">
        <w:rPr>
          <w:rFonts w:ascii="Arial" w:hAnsi="Arial" w:cs="Arial"/>
          <w:sz w:val="20"/>
          <w:szCs w:val="20"/>
        </w:rPr>
        <w:t>(</w:t>
      </w:r>
      <w:r w:rsidR="00210B0F">
        <w:rPr>
          <w:rFonts w:ascii="Arial" w:hAnsi="Arial" w:cs="Arial"/>
          <w:sz w:val="20"/>
          <w:szCs w:val="20"/>
        </w:rPr>
        <w:t>2025</w:t>
      </w:r>
      <w:r w:rsidRPr="009A447A">
        <w:rPr>
          <w:rFonts w:ascii="Arial" w:hAnsi="Arial" w:cs="Arial"/>
          <w:sz w:val="20"/>
          <w:szCs w:val="20"/>
        </w:rPr>
        <w:t xml:space="preserve">) found that teacher-centered methods are still widely adopted in Philippine public schools, particularly in language instruction. Moreover, the study of </w:t>
      </w:r>
      <w:r w:rsidR="00091339" w:rsidRPr="00091339">
        <w:rPr>
          <w:rFonts w:ascii="Arial" w:hAnsi="Arial" w:cs="Arial"/>
          <w:sz w:val="20"/>
          <w:szCs w:val="20"/>
        </w:rPr>
        <w:t xml:space="preserve">Noor </w:t>
      </w:r>
      <w:r w:rsidR="00091339">
        <w:rPr>
          <w:rFonts w:ascii="Arial" w:hAnsi="Arial" w:cs="Arial"/>
          <w:sz w:val="20"/>
          <w:szCs w:val="20"/>
        </w:rPr>
        <w:t xml:space="preserve">et al. </w:t>
      </w:r>
      <w:r w:rsidRPr="009A447A">
        <w:rPr>
          <w:rFonts w:ascii="Arial" w:hAnsi="Arial" w:cs="Arial"/>
          <w:sz w:val="20"/>
          <w:szCs w:val="20"/>
        </w:rPr>
        <w:t>(</w:t>
      </w:r>
      <w:r w:rsidR="00091339">
        <w:rPr>
          <w:rFonts w:ascii="Arial" w:hAnsi="Arial" w:cs="Arial"/>
          <w:sz w:val="20"/>
          <w:szCs w:val="20"/>
        </w:rPr>
        <w:t>2020</w:t>
      </w:r>
      <w:r w:rsidRPr="009A447A">
        <w:rPr>
          <w:rFonts w:ascii="Arial" w:hAnsi="Arial" w:cs="Arial"/>
          <w:sz w:val="20"/>
          <w:szCs w:val="20"/>
        </w:rPr>
        <w:t>) noted that despite progressive reforms, many educators maintain traditional practices due to limited resources and entrenched pedagogical norms.</w:t>
      </w:r>
    </w:p>
    <w:p w14:paraId="68D2CDDA" w14:textId="2D16CF51" w:rsidR="005923EA" w:rsidRPr="007E5C64" w:rsidRDefault="005923EA">
      <w:pPr>
        <w:jc w:val="both"/>
        <w:rPr>
          <w:rFonts w:ascii="Arial" w:hAnsi="Arial" w:cs="Arial"/>
          <w:b/>
          <w:sz w:val="20"/>
          <w:szCs w:val="20"/>
        </w:rPr>
      </w:pPr>
    </w:p>
    <w:p w14:paraId="04DC4014" w14:textId="023DC963" w:rsidR="00E16D4E" w:rsidRPr="007E5C64" w:rsidRDefault="00180859">
      <w:pPr>
        <w:jc w:val="both"/>
        <w:rPr>
          <w:rFonts w:ascii="Arial" w:hAnsi="Arial" w:cs="Arial"/>
          <w:b/>
          <w:sz w:val="20"/>
          <w:szCs w:val="20"/>
        </w:rPr>
      </w:pPr>
      <w:r w:rsidRPr="007E5C64">
        <w:rPr>
          <w:rFonts w:ascii="Arial" w:hAnsi="Arial" w:cs="Arial"/>
          <w:b/>
          <w:sz w:val="20"/>
          <w:szCs w:val="20"/>
        </w:rPr>
        <w:t xml:space="preserve">3.2 </w:t>
      </w:r>
      <w:r w:rsidR="00414F82" w:rsidRPr="00414F82">
        <w:rPr>
          <w:rFonts w:ascii="Arial" w:hAnsi="Arial" w:cs="Arial"/>
          <w:b/>
          <w:sz w:val="20"/>
          <w:szCs w:val="20"/>
        </w:rPr>
        <w:t>Level of Formalized Collective Management among Public Secondary School Language Teachers</w:t>
      </w:r>
    </w:p>
    <w:p w14:paraId="49153FC3" w14:textId="77777777" w:rsidR="00E16D4E" w:rsidRPr="007E5C64" w:rsidRDefault="00E16D4E">
      <w:pPr>
        <w:jc w:val="both"/>
        <w:rPr>
          <w:rFonts w:ascii="Arial" w:hAnsi="Arial" w:cs="Arial"/>
          <w:b/>
          <w:sz w:val="20"/>
          <w:szCs w:val="20"/>
        </w:rPr>
      </w:pPr>
    </w:p>
    <w:p w14:paraId="2745F126" w14:textId="2EBF9DAD" w:rsidR="00781D5E" w:rsidRPr="007E5C64" w:rsidRDefault="00180859">
      <w:pPr>
        <w:jc w:val="both"/>
        <w:rPr>
          <w:rFonts w:ascii="Arial" w:hAnsi="Arial" w:cs="Arial"/>
          <w:i/>
          <w:sz w:val="20"/>
          <w:szCs w:val="20"/>
        </w:rPr>
      </w:pPr>
      <w:r w:rsidRPr="007E5C64">
        <w:rPr>
          <w:rFonts w:ascii="Arial" w:hAnsi="Arial" w:cs="Arial"/>
          <w:iCs/>
          <w:sz w:val="20"/>
          <w:szCs w:val="20"/>
        </w:rPr>
        <w:t>Table 2</w:t>
      </w:r>
      <w:r w:rsidR="00781D5E" w:rsidRPr="007E5C64">
        <w:rPr>
          <w:rFonts w:ascii="Arial" w:hAnsi="Arial" w:cs="Arial"/>
          <w:iCs/>
          <w:sz w:val="20"/>
          <w:szCs w:val="20"/>
        </w:rPr>
        <w:t>.</w:t>
      </w:r>
      <w:r w:rsidRPr="007E5C64">
        <w:rPr>
          <w:rFonts w:ascii="Arial" w:hAnsi="Arial" w:cs="Arial"/>
          <w:iCs/>
          <w:sz w:val="20"/>
          <w:szCs w:val="20"/>
        </w:rPr>
        <w:t xml:space="preserve"> </w:t>
      </w:r>
      <w:r w:rsidR="00414F82" w:rsidRPr="00414F82">
        <w:rPr>
          <w:rFonts w:ascii="Arial" w:hAnsi="Arial" w:cs="Arial"/>
          <w:i/>
          <w:sz w:val="20"/>
          <w:szCs w:val="20"/>
        </w:rPr>
        <w:t>Level of Formalized Collective Management among Public Secondary School Language Teachers</w:t>
      </w:r>
    </w:p>
    <w:p w14:paraId="58C71F5A" w14:textId="4C7965E3" w:rsidR="00A574C3" w:rsidRPr="007E5C64" w:rsidRDefault="00A574C3">
      <w:pPr>
        <w:jc w:val="both"/>
        <w:rPr>
          <w:rFonts w:ascii="Arial" w:hAnsi="Arial" w:cs="Arial"/>
          <w:i/>
          <w:sz w:val="20"/>
          <w:szCs w:val="20"/>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7E5C64"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7E5C64" w:rsidRDefault="00D815DA" w:rsidP="00C8398D">
            <w:pPr>
              <w:jc w:val="center"/>
              <w:rPr>
                <w:rFonts w:ascii="Arial" w:hAnsi="Arial"/>
                <w:b/>
                <w:sz w:val="20"/>
                <w:szCs w:val="20"/>
              </w:rPr>
            </w:pPr>
            <w:r w:rsidRPr="007E5C64">
              <w:rPr>
                <w:rFonts w:ascii="Arial" w:hAnsi="Arial"/>
                <w:b/>
                <w:sz w:val="20"/>
                <w:szCs w:val="20"/>
              </w:rPr>
              <w:t>Domains</w:t>
            </w:r>
          </w:p>
        </w:tc>
        <w:tc>
          <w:tcPr>
            <w:tcW w:w="869" w:type="dxa"/>
            <w:tcBorders>
              <w:bottom w:val="single" w:sz="4" w:space="0" w:color="auto"/>
            </w:tcBorders>
          </w:tcPr>
          <w:p w14:paraId="397A68C1" w14:textId="77777777" w:rsidR="00D815DA" w:rsidRPr="007E5C64" w:rsidRDefault="00D815DA" w:rsidP="00C8398D">
            <w:pPr>
              <w:jc w:val="center"/>
              <w:rPr>
                <w:rFonts w:ascii="Arial" w:hAnsi="Arial"/>
                <w:b/>
                <w:sz w:val="20"/>
                <w:szCs w:val="20"/>
              </w:rPr>
            </w:pPr>
            <w:r w:rsidRPr="007E5C64">
              <w:rPr>
                <w:rFonts w:ascii="Arial" w:hAnsi="Arial"/>
                <w:b/>
                <w:sz w:val="20"/>
                <w:szCs w:val="20"/>
              </w:rPr>
              <w:t>SD</w:t>
            </w:r>
          </w:p>
        </w:tc>
        <w:tc>
          <w:tcPr>
            <w:tcW w:w="1027" w:type="dxa"/>
            <w:gridSpan w:val="2"/>
            <w:tcBorders>
              <w:bottom w:val="single" w:sz="4" w:space="0" w:color="auto"/>
            </w:tcBorders>
          </w:tcPr>
          <w:p w14:paraId="28119226" w14:textId="77777777" w:rsidR="00D815DA" w:rsidRPr="007E5C64" w:rsidRDefault="00D815DA" w:rsidP="00C8398D">
            <w:pPr>
              <w:jc w:val="center"/>
              <w:rPr>
                <w:rFonts w:ascii="Arial" w:hAnsi="Arial"/>
                <w:b/>
                <w:sz w:val="20"/>
                <w:szCs w:val="20"/>
              </w:rPr>
            </w:pPr>
            <w:r w:rsidRPr="007E5C64">
              <w:rPr>
                <w:rFonts w:ascii="Arial" w:hAnsi="Arial"/>
                <w:b/>
                <w:sz w:val="20"/>
                <w:szCs w:val="20"/>
              </w:rPr>
              <w:t>Mean</w:t>
            </w:r>
          </w:p>
        </w:tc>
        <w:tc>
          <w:tcPr>
            <w:tcW w:w="2263" w:type="dxa"/>
            <w:tcBorders>
              <w:bottom w:val="single" w:sz="4" w:space="0" w:color="auto"/>
            </w:tcBorders>
          </w:tcPr>
          <w:p w14:paraId="45209412" w14:textId="77777777" w:rsidR="00D815DA" w:rsidRPr="007E5C64" w:rsidRDefault="00D815DA" w:rsidP="00C8398D">
            <w:pPr>
              <w:jc w:val="center"/>
              <w:rPr>
                <w:rFonts w:ascii="Arial" w:hAnsi="Arial"/>
                <w:b/>
                <w:sz w:val="20"/>
                <w:szCs w:val="20"/>
              </w:rPr>
            </w:pPr>
            <w:r w:rsidRPr="007E5C64">
              <w:rPr>
                <w:rFonts w:ascii="Arial" w:hAnsi="Arial"/>
                <w:b/>
                <w:sz w:val="20"/>
                <w:szCs w:val="20"/>
              </w:rPr>
              <w:t>Descriptive Level</w:t>
            </w:r>
          </w:p>
        </w:tc>
      </w:tr>
      <w:tr w:rsidR="006A4C66" w:rsidRPr="007E5C64" w14:paraId="75E63BE0" w14:textId="77777777" w:rsidTr="00A74B37">
        <w:trPr>
          <w:gridAfter w:val="1"/>
          <w:wAfter w:w="12" w:type="dxa"/>
          <w:trHeight w:val="415"/>
        </w:trPr>
        <w:tc>
          <w:tcPr>
            <w:tcW w:w="4354" w:type="dxa"/>
            <w:gridSpan w:val="2"/>
            <w:tcBorders>
              <w:top w:val="single" w:sz="4" w:space="0" w:color="auto"/>
            </w:tcBorders>
            <w:vAlign w:val="center"/>
          </w:tcPr>
          <w:p w14:paraId="7E392CB8" w14:textId="76C6D46F"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Organizational structure and hierarchy</w:t>
            </w:r>
          </w:p>
        </w:tc>
        <w:tc>
          <w:tcPr>
            <w:tcW w:w="869" w:type="dxa"/>
            <w:tcBorders>
              <w:top w:val="single" w:sz="4" w:space="0" w:color="auto"/>
            </w:tcBorders>
            <w:vAlign w:val="center"/>
          </w:tcPr>
          <w:p w14:paraId="72757B90" w14:textId="122CEAD4" w:rsidR="006A4C66" w:rsidRPr="006A4C66" w:rsidRDefault="006A4C66" w:rsidP="006A4C66">
            <w:pPr>
              <w:jc w:val="center"/>
              <w:rPr>
                <w:rFonts w:ascii="Arial" w:hAnsi="Arial" w:cs="Arial"/>
                <w:sz w:val="20"/>
                <w:szCs w:val="20"/>
              </w:rPr>
            </w:pPr>
            <w:r w:rsidRPr="00477310">
              <w:rPr>
                <w:rFonts w:ascii="Arial" w:hAnsi="Arial" w:cs="Arial"/>
                <w:sz w:val="20"/>
                <w:szCs w:val="20"/>
              </w:rPr>
              <w:t>0.67</w:t>
            </w:r>
          </w:p>
        </w:tc>
        <w:tc>
          <w:tcPr>
            <w:tcW w:w="1027" w:type="dxa"/>
            <w:gridSpan w:val="2"/>
            <w:tcBorders>
              <w:top w:val="single" w:sz="4" w:space="0" w:color="auto"/>
            </w:tcBorders>
            <w:vAlign w:val="center"/>
          </w:tcPr>
          <w:p w14:paraId="201232BC" w14:textId="1AEE84FD" w:rsidR="006A4C66" w:rsidRPr="006A4C66" w:rsidRDefault="006A4C66" w:rsidP="006A4C66">
            <w:pPr>
              <w:jc w:val="center"/>
              <w:rPr>
                <w:rFonts w:ascii="Arial" w:hAnsi="Arial" w:cs="Arial"/>
                <w:sz w:val="20"/>
                <w:szCs w:val="20"/>
              </w:rPr>
            </w:pPr>
            <w:r w:rsidRPr="00477310">
              <w:rPr>
                <w:rFonts w:ascii="Arial" w:hAnsi="Arial" w:cs="Arial"/>
                <w:sz w:val="20"/>
                <w:szCs w:val="20"/>
              </w:rPr>
              <w:t>3.71</w:t>
            </w:r>
          </w:p>
        </w:tc>
        <w:tc>
          <w:tcPr>
            <w:tcW w:w="2263" w:type="dxa"/>
            <w:tcBorders>
              <w:top w:val="single" w:sz="4" w:space="0" w:color="auto"/>
            </w:tcBorders>
            <w:vAlign w:val="center"/>
          </w:tcPr>
          <w:p w14:paraId="75310DAA" w14:textId="38ABB2F5"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72DBC142" w14:textId="77777777" w:rsidTr="00A74B37">
        <w:trPr>
          <w:gridAfter w:val="1"/>
          <w:wAfter w:w="12" w:type="dxa"/>
          <w:trHeight w:val="406"/>
        </w:trPr>
        <w:tc>
          <w:tcPr>
            <w:tcW w:w="4354" w:type="dxa"/>
            <w:gridSpan w:val="2"/>
            <w:vAlign w:val="center"/>
          </w:tcPr>
          <w:p w14:paraId="652365C3" w14:textId="646E7D2B"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Standardized policies and procedures</w:t>
            </w:r>
          </w:p>
        </w:tc>
        <w:tc>
          <w:tcPr>
            <w:tcW w:w="869" w:type="dxa"/>
            <w:vAlign w:val="center"/>
          </w:tcPr>
          <w:p w14:paraId="1A03CACD" w14:textId="00D2A772" w:rsidR="006A4C66" w:rsidRPr="006A4C66" w:rsidRDefault="006A4C66" w:rsidP="006A4C66">
            <w:pPr>
              <w:jc w:val="center"/>
              <w:rPr>
                <w:rFonts w:ascii="Arial" w:hAnsi="Arial" w:cs="Arial"/>
                <w:sz w:val="20"/>
                <w:szCs w:val="20"/>
              </w:rPr>
            </w:pPr>
            <w:r w:rsidRPr="00477310">
              <w:rPr>
                <w:rFonts w:ascii="Arial" w:hAnsi="Arial" w:cs="Arial"/>
                <w:sz w:val="20"/>
                <w:szCs w:val="20"/>
              </w:rPr>
              <w:t>0.54</w:t>
            </w:r>
          </w:p>
        </w:tc>
        <w:tc>
          <w:tcPr>
            <w:tcW w:w="1027" w:type="dxa"/>
            <w:gridSpan w:val="2"/>
            <w:vAlign w:val="center"/>
          </w:tcPr>
          <w:p w14:paraId="1E87CF99" w14:textId="23584F67" w:rsidR="006A4C66" w:rsidRPr="006A4C66" w:rsidRDefault="006A4C66" w:rsidP="006A4C66">
            <w:pPr>
              <w:jc w:val="center"/>
              <w:rPr>
                <w:rFonts w:ascii="Arial" w:hAnsi="Arial" w:cs="Arial"/>
                <w:sz w:val="20"/>
                <w:szCs w:val="20"/>
              </w:rPr>
            </w:pPr>
            <w:r w:rsidRPr="00477310">
              <w:rPr>
                <w:rFonts w:ascii="Arial" w:hAnsi="Arial" w:cs="Arial"/>
                <w:sz w:val="20"/>
                <w:szCs w:val="20"/>
              </w:rPr>
              <w:t>3.75</w:t>
            </w:r>
          </w:p>
        </w:tc>
        <w:tc>
          <w:tcPr>
            <w:tcW w:w="2263" w:type="dxa"/>
            <w:vAlign w:val="center"/>
          </w:tcPr>
          <w:p w14:paraId="5B33F21A" w14:textId="0618088D"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28BCBF44" w14:textId="77777777" w:rsidTr="00A74B37">
        <w:trPr>
          <w:gridAfter w:val="1"/>
          <w:wAfter w:w="12" w:type="dxa"/>
          <w:trHeight w:val="416"/>
        </w:trPr>
        <w:tc>
          <w:tcPr>
            <w:tcW w:w="4354" w:type="dxa"/>
            <w:gridSpan w:val="2"/>
            <w:vAlign w:val="center"/>
          </w:tcPr>
          <w:p w14:paraId="663D10BD" w14:textId="7B32BAD0" w:rsidR="006A4C66" w:rsidRPr="006A4C66" w:rsidRDefault="006A4C66" w:rsidP="006A4C66">
            <w:pPr>
              <w:widowControl w:val="0"/>
              <w:ind w:firstLine="341"/>
              <w:rPr>
                <w:rFonts w:ascii="Arial" w:hAnsi="Arial" w:cs="Arial"/>
                <w:sz w:val="20"/>
                <w:szCs w:val="20"/>
              </w:rPr>
            </w:pPr>
            <w:r w:rsidRPr="00477310">
              <w:rPr>
                <w:rFonts w:ascii="Arial" w:hAnsi="Arial" w:cs="Arial"/>
                <w:sz w:val="20"/>
                <w:szCs w:val="20"/>
              </w:rPr>
              <w:t>Professional development and training</w:t>
            </w:r>
          </w:p>
        </w:tc>
        <w:tc>
          <w:tcPr>
            <w:tcW w:w="869" w:type="dxa"/>
            <w:vAlign w:val="center"/>
          </w:tcPr>
          <w:p w14:paraId="4FB81BF8" w14:textId="7A737454" w:rsidR="006A4C66" w:rsidRPr="006A4C66" w:rsidRDefault="006A4C66" w:rsidP="006A4C66">
            <w:pPr>
              <w:jc w:val="center"/>
              <w:rPr>
                <w:rFonts w:ascii="Arial" w:hAnsi="Arial" w:cs="Arial"/>
                <w:sz w:val="20"/>
                <w:szCs w:val="20"/>
              </w:rPr>
            </w:pPr>
            <w:r w:rsidRPr="00477310">
              <w:rPr>
                <w:rFonts w:ascii="Arial" w:hAnsi="Arial" w:cs="Arial"/>
                <w:sz w:val="20"/>
                <w:szCs w:val="20"/>
              </w:rPr>
              <w:t>0.55</w:t>
            </w:r>
          </w:p>
        </w:tc>
        <w:tc>
          <w:tcPr>
            <w:tcW w:w="1027" w:type="dxa"/>
            <w:gridSpan w:val="2"/>
            <w:vAlign w:val="center"/>
          </w:tcPr>
          <w:p w14:paraId="6515D5DA" w14:textId="2D7D90F5" w:rsidR="006A4C66" w:rsidRPr="006A4C66" w:rsidRDefault="006A4C66" w:rsidP="006A4C66">
            <w:pPr>
              <w:jc w:val="center"/>
              <w:rPr>
                <w:rFonts w:ascii="Arial" w:hAnsi="Arial" w:cs="Arial"/>
                <w:sz w:val="20"/>
                <w:szCs w:val="20"/>
              </w:rPr>
            </w:pPr>
            <w:r w:rsidRPr="00477310">
              <w:rPr>
                <w:rFonts w:ascii="Arial" w:hAnsi="Arial" w:cs="Arial"/>
                <w:sz w:val="20"/>
                <w:szCs w:val="20"/>
              </w:rPr>
              <w:t>3.74</w:t>
            </w:r>
          </w:p>
        </w:tc>
        <w:tc>
          <w:tcPr>
            <w:tcW w:w="2263" w:type="dxa"/>
            <w:vAlign w:val="center"/>
          </w:tcPr>
          <w:p w14:paraId="11BA0775" w14:textId="2ED419EA" w:rsidR="006A4C66" w:rsidRPr="006A4C66" w:rsidRDefault="006A4C66" w:rsidP="006A4C66">
            <w:pPr>
              <w:jc w:val="center"/>
              <w:rPr>
                <w:rFonts w:ascii="Arial" w:hAnsi="Arial" w:cs="Arial"/>
                <w:sz w:val="20"/>
                <w:szCs w:val="20"/>
              </w:rPr>
            </w:pPr>
            <w:r w:rsidRPr="00477310">
              <w:rPr>
                <w:rFonts w:ascii="Arial" w:hAnsi="Arial" w:cs="Arial"/>
                <w:sz w:val="20"/>
                <w:szCs w:val="20"/>
              </w:rPr>
              <w:t>High</w:t>
            </w:r>
          </w:p>
        </w:tc>
      </w:tr>
      <w:tr w:rsidR="006A4C66" w:rsidRPr="007E5C64" w14:paraId="6B4267CB" w14:textId="77777777" w:rsidTr="00A74B37">
        <w:trPr>
          <w:trHeight w:val="305"/>
        </w:trPr>
        <w:tc>
          <w:tcPr>
            <w:tcW w:w="4312" w:type="dxa"/>
            <w:vAlign w:val="center"/>
          </w:tcPr>
          <w:p w14:paraId="6C024A2C" w14:textId="187F2E54" w:rsidR="006A4C66" w:rsidRPr="006A4C66" w:rsidRDefault="006A4C66" w:rsidP="006A4C66">
            <w:pPr>
              <w:rPr>
                <w:rFonts w:ascii="Arial" w:eastAsia="Calibri" w:hAnsi="Arial" w:cs="Arial"/>
                <w:b/>
                <w:bCs/>
                <w:sz w:val="20"/>
                <w:szCs w:val="20"/>
              </w:rPr>
            </w:pPr>
            <w:r w:rsidRPr="00477310">
              <w:rPr>
                <w:rFonts w:ascii="Arial" w:hAnsi="Arial" w:cs="Arial"/>
                <w:b/>
                <w:bCs/>
                <w:sz w:val="20"/>
                <w:szCs w:val="20"/>
              </w:rPr>
              <w:t>Overall</w:t>
            </w:r>
          </w:p>
        </w:tc>
        <w:tc>
          <w:tcPr>
            <w:tcW w:w="911" w:type="dxa"/>
            <w:gridSpan w:val="2"/>
            <w:vAlign w:val="center"/>
          </w:tcPr>
          <w:p w14:paraId="2EE47C36" w14:textId="28AA5232"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0.49</w:t>
            </w:r>
          </w:p>
        </w:tc>
        <w:tc>
          <w:tcPr>
            <w:tcW w:w="1008" w:type="dxa"/>
            <w:vAlign w:val="center"/>
          </w:tcPr>
          <w:p w14:paraId="0E7DF1C5" w14:textId="4D6418F6"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3.73</w:t>
            </w:r>
          </w:p>
        </w:tc>
        <w:tc>
          <w:tcPr>
            <w:tcW w:w="2294" w:type="dxa"/>
            <w:gridSpan w:val="3"/>
            <w:vAlign w:val="center"/>
          </w:tcPr>
          <w:p w14:paraId="10B0D75B" w14:textId="70776096" w:rsidR="006A4C66" w:rsidRPr="006A4C66" w:rsidRDefault="006A4C66" w:rsidP="006A4C66">
            <w:pPr>
              <w:jc w:val="center"/>
              <w:rPr>
                <w:rFonts w:ascii="Arial" w:hAnsi="Arial" w:cs="Arial"/>
                <w:b/>
                <w:bCs/>
                <w:sz w:val="20"/>
                <w:szCs w:val="20"/>
              </w:rPr>
            </w:pPr>
            <w:r w:rsidRPr="00477310">
              <w:rPr>
                <w:rFonts w:ascii="Arial" w:hAnsi="Arial" w:cs="Arial"/>
                <w:b/>
                <w:bCs/>
                <w:sz w:val="20"/>
                <w:szCs w:val="20"/>
              </w:rPr>
              <w:t>High</w:t>
            </w:r>
          </w:p>
        </w:tc>
      </w:tr>
    </w:tbl>
    <w:p w14:paraId="684686C3" w14:textId="77777777" w:rsidR="00A574C3" w:rsidRPr="007E5C64" w:rsidRDefault="00A574C3">
      <w:pPr>
        <w:jc w:val="both"/>
        <w:rPr>
          <w:rFonts w:ascii="Arial" w:hAnsi="Arial" w:cs="Arial"/>
          <w:b/>
          <w:iCs/>
          <w:sz w:val="20"/>
          <w:szCs w:val="20"/>
        </w:rPr>
      </w:pPr>
    </w:p>
    <w:p w14:paraId="21ED3F61" w14:textId="47C96E25" w:rsidR="0073677C" w:rsidRPr="007E5C64" w:rsidRDefault="0073677C" w:rsidP="0073677C">
      <w:pPr>
        <w:jc w:val="both"/>
        <w:rPr>
          <w:rFonts w:ascii="Arial" w:hAnsi="Arial" w:cs="Arial"/>
          <w:sz w:val="20"/>
          <w:szCs w:val="20"/>
        </w:rPr>
      </w:pPr>
    </w:p>
    <w:p w14:paraId="2FBF915C" w14:textId="77777777" w:rsidR="006A4C66" w:rsidRPr="006A4C66" w:rsidRDefault="006A4C66" w:rsidP="006A4C66">
      <w:pPr>
        <w:jc w:val="both"/>
        <w:rPr>
          <w:rFonts w:ascii="Arial" w:hAnsi="Arial" w:cs="Arial"/>
          <w:sz w:val="20"/>
          <w:szCs w:val="20"/>
        </w:rPr>
      </w:pPr>
      <w:r w:rsidRPr="006A4C66">
        <w:rPr>
          <w:rFonts w:ascii="Arial" w:hAnsi="Arial" w:cs="Arial"/>
          <w:sz w:val="20"/>
          <w:szCs w:val="20"/>
        </w:rPr>
        <w:lastRenderedPageBreak/>
        <w:t>Presented in Table 2 is the summary of the domains in the level of formalized collective management among public secondary school language teachers, which include organizational structure and hierarchy, standardized policies and procedures, and professional development and training. Among these, standardized policies and procedures obtained the highest mean of 3.75, followed closely by professional development and training with a mean of 3.74. The domain on organizational structure and hierarchy received the lowest mean of 3.71, but all domains were consistently rated as “high” by the respondents. The overall mean of 3.73 also falls under the “high” descriptive level, indicating that formalized collective management is generally evident in the schools covered by the study.</w:t>
      </w:r>
    </w:p>
    <w:p w14:paraId="63384984" w14:textId="77777777" w:rsidR="006A4C66" w:rsidRPr="006A4C66" w:rsidRDefault="006A4C66" w:rsidP="006A4C66">
      <w:pPr>
        <w:jc w:val="both"/>
        <w:rPr>
          <w:rFonts w:ascii="Arial" w:hAnsi="Arial" w:cs="Arial"/>
          <w:sz w:val="20"/>
          <w:szCs w:val="20"/>
        </w:rPr>
      </w:pPr>
    </w:p>
    <w:p w14:paraId="016937A8" w14:textId="77777777" w:rsidR="006A4C66" w:rsidRPr="006A4C66" w:rsidRDefault="006A4C66" w:rsidP="006A4C66">
      <w:pPr>
        <w:jc w:val="both"/>
        <w:rPr>
          <w:rFonts w:ascii="Arial" w:hAnsi="Arial" w:cs="Arial"/>
          <w:sz w:val="20"/>
          <w:szCs w:val="20"/>
        </w:rPr>
      </w:pPr>
      <w:r w:rsidRPr="006A4C66">
        <w:rPr>
          <w:rFonts w:ascii="Arial" w:hAnsi="Arial" w:cs="Arial"/>
          <w:sz w:val="20"/>
          <w:szCs w:val="20"/>
        </w:rPr>
        <w:t>The overall standard deviation of 0.49 reflects a moderate level of agreement among respondents, suggesting some variability in how formalized collective management is implemented across different schools. Nevertheless, the consistent “high” ratings across all domains highlight the presence of structured organizational systems, adherence to policy guidelines, and opportunities for professional learning. These elements reflect the institutional efforts to standardize management processes and promote collective teacher involvement.</w:t>
      </w:r>
    </w:p>
    <w:p w14:paraId="3C88CE52" w14:textId="77777777" w:rsidR="006A4C66" w:rsidRPr="006A4C66" w:rsidRDefault="006A4C66" w:rsidP="006A4C66">
      <w:pPr>
        <w:jc w:val="both"/>
        <w:rPr>
          <w:rFonts w:ascii="Arial" w:hAnsi="Arial" w:cs="Arial"/>
          <w:sz w:val="20"/>
          <w:szCs w:val="20"/>
        </w:rPr>
      </w:pPr>
    </w:p>
    <w:p w14:paraId="5591BBD8" w14:textId="3C8540C4" w:rsidR="00D815DA" w:rsidRPr="007E5C64" w:rsidRDefault="006A4C66" w:rsidP="006A4C66">
      <w:pPr>
        <w:jc w:val="both"/>
        <w:rPr>
          <w:rFonts w:ascii="Arial" w:hAnsi="Arial" w:cs="Arial"/>
          <w:sz w:val="20"/>
          <w:szCs w:val="20"/>
        </w:rPr>
      </w:pPr>
      <w:r w:rsidRPr="006A4C66">
        <w:rPr>
          <w:rFonts w:ascii="Arial" w:hAnsi="Arial" w:cs="Arial"/>
          <w:sz w:val="20"/>
          <w:szCs w:val="20"/>
        </w:rPr>
        <w:t xml:space="preserve">These findings are consistent with the study of </w:t>
      </w:r>
      <w:r w:rsidR="006565F2" w:rsidRPr="006565F2">
        <w:rPr>
          <w:rFonts w:ascii="Arial" w:hAnsi="Arial" w:cs="Arial"/>
          <w:sz w:val="20"/>
          <w:szCs w:val="20"/>
        </w:rPr>
        <w:t xml:space="preserve">Margolis </w:t>
      </w:r>
      <w:r w:rsidRPr="006A4C66">
        <w:rPr>
          <w:rFonts w:ascii="Arial" w:hAnsi="Arial" w:cs="Arial"/>
          <w:sz w:val="20"/>
          <w:szCs w:val="20"/>
        </w:rPr>
        <w:t xml:space="preserve">(2020), who reported that public secondary schools in the Philippines are increasingly adopting formal structures to improve collaborative decision-making and organizational efficiency. Likewise, </w:t>
      </w:r>
      <w:proofErr w:type="spellStart"/>
      <w:r w:rsidR="006565F2" w:rsidRPr="006565F2">
        <w:rPr>
          <w:rFonts w:ascii="Arial" w:hAnsi="Arial" w:cs="Arial"/>
          <w:sz w:val="20"/>
          <w:szCs w:val="20"/>
        </w:rPr>
        <w:t>Meirink</w:t>
      </w:r>
      <w:proofErr w:type="spellEnd"/>
      <w:r w:rsidR="006565F2" w:rsidRPr="006565F2">
        <w:rPr>
          <w:rFonts w:ascii="Arial" w:hAnsi="Arial" w:cs="Arial"/>
          <w:sz w:val="20"/>
          <w:szCs w:val="20"/>
        </w:rPr>
        <w:t xml:space="preserve"> </w:t>
      </w:r>
      <w:r w:rsidRPr="006A4C66">
        <w:rPr>
          <w:rFonts w:ascii="Arial" w:hAnsi="Arial" w:cs="Arial"/>
          <w:sz w:val="20"/>
          <w:szCs w:val="20"/>
        </w:rPr>
        <w:t>et al. (</w:t>
      </w:r>
      <w:r w:rsidR="006565F2">
        <w:rPr>
          <w:rFonts w:ascii="Arial" w:hAnsi="Arial" w:cs="Arial"/>
          <w:sz w:val="20"/>
          <w:szCs w:val="20"/>
        </w:rPr>
        <w:t>2023</w:t>
      </w:r>
      <w:r w:rsidRPr="006A4C66">
        <w:rPr>
          <w:rFonts w:ascii="Arial" w:hAnsi="Arial" w:cs="Arial"/>
          <w:sz w:val="20"/>
          <w:szCs w:val="20"/>
        </w:rPr>
        <w:t xml:space="preserve">) emphasized that clear hierarchies and standardized procedures enhance communication and accountability within school systems. Furthermore, </w:t>
      </w:r>
      <w:r w:rsidR="006565F2" w:rsidRPr="006565F2">
        <w:rPr>
          <w:rFonts w:ascii="Arial" w:hAnsi="Arial" w:cs="Arial"/>
          <w:sz w:val="20"/>
          <w:szCs w:val="20"/>
        </w:rPr>
        <w:t xml:space="preserve">Passarelli </w:t>
      </w:r>
      <w:r w:rsidRPr="006A4C66">
        <w:rPr>
          <w:rFonts w:ascii="Arial" w:hAnsi="Arial" w:cs="Arial"/>
          <w:sz w:val="20"/>
          <w:szCs w:val="20"/>
        </w:rPr>
        <w:t>(</w:t>
      </w:r>
      <w:r w:rsidR="006565F2">
        <w:rPr>
          <w:rFonts w:ascii="Arial" w:hAnsi="Arial" w:cs="Arial"/>
          <w:sz w:val="20"/>
          <w:szCs w:val="20"/>
        </w:rPr>
        <w:t>2023</w:t>
      </w:r>
      <w:r w:rsidRPr="006A4C66">
        <w:rPr>
          <w:rFonts w:ascii="Arial" w:hAnsi="Arial" w:cs="Arial"/>
          <w:sz w:val="20"/>
          <w:szCs w:val="20"/>
        </w:rPr>
        <w:t>) found that professional development programs play a crucial role in reinforcing collective practices and sustaining shared leadership among teachers.</w:t>
      </w:r>
    </w:p>
    <w:p w14:paraId="5759009B" w14:textId="10FB9871" w:rsidR="00D815DA" w:rsidRPr="007E5C64" w:rsidRDefault="00D815DA" w:rsidP="00D815DA">
      <w:pPr>
        <w:jc w:val="both"/>
        <w:rPr>
          <w:rFonts w:ascii="Arial" w:hAnsi="Arial" w:cs="Arial"/>
          <w:sz w:val="20"/>
          <w:szCs w:val="20"/>
        </w:rPr>
      </w:pPr>
    </w:p>
    <w:p w14:paraId="1F13EE89" w14:textId="77777777" w:rsidR="00D815DA" w:rsidRPr="007E5C64" w:rsidRDefault="00D815DA" w:rsidP="00D815DA">
      <w:pPr>
        <w:jc w:val="both"/>
        <w:rPr>
          <w:rFonts w:ascii="Arial" w:hAnsi="Arial" w:cs="Arial"/>
          <w:sz w:val="20"/>
          <w:szCs w:val="20"/>
        </w:rPr>
      </w:pPr>
    </w:p>
    <w:p w14:paraId="30567870" w14:textId="682BA1C4" w:rsidR="00D815DA" w:rsidRDefault="00781D5E" w:rsidP="00F600DB">
      <w:pPr>
        <w:jc w:val="both"/>
        <w:rPr>
          <w:rFonts w:ascii="Arial" w:hAnsi="Arial" w:cs="Arial"/>
          <w:b/>
          <w:bCs/>
          <w:iCs/>
          <w:sz w:val="20"/>
          <w:szCs w:val="20"/>
        </w:rPr>
      </w:pPr>
      <w:r w:rsidRPr="007E5C64">
        <w:rPr>
          <w:rFonts w:ascii="Arial" w:hAnsi="Arial" w:cs="Arial"/>
          <w:b/>
          <w:bCs/>
          <w:iCs/>
          <w:sz w:val="20"/>
          <w:szCs w:val="20"/>
        </w:rPr>
        <w:t xml:space="preserve">3.3 </w:t>
      </w:r>
      <w:r w:rsidR="001F5175" w:rsidRPr="001F5175">
        <w:rPr>
          <w:rFonts w:ascii="Arial" w:hAnsi="Arial" w:cs="Arial"/>
          <w:b/>
          <w:bCs/>
          <w:iCs/>
          <w:sz w:val="20"/>
          <w:szCs w:val="20"/>
        </w:rPr>
        <w:t>Significant Relationship between Customary Instructional Techniques and Formalized Collective Management of Teachers in Public Secondary Schools</w:t>
      </w:r>
    </w:p>
    <w:p w14:paraId="02CFFC94" w14:textId="77777777" w:rsidR="00C548AC" w:rsidRPr="007E5C64" w:rsidRDefault="00C548AC" w:rsidP="00F600DB">
      <w:pPr>
        <w:jc w:val="both"/>
        <w:rPr>
          <w:rFonts w:ascii="Arial" w:hAnsi="Arial" w:cs="Arial"/>
          <w:iCs/>
          <w:sz w:val="20"/>
          <w:szCs w:val="20"/>
        </w:rPr>
      </w:pPr>
    </w:p>
    <w:p w14:paraId="3E38AC03" w14:textId="2D88BE8C" w:rsidR="00D815DA" w:rsidRPr="007E5C64" w:rsidRDefault="00180859" w:rsidP="00F927B2">
      <w:pPr>
        <w:jc w:val="both"/>
        <w:rPr>
          <w:rFonts w:ascii="Arial" w:hAnsi="Arial" w:cs="Arial"/>
          <w:i/>
          <w:sz w:val="20"/>
          <w:szCs w:val="20"/>
        </w:rPr>
      </w:pPr>
      <w:r w:rsidRPr="007E5C64">
        <w:rPr>
          <w:rFonts w:ascii="Arial" w:hAnsi="Arial" w:cs="Arial"/>
          <w:iCs/>
          <w:sz w:val="20"/>
          <w:szCs w:val="20"/>
        </w:rPr>
        <w:t>Table 3</w:t>
      </w:r>
      <w:r w:rsidR="00781D5E" w:rsidRPr="007E5C64">
        <w:rPr>
          <w:rFonts w:ascii="Arial" w:hAnsi="Arial" w:cs="Arial"/>
          <w:iCs/>
          <w:sz w:val="20"/>
          <w:szCs w:val="20"/>
        </w:rPr>
        <w:t>.</w:t>
      </w:r>
      <w:r w:rsidRPr="007E5C64">
        <w:rPr>
          <w:rFonts w:ascii="Arial" w:hAnsi="Arial" w:cs="Arial"/>
          <w:iCs/>
          <w:sz w:val="20"/>
          <w:szCs w:val="20"/>
        </w:rPr>
        <w:t xml:space="preserve">  </w:t>
      </w:r>
      <w:r w:rsidR="0062010D" w:rsidRPr="0062010D">
        <w:rPr>
          <w:rFonts w:ascii="Arial" w:hAnsi="Arial" w:cs="Arial"/>
          <w:i/>
          <w:sz w:val="20"/>
          <w:szCs w:val="20"/>
        </w:rPr>
        <w:t>Significant Relationship between Customary Instructional Techniques and Formalized Collective Management of Teachers in Public Secondary Schools</w:t>
      </w:r>
    </w:p>
    <w:p w14:paraId="3580D37C" w14:textId="77777777" w:rsidR="00017E5D" w:rsidRPr="007E5C64"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45"/>
        <w:gridCol w:w="735"/>
        <w:gridCol w:w="735"/>
        <w:gridCol w:w="735"/>
        <w:gridCol w:w="1586"/>
        <w:gridCol w:w="846"/>
        <w:gridCol w:w="1167"/>
      </w:tblGrid>
      <w:tr w:rsidR="00D815DA" w:rsidRPr="007E5C64" w14:paraId="3A18DD2E" w14:textId="77777777" w:rsidTr="008D0509">
        <w:trPr>
          <w:trHeight w:val="790"/>
        </w:trPr>
        <w:tc>
          <w:tcPr>
            <w:tcW w:w="1559" w:type="dxa"/>
            <w:tcBorders>
              <w:top w:val="single" w:sz="4" w:space="0" w:color="auto"/>
              <w:bottom w:val="single" w:sz="4" w:space="0" w:color="auto"/>
            </w:tcBorders>
          </w:tcPr>
          <w:p w14:paraId="7CD69310"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Variables</w:t>
            </w:r>
          </w:p>
        </w:tc>
        <w:tc>
          <w:tcPr>
            <w:tcW w:w="845" w:type="dxa"/>
            <w:tcBorders>
              <w:top w:val="single" w:sz="4" w:space="0" w:color="auto"/>
              <w:bottom w:val="single" w:sz="4" w:space="0" w:color="auto"/>
            </w:tcBorders>
          </w:tcPr>
          <w:p w14:paraId="4ED4CFDD"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Mean</w:t>
            </w:r>
          </w:p>
        </w:tc>
        <w:tc>
          <w:tcPr>
            <w:tcW w:w="735" w:type="dxa"/>
            <w:tcBorders>
              <w:top w:val="single" w:sz="4" w:space="0" w:color="auto"/>
              <w:bottom w:val="single" w:sz="4" w:space="0" w:color="auto"/>
            </w:tcBorders>
          </w:tcPr>
          <w:p w14:paraId="55371F49"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SD</w:t>
            </w:r>
          </w:p>
        </w:tc>
        <w:tc>
          <w:tcPr>
            <w:tcW w:w="735" w:type="dxa"/>
            <w:tcBorders>
              <w:top w:val="single" w:sz="4" w:space="0" w:color="auto"/>
              <w:bottom w:val="single" w:sz="4" w:space="0" w:color="auto"/>
            </w:tcBorders>
          </w:tcPr>
          <w:p w14:paraId="3EB810BB"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R</w:t>
            </w:r>
          </w:p>
        </w:tc>
        <w:tc>
          <w:tcPr>
            <w:tcW w:w="735" w:type="dxa"/>
            <w:tcBorders>
              <w:top w:val="single" w:sz="4" w:space="0" w:color="auto"/>
              <w:bottom w:val="single" w:sz="4" w:space="0" w:color="auto"/>
            </w:tcBorders>
          </w:tcPr>
          <w:p w14:paraId="1C389331" w14:textId="14AA575E" w:rsidR="00D815DA" w:rsidRPr="007E5C64" w:rsidRDefault="00D815DA" w:rsidP="00D815DA">
            <w:pPr>
              <w:shd w:val="clear" w:color="auto" w:fill="FFFFFF"/>
              <w:spacing w:after="120"/>
              <w:jc w:val="center"/>
              <w:outlineLvl w:val="0"/>
              <w:rPr>
                <w:rFonts w:ascii="Arial" w:hAnsi="Arial"/>
                <w:b/>
                <w:bCs/>
                <w:kern w:val="36"/>
                <w:sz w:val="20"/>
                <w:szCs w:val="20"/>
              </w:rPr>
            </w:pPr>
            <w:r w:rsidRPr="007E5C64">
              <w:rPr>
                <w:rFonts w:ascii="Arial" w:hAnsi="Arial"/>
                <w:b/>
                <w:bCs/>
                <w:kern w:val="36"/>
                <w:sz w:val="20"/>
                <w:szCs w:val="20"/>
              </w:rPr>
              <w:t>R²</w:t>
            </w:r>
          </w:p>
        </w:tc>
        <w:tc>
          <w:tcPr>
            <w:tcW w:w="1586" w:type="dxa"/>
            <w:tcBorders>
              <w:top w:val="single" w:sz="4" w:space="0" w:color="auto"/>
              <w:bottom w:val="single" w:sz="4" w:space="0" w:color="auto"/>
            </w:tcBorders>
          </w:tcPr>
          <w:p w14:paraId="41737786"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Degree of Relationship</w:t>
            </w:r>
          </w:p>
        </w:tc>
        <w:tc>
          <w:tcPr>
            <w:tcW w:w="846" w:type="dxa"/>
            <w:tcBorders>
              <w:top w:val="single" w:sz="4" w:space="0" w:color="auto"/>
              <w:bottom w:val="single" w:sz="4" w:space="0" w:color="auto"/>
            </w:tcBorders>
          </w:tcPr>
          <w:p w14:paraId="05BD166A"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p-value</w:t>
            </w:r>
          </w:p>
        </w:tc>
        <w:tc>
          <w:tcPr>
            <w:tcW w:w="1167" w:type="dxa"/>
            <w:tcBorders>
              <w:top w:val="single" w:sz="4" w:space="0" w:color="auto"/>
              <w:bottom w:val="single" w:sz="4" w:space="0" w:color="auto"/>
            </w:tcBorders>
          </w:tcPr>
          <w:p w14:paraId="4211A5F7" w14:textId="77777777" w:rsidR="00D815DA" w:rsidRPr="007E5C64" w:rsidRDefault="00D815DA" w:rsidP="00C8398D">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Decision</w:t>
            </w:r>
          </w:p>
        </w:tc>
      </w:tr>
      <w:tr w:rsidR="00684AAB" w:rsidRPr="007E5C64" w14:paraId="50E32557" w14:textId="77777777" w:rsidTr="00CA3180">
        <w:trPr>
          <w:trHeight w:val="967"/>
        </w:trPr>
        <w:tc>
          <w:tcPr>
            <w:tcW w:w="1559" w:type="dxa"/>
            <w:tcBorders>
              <w:top w:val="single" w:sz="4" w:space="0" w:color="auto"/>
            </w:tcBorders>
          </w:tcPr>
          <w:p w14:paraId="66EA0F7E" w14:textId="5781432E"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bCs/>
                <w:iCs/>
                <w:sz w:val="20"/>
                <w:szCs w:val="20"/>
              </w:rPr>
              <w:t>Customary Instructional Techniques</w:t>
            </w:r>
          </w:p>
        </w:tc>
        <w:tc>
          <w:tcPr>
            <w:tcW w:w="845" w:type="dxa"/>
            <w:tcBorders>
              <w:top w:val="single" w:sz="4" w:space="0" w:color="auto"/>
            </w:tcBorders>
          </w:tcPr>
          <w:p w14:paraId="3C613030" w14:textId="01ACDA6C"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4.06</w:t>
            </w:r>
          </w:p>
        </w:tc>
        <w:tc>
          <w:tcPr>
            <w:tcW w:w="735" w:type="dxa"/>
            <w:tcBorders>
              <w:top w:val="single" w:sz="4" w:space="0" w:color="auto"/>
            </w:tcBorders>
          </w:tcPr>
          <w:p w14:paraId="77826BFD" w14:textId="50DB874D"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0.35</w:t>
            </w:r>
          </w:p>
        </w:tc>
        <w:tc>
          <w:tcPr>
            <w:tcW w:w="735" w:type="dxa"/>
            <w:tcBorders>
              <w:top w:val="single" w:sz="4" w:space="0" w:color="auto"/>
            </w:tcBorders>
          </w:tcPr>
          <w:p w14:paraId="6175BED8"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Borders>
              <w:top w:val="single" w:sz="4" w:space="0" w:color="auto"/>
            </w:tcBorders>
          </w:tcPr>
          <w:p w14:paraId="7D276112"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586" w:type="dxa"/>
            <w:tcBorders>
              <w:top w:val="single" w:sz="4" w:space="0" w:color="auto"/>
            </w:tcBorders>
          </w:tcPr>
          <w:p w14:paraId="6AC3F25D"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846" w:type="dxa"/>
            <w:tcBorders>
              <w:top w:val="single" w:sz="4" w:space="0" w:color="auto"/>
            </w:tcBorders>
          </w:tcPr>
          <w:p w14:paraId="7A35B951"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167" w:type="dxa"/>
            <w:tcBorders>
              <w:top w:val="single" w:sz="4" w:space="0" w:color="auto"/>
            </w:tcBorders>
          </w:tcPr>
          <w:p w14:paraId="7A1348F7"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r>
      <w:tr w:rsidR="00684AAB" w:rsidRPr="007E5C64" w14:paraId="61744C56" w14:textId="77777777" w:rsidTr="00CA3180">
        <w:trPr>
          <w:trHeight w:val="652"/>
        </w:trPr>
        <w:tc>
          <w:tcPr>
            <w:tcW w:w="1559" w:type="dxa"/>
          </w:tcPr>
          <w:p w14:paraId="351C4CF4" w14:textId="77777777" w:rsidR="00684AAB" w:rsidRPr="00684AAB" w:rsidRDefault="00684AAB" w:rsidP="00684AAB">
            <w:pPr>
              <w:widowControl w:val="0"/>
              <w:autoSpaceDE w:val="0"/>
              <w:autoSpaceDN w:val="0"/>
              <w:jc w:val="center"/>
              <w:rPr>
                <w:rFonts w:ascii="Arial" w:eastAsia="Arial" w:hAnsi="Arial" w:cs="Arial"/>
                <w:sz w:val="20"/>
                <w:szCs w:val="20"/>
              </w:rPr>
            </w:pPr>
          </w:p>
        </w:tc>
        <w:tc>
          <w:tcPr>
            <w:tcW w:w="845" w:type="dxa"/>
          </w:tcPr>
          <w:p w14:paraId="19C0F805"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1AF7A751"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29DA9D8D" w14:textId="5A9C6967"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0.734</w:t>
            </w:r>
          </w:p>
        </w:tc>
        <w:tc>
          <w:tcPr>
            <w:tcW w:w="735" w:type="dxa"/>
          </w:tcPr>
          <w:p w14:paraId="42DAFCDE" w14:textId="2143B513"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0.538</w:t>
            </w:r>
          </w:p>
        </w:tc>
        <w:tc>
          <w:tcPr>
            <w:tcW w:w="1586" w:type="dxa"/>
          </w:tcPr>
          <w:p w14:paraId="6623B7E6" w14:textId="68192874"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High</w:t>
            </w:r>
          </w:p>
        </w:tc>
        <w:tc>
          <w:tcPr>
            <w:tcW w:w="846" w:type="dxa"/>
          </w:tcPr>
          <w:p w14:paraId="0352D7F0" w14:textId="1D5CCAA0"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0.000</w:t>
            </w:r>
          </w:p>
        </w:tc>
        <w:tc>
          <w:tcPr>
            <w:tcW w:w="1167" w:type="dxa"/>
          </w:tcPr>
          <w:p w14:paraId="1C32BC73" w14:textId="32AAA45F"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sz w:val="20"/>
                <w:szCs w:val="20"/>
              </w:rPr>
              <w:t>Reject Ho1</w:t>
            </w:r>
          </w:p>
        </w:tc>
      </w:tr>
      <w:tr w:rsidR="00684AAB" w:rsidRPr="007E5C64" w14:paraId="670EDBF1" w14:textId="77777777" w:rsidTr="00CA3180">
        <w:trPr>
          <w:trHeight w:val="632"/>
        </w:trPr>
        <w:tc>
          <w:tcPr>
            <w:tcW w:w="1559" w:type="dxa"/>
          </w:tcPr>
          <w:p w14:paraId="45A177CD" w14:textId="15E86B87" w:rsidR="00684AAB" w:rsidRPr="00684AAB" w:rsidRDefault="00684AAB" w:rsidP="00684AAB">
            <w:pPr>
              <w:widowControl w:val="0"/>
              <w:autoSpaceDE w:val="0"/>
              <w:autoSpaceDN w:val="0"/>
              <w:jc w:val="center"/>
              <w:rPr>
                <w:rFonts w:ascii="Arial" w:eastAsia="Arial" w:hAnsi="Arial" w:cs="Arial"/>
                <w:sz w:val="20"/>
                <w:szCs w:val="20"/>
              </w:rPr>
            </w:pPr>
            <w:r w:rsidRPr="00684AAB">
              <w:rPr>
                <w:rFonts w:ascii="Arial" w:eastAsia="Arial" w:hAnsi="Arial"/>
                <w:bCs/>
                <w:iCs/>
                <w:sz w:val="20"/>
                <w:szCs w:val="20"/>
              </w:rPr>
              <w:t xml:space="preserve">Formalized Collective Management </w:t>
            </w:r>
          </w:p>
        </w:tc>
        <w:tc>
          <w:tcPr>
            <w:tcW w:w="845" w:type="dxa"/>
          </w:tcPr>
          <w:p w14:paraId="5E7DD747" w14:textId="7C0B14C6"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3.73</w:t>
            </w:r>
          </w:p>
        </w:tc>
        <w:tc>
          <w:tcPr>
            <w:tcW w:w="735" w:type="dxa"/>
          </w:tcPr>
          <w:p w14:paraId="1CB89689" w14:textId="4D0CE00C" w:rsidR="00684AAB" w:rsidRPr="00684AAB" w:rsidRDefault="00684AAB" w:rsidP="00684AAB">
            <w:pPr>
              <w:widowControl w:val="0"/>
              <w:autoSpaceDE w:val="0"/>
              <w:autoSpaceDN w:val="0"/>
              <w:spacing w:line="480" w:lineRule="auto"/>
              <w:jc w:val="center"/>
              <w:rPr>
                <w:rFonts w:ascii="Arial" w:eastAsia="Arial" w:hAnsi="Arial" w:cs="Arial"/>
                <w:sz w:val="20"/>
                <w:szCs w:val="20"/>
              </w:rPr>
            </w:pPr>
            <w:r w:rsidRPr="00684AAB">
              <w:rPr>
                <w:rFonts w:ascii="Arial" w:eastAsia="Arial" w:hAnsi="Arial"/>
                <w:sz w:val="20"/>
                <w:szCs w:val="20"/>
              </w:rPr>
              <w:t>0.49</w:t>
            </w:r>
          </w:p>
        </w:tc>
        <w:tc>
          <w:tcPr>
            <w:tcW w:w="735" w:type="dxa"/>
          </w:tcPr>
          <w:p w14:paraId="7073D424"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735" w:type="dxa"/>
          </w:tcPr>
          <w:p w14:paraId="269E6922"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586" w:type="dxa"/>
          </w:tcPr>
          <w:p w14:paraId="2634012A"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846" w:type="dxa"/>
          </w:tcPr>
          <w:p w14:paraId="341D6A7F"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c>
          <w:tcPr>
            <w:tcW w:w="1167" w:type="dxa"/>
          </w:tcPr>
          <w:p w14:paraId="678B537D" w14:textId="77777777" w:rsidR="00684AAB" w:rsidRPr="00684AAB" w:rsidRDefault="00684AAB" w:rsidP="00684AAB">
            <w:pPr>
              <w:widowControl w:val="0"/>
              <w:autoSpaceDE w:val="0"/>
              <w:autoSpaceDN w:val="0"/>
              <w:spacing w:line="480" w:lineRule="auto"/>
              <w:jc w:val="center"/>
              <w:rPr>
                <w:rFonts w:ascii="Arial" w:eastAsia="Arial" w:hAnsi="Arial" w:cs="Arial"/>
                <w:sz w:val="20"/>
                <w:szCs w:val="20"/>
              </w:rPr>
            </w:pPr>
          </w:p>
        </w:tc>
      </w:tr>
    </w:tbl>
    <w:p w14:paraId="1BDBE2B2" w14:textId="77777777" w:rsidR="00717F2E" w:rsidRPr="007E5C64" w:rsidRDefault="00717F2E">
      <w:pPr>
        <w:jc w:val="both"/>
        <w:rPr>
          <w:rFonts w:ascii="Arial" w:hAnsi="Arial" w:cs="Arial"/>
          <w:sz w:val="20"/>
          <w:szCs w:val="20"/>
        </w:rPr>
      </w:pPr>
    </w:p>
    <w:p w14:paraId="5C9AC51E" w14:textId="77777777" w:rsidR="00684AAB" w:rsidRPr="00684AAB" w:rsidRDefault="00684AAB" w:rsidP="00684AAB">
      <w:pPr>
        <w:jc w:val="both"/>
        <w:rPr>
          <w:rFonts w:ascii="Arial" w:hAnsi="Arial" w:cs="Arial"/>
          <w:sz w:val="20"/>
          <w:szCs w:val="20"/>
        </w:rPr>
      </w:pPr>
      <w:r w:rsidRPr="00684AAB">
        <w:rPr>
          <w:rFonts w:ascii="Arial" w:hAnsi="Arial" w:cs="Arial"/>
          <w:sz w:val="20"/>
          <w:szCs w:val="20"/>
        </w:rPr>
        <w:t>Presented in Table 3 is the correlation analysis between customary instructional techniques and formalized collective management of teachers in public secondary schools. The computed correlation coefficient (R) of 0.734 and p-value of 0.000 indicate a high and statistically significant positive relationship between the two variables. Since the p-value is less than the 0.05 level of significance, the null hypothesis (Ho</w:t>
      </w:r>
      <w:r w:rsidRPr="00684AAB">
        <w:rPr>
          <w:rFonts w:ascii="Cambria Math" w:hAnsi="Cambria Math" w:cs="Cambria Math"/>
          <w:sz w:val="20"/>
          <w:szCs w:val="20"/>
        </w:rPr>
        <w:t>₁</w:t>
      </w:r>
      <w:r w:rsidRPr="00684AAB">
        <w:rPr>
          <w:rFonts w:ascii="Arial" w:hAnsi="Arial" w:cs="Arial"/>
          <w:sz w:val="20"/>
          <w:szCs w:val="20"/>
        </w:rPr>
        <w:t>) is rejected. The coefficient of determination (R²) is 0.538, suggesting that 53.8% of the variation in formalized collective management can be explained by the level of customary instructional techniques employed by the teachers.</w:t>
      </w:r>
    </w:p>
    <w:p w14:paraId="3888EA0A" w14:textId="77777777" w:rsidR="00684AAB" w:rsidRPr="00684AAB" w:rsidRDefault="00684AAB" w:rsidP="00684AAB">
      <w:pPr>
        <w:jc w:val="both"/>
        <w:rPr>
          <w:rFonts w:ascii="Arial" w:hAnsi="Arial" w:cs="Arial"/>
          <w:sz w:val="20"/>
          <w:szCs w:val="20"/>
        </w:rPr>
      </w:pPr>
    </w:p>
    <w:p w14:paraId="778748D0" w14:textId="77777777" w:rsidR="00684AAB" w:rsidRPr="00684AAB" w:rsidRDefault="00684AAB" w:rsidP="00684AAB">
      <w:pPr>
        <w:jc w:val="both"/>
        <w:rPr>
          <w:rFonts w:ascii="Arial" w:hAnsi="Arial" w:cs="Arial"/>
          <w:sz w:val="20"/>
          <w:szCs w:val="20"/>
        </w:rPr>
      </w:pPr>
      <w:r w:rsidRPr="00684AAB">
        <w:rPr>
          <w:rFonts w:ascii="Arial" w:hAnsi="Arial" w:cs="Arial"/>
          <w:sz w:val="20"/>
          <w:szCs w:val="20"/>
        </w:rPr>
        <w:t>This finding implies that the more frequently teachers implement customary instructional techniques—such as lecture-based methods, repetition, and standardized textbook use—the more likely they are to engage in structured, collaborative, and formalized management practices. The influence of instructional consistency may foster alignment in school operations, promoting a culture of cooperation and professional order.</w:t>
      </w:r>
    </w:p>
    <w:p w14:paraId="1C0142D5" w14:textId="77777777" w:rsidR="00684AAB" w:rsidRPr="00684AAB" w:rsidRDefault="00684AAB" w:rsidP="00684AAB">
      <w:pPr>
        <w:jc w:val="both"/>
        <w:rPr>
          <w:rFonts w:ascii="Arial" w:hAnsi="Arial" w:cs="Arial"/>
          <w:sz w:val="20"/>
          <w:szCs w:val="20"/>
        </w:rPr>
      </w:pPr>
    </w:p>
    <w:p w14:paraId="79180C0F" w14:textId="402E49AD" w:rsidR="00D82866" w:rsidRPr="007E5C64" w:rsidRDefault="00684AAB" w:rsidP="00684AAB">
      <w:pPr>
        <w:jc w:val="both"/>
        <w:rPr>
          <w:rFonts w:ascii="Arial" w:hAnsi="Arial" w:cs="Arial"/>
          <w:sz w:val="20"/>
          <w:szCs w:val="20"/>
        </w:rPr>
      </w:pPr>
      <w:r w:rsidRPr="00684AAB">
        <w:rPr>
          <w:rFonts w:ascii="Arial" w:hAnsi="Arial" w:cs="Arial"/>
          <w:sz w:val="20"/>
          <w:szCs w:val="20"/>
        </w:rPr>
        <w:t xml:space="preserve">This result is consistent with the findings of </w:t>
      </w:r>
      <w:r w:rsidR="004010F9" w:rsidRPr="004010F9">
        <w:rPr>
          <w:rFonts w:ascii="Arial" w:hAnsi="Arial" w:cs="Arial"/>
          <w:sz w:val="20"/>
          <w:szCs w:val="20"/>
        </w:rPr>
        <w:t xml:space="preserve">Henriksen </w:t>
      </w:r>
      <w:r w:rsidRPr="00684AAB">
        <w:rPr>
          <w:rFonts w:ascii="Arial" w:hAnsi="Arial" w:cs="Arial"/>
          <w:sz w:val="20"/>
          <w:szCs w:val="20"/>
        </w:rPr>
        <w:t>et al. (</w:t>
      </w:r>
      <w:r w:rsidR="004010F9">
        <w:rPr>
          <w:rFonts w:ascii="Arial" w:hAnsi="Arial" w:cs="Arial"/>
          <w:sz w:val="20"/>
          <w:szCs w:val="20"/>
        </w:rPr>
        <w:t>2020</w:t>
      </w:r>
      <w:r w:rsidRPr="00684AAB">
        <w:rPr>
          <w:rFonts w:ascii="Arial" w:hAnsi="Arial" w:cs="Arial"/>
          <w:sz w:val="20"/>
          <w:szCs w:val="20"/>
        </w:rPr>
        <w:t xml:space="preserve">), who emphasized that traditional instructional patterns often support organizational predictability and shared governance. Similarly, </w:t>
      </w:r>
      <w:r w:rsidR="004010F9" w:rsidRPr="004010F9">
        <w:rPr>
          <w:rFonts w:ascii="Arial" w:hAnsi="Arial" w:cs="Arial"/>
          <w:sz w:val="20"/>
          <w:szCs w:val="20"/>
        </w:rPr>
        <w:t xml:space="preserve">Maros </w:t>
      </w:r>
      <w:r w:rsidR="004010F9">
        <w:rPr>
          <w:rFonts w:ascii="Arial" w:hAnsi="Arial" w:cs="Arial"/>
          <w:sz w:val="20"/>
          <w:szCs w:val="20"/>
        </w:rPr>
        <w:t xml:space="preserve">et al. </w:t>
      </w:r>
      <w:r w:rsidRPr="00684AAB">
        <w:rPr>
          <w:rFonts w:ascii="Arial" w:hAnsi="Arial" w:cs="Arial"/>
          <w:sz w:val="20"/>
          <w:szCs w:val="20"/>
        </w:rPr>
        <w:t>(</w:t>
      </w:r>
      <w:r w:rsidR="004010F9">
        <w:rPr>
          <w:rFonts w:ascii="Arial" w:hAnsi="Arial" w:cs="Arial"/>
          <w:sz w:val="20"/>
          <w:szCs w:val="20"/>
        </w:rPr>
        <w:t>2023</w:t>
      </w:r>
      <w:r w:rsidRPr="00684AAB">
        <w:rPr>
          <w:rFonts w:ascii="Arial" w:hAnsi="Arial" w:cs="Arial"/>
          <w:sz w:val="20"/>
          <w:szCs w:val="20"/>
        </w:rPr>
        <w:t xml:space="preserve">) found that structured teaching routines enhance coordination among educators, contributing to a more unified school culture. Additionally, </w:t>
      </w:r>
      <w:proofErr w:type="spellStart"/>
      <w:r w:rsidR="004010F9" w:rsidRPr="004010F9">
        <w:rPr>
          <w:rFonts w:ascii="Arial" w:hAnsi="Arial" w:cs="Arial"/>
          <w:sz w:val="20"/>
          <w:szCs w:val="20"/>
        </w:rPr>
        <w:t>Rabiman</w:t>
      </w:r>
      <w:proofErr w:type="spellEnd"/>
      <w:r w:rsidR="004010F9" w:rsidRPr="004010F9">
        <w:rPr>
          <w:rFonts w:ascii="Arial" w:hAnsi="Arial" w:cs="Arial"/>
          <w:sz w:val="20"/>
          <w:szCs w:val="20"/>
        </w:rPr>
        <w:t xml:space="preserve"> </w:t>
      </w:r>
      <w:r w:rsidR="004010F9">
        <w:rPr>
          <w:rFonts w:ascii="Arial" w:hAnsi="Arial" w:cs="Arial"/>
          <w:sz w:val="20"/>
          <w:szCs w:val="20"/>
        </w:rPr>
        <w:t xml:space="preserve">et al. </w:t>
      </w:r>
      <w:r w:rsidRPr="00684AAB">
        <w:rPr>
          <w:rFonts w:ascii="Arial" w:hAnsi="Arial" w:cs="Arial"/>
          <w:sz w:val="20"/>
          <w:szCs w:val="20"/>
        </w:rPr>
        <w:t>(</w:t>
      </w:r>
      <w:r w:rsidR="004010F9">
        <w:rPr>
          <w:rFonts w:ascii="Arial" w:hAnsi="Arial" w:cs="Arial"/>
          <w:sz w:val="20"/>
          <w:szCs w:val="20"/>
        </w:rPr>
        <w:t>2020</w:t>
      </w:r>
      <w:r w:rsidRPr="00684AAB">
        <w:rPr>
          <w:rFonts w:ascii="Arial" w:hAnsi="Arial" w:cs="Arial"/>
          <w:sz w:val="20"/>
          <w:szCs w:val="20"/>
        </w:rPr>
        <w:t>) highlighted that instructional regularity contributes to smoother implementation of standardized policies and collaborative decision-making in educational institutions.</w:t>
      </w:r>
    </w:p>
    <w:p w14:paraId="1FB8CBC1" w14:textId="2B0212CF" w:rsidR="00017E5D" w:rsidRPr="007E5C64" w:rsidRDefault="00017E5D" w:rsidP="00017E5D">
      <w:pPr>
        <w:jc w:val="both"/>
        <w:rPr>
          <w:rFonts w:ascii="Arial" w:hAnsi="Arial" w:cs="Arial"/>
          <w:sz w:val="20"/>
          <w:szCs w:val="20"/>
        </w:rPr>
      </w:pPr>
    </w:p>
    <w:p w14:paraId="0D8ABDEF" w14:textId="0DCDF642" w:rsidR="00914755" w:rsidRPr="007E5C64" w:rsidRDefault="00665D1C" w:rsidP="00151F8F">
      <w:pPr>
        <w:jc w:val="both"/>
        <w:rPr>
          <w:rFonts w:ascii="Arial" w:hAnsi="Arial" w:cs="Arial"/>
          <w:b/>
          <w:bCs/>
          <w:iCs/>
          <w:sz w:val="20"/>
          <w:szCs w:val="20"/>
        </w:rPr>
      </w:pPr>
      <w:r w:rsidRPr="007E5C64">
        <w:rPr>
          <w:rFonts w:ascii="Arial" w:hAnsi="Arial" w:cs="Arial"/>
          <w:b/>
          <w:bCs/>
          <w:iCs/>
          <w:sz w:val="20"/>
          <w:szCs w:val="20"/>
        </w:rPr>
        <w:t>3.4</w:t>
      </w:r>
      <w:r w:rsidR="00271F07" w:rsidRPr="007E5C64">
        <w:rPr>
          <w:rFonts w:ascii="Arial" w:hAnsi="Arial" w:cs="Arial"/>
          <w:b/>
          <w:bCs/>
          <w:iCs/>
          <w:sz w:val="20"/>
          <w:szCs w:val="20"/>
        </w:rPr>
        <w:t>.</w:t>
      </w:r>
      <w:r w:rsidRPr="007E5C64">
        <w:rPr>
          <w:rFonts w:ascii="Arial" w:hAnsi="Arial" w:cs="Arial"/>
          <w:b/>
          <w:bCs/>
          <w:iCs/>
          <w:sz w:val="20"/>
          <w:szCs w:val="20"/>
        </w:rPr>
        <w:t xml:space="preserve"> </w:t>
      </w:r>
      <w:r w:rsidR="00E1109D" w:rsidRPr="00E1109D">
        <w:rPr>
          <w:rFonts w:ascii="Arial" w:hAnsi="Arial" w:cs="Arial"/>
          <w:b/>
          <w:bCs/>
          <w:iCs/>
          <w:sz w:val="20"/>
          <w:szCs w:val="20"/>
        </w:rPr>
        <w:t>Domains of Customary Instructional Techniques that Significantly Influence Formalized Collective Management of Teachers in Public Secondary Schools</w:t>
      </w:r>
    </w:p>
    <w:p w14:paraId="7568132A" w14:textId="77777777" w:rsidR="00914755" w:rsidRPr="007E5C64" w:rsidRDefault="00914755" w:rsidP="00665D1C">
      <w:pPr>
        <w:rPr>
          <w:rFonts w:ascii="Arial" w:hAnsi="Arial" w:cs="Arial"/>
          <w:b/>
          <w:bCs/>
          <w:iCs/>
          <w:sz w:val="20"/>
          <w:szCs w:val="20"/>
        </w:rPr>
      </w:pPr>
    </w:p>
    <w:p w14:paraId="461FD1E7" w14:textId="00CC7564" w:rsidR="00DE3EAB" w:rsidRPr="007E5C64" w:rsidRDefault="00B364F1" w:rsidP="00D82866">
      <w:pPr>
        <w:jc w:val="both"/>
        <w:rPr>
          <w:rFonts w:ascii="Arial" w:eastAsia="Arial" w:hAnsi="Arial"/>
          <w:i/>
          <w:sz w:val="20"/>
          <w:szCs w:val="20"/>
        </w:rPr>
      </w:pPr>
      <w:r w:rsidRPr="007E5C64">
        <w:rPr>
          <w:rFonts w:ascii="Arial" w:eastAsia="Arial" w:hAnsi="Arial"/>
          <w:b/>
          <w:sz w:val="20"/>
          <w:szCs w:val="20"/>
        </w:rPr>
        <w:t xml:space="preserve">Table 4. </w:t>
      </w:r>
      <w:r w:rsidR="00257B3D" w:rsidRPr="00257B3D">
        <w:rPr>
          <w:rFonts w:ascii="Arial" w:eastAsia="Arial" w:hAnsi="Arial"/>
          <w:i/>
          <w:sz w:val="20"/>
          <w:szCs w:val="20"/>
        </w:rPr>
        <w:t>Domains of Customary Instructional Techniques that Significantly Influence Formalized Collective Management of Teachers in Public Secondary Schools</w:t>
      </w:r>
    </w:p>
    <w:p w14:paraId="42F31227" w14:textId="708EB413" w:rsidR="00187916" w:rsidRPr="007E5C64" w:rsidRDefault="00187916" w:rsidP="00B364F1">
      <w:pPr>
        <w:jc w:val="both"/>
        <w:rPr>
          <w:rFonts w:ascii="Arial" w:eastAsia="Arial" w:hAnsi="Arial"/>
          <w:i/>
          <w:sz w:val="20"/>
          <w:szCs w:val="20"/>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2"/>
        <w:gridCol w:w="991"/>
        <w:gridCol w:w="1042"/>
        <w:gridCol w:w="1012"/>
        <w:gridCol w:w="1067"/>
        <w:gridCol w:w="1439"/>
      </w:tblGrid>
      <w:tr w:rsidR="00D815DA" w:rsidRPr="007E5C64" w14:paraId="7A1D9757" w14:textId="77777777" w:rsidTr="00DC14A4">
        <w:trPr>
          <w:trHeight w:val="324"/>
        </w:trPr>
        <w:tc>
          <w:tcPr>
            <w:tcW w:w="1985" w:type="dxa"/>
            <w:tcBorders>
              <w:top w:val="single" w:sz="4" w:space="0" w:color="auto"/>
              <w:bottom w:val="single" w:sz="4" w:space="0" w:color="auto"/>
            </w:tcBorders>
          </w:tcPr>
          <w:p w14:paraId="3B92D8AC" w14:textId="77777777" w:rsidR="00D815DA" w:rsidRPr="007E5C64" w:rsidRDefault="00D815DA" w:rsidP="00D815DA">
            <w:pPr>
              <w:widowControl w:val="0"/>
              <w:autoSpaceDE w:val="0"/>
              <w:autoSpaceDN w:val="0"/>
              <w:jc w:val="center"/>
              <w:rPr>
                <w:rFonts w:ascii="Arial" w:eastAsia="Arial" w:hAnsi="Arial"/>
                <w:b/>
                <w:bCs/>
                <w:sz w:val="20"/>
                <w:szCs w:val="20"/>
              </w:rPr>
            </w:pPr>
            <w:r w:rsidRPr="007E5C64">
              <w:rPr>
                <w:rFonts w:ascii="Arial" w:eastAsia="Arial" w:hAnsi="Arial"/>
                <w:b/>
                <w:bCs/>
                <w:sz w:val="20"/>
                <w:szCs w:val="20"/>
              </w:rPr>
              <w:t>Domains</w:t>
            </w:r>
          </w:p>
        </w:tc>
        <w:tc>
          <w:tcPr>
            <w:tcW w:w="792" w:type="dxa"/>
            <w:tcBorders>
              <w:top w:val="single" w:sz="4" w:space="0" w:color="auto"/>
              <w:bottom w:val="single" w:sz="4" w:space="0" w:color="auto"/>
            </w:tcBorders>
          </w:tcPr>
          <w:p w14:paraId="0B8F17CD"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w:t>
            </w:r>
          </w:p>
        </w:tc>
        <w:tc>
          <w:tcPr>
            <w:tcW w:w="991" w:type="dxa"/>
            <w:tcBorders>
              <w:top w:val="single" w:sz="4" w:space="0" w:color="auto"/>
              <w:bottom w:val="single" w:sz="4" w:space="0" w:color="auto"/>
            </w:tcBorders>
          </w:tcPr>
          <w:p w14:paraId="0B90DABC"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w:t>
            </w:r>
          </w:p>
        </w:tc>
        <w:tc>
          <w:tcPr>
            <w:tcW w:w="1042" w:type="dxa"/>
            <w:tcBorders>
              <w:top w:val="single" w:sz="4" w:space="0" w:color="auto"/>
              <w:bottom w:val="single" w:sz="4" w:space="0" w:color="auto"/>
            </w:tcBorders>
          </w:tcPr>
          <w:p w14:paraId="4F2407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Beta</w:t>
            </w:r>
          </w:p>
        </w:tc>
        <w:tc>
          <w:tcPr>
            <w:tcW w:w="1012" w:type="dxa"/>
            <w:tcBorders>
              <w:top w:val="single" w:sz="4" w:space="0" w:color="auto"/>
              <w:bottom w:val="single" w:sz="4" w:space="0" w:color="auto"/>
            </w:tcBorders>
          </w:tcPr>
          <w:p w14:paraId="344C5BCE"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t-stat</w:t>
            </w:r>
          </w:p>
        </w:tc>
        <w:tc>
          <w:tcPr>
            <w:tcW w:w="1067" w:type="dxa"/>
            <w:tcBorders>
              <w:top w:val="single" w:sz="4" w:space="0" w:color="auto"/>
              <w:bottom w:val="single" w:sz="4" w:space="0" w:color="auto"/>
            </w:tcBorders>
          </w:tcPr>
          <w:p w14:paraId="706AABE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p-value</w:t>
            </w:r>
          </w:p>
        </w:tc>
        <w:tc>
          <w:tcPr>
            <w:tcW w:w="1439" w:type="dxa"/>
            <w:tcBorders>
              <w:top w:val="single" w:sz="4" w:space="0" w:color="auto"/>
              <w:bottom w:val="single" w:sz="4" w:space="0" w:color="auto"/>
            </w:tcBorders>
          </w:tcPr>
          <w:p w14:paraId="47509980" w14:textId="77777777" w:rsidR="00D815DA" w:rsidRPr="007E5C64" w:rsidRDefault="00D815DA" w:rsidP="00C8398D">
            <w:pPr>
              <w:widowControl w:val="0"/>
              <w:autoSpaceDE w:val="0"/>
              <w:autoSpaceDN w:val="0"/>
              <w:spacing w:line="480" w:lineRule="auto"/>
              <w:jc w:val="center"/>
              <w:rPr>
                <w:rFonts w:ascii="Arial" w:eastAsia="Arial" w:hAnsi="Arial"/>
                <w:b/>
                <w:bCs/>
                <w:sz w:val="20"/>
                <w:szCs w:val="20"/>
              </w:rPr>
            </w:pPr>
            <w:r w:rsidRPr="007E5C64">
              <w:rPr>
                <w:rFonts w:ascii="Arial" w:eastAsia="Arial" w:hAnsi="Arial"/>
                <w:b/>
                <w:bCs/>
                <w:sz w:val="20"/>
                <w:szCs w:val="20"/>
              </w:rPr>
              <w:t>Decision</w:t>
            </w:r>
          </w:p>
        </w:tc>
      </w:tr>
      <w:tr w:rsidR="00DC14A4" w:rsidRPr="007E5C64" w14:paraId="4CCCD09F" w14:textId="77777777" w:rsidTr="00DC14A4">
        <w:trPr>
          <w:trHeight w:val="537"/>
        </w:trPr>
        <w:tc>
          <w:tcPr>
            <w:tcW w:w="1985" w:type="dxa"/>
            <w:tcBorders>
              <w:top w:val="single" w:sz="4" w:space="0" w:color="auto"/>
            </w:tcBorders>
          </w:tcPr>
          <w:p w14:paraId="5C43EE9F" w14:textId="7E9F6348" w:rsidR="00DC14A4" w:rsidRPr="00DC14A4" w:rsidRDefault="00DC14A4" w:rsidP="00DC14A4">
            <w:pPr>
              <w:widowControl w:val="0"/>
              <w:autoSpaceDE w:val="0"/>
              <w:autoSpaceDN w:val="0"/>
              <w:rPr>
                <w:rFonts w:ascii="Arial" w:eastAsia="Arial" w:hAnsi="Arial" w:cs="Arial"/>
                <w:sz w:val="19"/>
                <w:szCs w:val="19"/>
              </w:rPr>
            </w:pPr>
            <w:r w:rsidRPr="00DC14A4">
              <w:rPr>
                <w:rFonts w:ascii="Arial" w:hAnsi="Arial"/>
                <w:sz w:val="19"/>
                <w:szCs w:val="19"/>
              </w:rPr>
              <w:t>Constant</w:t>
            </w:r>
          </w:p>
        </w:tc>
        <w:tc>
          <w:tcPr>
            <w:tcW w:w="792" w:type="dxa"/>
            <w:tcBorders>
              <w:top w:val="single" w:sz="4" w:space="0" w:color="auto"/>
            </w:tcBorders>
            <w:vAlign w:val="center"/>
          </w:tcPr>
          <w:p w14:paraId="35263A15" w14:textId="704708F6"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1.083</w:t>
            </w:r>
          </w:p>
        </w:tc>
        <w:tc>
          <w:tcPr>
            <w:tcW w:w="991" w:type="dxa"/>
            <w:tcBorders>
              <w:top w:val="single" w:sz="4" w:space="0" w:color="auto"/>
            </w:tcBorders>
            <w:vAlign w:val="center"/>
          </w:tcPr>
          <w:p w14:paraId="168EF5D2" w14:textId="70658A1E"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0.254</w:t>
            </w:r>
          </w:p>
        </w:tc>
        <w:tc>
          <w:tcPr>
            <w:tcW w:w="1042" w:type="dxa"/>
            <w:tcBorders>
              <w:top w:val="single" w:sz="4" w:space="0" w:color="auto"/>
            </w:tcBorders>
            <w:vAlign w:val="center"/>
          </w:tcPr>
          <w:p w14:paraId="057949FE" w14:textId="77777777" w:rsidR="00DC14A4" w:rsidRPr="00DC14A4" w:rsidRDefault="00DC14A4" w:rsidP="00DC14A4">
            <w:pPr>
              <w:widowControl w:val="0"/>
              <w:autoSpaceDE w:val="0"/>
              <w:autoSpaceDN w:val="0"/>
              <w:spacing w:line="480" w:lineRule="auto"/>
              <w:jc w:val="center"/>
              <w:rPr>
                <w:rFonts w:ascii="Arial" w:eastAsia="Arial" w:hAnsi="Arial" w:cs="Arial"/>
                <w:sz w:val="19"/>
                <w:szCs w:val="19"/>
              </w:rPr>
            </w:pPr>
          </w:p>
        </w:tc>
        <w:tc>
          <w:tcPr>
            <w:tcW w:w="1012" w:type="dxa"/>
            <w:tcBorders>
              <w:top w:val="single" w:sz="4" w:space="0" w:color="auto"/>
            </w:tcBorders>
            <w:vAlign w:val="center"/>
          </w:tcPr>
          <w:p w14:paraId="19183A71" w14:textId="3545FB2D"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4.266</w:t>
            </w:r>
          </w:p>
        </w:tc>
        <w:tc>
          <w:tcPr>
            <w:tcW w:w="1067" w:type="dxa"/>
            <w:tcBorders>
              <w:top w:val="single" w:sz="4" w:space="0" w:color="auto"/>
            </w:tcBorders>
            <w:vAlign w:val="center"/>
          </w:tcPr>
          <w:p w14:paraId="5186B81F" w14:textId="1CD8470E"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Borders>
              <w:top w:val="single" w:sz="4" w:space="0" w:color="auto"/>
            </w:tcBorders>
          </w:tcPr>
          <w:p w14:paraId="38526A82" w14:textId="6F1BE8ED" w:rsidR="00DC14A4" w:rsidRPr="00DC14A4" w:rsidRDefault="00DC14A4" w:rsidP="00DC14A4">
            <w:pPr>
              <w:widowControl w:val="0"/>
              <w:autoSpaceDE w:val="0"/>
              <w:autoSpaceDN w:val="0"/>
              <w:spacing w:line="480" w:lineRule="auto"/>
              <w:jc w:val="center"/>
              <w:rPr>
                <w:rFonts w:ascii="Arial" w:eastAsia="Arial" w:hAnsi="Arial" w:cs="Arial"/>
                <w:sz w:val="19"/>
                <w:szCs w:val="19"/>
              </w:rPr>
            </w:pPr>
            <w:r w:rsidRPr="00DC14A4">
              <w:rPr>
                <w:rFonts w:ascii="Arial" w:hAnsi="Arial"/>
                <w:sz w:val="19"/>
                <w:szCs w:val="19"/>
              </w:rPr>
              <w:t>Significant</w:t>
            </w:r>
          </w:p>
        </w:tc>
      </w:tr>
      <w:tr w:rsidR="00DC14A4" w:rsidRPr="007E5C64" w14:paraId="35082B81" w14:textId="77777777" w:rsidTr="00DC14A4">
        <w:trPr>
          <w:trHeight w:val="522"/>
        </w:trPr>
        <w:tc>
          <w:tcPr>
            <w:tcW w:w="1985" w:type="dxa"/>
          </w:tcPr>
          <w:p w14:paraId="686C43F8" w14:textId="1E8CF734" w:rsidR="00DC14A4" w:rsidRPr="00DC14A4" w:rsidRDefault="00DC14A4" w:rsidP="00DC14A4">
            <w:pPr>
              <w:widowControl w:val="0"/>
              <w:autoSpaceDE w:val="0"/>
              <w:autoSpaceDN w:val="0"/>
              <w:spacing w:after="240"/>
              <w:rPr>
                <w:rFonts w:ascii="Arial" w:eastAsia="Arial" w:hAnsi="Arial" w:cs="Arial"/>
                <w:sz w:val="19"/>
                <w:szCs w:val="19"/>
              </w:rPr>
            </w:pPr>
            <w:r w:rsidRPr="00DC14A4">
              <w:rPr>
                <w:rFonts w:ascii="Arial" w:eastAsia="Arial" w:hAnsi="Arial"/>
                <w:sz w:val="19"/>
                <w:szCs w:val="19"/>
              </w:rPr>
              <w:t>Lecture-based instruction</w:t>
            </w:r>
          </w:p>
        </w:tc>
        <w:tc>
          <w:tcPr>
            <w:tcW w:w="792" w:type="dxa"/>
            <w:vAlign w:val="center"/>
          </w:tcPr>
          <w:p w14:paraId="1C7863A0" w14:textId="588B0BC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0.146</w:t>
            </w:r>
          </w:p>
        </w:tc>
        <w:tc>
          <w:tcPr>
            <w:tcW w:w="991" w:type="dxa"/>
            <w:vAlign w:val="center"/>
          </w:tcPr>
          <w:p w14:paraId="5192C57E" w14:textId="5A388749"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0.031</w:t>
            </w:r>
          </w:p>
        </w:tc>
        <w:tc>
          <w:tcPr>
            <w:tcW w:w="1042" w:type="dxa"/>
            <w:vAlign w:val="center"/>
          </w:tcPr>
          <w:p w14:paraId="06AF60D9" w14:textId="44DF2692"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0.197</w:t>
            </w:r>
          </w:p>
        </w:tc>
        <w:tc>
          <w:tcPr>
            <w:tcW w:w="1012" w:type="dxa"/>
            <w:vAlign w:val="center"/>
          </w:tcPr>
          <w:p w14:paraId="112311CB" w14:textId="48E1E5F9"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4.767</w:t>
            </w:r>
          </w:p>
        </w:tc>
        <w:tc>
          <w:tcPr>
            <w:tcW w:w="1067" w:type="dxa"/>
            <w:vAlign w:val="center"/>
          </w:tcPr>
          <w:p w14:paraId="096E4BA0" w14:textId="495FDFC1"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Pr>
          <w:p w14:paraId="6757F969" w14:textId="72D55B2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sz w:val="19"/>
                <w:szCs w:val="19"/>
              </w:rPr>
              <w:t>Significant</w:t>
            </w:r>
          </w:p>
        </w:tc>
      </w:tr>
      <w:tr w:rsidR="00DC14A4" w:rsidRPr="007E5C64" w14:paraId="05161C09" w14:textId="77777777" w:rsidTr="00DC14A4">
        <w:trPr>
          <w:trHeight w:val="568"/>
        </w:trPr>
        <w:tc>
          <w:tcPr>
            <w:tcW w:w="1985" w:type="dxa"/>
          </w:tcPr>
          <w:p w14:paraId="797A66F2" w14:textId="74A25008"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Rote memorization and repetition</w:t>
            </w:r>
          </w:p>
        </w:tc>
        <w:tc>
          <w:tcPr>
            <w:tcW w:w="792" w:type="dxa"/>
            <w:vAlign w:val="center"/>
          </w:tcPr>
          <w:p w14:paraId="67CC49CC" w14:textId="231E5CFD"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-0.026</w:t>
            </w:r>
          </w:p>
        </w:tc>
        <w:tc>
          <w:tcPr>
            <w:tcW w:w="991" w:type="dxa"/>
            <w:vAlign w:val="center"/>
          </w:tcPr>
          <w:p w14:paraId="233808ED" w14:textId="25AAD1CC"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0.038</w:t>
            </w:r>
          </w:p>
        </w:tc>
        <w:tc>
          <w:tcPr>
            <w:tcW w:w="1042" w:type="dxa"/>
            <w:vAlign w:val="center"/>
          </w:tcPr>
          <w:p w14:paraId="37BB4291" w14:textId="05284ECC"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-0.030</w:t>
            </w:r>
          </w:p>
        </w:tc>
        <w:tc>
          <w:tcPr>
            <w:tcW w:w="1012" w:type="dxa"/>
            <w:vAlign w:val="center"/>
          </w:tcPr>
          <w:p w14:paraId="25F57FAE" w14:textId="658E4416"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-0.685</w:t>
            </w:r>
          </w:p>
        </w:tc>
        <w:tc>
          <w:tcPr>
            <w:tcW w:w="1067" w:type="dxa"/>
            <w:vAlign w:val="center"/>
          </w:tcPr>
          <w:p w14:paraId="5630093B" w14:textId="58BFB769"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0.495</w:t>
            </w:r>
          </w:p>
        </w:tc>
        <w:tc>
          <w:tcPr>
            <w:tcW w:w="1439" w:type="dxa"/>
          </w:tcPr>
          <w:p w14:paraId="73856E87" w14:textId="77777777" w:rsidR="00DC14A4" w:rsidRPr="00DC14A4" w:rsidRDefault="00DC14A4" w:rsidP="00DC14A4">
            <w:pPr>
              <w:widowControl w:val="0"/>
              <w:jc w:val="center"/>
              <w:rPr>
                <w:rFonts w:ascii="Arial" w:hAnsi="Arial"/>
                <w:sz w:val="19"/>
                <w:szCs w:val="19"/>
              </w:rPr>
            </w:pPr>
            <w:r w:rsidRPr="00DC14A4">
              <w:rPr>
                <w:rFonts w:ascii="Arial" w:hAnsi="Arial"/>
                <w:sz w:val="19"/>
                <w:szCs w:val="19"/>
              </w:rPr>
              <w:t>Not</w:t>
            </w:r>
          </w:p>
          <w:p w14:paraId="0BDF002B" w14:textId="60EE269B"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390D939C" w14:textId="77777777" w:rsidTr="00DC14A4">
        <w:trPr>
          <w:trHeight w:val="568"/>
        </w:trPr>
        <w:tc>
          <w:tcPr>
            <w:tcW w:w="1985" w:type="dxa"/>
          </w:tcPr>
          <w:p w14:paraId="3C3E3167" w14:textId="1929DDBD"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Teacher-centered approach</w:t>
            </w:r>
          </w:p>
        </w:tc>
        <w:tc>
          <w:tcPr>
            <w:tcW w:w="792" w:type="dxa"/>
            <w:vAlign w:val="center"/>
          </w:tcPr>
          <w:p w14:paraId="38FA15BC" w14:textId="1E0FB5F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0.411</w:t>
            </w:r>
          </w:p>
        </w:tc>
        <w:tc>
          <w:tcPr>
            <w:tcW w:w="991" w:type="dxa"/>
            <w:vAlign w:val="center"/>
          </w:tcPr>
          <w:p w14:paraId="6D20948D" w14:textId="77B7B45E"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0.044</w:t>
            </w:r>
          </w:p>
        </w:tc>
        <w:tc>
          <w:tcPr>
            <w:tcW w:w="1042" w:type="dxa"/>
            <w:vAlign w:val="center"/>
          </w:tcPr>
          <w:p w14:paraId="15EFDB76" w14:textId="64D41AC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0.569</w:t>
            </w:r>
          </w:p>
        </w:tc>
        <w:tc>
          <w:tcPr>
            <w:tcW w:w="1012" w:type="dxa"/>
            <w:vAlign w:val="center"/>
          </w:tcPr>
          <w:p w14:paraId="2DC30979" w14:textId="5123222B"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9.262</w:t>
            </w:r>
          </w:p>
        </w:tc>
        <w:tc>
          <w:tcPr>
            <w:tcW w:w="1067" w:type="dxa"/>
            <w:vAlign w:val="center"/>
          </w:tcPr>
          <w:p w14:paraId="2E4F2500" w14:textId="546AA994"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0.000</w:t>
            </w:r>
          </w:p>
        </w:tc>
        <w:tc>
          <w:tcPr>
            <w:tcW w:w="1439" w:type="dxa"/>
          </w:tcPr>
          <w:p w14:paraId="2D4B33C3" w14:textId="463D758F"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01A2EF20" w14:textId="77777777" w:rsidTr="00DC14A4">
        <w:trPr>
          <w:trHeight w:val="568"/>
        </w:trPr>
        <w:tc>
          <w:tcPr>
            <w:tcW w:w="1985" w:type="dxa"/>
          </w:tcPr>
          <w:p w14:paraId="58E4A45B" w14:textId="5F548D56" w:rsidR="00DC14A4" w:rsidRPr="00DC14A4" w:rsidRDefault="00DC14A4" w:rsidP="00DC14A4">
            <w:pPr>
              <w:widowControl w:val="0"/>
              <w:autoSpaceDE w:val="0"/>
              <w:autoSpaceDN w:val="0"/>
              <w:spacing w:after="240"/>
              <w:rPr>
                <w:rFonts w:ascii="Arial" w:hAnsi="Arial" w:cs="Arial"/>
                <w:sz w:val="19"/>
                <w:szCs w:val="19"/>
              </w:rPr>
            </w:pPr>
            <w:r w:rsidRPr="00DC14A4">
              <w:rPr>
                <w:rFonts w:ascii="Arial" w:eastAsia="Arial" w:hAnsi="Arial"/>
                <w:sz w:val="19"/>
                <w:szCs w:val="19"/>
              </w:rPr>
              <w:t>Use of standardized textbooks and materials</w:t>
            </w:r>
          </w:p>
        </w:tc>
        <w:tc>
          <w:tcPr>
            <w:tcW w:w="792" w:type="dxa"/>
            <w:vAlign w:val="center"/>
          </w:tcPr>
          <w:p w14:paraId="56822B59" w14:textId="3F82E353"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0.366</w:t>
            </w:r>
          </w:p>
        </w:tc>
        <w:tc>
          <w:tcPr>
            <w:tcW w:w="991" w:type="dxa"/>
            <w:vAlign w:val="center"/>
          </w:tcPr>
          <w:p w14:paraId="5AC5CB93" w14:textId="10E6FE33"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0.058</w:t>
            </w:r>
          </w:p>
        </w:tc>
        <w:tc>
          <w:tcPr>
            <w:tcW w:w="1042" w:type="dxa"/>
            <w:vAlign w:val="center"/>
          </w:tcPr>
          <w:p w14:paraId="711FA2DC" w14:textId="46A98671"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0.343</w:t>
            </w:r>
          </w:p>
        </w:tc>
        <w:tc>
          <w:tcPr>
            <w:tcW w:w="1012" w:type="dxa"/>
            <w:vAlign w:val="center"/>
          </w:tcPr>
          <w:p w14:paraId="65B7D7AB" w14:textId="7D8DBC70"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6.321</w:t>
            </w:r>
          </w:p>
        </w:tc>
        <w:tc>
          <w:tcPr>
            <w:tcW w:w="1067" w:type="dxa"/>
            <w:vAlign w:val="center"/>
          </w:tcPr>
          <w:p w14:paraId="58D99DCD" w14:textId="5A7ADAF5"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cs="Arial"/>
                <w:color w:val="000000"/>
                <w:sz w:val="19"/>
                <w:szCs w:val="19"/>
              </w:rPr>
              <w:t>0.000</w:t>
            </w:r>
          </w:p>
        </w:tc>
        <w:tc>
          <w:tcPr>
            <w:tcW w:w="1439" w:type="dxa"/>
          </w:tcPr>
          <w:p w14:paraId="2F87A3C8" w14:textId="3B714495" w:rsidR="00DC14A4" w:rsidRPr="00DC14A4" w:rsidRDefault="00DC14A4" w:rsidP="00DC14A4">
            <w:pPr>
              <w:widowControl w:val="0"/>
              <w:autoSpaceDE w:val="0"/>
              <w:autoSpaceDN w:val="0"/>
              <w:spacing w:after="240" w:line="480" w:lineRule="auto"/>
              <w:jc w:val="center"/>
              <w:rPr>
                <w:rFonts w:ascii="Arial" w:hAnsi="Arial" w:cs="Arial"/>
                <w:sz w:val="19"/>
                <w:szCs w:val="19"/>
              </w:rPr>
            </w:pPr>
            <w:r w:rsidRPr="00DC14A4">
              <w:rPr>
                <w:rFonts w:ascii="Arial" w:hAnsi="Arial"/>
                <w:sz w:val="19"/>
                <w:szCs w:val="19"/>
              </w:rPr>
              <w:t>Significant</w:t>
            </w:r>
          </w:p>
        </w:tc>
      </w:tr>
      <w:tr w:rsidR="00DC14A4" w:rsidRPr="007E5C64" w14:paraId="41B98FE8" w14:textId="77777777" w:rsidTr="00DC14A4">
        <w:trPr>
          <w:trHeight w:val="568"/>
        </w:trPr>
        <w:tc>
          <w:tcPr>
            <w:tcW w:w="1985" w:type="dxa"/>
          </w:tcPr>
          <w:p w14:paraId="1579BF18" w14:textId="3329428A" w:rsidR="00DC14A4" w:rsidRPr="00DC14A4" w:rsidRDefault="00DC14A4" w:rsidP="00DC14A4">
            <w:pPr>
              <w:widowControl w:val="0"/>
              <w:autoSpaceDE w:val="0"/>
              <w:autoSpaceDN w:val="0"/>
              <w:spacing w:after="240"/>
              <w:rPr>
                <w:rFonts w:ascii="Arial" w:eastAsia="Arial" w:hAnsi="Arial" w:cs="Arial"/>
                <w:sz w:val="19"/>
                <w:szCs w:val="19"/>
              </w:rPr>
            </w:pPr>
            <w:r w:rsidRPr="00DC14A4">
              <w:rPr>
                <w:rFonts w:ascii="Arial" w:eastAsia="Arial" w:hAnsi="Arial"/>
                <w:sz w:val="19"/>
                <w:szCs w:val="19"/>
              </w:rPr>
              <w:t>Drill-and-practice exercises</w:t>
            </w:r>
          </w:p>
        </w:tc>
        <w:tc>
          <w:tcPr>
            <w:tcW w:w="792" w:type="dxa"/>
            <w:vAlign w:val="center"/>
          </w:tcPr>
          <w:p w14:paraId="7AA4BD47" w14:textId="4DBA33F3"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-0.169</w:t>
            </w:r>
          </w:p>
        </w:tc>
        <w:tc>
          <w:tcPr>
            <w:tcW w:w="991" w:type="dxa"/>
            <w:vAlign w:val="center"/>
          </w:tcPr>
          <w:p w14:paraId="1CFE4A86" w14:textId="5988DCD1"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0.038</w:t>
            </w:r>
          </w:p>
        </w:tc>
        <w:tc>
          <w:tcPr>
            <w:tcW w:w="1042" w:type="dxa"/>
            <w:vAlign w:val="center"/>
          </w:tcPr>
          <w:p w14:paraId="627DC8B9" w14:textId="05D9F076"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-0.175</w:t>
            </w:r>
          </w:p>
        </w:tc>
        <w:tc>
          <w:tcPr>
            <w:tcW w:w="1012" w:type="dxa"/>
            <w:vAlign w:val="center"/>
          </w:tcPr>
          <w:p w14:paraId="0E8A5D71" w14:textId="07393D6B"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-4.435</w:t>
            </w:r>
          </w:p>
        </w:tc>
        <w:tc>
          <w:tcPr>
            <w:tcW w:w="1067" w:type="dxa"/>
            <w:vAlign w:val="center"/>
          </w:tcPr>
          <w:p w14:paraId="6D2F71AB" w14:textId="2A694DA0"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cs="Arial"/>
                <w:color w:val="000000"/>
                <w:sz w:val="19"/>
                <w:szCs w:val="19"/>
              </w:rPr>
              <w:t>0.000</w:t>
            </w:r>
          </w:p>
        </w:tc>
        <w:tc>
          <w:tcPr>
            <w:tcW w:w="1439" w:type="dxa"/>
          </w:tcPr>
          <w:p w14:paraId="5028A11C" w14:textId="69BED02E" w:rsidR="00DC14A4" w:rsidRPr="00DC14A4" w:rsidRDefault="00DC14A4" w:rsidP="00DC14A4">
            <w:pPr>
              <w:widowControl w:val="0"/>
              <w:autoSpaceDE w:val="0"/>
              <w:autoSpaceDN w:val="0"/>
              <w:spacing w:after="240" w:line="480" w:lineRule="auto"/>
              <w:jc w:val="center"/>
              <w:rPr>
                <w:rFonts w:ascii="Arial" w:eastAsia="Arial" w:hAnsi="Arial" w:cs="Arial"/>
                <w:sz w:val="19"/>
                <w:szCs w:val="19"/>
              </w:rPr>
            </w:pPr>
            <w:r w:rsidRPr="00DC14A4">
              <w:rPr>
                <w:rFonts w:ascii="Arial" w:hAnsi="Arial"/>
                <w:sz w:val="19"/>
                <w:szCs w:val="19"/>
              </w:rPr>
              <w:t>Significant</w:t>
            </w:r>
          </w:p>
        </w:tc>
      </w:tr>
      <w:tr w:rsidR="00D815DA" w:rsidRPr="007E5C64" w14:paraId="0606F920" w14:textId="77777777" w:rsidTr="00D815DA">
        <w:trPr>
          <w:trHeight w:val="522"/>
        </w:trPr>
        <w:tc>
          <w:tcPr>
            <w:tcW w:w="8328" w:type="dxa"/>
            <w:gridSpan w:val="7"/>
          </w:tcPr>
          <w:p w14:paraId="349CFF9D" w14:textId="77777777" w:rsidR="00D815DA" w:rsidRPr="007E5C64" w:rsidRDefault="00D815DA" w:rsidP="00D815DA">
            <w:pPr>
              <w:widowControl w:val="0"/>
              <w:autoSpaceDE w:val="0"/>
              <w:autoSpaceDN w:val="0"/>
              <w:jc w:val="both"/>
              <w:rPr>
                <w:rFonts w:ascii="Arial" w:eastAsia="Arial" w:hAnsi="Arial"/>
                <w:b/>
                <w:bCs/>
                <w:sz w:val="20"/>
                <w:szCs w:val="20"/>
                <w:u w:val="single"/>
              </w:rPr>
            </w:pPr>
            <w:r w:rsidRPr="007E5C64">
              <w:rPr>
                <w:rFonts w:ascii="Arial" w:eastAsia="Arial" w:hAnsi="Arial"/>
                <w:b/>
                <w:bCs/>
                <w:sz w:val="20"/>
                <w:szCs w:val="20"/>
                <w:u w:val="single"/>
              </w:rPr>
              <w:t>Regression Model</w:t>
            </w:r>
          </w:p>
        </w:tc>
      </w:tr>
      <w:tr w:rsidR="00D815DA" w:rsidRPr="007E5C64" w14:paraId="32DA9C71" w14:textId="77777777" w:rsidTr="00D815DA">
        <w:trPr>
          <w:trHeight w:val="522"/>
        </w:trPr>
        <w:tc>
          <w:tcPr>
            <w:tcW w:w="8328" w:type="dxa"/>
            <w:gridSpan w:val="7"/>
          </w:tcPr>
          <w:p w14:paraId="44E8D5C8" w14:textId="021EA512" w:rsidR="00D815DA" w:rsidRDefault="00776DAC" w:rsidP="00D815DA">
            <w:pPr>
              <w:widowControl w:val="0"/>
              <w:autoSpaceDE w:val="0"/>
              <w:autoSpaceDN w:val="0"/>
              <w:jc w:val="both"/>
              <w:rPr>
                <w:rFonts w:ascii="Arial" w:eastAsia="Arial" w:hAnsi="Arial"/>
                <w:sz w:val="20"/>
                <w:szCs w:val="20"/>
              </w:rPr>
            </w:pPr>
            <w:r w:rsidRPr="00776DAC">
              <w:rPr>
                <w:rFonts w:ascii="Arial" w:eastAsia="Arial" w:hAnsi="Arial"/>
                <w:sz w:val="20"/>
                <w:szCs w:val="20"/>
              </w:rPr>
              <w:t>Formalized Collective Management = 1.083 + 0.146 (Lecture-based instruction) + 0.411 (Teacher-centered approach) + 0.366 (Use of standardized textbooks and materials) + (–0.169) (Drill-and-practice exercises)</w:t>
            </w:r>
          </w:p>
          <w:p w14:paraId="548FFC9B" w14:textId="2071D53A" w:rsidR="00700B7C" w:rsidRPr="007E5C64" w:rsidRDefault="00700B7C" w:rsidP="00D815DA">
            <w:pPr>
              <w:widowControl w:val="0"/>
              <w:autoSpaceDE w:val="0"/>
              <w:autoSpaceDN w:val="0"/>
              <w:jc w:val="both"/>
              <w:rPr>
                <w:rFonts w:ascii="Arial" w:eastAsia="Arial" w:hAnsi="Arial"/>
                <w:sz w:val="20"/>
                <w:szCs w:val="20"/>
              </w:rPr>
            </w:pPr>
          </w:p>
        </w:tc>
      </w:tr>
      <w:tr w:rsidR="00D815DA" w:rsidRPr="007E5C64" w14:paraId="13736F31" w14:textId="77777777" w:rsidTr="00D815DA">
        <w:trPr>
          <w:trHeight w:val="80"/>
        </w:trPr>
        <w:tc>
          <w:tcPr>
            <w:tcW w:w="8328" w:type="dxa"/>
            <w:gridSpan w:val="7"/>
          </w:tcPr>
          <w:p w14:paraId="07B059D8" w14:textId="5BD2EF4E" w:rsidR="00D815DA" w:rsidRPr="007E5C64" w:rsidRDefault="000852B4" w:rsidP="00D815DA">
            <w:pPr>
              <w:widowControl w:val="0"/>
              <w:autoSpaceDE w:val="0"/>
              <w:autoSpaceDN w:val="0"/>
              <w:jc w:val="both"/>
              <w:rPr>
                <w:rFonts w:ascii="Arial" w:eastAsia="Arial" w:hAnsi="Arial"/>
                <w:sz w:val="20"/>
                <w:szCs w:val="20"/>
              </w:rPr>
            </w:pPr>
            <w:r w:rsidRPr="000852B4">
              <w:rPr>
                <w:rFonts w:ascii="Arial" w:eastAsia="Arial" w:hAnsi="Arial"/>
                <w:sz w:val="20"/>
                <w:szCs w:val="20"/>
              </w:rPr>
              <w:t>R = 0.907; R² = 0.823; F = 120.083; p-value = 0.000</w:t>
            </w:r>
          </w:p>
        </w:tc>
      </w:tr>
    </w:tbl>
    <w:p w14:paraId="5CB07BF5" w14:textId="7437914E" w:rsidR="00D82866" w:rsidRPr="007E5C64" w:rsidRDefault="00D82866" w:rsidP="00D82866">
      <w:pPr>
        <w:jc w:val="both"/>
        <w:rPr>
          <w:rFonts w:ascii="Arial" w:hAnsi="Arial" w:cs="Arial"/>
          <w:sz w:val="20"/>
          <w:szCs w:val="20"/>
        </w:rPr>
      </w:pPr>
    </w:p>
    <w:p w14:paraId="6FDD1CAA" w14:textId="77777777" w:rsidR="00717F2E" w:rsidRPr="007E5C64" w:rsidRDefault="00717F2E">
      <w:pPr>
        <w:jc w:val="both"/>
        <w:rPr>
          <w:rFonts w:ascii="Arial" w:hAnsi="Arial" w:cs="Arial"/>
          <w:sz w:val="20"/>
          <w:szCs w:val="20"/>
        </w:rPr>
      </w:pPr>
    </w:p>
    <w:p w14:paraId="10687464" w14:textId="460F544D" w:rsidR="00EB5483" w:rsidRPr="00EB5483" w:rsidRDefault="00EB5483" w:rsidP="00EB5483">
      <w:pPr>
        <w:pStyle w:val="Body"/>
        <w:rPr>
          <w:rFonts w:ascii="Arial" w:hAnsi="Arial" w:cs="Arial"/>
        </w:rPr>
      </w:pPr>
      <w:r w:rsidRPr="00EB5483">
        <w:rPr>
          <w:rFonts w:ascii="Arial" w:hAnsi="Arial" w:cs="Arial"/>
        </w:rPr>
        <w:t xml:space="preserve">Presented in Table 4 is the regression analysis examining how the different domains of customary instructional techniques significantly influence formalized collective management </w:t>
      </w:r>
      <w:r w:rsidRPr="00EB5483">
        <w:rPr>
          <w:rFonts w:ascii="Arial" w:hAnsi="Arial" w:cs="Arial"/>
        </w:rPr>
        <w:lastRenderedPageBreak/>
        <w:t>of teachers in public secondary schools. The regression model predicting formalized collective management is expressed as: Formalized Collective Management = 1.083 + 0.146 (Lecture-based instruction) + 0.411 (Teacher-centered approach) + 0.366 (Use of standardized textbooks and materials) – 0.169 (Drill-and-practice exercises). The model accounts for 82.3% of the variation in formalized collective management, as indicated by the R² value of 0.823. The model is statistically significant, with an F-value of 120.083 and a p-value of 0.000, confirming that specific instructional domains significantly influence the level of collective management among teachers.</w:t>
      </w:r>
    </w:p>
    <w:p w14:paraId="1DB2C24D" w14:textId="64763FE4" w:rsidR="00EB5483" w:rsidRPr="00EB5483" w:rsidRDefault="00EB5483" w:rsidP="00EB5483">
      <w:pPr>
        <w:pStyle w:val="Body"/>
        <w:rPr>
          <w:rFonts w:ascii="Arial" w:hAnsi="Arial" w:cs="Arial"/>
        </w:rPr>
      </w:pPr>
      <w:r w:rsidRPr="00EB5483">
        <w:rPr>
          <w:rFonts w:ascii="Arial" w:hAnsi="Arial" w:cs="Arial"/>
        </w:rPr>
        <w:t>These findings suggest that teacher-centered instructional practices, standardized materials, and lecture-based instruction positively contribute to more structured and formalized collective management processes. Among the domains, teacher-centered approach showed the highest beta value, highlighting its strong predictive power in promoting managerial cohesion. In contrast, drill-and-practice exercises demonstrated a negative influence, implying that overly repetitive teaching may hinder collaborative and structured professional environments. Rote memorization and repetition, meanwhile, did not yield a significant impact in this context.</w:t>
      </w:r>
    </w:p>
    <w:p w14:paraId="20DD07F3" w14:textId="5EF23116" w:rsidR="00D815DA" w:rsidRPr="007E5C64" w:rsidRDefault="00EB5483" w:rsidP="00EB5483">
      <w:pPr>
        <w:pStyle w:val="Body"/>
        <w:rPr>
          <w:rFonts w:ascii="Arial" w:hAnsi="Arial" w:cs="Arial"/>
        </w:rPr>
      </w:pPr>
      <w:r w:rsidRPr="00EB5483">
        <w:rPr>
          <w:rFonts w:ascii="Arial" w:hAnsi="Arial" w:cs="Arial"/>
        </w:rPr>
        <w:t xml:space="preserve">This result supports the findings of </w:t>
      </w:r>
      <w:r w:rsidR="004010F9" w:rsidRPr="004010F9">
        <w:rPr>
          <w:rFonts w:ascii="Arial" w:hAnsi="Arial" w:cs="Arial"/>
        </w:rPr>
        <w:t xml:space="preserve">Juanda </w:t>
      </w:r>
      <w:r w:rsidRPr="00EB5483">
        <w:rPr>
          <w:rFonts w:ascii="Arial" w:hAnsi="Arial" w:cs="Arial"/>
        </w:rPr>
        <w:t>et al. (</w:t>
      </w:r>
      <w:r w:rsidR="004010F9">
        <w:rPr>
          <w:rFonts w:ascii="Arial" w:hAnsi="Arial" w:cs="Arial"/>
        </w:rPr>
        <w:t>2021</w:t>
      </w:r>
      <w:r w:rsidRPr="00EB5483">
        <w:rPr>
          <w:rFonts w:ascii="Arial" w:hAnsi="Arial" w:cs="Arial"/>
        </w:rPr>
        <w:t xml:space="preserve">), who emphasized that directive instructional styles are closely linked to hierarchical and organized school management systems. Likewise, the study of </w:t>
      </w:r>
      <w:proofErr w:type="spellStart"/>
      <w:r w:rsidR="004010F9" w:rsidRPr="004010F9">
        <w:rPr>
          <w:rFonts w:ascii="Arial" w:hAnsi="Arial" w:cs="Arial"/>
        </w:rPr>
        <w:t>Oguguo</w:t>
      </w:r>
      <w:proofErr w:type="spellEnd"/>
      <w:r w:rsidR="004010F9" w:rsidRPr="004010F9">
        <w:rPr>
          <w:rFonts w:ascii="Arial" w:hAnsi="Arial" w:cs="Arial"/>
        </w:rPr>
        <w:t xml:space="preserve"> </w:t>
      </w:r>
      <w:r w:rsidR="004010F9">
        <w:rPr>
          <w:rFonts w:ascii="Arial" w:hAnsi="Arial" w:cs="Arial"/>
        </w:rPr>
        <w:t xml:space="preserve">et al. </w:t>
      </w:r>
      <w:r w:rsidRPr="00EB5483">
        <w:rPr>
          <w:rFonts w:ascii="Arial" w:hAnsi="Arial" w:cs="Arial"/>
        </w:rPr>
        <w:t>(</w:t>
      </w:r>
      <w:r w:rsidR="004010F9">
        <w:rPr>
          <w:rFonts w:ascii="Arial" w:hAnsi="Arial" w:cs="Arial"/>
        </w:rPr>
        <w:t>2021</w:t>
      </w:r>
      <w:r w:rsidRPr="00EB5483">
        <w:rPr>
          <w:rFonts w:ascii="Arial" w:hAnsi="Arial" w:cs="Arial"/>
        </w:rPr>
        <w:t xml:space="preserve">) revealed that structured pedagogical methods align with standardized administrative practices, reinforcing institutional uniformity. Furthermore, </w:t>
      </w:r>
      <w:r w:rsidR="004010F9" w:rsidRPr="004010F9">
        <w:rPr>
          <w:rFonts w:ascii="Arial" w:hAnsi="Arial" w:cs="Arial"/>
        </w:rPr>
        <w:t xml:space="preserve">Yin </w:t>
      </w:r>
      <w:r w:rsidR="004010F9">
        <w:rPr>
          <w:rFonts w:ascii="Arial" w:hAnsi="Arial" w:cs="Arial"/>
        </w:rPr>
        <w:t xml:space="preserve">et al. </w:t>
      </w:r>
      <w:r w:rsidRPr="00EB5483">
        <w:rPr>
          <w:rFonts w:ascii="Arial" w:hAnsi="Arial" w:cs="Arial"/>
        </w:rPr>
        <w:t>(</w:t>
      </w:r>
      <w:r w:rsidR="004010F9">
        <w:rPr>
          <w:rFonts w:ascii="Arial" w:hAnsi="Arial" w:cs="Arial"/>
        </w:rPr>
        <w:t>2021</w:t>
      </w:r>
      <w:r w:rsidRPr="00EB5483">
        <w:rPr>
          <w:rFonts w:ascii="Arial" w:hAnsi="Arial" w:cs="Arial"/>
        </w:rPr>
        <w:t>) noted that teacher-centered approaches facilitate predictability and coordination, which are essential for effective formalized collective efforts among educators.</w:t>
      </w:r>
    </w:p>
    <w:p w14:paraId="08FEB9C6" w14:textId="089D9801" w:rsidR="002039CD" w:rsidRPr="007E5C64" w:rsidRDefault="00180859" w:rsidP="00850E61">
      <w:pPr>
        <w:pStyle w:val="Body"/>
        <w:rPr>
          <w:rFonts w:ascii="Arial" w:hAnsi="Arial" w:cs="Arial"/>
          <w:b/>
          <w:bCs/>
        </w:rPr>
      </w:pPr>
      <w:r w:rsidRPr="007E5C64">
        <w:rPr>
          <w:rFonts w:ascii="Arial" w:hAnsi="Arial" w:cs="Arial"/>
          <w:b/>
          <w:bCs/>
        </w:rPr>
        <w:t xml:space="preserve">5. </w:t>
      </w:r>
      <w:r w:rsidR="00B364F1" w:rsidRPr="007E5C64">
        <w:rPr>
          <w:rFonts w:ascii="Arial" w:hAnsi="Arial" w:cs="Arial"/>
          <w:b/>
          <w:bCs/>
        </w:rPr>
        <w:t>CONCLUSIONS</w:t>
      </w:r>
    </w:p>
    <w:p w14:paraId="1F8EF9DC" w14:textId="32F71073"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of the study, the following conclusions were formulated:</w:t>
      </w:r>
    </w:p>
    <w:p w14:paraId="0E6E9A30" w14:textId="509E1178"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Firstly, the level of customary instructional techniques among public secondary school language teachers is often observed, with consistently high to very high ratings across the domains of lecture-based instruction, rote memorization and repetition, teacher-centered approach, use of standardized textbooks and materials, and drill-and-practice exercises. These results reflect the continued reliance on traditional teaching strategies that emphasize direct instruction and repetition. Such techniques foster consistency and control in the delivery of lessons, ensuring coverage of standardized content across classrooms. When employed strategically, these approaches contribute to student familiarity with language structures and reinforce mastery through practice.</w:t>
      </w:r>
    </w:p>
    <w:p w14:paraId="483ABBA3" w14:textId="57583FE2"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Secondly, the level of formalized collective management among public secondary school language teachers is also often observed. High ratings were recorded in domains such as organizational structure and hierarchy, standardized policies and procedures, and professional development and training. This indicates that schools maintain well-defined administrative systems that support coordination, policy compliance, and structured teacher development. These management practices contribute to institutional stability and alignment of professional conduct, providing teachers with clear expectations, roles, and opportunities for growth.</w:t>
      </w:r>
    </w:p>
    <w:p w14:paraId="16277615" w14:textId="1EE43B4F" w:rsidR="001D79BA" w:rsidRPr="001D79BA" w:rsidRDefault="001D79BA" w:rsidP="001D79BA">
      <w:pPr>
        <w:pStyle w:val="ReferHead"/>
        <w:jc w:val="both"/>
        <w:rPr>
          <w:rFonts w:ascii="Arial" w:hAnsi="Arial" w:cs="Arial"/>
          <w:b w:val="0"/>
          <w:caps w:val="0"/>
          <w:sz w:val="20"/>
        </w:rPr>
      </w:pPr>
      <w:r w:rsidRPr="001D79BA">
        <w:rPr>
          <w:rFonts w:ascii="Arial" w:hAnsi="Arial" w:cs="Arial"/>
          <w:b w:val="0"/>
          <w:caps w:val="0"/>
          <w:sz w:val="20"/>
        </w:rPr>
        <w:t xml:space="preserve">Thirdly, a significant relationship between customary instructional techniques and formalized collective management was observed. This suggests that teachers who frequently apply traditional instructional strategies tend to operate within or contribute to more structured and standardized management systems. The strong and statistically significant correlation indicates that instructional approaches are intertwined with school-wide administrative norms. </w:t>
      </w:r>
      <w:r w:rsidRPr="001D79BA">
        <w:rPr>
          <w:rFonts w:ascii="Arial" w:hAnsi="Arial" w:cs="Arial"/>
          <w:b w:val="0"/>
          <w:caps w:val="0"/>
          <w:sz w:val="20"/>
        </w:rPr>
        <w:lastRenderedPageBreak/>
        <w:t>Traditional teaching methods may reinforce organizational routines and support the institutionalization of uniform management practices in secondary schools.</w:t>
      </w:r>
    </w:p>
    <w:p w14:paraId="31EFD7C0" w14:textId="31A2E9D5" w:rsidR="009676BB" w:rsidRDefault="001D79BA" w:rsidP="001D79BA">
      <w:pPr>
        <w:pStyle w:val="ReferHead"/>
        <w:jc w:val="both"/>
        <w:rPr>
          <w:rFonts w:ascii="Arial" w:hAnsi="Arial" w:cs="Arial"/>
          <w:b w:val="0"/>
          <w:caps w:val="0"/>
          <w:sz w:val="20"/>
        </w:rPr>
      </w:pPr>
      <w:r w:rsidRPr="001D79BA">
        <w:rPr>
          <w:rFonts w:ascii="Arial" w:hAnsi="Arial" w:cs="Arial"/>
          <w:b w:val="0"/>
          <w:caps w:val="0"/>
          <w:sz w:val="20"/>
        </w:rPr>
        <w:t>Finally, the domains of customary instructional techniques significantly influence formalized collective management. Among these, the teacher-centered approach emerged as the strongest predictor, followed by the use of standardized textbooks and materials and lecture-based instruction. Conversely, drill-and-practice exercises demonstrated a significant negative influence, while rote memorization and repetition did not yield a significant effect. These findings highlight the nuanced roles of various instructional methods in shaping collective management dynamics. When instructional strategies promote centralized control and standardization, they tend to align with formalized administrative systems. These results affirm that instructional behaviors contribute meaningfully to the broader organizational climate in public secondary schools, reinforcing the integration between pedagogy and school governance.</w:t>
      </w:r>
    </w:p>
    <w:p w14:paraId="51F156E3" w14:textId="33D0D5A0" w:rsidR="0060713B" w:rsidRPr="007E5C64" w:rsidRDefault="0060713B" w:rsidP="001D79BA">
      <w:pPr>
        <w:pStyle w:val="ReferHead"/>
        <w:jc w:val="both"/>
        <w:rPr>
          <w:rFonts w:ascii="Arial" w:hAnsi="Arial" w:cs="Arial"/>
          <w:b w:val="0"/>
          <w:caps w:val="0"/>
          <w:sz w:val="20"/>
        </w:rPr>
      </w:pPr>
      <w:r w:rsidRPr="0060713B">
        <w:rPr>
          <w:rFonts w:ascii="Arial" w:hAnsi="Arial" w:cs="Arial"/>
          <w:b w:val="0"/>
          <w:caps w:val="0"/>
          <w:sz w:val="20"/>
          <w:highlight w:val="yellow"/>
        </w:rPr>
        <w:t>The study offers practical implications for educational leadership and instructional reform, especially within low- to middle-income country contexts such as the Philippines. By highlighting the relationship between customary instructional techniques and formalized collective management, the findings underscore the importance of fostering collaborative structures and shared leadership in schools. Educational leaders can use these insights to design professional development initiatives that promote reflective teaching practices and strengthen teamwork among educators. Moreover, the study reinforces the need for context-sensitive reforms that align with local realities while encouraging innovation and shared responsibility in decision-making processes.</w:t>
      </w:r>
    </w:p>
    <w:p w14:paraId="32CA4429" w14:textId="77777777" w:rsidR="009676BB" w:rsidRPr="007E5C64" w:rsidRDefault="009676BB" w:rsidP="009676BB">
      <w:pPr>
        <w:pStyle w:val="ReferHead"/>
        <w:spacing w:after="0"/>
        <w:jc w:val="both"/>
        <w:rPr>
          <w:rFonts w:ascii="Arial" w:hAnsi="Arial" w:cs="Arial"/>
          <w:b w:val="0"/>
          <w:caps w:val="0"/>
          <w:sz w:val="20"/>
        </w:rPr>
      </w:pPr>
    </w:p>
    <w:p w14:paraId="295DD41E" w14:textId="01F6025E" w:rsidR="006A0F34" w:rsidRPr="007E5C64" w:rsidRDefault="006A0F34" w:rsidP="006A0F34">
      <w:pPr>
        <w:pStyle w:val="Body"/>
        <w:rPr>
          <w:rFonts w:ascii="Arial" w:hAnsi="Arial" w:cs="Arial"/>
        </w:rPr>
      </w:pPr>
      <w:r w:rsidRPr="007E5C64">
        <w:rPr>
          <w:rFonts w:ascii="Arial" w:hAnsi="Arial" w:cs="Arial"/>
          <w:b/>
          <w:bCs/>
        </w:rPr>
        <w:t>6. RECOMMENDATIONS</w:t>
      </w:r>
    </w:p>
    <w:p w14:paraId="05405137" w14:textId="508DDB48" w:rsidR="009676BB" w:rsidRPr="007E5C64" w:rsidRDefault="009676BB" w:rsidP="009676BB">
      <w:pPr>
        <w:pStyle w:val="ReferHead"/>
        <w:jc w:val="both"/>
        <w:rPr>
          <w:rFonts w:ascii="Arial" w:hAnsi="Arial" w:cs="Arial"/>
          <w:b w:val="0"/>
          <w:caps w:val="0"/>
          <w:sz w:val="20"/>
        </w:rPr>
      </w:pPr>
      <w:r w:rsidRPr="007E5C64">
        <w:rPr>
          <w:rFonts w:ascii="Arial" w:hAnsi="Arial" w:cs="Arial"/>
          <w:b w:val="0"/>
          <w:caps w:val="0"/>
          <w:sz w:val="20"/>
        </w:rPr>
        <w:t>Based on the findings and conclusions of this study, the following recommendations were proposed:</w:t>
      </w:r>
    </w:p>
    <w:p w14:paraId="3CDD7B9C" w14:textId="0028E414"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For DepEd officials, it is recommended to develop and support instructional leadership policies that address the prevalent use of customary instructional techniques and their influence on collective management practices in public secondary schools. Emphasis should be placed on refining the use of teacher-centered strategies, standardized materials, and lecture-based instruction to ensure these align with contemporary educational goals. DepEd may consider revisiting the Philippine Professional Standards for Teachers to explicitly include instructional adaptability, collaborative practices, and evidence-based pedagogy. Policy initiatives that balance instructional tradition with innovation can enhance both classroom effectiveness and institutional governance.</w:t>
      </w:r>
    </w:p>
    <w:p w14:paraId="6A8BB8E8" w14:textId="503B54F1"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School administrators are encouraged to foster professional environments where instructional strategies are critically examined in relation to school-wide management structures. They should provide capacity-building programs that integrate pedagogical reflection with institutional development goals. Support for instructional coaching, collaborative lesson planning, and curriculum contextualization can enhance teaching quality while reinforcing collective accountability. At the same time, reinforcing clear policies and structured procedures within a supportive management framework will ensure consistent implementation and shared responsibility among teaching staff.</w:t>
      </w:r>
    </w:p>
    <w:p w14:paraId="26629226" w14:textId="5AD5595E" w:rsidR="00E05409" w:rsidRPr="00E05409" w:rsidRDefault="00E05409" w:rsidP="00E05409">
      <w:pPr>
        <w:pStyle w:val="ReferHead"/>
        <w:jc w:val="both"/>
        <w:rPr>
          <w:rFonts w:ascii="Arial" w:hAnsi="Arial" w:cs="Arial"/>
          <w:b w:val="0"/>
          <w:caps w:val="0"/>
          <w:sz w:val="20"/>
        </w:rPr>
      </w:pPr>
      <w:r w:rsidRPr="00E05409">
        <w:rPr>
          <w:rFonts w:ascii="Arial" w:hAnsi="Arial" w:cs="Arial"/>
          <w:b w:val="0"/>
          <w:caps w:val="0"/>
          <w:sz w:val="20"/>
        </w:rPr>
        <w:t xml:space="preserve">For teachers, the study recommends active participation in professional development programs that focus on both instructional practices and their alignment with school-wide management systems. Teachers are encouraged to reflect on their use of traditional </w:t>
      </w:r>
      <w:r w:rsidRPr="00E05409">
        <w:rPr>
          <w:rFonts w:ascii="Arial" w:hAnsi="Arial" w:cs="Arial"/>
          <w:b w:val="0"/>
          <w:caps w:val="0"/>
          <w:sz w:val="20"/>
        </w:rPr>
        <w:lastRenderedPageBreak/>
        <w:t>techniques and explore learner-centered alternatives that complement organizational objectives. Engaging in peer learning, subject-specific workshops, and school-led innovation initiatives can help enhance instructional effectiveness while promoting shared leadership. Balancing instructional consistency with responsiveness to student needs will contribute to both teaching quality and institutional coherence.</w:t>
      </w:r>
    </w:p>
    <w:p w14:paraId="48A21385" w14:textId="0BCDDD02" w:rsidR="008C1E2D" w:rsidRDefault="0059704E" w:rsidP="00E05409">
      <w:pPr>
        <w:pStyle w:val="ReferHead"/>
        <w:spacing w:after="0"/>
        <w:jc w:val="both"/>
        <w:rPr>
          <w:rFonts w:ascii="Arial" w:hAnsi="Arial" w:cs="Arial"/>
          <w:b w:val="0"/>
          <w:caps w:val="0"/>
          <w:sz w:val="20"/>
        </w:rPr>
      </w:pPr>
      <w:r>
        <w:rPr>
          <w:rFonts w:ascii="Arial" w:hAnsi="Arial" w:cs="Arial"/>
          <w:b w:val="0"/>
          <w:caps w:val="0"/>
          <w:sz w:val="20"/>
        </w:rPr>
        <w:t>I</w:t>
      </w:r>
      <w:r w:rsidR="00E05409" w:rsidRPr="00E05409">
        <w:rPr>
          <w:rFonts w:ascii="Arial" w:hAnsi="Arial" w:cs="Arial"/>
          <w:b w:val="0"/>
          <w:caps w:val="0"/>
          <w:sz w:val="20"/>
        </w:rPr>
        <w:t>t is suggested to investigate the impact of customary instructional techniques on school climate, instructional innovation, and student learning outcomes. Future studies may also explore how formalized collective management influences teacher collaboration, professional identity, and change readiness. Employing mixed-method or longitudinal approaches across various school settings may offer deeper insights into how instructional practices and organizational structures co-evolve within the Philippine public secondary school system.</w:t>
      </w:r>
    </w:p>
    <w:p w14:paraId="73A43BA3" w14:textId="7E90D8F8" w:rsidR="0059704E" w:rsidRDefault="0059704E" w:rsidP="00E05409">
      <w:pPr>
        <w:pStyle w:val="ReferHead"/>
        <w:spacing w:after="0"/>
        <w:jc w:val="both"/>
        <w:rPr>
          <w:rFonts w:ascii="Arial" w:hAnsi="Arial" w:cs="Arial"/>
          <w:b w:val="0"/>
          <w:caps w:val="0"/>
          <w:sz w:val="20"/>
        </w:rPr>
      </w:pPr>
    </w:p>
    <w:p w14:paraId="15E08C92" w14:textId="5A803CFB" w:rsidR="0059704E" w:rsidRDefault="0059704E" w:rsidP="00E05409">
      <w:pPr>
        <w:pStyle w:val="ReferHead"/>
        <w:spacing w:after="0"/>
        <w:jc w:val="both"/>
        <w:rPr>
          <w:rFonts w:ascii="Arial" w:hAnsi="Arial" w:cs="Arial"/>
          <w:b w:val="0"/>
          <w:caps w:val="0"/>
          <w:sz w:val="20"/>
        </w:rPr>
      </w:pPr>
      <w:r w:rsidRPr="0059704E">
        <w:rPr>
          <w:rFonts w:ascii="Arial" w:hAnsi="Arial" w:cs="Arial"/>
          <w:b w:val="0"/>
          <w:caps w:val="0"/>
          <w:sz w:val="20"/>
          <w:highlight w:val="yellow"/>
        </w:rPr>
        <w:t xml:space="preserve">This study acknowledges several limitations that may affect the interpretation and generalizability of its findings. First, the research was limited to public secondary school teachers in the </w:t>
      </w:r>
      <w:proofErr w:type="spellStart"/>
      <w:r w:rsidRPr="0059704E">
        <w:rPr>
          <w:rFonts w:ascii="Arial" w:hAnsi="Arial" w:cs="Arial"/>
          <w:b w:val="0"/>
          <w:caps w:val="0"/>
          <w:sz w:val="20"/>
          <w:highlight w:val="yellow"/>
        </w:rPr>
        <w:t>Manay</w:t>
      </w:r>
      <w:proofErr w:type="spellEnd"/>
      <w:r w:rsidRPr="0059704E">
        <w:rPr>
          <w:rFonts w:ascii="Arial" w:hAnsi="Arial" w:cs="Arial"/>
          <w:b w:val="0"/>
          <w:caps w:val="0"/>
          <w:sz w:val="20"/>
          <w:highlight w:val="yellow"/>
        </w:rPr>
        <w:t xml:space="preserve"> District, Division of Davao Oriental, which may not fully represent the broader population of teachers in other regions or educational settings. Second, the use of self-reported survey data introduces the possibility of response bias, as participants may have provided socially desirable answers rather than fully objective responses. Lastly, the study focused on a specific set of variables within a cross-sectional timeframe, limiting its ability to capture changes over time or establish causal relationships. Future research may address these limitations by including a more diverse sample, incorporating multiple data sources, and utilizing longitudinal designs.</w:t>
      </w:r>
      <w:bookmarkStart w:id="0" w:name="_GoBack"/>
      <w:bookmarkEnd w:id="0"/>
    </w:p>
    <w:p w14:paraId="11C8FF0F" w14:textId="77777777" w:rsidR="00DA1BFB" w:rsidRPr="007E5C64" w:rsidRDefault="00DA1BFB" w:rsidP="00DA1BFB">
      <w:pPr>
        <w:pStyle w:val="ReferHead"/>
        <w:spacing w:after="0"/>
        <w:jc w:val="both"/>
        <w:rPr>
          <w:rFonts w:ascii="Arial" w:hAnsi="Arial" w:cs="Arial"/>
          <w:b w:val="0"/>
          <w:caps w:val="0"/>
          <w:sz w:val="20"/>
        </w:rPr>
      </w:pPr>
    </w:p>
    <w:p w14:paraId="7242A187" w14:textId="77777777" w:rsidR="00717F2E" w:rsidRPr="007E5C64" w:rsidRDefault="00717F2E">
      <w:pPr>
        <w:pStyle w:val="ReferHead"/>
        <w:spacing w:after="0"/>
        <w:jc w:val="both"/>
        <w:rPr>
          <w:rFonts w:ascii="Arial" w:hAnsi="Arial" w:cs="Arial"/>
          <w:b w:val="0"/>
          <w:caps w:val="0"/>
          <w:sz w:val="20"/>
        </w:rPr>
      </w:pPr>
    </w:p>
    <w:p w14:paraId="013BA332" w14:textId="77777777" w:rsidR="00717F2E" w:rsidRPr="007E5C64" w:rsidRDefault="00180859">
      <w:pPr>
        <w:pStyle w:val="ReferHead"/>
        <w:spacing w:after="0"/>
        <w:jc w:val="both"/>
        <w:rPr>
          <w:rFonts w:ascii="Arial" w:hAnsi="Arial" w:cs="Arial"/>
          <w:bCs/>
          <w:sz w:val="20"/>
        </w:rPr>
      </w:pPr>
      <w:r w:rsidRPr="007E5C64">
        <w:rPr>
          <w:rFonts w:ascii="Arial" w:hAnsi="Arial" w:cs="Arial"/>
          <w:bCs/>
          <w:sz w:val="20"/>
        </w:rPr>
        <w:t>Consent (where ever applicable)</w:t>
      </w:r>
    </w:p>
    <w:p w14:paraId="67F05F0C" w14:textId="77777777" w:rsidR="00717F2E" w:rsidRPr="007E5C64" w:rsidRDefault="00717F2E">
      <w:pPr>
        <w:pStyle w:val="ReferHead"/>
        <w:spacing w:after="0"/>
        <w:jc w:val="both"/>
        <w:rPr>
          <w:rFonts w:ascii="Arial" w:hAnsi="Arial" w:cs="Arial"/>
          <w:bCs/>
          <w:sz w:val="20"/>
        </w:rPr>
      </w:pPr>
    </w:p>
    <w:p w14:paraId="15AE72A3" w14:textId="0B305D74" w:rsidR="00850E61" w:rsidRPr="007E5C64" w:rsidRDefault="004277BF" w:rsidP="00D4578A">
      <w:pPr>
        <w:pStyle w:val="ReferHead"/>
        <w:jc w:val="both"/>
        <w:rPr>
          <w:rFonts w:ascii="Arial" w:hAnsi="Arial" w:cs="Arial"/>
          <w:b w:val="0"/>
          <w:caps w:val="0"/>
          <w:sz w:val="20"/>
        </w:rPr>
      </w:pPr>
      <w:r w:rsidRPr="004277BF">
        <w:rPr>
          <w:rFonts w:ascii="Arial" w:hAnsi="Arial" w:cs="Arial"/>
          <w:b w:val="0"/>
          <w:caps w:val="0"/>
          <w:sz w:val="20"/>
        </w:rPr>
        <w:t xml:space="preserve">The conduct of this study strictly followed established ethical guidelines to uphold the rights, dignity, and well-being of all participants. Prior to data collection, the researcher secured the required approvals from appropriate institutional authorities, including the endorsement of the Dean of the Graduate School and clearance from the authorized Ethics Review Committee. The research adhered to the ethical framework proposed by </w:t>
      </w:r>
      <w:proofErr w:type="spellStart"/>
      <w:r w:rsidRPr="004277BF">
        <w:rPr>
          <w:rFonts w:ascii="Arial" w:hAnsi="Arial" w:cs="Arial"/>
          <w:b w:val="0"/>
          <w:caps w:val="0"/>
          <w:sz w:val="20"/>
        </w:rPr>
        <w:t>Pregoner</w:t>
      </w:r>
      <w:proofErr w:type="spellEnd"/>
      <w:r w:rsidRPr="004277BF">
        <w:rPr>
          <w:rFonts w:ascii="Arial" w:hAnsi="Arial" w:cs="Arial"/>
          <w:b w:val="0"/>
          <w:caps w:val="0"/>
          <w:sz w:val="20"/>
        </w:rPr>
        <w:t xml:space="preserve"> et al. (2025), in accordance with contemporary standards for educational research involving human subjects. Participation was entirely voluntary, with individuals thoroughly informed about the study’s purpose, procedures, and their right to decline or withdraw at any time without consequences. Informed consent was obtained to confirm participants’ understanding and agreement. No personal identifiers were collected, and strict confidentiality was observed to ensure anonymity. All data were exclusively utilized for academic purposes. These ethical safeguards reinforced the transparency, responsibility, and integrity of the research process.</w:t>
      </w:r>
    </w:p>
    <w:p w14:paraId="7891B505" w14:textId="77777777" w:rsidR="00A50958" w:rsidRPr="007E5C64" w:rsidRDefault="00A50958" w:rsidP="00505231">
      <w:pPr>
        <w:pStyle w:val="ReferHead"/>
        <w:spacing w:after="0"/>
        <w:jc w:val="both"/>
        <w:rPr>
          <w:rFonts w:ascii="Arial" w:hAnsi="Arial" w:cs="Arial"/>
          <w:b w:val="0"/>
          <w:caps w:val="0"/>
          <w:sz w:val="20"/>
        </w:rPr>
      </w:pPr>
    </w:p>
    <w:p w14:paraId="2BC90047" w14:textId="77777777" w:rsidR="00CD4D57" w:rsidRPr="007E5C64" w:rsidRDefault="00CD4D57" w:rsidP="00CD4D57">
      <w:pPr>
        <w:pStyle w:val="ReferHead"/>
        <w:spacing w:after="0"/>
        <w:jc w:val="both"/>
        <w:rPr>
          <w:rFonts w:ascii="Arial" w:hAnsi="Arial" w:cs="Arial"/>
          <w:b w:val="0"/>
          <w:caps w:val="0"/>
          <w:sz w:val="20"/>
          <w:highlight w:val="yellow"/>
        </w:rPr>
      </w:pPr>
      <w:r w:rsidRPr="007E5C64">
        <w:rPr>
          <w:rFonts w:ascii="Arial" w:hAnsi="Arial" w:cs="Arial"/>
          <w:b w:val="0"/>
          <w:caps w:val="0"/>
          <w:sz w:val="20"/>
          <w:highlight w:val="yellow"/>
        </w:rPr>
        <w:t>Disclaimer (Artificial Intelligence)</w:t>
      </w:r>
    </w:p>
    <w:p w14:paraId="591C5FF6" w14:textId="77777777" w:rsidR="00CD4D57" w:rsidRPr="007E5C64" w:rsidRDefault="00CD4D57" w:rsidP="00CD4D57">
      <w:pPr>
        <w:pStyle w:val="ReferHead"/>
        <w:spacing w:after="0"/>
        <w:jc w:val="both"/>
        <w:rPr>
          <w:rFonts w:ascii="Arial" w:hAnsi="Arial" w:cs="Arial"/>
          <w:b w:val="0"/>
          <w:caps w:val="0"/>
          <w:sz w:val="20"/>
          <w:highlight w:val="yellow"/>
        </w:rPr>
      </w:pPr>
    </w:p>
    <w:p w14:paraId="309A34BD" w14:textId="77777777" w:rsidR="00CD4D57" w:rsidRPr="007E5C64" w:rsidRDefault="00CD4D57" w:rsidP="00CD4D57">
      <w:pPr>
        <w:pStyle w:val="ReferHead"/>
        <w:spacing w:after="0"/>
        <w:jc w:val="both"/>
        <w:rPr>
          <w:rFonts w:ascii="Arial" w:hAnsi="Arial" w:cs="Arial"/>
          <w:b w:val="0"/>
          <w:caps w:val="0"/>
          <w:sz w:val="20"/>
          <w:highlight w:val="yellow"/>
        </w:rPr>
      </w:pPr>
    </w:p>
    <w:p w14:paraId="26E5FE5E" w14:textId="77777777" w:rsidR="00CD4D57" w:rsidRPr="007E5C64" w:rsidRDefault="00CD4D57" w:rsidP="00CD4D57">
      <w:pPr>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7E5C64" w:rsidRDefault="00CD4D57" w:rsidP="00CD4D57">
      <w:pPr>
        <w:jc w:val="both"/>
        <w:rPr>
          <w:rFonts w:ascii="Arial" w:eastAsia="Calibri" w:hAnsi="Arial" w:cs="Arial"/>
          <w:kern w:val="2"/>
          <w:sz w:val="20"/>
          <w:szCs w:val="20"/>
          <w:highlight w:val="yellow"/>
        </w:rPr>
      </w:pPr>
    </w:p>
    <w:p w14:paraId="4B95E7D5" w14:textId="77777777" w:rsidR="00CD4D57" w:rsidRPr="007E5C64" w:rsidRDefault="00CD4D57" w:rsidP="00CD4D57">
      <w:pPr>
        <w:numPr>
          <w:ilvl w:val="0"/>
          <w:numId w:val="4"/>
        </w:numPr>
        <w:ind w:left="540"/>
        <w:jc w:val="both"/>
        <w:rPr>
          <w:rFonts w:ascii="Arial" w:eastAsia="Calibri" w:hAnsi="Arial" w:cs="Arial"/>
          <w:kern w:val="2"/>
          <w:sz w:val="20"/>
          <w:szCs w:val="20"/>
          <w:highlight w:val="yellow"/>
        </w:rPr>
      </w:pPr>
      <w:r w:rsidRPr="007E5C64">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7E5C64" w:rsidRDefault="00CD4D57" w:rsidP="00CD4D57">
      <w:pPr>
        <w:numPr>
          <w:ilvl w:val="0"/>
          <w:numId w:val="4"/>
        </w:numPr>
        <w:ind w:left="540"/>
        <w:jc w:val="both"/>
        <w:rPr>
          <w:rFonts w:ascii="Arial" w:hAnsi="Arial" w:cs="Arial"/>
          <w:sz w:val="20"/>
          <w:szCs w:val="20"/>
          <w:highlight w:val="yellow"/>
        </w:rPr>
      </w:pPr>
      <w:proofErr w:type="spellStart"/>
      <w:r w:rsidRPr="007E5C64">
        <w:rPr>
          <w:rFonts w:ascii="Arial" w:eastAsia="Calibri" w:hAnsi="Arial" w:cs="Arial"/>
          <w:kern w:val="2"/>
          <w:sz w:val="20"/>
          <w:szCs w:val="20"/>
          <w:highlight w:val="yellow"/>
        </w:rPr>
        <w:t>Quillbot</w:t>
      </w:r>
      <w:proofErr w:type="spellEnd"/>
      <w:r w:rsidRPr="007E5C64">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7E5C64" w:rsidRDefault="00CD4D57" w:rsidP="00505231">
      <w:pPr>
        <w:pStyle w:val="ReferHead"/>
        <w:spacing w:after="0"/>
        <w:jc w:val="both"/>
        <w:rPr>
          <w:rFonts w:ascii="Arial" w:hAnsi="Arial" w:cs="Arial"/>
          <w:b w:val="0"/>
          <w:caps w:val="0"/>
          <w:sz w:val="20"/>
        </w:rPr>
      </w:pPr>
    </w:p>
    <w:p w14:paraId="3710B9F1" w14:textId="77777777" w:rsidR="00151F8F" w:rsidRPr="007E5C64" w:rsidRDefault="00151F8F" w:rsidP="00505231">
      <w:pPr>
        <w:pStyle w:val="ReferHead"/>
        <w:spacing w:after="0"/>
        <w:jc w:val="both"/>
        <w:rPr>
          <w:rFonts w:ascii="Arial" w:hAnsi="Arial" w:cs="Arial"/>
          <w:b w:val="0"/>
          <w:caps w:val="0"/>
          <w:sz w:val="20"/>
        </w:rPr>
      </w:pPr>
    </w:p>
    <w:p w14:paraId="3ADF4A26" w14:textId="36317754" w:rsidR="00021449" w:rsidRPr="00AB5264" w:rsidRDefault="00180859" w:rsidP="00AB5264">
      <w:pPr>
        <w:pStyle w:val="ReferHead"/>
        <w:spacing w:after="0"/>
        <w:jc w:val="both"/>
        <w:rPr>
          <w:rFonts w:ascii="Arial" w:hAnsi="Arial" w:cs="Arial"/>
          <w:sz w:val="20"/>
        </w:rPr>
      </w:pPr>
      <w:r w:rsidRPr="007E5C64">
        <w:rPr>
          <w:rFonts w:ascii="Arial" w:hAnsi="Arial" w:cs="Arial"/>
          <w:sz w:val="20"/>
        </w:rPr>
        <w:t>References</w:t>
      </w:r>
    </w:p>
    <w:p w14:paraId="2539AAD5" w14:textId="77777777" w:rsidR="00AB5264" w:rsidRPr="00AB5264" w:rsidRDefault="00AB5264" w:rsidP="00AB5264">
      <w:pPr>
        <w:jc w:val="both"/>
        <w:rPr>
          <w:sz w:val="20"/>
          <w:szCs w:val="20"/>
        </w:rPr>
      </w:pPr>
    </w:p>
    <w:p w14:paraId="305B77C9"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Hargreaves, A. (2021). Teacher collaboration: 30 years of research on its nature, forms, limitations and effects. </w:t>
      </w:r>
      <w:r w:rsidRPr="00AB5264">
        <w:rPr>
          <w:rFonts w:ascii="Arial" w:hAnsi="Arial" w:cs="Arial"/>
          <w:i/>
          <w:iCs/>
          <w:color w:val="222222"/>
          <w:sz w:val="20"/>
          <w:szCs w:val="20"/>
          <w:shd w:val="clear" w:color="auto" w:fill="FFFFFF"/>
        </w:rPr>
        <w:t>Policy, teacher education and the quality of teachers and teaching</w:t>
      </w:r>
      <w:r w:rsidRPr="00AB5264">
        <w:rPr>
          <w:rFonts w:ascii="Arial" w:hAnsi="Arial" w:cs="Arial"/>
          <w:color w:val="222222"/>
          <w:sz w:val="20"/>
          <w:szCs w:val="20"/>
          <w:shd w:val="clear" w:color="auto" w:fill="FFFFFF"/>
        </w:rPr>
        <w:t>, 103-121.</w:t>
      </w:r>
      <w:hyperlink r:id="rId15" w:history="1">
        <w:r w:rsidRPr="00AB5264">
          <w:rPr>
            <w:rFonts w:ascii="Arial" w:hAnsi="Arial" w:cs="Arial"/>
            <w:color w:val="1155CC"/>
            <w:sz w:val="20"/>
            <w:szCs w:val="20"/>
            <w:u w:val="single"/>
            <w:shd w:val="clear" w:color="auto" w:fill="FFFFFF"/>
          </w:rPr>
          <w:t>https://www.taylorfrancis.com/chapters/edit/10.4324/9781003141907-8/teacher-collaboration-30-years-research-nature-forms-limitations-effects-andy-hargreaves</w:t>
        </w:r>
      </w:hyperlink>
    </w:p>
    <w:p w14:paraId="400F1BA8"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Henriksen, D., Creely, E., &amp; Henderson, M. (2020). Folk pedagogies for teacher transitions: Approaches to synchronous online learning in the wake of COVID-19. </w:t>
      </w:r>
      <w:r w:rsidRPr="00AB5264">
        <w:rPr>
          <w:rFonts w:ascii="Arial" w:hAnsi="Arial" w:cs="Arial"/>
          <w:i/>
          <w:iCs/>
          <w:color w:val="222222"/>
          <w:sz w:val="20"/>
          <w:szCs w:val="20"/>
          <w:shd w:val="clear" w:color="auto" w:fill="FFFFFF"/>
        </w:rPr>
        <w:t>Journal of Technology and Teacher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28</w:t>
      </w:r>
      <w:r w:rsidRPr="00AB5264">
        <w:rPr>
          <w:rFonts w:ascii="Arial" w:hAnsi="Arial" w:cs="Arial"/>
          <w:color w:val="222222"/>
          <w:sz w:val="20"/>
          <w:szCs w:val="20"/>
          <w:shd w:val="clear" w:color="auto" w:fill="FFFFFF"/>
        </w:rPr>
        <w:t xml:space="preserve">(2), 201-209. </w:t>
      </w:r>
      <w:hyperlink r:id="rId16" w:history="1">
        <w:r w:rsidRPr="00AB5264">
          <w:rPr>
            <w:rFonts w:ascii="Arial" w:hAnsi="Arial" w:cs="Arial"/>
            <w:color w:val="1155CC"/>
            <w:sz w:val="20"/>
            <w:szCs w:val="20"/>
            <w:u w:val="single"/>
            <w:shd w:val="clear" w:color="auto" w:fill="FFFFFF"/>
          </w:rPr>
          <w:t>https://www.learntechlib.org/primary/p/216179/</w:t>
        </w:r>
      </w:hyperlink>
      <w:r w:rsidRPr="00AB5264">
        <w:rPr>
          <w:rFonts w:ascii="Arial" w:hAnsi="Arial" w:cs="Arial"/>
          <w:color w:val="222222"/>
          <w:sz w:val="20"/>
          <w:szCs w:val="20"/>
          <w:shd w:val="clear" w:color="auto" w:fill="FFFFFF"/>
        </w:rPr>
        <w:t>;</w:t>
      </w:r>
    </w:p>
    <w:p w14:paraId="1EA4DA5E"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Joo, Y. H. (2020). The effects of distributed leadership on teacher professionalism: The case of Korean middle schools. </w:t>
      </w:r>
      <w:r w:rsidRPr="00AB5264">
        <w:rPr>
          <w:rFonts w:ascii="Arial" w:hAnsi="Arial" w:cs="Arial"/>
          <w:i/>
          <w:iCs/>
          <w:color w:val="222222"/>
          <w:sz w:val="20"/>
          <w:szCs w:val="20"/>
          <w:shd w:val="clear" w:color="auto" w:fill="FFFFFF"/>
        </w:rPr>
        <w:t>International Journal of Educational Research</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99</w:t>
      </w:r>
      <w:r w:rsidRPr="00AB5264">
        <w:rPr>
          <w:rFonts w:ascii="Arial" w:hAnsi="Arial" w:cs="Arial"/>
          <w:color w:val="222222"/>
          <w:sz w:val="20"/>
          <w:szCs w:val="20"/>
          <w:shd w:val="clear" w:color="auto" w:fill="FFFFFF"/>
        </w:rPr>
        <w:t xml:space="preserve">, 101500. </w:t>
      </w:r>
      <w:hyperlink r:id="rId17" w:history="1">
        <w:r w:rsidRPr="00AB5264">
          <w:rPr>
            <w:rFonts w:ascii="Arial" w:hAnsi="Arial" w:cs="Arial"/>
            <w:color w:val="1155CC"/>
            <w:sz w:val="20"/>
            <w:szCs w:val="20"/>
            <w:u w:val="single"/>
            <w:shd w:val="clear" w:color="auto" w:fill="FFFFFF"/>
          </w:rPr>
          <w:t>https://www.sciencedirect.com/science/article/abs/pii/S0883035518324297</w:t>
        </w:r>
      </w:hyperlink>
    </w:p>
    <w:p w14:paraId="355A15ED"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Juanda, A., </w:t>
      </w:r>
      <w:proofErr w:type="spellStart"/>
      <w:r w:rsidRPr="00AB5264">
        <w:rPr>
          <w:rFonts w:ascii="Arial" w:hAnsi="Arial" w:cs="Arial"/>
          <w:color w:val="222222"/>
          <w:sz w:val="20"/>
          <w:szCs w:val="20"/>
          <w:shd w:val="clear" w:color="auto" w:fill="FFFFFF"/>
        </w:rPr>
        <w:t>Shidiq</w:t>
      </w:r>
      <w:proofErr w:type="spellEnd"/>
      <w:r w:rsidRPr="00AB5264">
        <w:rPr>
          <w:rFonts w:ascii="Arial" w:hAnsi="Arial" w:cs="Arial"/>
          <w:color w:val="222222"/>
          <w:sz w:val="20"/>
          <w:szCs w:val="20"/>
          <w:shd w:val="clear" w:color="auto" w:fill="FFFFFF"/>
        </w:rPr>
        <w:t xml:space="preserve">, A. S., &amp; Nasrudin, D. (2021). Teacher learning management: Investigating biology </w:t>
      </w:r>
      <w:proofErr w:type="spellStart"/>
      <w:r w:rsidRPr="00AB5264">
        <w:rPr>
          <w:rFonts w:ascii="Arial" w:hAnsi="Arial" w:cs="Arial"/>
          <w:color w:val="222222"/>
          <w:sz w:val="20"/>
          <w:szCs w:val="20"/>
          <w:shd w:val="clear" w:color="auto" w:fill="FFFFFF"/>
        </w:rPr>
        <w:t>teachersâ</w:t>
      </w:r>
      <w:proofErr w:type="spellEnd"/>
      <w:r w:rsidRPr="00AB5264">
        <w:rPr>
          <w:rFonts w:ascii="Arial" w:hAnsi="Arial" w:cs="Arial"/>
          <w:color w:val="222222"/>
          <w:sz w:val="20"/>
          <w:szCs w:val="20"/>
          <w:shd w:val="clear" w:color="auto" w:fill="FFFFFF"/>
        </w:rPr>
        <w:t xml:space="preserve">€™ </w:t>
      </w:r>
      <w:proofErr w:type="spellStart"/>
      <w:r w:rsidRPr="00AB5264">
        <w:rPr>
          <w:rFonts w:ascii="Arial" w:hAnsi="Arial" w:cs="Arial"/>
          <w:color w:val="222222"/>
          <w:sz w:val="20"/>
          <w:szCs w:val="20"/>
          <w:shd w:val="clear" w:color="auto" w:fill="FFFFFF"/>
        </w:rPr>
        <w:t>tpack</w:t>
      </w:r>
      <w:proofErr w:type="spellEnd"/>
      <w:r w:rsidRPr="00AB5264">
        <w:rPr>
          <w:rFonts w:ascii="Arial" w:hAnsi="Arial" w:cs="Arial"/>
          <w:color w:val="222222"/>
          <w:sz w:val="20"/>
          <w:szCs w:val="20"/>
          <w:shd w:val="clear" w:color="auto" w:fill="FFFFFF"/>
        </w:rPr>
        <w:t xml:space="preserve"> to conduct learning during the covid-19 outbreak. </w:t>
      </w:r>
      <w:proofErr w:type="spellStart"/>
      <w:r w:rsidRPr="00AB5264">
        <w:rPr>
          <w:rFonts w:ascii="Arial" w:hAnsi="Arial" w:cs="Arial"/>
          <w:i/>
          <w:iCs/>
          <w:color w:val="222222"/>
          <w:sz w:val="20"/>
          <w:szCs w:val="20"/>
          <w:shd w:val="clear" w:color="auto" w:fill="FFFFFF"/>
        </w:rPr>
        <w:t>Jurnal</w:t>
      </w:r>
      <w:proofErr w:type="spellEnd"/>
      <w:r w:rsidRPr="00AB5264">
        <w:rPr>
          <w:rFonts w:ascii="Arial" w:hAnsi="Arial" w:cs="Arial"/>
          <w:i/>
          <w:iCs/>
          <w:color w:val="222222"/>
          <w:sz w:val="20"/>
          <w:szCs w:val="20"/>
          <w:shd w:val="clear" w:color="auto" w:fill="FFFFFF"/>
        </w:rPr>
        <w:t xml:space="preserve"> </w:t>
      </w:r>
      <w:proofErr w:type="spellStart"/>
      <w:r w:rsidRPr="00AB5264">
        <w:rPr>
          <w:rFonts w:ascii="Arial" w:hAnsi="Arial" w:cs="Arial"/>
          <w:i/>
          <w:iCs/>
          <w:color w:val="222222"/>
          <w:sz w:val="20"/>
          <w:szCs w:val="20"/>
          <w:shd w:val="clear" w:color="auto" w:fill="FFFFFF"/>
        </w:rPr>
        <w:t>Pendidikan</w:t>
      </w:r>
      <w:proofErr w:type="spellEnd"/>
      <w:r w:rsidRPr="00AB5264">
        <w:rPr>
          <w:rFonts w:ascii="Arial" w:hAnsi="Arial" w:cs="Arial"/>
          <w:i/>
          <w:iCs/>
          <w:color w:val="222222"/>
          <w:sz w:val="20"/>
          <w:szCs w:val="20"/>
          <w:shd w:val="clear" w:color="auto" w:fill="FFFFFF"/>
        </w:rPr>
        <w:t xml:space="preserve"> IPA Indonesia</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10</w:t>
      </w:r>
      <w:r w:rsidRPr="00AB5264">
        <w:rPr>
          <w:rFonts w:ascii="Arial" w:hAnsi="Arial" w:cs="Arial"/>
          <w:color w:val="222222"/>
          <w:sz w:val="20"/>
          <w:szCs w:val="20"/>
          <w:shd w:val="clear" w:color="auto" w:fill="FFFFFF"/>
        </w:rPr>
        <w:t xml:space="preserve">(1), 48-59. </w:t>
      </w:r>
      <w:hyperlink r:id="rId18" w:history="1">
        <w:r w:rsidRPr="00AB5264">
          <w:rPr>
            <w:rFonts w:ascii="Arial" w:hAnsi="Arial" w:cs="Arial"/>
            <w:color w:val="1155CC"/>
            <w:sz w:val="20"/>
            <w:szCs w:val="20"/>
            <w:u w:val="single"/>
            <w:shd w:val="clear" w:color="auto" w:fill="FFFFFF"/>
          </w:rPr>
          <w:t>https://pdfs.semanticscholar.org/ceda/de7d11cf4d7c87f23615713590c79f6af2f5.pdf</w:t>
        </w:r>
      </w:hyperlink>
      <w:r w:rsidRPr="00AB5264">
        <w:rPr>
          <w:rFonts w:ascii="Arial" w:hAnsi="Arial" w:cs="Arial"/>
          <w:color w:val="222222"/>
          <w:sz w:val="20"/>
          <w:szCs w:val="20"/>
          <w:shd w:val="clear" w:color="auto" w:fill="FFFFFF"/>
        </w:rPr>
        <w:t> </w:t>
      </w:r>
    </w:p>
    <w:p w14:paraId="5C07ED67"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Margolis, J. (2020). The </w:t>
      </w:r>
      <w:proofErr w:type="spellStart"/>
      <w:r w:rsidRPr="00AB5264">
        <w:rPr>
          <w:rFonts w:ascii="Arial" w:hAnsi="Arial" w:cs="Arial"/>
          <w:color w:val="222222"/>
          <w:sz w:val="20"/>
          <w:szCs w:val="20"/>
          <w:shd w:val="clear" w:color="auto" w:fill="FFFFFF"/>
        </w:rPr>
        <w:t>semiformality</w:t>
      </w:r>
      <w:proofErr w:type="spellEnd"/>
      <w:r w:rsidRPr="00AB5264">
        <w:rPr>
          <w:rFonts w:ascii="Arial" w:hAnsi="Arial" w:cs="Arial"/>
          <w:color w:val="222222"/>
          <w:sz w:val="20"/>
          <w:szCs w:val="20"/>
          <w:shd w:val="clear" w:color="auto" w:fill="FFFFFF"/>
        </w:rPr>
        <w:t xml:space="preserve"> of teacher leadership on the edge of chaos. </w:t>
      </w:r>
      <w:r w:rsidRPr="00AB5264">
        <w:rPr>
          <w:rFonts w:ascii="Arial" w:hAnsi="Arial" w:cs="Arial"/>
          <w:i/>
          <w:iCs/>
          <w:color w:val="222222"/>
          <w:sz w:val="20"/>
          <w:szCs w:val="20"/>
          <w:shd w:val="clear" w:color="auto" w:fill="FFFFFF"/>
        </w:rPr>
        <w:t>Harvard educational review</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90</w:t>
      </w:r>
      <w:r w:rsidRPr="00AB5264">
        <w:rPr>
          <w:rFonts w:ascii="Arial" w:hAnsi="Arial" w:cs="Arial"/>
          <w:color w:val="222222"/>
          <w:sz w:val="20"/>
          <w:szCs w:val="20"/>
          <w:shd w:val="clear" w:color="auto" w:fill="FFFFFF"/>
        </w:rPr>
        <w:t xml:space="preserve">(3), 397-418. </w:t>
      </w:r>
      <w:hyperlink r:id="rId19" w:history="1">
        <w:r w:rsidRPr="00AB5264">
          <w:rPr>
            <w:rFonts w:ascii="Arial" w:hAnsi="Arial" w:cs="Arial"/>
            <w:color w:val="1155CC"/>
            <w:sz w:val="20"/>
            <w:szCs w:val="20"/>
            <w:u w:val="single"/>
            <w:shd w:val="clear" w:color="auto" w:fill="FFFFFF"/>
          </w:rPr>
          <w:t>https://doi.org/10.17763/1943-5045-90.3.397</w:t>
        </w:r>
      </w:hyperlink>
    </w:p>
    <w:p w14:paraId="372B6D1F"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Maros, M., </w:t>
      </w:r>
      <w:proofErr w:type="spellStart"/>
      <w:r w:rsidRPr="00AB5264">
        <w:rPr>
          <w:rFonts w:ascii="Arial" w:hAnsi="Arial" w:cs="Arial"/>
          <w:color w:val="222222"/>
          <w:sz w:val="20"/>
          <w:szCs w:val="20"/>
          <w:shd w:val="clear" w:color="auto" w:fill="FFFFFF"/>
        </w:rPr>
        <w:t>Korenkova</w:t>
      </w:r>
      <w:proofErr w:type="spellEnd"/>
      <w:r w:rsidRPr="00AB5264">
        <w:rPr>
          <w:rFonts w:ascii="Arial" w:hAnsi="Arial" w:cs="Arial"/>
          <w:color w:val="222222"/>
          <w:sz w:val="20"/>
          <w:szCs w:val="20"/>
          <w:shd w:val="clear" w:color="auto" w:fill="FFFFFF"/>
        </w:rPr>
        <w:t xml:space="preserve">, M., Fila, M., </w:t>
      </w:r>
      <w:proofErr w:type="spellStart"/>
      <w:r w:rsidRPr="00AB5264">
        <w:rPr>
          <w:rFonts w:ascii="Arial" w:hAnsi="Arial" w:cs="Arial"/>
          <w:color w:val="222222"/>
          <w:sz w:val="20"/>
          <w:szCs w:val="20"/>
          <w:shd w:val="clear" w:color="auto" w:fill="FFFFFF"/>
        </w:rPr>
        <w:t>Levicky</w:t>
      </w:r>
      <w:proofErr w:type="spellEnd"/>
      <w:r w:rsidRPr="00AB5264">
        <w:rPr>
          <w:rFonts w:ascii="Arial" w:hAnsi="Arial" w:cs="Arial"/>
          <w:color w:val="222222"/>
          <w:sz w:val="20"/>
          <w:szCs w:val="20"/>
          <w:shd w:val="clear" w:color="auto" w:fill="FFFFFF"/>
        </w:rPr>
        <w:t xml:space="preserve">, M., &amp; </w:t>
      </w:r>
      <w:proofErr w:type="spellStart"/>
      <w:r w:rsidRPr="00AB5264">
        <w:rPr>
          <w:rFonts w:ascii="Arial" w:hAnsi="Arial" w:cs="Arial"/>
          <w:color w:val="222222"/>
          <w:sz w:val="20"/>
          <w:szCs w:val="20"/>
          <w:shd w:val="clear" w:color="auto" w:fill="FFFFFF"/>
        </w:rPr>
        <w:t>Schoberova</w:t>
      </w:r>
      <w:proofErr w:type="spellEnd"/>
      <w:r w:rsidRPr="00AB5264">
        <w:rPr>
          <w:rFonts w:ascii="Arial" w:hAnsi="Arial" w:cs="Arial"/>
          <w:color w:val="222222"/>
          <w:sz w:val="20"/>
          <w:szCs w:val="20"/>
          <w:shd w:val="clear" w:color="auto" w:fill="FFFFFF"/>
        </w:rPr>
        <w:t xml:space="preserve">, M. (2023). Project-based learning and its effectiveness: evidence from Slovakia. </w:t>
      </w:r>
      <w:r w:rsidRPr="00AB5264">
        <w:rPr>
          <w:rFonts w:ascii="Arial" w:hAnsi="Arial" w:cs="Arial"/>
          <w:i/>
          <w:iCs/>
          <w:color w:val="222222"/>
          <w:sz w:val="20"/>
          <w:szCs w:val="20"/>
          <w:shd w:val="clear" w:color="auto" w:fill="FFFFFF"/>
        </w:rPr>
        <w:t>Interactive Learning Environments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31</w:t>
      </w:r>
      <w:r w:rsidRPr="00AB5264">
        <w:rPr>
          <w:rFonts w:ascii="Arial" w:hAnsi="Arial" w:cs="Arial"/>
          <w:color w:val="222222"/>
          <w:sz w:val="20"/>
          <w:szCs w:val="20"/>
          <w:shd w:val="clear" w:color="auto" w:fill="FFFFFF"/>
        </w:rPr>
        <w:t xml:space="preserve">(7), 4147-4155. </w:t>
      </w:r>
      <w:hyperlink r:id="rId20" w:history="1">
        <w:r w:rsidRPr="00AB5264">
          <w:rPr>
            <w:rFonts w:ascii="Arial" w:hAnsi="Arial" w:cs="Arial"/>
            <w:color w:val="1155CC"/>
            <w:sz w:val="20"/>
            <w:szCs w:val="20"/>
            <w:u w:val="single"/>
            <w:shd w:val="clear" w:color="auto" w:fill="FFFFFF"/>
          </w:rPr>
          <w:t>https://www.tandfonline.com/doi/full/10.1080/10494820.2021.1954036</w:t>
        </w:r>
      </w:hyperlink>
    </w:p>
    <w:p w14:paraId="18061CE6"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Meirink</w:t>
      </w:r>
      <w:proofErr w:type="spellEnd"/>
      <w:r w:rsidRPr="00AB5264">
        <w:rPr>
          <w:rFonts w:ascii="Arial" w:hAnsi="Arial" w:cs="Arial"/>
          <w:color w:val="222222"/>
          <w:sz w:val="20"/>
          <w:szCs w:val="20"/>
          <w:shd w:val="clear" w:color="auto" w:fill="FFFFFF"/>
        </w:rPr>
        <w:t xml:space="preserve">, J., Van Der Want, A., </w:t>
      </w:r>
      <w:proofErr w:type="spellStart"/>
      <w:r w:rsidRPr="00AB5264">
        <w:rPr>
          <w:rFonts w:ascii="Arial" w:hAnsi="Arial" w:cs="Arial"/>
          <w:color w:val="222222"/>
          <w:sz w:val="20"/>
          <w:szCs w:val="20"/>
          <w:shd w:val="clear" w:color="auto" w:fill="FFFFFF"/>
        </w:rPr>
        <w:t>Louws</w:t>
      </w:r>
      <w:proofErr w:type="spellEnd"/>
      <w:r w:rsidRPr="00AB5264">
        <w:rPr>
          <w:rFonts w:ascii="Arial" w:hAnsi="Arial" w:cs="Arial"/>
          <w:color w:val="222222"/>
          <w:sz w:val="20"/>
          <w:szCs w:val="20"/>
          <w:shd w:val="clear" w:color="auto" w:fill="FFFFFF"/>
        </w:rPr>
        <w:t xml:space="preserve">, M., Meijer, P., </w:t>
      </w:r>
      <w:proofErr w:type="spellStart"/>
      <w:r w:rsidRPr="00AB5264">
        <w:rPr>
          <w:rFonts w:ascii="Arial" w:hAnsi="Arial" w:cs="Arial"/>
          <w:color w:val="222222"/>
          <w:sz w:val="20"/>
          <w:szCs w:val="20"/>
          <w:shd w:val="clear" w:color="auto" w:fill="FFFFFF"/>
        </w:rPr>
        <w:t>Oolbekkink-Marchand</w:t>
      </w:r>
      <w:proofErr w:type="spellEnd"/>
      <w:r w:rsidRPr="00AB5264">
        <w:rPr>
          <w:rFonts w:ascii="Arial" w:hAnsi="Arial" w:cs="Arial"/>
          <w:color w:val="222222"/>
          <w:sz w:val="20"/>
          <w:szCs w:val="20"/>
          <w:shd w:val="clear" w:color="auto" w:fill="FFFFFF"/>
        </w:rPr>
        <w:t xml:space="preserve">, H., &amp; Schaap, H. (2020). Beginning teachers’ opportunities for enacting informal teacher leadership: Perceptions of teachers and school management staff members. </w:t>
      </w:r>
      <w:r w:rsidRPr="00AB5264">
        <w:rPr>
          <w:rFonts w:ascii="Arial" w:hAnsi="Arial" w:cs="Arial"/>
          <w:i/>
          <w:iCs/>
          <w:color w:val="222222"/>
          <w:sz w:val="20"/>
          <w:szCs w:val="20"/>
          <w:shd w:val="clear" w:color="auto" w:fill="FFFFFF"/>
        </w:rPr>
        <w:t>European journal of teacher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43</w:t>
      </w:r>
      <w:r w:rsidRPr="00AB5264">
        <w:rPr>
          <w:rFonts w:ascii="Arial" w:hAnsi="Arial" w:cs="Arial"/>
          <w:color w:val="222222"/>
          <w:sz w:val="20"/>
          <w:szCs w:val="20"/>
          <w:shd w:val="clear" w:color="auto" w:fill="FFFFFF"/>
        </w:rPr>
        <w:t xml:space="preserve">(2), 243-257. </w:t>
      </w:r>
      <w:hyperlink r:id="rId21" w:history="1">
        <w:r w:rsidRPr="00AB5264">
          <w:rPr>
            <w:rFonts w:ascii="Arial" w:hAnsi="Arial" w:cs="Arial"/>
            <w:color w:val="1155CC"/>
            <w:sz w:val="20"/>
            <w:szCs w:val="20"/>
            <w:u w:val="single"/>
            <w:shd w:val="clear" w:color="auto" w:fill="FFFFFF"/>
          </w:rPr>
          <w:t>https://www.tandfonline.com/doi/full/10.1080/02619768.2019.1672654</w:t>
        </w:r>
      </w:hyperlink>
      <w:r w:rsidRPr="00AB5264">
        <w:rPr>
          <w:rFonts w:ascii="Arial" w:hAnsi="Arial" w:cs="Arial"/>
          <w:color w:val="222222"/>
          <w:sz w:val="20"/>
          <w:szCs w:val="20"/>
          <w:shd w:val="clear" w:color="auto" w:fill="FFFFFF"/>
        </w:rPr>
        <w:t> </w:t>
      </w:r>
    </w:p>
    <w:p w14:paraId="3D8F66D7"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Noor, S., Isa, F. M., &amp; Mazhar, F. F. (2020). Online teaching practices during the COVID-19 pandemic. </w:t>
      </w:r>
      <w:r w:rsidRPr="00AB5264">
        <w:rPr>
          <w:rFonts w:ascii="Arial" w:hAnsi="Arial" w:cs="Arial"/>
          <w:i/>
          <w:iCs/>
          <w:color w:val="222222"/>
          <w:sz w:val="20"/>
          <w:szCs w:val="20"/>
          <w:shd w:val="clear" w:color="auto" w:fill="FFFFFF"/>
        </w:rPr>
        <w:t>Educational Process: International Journal</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w:t>
      </w:r>
      <w:r w:rsidRPr="00AB5264">
        <w:rPr>
          <w:rFonts w:ascii="Arial" w:hAnsi="Arial" w:cs="Arial"/>
          <w:color w:val="222222"/>
          <w:sz w:val="20"/>
          <w:szCs w:val="20"/>
          <w:shd w:val="clear" w:color="auto" w:fill="FFFFFF"/>
        </w:rPr>
        <w:t xml:space="preserve">(3), 169-184. </w:t>
      </w:r>
      <w:hyperlink r:id="rId22" w:history="1">
        <w:r w:rsidRPr="00AB5264">
          <w:rPr>
            <w:rFonts w:ascii="Arial" w:hAnsi="Arial" w:cs="Arial"/>
            <w:color w:val="1155CC"/>
            <w:sz w:val="20"/>
            <w:szCs w:val="20"/>
            <w:u w:val="single"/>
            <w:shd w:val="clear" w:color="auto" w:fill="FFFFFF"/>
          </w:rPr>
          <w:t>https://eric.ed.gov/?id=EJ1280329</w:t>
        </w:r>
      </w:hyperlink>
    </w:p>
    <w:p w14:paraId="4169244A"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Oguguo</w:t>
      </w:r>
      <w:proofErr w:type="spellEnd"/>
      <w:r w:rsidRPr="00AB5264">
        <w:rPr>
          <w:rFonts w:ascii="Arial" w:hAnsi="Arial" w:cs="Arial"/>
          <w:color w:val="222222"/>
          <w:sz w:val="20"/>
          <w:szCs w:val="20"/>
          <w:shd w:val="clear" w:color="auto" w:fill="FFFFFF"/>
        </w:rPr>
        <w:t xml:space="preserve">, B. C., </w:t>
      </w:r>
      <w:proofErr w:type="spellStart"/>
      <w:r w:rsidRPr="00AB5264">
        <w:rPr>
          <w:rFonts w:ascii="Arial" w:hAnsi="Arial" w:cs="Arial"/>
          <w:color w:val="222222"/>
          <w:sz w:val="20"/>
          <w:szCs w:val="20"/>
          <w:shd w:val="clear" w:color="auto" w:fill="FFFFFF"/>
        </w:rPr>
        <w:t>Nannim</w:t>
      </w:r>
      <w:proofErr w:type="spellEnd"/>
      <w:r w:rsidRPr="00AB5264">
        <w:rPr>
          <w:rFonts w:ascii="Arial" w:hAnsi="Arial" w:cs="Arial"/>
          <w:color w:val="222222"/>
          <w:sz w:val="20"/>
          <w:szCs w:val="20"/>
          <w:shd w:val="clear" w:color="auto" w:fill="FFFFFF"/>
        </w:rPr>
        <w:t xml:space="preserve">, F. A., Agah, J. J., Ugwuanyi, C. S., Ene, C. U., &amp; </w:t>
      </w:r>
      <w:proofErr w:type="spellStart"/>
      <w:r w:rsidRPr="00AB5264">
        <w:rPr>
          <w:rFonts w:ascii="Arial" w:hAnsi="Arial" w:cs="Arial"/>
          <w:color w:val="222222"/>
          <w:sz w:val="20"/>
          <w:szCs w:val="20"/>
          <w:shd w:val="clear" w:color="auto" w:fill="FFFFFF"/>
        </w:rPr>
        <w:t>Nzeadibe</w:t>
      </w:r>
      <w:proofErr w:type="spellEnd"/>
      <w:r w:rsidRPr="00AB5264">
        <w:rPr>
          <w:rFonts w:ascii="Arial" w:hAnsi="Arial" w:cs="Arial"/>
          <w:color w:val="222222"/>
          <w:sz w:val="20"/>
          <w:szCs w:val="20"/>
          <w:shd w:val="clear" w:color="auto" w:fill="FFFFFF"/>
        </w:rPr>
        <w:t xml:space="preserve">, A. C. (2021). Effect of learning management system on Student’s performance in educational measurement and evaluation. </w:t>
      </w:r>
      <w:r w:rsidRPr="00AB5264">
        <w:rPr>
          <w:rFonts w:ascii="Arial" w:hAnsi="Arial" w:cs="Arial"/>
          <w:i/>
          <w:iCs/>
          <w:color w:val="222222"/>
          <w:sz w:val="20"/>
          <w:szCs w:val="20"/>
          <w:shd w:val="clear" w:color="auto" w:fill="FFFFFF"/>
        </w:rPr>
        <w:t>Education and Information Technologies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26</w:t>
      </w:r>
      <w:r w:rsidRPr="00AB5264">
        <w:rPr>
          <w:rFonts w:ascii="Arial" w:hAnsi="Arial" w:cs="Arial"/>
          <w:color w:val="222222"/>
          <w:sz w:val="20"/>
          <w:szCs w:val="20"/>
          <w:shd w:val="clear" w:color="auto" w:fill="FFFFFF"/>
        </w:rPr>
        <w:t xml:space="preserve">, 1471-1483. </w:t>
      </w:r>
      <w:hyperlink r:id="rId23" w:history="1">
        <w:r w:rsidRPr="00AB5264">
          <w:rPr>
            <w:rFonts w:ascii="Arial" w:hAnsi="Arial" w:cs="Arial"/>
            <w:color w:val="1155CC"/>
            <w:sz w:val="20"/>
            <w:szCs w:val="20"/>
            <w:u w:val="single"/>
            <w:shd w:val="clear" w:color="auto" w:fill="FFFFFF"/>
          </w:rPr>
          <w:t>https://link.springer.com/article/10.1007/s10639-020-10318-w</w:t>
        </w:r>
      </w:hyperlink>
    </w:p>
    <w:p w14:paraId="79A21115"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Paderes, B., Constante, J., Cruz, M. G. D., &amp; Dy, S. A. (2025). Teachers' Concepts and Practices of Student-Centered Assessment: A Case of Filipino Senior High School Teachers. </w:t>
      </w:r>
      <w:r w:rsidRPr="00AB5264">
        <w:rPr>
          <w:rFonts w:ascii="Arial" w:hAnsi="Arial" w:cs="Arial"/>
          <w:i/>
          <w:iCs/>
          <w:color w:val="222222"/>
          <w:sz w:val="20"/>
          <w:szCs w:val="20"/>
          <w:shd w:val="clear" w:color="auto" w:fill="FFFFFF"/>
        </w:rPr>
        <w:t>Asian Journal on Perspectives in Education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6</w:t>
      </w:r>
      <w:r w:rsidRPr="00AB5264">
        <w:rPr>
          <w:rFonts w:ascii="Arial" w:hAnsi="Arial" w:cs="Arial"/>
          <w:color w:val="222222"/>
          <w:sz w:val="20"/>
          <w:szCs w:val="20"/>
          <w:shd w:val="clear" w:color="auto" w:fill="FFFFFF"/>
        </w:rPr>
        <w:t xml:space="preserve">(1), 67-80. </w:t>
      </w:r>
      <w:hyperlink r:id="rId24" w:history="1">
        <w:r w:rsidRPr="00AB5264">
          <w:rPr>
            <w:rFonts w:ascii="Arial" w:hAnsi="Arial" w:cs="Arial"/>
            <w:color w:val="1155CC"/>
            <w:sz w:val="20"/>
            <w:szCs w:val="20"/>
            <w:u w:val="single"/>
            <w:shd w:val="clear" w:color="auto" w:fill="FFFFFF"/>
          </w:rPr>
          <w:t>https://ajpe.feu.edu.ph/index.php/ajpe/article/view/12595</w:t>
        </w:r>
      </w:hyperlink>
    </w:p>
    <w:p w14:paraId="5976498A"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Pasion, J. P. (2023). Revitalizing the Organizational Behavior of School Division of Secondary School Teachers of Department of Education in the Philippines. </w:t>
      </w:r>
      <w:hyperlink r:id="rId25" w:history="1">
        <w:r w:rsidRPr="00AB5264">
          <w:rPr>
            <w:rFonts w:ascii="Arial" w:hAnsi="Arial" w:cs="Arial"/>
            <w:color w:val="1155CC"/>
            <w:sz w:val="20"/>
            <w:szCs w:val="20"/>
            <w:u w:val="single"/>
            <w:shd w:val="clear" w:color="auto" w:fill="FFFFFF"/>
          </w:rPr>
          <w:t>https://digibug.ugr.es/handle/10481/84086</w:t>
        </w:r>
      </w:hyperlink>
    </w:p>
    <w:p w14:paraId="29F0172A"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Passarelli, R. (2023). </w:t>
      </w:r>
      <w:r w:rsidRPr="00AB5264">
        <w:rPr>
          <w:rFonts w:ascii="Arial" w:hAnsi="Arial" w:cs="Arial"/>
          <w:i/>
          <w:iCs/>
          <w:color w:val="222222"/>
          <w:sz w:val="20"/>
          <w:szCs w:val="20"/>
          <w:shd w:val="clear" w:color="auto" w:fill="FFFFFF"/>
        </w:rPr>
        <w:t>Formal Teacher Leadership and the Education Management Hierarchy</w:t>
      </w:r>
      <w:r w:rsidRPr="00AB5264">
        <w:rPr>
          <w:rFonts w:ascii="Arial" w:hAnsi="Arial" w:cs="Arial"/>
          <w:color w:val="222222"/>
          <w:sz w:val="20"/>
          <w:szCs w:val="20"/>
          <w:shd w:val="clear" w:color="auto" w:fill="FFFFFF"/>
        </w:rPr>
        <w:t xml:space="preserve"> (Doctoral dissertation, University of Toronto (Canada)). </w:t>
      </w:r>
      <w:hyperlink r:id="rId26" w:history="1">
        <w:r w:rsidRPr="00AB5264">
          <w:rPr>
            <w:rFonts w:ascii="Arial" w:hAnsi="Arial" w:cs="Arial"/>
            <w:color w:val="1155CC"/>
            <w:sz w:val="20"/>
            <w:szCs w:val="20"/>
            <w:u w:val="single"/>
            <w:shd w:val="clear" w:color="auto" w:fill="FFFFFF"/>
          </w:rPr>
          <w:t>https://www.proquest.com/openview/3cca45ebe5e19e0e050e0d4d40c11094/1?pq-origsite=gscholar&amp;cbl=18750&amp;diss=y</w:t>
        </w:r>
      </w:hyperlink>
    </w:p>
    <w:p w14:paraId="7AB56C8A" w14:textId="77777777" w:rsidR="00AB5264" w:rsidRPr="00AB5264" w:rsidRDefault="00AB5264" w:rsidP="00AB5264">
      <w:pPr>
        <w:ind w:left="709" w:hanging="709"/>
        <w:jc w:val="both"/>
        <w:rPr>
          <w:sz w:val="20"/>
          <w:szCs w:val="20"/>
        </w:rPr>
      </w:pPr>
      <w:proofErr w:type="spellStart"/>
      <w:r w:rsidRPr="00AB5264">
        <w:rPr>
          <w:rFonts w:ascii="Arial" w:hAnsi="Arial" w:cs="Arial"/>
          <w:color w:val="000000"/>
          <w:sz w:val="20"/>
          <w:szCs w:val="20"/>
        </w:rPr>
        <w:t>Pregoner</w:t>
      </w:r>
      <w:proofErr w:type="spellEnd"/>
      <w:r w:rsidRPr="00AB5264">
        <w:rPr>
          <w:rFonts w:ascii="Arial" w:hAnsi="Arial" w:cs="Arial"/>
          <w:color w:val="000000"/>
          <w:sz w:val="20"/>
          <w:szCs w:val="20"/>
        </w:rPr>
        <w:t xml:space="preserve">, J. D. (2024). Research approaches in education: A comparison of quantitative, qualitative and mixed methods. </w:t>
      </w:r>
      <w:r w:rsidRPr="00AB5264">
        <w:rPr>
          <w:rFonts w:ascii="Arial" w:hAnsi="Arial" w:cs="Arial"/>
          <w:i/>
          <w:iCs/>
          <w:color w:val="000000"/>
          <w:sz w:val="20"/>
          <w:szCs w:val="20"/>
        </w:rPr>
        <w:t>IMCC Journal of Science</w:t>
      </w:r>
      <w:r w:rsidRPr="00AB5264">
        <w:rPr>
          <w:rFonts w:ascii="Arial" w:hAnsi="Arial" w:cs="Arial"/>
          <w:color w:val="000000"/>
          <w:sz w:val="20"/>
          <w:szCs w:val="20"/>
        </w:rPr>
        <w:t xml:space="preserve">, </w:t>
      </w:r>
      <w:r w:rsidRPr="00AB5264">
        <w:rPr>
          <w:rFonts w:ascii="Arial" w:hAnsi="Arial" w:cs="Arial"/>
          <w:i/>
          <w:iCs/>
          <w:color w:val="000000"/>
          <w:sz w:val="20"/>
          <w:szCs w:val="20"/>
        </w:rPr>
        <w:t>4</w:t>
      </w:r>
      <w:r w:rsidRPr="00AB5264">
        <w:rPr>
          <w:rFonts w:ascii="Arial" w:hAnsi="Arial" w:cs="Arial"/>
          <w:color w:val="000000"/>
          <w:sz w:val="20"/>
          <w:szCs w:val="20"/>
        </w:rPr>
        <w:t xml:space="preserve">(2), 31-36. </w:t>
      </w:r>
      <w:hyperlink r:id="rId27" w:history="1">
        <w:r w:rsidRPr="00AB5264">
          <w:rPr>
            <w:rFonts w:ascii="Arial" w:hAnsi="Arial" w:cs="Arial"/>
            <w:color w:val="000000"/>
            <w:sz w:val="20"/>
            <w:szCs w:val="20"/>
            <w:u w:val="single"/>
          </w:rPr>
          <w:t>https://hal.science/hal-04655066</w:t>
        </w:r>
      </w:hyperlink>
      <w:r w:rsidRPr="00AB5264">
        <w:rPr>
          <w:rFonts w:ascii="Arial" w:hAnsi="Arial" w:cs="Arial"/>
          <w:color w:val="000000"/>
          <w:sz w:val="20"/>
          <w:szCs w:val="20"/>
        </w:rPr>
        <w:t>/</w:t>
      </w:r>
    </w:p>
    <w:p w14:paraId="1D11D283" w14:textId="77777777" w:rsidR="00AB5264" w:rsidRPr="00AB5264" w:rsidRDefault="00AB5264" w:rsidP="00AB5264">
      <w:pPr>
        <w:ind w:left="709" w:hanging="709"/>
        <w:jc w:val="both"/>
        <w:rPr>
          <w:sz w:val="20"/>
          <w:szCs w:val="20"/>
        </w:rPr>
      </w:pPr>
      <w:proofErr w:type="spellStart"/>
      <w:r w:rsidRPr="00AB5264">
        <w:rPr>
          <w:rFonts w:ascii="Arial" w:hAnsi="Arial" w:cs="Arial"/>
          <w:color w:val="000000"/>
          <w:sz w:val="20"/>
          <w:szCs w:val="20"/>
        </w:rPr>
        <w:lastRenderedPageBreak/>
        <w:t>Pregoner</w:t>
      </w:r>
      <w:proofErr w:type="spellEnd"/>
      <w:r w:rsidRPr="00AB5264">
        <w:rPr>
          <w:rFonts w:ascii="Arial" w:hAnsi="Arial" w:cs="Arial"/>
          <w:color w:val="000000"/>
          <w:sz w:val="20"/>
          <w:szCs w:val="20"/>
        </w:rPr>
        <w:t xml:space="preserve">, J. D., </w:t>
      </w:r>
      <w:proofErr w:type="spellStart"/>
      <w:r w:rsidRPr="00AB5264">
        <w:rPr>
          <w:rFonts w:ascii="Arial" w:hAnsi="Arial" w:cs="Arial"/>
          <w:color w:val="000000"/>
          <w:sz w:val="20"/>
          <w:szCs w:val="20"/>
        </w:rPr>
        <w:t>Leopardas</w:t>
      </w:r>
      <w:proofErr w:type="spellEnd"/>
      <w:r w:rsidRPr="00AB5264">
        <w:rPr>
          <w:rFonts w:ascii="Arial" w:hAnsi="Arial" w:cs="Arial"/>
          <w:color w:val="000000"/>
          <w:sz w:val="20"/>
          <w:szCs w:val="20"/>
        </w:rPr>
        <w:t xml:space="preserve">, R., Ganancial, I. J., </w:t>
      </w:r>
      <w:proofErr w:type="spellStart"/>
      <w:r w:rsidRPr="00AB5264">
        <w:rPr>
          <w:rFonts w:ascii="Arial" w:hAnsi="Arial" w:cs="Arial"/>
          <w:color w:val="000000"/>
          <w:sz w:val="20"/>
          <w:szCs w:val="20"/>
        </w:rPr>
        <w:t>Baguhin</w:t>
      </w:r>
      <w:proofErr w:type="spellEnd"/>
      <w:r w:rsidRPr="00AB5264">
        <w:rPr>
          <w:rFonts w:ascii="Arial" w:hAnsi="Arial" w:cs="Arial"/>
          <w:color w:val="000000"/>
          <w:sz w:val="20"/>
          <w:szCs w:val="20"/>
        </w:rPr>
        <w:t xml:space="preserve">, M., &amp; Sedo, F. (2025). Ethical Issues in Conducting Research Using Human Participants in the Post-COVID Era. </w:t>
      </w:r>
      <w:r w:rsidRPr="00AB5264">
        <w:rPr>
          <w:rFonts w:ascii="Arial" w:hAnsi="Arial" w:cs="Arial"/>
          <w:i/>
          <w:iCs/>
          <w:color w:val="000000"/>
          <w:sz w:val="20"/>
          <w:szCs w:val="20"/>
        </w:rPr>
        <w:t>IMCC Journal of Science</w:t>
      </w:r>
      <w:r w:rsidRPr="00AB5264">
        <w:rPr>
          <w:rFonts w:ascii="Arial" w:hAnsi="Arial" w:cs="Arial"/>
          <w:color w:val="000000"/>
          <w:sz w:val="20"/>
          <w:szCs w:val="20"/>
        </w:rPr>
        <w:t xml:space="preserve">, </w:t>
      </w:r>
      <w:r w:rsidRPr="00AB5264">
        <w:rPr>
          <w:rFonts w:ascii="Arial" w:hAnsi="Arial" w:cs="Arial"/>
          <w:i/>
          <w:iCs/>
          <w:color w:val="000000"/>
          <w:sz w:val="20"/>
          <w:szCs w:val="20"/>
        </w:rPr>
        <w:t>5</w:t>
      </w:r>
      <w:r w:rsidRPr="00AB5264">
        <w:rPr>
          <w:rFonts w:ascii="Arial" w:hAnsi="Arial" w:cs="Arial"/>
          <w:color w:val="000000"/>
          <w:sz w:val="20"/>
          <w:szCs w:val="20"/>
        </w:rPr>
        <w:t xml:space="preserve">(1), 1-9. </w:t>
      </w:r>
      <w:hyperlink r:id="rId28" w:history="1">
        <w:r w:rsidRPr="00AB5264">
          <w:rPr>
            <w:rFonts w:ascii="Arial" w:hAnsi="Arial" w:cs="Arial"/>
            <w:color w:val="000000"/>
            <w:sz w:val="20"/>
            <w:szCs w:val="20"/>
            <w:u w:val="single"/>
          </w:rPr>
          <w:t>https://hal.science/hal-05073466</w:t>
        </w:r>
      </w:hyperlink>
      <w:r w:rsidRPr="00AB5264">
        <w:rPr>
          <w:rFonts w:ascii="Arial" w:hAnsi="Arial" w:cs="Arial"/>
          <w:color w:val="000000"/>
          <w:sz w:val="20"/>
          <w:szCs w:val="20"/>
        </w:rPr>
        <w:t>/</w:t>
      </w:r>
    </w:p>
    <w:p w14:paraId="4FC5A01D" w14:textId="77777777" w:rsidR="00AB5264" w:rsidRPr="00AB5264" w:rsidRDefault="00AB5264" w:rsidP="00AB5264">
      <w:pPr>
        <w:ind w:left="709" w:hanging="709"/>
        <w:jc w:val="both"/>
        <w:rPr>
          <w:sz w:val="20"/>
          <w:szCs w:val="20"/>
        </w:rPr>
      </w:pPr>
      <w:proofErr w:type="spellStart"/>
      <w:r w:rsidRPr="00AB5264">
        <w:rPr>
          <w:rFonts w:ascii="Arial" w:hAnsi="Arial" w:cs="Arial"/>
          <w:color w:val="222222"/>
          <w:sz w:val="20"/>
          <w:szCs w:val="20"/>
          <w:shd w:val="clear" w:color="auto" w:fill="FFFFFF"/>
        </w:rPr>
        <w:t>Rabiman</w:t>
      </w:r>
      <w:proofErr w:type="spellEnd"/>
      <w:r w:rsidRPr="00AB5264">
        <w:rPr>
          <w:rFonts w:ascii="Arial" w:hAnsi="Arial" w:cs="Arial"/>
          <w:color w:val="222222"/>
          <w:sz w:val="20"/>
          <w:szCs w:val="20"/>
          <w:shd w:val="clear" w:color="auto" w:fill="FFFFFF"/>
        </w:rPr>
        <w:t xml:space="preserve">, R., </w:t>
      </w:r>
      <w:proofErr w:type="spellStart"/>
      <w:r w:rsidRPr="00AB5264">
        <w:rPr>
          <w:rFonts w:ascii="Arial" w:hAnsi="Arial" w:cs="Arial"/>
          <w:color w:val="222222"/>
          <w:sz w:val="20"/>
          <w:szCs w:val="20"/>
          <w:shd w:val="clear" w:color="auto" w:fill="FFFFFF"/>
        </w:rPr>
        <w:t>Nurtanto</w:t>
      </w:r>
      <w:proofErr w:type="spellEnd"/>
      <w:r w:rsidRPr="00AB5264">
        <w:rPr>
          <w:rFonts w:ascii="Arial" w:hAnsi="Arial" w:cs="Arial"/>
          <w:color w:val="222222"/>
          <w:sz w:val="20"/>
          <w:szCs w:val="20"/>
          <w:shd w:val="clear" w:color="auto" w:fill="FFFFFF"/>
        </w:rPr>
        <w:t xml:space="preserve">, M., &amp; </w:t>
      </w:r>
      <w:proofErr w:type="spellStart"/>
      <w:r w:rsidRPr="00AB5264">
        <w:rPr>
          <w:rFonts w:ascii="Arial" w:hAnsi="Arial" w:cs="Arial"/>
          <w:color w:val="222222"/>
          <w:sz w:val="20"/>
          <w:szCs w:val="20"/>
          <w:shd w:val="clear" w:color="auto" w:fill="FFFFFF"/>
        </w:rPr>
        <w:t>Kholifah</w:t>
      </w:r>
      <w:proofErr w:type="spellEnd"/>
      <w:r w:rsidRPr="00AB5264">
        <w:rPr>
          <w:rFonts w:ascii="Arial" w:hAnsi="Arial" w:cs="Arial"/>
          <w:color w:val="222222"/>
          <w:sz w:val="20"/>
          <w:szCs w:val="20"/>
          <w:shd w:val="clear" w:color="auto" w:fill="FFFFFF"/>
        </w:rPr>
        <w:t xml:space="preserve">, N. (2020). Design and Development E-Learning System by Learning Management System (LMS) in Vocational Education. </w:t>
      </w:r>
      <w:r w:rsidRPr="00AB5264">
        <w:rPr>
          <w:rFonts w:ascii="Arial" w:hAnsi="Arial" w:cs="Arial"/>
          <w:i/>
          <w:iCs/>
          <w:color w:val="222222"/>
          <w:sz w:val="20"/>
          <w:szCs w:val="20"/>
          <w:shd w:val="clear" w:color="auto" w:fill="FFFFFF"/>
        </w:rPr>
        <w:t>Online Submission</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9</w:t>
      </w:r>
      <w:r w:rsidRPr="00AB5264">
        <w:rPr>
          <w:rFonts w:ascii="Arial" w:hAnsi="Arial" w:cs="Arial"/>
          <w:color w:val="222222"/>
          <w:sz w:val="20"/>
          <w:szCs w:val="20"/>
          <w:shd w:val="clear" w:color="auto" w:fill="FFFFFF"/>
        </w:rPr>
        <w:t xml:space="preserve">(1), 1059-1063.  </w:t>
      </w:r>
      <w:hyperlink r:id="rId29" w:history="1">
        <w:r w:rsidRPr="00AB5264">
          <w:rPr>
            <w:rFonts w:ascii="Arial" w:hAnsi="Arial" w:cs="Arial"/>
            <w:color w:val="1155CC"/>
            <w:sz w:val="20"/>
            <w:szCs w:val="20"/>
            <w:u w:val="single"/>
            <w:shd w:val="clear" w:color="auto" w:fill="FFFFFF"/>
          </w:rPr>
          <w:t>https://eric.ed.gov/?id=ed605316</w:t>
        </w:r>
      </w:hyperlink>
    </w:p>
    <w:p w14:paraId="6B9C5F09"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Sabanal, J. A. (2023). </w:t>
      </w:r>
      <w:r w:rsidRPr="00AB5264">
        <w:rPr>
          <w:rFonts w:ascii="Arial" w:hAnsi="Arial" w:cs="Arial"/>
          <w:i/>
          <w:iCs/>
          <w:color w:val="222222"/>
          <w:sz w:val="20"/>
          <w:szCs w:val="20"/>
          <w:shd w:val="clear" w:color="auto" w:fill="FFFFFF"/>
        </w:rPr>
        <w:t>Positive Personality Traits and Self-Efficacy as Correlates to Career Self-Management among Public Secondary School Teachers</w:t>
      </w:r>
      <w:r w:rsidRPr="00AB5264">
        <w:rPr>
          <w:rFonts w:ascii="Arial" w:hAnsi="Arial" w:cs="Arial"/>
          <w:color w:val="222222"/>
          <w:sz w:val="20"/>
          <w:szCs w:val="20"/>
          <w:shd w:val="clear" w:color="auto" w:fill="FFFFFF"/>
        </w:rPr>
        <w:t xml:space="preserve"> (Doctoral dissertation, Doctoral dissertation, University of Mindanao). </w:t>
      </w:r>
      <w:hyperlink r:id="rId30" w:history="1">
        <w:r w:rsidRPr="00AB5264">
          <w:rPr>
            <w:rFonts w:ascii="Arial" w:hAnsi="Arial" w:cs="Arial"/>
            <w:color w:val="1155CC"/>
            <w:sz w:val="20"/>
            <w:szCs w:val="20"/>
            <w:u w:val="single"/>
            <w:shd w:val="clear" w:color="auto" w:fill="FFFFFF"/>
          </w:rPr>
          <w:t>https://econpapers.repec.org/article/bcpjournl/v_3a7_3ay_3a2023_3ai_3a12_3ap_3a1432-1457.htm</w:t>
        </w:r>
      </w:hyperlink>
    </w:p>
    <w:p w14:paraId="68F6C8B0"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Saro, J., </w:t>
      </w:r>
      <w:proofErr w:type="spellStart"/>
      <w:r w:rsidRPr="00AB5264">
        <w:rPr>
          <w:rFonts w:ascii="Arial" w:hAnsi="Arial" w:cs="Arial"/>
          <w:color w:val="222222"/>
          <w:sz w:val="20"/>
          <w:szCs w:val="20"/>
          <w:shd w:val="clear" w:color="auto" w:fill="FFFFFF"/>
        </w:rPr>
        <w:t>Silabay</w:t>
      </w:r>
      <w:proofErr w:type="spellEnd"/>
      <w:r w:rsidRPr="00AB5264">
        <w:rPr>
          <w:rFonts w:ascii="Arial" w:hAnsi="Arial" w:cs="Arial"/>
          <w:color w:val="222222"/>
          <w:sz w:val="20"/>
          <w:szCs w:val="20"/>
          <w:shd w:val="clear" w:color="auto" w:fill="FFFFFF"/>
        </w:rPr>
        <w:t xml:space="preserve">, A., </w:t>
      </w:r>
      <w:proofErr w:type="spellStart"/>
      <w:r w:rsidRPr="00AB5264">
        <w:rPr>
          <w:rFonts w:ascii="Arial" w:hAnsi="Arial" w:cs="Arial"/>
          <w:color w:val="222222"/>
          <w:sz w:val="20"/>
          <w:szCs w:val="20"/>
          <w:shd w:val="clear" w:color="auto" w:fill="FFFFFF"/>
        </w:rPr>
        <w:t>Lumbanon</w:t>
      </w:r>
      <w:proofErr w:type="spellEnd"/>
      <w:r w:rsidRPr="00AB5264">
        <w:rPr>
          <w:rFonts w:ascii="Arial" w:hAnsi="Arial" w:cs="Arial"/>
          <w:color w:val="222222"/>
          <w:sz w:val="20"/>
          <w:szCs w:val="20"/>
          <w:shd w:val="clear" w:color="auto" w:fill="FFFFFF"/>
        </w:rPr>
        <w:t xml:space="preserve">, J., </w:t>
      </w:r>
      <w:proofErr w:type="spellStart"/>
      <w:r w:rsidRPr="00AB5264">
        <w:rPr>
          <w:rFonts w:ascii="Arial" w:hAnsi="Arial" w:cs="Arial"/>
          <w:color w:val="222222"/>
          <w:sz w:val="20"/>
          <w:szCs w:val="20"/>
          <w:shd w:val="clear" w:color="auto" w:fill="FFFFFF"/>
        </w:rPr>
        <w:t>Pepugal</w:t>
      </w:r>
      <w:proofErr w:type="spellEnd"/>
      <w:r w:rsidRPr="00AB5264">
        <w:rPr>
          <w:rFonts w:ascii="Arial" w:hAnsi="Arial" w:cs="Arial"/>
          <w:color w:val="222222"/>
          <w:sz w:val="20"/>
          <w:szCs w:val="20"/>
          <w:shd w:val="clear" w:color="auto" w:fill="FFFFFF"/>
        </w:rPr>
        <w:t xml:space="preserve">, E., &amp; Pareja, M. (2022). School-Based Management: Reevaluating and Innovating Learning Outcomes to Refine Schools’ Performances and Practices. </w:t>
      </w:r>
      <w:r w:rsidRPr="00AB5264">
        <w:rPr>
          <w:rFonts w:ascii="Arial" w:hAnsi="Arial" w:cs="Arial"/>
          <w:i/>
          <w:iCs/>
          <w:color w:val="222222"/>
          <w:sz w:val="20"/>
          <w:szCs w:val="20"/>
          <w:shd w:val="clear" w:color="auto" w:fill="FFFFFF"/>
        </w:rPr>
        <w:t>Psychology and Education: A Multidisciplinary Journal</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4</w:t>
      </w:r>
      <w:r w:rsidRPr="00AB5264">
        <w:rPr>
          <w:rFonts w:ascii="Arial" w:hAnsi="Arial" w:cs="Arial"/>
          <w:color w:val="222222"/>
          <w:sz w:val="20"/>
          <w:szCs w:val="20"/>
          <w:shd w:val="clear" w:color="auto" w:fill="FFFFFF"/>
        </w:rPr>
        <w:t xml:space="preserve">(5), 439-448. </w:t>
      </w:r>
      <w:hyperlink r:id="rId31" w:history="1">
        <w:r w:rsidRPr="00AB5264">
          <w:rPr>
            <w:rFonts w:ascii="Arial" w:hAnsi="Arial" w:cs="Arial"/>
            <w:color w:val="1155CC"/>
            <w:sz w:val="20"/>
            <w:szCs w:val="20"/>
            <w:u w:val="single"/>
            <w:shd w:val="clear" w:color="auto" w:fill="FFFFFF"/>
          </w:rPr>
          <w:t>https://www.ejournals.ph/article.php?id=20714</w:t>
        </w:r>
      </w:hyperlink>
    </w:p>
    <w:p w14:paraId="5E7E01D8"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Yang, G., </w:t>
      </w:r>
      <w:proofErr w:type="spellStart"/>
      <w:r w:rsidRPr="00AB5264">
        <w:rPr>
          <w:rFonts w:ascii="Arial" w:hAnsi="Arial" w:cs="Arial"/>
          <w:color w:val="222222"/>
          <w:sz w:val="20"/>
          <w:szCs w:val="20"/>
          <w:shd w:val="clear" w:color="auto" w:fill="FFFFFF"/>
        </w:rPr>
        <w:t>Xuesong</w:t>
      </w:r>
      <w:proofErr w:type="spellEnd"/>
      <w:r w:rsidRPr="00AB5264">
        <w:rPr>
          <w:rFonts w:ascii="Arial" w:hAnsi="Arial" w:cs="Arial"/>
          <w:color w:val="222222"/>
          <w:sz w:val="20"/>
          <w:szCs w:val="20"/>
          <w:shd w:val="clear" w:color="auto" w:fill="FFFFFF"/>
        </w:rPr>
        <w:t xml:space="preserve">, G., &amp; Boning, L. (2020). Teaching Chinese as a second or foreign language to non-Chinese learners in mainland China (2014–2018). </w:t>
      </w:r>
      <w:r w:rsidRPr="00AB5264">
        <w:rPr>
          <w:rFonts w:ascii="Arial" w:hAnsi="Arial" w:cs="Arial"/>
          <w:i/>
          <w:iCs/>
          <w:color w:val="222222"/>
          <w:sz w:val="20"/>
          <w:szCs w:val="20"/>
          <w:shd w:val="clear" w:color="auto" w:fill="FFFFFF"/>
        </w:rPr>
        <w:t>Language Teaching</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53</w:t>
      </w:r>
      <w:r w:rsidRPr="00AB5264">
        <w:rPr>
          <w:rFonts w:ascii="Arial" w:hAnsi="Arial" w:cs="Arial"/>
          <w:color w:val="222222"/>
          <w:sz w:val="20"/>
          <w:szCs w:val="20"/>
          <w:shd w:val="clear" w:color="auto" w:fill="FFFFFF"/>
        </w:rPr>
        <w:t xml:space="preserve">(1), 44-62. </w:t>
      </w:r>
      <w:hyperlink r:id="rId32" w:history="1">
        <w:r w:rsidRPr="00AB5264">
          <w:rPr>
            <w:rFonts w:ascii="Arial" w:hAnsi="Arial" w:cs="Arial"/>
            <w:color w:val="1155CC"/>
            <w:sz w:val="20"/>
            <w:szCs w:val="20"/>
            <w:u w:val="single"/>
            <w:shd w:val="clear" w:color="auto" w:fill="FFFFFF"/>
          </w:rPr>
          <w:t>https://doi.org/10.1017/S0261444819000387</w:t>
        </w:r>
      </w:hyperlink>
    </w:p>
    <w:p w14:paraId="2319A99E"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Yin, J., Goh, T. T., Yang, B., &amp; </w:t>
      </w:r>
      <w:proofErr w:type="spellStart"/>
      <w:r w:rsidRPr="00AB5264">
        <w:rPr>
          <w:rFonts w:ascii="Arial" w:hAnsi="Arial" w:cs="Arial"/>
          <w:color w:val="222222"/>
          <w:sz w:val="20"/>
          <w:szCs w:val="20"/>
          <w:shd w:val="clear" w:color="auto" w:fill="FFFFFF"/>
        </w:rPr>
        <w:t>Xiaobin</w:t>
      </w:r>
      <w:proofErr w:type="spellEnd"/>
      <w:r w:rsidRPr="00AB5264">
        <w:rPr>
          <w:rFonts w:ascii="Arial" w:hAnsi="Arial" w:cs="Arial"/>
          <w:color w:val="222222"/>
          <w:sz w:val="20"/>
          <w:szCs w:val="20"/>
          <w:shd w:val="clear" w:color="auto" w:fill="FFFFFF"/>
        </w:rPr>
        <w:t xml:space="preserve">, Y. (2021). Conversation technology with micro-learning: The impact of chatbot-based learning on students’ learning motivation and performance. </w:t>
      </w:r>
      <w:r w:rsidRPr="00AB5264">
        <w:rPr>
          <w:rFonts w:ascii="Arial" w:hAnsi="Arial" w:cs="Arial"/>
          <w:i/>
          <w:iCs/>
          <w:color w:val="222222"/>
          <w:sz w:val="20"/>
          <w:szCs w:val="20"/>
          <w:shd w:val="clear" w:color="auto" w:fill="FFFFFF"/>
        </w:rPr>
        <w:t>Journal of Educational Computing Research</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59</w:t>
      </w:r>
      <w:r w:rsidRPr="00AB5264">
        <w:rPr>
          <w:rFonts w:ascii="Arial" w:hAnsi="Arial" w:cs="Arial"/>
          <w:color w:val="222222"/>
          <w:sz w:val="20"/>
          <w:szCs w:val="20"/>
          <w:shd w:val="clear" w:color="auto" w:fill="FFFFFF"/>
        </w:rPr>
        <w:t xml:space="preserve">(1), 154-177. </w:t>
      </w:r>
      <w:hyperlink r:id="rId33" w:history="1">
        <w:r w:rsidRPr="00AB5264">
          <w:rPr>
            <w:rFonts w:ascii="Arial" w:hAnsi="Arial" w:cs="Arial"/>
            <w:color w:val="1155CC"/>
            <w:sz w:val="20"/>
            <w:szCs w:val="20"/>
            <w:u w:val="single"/>
            <w:shd w:val="clear" w:color="auto" w:fill="FFFFFF"/>
          </w:rPr>
          <w:t>https://journals.sagepub.com/doi/abs/10.1177/0735633120952067</w:t>
        </w:r>
      </w:hyperlink>
    </w:p>
    <w:p w14:paraId="2A8CC653" w14:textId="77777777" w:rsidR="00AB5264" w:rsidRPr="00AB5264" w:rsidRDefault="00AB5264" w:rsidP="00AB5264">
      <w:pPr>
        <w:ind w:left="709" w:hanging="709"/>
        <w:jc w:val="both"/>
        <w:rPr>
          <w:sz w:val="20"/>
          <w:szCs w:val="20"/>
        </w:rPr>
      </w:pPr>
      <w:r w:rsidRPr="00AB5264">
        <w:rPr>
          <w:rFonts w:ascii="Arial" w:hAnsi="Arial" w:cs="Arial"/>
          <w:color w:val="222222"/>
          <w:sz w:val="20"/>
          <w:szCs w:val="20"/>
          <w:shd w:val="clear" w:color="auto" w:fill="FFFFFF"/>
        </w:rPr>
        <w:t xml:space="preserve">Yoshida, N., Matsuda, M., &amp; Miyamoto, Y. (2021). Intercultural collaborative lesson study between Japan and Germany. </w:t>
      </w:r>
      <w:r w:rsidRPr="00AB5264">
        <w:rPr>
          <w:rFonts w:ascii="Arial" w:hAnsi="Arial" w:cs="Arial"/>
          <w:i/>
          <w:iCs/>
          <w:color w:val="222222"/>
          <w:sz w:val="20"/>
          <w:szCs w:val="20"/>
          <w:shd w:val="clear" w:color="auto" w:fill="FFFFFF"/>
        </w:rPr>
        <w:t>International Journal for Lesson &amp; Learning Studies</w:t>
      </w:r>
      <w:r w:rsidRPr="00AB5264">
        <w:rPr>
          <w:rFonts w:ascii="Arial" w:hAnsi="Arial" w:cs="Arial"/>
          <w:color w:val="222222"/>
          <w:sz w:val="20"/>
          <w:szCs w:val="20"/>
          <w:shd w:val="clear" w:color="auto" w:fill="FFFFFF"/>
        </w:rPr>
        <w:t xml:space="preserve">, </w:t>
      </w:r>
      <w:r w:rsidRPr="00AB5264">
        <w:rPr>
          <w:rFonts w:ascii="Arial" w:hAnsi="Arial" w:cs="Arial"/>
          <w:i/>
          <w:iCs/>
          <w:color w:val="222222"/>
          <w:sz w:val="20"/>
          <w:szCs w:val="20"/>
          <w:shd w:val="clear" w:color="auto" w:fill="FFFFFF"/>
        </w:rPr>
        <w:t>10</w:t>
      </w:r>
      <w:r w:rsidRPr="00AB5264">
        <w:rPr>
          <w:rFonts w:ascii="Arial" w:hAnsi="Arial" w:cs="Arial"/>
          <w:color w:val="222222"/>
          <w:sz w:val="20"/>
          <w:szCs w:val="20"/>
          <w:shd w:val="clear" w:color="auto" w:fill="FFFFFF"/>
        </w:rPr>
        <w:t>(3), 245-259.</w:t>
      </w:r>
      <w:hyperlink r:id="rId34" w:history="1">
        <w:r w:rsidRPr="00AB5264">
          <w:rPr>
            <w:rFonts w:ascii="Arial" w:hAnsi="Arial" w:cs="Arial"/>
            <w:color w:val="1155CC"/>
            <w:sz w:val="20"/>
            <w:szCs w:val="20"/>
            <w:u w:val="single"/>
            <w:shd w:val="clear" w:color="auto" w:fill="FFFFFF"/>
          </w:rPr>
          <w:t>https://www.emerald.com/insight/content/doi/10.1108/ijlls-07-2020-0045/full/html</w:t>
        </w:r>
      </w:hyperlink>
    </w:p>
    <w:sectPr w:rsidR="00AB5264" w:rsidRPr="00AB5264" w:rsidSect="00312D40">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5AB70" w14:textId="77777777" w:rsidR="0093567D" w:rsidRDefault="0093567D">
      <w:r>
        <w:separator/>
      </w:r>
    </w:p>
  </w:endnote>
  <w:endnote w:type="continuationSeparator" w:id="0">
    <w:p w14:paraId="3124A32E" w14:textId="77777777" w:rsidR="0093567D" w:rsidRDefault="0093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9672" w14:textId="77777777" w:rsidR="00312D40" w:rsidRDefault="00312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9956" w14:textId="77777777" w:rsidR="00312D40" w:rsidRDefault="00312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2575C2DF" w:rsidR="00717F2E" w:rsidRPr="00312D40" w:rsidRDefault="00717F2E" w:rsidP="00312D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3C998" w14:textId="77777777" w:rsidR="0093567D" w:rsidRDefault="0093567D">
      <w:r>
        <w:separator/>
      </w:r>
    </w:p>
  </w:footnote>
  <w:footnote w:type="continuationSeparator" w:id="0">
    <w:p w14:paraId="55FE8ED3" w14:textId="77777777" w:rsidR="0093567D" w:rsidRDefault="0093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C685" w14:textId="263C1AE2" w:rsidR="00312D40" w:rsidRDefault="0093567D">
    <w:pPr>
      <w:pStyle w:val="Header"/>
    </w:pPr>
    <w:r>
      <w:rPr>
        <w:noProof/>
      </w:rPr>
      <w:pict w14:anchorId="04435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5B40" w14:textId="6821C746" w:rsidR="00312D40" w:rsidRDefault="0093567D">
    <w:pPr>
      <w:pStyle w:val="Header"/>
    </w:pPr>
    <w:r>
      <w:rPr>
        <w:noProof/>
      </w:rPr>
      <w:pict w14:anchorId="542D4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3E30C865" w:rsidR="00717F2E" w:rsidRDefault="0093567D">
    <w:pPr>
      <w:ind w:left="2160"/>
      <w:jc w:val="center"/>
      <w:rPr>
        <w:rFonts w:eastAsia="Calibri"/>
        <w:i/>
        <w:sz w:val="18"/>
        <w:szCs w:val="22"/>
      </w:rPr>
    </w:pPr>
    <w:r>
      <w:rPr>
        <w:noProof/>
      </w:rPr>
      <w:pict w14:anchorId="33A0E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2FE390C6" w14:textId="77777777" w:rsidR="00717F2E" w:rsidRDefault="00180859">
    <w:pPr>
      <w:ind w:left="4320"/>
      <w:rPr>
        <w:rFonts w:eastAsia="Calibri"/>
        <w:i/>
        <w:sz w:val="18"/>
        <w:szCs w:val="22"/>
      </w:rPr>
    </w:pPr>
    <w:r>
      <w:rPr>
        <w:rFonts w:eastAsia="Calibri"/>
        <w:i/>
        <w:sz w:val="18"/>
        <w:szCs w:val="22"/>
      </w:rPr>
      <w:t xml:space="preserve">.     </w:t>
    </w:r>
  </w:p>
  <w:p w14:paraId="4835D4B8" w14:textId="77777777" w:rsidR="00717F2E" w:rsidRDefault="00180859">
    <w:pPr>
      <w:jc w:val="center"/>
      <w:rPr>
        <w:rFonts w:eastAsia="Calibri"/>
        <w:i/>
        <w:sz w:val="18"/>
        <w:szCs w:val="22"/>
      </w:rPr>
    </w:pPr>
    <w:r>
      <w:rPr>
        <w:rFonts w:eastAsia="Calibri"/>
        <w:i/>
        <w:sz w:val="18"/>
        <w:szCs w:val="22"/>
      </w:rPr>
      <w:t>.</w:t>
    </w:r>
  </w:p>
  <w:p w14:paraId="542E7A0C" w14:textId="77777777" w:rsidR="00717F2E" w:rsidRDefault="00180859">
    <w:pPr>
      <w:spacing w:after="200"/>
      <w:jc w:val="center"/>
      <w:rPr>
        <w:rFonts w:eastAsia="Calibri"/>
        <w:b/>
        <w:i/>
        <w:sz w:val="32"/>
        <w:szCs w:val="22"/>
      </w:rPr>
    </w:pPr>
    <w:r>
      <w:rPr>
        <w:rFonts w:eastAsia="Calibri"/>
        <w:b/>
        <w:i/>
        <w:sz w:val="32"/>
        <w:szCs w:val="22"/>
      </w:rPr>
      <w:t xml:space="preserve">              . </w:t>
    </w:r>
  </w:p>
  <w:p w14:paraId="160D0B15" w14:textId="77777777" w:rsidR="00717F2E" w:rsidRDefault="00180859">
    <w:pPr>
      <w:jc w:val="center"/>
      <w:rPr>
        <w:rFonts w:eastAsia="Calibri"/>
        <w:i/>
        <w:sz w:val="18"/>
        <w:szCs w:val="22"/>
      </w:rPr>
    </w:pPr>
    <w:r>
      <w:rPr>
        <w:rFonts w:eastAsia="Calibri"/>
        <w:i/>
        <w:sz w:val="18"/>
        <w:szCs w:val="22"/>
      </w:rPr>
      <w:t xml:space="preserve">                     </w:t>
    </w:r>
  </w:p>
  <w:p w14:paraId="0D6EED9D" w14:textId="77777777" w:rsidR="00717F2E" w:rsidRDefault="00180859">
    <w:pPr>
      <w:tabs>
        <w:tab w:val="left" w:pos="2145"/>
      </w:tabs>
      <w:rPr>
        <w:rFonts w:eastAsia="Calibri"/>
        <w:i/>
        <w:sz w:val="18"/>
        <w:szCs w:val="22"/>
      </w:rPr>
    </w:pPr>
    <w:r>
      <w:rPr>
        <w:rFonts w:eastAsia="Calibri"/>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0980" w14:textId="13C907F2" w:rsidR="00312D40" w:rsidRDefault="0093567D">
    <w:pPr>
      <w:pStyle w:val="Header"/>
    </w:pPr>
    <w:r>
      <w:rPr>
        <w:noProof/>
      </w:rPr>
      <w:pict w14:anchorId="6D23D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58CF" w14:textId="551F1BAE" w:rsidR="00312D40" w:rsidRDefault="0093567D">
    <w:pPr>
      <w:pStyle w:val="Header"/>
    </w:pPr>
    <w:r>
      <w:rPr>
        <w:noProof/>
      </w:rPr>
      <w:pict w14:anchorId="620AD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40FD" w14:textId="24F4DC69" w:rsidR="00312D40" w:rsidRDefault="0093567D">
    <w:pPr>
      <w:pStyle w:val="Header"/>
    </w:pPr>
    <w:r>
      <w:rPr>
        <w:noProof/>
      </w:rPr>
      <w:pict w14:anchorId="1CF2A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10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B12"/>
    <w:rsid w:val="00014095"/>
    <w:rsid w:val="00015C44"/>
    <w:rsid w:val="00017E5D"/>
    <w:rsid w:val="00021449"/>
    <w:rsid w:val="00021967"/>
    <w:rsid w:val="00021FDF"/>
    <w:rsid w:val="00024B4F"/>
    <w:rsid w:val="000254BB"/>
    <w:rsid w:val="00025BD1"/>
    <w:rsid w:val="000260E3"/>
    <w:rsid w:val="00030174"/>
    <w:rsid w:val="000320BB"/>
    <w:rsid w:val="00037406"/>
    <w:rsid w:val="00037475"/>
    <w:rsid w:val="00043453"/>
    <w:rsid w:val="0004445B"/>
    <w:rsid w:val="0004512C"/>
    <w:rsid w:val="0004579C"/>
    <w:rsid w:val="00045CD6"/>
    <w:rsid w:val="00046AE8"/>
    <w:rsid w:val="00052575"/>
    <w:rsid w:val="00052710"/>
    <w:rsid w:val="000531C9"/>
    <w:rsid w:val="00053A37"/>
    <w:rsid w:val="00053CE0"/>
    <w:rsid w:val="00054B24"/>
    <w:rsid w:val="00054B91"/>
    <w:rsid w:val="00055D31"/>
    <w:rsid w:val="0005727A"/>
    <w:rsid w:val="00057C65"/>
    <w:rsid w:val="000603D4"/>
    <w:rsid w:val="00061339"/>
    <w:rsid w:val="000647E2"/>
    <w:rsid w:val="00065B83"/>
    <w:rsid w:val="0006706E"/>
    <w:rsid w:val="0006786A"/>
    <w:rsid w:val="00067A0F"/>
    <w:rsid w:val="00067B98"/>
    <w:rsid w:val="0007021A"/>
    <w:rsid w:val="00073A00"/>
    <w:rsid w:val="00073DA5"/>
    <w:rsid w:val="000763D2"/>
    <w:rsid w:val="00077C3B"/>
    <w:rsid w:val="00081ACB"/>
    <w:rsid w:val="000827FD"/>
    <w:rsid w:val="00082C9F"/>
    <w:rsid w:val="00084A16"/>
    <w:rsid w:val="000852B4"/>
    <w:rsid w:val="00090DFA"/>
    <w:rsid w:val="00091339"/>
    <w:rsid w:val="00095BAE"/>
    <w:rsid w:val="00095F34"/>
    <w:rsid w:val="00096483"/>
    <w:rsid w:val="00096CB5"/>
    <w:rsid w:val="00096E7E"/>
    <w:rsid w:val="000A2230"/>
    <w:rsid w:val="000A3474"/>
    <w:rsid w:val="000A3EDA"/>
    <w:rsid w:val="000A47FA"/>
    <w:rsid w:val="000A51CD"/>
    <w:rsid w:val="000A61FE"/>
    <w:rsid w:val="000A65D3"/>
    <w:rsid w:val="000A77F6"/>
    <w:rsid w:val="000B03FC"/>
    <w:rsid w:val="000B1E33"/>
    <w:rsid w:val="000B6BC1"/>
    <w:rsid w:val="000B75B1"/>
    <w:rsid w:val="000C43E4"/>
    <w:rsid w:val="000C5AE7"/>
    <w:rsid w:val="000C6E8D"/>
    <w:rsid w:val="000C70E2"/>
    <w:rsid w:val="000C73EB"/>
    <w:rsid w:val="000C7F7D"/>
    <w:rsid w:val="000D2384"/>
    <w:rsid w:val="000D23E6"/>
    <w:rsid w:val="000D31C5"/>
    <w:rsid w:val="000D5F80"/>
    <w:rsid w:val="000D6596"/>
    <w:rsid w:val="000D6816"/>
    <w:rsid w:val="000D689F"/>
    <w:rsid w:val="000D75B5"/>
    <w:rsid w:val="000D7A6E"/>
    <w:rsid w:val="000D7D15"/>
    <w:rsid w:val="000E14BC"/>
    <w:rsid w:val="000E2902"/>
    <w:rsid w:val="000E2A0D"/>
    <w:rsid w:val="000E3042"/>
    <w:rsid w:val="000E3FD1"/>
    <w:rsid w:val="000E4875"/>
    <w:rsid w:val="000E4A79"/>
    <w:rsid w:val="000E7B7B"/>
    <w:rsid w:val="000E7C38"/>
    <w:rsid w:val="000E7D62"/>
    <w:rsid w:val="000F3C5B"/>
    <w:rsid w:val="000F64BC"/>
    <w:rsid w:val="000F668F"/>
    <w:rsid w:val="000F7123"/>
    <w:rsid w:val="00100CCE"/>
    <w:rsid w:val="00103357"/>
    <w:rsid w:val="00107572"/>
    <w:rsid w:val="0011125C"/>
    <w:rsid w:val="00113238"/>
    <w:rsid w:val="00115F49"/>
    <w:rsid w:val="00117553"/>
    <w:rsid w:val="00122285"/>
    <w:rsid w:val="00122E99"/>
    <w:rsid w:val="00123C9F"/>
    <w:rsid w:val="001242A5"/>
    <w:rsid w:val="00126190"/>
    <w:rsid w:val="00126507"/>
    <w:rsid w:val="00126BC5"/>
    <w:rsid w:val="00130F17"/>
    <w:rsid w:val="00131057"/>
    <w:rsid w:val="00131A6D"/>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2F4C"/>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3217"/>
    <w:rsid w:val="001B41D7"/>
    <w:rsid w:val="001B489B"/>
    <w:rsid w:val="001B785F"/>
    <w:rsid w:val="001B7F30"/>
    <w:rsid w:val="001C12F6"/>
    <w:rsid w:val="001C2FC3"/>
    <w:rsid w:val="001C4AD5"/>
    <w:rsid w:val="001C572B"/>
    <w:rsid w:val="001C6E86"/>
    <w:rsid w:val="001C71EE"/>
    <w:rsid w:val="001C73EE"/>
    <w:rsid w:val="001D0BDE"/>
    <w:rsid w:val="001D10E2"/>
    <w:rsid w:val="001D3A51"/>
    <w:rsid w:val="001D4380"/>
    <w:rsid w:val="001D79BA"/>
    <w:rsid w:val="001D7EA8"/>
    <w:rsid w:val="001E10D2"/>
    <w:rsid w:val="001E25B4"/>
    <w:rsid w:val="001E44FE"/>
    <w:rsid w:val="001E5B29"/>
    <w:rsid w:val="001E6121"/>
    <w:rsid w:val="001E7EB7"/>
    <w:rsid w:val="001F5175"/>
    <w:rsid w:val="001F7F3C"/>
    <w:rsid w:val="00200595"/>
    <w:rsid w:val="00200CF7"/>
    <w:rsid w:val="0020136A"/>
    <w:rsid w:val="002039CD"/>
    <w:rsid w:val="00203AF9"/>
    <w:rsid w:val="00204835"/>
    <w:rsid w:val="002074B8"/>
    <w:rsid w:val="00210B0F"/>
    <w:rsid w:val="00210C28"/>
    <w:rsid w:val="002170C0"/>
    <w:rsid w:val="00224DE5"/>
    <w:rsid w:val="002274C1"/>
    <w:rsid w:val="002309B8"/>
    <w:rsid w:val="00231920"/>
    <w:rsid w:val="0023195C"/>
    <w:rsid w:val="00237589"/>
    <w:rsid w:val="00240CE3"/>
    <w:rsid w:val="00241741"/>
    <w:rsid w:val="0024282C"/>
    <w:rsid w:val="00245CB7"/>
    <w:rsid w:val="00245D7C"/>
    <w:rsid w:val="002460DC"/>
    <w:rsid w:val="00246DC7"/>
    <w:rsid w:val="00250985"/>
    <w:rsid w:val="0025105D"/>
    <w:rsid w:val="00251748"/>
    <w:rsid w:val="00251946"/>
    <w:rsid w:val="002556F6"/>
    <w:rsid w:val="00256452"/>
    <w:rsid w:val="00256882"/>
    <w:rsid w:val="00257B3D"/>
    <w:rsid w:val="002622D4"/>
    <w:rsid w:val="00264A59"/>
    <w:rsid w:val="00266E67"/>
    <w:rsid w:val="00271F07"/>
    <w:rsid w:val="002755D7"/>
    <w:rsid w:val="002814B3"/>
    <w:rsid w:val="00283105"/>
    <w:rsid w:val="00283BED"/>
    <w:rsid w:val="00284C4C"/>
    <w:rsid w:val="00293C16"/>
    <w:rsid w:val="00293C4C"/>
    <w:rsid w:val="00296529"/>
    <w:rsid w:val="0029657B"/>
    <w:rsid w:val="00296ED2"/>
    <w:rsid w:val="002A22A5"/>
    <w:rsid w:val="002A238C"/>
    <w:rsid w:val="002A2A4C"/>
    <w:rsid w:val="002A4219"/>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1811"/>
    <w:rsid w:val="002E3D6C"/>
    <w:rsid w:val="002E4205"/>
    <w:rsid w:val="002F2031"/>
    <w:rsid w:val="002F2D06"/>
    <w:rsid w:val="002F42EB"/>
    <w:rsid w:val="002F5C4B"/>
    <w:rsid w:val="002F5E64"/>
    <w:rsid w:val="0030202C"/>
    <w:rsid w:val="00303A6C"/>
    <w:rsid w:val="00303E14"/>
    <w:rsid w:val="00304434"/>
    <w:rsid w:val="00304469"/>
    <w:rsid w:val="003074EB"/>
    <w:rsid w:val="003078F7"/>
    <w:rsid w:val="00312D40"/>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616"/>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76B"/>
    <w:rsid w:val="00362B79"/>
    <w:rsid w:val="00362D97"/>
    <w:rsid w:val="00363B3A"/>
    <w:rsid w:val="00363CA7"/>
    <w:rsid w:val="00370286"/>
    <w:rsid w:val="00371FB6"/>
    <w:rsid w:val="003763C1"/>
    <w:rsid w:val="00376A55"/>
    <w:rsid w:val="00376BBE"/>
    <w:rsid w:val="00377430"/>
    <w:rsid w:val="00377AD0"/>
    <w:rsid w:val="0038437D"/>
    <w:rsid w:val="00384B44"/>
    <w:rsid w:val="003872C9"/>
    <w:rsid w:val="0039224F"/>
    <w:rsid w:val="00394EAF"/>
    <w:rsid w:val="00395884"/>
    <w:rsid w:val="003A090F"/>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0907"/>
    <w:rsid w:val="003C4335"/>
    <w:rsid w:val="003C44A6"/>
    <w:rsid w:val="003C4C86"/>
    <w:rsid w:val="003C6258"/>
    <w:rsid w:val="003D171B"/>
    <w:rsid w:val="003D2D0A"/>
    <w:rsid w:val="003D3677"/>
    <w:rsid w:val="003D4C18"/>
    <w:rsid w:val="003D61C5"/>
    <w:rsid w:val="003D6BA6"/>
    <w:rsid w:val="003D7548"/>
    <w:rsid w:val="003D7E45"/>
    <w:rsid w:val="003E2904"/>
    <w:rsid w:val="003E3399"/>
    <w:rsid w:val="003E37A2"/>
    <w:rsid w:val="003E467A"/>
    <w:rsid w:val="003E49AD"/>
    <w:rsid w:val="003E671C"/>
    <w:rsid w:val="003E7C0F"/>
    <w:rsid w:val="003F10CF"/>
    <w:rsid w:val="003F2281"/>
    <w:rsid w:val="003F3B63"/>
    <w:rsid w:val="003F760A"/>
    <w:rsid w:val="004010F9"/>
    <w:rsid w:val="00401927"/>
    <w:rsid w:val="00403CB1"/>
    <w:rsid w:val="004040B3"/>
    <w:rsid w:val="00404135"/>
    <w:rsid w:val="0041027F"/>
    <w:rsid w:val="00410AB7"/>
    <w:rsid w:val="00412475"/>
    <w:rsid w:val="0041280F"/>
    <w:rsid w:val="004138D3"/>
    <w:rsid w:val="00414F82"/>
    <w:rsid w:val="00415D76"/>
    <w:rsid w:val="00416DDE"/>
    <w:rsid w:val="00423789"/>
    <w:rsid w:val="0042572C"/>
    <w:rsid w:val="004277BF"/>
    <w:rsid w:val="00430496"/>
    <w:rsid w:val="00432C42"/>
    <w:rsid w:val="00432DD0"/>
    <w:rsid w:val="00434182"/>
    <w:rsid w:val="004346E5"/>
    <w:rsid w:val="00437079"/>
    <w:rsid w:val="00440F43"/>
    <w:rsid w:val="0044134F"/>
    <w:rsid w:val="00441B6F"/>
    <w:rsid w:val="00446221"/>
    <w:rsid w:val="00450E62"/>
    <w:rsid w:val="004539DB"/>
    <w:rsid w:val="00454D68"/>
    <w:rsid w:val="00456851"/>
    <w:rsid w:val="004605A5"/>
    <w:rsid w:val="004608EE"/>
    <w:rsid w:val="00460BE9"/>
    <w:rsid w:val="004611A9"/>
    <w:rsid w:val="00461262"/>
    <w:rsid w:val="00463446"/>
    <w:rsid w:val="0046509F"/>
    <w:rsid w:val="004653D0"/>
    <w:rsid w:val="004658C8"/>
    <w:rsid w:val="00465C00"/>
    <w:rsid w:val="00465DA5"/>
    <w:rsid w:val="00466478"/>
    <w:rsid w:val="00470E83"/>
    <w:rsid w:val="00471A80"/>
    <w:rsid w:val="004735A4"/>
    <w:rsid w:val="00474519"/>
    <w:rsid w:val="00483372"/>
    <w:rsid w:val="0048547F"/>
    <w:rsid w:val="00486F48"/>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2D55"/>
    <w:rsid w:val="004F45E4"/>
    <w:rsid w:val="004F7E11"/>
    <w:rsid w:val="00500D35"/>
    <w:rsid w:val="00502516"/>
    <w:rsid w:val="00502C0C"/>
    <w:rsid w:val="00502D46"/>
    <w:rsid w:val="00503ADC"/>
    <w:rsid w:val="00504CAB"/>
    <w:rsid w:val="00505231"/>
    <w:rsid w:val="00505F06"/>
    <w:rsid w:val="00506828"/>
    <w:rsid w:val="0050761B"/>
    <w:rsid w:val="00507A73"/>
    <w:rsid w:val="00517AFC"/>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3397"/>
    <w:rsid w:val="00587F26"/>
    <w:rsid w:val="00590BF3"/>
    <w:rsid w:val="00591549"/>
    <w:rsid w:val="005923EA"/>
    <w:rsid w:val="00592DF4"/>
    <w:rsid w:val="0059704E"/>
    <w:rsid w:val="005A463E"/>
    <w:rsid w:val="005A4C3F"/>
    <w:rsid w:val="005A6405"/>
    <w:rsid w:val="005A6625"/>
    <w:rsid w:val="005B0E96"/>
    <w:rsid w:val="005B1BAF"/>
    <w:rsid w:val="005B222E"/>
    <w:rsid w:val="005B2E0E"/>
    <w:rsid w:val="005B3F31"/>
    <w:rsid w:val="005B5EA4"/>
    <w:rsid w:val="005C2662"/>
    <w:rsid w:val="005C2AB0"/>
    <w:rsid w:val="005C3039"/>
    <w:rsid w:val="005C456F"/>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0713B"/>
    <w:rsid w:val="00611918"/>
    <w:rsid w:val="0061357D"/>
    <w:rsid w:val="00613CF9"/>
    <w:rsid w:val="00615452"/>
    <w:rsid w:val="006162E2"/>
    <w:rsid w:val="00617FDD"/>
    <w:rsid w:val="00620108"/>
    <w:rsid w:val="0062010D"/>
    <w:rsid w:val="006203C5"/>
    <w:rsid w:val="00621CBF"/>
    <w:rsid w:val="00622252"/>
    <w:rsid w:val="0062246A"/>
    <w:rsid w:val="00624014"/>
    <w:rsid w:val="006264D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65F2"/>
    <w:rsid w:val="00657A66"/>
    <w:rsid w:val="00663234"/>
    <w:rsid w:val="0066510A"/>
    <w:rsid w:val="00665B52"/>
    <w:rsid w:val="00665BF0"/>
    <w:rsid w:val="00665D1C"/>
    <w:rsid w:val="006671D0"/>
    <w:rsid w:val="006706E9"/>
    <w:rsid w:val="00673F9F"/>
    <w:rsid w:val="00681775"/>
    <w:rsid w:val="00681E63"/>
    <w:rsid w:val="00682376"/>
    <w:rsid w:val="00683035"/>
    <w:rsid w:val="00684AAB"/>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4C66"/>
    <w:rsid w:val="006A6872"/>
    <w:rsid w:val="006A68BD"/>
    <w:rsid w:val="006A71C2"/>
    <w:rsid w:val="006B0BD5"/>
    <w:rsid w:val="006B21D3"/>
    <w:rsid w:val="006B57D0"/>
    <w:rsid w:val="006B66D1"/>
    <w:rsid w:val="006B7388"/>
    <w:rsid w:val="006B77F3"/>
    <w:rsid w:val="006C0110"/>
    <w:rsid w:val="006C24B2"/>
    <w:rsid w:val="006C294F"/>
    <w:rsid w:val="006C3422"/>
    <w:rsid w:val="006C6977"/>
    <w:rsid w:val="006C74D5"/>
    <w:rsid w:val="006D0988"/>
    <w:rsid w:val="006D30FF"/>
    <w:rsid w:val="006D5A76"/>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0B7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2F74"/>
    <w:rsid w:val="00744278"/>
    <w:rsid w:val="00745358"/>
    <w:rsid w:val="0074551A"/>
    <w:rsid w:val="00746A58"/>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2172"/>
    <w:rsid w:val="00776DAC"/>
    <w:rsid w:val="00776F82"/>
    <w:rsid w:val="0077749E"/>
    <w:rsid w:val="00777894"/>
    <w:rsid w:val="00777EFB"/>
    <w:rsid w:val="00780A16"/>
    <w:rsid w:val="00781D5E"/>
    <w:rsid w:val="00781F66"/>
    <w:rsid w:val="00790ADA"/>
    <w:rsid w:val="00791230"/>
    <w:rsid w:val="0079158F"/>
    <w:rsid w:val="00792F5F"/>
    <w:rsid w:val="00793F54"/>
    <w:rsid w:val="007969E9"/>
    <w:rsid w:val="007A2E32"/>
    <w:rsid w:val="007A351A"/>
    <w:rsid w:val="007A52F2"/>
    <w:rsid w:val="007A5FBD"/>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542"/>
    <w:rsid w:val="007E565A"/>
    <w:rsid w:val="007E5C64"/>
    <w:rsid w:val="007E7A7F"/>
    <w:rsid w:val="007F209D"/>
    <w:rsid w:val="007F2720"/>
    <w:rsid w:val="007F3209"/>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4F98"/>
    <w:rsid w:val="008453DD"/>
    <w:rsid w:val="00847952"/>
    <w:rsid w:val="00850E61"/>
    <w:rsid w:val="00851CF6"/>
    <w:rsid w:val="0085546E"/>
    <w:rsid w:val="0085657A"/>
    <w:rsid w:val="00860000"/>
    <w:rsid w:val="00861C5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6200"/>
    <w:rsid w:val="008A7E29"/>
    <w:rsid w:val="008B459E"/>
    <w:rsid w:val="008B6AE3"/>
    <w:rsid w:val="008C1E2D"/>
    <w:rsid w:val="008C2330"/>
    <w:rsid w:val="008C3CF9"/>
    <w:rsid w:val="008C5747"/>
    <w:rsid w:val="008C65DE"/>
    <w:rsid w:val="008D0509"/>
    <w:rsid w:val="008D1544"/>
    <w:rsid w:val="008D4CC6"/>
    <w:rsid w:val="008D5531"/>
    <w:rsid w:val="008D6E31"/>
    <w:rsid w:val="008E13AE"/>
    <w:rsid w:val="008E1506"/>
    <w:rsid w:val="008E1D48"/>
    <w:rsid w:val="008E3BFB"/>
    <w:rsid w:val="008E710C"/>
    <w:rsid w:val="008F0221"/>
    <w:rsid w:val="008F2E29"/>
    <w:rsid w:val="008F446C"/>
    <w:rsid w:val="008F5B17"/>
    <w:rsid w:val="008F69D6"/>
    <w:rsid w:val="00902823"/>
    <w:rsid w:val="00907A49"/>
    <w:rsid w:val="00907C80"/>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3567D"/>
    <w:rsid w:val="00940320"/>
    <w:rsid w:val="00947E63"/>
    <w:rsid w:val="009500A6"/>
    <w:rsid w:val="00951100"/>
    <w:rsid w:val="00952916"/>
    <w:rsid w:val="00957C18"/>
    <w:rsid w:val="00957C4C"/>
    <w:rsid w:val="00960222"/>
    <w:rsid w:val="00960D9E"/>
    <w:rsid w:val="009628FB"/>
    <w:rsid w:val="00962B44"/>
    <w:rsid w:val="00962C41"/>
    <w:rsid w:val="00962EC8"/>
    <w:rsid w:val="009648BB"/>
    <w:rsid w:val="009659BA"/>
    <w:rsid w:val="0096663E"/>
    <w:rsid w:val="0096697A"/>
    <w:rsid w:val="00966B8A"/>
    <w:rsid w:val="009676BB"/>
    <w:rsid w:val="00970217"/>
    <w:rsid w:val="00972E76"/>
    <w:rsid w:val="00973D3A"/>
    <w:rsid w:val="00973FFA"/>
    <w:rsid w:val="0097678A"/>
    <w:rsid w:val="00976CB2"/>
    <w:rsid w:val="009770DF"/>
    <w:rsid w:val="00982C5E"/>
    <w:rsid w:val="00982CC1"/>
    <w:rsid w:val="00982E47"/>
    <w:rsid w:val="00983040"/>
    <w:rsid w:val="0098668C"/>
    <w:rsid w:val="009913C6"/>
    <w:rsid w:val="00991ABC"/>
    <w:rsid w:val="00994FC5"/>
    <w:rsid w:val="009950D9"/>
    <w:rsid w:val="00995521"/>
    <w:rsid w:val="009A361E"/>
    <w:rsid w:val="009A447A"/>
    <w:rsid w:val="009A4B52"/>
    <w:rsid w:val="009A5463"/>
    <w:rsid w:val="009A5ABF"/>
    <w:rsid w:val="009B02B2"/>
    <w:rsid w:val="009B2860"/>
    <w:rsid w:val="009B2A64"/>
    <w:rsid w:val="009B3195"/>
    <w:rsid w:val="009B3FB9"/>
    <w:rsid w:val="009B4824"/>
    <w:rsid w:val="009B4BA0"/>
    <w:rsid w:val="009B614E"/>
    <w:rsid w:val="009C0A64"/>
    <w:rsid w:val="009C211B"/>
    <w:rsid w:val="009C2465"/>
    <w:rsid w:val="009C4360"/>
    <w:rsid w:val="009C6219"/>
    <w:rsid w:val="009C63D2"/>
    <w:rsid w:val="009C66BE"/>
    <w:rsid w:val="009D062A"/>
    <w:rsid w:val="009D346B"/>
    <w:rsid w:val="009D35A0"/>
    <w:rsid w:val="009D5D98"/>
    <w:rsid w:val="009D5F81"/>
    <w:rsid w:val="009D7EB7"/>
    <w:rsid w:val="009E048A"/>
    <w:rsid w:val="009E06BC"/>
    <w:rsid w:val="009E08E9"/>
    <w:rsid w:val="009E115B"/>
    <w:rsid w:val="009E1832"/>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073EF"/>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2B33"/>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5264"/>
    <w:rsid w:val="00AB703F"/>
    <w:rsid w:val="00AB71CE"/>
    <w:rsid w:val="00AB7BD9"/>
    <w:rsid w:val="00AB7F0D"/>
    <w:rsid w:val="00AC0C96"/>
    <w:rsid w:val="00AC14F6"/>
    <w:rsid w:val="00AC2477"/>
    <w:rsid w:val="00AC5747"/>
    <w:rsid w:val="00AC6BB8"/>
    <w:rsid w:val="00AD3432"/>
    <w:rsid w:val="00AD41CE"/>
    <w:rsid w:val="00AD47EC"/>
    <w:rsid w:val="00AD6E79"/>
    <w:rsid w:val="00AD752D"/>
    <w:rsid w:val="00AD766B"/>
    <w:rsid w:val="00AD7C27"/>
    <w:rsid w:val="00AE008F"/>
    <w:rsid w:val="00AE2CF7"/>
    <w:rsid w:val="00AE3293"/>
    <w:rsid w:val="00AE3FEB"/>
    <w:rsid w:val="00AE3FFB"/>
    <w:rsid w:val="00AE4F46"/>
    <w:rsid w:val="00AF0598"/>
    <w:rsid w:val="00AF0868"/>
    <w:rsid w:val="00AF1FF8"/>
    <w:rsid w:val="00AF2CBB"/>
    <w:rsid w:val="00AF52FA"/>
    <w:rsid w:val="00AF7082"/>
    <w:rsid w:val="00B01FCD"/>
    <w:rsid w:val="00B02104"/>
    <w:rsid w:val="00B03EB8"/>
    <w:rsid w:val="00B07178"/>
    <w:rsid w:val="00B07779"/>
    <w:rsid w:val="00B07F18"/>
    <w:rsid w:val="00B10C30"/>
    <w:rsid w:val="00B112C4"/>
    <w:rsid w:val="00B14546"/>
    <w:rsid w:val="00B14AA9"/>
    <w:rsid w:val="00B14F9A"/>
    <w:rsid w:val="00B1776C"/>
    <w:rsid w:val="00B20ABE"/>
    <w:rsid w:val="00B211F4"/>
    <w:rsid w:val="00B21345"/>
    <w:rsid w:val="00B23046"/>
    <w:rsid w:val="00B23383"/>
    <w:rsid w:val="00B237FB"/>
    <w:rsid w:val="00B278F0"/>
    <w:rsid w:val="00B31AFA"/>
    <w:rsid w:val="00B32415"/>
    <w:rsid w:val="00B346C5"/>
    <w:rsid w:val="00B346D1"/>
    <w:rsid w:val="00B35882"/>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05EB"/>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549D"/>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1782"/>
    <w:rsid w:val="00BE230B"/>
    <w:rsid w:val="00BE50CB"/>
    <w:rsid w:val="00BE62AD"/>
    <w:rsid w:val="00BF121F"/>
    <w:rsid w:val="00BF1D4D"/>
    <w:rsid w:val="00BF1F80"/>
    <w:rsid w:val="00BF2939"/>
    <w:rsid w:val="00BF2CC9"/>
    <w:rsid w:val="00BF7728"/>
    <w:rsid w:val="00C01D17"/>
    <w:rsid w:val="00C05B06"/>
    <w:rsid w:val="00C05F9F"/>
    <w:rsid w:val="00C06F68"/>
    <w:rsid w:val="00C07CB7"/>
    <w:rsid w:val="00C11D4D"/>
    <w:rsid w:val="00C13D7A"/>
    <w:rsid w:val="00C13DDA"/>
    <w:rsid w:val="00C15151"/>
    <w:rsid w:val="00C15F69"/>
    <w:rsid w:val="00C166EF"/>
    <w:rsid w:val="00C176C2"/>
    <w:rsid w:val="00C17EB0"/>
    <w:rsid w:val="00C20AB9"/>
    <w:rsid w:val="00C237B6"/>
    <w:rsid w:val="00C23862"/>
    <w:rsid w:val="00C24DF4"/>
    <w:rsid w:val="00C275A8"/>
    <w:rsid w:val="00C27F5F"/>
    <w:rsid w:val="00C3075A"/>
    <w:rsid w:val="00C30A0F"/>
    <w:rsid w:val="00C31AEC"/>
    <w:rsid w:val="00C362F5"/>
    <w:rsid w:val="00C37E61"/>
    <w:rsid w:val="00C41063"/>
    <w:rsid w:val="00C4218D"/>
    <w:rsid w:val="00C425E7"/>
    <w:rsid w:val="00C42B0D"/>
    <w:rsid w:val="00C43FC7"/>
    <w:rsid w:val="00C4471A"/>
    <w:rsid w:val="00C455E5"/>
    <w:rsid w:val="00C532EF"/>
    <w:rsid w:val="00C5460A"/>
    <w:rsid w:val="00C548AC"/>
    <w:rsid w:val="00C555E5"/>
    <w:rsid w:val="00C56639"/>
    <w:rsid w:val="00C63652"/>
    <w:rsid w:val="00C63EF9"/>
    <w:rsid w:val="00C65D13"/>
    <w:rsid w:val="00C705A4"/>
    <w:rsid w:val="00C70F1B"/>
    <w:rsid w:val="00C71A47"/>
    <w:rsid w:val="00C72DF1"/>
    <w:rsid w:val="00C73A36"/>
    <w:rsid w:val="00C73E17"/>
    <w:rsid w:val="00C741DB"/>
    <w:rsid w:val="00C7464C"/>
    <w:rsid w:val="00C75625"/>
    <w:rsid w:val="00C768A5"/>
    <w:rsid w:val="00C8034F"/>
    <w:rsid w:val="00C8198B"/>
    <w:rsid w:val="00C81A14"/>
    <w:rsid w:val="00C838DC"/>
    <w:rsid w:val="00C85588"/>
    <w:rsid w:val="00C85987"/>
    <w:rsid w:val="00C868A2"/>
    <w:rsid w:val="00C904DE"/>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9E5"/>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759"/>
    <w:rsid w:val="00D21D9E"/>
    <w:rsid w:val="00D21E8D"/>
    <w:rsid w:val="00D227D5"/>
    <w:rsid w:val="00D233F6"/>
    <w:rsid w:val="00D23445"/>
    <w:rsid w:val="00D23B1F"/>
    <w:rsid w:val="00D24440"/>
    <w:rsid w:val="00D311B1"/>
    <w:rsid w:val="00D31407"/>
    <w:rsid w:val="00D32F12"/>
    <w:rsid w:val="00D341E9"/>
    <w:rsid w:val="00D41A18"/>
    <w:rsid w:val="00D42848"/>
    <w:rsid w:val="00D429C7"/>
    <w:rsid w:val="00D42F2F"/>
    <w:rsid w:val="00D430F1"/>
    <w:rsid w:val="00D453B9"/>
    <w:rsid w:val="00D4578A"/>
    <w:rsid w:val="00D468AD"/>
    <w:rsid w:val="00D46AD9"/>
    <w:rsid w:val="00D5041B"/>
    <w:rsid w:val="00D53603"/>
    <w:rsid w:val="00D53911"/>
    <w:rsid w:val="00D53D1B"/>
    <w:rsid w:val="00D54014"/>
    <w:rsid w:val="00D5414B"/>
    <w:rsid w:val="00D542B6"/>
    <w:rsid w:val="00D545D7"/>
    <w:rsid w:val="00D54B4E"/>
    <w:rsid w:val="00D54EB8"/>
    <w:rsid w:val="00D550A7"/>
    <w:rsid w:val="00D56A11"/>
    <w:rsid w:val="00D57184"/>
    <w:rsid w:val="00D60E73"/>
    <w:rsid w:val="00D615D3"/>
    <w:rsid w:val="00D62A6B"/>
    <w:rsid w:val="00D6326F"/>
    <w:rsid w:val="00D64B9B"/>
    <w:rsid w:val="00D66561"/>
    <w:rsid w:val="00D668D6"/>
    <w:rsid w:val="00D67D5C"/>
    <w:rsid w:val="00D71536"/>
    <w:rsid w:val="00D717BB"/>
    <w:rsid w:val="00D71E66"/>
    <w:rsid w:val="00D72CC0"/>
    <w:rsid w:val="00D73646"/>
    <w:rsid w:val="00D76D49"/>
    <w:rsid w:val="00D772CA"/>
    <w:rsid w:val="00D77F8D"/>
    <w:rsid w:val="00D77FBA"/>
    <w:rsid w:val="00D815DA"/>
    <w:rsid w:val="00D82866"/>
    <w:rsid w:val="00D8295D"/>
    <w:rsid w:val="00D82BE9"/>
    <w:rsid w:val="00D83816"/>
    <w:rsid w:val="00D83D9C"/>
    <w:rsid w:val="00D8415F"/>
    <w:rsid w:val="00D9068F"/>
    <w:rsid w:val="00D927CC"/>
    <w:rsid w:val="00D92CBE"/>
    <w:rsid w:val="00D95C45"/>
    <w:rsid w:val="00DA1BFB"/>
    <w:rsid w:val="00DA28B7"/>
    <w:rsid w:val="00DA3A1E"/>
    <w:rsid w:val="00DA3D24"/>
    <w:rsid w:val="00DB02A8"/>
    <w:rsid w:val="00DB03BF"/>
    <w:rsid w:val="00DB0B12"/>
    <w:rsid w:val="00DB0B8E"/>
    <w:rsid w:val="00DB27EE"/>
    <w:rsid w:val="00DB46B2"/>
    <w:rsid w:val="00DC09E0"/>
    <w:rsid w:val="00DC0BFC"/>
    <w:rsid w:val="00DC14A4"/>
    <w:rsid w:val="00DC2754"/>
    <w:rsid w:val="00DC2A65"/>
    <w:rsid w:val="00DC7D2C"/>
    <w:rsid w:val="00DD0B2B"/>
    <w:rsid w:val="00DD1370"/>
    <w:rsid w:val="00DD1EA9"/>
    <w:rsid w:val="00DD4FC9"/>
    <w:rsid w:val="00DD5EA2"/>
    <w:rsid w:val="00DD6431"/>
    <w:rsid w:val="00DD68C1"/>
    <w:rsid w:val="00DD6A4E"/>
    <w:rsid w:val="00DD733B"/>
    <w:rsid w:val="00DD7E9A"/>
    <w:rsid w:val="00DE15F0"/>
    <w:rsid w:val="00DE32FA"/>
    <w:rsid w:val="00DE3EAB"/>
    <w:rsid w:val="00DE5663"/>
    <w:rsid w:val="00DE7644"/>
    <w:rsid w:val="00DE767A"/>
    <w:rsid w:val="00DE78AA"/>
    <w:rsid w:val="00DF4C95"/>
    <w:rsid w:val="00E009EA"/>
    <w:rsid w:val="00E053D0"/>
    <w:rsid w:val="00E05409"/>
    <w:rsid w:val="00E05D72"/>
    <w:rsid w:val="00E0794F"/>
    <w:rsid w:val="00E100D0"/>
    <w:rsid w:val="00E103CF"/>
    <w:rsid w:val="00E1109D"/>
    <w:rsid w:val="00E112E6"/>
    <w:rsid w:val="00E1142D"/>
    <w:rsid w:val="00E1151B"/>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1F40"/>
    <w:rsid w:val="00E64B1B"/>
    <w:rsid w:val="00E66496"/>
    <w:rsid w:val="00E66A3C"/>
    <w:rsid w:val="00E66B35"/>
    <w:rsid w:val="00E66E10"/>
    <w:rsid w:val="00E70CB4"/>
    <w:rsid w:val="00E71A6B"/>
    <w:rsid w:val="00E744D3"/>
    <w:rsid w:val="00E75068"/>
    <w:rsid w:val="00E75538"/>
    <w:rsid w:val="00E769F6"/>
    <w:rsid w:val="00E8043E"/>
    <w:rsid w:val="00E80D52"/>
    <w:rsid w:val="00E8217A"/>
    <w:rsid w:val="00E82357"/>
    <w:rsid w:val="00E824CE"/>
    <w:rsid w:val="00E8407C"/>
    <w:rsid w:val="00E84F3C"/>
    <w:rsid w:val="00E855E0"/>
    <w:rsid w:val="00E94083"/>
    <w:rsid w:val="00E94E5E"/>
    <w:rsid w:val="00E9718F"/>
    <w:rsid w:val="00EA012C"/>
    <w:rsid w:val="00EA70C1"/>
    <w:rsid w:val="00EB1CD4"/>
    <w:rsid w:val="00EB1D47"/>
    <w:rsid w:val="00EB2E0E"/>
    <w:rsid w:val="00EB37EA"/>
    <w:rsid w:val="00EB5483"/>
    <w:rsid w:val="00EB7104"/>
    <w:rsid w:val="00EB7AEC"/>
    <w:rsid w:val="00EC0D56"/>
    <w:rsid w:val="00EC3636"/>
    <w:rsid w:val="00EC7AAE"/>
    <w:rsid w:val="00ED0288"/>
    <w:rsid w:val="00ED2411"/>
    <w:rsid w:val="00ED54F5"/>
    <w:rsid w:val="00ED741E"/>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379D4"/>
    <w:rsid w:val="00F40FB0"/>
    <w:rsid w:val="00F41F1C"/>
    <w:rsid w:val="00F4246D"/>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9675E"/>
    <w:rsid w:val="00FA0D6E"/>
    <w:rsid w:val="00FA2543"/>
    <w:rsid w:val="00FB3A86"/>
    <w:rsid w:val="00FB469D"/>
    <w:rsid w:val="00FB6C0F"/>
    <w:rsid w:val="00FB7F6C"/>
    <w:rsid w:val="00FC4F69"/>
    <w:rsid w:val="00FD227E"/>
    <w:rsid w:val="00FD270D"/>
    <w:rsid w:val="00FD2B99"/>
    <w:rsid w:val="00FD36C8"/>
    <w:rsid w:val="00FD5070"/>
    <w:rsid w:val="00FE32B3"/>
    <w:rsid w:val="00FE379F"/>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264"/>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456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115755686">
      <w:bodyDiv w:val="1"/>
      <w:marLeft w:val="0"/>
      <w:marRight w:val="0"/>
      <w:marTop w:val="0"/>
      <w:marBottom w:val="0"/>
      <w:divBdr>
        <w:top w:val="none" w:sz="0" w:space="0" w:color="auto"/>
        <w:left w:val="none" w:sz="0" w:space="0" w:color="auto"/>
        <w:bottom w:val="none" w:sz="0" w:space="0" w:color="auto"/>
        <w:right w:val="none" w:sz="0" w:space="0" w:color="auto"/>
      </w:divBdr>
    </w:div>
    <w:div w:id="1533686651">
      <w:bodyDiv w:val="1"/>
      <w:marLeft w:val="0"/>
      <w:marRight w:val="0"/>
      <w:marTop w:val="0"/>
      <w:marBottom w:val="0"/>
      <w:divBdr>
        <w:top w:val="none" w:sz="0" w:space="0" w:color="auto"/>
        <w:left w:val="none" w:sz="0" w:space="0" w:color="auto"/>
        <w:bottom w:val="none" w:sz="0" w:space="0" w:color="auto"/>
        <w:right w:val="none" w:sz="0" w:space="0" w:color="auto"/>
      </w:divBdr>
    </w:div>
    <w:div w:id="1713724961">
      <w:bodyDiv w:val="1"/>
      <w:marLeft w:val="0"/>
      <w:marRight w:val="0"/>
      <w:marTop w:val="0"/>
      <w:marBottom w:val="0"/>
      <w:divBdr>
        <w:top w:val="none" w:sz="0" w:space="0" w:color="auto"/>
        <w:left w:val="none" w:sz="0" w:space="0" w:color="auto"/>
        <w:bottom w:val="none" w:sz="0" w:space="0" w:color="auto"/>
        <w:right w:val="none" w:sz="0" w:space="0" w:color="auto"/>
      </w:divBdr>
    </w:div>
    <w:div w:id="203175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dfs.semanticscholar.org/ceda/de7d11cf4d7c87f23615713590c79f6af2f5.pdf" TargetMode="External"/><Relationship Id="rId26" Type="http://schemas.openxmlformats.org/officeDocument/2006/relationships/hyperlink" Target="https://www.proquest.com/openview/3cca45ebe5e19e0e050e0d4d40c11094/1?pq-origsite=gscholar&amp;cbl=18750&amp;diss=y" TargetMode="External"/><Relationship Id="rId39" Type="http://schemas.openxmlformats.org/officeDocument/2006/relationships/fontTable" Target="fontTable.xml"/><Relationship Id="rId21" Type="http://schemas.openxmlformats.org/officeDocument/2006/relationships/hyperlink" Target="https://www.tandfonline.com/doi/full/10.1080/02619768.2019.1672654" TargetMode="External"/><Relationship Id="rId34" Type="http://schemas.openxmlformats.org/officeDocument/2006/relationships/hyperlink" Target="https://www.emerald.com/insight/content/doi/10.1108/ijlls-07-2020-0045/full/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abs/pii/S0883035518324297" TargetMode="External"/><Relationship Id="rId25" Type="http://schemas.openxmlformats.org/officeDocument/2006/relationships/hyperlink" Target="https://digibug.ugr.es/handle/10481/84086" TargetMode="External"/><Relationship Id="rId33" Type="http://schemas.openxmlformats.org/officeDocument/2006/relationships/hyperlink" Target="https://journals.sagepub.com/doi/abs/10.1177/0735633120952067"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learntechlib.org/primary/p/216179/" TargetMode="External"/><Relationship Id="rId20" Type="http://schemas.openxmlformats.org/officeDocument/2006/relationships/hyperlink" Target="https://www.tandfonline.com/doi/full/10.1080/10494820.2021.1954036" TargetMode="External"/><Relationship Id="rId29" Type="http://schemas.openxmlformats.org/officeDocument/2006/relationships/hyperlink" Target="https://eric.ed.gov/?id=ed605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jpe.feu.edu.ph/index.php/ajpe/article/view/12595" TargetMode="External"/><Relationship Id="rId32" Type="http://schemas.openxmlformats.org/officeDocument/2006/relationships/hyperlink" Target="https://doi.org/10.1017/S0261444819000387"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aylorfrancis.com/chapters/edit/10.4324/9781003141907-8/teacher-collaboration-30-years-research-nature-forms-limitations-effects-andy-hargreaves" TargetMode="External"/><Relationship Id="rId23" Type="http://schemas.openxmlformats.org/officeDocument/2006/relationships/hyperlink" Target="https://link.springer.com/article/10.1007/s10639-020-10318-w" TargetMode="External"/><Relationship Id="rId28" Type="http://schemas.openxmlformats.org/officeDocument/2006/relationships/hyperlink" Target="https://hal.science/hal-05073466/"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7763/1943-5045-90.3.397" TargetMode="External"/><Relationship Id="rId31" Type="http://schemas.openxmlformats.org/officeDocument/2006/relationships/hyperlink" Target="https://www.ejournals.ph/article.php?id=207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eric.ed.gov/?id=EJ1280329" TargetMode="External"/><Relationship Id="rId27" Type="http://schemas.openxmlformats.org/officeDocument/2006/relationships/hyperlink" Target="https://hal.science/hal-04655066/" TargetMode="External"/><Relationship Id="rId30" Type="http://schemas.openxmlformats.org/officeDocument/2006/relationships/hyperlink" Target="https://econpapers.repec.org/article/bcpjournl/v_3a7_3ay_3a2023_3ai_3a12_3ap_3a1432-1457.htm"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13</Pages>
  <Words>5887</Words>
  <Characters>33560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217</cp:revision>
  <cp:lastPrinted>2024-10-20T02:52:00Z</cp:lastPrinted>
  <dcterms:created xsi:type="dcterms:W3CDTF">2025-06-16T10:47:00Z</dcterms:created>
  <dcterms:modified xsi:type="dcterms:W3CDTF">2025-06-20T05:33:00Z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