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F6A1" w14:textId="00163C9C" w:rsidR="00803FFE" w:rsidRDefault="00803FFE" w:rsidP="00047B15">
      <w:pPr>
        <w:spacing w:after="0"/>
        <w:jc w:val="center"/>
        <w:rPr>
          <w:rFonts w:ascii="Times New Roman" w:hAnsi="Times New Roman" w:cs="Times New Roman"/>
          <w:b/>
          <w:bCs/>
          <w:sz w:val="24"/>
          <w:szCs w:val="24"/>
        </w:rPr>
      </w:pPr>
    </w:p>
    <w:p w14:paraId="701FD009" w14:textId="6DAE552D" w:rsidR="00803FFE" w:rsidRPr="00E2635E" w:rsidRDefault="00803FFE" w:rsidP="00047B15">
      <w:pPr>
        <w:spacing w:after="0"/>
        <w:jc w:val="center"/>
        <w:rPr>
          <w:rFonts w:ascii="Times New Roman" w:hAnsi="Times New Roman" w:cs="Times New Roman"/>
          <w:b/>
          <w:bCs/>
          <w:sz w:val="24"/>
          <w:szCs w:val="24"/>
        </w:rPr>
      </w:pPr>
      <w:r w:rsidRPr="00803FFE">
        <w:rPr>
          <w:rFonts w:ascii="Times New Roman" w:hAnsi="Times New Roman" w:cs="Times New Roman"/>
          <w:b/>
          <w:bCs/>
          <w:sz w:val="24"/>
          <w:szCs w:val="24"/>
          <w:highlight w:val="yellow"/>
        </w:rPr>
        <w:t xml:space="preserve">The Impact of Financial Inclusion on Crop Production in Nigeria: </w:t>
      </w:r>
      <w:r w:rsidR="002D3C50">
        <w:rPr>
          <w:rFonts w:ascii="Times New Roman" w:hAnsi="Times New Roman" w:cs="Times New Roman"/>
          <w:b/>
          <w:bCs/>
          <w:sz w:val="24"/>
          <w:szCs w:val="24"/>
          <w:highlight w:val="yellow"/>
        </w:rPr>
        <w:t xml:space="preserve">An </w:t>
      </w:r>
      <w:r w:rsidRPr="00803FFE">
        <w:rPr>
          <w:rFonts w:ascii="Times New Roman" w:hAnsi="Times New Roman" w:cs="Times New Roman"/>
          <w:b/>
          <w:bCs/>
          <w:sz w:val="24"/>
          <w:szCs w:val="24"/>
          <w:highlight w:val="yellow"/>
        </w:rPr>
        <w:t>Econometric Case Study</w:t>
      </w:r>
    </w:p>
    <w:p w14:paraId="39F2510B" w14:textId="77777777" w:rsidR="00EE677D" w:rsidRPr="00E2635E" w:rsidRDefault="00EE677D" w:rsidP="00EE677D">
      <w:pPr>
        <w:spacing w:after="0" w:line="240" w:lineRule="auto"/>
        <w:jc w:val="center"/>
        <w:rPr>
          <w:rFonts w:ascii="Times New Roman" w:hAnsi="Times New Roman" w:cs="Times New Roman"/>
          <w:bCs/>
          <w:iCs/>
          <w:color w:val="000000"/>
          <w:kern w:val="0"/>
          <w:sz w:val="24"/>
          <w:szCs w:val="24"/>
          <w:lang w:val="en-US"/>
        </w:rPr>
      </w:pPr>
    </w:p>
    <w:p w14:paraId="201BE558" w14:textId="77777777" w:rsidR="00EE677D" w:rsidRPr="00E2635E" w:rsidRDefault="00EE677D" w:rsidP="00EE677D">
      <w:pPr>
        <w:spacing w:after="0" w:line="240" w:lineRule="auto"/>
        <w:jc w:val="center"/>
        <w:rPr>
          <w:rFonts w:ascii="Times New Roman" w:hAnsi="Times New Roman" w:cs="Times New Roman"/>
          <w:b/>
          <w:iCs/>
          <w:color w:val="000000"/>
          <w:kern w:val="0"/>
          <w:sz w:val="24"/>
          <w:szCs w:val="24"/>
          <w:lang w:val="en-US"/>
        </w:rPr>
      </w:pPr>
    </w:p>
    <w:p w14:paraId="693A2C58" w14:textId="77777777" w:rsidR="00047B15" w:rsidRPr="00E2635E" w:rsidRDefault="00047B15" w:rsidP="00047B15">
      <w:pPr>
        <w:spacing w:after="0"/>
        <w:jc w:val="center"/>
        <w:rPr>
          <w:rFonts w:ascii="Times New Roman" w:hAnsi="Times New Roman" w:cs="Times New Roman"/>
          <w:b/>
          <w:bCs/>
          <w:i/>
          <w:iCs/>
          <w:sz w:val="24"/>
          <w:szCs w:val="24"/>
        </w:rPr>
      </w:pPr>
      <w:r w:rsidRPr="00E2635E">
        <w:rPr>
          <w:rFonts w:ascii="Times New Roman" w:hAnsi="Times New Roman" w:cs="Times New Roman"/>
          <w:b/>
          <w:bCs/>
          <w:i/>
          <w:iCs/>
          <w:sz w:val="24"/>
          <w:szCs w:val="24"/>
        </w:rPr>
        <w:t>Abstract</w:t>
      </w:r>
    </w:p>
    <w:p w14:paraId="77C421D4" w14:textId="77777777" w:rsidR="003C6A26" w:rsidRPr="00E2635E" w:rsidRDefault="003C6A26" w:rsidP="003C6A26">
      <w:pPr>
        <w:spacing w:after="0"/>
        <w:jc w:val="both"/>
        <w:rPr>
          <w:rFonts w:ascii="Times New Roman" w:hAnsi="Times New Roman" w:cs="Times New Roman"/>
          <w:i/>
          <w:iCs/>
          <w:sz w:val="24"/>
          <w:szCs w:val="24"/>
        </w:rPr>
      </w:pPr>
      <w:r w:rsidRPr="00E2635E">
        <w:rPr>
          <w:rFonts w:ascii="Times New Roman" w:hAnsi="Times New Roman" w:cs="Times New Roman"/>
          <w:i/>
          <w:iCs/>
          <w:sz w:val="24"/>
          <w:szCs w:val="24"/>
        </w:rPr>
        <w:t>This study examined the impact of financial inclusion on crop production in Nigeria, focusing on rural bank deposits, bank loans to agriculture, and the Agricultural Credit Guarantee Scheme Fund (ACGSF). The main objective was to determine the extent to which these financial inclusion indicators influence crop production’s contribution to GDP. The study employed an ex-post facto research design and utilized secondary data from the Central Bank of Nigeria (CBN) Statistical Bulletin. The Autoregressive Distributed Lag (ARDL) model was applied to analyse the long-run and short-run relationships between financial inclusion and crop production. The Bounds test for cointegration confirmed the existence of a long-run equilibrium relationship among the variables. Unit root tests revealed that while ACGSF was stationary at level (</w:t>
      </w:r>
      <w:proofErr w:type="gramStart"/>
      <w:r w:rsidRPr="00E2635E">
        <w:rPr>
          <w:rFonts w:ascii="Times New Roman" w:hAnsi="Times New Roman" w:cs="Times New Roman"/>
          <w:i/>
          <w:iCs/>
          <w:sz w:val="24"/>
          <w:szCs w:val="24"/>
        </w:rPr>
        <w:t>I(</w:t>
      </w:r>
      <w:proofErr w:type="gramEnd"/>
      <w:r w:rsidRPr="00E2635E">
        <w:rPr>
          <w:rFonts w:ascii="Times New Roman" w:hAnsi="Times New Roman" w:cs="Times New Roman"/>
          <w:i/>
          <w:iCs/>
          <w:sz w:val="24"/>
          <w:szCs w:val="24"/>
        </w:rPr>
        <w:t xml:space="preserve">0)), crop production, rural bank deposits, and bank loans to agriculture were stationary at first difference (I(1)), justifying the ARDL approach. Findings showed that rural bank deposits had a positive but insignificant impact on crop production, indicating that savings mobilization alone did not translate into agricultural investment. Conversely, bank loans to agriculture had a positive and significant impact, suggesting that credit accessibility plays a crucial role in enhancing agricultural productivity. Similarly, the Agricultural Credit Guarantee Scheme Fund (ACGSF) significantly influenced crop production, implying that risk-sharing mechanisms encouraged banks to lend to farmers. The error correction term (-0.2933) confirmed a moderate speed of adjustment towards long-run equilibrium. Based on these findings, the study recommended that the Central Bank of Nigeria (CBN) and Nigeria Incentive-Based Risk Sharing System for Agricultural Lending (NIRSAL) strengthen financial literacy programs to improve the productive use of rural bank deposits. The Bank of Agriculture (BOA) should introduce lower </w:t>
      </w:r>
      <w:r w:rsidR="00D64A3F" w:rsidRPr="00E2635E">
        <w:rPr>
          <w:rFonts w:ascii="Times New Roman" w:hAnsi="Times New Roman" w:cs="Times New Roman"/>
          <w:i/>
          <w:iCs/>
          <w:sz w:val="24"/>
          <w:szCs w:val="24"/>
        </w:rPr>
        <w:t>interest rates</w:t>
      </w:r>
      <w:r w:rsidRPr="00E2635E">
        <w:rPr>
          <w:rFonts w:ascii="Times New Roman" w:hAnsi="Times New Roman" w:cs="Times New Roman"/>
          <w:i/>
          <w:iCs/>
          <w:sz w:val="24"/>
          <w:szCs w:val="24"/>
        </w:rPr>
        <w:t xml:space="preserve"> and flexible repayment structures to enhance loan accessibility. Additionally, the Federal Ministry of Agriculture and Rural Development (FMARD) and CBN should expand credit guarantee coverage to further mitigate lending risks. Strengthening these financial mechanisms would ensure sustained crop production growth and economic development in Nigeria.</w:t>
      </w:r>
    </w:p>
    <w:p w14:paraId="3A52B781" w14:textId="77777777" w:rsidR="003C6A26" w:rsidRPr="00E2635E" w:rsidRDefault="003C6A26" w:rsidP="003C6A26">
      <w:pPr>
        <w:spacing w:after="0"/>
        <w:jc w:val="both"/>
        <w:rPr>
          <w:rFonts w:ascii="Times New Roman" w:hAnsi="Times New Roman" w:cs="Times New Roman"/>
          <w:i/>
          <w:iCs/>
          <w:sz w:val="24"/>
          <w:szCs w:val="24"/>
        </w:rPr>
      </w:pPr>
    </w:p>
    <w:p w14:paraId="1256A283" w14:textId="77777777" w:rsidR="003C6A26" w:rsidRPr="00E2635E" w:rsidRDefault="003C6A26" w:rsidP="003C6A26">
      <w:pPr>
        <w:pStyle w:val="NoSpacing"/>
        <w:rPr>
          <w:rFonts w:ascii="Times New Roman" w:hAnsi="Times New Roman" w:cs="Times New Roman"/>
          <w:b/>
          <w:bCs/>
          <w:i/>
          <w:iCs/>
          <w:sz w:val="24"/>
          <w:szCs w:val="24"/>
        </w:rPr>
      </w:pPr>
      <w:r w:rsidRPr="00E2635E">
        <w:rPr>
          <w:rFonts w:ascii="Times New Roman" w:hAnsi="Times New Roman" w:cs="Times New Roman"/>
          <w:b/>
          <w:bCs/>
          <w:i/>
          <w:iCs/>
          <w:sz w:val="24"/>
          <w:szCs w:val="24"/>
        </w:rPr>
        <w:t xml:space="preserve">Keywords: </w:t>
      </w:r>
      <w:r w:rsidRPr="00E2635E">
        <w:rPr>
          <w:rFonts w:ascii="Times New Roman" w:hAnsi="Times New Roman" w:cs="Times New Roman"/>
          <w:i/>
          <w:iCs/>
          <w:sz w:val="24"/>
          <w:szCs w:val="24"/>
        </w:rPr>
        <w:t>Rural Bank Deposits, Bank Loans to Agriculture, Agricultural Credit Guarantee Scheme Funds, Financial Inclusion and Crop Production.</w:t>
      </w:r>
    </w:p>
    <w:p w14:paraId="20A53C7B" w14:textId="77777777" w:rsidR="003C6A26" w:rsidRPr="00E2635E" w:rsidRDefault="003C6A26" w:rsidP="003C6A26">
      <w:pPr>
        <w:pStyle w:val="NoSpacing"/>
        <w:rPr>
          <w:rFonts w:ascii="Times New Roman" w:hAnsi="Times New Roman" w:cs="Times New Roman"/>
          <w:b/>
          <w:bCs/>
          <w:i/>
          <w:iCs/>
          <w:sz w:val="24"/>
          <w:szCs w:val="24"/>
        </w:rPr>
      </w:pPr>
      <w:r w:rsidRPr="00E2635E">
        <w:rPr>
          <w:rFonts w:ascii="Times New Roman" w:hAnsi="Times New Roman" w:cs="Times New Roman"/>
          <w:b/>
          <w:bCs/>
          <w:i/>
          <w:iCs/>
          <w:sz w:val="24"/>
          <w:szCs w:val="24"/>
        </w:rPr>
        <w:t xml:space="preserve">JEL Codes: </w:t>
      </w:r>
      <w:r w:rsidRPr="00E2635E">
        <w:rPr>
          <w:rFonts w:ascii="Times New Roman" w:hAnsi="Times New Roman" w:cs="Times New Roman"/>
          <w:i/>
          <w:iCs/>
          <w:sz w:val="24"/>
          <w:szCs w:val="24"/>
        </w:rPr>
        <w:t>G21, Q14, G28, and Q10</w:t>
      </w:r>
    </w:p>
    <w:p w14:paraId="3C51FCCB" w14:textId="77777777" w:rsidR="000D7E13" w:rsidRDefault="000D7E13" w:rsidP="000D7E13">
      <w:pPr>
        <w:spacing w:after="0"/>
        <w:jc w:val="both"/>
        <w:rPr>
          <w:rFonts w:ascii="Times New Roman" w:hAnsi="Times New Roman" w:cs="Times New Roman"/>
          <w:b/>
          <w:bCs/>
          <w:sz w:val="24"/>
          <w:szCs w:val="24"/>
        </w:rPr>
      </w:pPr>
    </w:p>
    <w:p w14:paraId="4A50FE06" w14:textId="77777777" w:rsidR="000D7E13" w:rsidRDefault="000D7E13" w:rsidP="000D7E13">
      <w:pPr>
        <w:spacing w:after="0"/>
        <w:jc w:val="both"/>
        <w:rPr>
          <w:rFonts w:ascii="Times New Roman" w:hAnsi="Times New Roman" w:cs="Times New Roman"/>
          <w:b/>
          <w:bCs/>
          <w:sz w:val="24"/>
          <w:szCs w:val="24"/>
        </w:rPr>
      </w:pPr>
    </w:p>
    <w:p w14:paraId="7E0DF9B2" w14:textId="305BBC3B" w:rsidR="003C6A26" w:rsidRPr="000D7E13" w:rsidRDefault="003C6A26" w:rsidP="000D7E13">
      <w:pPr>
        <w:spacing w:after="0"/>
        <w:jc w:val="both"/>
        <w:rPr>
          <w:rFonts w:ascii="Times New Roman" w:hAnsi="Times New Roman" w:cs="Times New Roman"/>
          <w:b/>
          <w:bCs/>
          <w:sz w:val="24"/>
          <w:szCs w:val="24"/>
        </w:rPr>
      </w:pPr>
      <w:r w:rsidRPr="000D7E13">
        <w:rPr>
          <w:rFonts w:ascii="Times New Roman" w:hAnsi="Times New Roman" w:cs="Times New Roman"/>
          <w:b/>
          <w:bCs/>
          <w:sz w:val="24"/>
          <w:szCs w:val="24"/>
        </w:rPr>
        <w:t>Introduction</w:t>
      </w:r>
    </w:p>
    <w:p w14:paraId="793118A6" w14:textId="77777777" w:rsidR="003C6A26" w:rsidRPr="00E2635E" w:rsidRDefault="003C6A26" w:rsidP="003C6A26">
      <w:pPr>
        <w:spacing w:after="0"/>
        <w:ind w:left="360"/>
        <w:jc w:val="both"/>
        <w:rPr>
          <w:rFonts w:ascii="Times New Roman" w:hAnsi="Times New Roman" w:cs="Times New Roman"/>
          <w:b/>
          <w:bCs/>
          <w:sz w:val="24"/>
          <w:szCs w:val="24"/>
        </w:rPr>
      </w:pPr>
    </w:p>
    <w:p w14:paraId="6B8B833A" w14:textId="6BB47DBB"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Crop production is a critical component of global food security and economic development, contributing significantly to employment, income generation, and industrial raw materials. Globally, the agricultural sector employs over 27% of the world's labour force, with crop </w:t>
      </w:r>
      <w:r w:rsidRPr="00E2635E">
        <w:rPr>
          <w:rFonts w:ascii="Times New Roman" w:hAnsi="Times New Roman" w:cs="Times New Roman"/>
          <w:sz w:val="24"/>
          <w:szCs w:val="24"/>
        </w:rPr>
        <w:lastRenderedPageBreak/>
        <w:t>production playing a central role in sustaining livelihoods, particularly in developing economies (World Bank, 2022). The sector's contribution to global GDP varies across regions, with high-income nations relying less on agriculture due to industrialization, while low- and middle-income countries, particularly in Africa and Asia, remain heavily dependent on it. Technological advancements, mechanization, and access to financial resources have been identified as key drivers of improved crop yields and productivity worldwide. However, disparities persist, especially in sub-Saharan Africa, where limited access to credit, modern farming inputs, and infrastructure continue to hinder productivity and agricultural growth.</w:t>
      </w:r>
    </w:p>
    <w:p w14:paraId="623629B3" w14:textId="77777777" w:rsidR="003C6A26" w:rsidRPr="00E2635E" w:rsidRDefault="003C6A26" w:rsidP="003C6A26">
      <w:pPr>
        <w:spacing w:after="0" w:line="360" w:lineRule="auto"/>
        <w:jc w:val="both"/>
        <w:rPr>
          <w:rFonts w:ascii="Times New Roman" w:hAnsi="Times New Roman" w:cs="Times New Roman"/>
          <w:sz w:val="24"/>
          <w:szCs w:val="24"/>
        </w:rPr>
      </w:pPr>
    </w:p>
    <w:p w14:paraId="52EAABF1" w14:textId="77777777"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In Nigeria, agriculture remains a cornerstone of the economy, contributing approximately 25.18% to the country’s GDP in 2022 (National Bureau of Statistics [NBS], 2022). Crop production, in particular, dominates the sector, accounting for over 85% of total agricultural output. Nigeria’s major crops include maize, cassava, rice, sorghum, and yams, with the sector   providing employment for nearly 35% of the labour force (World Bank, 2022). However, Nigerian agriculture remains largely rain-fed and subsistence-based, with smallholder farmers producing over 80% of the country’s food (FAO, 2022). These farmers face significant financial constraints, limiting their ability to adopt modern farming techniques, purchase quality inputs, and expand their production capacity. As a result, despite having over 70 million hectares of arable land, Nigeria continues to struggle with food insecurity and low productivity due to inadequate investment and financial support.</w:t>
      </w:r>
    </w:p>
    <w:p w14:paraId="0FD31651" w14:textId="6FD4CF31"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Financial inclusion has emerged as a key strategy for fostering economic growth and reducing poverty globally. </w:t>
      </w: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regards financial inclusion as the availability and accessibility of financial services, including savings, credit, and insurance, to individuals and businesses, particularly marginalized and rural populations. Globally, financial inclusion has expanded with the advent of digital banking, microfinance institutions, and mobile money services. As of 2022, approximately 76% of adults worldwide had access to formal financial services, an increase from 62% in 2014, largely driven by financial technology innovations (</w:t>
      </w:r>
      <w:proofErr w:type="spellStart"/>
      <w:r w:rsidR="000067DE" w:rsidRPr="000067DE">
        <w:rPr>
          <w:rFonts w:ascii="Times New Roman" w:hAnsi="Times New Roman" w:cs="Times New Roman"/>
          <w:sz w:val="24"/>
          <w:szCs w:val="24"/>
        </w:rPr>
        <w:t>Demirgüç-Kunt</w:t>
      </w:r>
      <w:proofErr w:type="spellEnd"/>
      <w:r w:rsidR="000067DE" w:rsidRPr="000067DE">
        <w:rPr>
          <w:rFonts w:ascii="Times New Roman" w:hAnsi="Times New Roman" w:cs="Times New Roman"/>
          <w:sz w:val="24"/>
          <w:szCs w:val="24"/>
        </w:rPr>
        <w:t xml:space="preserve"> </w:t>
      </w:r>
      <w:r w:rsidR="000067DE">
        <w:rPr>
          <w:rFonts w:ascii="Times New Roman" w:hAnsi="Times New Roman" w:cs="Times New Roman"/>
          <w:sz w:val="24"/>
          <w:szCs w:val="24"/>
        </w:rPr>
        <w:t>et al.,</w:t>
      </w:r>
      <w:r w:rsidRPr="00E2635E">
        <w:rPr>
          <w:rFonts w:ascii="Times New Roman" w:hAnsi="Times New Roman" w:cs="Times New Roman"/>
          <w:sz w:val="24"/>
          <w:szCs w:val="24"/>
        </w:rPr>
        <w:t xml:space="preserve"> 2022). In developed economies, financial inclusion has facilitated investment in agriculture, enabling farmers to access credit, insurance, and savings, thereby enhancing productivity and food security. However, financial exclusion remains prevalent in developing nations, particularly in sub-Saharan </w:t>
      </w:r>
      <w:r w:rsidRPr="00E2635E">
        <w:rPr>
          <w:rFonts w:ascii="Times New Roman" w:hAnsi="Times New Roman" w:cs="Times New Roman"/>
          <w:sz w:val="24"/>
          <w:szCs w:val="24"/>
        </w:rPr>
        <w:lastRenderedPageBreak/>
        <w:t xml:space="preserve">Africa, where only 55% of adults have access to formal financial services, limiting their ability to invest in income-generating </w:t>
      </w:r>
      <w:proofErr w:type="gramStart"/>
      <w:r w:rsidRPr="00E2635E">
        <w:rPr>
          <w:rFonts w:ascii="Times New Roman" w:hAnsi="Times New Roman" w:cs="Times New Roman"/>
          <w:sz w:val="24"/>
          <w:szCs w:val="24"/>
        </w:rPr>
        <w:t>activities,  including</w:t>
      </w:r>
      <w:proofErr w:type="gramEnd"/>
      <w:r w:rsidRPr="00E2635E">
        <w:rPr>
          <w:rFonts w:ascii="Times New Roman" w:hAnsi="Times New Roman" w:cs="Times New Roman"/>
          <w:sz w:val="24"/>
          <w:szCs w:val="24"/>
        </w:rPr>
        <w:t xml:space="preserve"> agriculture (</w:t>
      </w:r>
      <w:proofErr w:type="spellStart"/>
      <w:r w:rsidRPr="00E2635E">
        <w:rPr>
          <w:rFonts w:ascii="Times New Roman" w:hAnsi="Times New Roman" w:cs="Times New Roman"/>
          <w:sz w:val="24"/>
          <w:szCs w:val="24"/>
        </w:rPr>
        <w:t>Osabohien</w:t>
      </w:r>
      <w:proofErr w:type="spellEnd"/>
      <w:r w:rsidRPr="00E2635E">
        <w:rPr>
          <w:rFonts w:ascii="Times New Roman" w:hAnsi="Times New Roman" w:cs="Times New Roman"/>
          <w:sz w:val="24"/>
          <w:szCs w:val="24"/>
        </w:rPr>
        <w:t xml:space="preserve"> et al., 202</w:t>
      </w:r>
      <w:r w:rsidR="00D53313">
        <w:rPr>
          <w:rFonts w:ascii="Times New Roman" w:hAnsi="Times New Roman" w:cs="Times New Roman"/>
          <w:sz w:val="24"/>
          <w:szCs w:val="24"/>
        </w:rPr>
        <w:t>0</w:t>
      </w:r>
      <w:r w:rsidRPr="00E2635E">
        <w:rPr>
          <w:rFonts w:ascii="Times New Roman" w:hAnsi="Times New Roman" w:cs="Times New Roman"/>
          <w:sz w:val="24"/>
          <w:szCs w:val="24"/>
        </w:rPr>
        <w:t>).</w:t>
      </w:r>
    </w:p>
    <w:p w14:paraId="300BEC2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In Nigeria, financial inclusion has been recognized as a critical tool for economic development, with efforts geared towards increasing access to financial services for rural populations. According to the Central Bank of Nigeria (CBN, 2022), financial inclusion in Nigeria has improved over the past decade, with the percentage of financially included adults rising to 64.1% in 2022. However, rural populations, particularly farmers, remain underserved, with limited access to banking services, credit facilities, and insurance. Three key financial inclusion proxies relevant to agricultural development in Nigeria include rural bank deposits, bank loans to agriculture, and the Agricultural Credit Guarantee Scheme Fund (ACGSF). Rural bank deposits serve as an indicator of financial penetration in rural areas, reflecting the extent to which rural populations engage with formal banking systems. Despite efforts to expand rural banking services, Nigeria’s rural deposit rates remain low due to poor financial literacy, inadequate banking infrastructure, and trust deficits in financial institutions.</w:t>
      </w:r>
    </w:p>
    <w:p w14:paraId="546E8B7F" w14:textId="77777777" w:rsidR="003C6A26" w:rsidRPr="00E2635E" w:rsidRDefault="003C6A26" w:rsidP="003C6A26">
      <w:pPr>
        <w:spacing w:after="0"/>
        <w:jc w:val="both"/>
        <w:rPr>
          <w:rFonts w:ascii="Times New Roman" w:hAnsi="Times New Roman" w:cs="Times New Roman"/>
          <w:sz w:val="24"/>
          <w:szCs w:val="24"/>
        </w:rPr>
      </w:pPr>
    </w:p>
    <w:p w14:paraId="2FEA7B5A" w14:textId="4722CAE8"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Bank loans to agriculture represent another crucial aspect of financial inclusion, enabling farmers to access credit for purchasing inputs, mechanization, and post-harvest processing. However, Nigerian banks remain reluctant to lend to the agricultural sector due to perceived risks, including climate variability, market instability, and loan default rates. As a result, agriculture receives less than 5% of total bank credit, despite its significant contribution to GDP (NBS, 2022). The Agricultural Credit Guarantee Scheme Fund (ACGSF), established to encourage banks to lend to the agricultural sector by providing guarantees, has played a crucial role in mitigating lending risks. </w:t>
      </w:r>
      <w:proofErr w:type="gramStart"/>
      <w:r w:rsidRPr="00E2635E">
        <w:rPr>
          <w:rFonts w:ascii="Times New Roman" w:hAnsi="Times New Roman" w:cs="Times New Roman"/>
          <w:sz w:val="24"/>
          <w:szCs w:val="24"/>
        </w:rPr>
        <w:t xml:space="preserve">However,   </w:t>
      </w:r>
      <w:proofErr w:type="gramEnd"/>
      <w:r w:rsidRPr="00E2635E">
        <w:rPr>
          <w:rFonts w:ascii="Times New Roman" w:hAnsi="Times New Roman" w:cs="Times New Roman"/>
          <w:sz w:val="24"/>
          <w:szCs w:val="24"/>
        </w:rPr>
        <w:t>bureaucratic bottlenecks, inadequate awareness, and challenges in loan repayment have limited its overall effectiveness.</w:t>
      </w:r>
    </w:p>
    <w:p w14:paraId="518AFAF8" w14:textId="41FA1A8A"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Despite the importance of crop production to Nigeria’s economy, its growth has been slow and inconsistent. Many farmers operate at subsistence levels, preventing them from expanding their production capacity. Recent data indicates that Nigeria's food import bill reached $10.9 billion in 2022, highlighting the gap between domestic production capabilities and national food requirements.</w:t>
      </w:r>
    </w:p>
    <w:p w14:paraId="5BCADC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relationship between financial inclusion and crop production in Nigeria highlights the importance of improving access to financial services to enhance agricultural productivity. With agriculture being a major contributor to GDP, ensuring that farmers have access to financial resources is critical for boosting crop production, increasing food security, and driving economic growth. Empirical evidence suggests that countries with higher levels of financial inclusion experience increased agricultural productivity, as access to credit enables farmers to invest in improved inputs, mechanization, and storage facilities. In Nigeria, strengthening financial inclusion through expanded rural banking, increased agricultural loans, and an effective credit guarantee scheme could significantly improve crop production by addressing financial constraints faced by farmers.</w:t>
      </w:r>
    </w:p>
    <w:p w14:paraId="1080B7DC"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Based on the nature and importance of the relationship between financial inclusion and crop production, this study becomes necessary as the contributions of crop production to GDP have experienced fluctuations over the years in Nigeria. Therefore, it is in the interest of this study to </w:t>
      </w:r>
      <w:r w:rsidRPr="00E2635E">
        <w:rPr>
          <w:rFonts w:ascii="Times New Roman" w:hAnsi="Times New Roman" w:cs="Times New Roman"/>
          <w:sz w:val="24"/>
          <w:szCs w:val="24"/>
        </w:rPr>
        <w:lastRenderedPageBreak/>
        <w:t>conduct an analysis of how financial inclusion has impacted crop production in Nigeria from 1999 to 2023.</w:t>
      </w:r>
    </w:p>
    <w:p w14:paraId="13904230" w14:textId="11AECB58" w:rsidR="00FC48CE" w:rsidRPr="00FC48CE" w:rsidRDefault="00FC48CE" w:rsidP="00FC48CE">
      <w:pPr>
        <w:spacing w:after="0"/>
        <w:jc w:val="both"/>
        <w:rPr>
          <w:rFonts w:ascii="Times New Roman" w:hAnsi="Times New Roman" w:cs="Times New Roman"/>
          <w:sz w:val="24"/>
          <w:szCs w:val="24"/>
        </w:rPr>
      </w:pPr>
      <w:r w:rsidRPr="00FC48CE">
        <w:rPr>
          <w:rFonts w:ascii="Times New Roman" w:hAnsi="Times New Roman" w:cs="Times New Roman"/>
          <w:sz w:val="24"/>
          <w:szCs w:val="24"/>
        </w:rPr>
        <w:t>The specific objectives for the study</w:t>
      </w:r>
      <w:r>
        <w:rPr>
          <w:rFonts w:ascii="Times New Roman" w:hAnsi="Times New Roman" w:cs="Times New Roman"/>
          <w:sz w:val="24"/>
          <w:szCs w:val="24"/>
        </w:rPr>
        <w:t xml:space="preserve"> are to</w:t>
      </w:r>
      <w:r w:rsidRPr="00FC48CE">
        <w:rPr>
          <w:rFonts w:ascii="Times New Roman" w:hAnsi="Times New Roman" w:cs="Times New Roman"/>
          <w:sz w:val="24"/>
          <w:szCs w:val="24"/>
        </w:rPr>
        <w:t>:</w:t>
      </w:r>
    </w:p>
    <w:p w14:paraId="2047DA0C" w14:textId="16ED7862" w:rsidR="00FC48CE" w:rsidRPr="00FC48CE" w:rsidRDefault="00FC48CE" w:rsidP="00FC48CE">
      <w:pPr>
        <w:numPr>
          <w:ilvl w:val="0"/>
          <w:numId w:val="4"/>
        </w:numPr>
        <w:spacing w:after="0"/>
        <w:jc w:val="both"/>
        <w:rPr>
          <w:rFonts w:ascii="Times New Roman" w:hAnsi="Times New Roman" w:cs="Times New Roman"/>
          <w:sz w:val="24"/>
          <w:szCs w:val="24"/>
        </w:rPr>
      </w:pPr>
      <w:r w:rsidRPr="00FC48CE">
        <w:rPr>
          <w:rFonts w:ascii="Times New Roman" w:hAnsi="Times New Roman" w:cs="Times New Roman"/>
          <w:sz w:val="24"/>
          <w:szCs w:val="24"/>
        </w:rPr>
        <w:t>examine the impact of rural bank deposits on crop production in Nigeria.</w:t>
      </w:r>
    </w:p>
    <w:p w14:paraId="7F84B115" w14:textId="58594ED8" w:rsidR="00FC48CE" w:rsidRPr="00FC48CE" w:rsidRDefault="00FC48CE" w:rsidP="00FC48CE">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i</w:t>
      </w:r>
      <w:r w:rsidRPr="00FC48CE">
        <w:rPr>
          <w:rFonts w:ascii="Times New Roman" w:hAnsi="Times New Roman" w:cs="Times New Roman"/>
          <w:sz w:val="24"/>
          <w:szCs w:val="24"/>
        </w:rPr>
        <w:t xml:space="preserve">nvestigate the </w:t>
      </w:r>
      <w:r>
        <w:rPr>
          <w:rFonts w:ascii="Times New Roman" w:hAnsi="Times New Roman" w:cs="Times New Roman"/>
          <w:sz w:val="24"/>
          <w:szCs w:val="24"/>
        </w:rPr>
        <w:t>impact</w:t>
      </w:r>
      <w:r w:rsidRPr="00FC48CE">
        <w:rPr>
          <w:rFonts w:ascii="Times New Roman" w:hAnsi="Times New Roman" w:cs="Times New Roman"/>
          <w:sz w:val="24"/>
          <w:szCs w:val="24"/>
        </w:rPr>
        <w:t xml:space="preserve"> of bank loans to agriculture on crop production in Nigeria over the study period.</w:t>
      </w:r>
    </w:p>
    <w:p w14:paraId="208A71B6" w14:textId="7532931A" w:rsidR="00FC48CE" w:rsidRPr="00FC48CE" w:rsidRDefault="00FC48CE" w:rsidP="00FC48CE">
      <w:pPr>
        <w:numPr>
          <w:ilvl w:val="0"/>
          <w:numId w:val="4"/>
        </w:numPr>
        <w:spacing w:after="0"/>
        <w:jc w:val="both"/>
        <w:rPr>
          <w:rFonts w:ascii="Times New Roman" w:hAnsi="Times New Roman" w:cs="Times New Roman"/>
          <w:sz w:val="24"/>
          <w:szCs w:val="24"/>
        </w:rPr>
      </w:pPr>
      <w:r w:rsidRPr="00FC48CE">
        <w:rPr>
          <w:rFonts w:ascii="Times New Roman" w:hAnsi="Times New Roman" w:cs="Times New Roman"/>
          <w:sz w:val="24"/>
          <w:szCs w:val="24"/>
        </w:rPr>
        <w:t>assess the influence of Agricultural Credit Guarantee Scheme Funds (ACGSF) on crop production in Nigeria.</w:t>
      </w:r>
    </w:p>
    <w:p w14:paraId="26CE2DFD" w14:textId="7A3908FD" w:rsidR="00FC48CE" w:rsidRPr="00FC48CE" w:rsidRDefault="00FC48CE" w:rsidP="003C6A26">
      <w:pPr>
        <w:spacing w:after="0"/>
        <w:jc w:val="both"/>
        <w:rPr>
          <w:rFonts w:ascii="Times New Roman" w:hAnsi="Times New Roman" w:cs="Times New Roman"/>
          <w:sz w:val="24"/>
          <w:szCs w:val="24"/>
        </w:rPr>
      </w:pPr>
    </w:p>
    <w:p w14:paraId="351A32B0" w14:textId="77777777" w:rsidR="003C6A26" w:rsidRPr="00E2635E" w:rsidRDefault="003C6A26" w:rsidP="003C6A26">
      <w:pPr>
        <w:spacing w:after="0"/>
        <w:jc w:val="both"/>
        <w:rPr>
          <w:rFonts w:ascii="Times New Roman" w:hAnsi="Times New Roman" w:cs="Times New Roman"/>
          <w:sz w:val="24"/>
          <w:szCs w:val="24"/>
        </w:rPr>
      </w:pPr>
    </w:p>
    <w:p w14:paraId="49175384" w14:textId="11D53068" w:rsidR="003C6A26" w:rsidRPr="003912EA" w:rsidRDefault="003912EA" w:rsidP="003912EA">
      <w:pPr>
        <w:spacing w:after="0"/>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r>
      <w:r w:rsidR="003C6A26" w:rsidRPr="003912EA">
        <w:rPr>
          <w:rFonts w:ascii="Times New Roman" w:hAnsi="Times New Roman" w:cs="Times New Roman"/>
          <w:b/>
          <w:bCs/>
          <w:sz w:val="24"/>
          <w:szCs w:val="24"/>
        </w:rPr>
        <w:t>Literature Review</w:t>
      </w:r>
    </w:p>
    <w:p w14:paraId="1EEBD708" w14:textId="77777777" w:rsidR="003C6A26" w:rsidRPr="00E2635E" w:rsidRDefault="003C6A26" w:rsidP="003C6A26">
      <w:pPr>
        <w:pStyle w:val="ListParagraph"/>
        <w:spacing w:after="0"/>
        <w:ind w:left="1080"/>
        <w:jc w:val="both"/>
        <w:rPr>
          <w:rFonts w:ascii="Times New Roman" w:hAnsi="Times New Roman" w:cs="Times New Roman"/>
          <w:b/>
          <w:bCs/>
          <w:sz w:val="24"/>
          <w:szCs w:val="24"/>
        </w:rPr>
      </w:pPr>
    </w:p>
    <w:p w14:paraId="58A50CD8"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Conceptual Review</w:t>
      </w:r>
    </w:p>
    <w:p w14:paraId="4EEAAA7C"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Financial inclusion</w:t>
      </w:r>
    </w:p>
    <w:p w14:paraId="1B9B4618" w14:textId="1094774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Financial inclusion has been widely recognized as a critical driver of economic growth and poverty reduction, particularly in developing economies where access to financial services remains a challenge. The concept of financial inclusion has been defined by various scholars and institutions, with a common emphasis on providing individuals and businesses with affordable, timely, and adequate financial services, thus, according to the World Bank (2022), financial inclusion refers to the accessibility and usage of financial services, such as banking, credit, insurance, and digital payments, by all individuals, especially marginalized and rural populations. </w:t>
      </w:r>
      <w:r w:rsidR="00583B5D" w:rsidRPr="00583B5D">
        <w:rPr>
          <w:rFonts w:ascii="Times New Roman" w:hAnsi="Times New Roman" w:cs="Times New Roman"/>
          <w:sz w:val="24"/>
          <w:szCs w:val="24"/>
        </w:rPr>
        <w:t>Ritchie</w:t>
      </w:r>
      <w:r w:rsidR="00583B5D" w:rsidRPr="00E2635E">
        <w:rPr>
          <w:rFonts w:ascii="Times New Roman" w:hAnsi="Times New Roman" w:cs="Times New Roman"/>
          <w:sz w:val="24"/>
          <w:szCs w:val="24"/>
        </w:rPr>
        <w:t xml:space="preserve"> </w:t>
      </w:r>
      <w:r w:rsidR="00583B5D">
        <w:rPr>
          <w:rFonts w:ascii="Times New Roman" w:hAnsi="Times New Roman" w:cs="Times New Roman"/>
          <w:sz w:val="24"/>
          <w:szCs w:val="24"/>
        </w:rPr>
        <w:t xml:space="preserve">et al., (2022) are of the opinion that </w:t>
      </w:r>
      <w:r w:rsidRPr="00E2635E">
        <w:rPr>
          <w:rFonts w:ascii="Times New Roman" w:hAnsi="Times New Roman" w:cs="Times New Roman"/>
          <w:sz w:val="24"/>
          <w:szCs w:val="24"/>
        </w:rPr>
        <w:t>financial inclusion as the ability of individuals and businesses to access financial products and services that meet their needs in a responsible and sustainable manner. These definitions highlight the importance of financial accessibility in fostering economic development, supporting entrepreneurship, and enhancing overall financial stability.</w:t>
      </w:r>
    </w:p>
    <w:p w14:paraId="2EDCC18A" w14:textId="08E32846"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In the context of agriculture, financial inclusion plays a crucial role in ensuring that farmers, particularly smallholders, can access the necessary capital to enhance productivity and improve their contributions to Gross Domestic Product (GDP). One of the key proxies for measuring financial inclusion in the agricultural sector is rural bank deposits, which serve as an indicator of financial penetration in rural areas. Rural bank deposits reflect the level of savings and financial engagement among rural farmers, which in turn influences their ability to access credit and other banking services. Higher rural bank deposits suggest greater financial participation, which can facilitate credit extension to farmers, enabling them to invest in improved agricultural inputs, mechanization, and storage facilities. However, in many developing countries, including Nigeria, rural banking remains underdeveloped due to infrastructural deficits, financial illiteracy, and trust issues with formal financial institutions (</w:t>
      </w:r>
      <w:r w:rsidR="000B2C18" w:rsidRPr="002E3D3B">
        <w:rPr>
          <w:rFonts w:ascii="Times New Roman" w:hAnsi="Times New Roman" w:cs="Times New Roman"/>
          <w:sz w:val="24"/>
          <w:szCs w:val="24"/>
        </w:rPr>
        <w:t xml:space="preserve">Sethy </w:t>
      </w:r>
      <w:r w:rsidR="000B2C18" w:rsidRPr="00E2635E">
        <w:rPr>
          <w:rFonts w:ascii="Times New Roman" w:hAnsi="Times New Roman" w:cs="Times New Roman"/>
          <w:sz w:val="24"/>
          <w:szCs w:val="24"/>
        </w:rPr>
        <w:t>&amp;</w:t>
      </w:r>
      <w:r w:rsidR="000B2C18" w:rsidRPr="002E3D3B">
        <w:rPr>
          <w:rFonts w:ascii="Times New Roman" w:hAnsi="Times New Roman" w:cs="Times New Roman"/>
          <w:sz w:val="24"/>
          <w:szCs w:val="24"/>
        </w:rPr>
        <w:t xml:space="preserve"> Goyari</w:t>
      </w:r>
      <w:r w:rsidR="000B2C18" w:rsidRPr="00E2635E">
        <w:rPr>
          <w:rFonts w:ascii="Times New Roman" w:hAnsi="Times New Roman" w:cs="Times New Roman"/>
          <w:sz w:val="24"/>
          <w:szCs w:val="24"/>
        </w:rPr>
        <w:t xml:space="preserve">, </w:t>
      </w:r>
      <w:r w:rsidR="000B2C18" w:rsidRPr="002E3D3B">
        <w:rPr>
          <w:rFonts w:ascii="Times New Roman" w:hAnsi="Times New Roman" w:cs="Times New Roman"/>
          <w:sz w:val="24"/>
          <w:szCs w:val="24"/>
        </w:rPr>
        <w:t>2022)</w:t>
      </w:r>
    </w:p>
    <w:p w14:paraId="65F99529" w14:textId="4B8D45A1"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Another critical dimension of financial inclusion in agriculture is bank loans to agriculture, which reflect the extent to which financial institutions support agricultural activities through credit extension. Agricultural credit is essential for financing farming operations, purchasing modern equipment, and mitigating risks associated with climate variability. However, many commercial banks in Nigeria and other developing economies remain reluctant to lend to the agricultural sector due to perceived risks such as unpredictable weather conditions, price volatility, and loan default rates. Empirical studies have shown that agriculture receives a disproportionately low share of total </w:t>
      </w:r>
      <w:r w:rsidRPr="00E2635E">
        <w:rPr>
          <w:rFonts w:ascii="Times New Roman" w:hAnsi="Times New Roman" w:cs="Times New Roman"/>
          <w:sz w:val="24"/>
          <w:szCs w:val="24"/>
        </w:rPr>
        <w:lastRenderedPageBreak/>
        <w:t>bank credit, which hinders the sector’s ability to achieve its full potential (</w:t>
      </w:r>
      <w:r w:rsidR="000067DE" w:rsidRPr="000067DE">
        <w:rPr>
          <w:rFonts w:ascii="Times New Roman" w:hAnsi="Times New Roman" w:cs="Times New Roman"/>
          <w:sz w:val="24"/>
          <w:szCs w:val="24"/>
        </w:rPr>
        <w:t>Zhang</w:t>
      </w:r>
      <w:r w:rsidR="000067DE">
        <w:rPr>
          <w:rFonts w:ascii="Times New Roman" w:hAnsi="Times New Roman" w:cs="Times New Roman"/>
          <w:sz w:val="24"/>
          <w:szCs w:val="24"/>
        </w:rPr>
        <w:t xml:space="preserve"> et al.</w:t>
      </w:r>
      <w:r w:rsidRPr="00E2635E">
        <w:rPr>
          <w:rFonts w:ascii="Times New Roman" w:hAnsi="Times New Roman" w:cs="Times New Roman"/>
          <w:sz w:val="24"/>
          <w:szCs w:val="24"/>
        </w:rPr>
        <w:t>, 202</w:t>
      </w:r>
      <w:r w:rsidR="000067DE">
        <w:rPr>
          <w:rFonts w:ascii="Times New Roman" w:hAnsi="Times New Roman" w:cs="Times New Roman"/>
          <w:sz w:val="24"/>
          <w:szCs w:val="24"/>
        </w:rPr>
        <w:t>4</w:t>
      </w:r>
      <w:r w:rsidRPr="00E2635E">
        <w:rPr>
          <w:rFonts w:ascii="Times New Roman" w:hAnsi="Times New Roman" w:cs="Times New Roman"/>
          <w:sz w:val="24"/>
          <w:szCs w:val="24"/>
        </w:rPr>
        <w:t>). This financial constraint forces many farmers to rely on informal credit sources, which often come with high interest rates and unfavourable repayment conditions, further limiting their ability to scale up production.</w:t>
      </w:r>
    </w:p>
    <w:p w14:paraId="32DC316B" w14:textId="1CCEF363"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Agricultural Credit Guarantee Scheme Fund (ACGSF) is another important financial inclusion measure designed to mitigate risks associated with lending to the agricultural sector. The ACGSF was established to encourage financial institutions to extend credit to farmers by providing a government-backed guarantee on agricultural loans. According to the Central Bank of Nigeria (CBN, 2022), the scheme has played a crucial role in improving credit accessibility for smallholder farmers, helping them overcome financing barriers that would otherwise restrict their production activities. Studies have shown that credit guarantee schemes significantly enhance agricultural productivity by reducing lending risks and incentivizing banks to allocate more funds to the sector (</w:t>
      </w:r>
      <w:r w:rsidR="00AB4CDC" w:rsidRPr="00E54481">
        <w:rPr>
          <w:rFonts w:ascii="Times New Roman" w:hAnsi="Times New Roman" w:cs="Times New Roman"/>
          <w:sz w:val="24"/>
          <w:szCs w:val="24"/>
        </w:rPr>
        <w:t>Peprah</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et al., 202</w:t>
      </w:r>
      <w:r w:rsidR="00AB4CDC" w:rsidRPr="00E2635E">
        <w:rPr>
          <w:rFonts w:ascii="Times New Roman" w:hAnsi="Times New Roman" w:cs="Times New Roman"/>
          <w:sz w:val="24"/>
          <w:szCs w:val="24"/>
        </w:rPr>
        <w:t>2</w:t>
      </w:r>
      <w:r w:rsidRPr="00E2635E">
        <w:rPr>
          <w:rFonts w:ascii="Times New Roman" w:hAnsi="Times New Roman" w:cs="Times New Roman"/>
          <w:sz w:val="24"/>
          <w:szCs w:val="24"/>
        </w:rPr>
        <w:t xml:space="preserve">). However, despite the benefits of the ACGSF, its effectiveness has been hampered by bureaucratic bottlenecks, low awareness among farmers, and challenges in loan repayment. </w:t>
      </w:r>
    </w:p>
    <w:p w14:paraId="4460A273"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Crop production</w:t>
      </w:r>
    </w:p>
    <w:p w14:paraId="4A44E1AE" w14:textId="4F6819C5"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Crop production is a fundamental component of the agricultural sector, playing a vital role in food security, employment generation, and economic development. Various scholars have defined crop production in relation to its contributions to agricultural output and national economic performance </w:t>
      </w:r>
      <w:proofErr w:type="spellStart"/>
      <w:r w:rsidRPr="00E2635E">
        <w:rPr>
          <w:rFonts w:ascii="Times New Roman" w:hAnsi="Times New Roman" w:cs="Times New Roman"/>
          <w:sz w:val="24"/>
          <w:szCs w:val="24"/>
        </w:rPr>
        <w:t>Osabohien</w:t>
      </w:r>
      <w:proofErr w:type="spellEnd"/>
      <w:r w:rsidRPr="00E2635E">
        <w:rPr>
          <w:rFonts w:ascii="Times New Roman" w:hAnsi="Times New Roman" w:cs="Times New Roman"/>
          <w:sz w:val="24"/>
          <w:szCs w:val="24"/>
        </w:rPr>
        <w:t xml:space="preserve"> et al. (202</w:t>
      </w:r>
      <w:r w:rsidR="00D53313">
        <w:rPr>
          <w:rFonts w:ascii="Times New Roman" w:hAnsi="Times New Roman" w:cs="Times New Roman"/>
          <w:sz w:val="24"/>
          <w:szCs w:val="24"/>
        </w:rPr>
        <w:t>0</w:t>
      </w:r>
      <w:r w:rsidRPr="00E2635E">
        <w:rPr>
          <w:rFonts w:ascii="Times New Roman" w:hAnsi="Times New Roman" w:cs="Times New Roman"/>
          <w:sz w:val="24"/>
          <w:szCs w:val="24"/>
        </w:rPr>
        <w:t xml:space="preserve">) conceptualize agricultural GDP contribution as the monetary value of all finished crop goods produced within a country's borders during a specific time period, reflecting both the volume of production and prevailing market prices. This economic metric captures not only primary crop production but also the value added through initial processing activities directly linked to harvesting. Complementing this view, </w:t>
      </w:r>
      <w:proofErr w:type="spellStart"/>
      <w:r w:rsidRPr="00E2635E">
        <w:rPr>
          <w:rFonts w:ascii="Times New Roman" w:hAnsi="Times New Roman" w:cs="Times New Roman"/>
          <w:sz w:val="24"/>
          <w:szCs w:val="24"/>
        </w:rPr>
        <w:t>Adenle</w:t>
      </w:r>
      <w:proofErr w:type="spellEnd"/>
      <w:r w:rsidRPr="00E2635E">
        <w:rPr>
          <w:rFonts w:ascii="Times New Roman" w:hAnsi="Times New Roman" w:cs="Times New Roman"/>
          <w:sz w:val="24"/>
          <w:szCs w:val="24"/>
        </w:rPr>
        <w:t xml:space="preserve"> et al. (2021) define crop GDP contribution as the net output value of the crop subsector after subtracting intermediate inputs used in the production process, providing a measure of the sector's direct contribution to national income. The economic conceptualization of crop production emphasizes its dual role as both a primary economic activity and a contributor to broader development objectives.</w:t>
      </w:r>
    </w:p>
    <w:p w14:paraId="4F92AA20" w14:textId="72EF231A"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Beyond its economic dimensions, crop production is conceptualized through various technical and agronomic frameworks. </w:t>
      </w:r>
    </w:p>
    <w:p w14:paraId="57D255A4" w14:textId="77777777" w:rsidR="001015EC" w:rsidRPr="00E2635E" w:rsidRDefault="001015EC" w:rsidP="003C6A26">
      <w:pPr>
        <w:spacing w:after="0"/>
        <w:jc w:val="both"/>
        <w:rPr>
          <w:rFonts w:ascii="Times New Roman" w:hAnsi="Times New Roman" w:cs="Times New Roman"/>
          <w:sz w:val="24"/>
          <w:szCs w:val="24"/>
        </w:rPr>
      </w:pPr>
    </w:p>
    <w:p w14:paraId="48956644"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Theoretical Underpinning</w:t>
      </w:r>
    </w:p>
    <w:p w14:paraId="268113F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theoretical underpinning for this study is the Financial Intermediation Theory, propounded by Gurley and Shaw in 1960. The Financial Intermediation Theory posits that financial intermediaries, such as banks and other financial institutions, play a crucial role in channelling funds from surplus units (savers) to deficit units (borrowers), thereby enhancing economic activities (Gurley &amp; Shaw, 1960). This theory suggests that financial intermediaries help overcome market inefficiencies by reducing transaction costs, mitigating risks, and facilitating credit allocation. Within the context of agricultural development, financial intermediaries serve as a bridge between rural farmers and the formal financial system, ensuring that farmers can access the necessary credit to improve crop production and contribute to economic growth. According to Stieglitz   and Weiss (1981), financial intermediation enhances investment by providing a stable supply of loanable funds, which enables economic agents to undertake productive activities. This </w:t>
      </w:r>
      <w:r w:rsidRPr="00E2635E">
        <w:rPr>
          <w:rFonts w:ascii="Times New Roman" w:hAnsi="Times New Roman" w:cs="Times New Roman"/>
          <w:sz w:val="24"/>
          <w:szCs w:val="24"/>
        </w:rPr>
        <w:lastRenderedPageBreak/>
        <w:t>is particularly relevant in agriculture, where financial constraints often hinder farmers from adopting modern farming techniques, purchasing improved inputs, and expanding production.</w:t>
      </w:r>
    </w:p>
    <w:p w14:paraId="40E8060F" w14:textId="176154AD"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significance of this theory in the present study is in its explanation of how financial inclusion—measured through rural bank deposits, bank loans to agriculture, and agricultural credit guarantee scheme funds—facilitates agricultural investment and enhances crop production. The theory supports the idea that increased financial access allows farmers to secure the necessary capital for mechanization, irrigation, and improved seed varieties, which in turn boosts their productivity and overall contributions to GDP. In Nigeria, where agriculture remains a major contributor to GDP, financial intermediation plays a critical role in determining the extent to which farmers can access funding for production expansion. However, challenges such as high lending risks, limited rural banking penetration, and inadequate credit guarantee mechanisms often restrict the effectiveness of financial intermediaries in supporting crop production.</w:t>
      </w:r>
    </w:p>
    <w:p w14:paraId="203D35AF"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Empirical Reviews</w:t>
      </w:r>
    </w:p>
    <w:p w14:paraId="674131F2"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Research on the impact of financial inclusion on crop production has been widely conducted across different economies, with scholars examining various dimensions such as access to credit, rural banking penetration, and financial policies supporting agriculture. These studies have employed different methodologies, covered various timeframes, and explored diverse geographical contexts, providing valuable insights into the relationship between financial access and agricultural productivity. While some findings highlight a positive impact of financial inclusion on agricultural GDP, others emphasize structural barriers that limit the effectiveness of financial policies in improving crop production. A review of five empirical studies provides a broader understanding of this relationship, highlighting their methodologies, key findings, and limitations.</w:t>
      </w:r>
    </w:p>
    <w:p w14:paraId="0C8A6038" w14:textId="77777777" w:rsidR="004C1BE3" w:rsidRDefault="004C1BE3" w:rsidP="003C6A26">
      <w:pPr>
        <w:spacing w:after="0"/>
        <w:jc w:val="both"/>
        <w:rPr>
          <w:rFonts w:ascii="Times New Roman" w:hAnsi="Times New Roman" w:cs="Times New Roman"/>
          <w:sz w:val="24"/>
          <w:szCs w:val="24"/>
        </w:rPr>
      </w:pPr>
    </w:p>
    <w:p w14:paraId="35437F46" w14:textId="234BD08A" w:rsidR="004C1BE3" w:rsidRPr="00E2635E" w:rsidRDefault="004C1BE3" w:rsidP="004C1BE3">
      <w:pPr>
        <w:spacing w:after="0"/>
        <w:jc w:val="both"/>
        <w:rPr>
          <w:rFonts w:ascii="Times New Roman" w:hAnsi="Times New Roman" w:cs="Times New Roman"/>
          <w:sz w:val="24"/>
          <w:szCs w:val="24"/>
        </w:rPr>
      </w:pPr>
      <w:r w:rsidRPr="004C1BE3">
        <w:rPr>
          <w:rFonts w:ascii="Times New Roman" w:hAnsi="Times New Roman" w:cs="Times New Roman"/>
          <w:sz w:val="24"/>
          <w:szCs w:val="24"/>
        </w:rPr>
        <w:t>Bekoe</w:t>
      </w:r>
      <w:r>
        <w:rPr>
          <w:rFonts w:ascii="Times New Roman" w:hAnsi="Times New Roman" w:cs="Times New Roman"/>
          <w:sz w:val="24"/>
          <w:szCs w:val="24"/>
        </w:rPr>
        <w:t xml:space="preserve"> et al. (</w:t>
      </w:r>
      <w:r w:rsidR="002D3C50">
        <w:rPr>
          <w:rFonts w:ascii="Times New Roman" w:hAnsi="Times New Roman" w:cs="Times New Roman"/>
          <w:sz w:val="24"/>
          <w:szCs w:val="24"/>
        </w:rPr>
        <w:t>2025</w:t>
      </w:r>
      <w:r>
        <w:rPr>
          <w:rFonts w:ascii="Times New Roman" w:hAnsi="Times New Roman" w:cs="Times New Roman"/>
          <w:sz w:val="24"/>
          <w:szCs w:val="24"/>
        </w:rPr>
        <w:t>)</w:t>
      </w:r>
      <w:r w:rsidRPr="004C1BE3">
        <w:rPr>
          <w:rFonts w:ascii="Times New Roman" w:hAnsi="Times New Roman" w:cs="Times New Roman"/>
          <w:sz w:val="24"/>
          <w:szCs w:val="24"/>
        </w:rPr>
        <w:t> examine</w:t>
      </w:r>
      <w:r>
        <w:rPr>
          <w:rFonts w:ascii="Times New Roman" w:hAnsi="Times New Roman" w:cs="Times New Roman"/>
          <w:sz w:val="24"/>
          <w:szCs w:val="24"/>
        </w:rPr>
        <w:t xml:space="preserve">d </w:t>
      </w:r>
      <w:r w:rsidRPr="004C1BE3">
        <w:rPr>
          <w:rFonts w:ascii="Times New Roman" w:hAnsi="Times New Roman" w:cs="Times New Roman"/>
          <w:sz w:val="24"/>
          <w:szCs w:val="24"/>
        </w:rPr>
        <w:t>the impact of financial inclusion and bank stability on agricultural productivity in Sub-Saharan Africa (SSA)</w:t>
      </w:r>
      <w:r>
        <w:rPr>
          <w:rFonts w:ascii="Times New Roman" w:hAnsi="Times New Roman" w:cs="Times New Roman"/>
          <w:sz w:val="24"/>
          <w:szCs w:val="24"/>
        </w:rPr>
        <w:t xml:space="preserve">. </w:t>
      </w:r>
      <w:r w:rsidRPr="004C1BE3">
        <w:rPr>
          <w:rFonts w:ascii="Times New Roman" w:hAnsi="Times New Roman" w:cs="Times New Roman"/>
          <w:sz w:val="24"/>
          <w:szCs w:val="24"/>
        </w:rPr>
        <w:t xml:space="preserve">The study used 38 countries in the SSA with data spanning between 2004 and 2021. The data were </w:t>
      </w:r>
      <w:proofErr w:type="spellStart"/>
      <w:r w:rsidRPr="004C1BE3">
        <w:rPr>
          <w:rFonts w:ascii="Times New Roman" w:hAnsi="Times New Roman" w:cs="Times New Roman"/>
          <w:sz w:val="24"/>
          <w:szCs w:val="24"/>
        </w:rPr>
        <w:t>analyzed</w:t>
      </w:r>
      <w:proofErr w:type="spellEnd"/>
      <w:r w:rsidRPr="004C1BE3">
        <w:rPr>
          <w:rFonts w:ascii="Times New Roman" w:hAnsi="Times New Roman" w:cs="Times New Roman"/>
          <w:sz w:val="24"/>
          <w:szCs w:val="24"/>
        </w:rPr>
        <w:t xml:space="preserve"> using the two-step system generalized method of moments (GMM) and the panel-corrected standard error (PCSE) model.</w:t>
      </w:r>
      <w:r>
        <w:rPr>
          <w:rFonts w:ascii="Times New Roman" w:hAnsi="Times New Roman" w:cs="Times New Roman"/>
          <w:sz w:val="24"/>
          <w:szCs w:val="24"/>
        </w:rPr>
        <w:t xml:space="preserve"> </w:t>
      </w:r>
      <w:r w:rsidRPr="004C1BE3">
        <w:rPr>
          <w:rFonts w:ascii="Times New Roman" w:hAnsi="Times New Roman" w:cs="Times New Roman"/>
          <w:sz w:val="24"/>
          <w:szCs w:val="24"/>
        </w:rPr>
        <w:t xml:space="preserve">he </w:t>
      </w:r>
      <w:proofErr w:type="gramStart"/>
      <w:r w:rsidRPr="004C1BE3">
        <w:rPr>
          <w:rFonts w:ascii="Times New Roman" w:hAnsi="Times New Roman" w:cs="Times New Roman"/>
          <w:sz w:val="24"/>
          <w:szCs w:val="24"/>
        </w:rPr>
        <w:t>study</w:t>
      </w:r>
      <w:proofErr w:type="gramEnd"/>
      <w:r w:rsidRPr="004C1BE3">
        <w:rPr>
          <w:rFonts w:ascii="Times New Roman" w:hAnsi="Times New Roman" w:cs="Times New Roman"/>
          <w:sz w:val="24"/>
          <w:szCs w:val="24"/>
        </w:rPr>
        <w:t xml:space="preserve"> found a positive effect of financial inclusion and bank stability on agricultural productivity. The study also discovered that while the access component of financial inclusion has a negative influence on agricultural productivity, the usage dimension has a positive impact.</w:t>
      </w:r>
    </w:p>
    <w:p w14:paraId="0A01D066" w14:textId="77777777" w:rsidR="003C6A26" w:rsidRPr="00E2635E" w:rsidRDefault="003C6A26" w:rsidP="003C6A26">
      <w:pPr>
        <w:spacing w:after="0"/>
        <w:jc w:val="both"/>
        <w:rPr>
          <w:rFonts w:ascii="Times New Roman" w:hAnsi="Times New Roman" w:cs="Times New Roman"/>
          <w:sz w:val="24"/>
          <w:szCs w:val="24"/>
        </w:rPr>
      </w:pPr>
    </w:p>
    <w:p w14:paraId="02A49467" w14:textId="77777777"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Beyond China, Sethy and Goyari (2022) examined the effects of financial inclusion on agricultural productivity across South Asian countries using panel data (2004–2018). They constructed a multidimensional, time-varying financial inclusion index based on the HDI framework and applied Fully Modified OLS (FMOLS) and Dynamic OLS (DOLS) to estimate long-run elasticities. The findings revealed a strong positive elasticity between financial inclusion and productivity, particularly when interacting with human capital. Despite the robustness of their cointegration approach, challenges related to data quality and differences in national financial systems limited the generalizability of the results.</w:t>
      </w:r>
    </w:p>
    <w:p w14:paraId="7EDDE17F" w14:textId="77777777" w:rsidR="003C6A26" w:rsidRPr="00E2635E" w:rsidRDefault="003C6A26" w:rsidP="003C6A26">
      <w:pPr>
        <w:spacing w:after="0"/>
        <w:jc w:val="both"/>
        <w:rPr>
          <w:rFonts w:ascii="Times New Roman" w:hAnsi="Times New Roman" w:cs="Times New Roman"/>
          <w:sz w:val="24"/>
          <w:szCs w:val="24"/>
        </w:rPr>
      </w:pPr>
    </w:p>
    <w:p w14:paraId="2120BA2E" w14:textId="73BFB876"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 xml:space="preserve">In a more micro-level analysis, </w:t>
      </w:r>
      <w:proofErr w:type="spellStart"/>
      <w:r w:rsidR="002D3C50" w:rsidRPr="002D3C50">
        <w:rPr>
          <w:rFonts w:ascii="Times New Roman" w:hAnsi="Times New Roman" w:cs="Times New Roman"/>
          <w:sz w:val="24"/>
          <w:szCs w:val="24"/>
        </w:rPr>
        <w:t>RhezandyBudi</w:t>
      </w:r>
      <w:proofErr w:type="spellEnd"/>
      <w:r w:rsidR="002D3C50" w:rsidRPr="002D3C50">
        <w:rPr>
          <w:rFonts w:ascii="Times New Roman" w:hAnsi="Times New Roman" w:cs="Times New Roman"/>
          <w:sz w:val="24"/>
          <w:szCs w:val="24"/>
        </w:rPr>
        <w:t xml:space="preserve"> </w:t>
      </w:r>
      <w:r w:rsidRPr="00E2635E">
        <w:rPr>
          <w:rFonts w:ascii="Times New Roman" w:hAnsi="Times New Roman" w:cs="Times New Roman"/>
          <w:sz w:val="24"/>
          <w:szCs w:val="24"/>
        </w:rPr>
        <w:t xml:space="preserve">et al. </w:t>
      </w:r>
      <w:r w:rsidRPr="000B2C18">
        <w:rPr>
          <w:rFonts w:ascii="Times New Roman" w:hAnsi="Times New Roman" w:cs="Times New Roman"/>
          <w:sz w:val="24"/>
          <w:szCs w:val="24"/>
        </w:rPr>
        <w:t>(</w:t>
      </w:r>
      <w:r w:rsidR="002D3C50">
        <w:rPr>
          <w:rFonts w:ascii="Times New Roman" w:hAnsi="Times New Roman" w:cs="Times New Roman"/>
          <w:sz w:val="24"/>
          <w:szCs w:val="24"/>
        </w:rPr>
        <w:t>2023</w:t>
      </w:r>
      <w:r w:rsidRPr="000B2C18">
        <w:rPr>
          <w:rFonts w:ascii="Times New Roman" w:hAnsi="Times New Roman" w:cs="Times New Roman"/>
          <w:sz w:val="24"/>
          <w:szCs w:val="24"/>
        </w:rPr>
        <w:t xml:space="preserve">) investigated the relationship between </w:t>
      </w:r>
      <w:r w:rsidRPr="000B2C18">
        <w:rPr>
          <w:rFonts w:ascii="Times New Roman" w:hAnsi="Times New Roman" w:cs="Times New Roman"/>
          <w:b/>
          <w:bCs/>
          <w:sz w:val="24"/>
          <w:szCs w:val="24"/>
        </w:rPr>
        <w:t>financial capital access and technical efficiency</w:t>
      </w:r>
      <w:r w:rsidRPr="000B2C18">
        <w:rPr>
          <w:rFonts w:ascii="Times New Roman" w:hAnsi="Times New Roman" w:cs="Times New Roman"/>
          <w:sz w:val="24"/>
          <w:szCs w:val="24"/>
        </w:rPr>
        <w:t xml:space="preserve"> among </w:t>
      </w:r>
      <w:r w:rsidRPr="000B2C18">
        <w:rPr>
          <w:rFonts w:ascii="Times New Roman" w:hAnsi="Times New Roman" w:cs="Times New Roman"/>
          <w:b/>
          <w:bCs/>
          <w:sz w:val="24"/>
          <w:szCs w:val="24"/>
        </w:rPr>
        <w:t>smallholder carrot farmers</w:t>
      </w:r>
      <w:r w:rsidRPr="000B2C18">
        <w:rPr>
          <w:rFonts w:ascii="Times New Roman" w:hAnsi="Times New Roman" w:cs="Times New Roman"/>
          <w:sz w:val="24"/>
          <w:szCs w:val="24"/>
        </w:rPr>
        <w:t xml:space="preserve"> in East Java, Indonesia. Using a </w:t>
      </w:r>
      <w:r w:rsidRPr="000B2C18">
        <w:rPr>
          <w:rFonts w:ascii="Times New Roman" w:hAnsi="Times New Roman" w:cs="Times New Roman"/>
          <w:b/>
          <w:bCs/>
          <w:sz w:val="24"/>
          <w:szCs w:val="24"/>
        </w:rPr>
        <w:t>stochastic frontier analysis</w:t>
      </w:r>
      <w:r w:rsidRPr="000B2C18">
        <w:rPr>
          <w:rFonts w:ascii="Times New Roman" w:hAnsi="Times New Roman" w:cs="Times New Roman"/>
          <w:sz w:val="24"/>
          <w:szCs w:val="24"/>
        </w:rPr>
        <w:t xml:space="preserve"> with data from 100 farmers, the study found </w:t>
      </w:r>
      <w:r w:rsidRPr="000B2C18">
        <w:rPr>
          <w:rFonts w:ascii="Times New Roman" w:hAnsi="Times New Roman" w:cs="Times New Roman"/>
          <w:sz w:val="24"/>
          <w:szCs w:val="24"/>
        </w:rPr>
        <w:lastRenderedPageBreak/>
        <w:t xml:space="preserve">that access to </w:t>
      </w:r>
      <w:r w:rsidRPr="000B2C18">
        <w:rPr>
          <w:rFonts w:ascii="Times New Roman" w:hAnsi="Times New Roman" w:cs="Times New Roman"/>
          <w:b/>
          <w:bCs/>
          <w:sz w:val="24"/>
          <w:szCs w:val="24"/>
        </w:rPr>
        <w:t>formal financial services significantly increased technical efficiency</w:t>
      </w:r>
      <w:r w:rsidRPr="000B2C18">
        <w:rPr>
          <w:rFonts w:ascii="Times New Roman" w:hAnsi="Times New Roman" w:cs="Times New Roman"/>
          <w:sz w:val="24"/>
          <w:szCs w:val="24"/>
        </w:rPr>
        <w:t>, with farmers using formal credit achieving 15–20% higher efficiency scores than those relying on informal sources. While the study provided granular insights into financial inclusion’s impact on farm-level efficiency, its limited sample size and narrow geographic scope raised concerns about external validity and long-term dynamic effects.</w:t>
      </w:r>
    </w:p>
    <w:p w14:paraId="7F93369F" w14:textId="77777777" w:rsidR="000B2C18" w:rsidRPr="00E2635E" w:rsidRDefault="000B2C18" w:rsidP="000B2C18">
      <w:pPr>
        <w:spacing w:after="0"/>
        <w:jc w:val="both"/>
        <w:rPr>
          <w:rFonts w:ascii="Times New Roman" w:hAnsi="Times New Roman" w:cs="Times New Roman"/>
          <w:sz w:val="24"/>
          <w:szCs w:val="24"/>
        </w:rPr>
      </w:pPr>
    </w:p>
    <w:p w14:paraId="4DA36FA4" w14:textId="7F0EE092" w:rsidR="000B2C18" w:rsidRPr="009D6A54" w:rsidRDefault="000B2C18" w:rsidP="000B2C18">
      <w:pPr>
        <w:spacing w:after="0"/>
        <w:jc w:val="both"/>
        <w:rPr>
          <w:rFonts w:ascii="Times New Roman" w:hAnsi="Times New Roman" w:cs="Times New Roman"/>
          <w:sz w:val="24"/>
          <w:szCs w:val="24"/>
        </w:rPr>
      </w:pPr>
      <w:r w:rsidRPr="009D6A54">
        <w:rPr>
          <w:rFonts w:ascii="Times New Roman" w:hAnsi="Times New Roman" w:cs="Times New Roman"/>
          <w:sz w:val="24"/>
          <w:szCs w:val="24"/>
        </w:rPr>
        <w:t xml:space="preserve">In a related study, </w:t>
      </w:r>
      <w:r w:rsidR="009D6A54" w:rsidRPr="009D6A54">
        <w:rPr>
          <w:rFonts w:ascii="Times New Roman" w:hAnsi="Times New Roman" w:cs="Times New Roman"/>
          <w:sz w:val="24"/>
          <w:szCs w:val="24"/>
        </w:rPr>
        <w:t xml:space="preserve">Wang and Xu (2023) </w:t>
      </w:r>
      <w:r w:rsidRPr="009D6A54">
        <w:rPr>
          <w:rFonts w:ascii="Times New Roman" w:hAnsi="Times New Roman" w:cs="Times New Roman"/>
          <w:sz w:val="24"/>
          <w:szCs w:val="24"/>
        </w:rPr>
        <w:t>explored the impact of digital financial inclusion on agricultural output levels using Beijing University’s Digital Inclusive Finance Index and data from 31 provinces (2011–2020). Applying a double fixed-effect model and panel threshold analysis, they found a positive and statistically significant relationship, with usage depth of financial services playing the most prominent role. Nonlinear threshold effects were identified, showing that productivity gains vary by development stage. However, the absence of spatial spillover analysis and subnational data limited insight into the distributional impacts of digital financial services.</w:t>
      </w:r>
    </w:p>
    <w:p w14:paraId="3ABFC399" w14:textId="77777777" w:rsidR="001B42E8" w:rsidRPr="000B2C18" w:rsidRDefault="001B42E8" w:rsidP="000B2C18">
      <w:pPr>
        <w:spacing w:after="0"/>
        <w:jc w:val="both"/>
        <w:rPr>
          <w:rFonts w:ascii="Times New Roman" w:hAnsi="Times New Roman" w:cs="Times New Roman"/>
          <w:sz w:val="24"/>
          <w:szCs w:val="24"/>
        </w:rPr>
      </w:pPr>
    </w:p>
    <w:p w14:paraId="11FEC66A" w14:textId="5A14DFF9" w:rsidR="00AB4CDC" w:rsidRPr="00E54481" w:rsidRDefault="002F59A3" w:rsidP="00AB4CDC">
      <w:pPr>
        <w:jc w:val="both"/>
        <w:rPr>
          <w:rFonts w:ascii="Times New Roman" w:hAnsi="Times New Roman" w:cs="Times New Roman"/>
          <w:sz w:val="24"/>
          <w:szCs w:val="24"/>
        </w:rPr>
      </w:pPr>
      <w:r w:rsidRPr="001B42E8">
        <w:rPr>
          <w:rFonts w:ascii="Times New Roman" w:hAnsi="Times New Roman" w:cs="Times New Roman"/>
          <w:sz w:val="24"/>
          <w:szCs w:val="24"/>
        </w:rPr>
        <w:t xml:space="preserve">Tan </w:t>
      </w:r>
      <w:r w:rsidRPr="001B42E8">
        <w:rPr>
          <w:rFonts w:ascii="Times New Roman" w:hAnsi="Times New Roman" w:cs="Times New Roman"/>
          <w:i/>
          <w:iCs/>
          <w:sz w:val="24"/>
          <w:szCs w:val="24"/>
        </w:rPr>
        <w:t>et al.</w:t>
      </w:r>
      <w:r w:rsidRPr="001B42E8">
        <w:rPr>
          <w:rFonts w:ascii="Times New Roman" w:hAnsi="Times New Roman" w:cs="Times New Roman"/>
          <w:sz w:val="24"/>
          <w:szCs w:val="24"/>
        </w:rPr>
        <w:t xml:space="preserve"> </w:t>
      </w:r>
      <w:r w:rsidR="00AB4CDC" w:rsidRPr="001B42E8">
        <w:rPr>
          <w:rFonts w:ascii="Times New Roman" w:hAnsi="Times New Roman" w:cs="Times New Roman"/>
          <w:sz w:val="24"/>
          <w:szCs w:val="24"/>
        </w:rPr>
        <w:t>(202</w:t>
      </w:r>
      <w:r w:rsidRPr="001B42E8">
        <w:rPr>
          <w:rFonts w:ascii="Times New Roman" w:hAnsi="Times New Roman" w:cs="Times New Roman"/>
          <w:sz w:val="24"/>
          <w:szCs w:val="24"/>
        </w:rPr>
        <w:t>4</w:t>
      </w:r>
      <w:r w:rsidR="00AB4CDC" w:rsidRPr="001B42E8">
        <w:rPr>
          <w:rFonts w:ascii="Times New Roman" w:hAnsi="Times New Roman" w:cs="Times New Roman"/>
          <w:sz w:val="24"/>
          <w:szCs w:val="24"/>
        </w:rPr>
        <w:t>) investigated whether digital financial inclusion can reduce agricultural carbon emission intensity using provincial panel data from China (2010–2020). Using unconditional quantile regression and mediation analysis, the study found that financial inclusion lowered carbon emissions in agriculture, with greater benefits at higher quantiles. This reduction was mediated by technological progress and improved public financial resource allocation. While innovative in method, the study’s exclusive focus on China and use of environmental proxies instead of direct productivity measures limit broader relevance, particularly for countries with less</w:t>
      </w:r>
      <w:r w:rsidR="00AB4CDC" w:rsidRPr="00E54481">
        <w:rPr>
          <w:rFonts w:ascii="Times New Roman" w:hAnsi="Times New Roman" w:cs="Times New Roman"/>
          <w:sz w:val="24"/>
          <w:szCs w:val="24"/>
        </w:rPr>
        <w:t xml:space="preserve"> advanced agricultural technologies.</w:t>
      </w:r>
    </w:p>
    <w:p w14:paraId="760E9032" w14:textId="77777777" w:rsidR="00AB4CDC" w:rsidRPr="00E2635E" w:rsidRDefault="00AB4CDC" w:rsidP="000B2C18">
      <w:pPr>
        <w:jc w:val="both"/>
        <w:rPr>
          <w:rFonts w:ascii="Times New Roman" w:hAnsi="Times New Roman" w:cs="Times New Roman"/>
          <w:sz w:val="24"/>
          <w:szCs w:val="24"/>
        </w:rPr>
      </w:pPr>
    </w:p>
    <w:p w14:paraId="27BEB724" w14:textId="77777777" w:rsidR="000B2C18" w:rsidRPr="002E3D3B" w:rsidRDefault="000B2C18" w:rsidP="000B2C18">
      <w:pPr>
        <w:jc w:val="both"/>
        <w:rPr>
          <w:rFonts w:ascii="Times New Roman" w:hAnsi="Times New Roman" w:cs="Times New Roman"/>
          <w:sz w:val="24"/>
          <w:szCs w:val="24"/>
        </w:rPr>
      </w:pPr>
      <w:r w:rsidRPr="002E3D3B">
        <w:rPr>
          <w:rFonts w:ascii="Times New Roman" w:hAnsi="Times New Roman" w:cs="Times New Roman"/>
          <w:sz w:val="24"/>
          <w:szCs w:val="24"/>
        </w:rPr>
        <w:t>Gao</w:t>
      </w:r>
      <w:r w:rsidRPr="00E2635E">
        <w:rPr>
          <w:rFonts w:ascii="Times New Roman" w:hAnsi="Times New Roman" w:cs="Times New Roman"/>
          <w:sz w:val="24"/>
          <w:szCs w:val="24"/>
        </w:rPr>
        <w:t xml:space="preserve"> et al. </w:t>
      </w:r>
      <w:r w:rsidRPr="002E3D3B">
        <w:rPr>
          <w:rFonts w:ascii="Times New Roman" w:hAnsi="Times New Roman" w:cs="Times New Roman"/>
          <w:sz w:val="24"/>
          <w:szCs w:val="24"/>
        </w:rPr>
        <w:t xml:space="preserve">(2022) assessed the influence of </w:t>
      </w:r>
      <w:r w:rsidRPr="002E3D3B">
        <w:rPr>
          <w:rFonts w:ascii="Times New Roman" w:hAnsi="Times New Roman" w:cs="Times New Roman"/>
          <w:b/>
          <w:bCs/>
          <w:sz w:val="24"/>
          <w:szCs w:val="24"/>
        </w:rPr>
        <w:t>digital inclusive finance</w:t>
      </w:r>
      <w:r w:rsidRPr="002E3D3B">
        <w:rPr>
          <w:rFonts w:ascii="Times New Roman" w:hAnsi="Times New Roman" w:cs="Times New Roman"/>
          <w:sz w:val="24"/>
          <w:szCs w:val="24"/>
        </w:rPr>
        <w:t xml:space="preserve"> on </w:t>
      </w:r>
      <w:r w:rsidRPr="002E3D3B">
        <w:rPr>
          <w:rFonts w:ascii="Times New Roman" w:hAnsi="Times New Roman" w:cs="Times New Roman"/>
          <w:b/>
          <w:bCs/>
          <w:sz w:val="24"/>
          <w:szCs w:val="24"/>
        </w:rPr>
        <w:t>agricultural green total factor productivity (AGTFP)</w:t>
      </w:r>
      <w:r w:rsidRPr="002E3D3B">
        <w:rPr>
          <w:rFonts w:ascii="Times New Roman" w:hAnsi="Times New Roman" w:cs="Times New Roman"/>
          <w:sz w:val="24"/>
          <w:szCs w:val="24"/>
        </w:rPr>
        <w:t xml:space="preserve"> across 30 Chinese provinces from 2011 to 2019. The study used a </w:t>
      </w:r>
      <w:r w:rsidRPr="002E3D3B">
        <w:rPr>
          <w:rFonts w:ascii="Times New Roman" w:hAnsi="Times New Roman" w:cs="Times New Roman"/>
          <w:b/>
          <w:bCs/>
          <w:sz w:val="24"/>
          <w:szCs w:val="24"/>
        </w:rPr>
        <w:t>Global Malmquist–Luenberger (GML) index</w:t>
      </w:r>
      <w:r w:rsidRPr="002E3D3B">
        <w:rPr>
          <w:rFonts w:ascii="Times New Roman" w:hAnsi="Times New Roman" w:cs="Times New Roman"/>
          <w:sz w:val="24"/>
          <w:szCs w:val="24"/>
        </w:rPr>
        <w:t xml:space="preserve"> and panel data regression with fixed effects. Results revealed that digital financial inclusion significantly enhanced AGTFP, particularly through increased financial coverage and usage depth. Threshold effects were observed, indicating that higher levels of digital finance penetration yielded greater productivity gains. However, the study’s geographical restriction to China and its reliance on provincial-level data limited the broader applicability of the findings.</w:t>
      </w:r>
    </w:p>
    <w:p w14:paraId="5A84A5FC" w14:textId="77777777" w:rsidR="00AB4CDC" w:rsidRPr="00E2635E" w:rsidRDefault="00AB4CDC" w:rsidP="00AB4CDC">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a macro-level study, Azad et al. (2022) </w:t>
      </w:r>
      <w:proofErr w:type="spellStart"/>
      <w:r w:rsidRPr="00E2635E">
        <w:rPr>
          <w:rFonts w:ascii="Times New Roman" w:hAnsi="Times New Roman" w:cs="Times New Roman"/>
          <w:sz w:val="24"/>
          <w:szCs w:val="24"/>
        </w:rPr>
        <w:t>analyzed</w:t>
      </w:r>
      <w:proofErr w:type="spellEnd"/>
      <w:r w:rsidRPr="00E2635E">
        <w:rPr>
          <w:rFonts w:ascii="Times New Roman" w:hAnsi="Times New Roman" w:cs="Times New Roman"/>
          <w:sz w:val="24"/>
          <w:szCs w:val="24"/>
        </w:rPr>
        <w:t xml:space="preserve"> the dynamic relationship between agricultural credit and productivity in Bangladesh using time series data (1980–2020). By applying vector error correction models and Granger causality tests, they found that agricultural credit had a significant long-run impact on productivity, with formal credit channels showing stronger effects than informal sources. The study also revealed bidirectional causality, suggesting that higher productivity could also improve access to finance. Nevertheless, the reliance on aggregated national-level data limited its ability to capture regional and farm-level differences, and it did not fully control for policy reforms or technological shifts affecting productivity trends.</w:t>
      </w:r>
    </w:p>
    <w:p w14:paraId="2DE0A072" w14:textId="77777777" w:rsidR="00AB4CDC" w:rsidRPr="00E2635E" w:rsidRDefault="00AB4CDC" w:rsidP="00AB4CDC">
      <w:pPr>
        <w:spacing w:after="0"/>
        <w:jc w:val="both"/>
        <w:rPr>
          <w:rFonts w:ascii="Times New Roman" w:hAnsi="Times New Roman" w:cs="Times New Roman"/>
          <w:sz w:val="24"/>
          <w:szCs w:val="24"/>
        </w:rPr>
      </w:pPr>
    </w:p>
    <w:p w14:paraId="1D77FE79" w14:textId="77777777" w:rsidR="00AB4CDC" w:rsidRPr="00E54481" w:rsidRDefault="00AB4CDC" w:rsidP="00AB4CDC">
      <w:pPr>
        <w:spacing w:after="0"/>
        <w:jc w:val="both"/>
        <w:rPr>
          <w:rFonts w:ascii="Times New Roman" w:hAnsi="Times New Roman" w:cs="Times New Roman"/>
          <w:sz w:val="24"/>
          <w:szCs w:val="24"/>
        </w:rPr>
      </w:pPr>
      <w:r w:rsidRPr="00E54481">
        <w:rPr>
          <w:rFonts w:ascii="Times New Roman" w:hAnsi="Times New Roman" w:cs="Times New Roman"/>
          <w:sz w:val="24"/>
          <w:szCs w:val="24"/>
        </w:rPr>
        <w:lastRenderedPageBreak/>
        <w:t>Peprah</w:t>
      </w:r>
      <w:r w:rsidRPr="00E2635E">
        <w:rPr>
          <w:rFonts w:ascii="Times New Roman" w:hAnsi="Times New Roman" w:cs="Times New Roman"/>
          <w:sz w:val="24"/>
          <w:szCs w:val="24"/>
        </w:rPr>
        <w:t xml:space="preserve"> et al. (2022) </w:t>
      </w:r>
      <w:r w:rsidRPr="00E54481">
        <w:rPr>
          <w:rFonts w:ascii="Times New Roman" w:hAnsi="Times New Roman" w:cs="Times New Roman"/>
          <w:sz w:val="24"/>
          <w:szCs w:val="24"/>
        </w:rPr>
        <w:t>explored whether financial inclusion enhances productivity among smallholder farmers in Ghana using the Ghana Living Standards Survey (2012–2013). By applying propensity score matching and instrumental variable techniques, the study controlled for endogeneity and selection bias. Financial inclusion was proxied by access to formal credit, savings, and insurance coverage. The findings showed that financially included farmers experienced 18–22% higher productivity than their non-included counterparts, with credit access exerting the strongest positive effect. While the methodology was robust, the cross-sectional nature of the data limited its ability to assess long-term effects, and reliance on self-reported financial behavior introduced potential measurement biases.</w:t>
      </w:r>
    </w:p>
    <w:p w14:paraId="1F6A1F42" w14:textId="77777777" w:rsidR="00AB4CDC" w:rsidRPr="00E2635E" w:rsidRDefault="00AB4CDC" w:rsidP="003C6A26">
      <w:pPr>
        <w:spacing w:after="0"/>
        <w:jc w:val="both"/>
        <w:rPr>
          <w:rFonts w:ascii="Times New Roman" w:hAnsi="Times New Roman" w:cs="Times New Roman"/>
          <w:sz w:val="24"/>
          <w:szCs w:val="24"/>
        </w:rPr>
      </w:pPr>
    </w:p>
    <w:p w14:paraId="453DDC67" w14:textId="48032598" w:rsidR="00AB4CDC" w:rsidRDefault="00970DC6" w:rsidP="00AB4CDC">
      <w:pPr>
        <w:spacing w:after="0"/>
        <w:jc w:val="both"/>
        <w:rPr>
          <w:rFonts w:ascii="Times New Roman" w:hAnsi="Times New Roman" w:cs="Times New Roman"/>
          <w:sz w:val="24"/>
          <w:szCs w:val="24"/>
        </w:rPr>
      </w:pPr>
      <w:r w:rsidRPr="00970DC6">
        <w:rPr>
          <w:rFonts w:ascii="Times New Roman" w:hAnsi="Times New Roman" w:cs="Times New Roman"/>
          <w:sz w:val="24"/>
          <w:szCs w:val="24"/>
        </w:rPr>
        <w:t xml:space="preserve">Pushp et al. </w:t>
      </w:r>
      <w:r w:rsidR="00AB4CDC" w:rsidRPr="00970DC6">
        <w:rPr>
          <w:rFonts w:ascii="Times New Roman" w:hAnsi="Times New Roman" w:cs="Times New Roman"/>
          <w:sz w:val="24"/>
          <w:szCs w:val="24"/>
        </w:rPr>
        <w:t>(202</w:t>
      </w:r>
      <w:r w:rsidRPr="00970DC6">
        <w:rPr>
          <w:rFonts w:ascii="Times New Roman" w:hAnsi="Times New Roman" w:cs="Times New Roman"/>
          <w:sz w:val="24"/>
          <w:szCs w:val="24"/>
        </w:rPr>
        <w:t>3</w:t>
      </w:r>
      <w:r w:rsidR="00AB4CDC" w:rsidRPr="00970DC6">
        <w:rPr>
          <w:rFonts w:ascii="Times New Roman" w:hAnsi="Times New Roman" w:cs="Times New Roman"/>
          <w:sz w:val="24"/>
          <w:szCs w:val="24"/>
        </w:rPr>
        <w:t>) focused on India, assessing the impact of financial inclusion on sustainable agricultural development under the moderating effect of internet penetration. Using panel data (2017–2019) from 16 Indian states and one union territory, the study employed moderation analysis to show that states with higher internet usage experienced stronger benefits from financial inclusion, especially in terms of agricultural insurance uptake and crop productivity. Though the study introduced digital infrastructure as an innovative moderator, the short timeframe and narrow geographic focus limit its ability to explain long-term effects or regional heterogeneity in outcomes.</w:t>
      </w:r>
    </w:p>
    <w:p w14:paraId="3A5EC7B9" w14:textId="77777777" w:rsidR="00970DC6" w:rsidRPr="00970DC6" w:rsidRDefault="00970DC6" w:rsidP="00AB4CDC">
      <w:pPr>
        <w:spacing w:after="0"/>
        <w:jc w:val="both"/>
        <w:rPr>
          <w:rFonts w:ascii="Times New Roman" w:hAnsi="Times New Roman" w:cs="Times New Roman"/>
          <w:sz w:val="24"/>
          <w:szCs w:val="24"/>
        </w:rPr>
      </w:pPr>
    </w:p>
    <w:p w14:paraId="713D2273"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Garcia et al. (2023) analysed the role of microfinance in enhancing smallholder crop production in Peru, Colombia, and Ecuador from 2005 to 2022 using panel data regression models. The study found that microfinance institutions played a crucial role in improving farmers’ access to credit, leading to increased productivity and farm expansion. However, the study also observed that high interest rates in the microfinance sector discouraged long-term borrowing, limiting the impact of financial inclusion on sustained agricultural growth. While the study effectively demonstrated the importance of alternative financial institutions in supporting farmers, it did not account for variations in government financial policies across the three countries, which could have influenced differences in agricultural credit access. Additionally, the study did not incorporate external factors such as climatic variability, which may have affected crop yields independent of financial access.</w:t>
      </w:r>
    </w:p>
    <w:p w14:paraId="515F771C" w14:textId="46AE25CF" w:rsidR="00AB4CDC" w:rsidRPr="00E2635E" w:rsidRDefault="00AB4CDC"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Tanzania, </w:t>
      </w:r>
      <w:proofErr w:type="spellStart"/>
      <w:r w:rsidR="00D05A78" w:rsidRPr="00D05A78">
        <w:rPr>
          <w:rFonts w:ascii="Times New Roman" w:hAnsi="Times New Roman" w:cs="Times New Roman"/>
          <w:sz w:val="24"/>
          <w:szCs w:val="24"/>
        </w:rPr>
        <w:t>Kilombele</w:t>
      </w:r>
      <w:proofErr w:type="spellEnd"/>
      <w:r w:rsidR="00D05A78">
        <w:rPr>
          <w:rFonts w:ascii="Times New Roman" w:hAnsi="Times New Roman" w:cs="Times New Roman"/>
          <w:sz w:val="24"/>
          <w:szCs w:val="24"/>
        </w:rPr>
        <w:t xml:space="preserve"> </w:t>
      </w:r>
      <w:r w:rsidRPr="00E2635E">
        <w:rPr>
          <w:rFonts w:ascii="Times New Roman" w:hAnsi="Times New Roman" w:cs="Times New Roman"/>
          <w:sz w:val="24"/>
          <w:szCs w:val="24"/>
        </w:rPr>
        <w:t>et al. (202</w:t>
      </w:r>
      <w:r w:rsidR="00D05A78">
        <w:rPr>
          <w:rFonts w:ascii="Times New Roman" w:hAnsi="Times New Roman" w:cs="Times New Roman"/>
          <w:sz w:val="24"/>
          <w:szCs w:val="24"/>
        </w:rPr>
        <w:t>3</w:t>
      </w:r>
      <w:r w:rsidRPr="00E2635E">
        <w:rPr>
          <w:rFonts w:ascii="Times New Roman" w:hAnsi="Times New Roman" w:cs="Times New Roman"/>
          <w:sz w:val="24"/>
          <w:szCs w:val="24"/>
        </w:rPr>
        <w:t>) examined how mobile money adoption influences maize productivity and household welfare. Drawing from a survey of 1,310 households across seven districts of the Mbeya region during the 2017–2018 season, the study applied an endogenous switching regression model to account for selection bias. The analysis found that mobile money users achieved 124 kg/acre higher maize yields and experienced a 25-percentage-point reduction in poverty likelihood. These outcomes were linked to improved access to inputs, information, and financial risk management tools. However, the study was limited by its focus on one region and a single crop, restricting generalizability, and it did not capture potential spillover or ecosystem effects.</w:t>
      </w:r>
    </w:p>
    <w:p w14:paraId="56694536" w14:textId="77777777" w:rsidR="003C6A26" w:rsidRPr="00E2635E" w:rsidRDefault="003C6A26" w:rsidP="003C6A26">
      <w:pPr>
        <w:spacing w:after="0"/>
        <w:jc w:val="both"/>
        <w:rPr>
          <w:rFonts w:ascii="Times New Roman" w:hAnsi="Times New Roman" w:cs="Times New Roman"/>
          <w:sz w:val="24"/>
          <w:szCs w:val="24"/>
        </w:rPr>
      </w:pP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investigated the effects of financial inclusion on agricultural productivity in Nigeria, emphasizing the financial exclusion of farmers as a major constraint to agricultural growth. The study highlighted that limited access to finance has restricted productivity and output expansion in the agricultural sector, thereby contributing to persistent poverty among rural farming households. Using the Living Standards Measurement Study Integrated Surveys on Agriculture </w:t>
      </w:r>
      <w:r w:rsidRPr="00E2635E">
        <w:rPr>
          <w:rFonts w:ascii="Times New Roman" w:hAnsi="Times New Roman" w:cs="Times New Roman"/>
          <w:sz w:val="24"/>
          <w:szCs w:val="24"/>
        </w:rPr>
        <w:lastRenderedPageBreak/>
        <w:t>(LSMS-ISA) dataset, which provides detailed information on agricultural activities, household finances, and banking behaviour, the study employed a panel data estimation approach to analyse the relationship between financial inclusion and agricultural productivity over multiple time periods. The findings revealed that financial inclusion, regardless of the measurement indicator used, had a positive and statistically significant impact on agricultural productivity. This suggests that expanding access to financial services such as banking, savings, and insurance can enhance agricultural performance. However, the study focused primarily on household-level financial access without considering macroeconomic financial policies that influence agricultural financing at the national level. Additionally, while the panel data estimation method effectively captured the longitudinal effects of financial inclusion, it did not account for potential external shocks, such as climate change or market volatility, that could also affect agricultural productivity.</w:t>
      </w:r>
    </w:p>
    <w:p w14:paraId="1F9112DE" w14:textId="77777777" w:rsidR="003C6A26" w:rsidRPr="00E2635E" w:rsidRDefault="003C6A26" w:rsidP="003C6A26">
      <w:pPr>
        <w:spacing w:before="240"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III.</w:t>
      </w:r>
      <w:r w:rsidRPr="00E2635E">
        <w:rPr>
          <w:rFonts w:ascii="Times New Roman" w:hAnsi="Times New Roman" w:cs="Times New Roman"/>
          <w:b/>
          <w:bCs/>
          <w:sz w:val="24"/>
          <w:szCs w:val="24"/>
          <w:lang w:val="en-US"/>
        </w:rPr>
        <w:tab/>
        <w:t>Methodology</w:t>
      </w:r>
    </w:p>
    <w:p w14:paraId="1B8D97D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adopted an </w:t>
      </w:r>
      <w:r w:rsidRPr="00E2635E">
        <w:rPr>
          <w:rFonts w:ascii="Times New Roman" w:hAnsi="Times New Roman" w:cs="Times New Roman"/>
          <w:i/>
          <w:iCs/>
          <w:sz w:val="24"/>
          <w:szCs w:val="24"/>
        </w:rPr>
        <w:t>ex-post facto</w:t>
      </w:r>
      <w:r w:rsidRPr="00E2635E">
        <w:rPr>
          <w:rFonts w:ascii="Times New Roman" w:hAnsi="Times New Roman" w:cs="Times New Roman"/>
          <w:sz w:val="24"/>
          <w:szCs w:val="24"/>
        </w:rPr>
        <w:t xml:space="preserve"> research design, which is appropriate for analysing the impact of financial inclusion on crop production using historical data. Ex-post facto research design examines pre-existing relationships between variables without manipulating them, making it suitable for studies relying on secondary data. Given that financial inclusion indicators (rural bank deposits, agricultural loans, and credit guarantee scheme funds) and crop production are already recorded over time, this design enables a robust cause-and-effect analysis.</w:t>
      </w:r>
    </w:p>
    <w:p w14:paraId="220771C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utilized secondary data, which were entirely sourced from the Central Bank of Nigeria (CBN) Statistical Bulletin. Secondary data are appropriate for ex-post facto research, as they provide reliable historical records for analysing financial inclusion and crop production trends over time. The dataset included financial inclusion indicators such as rural bank deposits, bank loans to agriculture, and Agricultural Credit Guarantee Scheme Fund (ACGSF), alongside crop production measured by their contribution to GDP. Using CBN data ensures accuracy and credibility, as it represents official national statistics. </w:t>
      </w:r>
    </w:p>
    <w:p w14:paraId="12A54C4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adopted and refined the model framework developed by </w:t>
      </w: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who examined the effects of financial inclusion on agricultural productivity in Nigeria, expressed as:</w:t>
      </w:r>
    </w:p>
    <w:p w14:paraId="6A6CA10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12"/>
          <w:sz w:val="24"/>
          <w:szCs w:val="24"/>
          <w:lang w:val="en-US"/>
        </w:rPr>
        <w:object w:dxaOrig="9060" w:dyaOrig="360" w14:anchorId="1F47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17.85pt" o:ole="">
            <v:imagedata r:id="rId7" o:title=""/>
          </v:shape>
          <o:OLEObject Type="Embed" ProgID="Equation.DSMT4" ShapeID="_x0000_i1025" DrawAspect="Content" ObjectID="_1811331621" r:id="rId8"/>
        </w:object>
      </w:r>
    </w:p>
    <w:p w14:paraId="646A63D4"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sz w:val="24"/>
          <w:szCs w:val="24"/>
          <w:lang w:val="en-US"/>
        </w:rPr>
        <w:t>Where:</w:t>
      </w:r>
    </w:p>
    <w:p w14:paraId="6084B77F"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AGRIC is agricultural productivity</w:t>
      </w:r>
    </w:p>
    <w:p w14:paraId="5E806A29"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FI is variables capturing financial inclusion </w:t>
      </w:r>
    </w:p>
    <w:p w14:paraId="7F759DBA"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H captures household characteristics </w:t>
      </w:r>
    </w:p>
    <w:p w14:paraId="5E30EBEB"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AI captures agricultural inputs </w:t>
      </w:r>
    </w:p>
    <w:p w14:paraId="15D7803F"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rPr>
        <w:object w:dxaOrig="279" w:dyaOrig="360" w14:anchorId="266411D3">
          <v:shape id="_x0000_i1026" type="#_x0000_t75" style="width:13.8pt;height:17.85pt" o:ole="">
            <v:imagedata r:id="rId9" o:title=""/>
          </v:shape>
          <o:OLEObject Type="Embed" ProgID="Equation.DSMT4" ShapeID="_x0000_i1026" DrawAspect="Content" ObjectID="_1811331622" r:id="rId10"/>
        </w:object>
      </w:r>
      <w:r w:rsidRPr="00E2635E">
        <w:rPr>
          <w:rFonts w:ascii="Times New Roman" w:hAnsi="Times New Roman" w:cs="Times New Roman"/>
          <w:sz w:val="24"/>
          <w:szCs w:val="24"/>
          <w:lang w:val="en-US"/>
        </w:rPr>
        <w:t xml:space="preserve"> = Intercept</w:t>
      </w:r>
    </w:p>
    <w:p w14:paraId="075FBD9E"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660" w:dyaOrig="360" w14:anchorId="680C94A1">
          <v:shape id="_x0000_i1027" type="#_x0000_t75" style="width:31.7pt;height:17.85pt" o:ole="">
            <v:imagedata r:id="rId11" o:title=""/>
          </v:shape>
          <o:OLEObject Type="Embed" ProgID="Equation.DSMT4" ShapeID="_x0000_i1027" DrawAspect="Content" ObjectID="_1811331623" r:id="rId12"/>
        </w:object>
      </w:r>
      <w:r w:rsidRPr="00E2635E">
        <w:rPr>
          <w:rFonts w:ascii="Times New Roman" w:hAnsi="Times New Roman" w:cs="Times New Roman"/>
          <w:sz w:val="24"/>
          <w:szCs w:val="24"/>
          <w:lang w:val="en-US"/>
        </w:rPr>
        <w:t xml:space="preserve">= Slopes of </w:t>
      </w:r>
      <w:r w:rsidRPr="00E2635E">
        <w:rPr>
          <w:rFonts w:ascii="Times New Roman" w:hAnsi="Times New Roman" w:cs="Times New Roman"/>
          <w:sz w:val="24"/>
          <w:szCs w:val="24"/>
        </w:rPr>
        <w:t>financial inclusion</w:t>
      </w:r>
    </w:p>
    <w:p w14:paraId="7EFA09DF"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240" w:dyaOrig="360" w14:anchorId="45AEE18B">
          <v:shape id="_x0000_i1028" type="#_x0000_t75" style="width:13.8pt;height:17.85pt" o:ole="">
            <v:imagedata r:id="rId13" o:title=""/>
          </v:shape>
          <o:OLEObject Type="Embed" ProgID="Equation.DSMT4" ShapeID="_x0000_i1028" DrawAspect="Content" ObjectID="_1811331624" r:id="rId14"/>
        </w:object>
      </w:r>
      <w:r w:rsidRPr="00E2635E">
        <w:rPr>
          <w:rFonts w:ascii="Times New Roman" w:hAnsi="Times New Roman" w:cs="Times New Roman"/>
          <w:sz w:val="24"/>
          <w:szCs w:val="24"/>
          <w:lang w:val="en-US"/>
        </w:rPr>
        <w:t xml:space="preserve"> = error term.</w:t>
      </w:r>
    </w:p>
    <w:p w14:paraId="5959A80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modified model for the study is captured as:</w:t>
      </w:r>
    </w:p>
    <w:p w14:paraId="5F90ADE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12"/>
          <w:sz w:val="24"/>
          <w:szCs w:val="24"/>
          <w:lang w:val="en-US"/>
        </w:rPr>
        <w:object w:dxaOrig="9320" w:dyaOrig="360" w14:anchorId="610F7167">
          <v:shape id="_x0000_i1029" type="#_x0000_t75" style="width:467.15pt;height:17.85pt" o:ole="">
            <v:imagedata r:id="rId15" o:title=""/>
          </v:shape>
          <o:OLEObject Type="Embed" ProgID="Equation.DSMT4" ShapeID="_x0000_i1029" DrawAspect="Content" ObjectID="_1811331625" r:id="rId16"/>
        </w:object>
      </w:r>
    </w:p>
    <w:p w14:paraId="4C6C2CB7"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lastRenderedPageBreak/>
        <w:t>Where:</w:t>
      </w:r>
    </w:p>
    <w:p w14:paraId="6CFC525A"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 xml:space="preserve">CP = </w:t>
      </w:r>
      <w:r w:rsidRPr="00E2635E">
        <w:rPr>
          <w:rFonts w:ascii="Times New Roman" w:hAnsi="Times New Roman" w:cs="Times New Roman"/>
          <w:sz w:val="24"/>
          <w:szCs w:val="24"/>
        </w:rPr>
        <w:t>Crop productions</w:t>
      </w:r>
    </w:p>
    <w:p w14:paraId="26F039C9"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 xml:space="preserve">RBD = </w:t>
      </w:r>
      <w:r w:rsidRPr="00E2635E">
        <w:rPr>
          <w:rFonts w:ascii="Times New Roman" w:hAnsi="Times New Roman" w:cs="Times New Roman"/>
          <w:sz w:val="24"/>
          <w:szCs w:val="24"/>
        </w:rPr>
        <w:t>Rural bank deposits</w:t>
      </w:r>
    </w:p>
    <w:p w14:paraId="68E5ADD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lang w:val="en-US"/>
        </w:rPr>
        <w:t xml:space="preserve">BLA = </w:t>
      </w:r>
      <w:r w:rsidRPr="00E2635E">
        <w:rPr>
          <w:rFonts w:ascii="Times New Roman" w:hAnsi="Times New Roman" w:cs="Times New Roman"/>
          <w:sz w:val="24"/>
          <w:szCs w:val="24"/>
        </w:rPr>
        <w:t>Bank loans to agriculture</w:t>
      </w:r>
    </w:p>
    <w:p w14:paraId="4E4BA298"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rPr>
        <w:t>ACGSF = Agricultural credit guarantee scheme funds</w:t>
      </w:r>
    </w:p>
    <w:p w14:paraId="46A97A9C"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rPr>
        <w:object w:dxaOrig="300" w:dyaOrig="360" w14:anchorId="287E6971">
          <v:shape id="_x0000_i1030" type="#_x0000_t75" style="width:13.8pt;height:17.85pt" o:ole="">
            <v:imagedata r:id="rId17" o:title=""/>
          </v:shape>
          <o:OLEObject Type="Embed" ProgID="Equation.DSMT4" ShapeID="_x0000_i1030" DrawAspect="Content" ObjectID="_1811331626" r:id="rId18"/>
        </w:object>
      </w:r>
      <w:r w:rsidRPr="00E2635E">
        <w:rPr>
          <w:rFonts w:ascii="Times New Roman" w:hAnsi="Times New Roman" w:cs="Times New Roman"/>
          <w:sz w:val="24"/>
          <w:szCs w:val="24"/>
          <w:lang w:val="en-US"/>
        </w:rPr>
        <w:t xml:space="preserve"> = Autonomous parameter </w:t>
      </w:r>
      <w:proofErr w:type="gramStart"/>
      <w:r w:rsidRPr="00E2635E">
        <w:rPr>
          <w:rFonts w:ascii="Times New Roman" w:hAnsi="Times New Roman" w:cs="Times New Roman"/>
          <w:sz w:val="24"/>
          <w:szCs w:val="24"/>
          <w:lang w:val="en-US"/>
        </w:rPr>
        <w:t>estimate</w:t>
      </w:r>
      <w:proofErr w:type="gramEnd"/>
    </w:p>
    <w:p w14:paraId="6ED180E5"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720" w:dyaOrig="360" w14:anchorId="149FD28B">
          <v:shape id="_x0000_i1031" type="#_x0000_t75" style="width:36.3pt;height:17.85pt" o:ole="">
            <v:imagedata r:id="rId19" o:title=""/>
          </v:shape>
          <o:OLEObject Type="Embed" ProgID="Equation.DSMT4" ShapeID="_x0000_i1031" DrawAspect="Content" ObjectID="_1811331627" r:id="rId20"/>
        </w:object>
      </w:r>
      <w:r w:rsidRPr="00E2635E">
        <w:rPr>
          <w:rFonts w:ascii="Times New Roman" w:hAnsi="Times New Roman" w:cs="Times New Roman"/>
          <w:sz w:val="24"/>
          <w:szCs w:val="24"/>
          <w:lang w:val="en-US"/>
        </w:rPr>
        <w:t xml:space="preserve">= Coefficients of </w:t>
      </w:r>
      <w:r w:rsidRPr="00E2635E">
        <w:rPr>
          <w:rFonts w:ascii="Times New Roman" w:hAnsi="Times New Roman" w:cs="Times New Roman"/>
          <w:sz w:val="24"/>
          <w:szCs w:val="24"/>
        </w:rPr>
        <w:t>rural bank deposits, bank loans to agriculture, and Agricultural Credit Guarantee Scheme Fund</w:t>
      </w:r>
    </w:p>
    <w:p w14:paraId="764AC34E"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240" w:dyaOrig="360" w14:anchorId="525CE4B4">
          <v:shape id="_x0000_i1032" type="#_x0000_t75" style="width:13.8pt;height:17.85pt" o:ole="">
            <v:imagedata r:id="rId21" o:title=""/>
          </v:shape>
          <o:OLEObject Type="Embed" ProgID="Equation.DSMT4" ShapeID="_x0000_i1032" DrawAspect="Content" ObjectID="_1811331628" r:id="rId22"/>
        </w:object>
      </w:r>
      <w:r w:rsidRPr="00E2635E">
        <w:rPr>
          <w:rFonts w:ascii="Times New Roman" w:hAnsi="Times New Roman" w:cs="Times New Roman"/>
          <w:sz w:val="24"/>
          <w:szCs w:val="24"/>
          <w:lang w:val="en-US"/>
        </w:rPr>
        <w:t xml:space="preserve"> = error term.</w:t>
      </w:r>
    </w:p>
    <w:p w14:paraId="2D3379C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t-test and its associated p-value were employed to test the hypotheses in this study, with the significance level set at 5% for a two-tailed test. The t-test produces a test statistic based on the regression, assessing the individual significance of each coefficient.</w:t>
      </w:r>
    </w:p>
    <w:p w14:paraId="2AD2A2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first step in this study’s analysis involved examining the stationarity properties of each variable using the Augmented Dickey-Fuller (ADF) test. Confirming stationarity was crucial to avoid spurious regression results and to maintain the reliability of subsequent econometric estimations.</w:t>
      </w:r>
    </w:p>
    <w:p w14:paraId="6DB79E3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The mathematical specification for the ADF test is as follows:</w:t>
      </w:r>
    </w:p>
    <w:p w14:paraId="383D75E1"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28"/>
          <w:sz w:val="24"/>
          <w:szCs w:val="24"/>
        </w:rPr>
        <w:object w:dxaOrig="9160" w:dyaOrig="680" w14:anchorId="50BEAECC">
          <v:shape id="_x0000_i1033" type="#_x0000_t75" style="width:457.9pt;height:35.15pt" o:ole="">
            <v:imagedata r:id="rId23" o:title=""/>
          </v:shape>
          <o:OLEObject Type="Embed" ProgID="Equation.DSMT4" ShapeID="_x0000_i1033" DrawAspect="Content" ObjectID="_1811331629" r:id="rId24"/>
        </w:object>
      </w:r>
    </w:p>
    <w:p w14:paraId="28E000BF"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Where:</w:t>
      </w:r>
    </w:p>
    <w:p w14:paraId="34896838"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260" w:dyaOrig="360" w14:anchorId="3E44A70B">
          <v:shape id="_x0000_i1034" type="#_x0000_t75" style="width:13.8pt;height:17.85pt" o:ole="">
            <v:imagedata r:id="rId25" o:title=""/>
          </v:shape>
          <o:OLEObject Type="Embed" ProgID="Equation.DSMT4" ShapeID="_x0000_i1034" DrawAspect="Content" ObjectID="_1811331630" r:id="rId26"/>
        </w:object>
      </w:r>
      <w:r w:rsidRPr="00E2635E">
        <w:rPr>
          <w:rFonts w:ascii="Times New Roman" w:hAnsi="Times New Roman" w:cs="Times New Roman"/>
          <w:sz w:val="24"/>
          <w:szCs w:val="24"/>
        </w:rPr>
        <w:t xml:space="preserve">represents the variable being tested </w:t>
      </w:r>
    </w:p>
    <w:p w14:paraId="166FF51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380" w:dyaOrig="360" w14:anchorId="6AC93027">
          <v:shape id="_x0000_i1035" type="#_x0000_t75" style="width:19.6pt;height:17.85pt" o:ole="">
            <v:imagedata r:id="rId27" o:title=""/>
          </v:shape>
          <o:OLEObject Type="Embed" ProgID="Equation.DSMT4" ShapeID="_x0000_i1035" DrawAspect="Content" ObjectID="_1811331631" r:id="rId28"/>
        </w:object>
      </w:r>
      <w:r w:rsidRPr="00E2635E">
        <w:rPr>
          <w:rFonts w:ascii="Times New Roman" w:hAnsi="Times New Roman" w:cs="Times New Roman"/>
          <w:sz w:val="24"/>
          <w:szCs w:val="24"/>
        </w:rPr>
        <w:t>is the first difference of the variable.</w:t>
      </w:r>
    </w:p>
    <w:p w14:paraId="601AA83B"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6"/>
          <w:sz w:val="24"/>
          <w:szCs w:val="24"/>
        </w:rPr>
        <w:object w:dxaOrig="200" w:dyaOrig="279" w14:anchorId="43493C3B">
          <v:shape id="_x0000_i1036" type="#_x0000_t75" style="width:10.35pt;height:13.8pt" o:ole="">
            <v:imagedata r:id="rId29" o:title=""/>
          </v:shape>
          <o:OLEObject Type="Embed" ProgID="Equation.DSMT4" ShapeID="_x0000_i1036" DrawAspect="Content" ObjectID="_1811331632" r:id="rId30"/>
        </w:object>
      </w:r>
      <w:r w:rsidRPr="00E2635E">
        <w:rPr>
          <w:rFonts w:ascii="Times New Roman" w:hAnsi="Times New Roman" w:cs="Times New Roman"/>
          <w:sz w:val="24"/>
          <w:szCs w:val="24"/>
        </w:rPr>
        <w:t>is a constant (drift term).</w:t>
      </w:r>
    </w:p>
    <w:p w14:paraId="79B4CBB4"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6"/>
          <w:sz w:val="24"/>
          <w:szCs w:val="24"/>
        </w:rPr>
        <w:object w:dxaOrig="340" w:dyaOrig="279" w14:anchorId="6B988B35">
          <v:shape id="_x0000_i1037" type="#_x0000_t75" style="width:17.85pt;height:13.8pt" o:ole="">
            <v:imagedata r:id="rId31" o:title=""/>
          </v:shape>
          <o:OLEObject Type="Embed" ProgID="Equation.DSMT4" ShapeID="_x0000_i1037" DrawAspect="Content" ObjectID="_1811331633" r:id="rId32"/>
        </w:object>
      </w:r>
      <w:r w:rsidRPr="00E2635E">
        <w:rPr>
          <w:rFonts w:ascii="Times New Roman" w:hAnsi="Times New Roman" w:cs="Times New Roman"/>
          <w:sz w:val="24"/>
          <w:szCs w:val="24"/>
        </w:rPr>
        <w:t>represents the trend component.</w:t>
      </w:r>
    </w:p>
    <w:p w14:paraId="27F7A44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520" w:dyaOrig="360" w14:anchorId="5621600C">
          <v:shape id="_x0000_i1038" type="#_x0000_t75" style="width:25.9pt;height:17.85pt" o:ole="">
            <v:imagedata r:id="rId33" o:title=""/>
          </v:shape>
          <o:OLEObject Type="Embed" ProgID="Equation.DSMT4" ShapeID="_x0000_i1038" DrawAspect="Content" ObjectID="_1811331634" r:id="rId34"/>
        </w:object>
      </w:r>
      <w:r w:rsidRPr="00E2635E">
        <w:rPr>
          <w:rFonts w:ascii="Times New Roman" w:hAnsi="Times New Roman" w:cs="Times New Roman"/>
          <w:sz w:val="24"/>
          <w:szCs w:val="24"/>
        </w:rPr>
        <w:t xml:space="preserve">captures the lagged level of the variable, where the coefficient </w:t>
      </w:r>
      <w:r w:rsidRPr="00E2635E">
        <w:rPr>
          <w:rFonts w:ascii="Times New Roman" w:hAnsi="Times New Roman" w:cs="Times New Roman"/>
          <w:position w:val="-6"/>
          <w:sz w:val="24"/>
          <w:szCs w:val="24"/>
        </w:rPr>
        <w:object w:dxaOrig="220" w:dyaOrig="279" w14:anchorId="596E867F">
          <v:shape id="_x0000_i1039" type="#_x0000_t75" style="width:11.5pt;height:13.8pt" o:ole="">
            <v:imagedata r:id="rId35" o:title=""/>
          </v:shape>
          <o:OLEObject Type="Embed" ProgID="Equation.DSMT4" ShapeID="_x0000_i1039" DrawAspect="Content" ObjectID="_1811331635" r:id="rId36"/>
        </w:object>
      </w:r>
      <w:r w:rsidRPr="00E2635E">
        <w:rPr>
          <w:rFonts w:ascii="Times New Roman" w:hAnsi="Times New Roman" w:cs="Times New Roman"/>
          <w:sz w:val="24"/>
          <w:szCs w:val="24"/>
        </w:rPr>
        <w:t>determines whether a unit root is present.</w:t>
      </w:r>
    </w:p>
    <w:p w14:paraId="626673F0"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700" w:dyaOrig="360" w14:anchorId="002AA3B0">
          <v:shape id="_x0000_i1040" type="#_x0000_t75" style="width:36.3pt;height:17.85pt" o:ole="">
            <v:imagedata r:id="rId37" o:title=""/>
          </v:shape>
          <o:OLEObject Type="Embed" ProgID="Equation.DSMT4" ShapeID="_x0000_i1040" DrawAspect="Content" ObjectID="_1811331636" r:id="rId38"/>
        </w:object>
      </w:r>
      <w:r w:rsidRPr="00E2635E">
        <w:rPr>
          <w:rFonts w:ascii="Times New Roman" w:hAnsi="Times New Roman" w:cs="Times New Roman"/>
          <w:sz w:val="24"/>
          <w:szCs w:val="24"/>
        </w:rPr>
        <w:t>accounts for lagged differences to correct for serial correlation.</w:t>
      </w:r>
    </w:p>
    <w:p w14:paraId="0F7A9BD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240" w:dyaOrig="360" w14:anchorId="7ED6397A">
          <v:shape id="_x0000_i1041" type="#_x0000_t75" style="width:13.8pt;height:17.85pt" o:ole="">
            <v:imagedata r:id="rId39" o:title=""/>
          </v:shape>
          <o:OLEObject Type="Embed" ProgID="Equation.DSMT4" ShapeID="_x0000_i1041" DrawAspect="Content" ObjectID="_1811331637" r:id="rId40"/>
        </w:object>
      </w:r>
      <w:r w:rsidRPr="00E2635E">
        <w:rPr>
          <w:rFonts w:ascii="Times New Roman" w:hAnsi="Times New Roman" w:cs="Times New Roman"/>
          <w:sz w:val="24"/>
          <w:szCs w:val="24"/>
        </w:rPr>
        <w:t>​ is the error term.</w:t>
      </w:r>
    </w:p>
    <w:p w14:paraId="6DB9AF9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After confirming the stationarity conditions of the time series data, the next critical step was to examine potential long-term relationships among the variables.</w:t>
      </w:r>
    </w:p>
    <w:p w14:paraId="07932DCC"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Mathematically, the Bounds ARDL model can be specified as follows:</w:t>
      </w:r>
    </w:p>
    <w:p w14:paraId="3450A614"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6"/>
          <w:sz w:val="24"/>
          <w:szCs w:val="24"/>
        </w:rPr>
        <w:object w:dxaOrig="9300" w:dyaOrig="460" w14:anchorId="7B67F368">
          <v:shape id="_x0000_i1042" type="#_x0000_t75" style="width:465.4pt;height:21.9pt" o:ole="">
            <v:imagedata r:id="rId41" o:title=""/>
          </v:shape>
          <o:OLEObject Type="Embed" ProgID="Equation.DSMT4" ShapeID="_x0000_i1042" DrawAspect="Content" ObjectID="_1811331638" r:id="rId42"/>
        </w:object>
      </w:r>
    </w:p>
    <w:p w14:paraId="1500253C"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In equation (4), </w:t>
      </w:r>
      <w:r w:rsidRPr="00E2635E">
        <w:rPr>
          <w:rFonts w:ascii="Times New Roman" w:hAnsi="Times New Roman" w:cs="Times New Roman"/>
          <w:position w:val="-4"/>
          <w:sz w:val="24"/>
          <w:szCs w:val="24"/>
        </w:rPr>
        <w:object w:dxaOrig="220" w:dyaOrig="260" w14:anchorId="5DF1CF32">
          <v:shape id="_x0000_i1043" type="#_x0000_t75" style="width:11.5pt;height:13.8pt" o:ole="">
            <v:imagedata r:id="rId43" o:title=""/>
          </v:shape>
          <o:OLEObject Type="Embed" ProgID="Equation.DSMT4" ShapeID="_x0000_i1043" DrawAspect="Content" ObjectID="_1811331639" r:id="rId44"/>
        </w:object>
      </w:r>
      <w:r w:rsidRPr="00E2635E">
        <w:rPr>
          <w:rFonts w:ascii="Times New Roman" w:hAnsi="Times New Roman" w:cs="Times New Roman"/>
          <w:sz w:val="24"/>
          <w:szCs w:val="24"/>
        </w:rPr>
        <w:t xml:space="preserve"> represents the first difference operator, </w:t>
      </w:r>
      <w:r w:rsidRPr="00E2635E">
        <w:rPr>
          <w:rFonts w:ascii="Times New Roman" w:hAnsi="Times New Roman" w:cs="Times New Roman"/>
          <w:position w:val="-12"/>
          <w:sz w:val="24"/>
          <w:szCs w:val="24"/>
        </w:rPr>
        <w:object w:dxaOrig="260" w:dyaOrig="360" w14:anchorId="20A69918">
          <v:shape id="_x0000_i1044" type="#_x0000_t75" style="width:13.8pt;height:17.85pt" o:ole="">
            <v:imagedata r:id="rId45" o:title=""/>
          </v:shape>
          <o:OLEObject Type="Embed" ProgID="Equation.DSMT4" ShapeID="_x0000_i1044" DrawAspect="Content" ObjectID="_1811331640" r:id="rId46"/>
        </w:object>
      </w:r>
      <w:r w:rsidRPr="00E2635E">
        <w:rPr>
          <w:rFonts w:ascii="Times New Roman" w:hAnsi="Times New Roman" w:cs="Times New Roman"/>
          <w:sz w:val="24"/>
          <w:szCs w:val="24"/>
        </w:rPr>
        <w:t xml:space="preserve"> is the dependent variable, </w:t>
      </w:r>
      <w:r w:rsidRPr="00E2635E">
        <w:rPr>
          <w:rFonts w:ascii="Times New Roman" w:hAnsi="Times New Roman" w:cs="Times New Roman"/>
          <w:position w:val="-12"/>
          <w:sz w:val="24"/>
          <w:szCs w:val="24"/>
        </w:rPr>
        <w:object w:dxaOrig="240" w:dyaOrig="360" w14:anchorId="324BDEB9">
          <v:shape id="_x0000_i1045" type="#_x0000_t75" style="width:13.8pt;height:17.85pt" o:ole="">
            <v:imagedata r:id="rId47" o:title=""/>
          </v:shape>
          <o:OLEObject Type="Embed" ProgID="Equation.DSMT4" ShapeID="_x0000_i1045" DrawAspect="Content" ObjectID="_1811331641" r:id="rId48"/>
        </w:object>
      </w:r>
      <w:r w:rsidRPr="00E2635E">
        <w:rPr>
          <w:rFonts w:ascii="Times New Roman" w:hAnsi="Times New Roman" w:cs="Times New Roman"/>
          <w:sz w:val="24"/>
          <w:szCs w:val="24"/>
        </w:rPr>
        <w:t xml:space="preserve">​ is the independent variable(s), </w:t>
      </w:r>
      <w:r w:rsidRPr="00E2635E">
        <w:rPr>
          <w:rFonts w:ascii="Times New Roman" w:hAnsi="Times New Roman" w:cs="Times New Roman"/>
          <w:position w:val="-6"/>
          <w:sz w:val="24"/>
          <w:szCs w:val="24"/>
        </w:rPr>
        <w:object w:dxaOrig="240" w:dyaOrig="220" w14:anchorId="23AC311B">
          <v:shape id="_x0000_i1046" type="#_x0000_t75" style="width:13.8pt;height:11.5pt" o:ole="">
            <v:imagedata r:id="rId49" o:title=""/>
          </v:shape>
          <o:OLEObject Type="Embed" ProgID="Equation.DSMT4" ShapeID="_x0000_i1046" DrawAspect="Content" ObjectID="_1811331642" r:id="rId50"/>
        </w:object>
      </w:r>
      <w:r w:rsidRPr="00E2635E">
        <w:rPr>
          <w:rFonts w:ascii="Times New Roman" w:hAnsi="Times New Roman" w:cs="Times New Roman"/>
          <w:sz w:val="24"/>
          <w:szCs w:val="24"/>
        </w:rPr>
        <w:t xml:space="preserve"> is a constant, </w:t>
      </w:r>
      <w:r w:rsidRPr="00E2635E">
        <w:rPr>
          <w:rFonts w:ascii="Times New Roman" w:hAnsi="Times New Roman" w:cs="Times New Roman"/>
          <w:position w:val="-12"/>
          <w:sz w:val="24"/>
          <w:szCs w:val="24"/>
        </w:rPr>
        <w:object w:dxaOrig="220" w:dyaOrig="360" w14:anchorId="1FE4A0BE">
          <v:shape id="_x0000_i1047" type="#_x0000_t75" style="width:11.5pt;height:17.85pt" o:ole="">
            <v:imagedata r:id="rId51" o:title=""/>
          </v:shape>
          <o:OLEObject Type="Embed" ProgID="Equation.DSMT4" ShapeID="_x0000_i1047" DrawAspect="Content" ObjectID="_1811331643" r:id="rId52"/>
        </w:object>
      </w:r>
      <w:r w:rsidRPr="00E2635E">
        <w:rPr>
          <w:rFonts w:ascii="Times New Roman" w:hAnsi="Times New Roman" w:cs="Times New Roman"/>
          <w:sz w:val="24"/>
          <w:szCs w:val="24"/>
        </w:rPr>
        <w:t xml:space="preserve">​ and </w:t>
      </w:r>
      <w:r w:rsidRPr="00E2635E">
        <w:rPr>
          <w:rFonts w:ascii="Times New Roman" w:hAnsi="Times New Roman" w:cs="Times New Roman"/>
          <w:position w:val="-12"/>
          <w:sz w:val="24"/>
          <w:szCs w:val="24"/>
        </w:rPr>
        <w:object w:dxaOrig="240" w:dyaOrig="360" w14:anchorId="20F75AE3">
          <v:shape id="_x0000_i1048" type="#_x0000_t75" style="width:13.8pt;height:17.85pt" o:ole="">
            <v:imagedata r:id="rId53" o:title=""/>
          </v:shape>
          <o:OLEObject Type="Embed" ProgID="Equation.DSMT4" ShapeID="_x0000_i1048" DrawAspect="Content" ObjectID="_1811331644" r:id="rId54"/>
        </w:object>
      </w:r>
      <w:r w:rsidRPr="00E2635E">
        <w:rPr>
          <w:rFonts w:ascii="Times New Roman" w:hAnsi="Times New Roman" w:cs="Times New Roman"/>
          <w:sz w:val="24"/>
          <w:szCs w:val="24"/>
        </w:rPr>
        <w:t xml:space="preserve"> are the short-run dynamic coefficients of the model, </w:t>
      </w:r>
      <w:r w:rsidRPr="00E2635E">
        <w:rPr>
          <w:rFonts w:ascii="Times New Roman" w:hAnsi="Times New Roman" w:cs="Times New Roman"/>
          <w:position w:val="-10"/>
          <w:sz w:val="24"/>
          <w:szCs w:val="24"/>
        </w:rPr>
        <w:object w:dxaOrig="240" w:dyaOrig="320" w14:anchorId="4C668357">
          <v:shape id="_x0000_i1049" type="#_x0000_t75" style="width:13.8pt;height:16.15pt" o:ole="">
            <v:imagedata r:id="rId55" o:title=""/>
          </v:shape>
          <o:OLEObject Type="Embed" ProgID="Equation.DSMT4" ShapeID="_x0000_i1049" DrawAspect="Content" ObjectID="_1811331645" r:id="rId56"/>
        </w:object>
      </w:r>
      <w:r w:rsidRPr="00E2635E">
        <w:rPr>
          <w:rFonts w:ascii="Times New Roman" w:hAnsi="Times New Roman" w:cs="Times New Roman"/>
          <w:sz w:val="24"/>
          <w:szCs w:val="24"/>
        </w:rPr>
        <w:t xml:space="preserve"> and </w:t>
      </w:r>
      <w:r w:rsidRPr="00E2635E">
        <w:rPr>
          <w:rFonts w:ascii="Times New Roman" w:hAnsi="Times New Roman" w:cs="Times New Roman"/>
          <w:position w:val="-6"/>
          <w:sz w:val="24"/>
          <w:szCs w:val="24"/>
        </w:rPr>
        <w:object w:dxaOrig="220" w:dyaOrig="279" w14:anchorId="13C98862">
          <v:shape id="_x0000_i1050" type="#_x0000_t75" style="width:11.5pt;height:13.8pt" o:ole="">
            <v:imagedata r:id="rId57" o:title=""/>
          </v:shape>
          <o:OLEObject Type="Embed" ProgID="Equation.DSMT4" ShapeID="_x0000_i1050" DrawAspect="Content" ObjectID="_1811331646" r:id="rId58"/>
        </w:object>
      </w:r>
      <w:r w:rsidRPr="00E2635E">
        <w:rPr>
          <w:rFonts w:ascii="Times New Roman" w:hAnsi="Times New Roman" w:cs="Times New Roman"/>
          <w:sz w:val="24"/>
          <w:szCs w:val="24"/>
        </w:rPr>
        <w:t xml:space="preserve"> capture the long-run relationship between </w:t>
      </w:r>
      <w:r w:rsidRPr="00E2635E">
        <w:rPr>
          <w:rFonts w:ascii="Times New Roman" w:hAnsi="Times New Roman" w:cs="Times New Roman"/>
          <w:position w:val="-12"/>
          <w:sz w:val="24"/>
          <w:szCs w:val="24"/>
        </w:rPr>
        <w:object w:dxaOrig="260" w:dyaOrig="360" w14:anchorId="3581E108">
          <v:shape id="_x0000_i1051" type="#_x0000_t75" style="width:13.8pt;height:17.85pt" o:ole="">
            <v:imagedata r:id="rId59" o:title=""/>
          </v:shape>
          <o:OLEObject Type="Embed" ProgID="Equation.DSMT4" ShapeID="_x0000_i1051" DrawAspect="Content" ObjectID="_1811331647" r:id="rId60"/>
        </w:object>
      </w:r>
      <w:r w:rsidRPr="00E2635E">
        <w:rPr>
          <w:rFonts w:ascii="Times New Roman" w:hAnsi="Times New Roman" w:cs="Times New Roman"/>
          <w:sz w:val="24"/>
          <w:szCs w:val="24"/>
        </w:rPr>
        <w:t xml:space="preserve"> and </w:t>
      </w:r>
      <w:r w:rsidRPr="00E2635E">
        <w:rPr>
          <w:rFonts w:ascii="Times New Roman" w:hAnsi="Times New Roman" w:cs="Times New Roman"/>
          <w:position w:val="-12"/>
          <w:sz w:val="24"/>
          <w:szCs w:val="24"/>
        </w:rPr>
        <w:object w:dxaOrig="320" w:dyaOrig="360" w14:anchorId="52A2CA0B">
          <v:shape id="_x0000_i1052" type="#_x0000_t75" style="width:16.15pt;height:17.85pt" o:ole="">
            <v:imagedata r:id="rId61" o:title=""/>
          </v:shape>
          <o:OLEObject Type="Embed" ProgID="Equation.DSMT4" ShapeID="_x0000_i1052" DrawAspect="Content" ObjectID="_1811331648" r:id="rId62"/>
        </w:object>
      </w:r>
      <w:r w:rsidRPr="00E2635E">
        <w:rPr>
          <w:rFonts w:ascii="Times New Roman" w:hAnsi="Times New Roman" w:cs="Times New Roman"/>
          <w:sz w:val="24"/>
          <w:szCs w:val="24"/>
        </w:rPr>
        <w:t xml:space="preserve"> </w:t>
      </w:r>
      <w:proofErr w:type="spellStart"/>
      <w:r w:rsidRPr="00E2635E">
        <w:rPr>
          <w:rFonts w:ascii="Times New Roman" w:hAnsi="Times New Roman" w:cs="Times New Roman"/>
          <w:sz w:val="24"/>
          <w:szCs w:val="24"/>
        </w:rPr>
        <w:t>and</w:t>
      </w:r>
      <w:proofErr w:type="spellEnd"/>
      <w:r w:rsidRPr="00E2635E">
        <w:rPr>
          <w:rFonts w:ascii="Times New Roman" w:hAnsi="Times New Roman" w:cs="Times New Roman"/>
          <w:sz w:val="24"/>
          <w:szCs w:val="24"/>
        </w:rPr>
        <w:t xml:space="preserve"> </w:t>
      </w:r>
      <w:r w:rsidRPr="00E2635E">
        <w:rPr>
          <w:rFonts w:ascii="Times New Roman" w:hAnsi="Times New Roman" w:cs="Times New Roman"/>
          <w:position w:val="-12"/>
          <w:sz w:val="24"/>
          <w:szCs w:val="24"/>
        </w:rPr>
        <w:object w:dxaOrig="240" w:dyaOrig="360" w14:anchorId="4A2DF58A">
          <v:shape id="_x0000_i1053" type="#_x0000_t75" style="width:13.8pt;height:17.85pt" o:ole="">
            <v:imagedata r:id="rId63" o:title=""/>
          </v:shape>
          <o:OLEObject Type="Embed" ProgID="Equation.DSMT4" ShapeID="_x0000_i1053" DrawAspect="Content" ObjectID="_1811331649" r:id="rId64"/>
        </w:object>
      </w:r>
      <w:r w:rsidRPr="00E2635E">
        <w:rPr>
          <w:rFonts w:ascii="Times New Roman" w:hAnsi="Times New Roman" w:cs="Times New Roman"/>
          <w:sz w:val="24"/>
          <w:szCs w:val="24"/>
        </w:rPr>
        <w:t xml:space="preserve"> is the error term.</w:t>
      </w:r>
    </w:p>
    <w:p w14:paraId="41A12BB7"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The Bounds test involves estimating this ARDL model and then testing the null hypothesis of no cointegration </w:t>
      </w:r>
      <w:r w:rsidRPr="00E2635E">
        <w:rPr>
          <w:rFonts w:ascii="Times New Roman" w:hAnsi="Times New Roman" w:cs="Times New Roman"/>
          <w:position w:val="-10"/>
          <w:sz w:val="24"/>
          <w:szCs w:val="24"/>
        </w:rPr>
        <w:object w:dxaOrig="1140" w:dyaOrig="320" w14:anchorId="60319E66">
          <v:shape id="_x0000_i1054" type="#_x0000_t75" style="width:57pt;height:16.15pt" o:ole="">
            <v:imagedata r:id="rId65" o:title=""/>
          </v:shape>
          <o:OLEObject Type="Embed" ProgID="Equation.DSMT4" ShapeID="_x0000_i1054" DrawAspect="Content" ObjectID="_1811331650" r:id="rId66"/>
        </w:object>
      </w:r>
      <w:r w:rsidRPr="00E2635E">
        <w:rPr>
          <w:rFonts w:ascii="Times New Roman" w:hAnsi="Times New Roman" w:cs="Times New Roman"/>
          <w:sz w:val="24"/>
          <w:szCs w:val="24"/>
        </w:rPr>
        <w:t xml:space="preserve"> against the alternative hypothesis of cointegration </w:t>
      </w:r>
      <w:r w:rsidRPr="00E2635E">
        <w:rPr>
          <w:rFonts w:ascii="Times New Roman" w:hAnsi="Times New Roman" w:cs="Times New Roman"/>
          <w:position w:val="-10"/>
          <w:sz w:val="24"/>
          <w:szCs w:val="24"/>
        </w:rPr>
        <w:object w:dxaOrig="680" w:dyaOrig="320" w14:anchorId="6A96A524">
          <v:shape id="_x0000_i1055" type="#_x0000_t75" style="width:35.15pt;height:16.15pt" o:ole="">
            <v:imagedata r:id="rId67" o:title=""/>
          </v:shape>
          <o:OLEObject Type="Embed" ProgID="Equation.DSMT4" ShapeID="_x0000_i1055" DrawAspect="Content" ObjectID="_1811331651" r:id="rId68"/>
        </w:object>
      </w:r>
      <w:r w:rsidRPr="00E2635E">
        <w:rPr>
          <w:rFonts w:ascii="Times New Roman" w:hAnsi="Times New Roman" w:cs="Times New Roman"/>
          <w:sz w:val="24"/>
          <w:szCs w:val="24"/>
        </w:rPr>
        <w:t xml:space="preserve"> and/or </w:t>
      </w:r>
      <w:r w:rsidRPr="00E2635E">
        <w:rPr>
          <w:rFonts w:ascii="Times New Roman" w:hAnsi="Times New Roman" w:cs="Times New Roman"/>
          <w:position w:val="-10"/>
          <w:sz w:val="24"/>
          <w:szCs w:val="24"/>
        </w:rPr>
        <w:object w:dxaOrig="700" w:dyaOrig="320" w14:anchorId="304A3A1C">
          <v:shape id="_x0000_i1056" type="#_x0000_t75" style="width:35.15pt;height:16.15pt" o:ole="">
            <v:imagedata r:id="rId69" o:title=""/>
          </v:shape>
          <o:OLEObject Type="Embed" ProgID="Equation.DSMT4" ShapeID="_x0000_i1056" DrawAspect="Content" ObjectID="_1811331652" r:id="rId70"/>
        </w:object>
      </w:r>
      <w:r w:rsidRPr="00E2635E">
        <w:rPr>
          <w:rFonts w:ascii="Times New Roman" w:hAnsi="Times New Roman" w:cs="Times New Roman"/>
          <w:sz w:val="24"/>
          <w:szCs w:val="24"/>
        </w:rPr>
        <w:t xml:space="preserve"> The decision whether to reject the null hypothesis is based on the computed F-statistic, which is compared to two sets of critical values: one assuming that the variables are </w:t>
      </w:r>
      <w:r w:rsidRPr="00E2635E">
        <w:rPr>
          <w:rFonts w:ascii="Times New Roman" w:hAnsi="Times New Roman" w:cs="Times New Roman"/>
          <w:i/>
          <w:iCs/>
          <w:sz w:val="24"/>
          <w:szCs w:val="24"/>
        </w:rPr>
        <w:t>I</w:t>
      </w:r>
      <w:r w:rsidRPr="00E2635E">
        <w:rPr>
          <w:rFonts w:ascii="Times New Roman" w:hAnsi="Times New Roman" w:cs="Times New Roman"/>
          <w:sz w:val="24"/>
          <w:szCs w:val="24"/>
        </w:rPr>
        <w:t xml:space="preserve">(0) and the other assuming they are </w:t>
      </w:r>
      <w:r w:rsidRPr="00E2635E">
        <w:rPr>
          <w:rFonts w:ascii="Times New Roman" w:hAnsi="Times New Roman" w:cs="Times New Roman"/>
          <w:i/>
          <w:iCs/>
          <w:sz w:val="24"/>
          <w:szCs w:val="24"/>
        </w:rPr>
        <w:t>I</w:t>
      </w:r>
      <w:r w:rsidRPr="00E2635E">
        <w:rPr>
          <w:rFonts w:ascii="Times New Roman" w:hAnsi="Times New Roman" w:cs="Times New Roman"/>
          <w:sz w:val="24"/>
          <w:szCs w:val="24"/>
        </w:rPr>
        <w:t>(1).</w:t>
      </w:r>
    </w:p>
    <w:p w14:paraId="5F16D8C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To examine the long-term relationship between financial inclusion—measured by rural bank deposits, bank loans to agriculture, and Agricultural Credit Guarantee Scheme Fund (ACGSF)—and crop production (measured as its contribution to GDP), this study applied the cointegration approach. Specifically, the Bounds cointegration test within the Autoregressive Distributed Lag (ARDL) model framework was utilized to assess the presence of a stable long-run association among the variables. The ARDL model was particularly appropriate as it accommodates variables with different orders of integration,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 (stationary at level) or I(1) (stationary at first difference), making it an ideal technique for capturing both short-run and long-run relationships. The unrestricted ARDL model for this study is specified as follows:</w:t>
      </w:r>
    </w:p>
    <w:p w14:paraId="0A884210"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2AA40A75">
          <v:shape id="_x0000_i1057" type="#_x0000_t75" style="width:464.85pt;height:52.4pt" o:ole="">
            <v:imagedata r:id="rId71" o:title=""/>
          </v:shape>
          <o:OLEObject Type="Embed" ProgID="Equation.DSMT4" ShapeID="_x0000_i1057" DrawAspect="Content" ObjectID="_1811331653" r:id="rId72"/>
        </w:object>
      </w:r>
    </w:p>
    <w:p w14:paraId="285B1085"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Δ denotes the first difference of the variables, capturing the short-run changes.</w:t>
      </w:r>
    </w:p>
    <w:p w14:paraId="48957457"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720" w:dyaOrig="360" w14:anchorId="7231EC83">
          <v:shape id="_x0000_i1058" type="#_x0000_t75" style="width:36.3pt;height:17.85pt" o:ole="">
            <v:imagedata r:id="rId73" o:title=""/>
          </v:shape>
          <o:OLEObject Type="Embed" ProgID="Equation.DSMT4" ShapeID="_x0000_i1058" DrawAspect="Content" ObjectID="_1811331654" r:id="rId74"/>
        </w:object>
      </w:r>
      <w:r w:rsidRPr="00E2635E">
        <w:rPr>
          <w:rFonts w:ascii="Times New Roman" w:hAnsi="Times New Roman" w:cs="Times New Roman"/>
          <w:sz w:val="24"/>
          <w:szCs w:val="24"/>
        </w:rPr>
        <w:t xml:space="preserve">​ are the short-run coefficients for the lagged differences of RBD, BLA and ACGSF respectively; while </w:t>
      </w:r>
      <w:r w:rsidRPr="00E2635E">
        <w:rPr>
          <w:rFonts w:ascii="Times New Roman" w:hAnsi="Times New Roman" w:cs="Times New Roman"/>
          <w:position w:val="-12"/>
          <w:sz w:val="24"/>
          <w:szCs w:val="24"/>
        </w:rPr>
        <w:object w:dxaOrig="740" w:dyaOrig="360" w14:anchorId="004B5EC5">
          <v:shape id="_x0000_i1059" type="#_x0000_t75" style="width:36.85pt;height:17.85pt" o:ole="">
            <v:imagedata r:id="rId75" o:title=""/>
          </v:shape>
          <o:OLEObject Type="Embed" ProgID="Equation.DSMT4" ShapeID="_x0000_i1059" DrawAspect="Content" ObjectID="_1811331655" r:id="rId76"/>
        </w:object>
      </w:r>
      <w:r w:rsidRPr="00E2635E">
        <w:rPr>
          <w:rFonts w:ascii="Times New Roman" w:hAnsi="Times New Roman" w:cs="Times New Roman"/>
          <w:sz w:val="24"/>
          <w:szCs w:val="24"/>
        </w:rPr>
        <w:t xml:space="preserve"> are the long-run coefficients of RBD, BLA and ACGSF.</w:t>
      </w:r>
    </w:p>
    <w:p w14:paraId="289D060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Transforming equation (5) into a double-log (log-log) model ensures uniformity in data measurement and allows for interpreting the parameter estimates in terms of their elasticity (Ezie &amp; Ezie, 2021). This modification results in the following equation (6):</w:t>
      </w:r>
    </w:p>
    <w:p w14:paraId="2AFCD48B"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667F64BC">
          <v:shape id="_x0000_i1060" type="#_x0000_t75" style="width:464.85pt;height:52.4pt" o:ole="">
            <v:imagedata r:id="rId77" o:title=""/>
          </v:shape>
          <o:OLEObject Type="Embed" ProgID="Equation.DSMT4" ShapeID="_x0000_i1060" DrawAspect="Content" ObjectID="_1811331656" r:id="rId78"/>
        </w:object>
      </w:r>
    </w:p>
    <w:p w14:paraId="4072B37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404870D7">
          <v:shape id="_x0000_i1061" type="#_x0000_t75" style="width:464.85pt;height:52.4pt" o:ole="">
            <v:imagedata r:id="rId77" o:title=""/>
          </v:shape>
          <o:OLEObject Type="Embed" ProgID="Equation.DSMT4" ShapeID="_x0000_i1061" DrawAspect="Content" ObjectID="_1811331657" r:id="rId79"/>
        </w:object>
      </w:r>
    </w:p>
    <w:p w14:paraId="0B5B7CF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After confirming cointegration through the Bounds Test, this study employed an ARDL-based Error Correction Model (ARDL-ECM). The ECM incorporated an error correction term, which measured the speed at which the variables returned to equilibrium after short-term deviations. This model effectively captured how changes in financial inclusion indicators—rural bank deposits, bank loans to agriculture, and Agricultural Credit Guarantee Scheme Fund (ACGSF)—influence crop production (measured as its contribution to GDP) across different time horizons, while also accounting for potential disequilibrium in the system. The ARDL-ECM model is specified as:</w:t>
      </w:r>
    </w:p>
    <w:p w14:paraId="4FD644C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28"/>
          <w:sz w:val="24"/>
          <w:szCs w:val="24"/>
        </w:rPr>
        <w:object w:dxaOrig="10680" w:dyaOrig="680" w14:anchorId="361DC997">
          <v:shape id="_x0000_i1062" type="#_x0000_t75" style="width:509.2pt;height:35.15pt" o:ole="">
            <v:imagedata r:id="rId80" o:title=""/>
          </v:shape>
          <o:OLEObject Type="Embed" ProgID="Equation.DSMT4" ShapeID="_x0000_i1062" DrawAspect="Content" ObjectID="_1811331658" r:id="rId81"/>
        </w:object>
      </w:r>
    </w:p>
    <w:p w14:paraId="6A189A5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Where; </w:t>
      </w:r>
      <w:r w:rsidRPr="00E2635E">
        <w:rPr>
          <w:rFonts w:ascii="Times New Roman" w:hAnsi="Times New Roman" w:cs="Times New Roman"/>
          <w:position w:val="-10"/>
          <w:sz w:val="24"/>
          <w:szCs w:val="24"/>
        </w:rPr>
        <w:object w:dxaOrig="220" w:dyaOrig="260" w14:anchorId="2FCB6565">
          <v:shape id="_x0000_i1063" type="#_x0000_t75" style="width:11.5pt;height:13.8pt" o:ole="">
            <v:imagedata r:id="rId82" o:title=""/>
          </v:shape>
          <o:OLEObject Type="Embed" ProgID="Equation.DSMT4" ShapeID="_x0000_i1063" DrawAspect="Content" ObjectID="_1811331659" r:id="rId83"/>
        </w:object>
      </w:r>
      <w:r w:rsidRPr="00E2635E">
        <w:rPr>
          <w:rFonts w:ascii="Times New Roman" w:hAnsi="Times New Roman" w:cs="Times New Roman"/>
          <w:sz w:val="24"/>
          <w:szCs w:val="24"/>
        </w:rPr>
        <w:t xml:space="preserve">is the speed of adjustment parameter or co-efficient; </w:t>
      </w:r>
      <w:r w:rsidRPr="00E2635E">
        <w:rPr>
          <w:rFonts w:ascii="Times New Roman" w:hAnsi="Times New Roman" w:cs="Times New Roman"/>
          <w:position w:val="-12"/>
          <w:sz w:val="24"/>
          <w:szCs w:val="24"/>
          <w:lang w:val="en-US"/>
        </w:rPr>
        <w:object w:dxaOrig="380" w:dyaOrig="360" w14:anchorId="28FDAEBB">
          <v:shape id="_x0000_i1064" type="#_x0000_t75" style="width:19.6pt;height:17.85pt" o:ole="">
            <v:imagedata r:id="rId84" o:title=""/>
          </v:shape>
          <o:OLEObject Type="Embed" ProgID="Equation.DSMT4" ShapeID="_x0000_i1064" DrawAspect="Content" ObjectID="_1811331660" r:id="rId85"/>
        </w:object>
      </w:r>
      <w:r w:rsidRPr="00E2635E">
        <w:rPr>
          <w:rFonts w:ascii="Times New Roman" w:hAnsi="Times New Roman" w:cs="Times New Roman"/>
          <w:sz w:val="24"/>
          <w:szCs w:val="24"/>
        </w:rPr>
        <w:t xml:space="preserve"> (which is the lagged Error Correction Term) is the residual obtained from the long run estimation.</w:t>
      </w:r>
    </w:p>
    <w:p w14:paraId="4CE51F71" w14:textId="77777777" w:rsidR="003C6A26" w:rsidRPr="00E2635E" w:rsidRDefault="003C6A26" w:rsidP="003C6A26">
      <w:pPr>
        <w:spacing w:before="240" w:after="0"/>
        <w:jc w:val="both"/>
        <w:rPr>
          <w:rFonts w:ascii="Times New Roman" w:hAnsi="Times New Roman" w:cs="Times New Roman"/>
          <w:b/>
          <w:bCs/>
          <w:sz w:val="24"/>
          <w:szCs w:val="24"/>
        </w:rPr>
      </w:pPr>
      <w:r w:rsidRPr="00E2635E">
        <w:rPr>
          <w:rFonts w:ascii="Times New Roman" w:hAnsi="Times New Roman" w:cs="Times New Roman"/>
          <w:b/>
          <w:bCs/>
          <w:sz w:val="24"/>
          <w:szCs w:val="24"/>
        </w:rPr>
        <w:t>IV.</w:t>
      </w:r>
      <w:r w:rsidRPr="00E2635E">
        <w:rPr>
          <w:rFonts w:ascii="Times New Roman" w:hAnsi="Times New Roman" w:cs="Times New Roman"/>
          <w:b/>
          <w:bCs/>
          <w:sz w:val="24"/>
          <w:szCs w:val="24"/>
        </w:rPr>
        <w:tab/>
        <w:t>Results and Discussion</w:t>
      </w:r>
    </w:p>
    <w:p w14:paraId="0CF42239"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Descriptive Statistics Results</w:t>
      </w:r>
    </w:p>
    <w:p w14:paraId="0CD194F7"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Descriptive statistics provide a summary of the key characteristics of the dataset, offering insights into the distribution, central tendency, and variability of each variable. These statistics help in understanding the nature of the data before proceeding with further econometric analysis. In this </w:t>
      </w:r>
      <w:r w:rsidRPr="00E2635E">
        <w:rPr>
          <w:rFonts w:ascii="Times New Roman" w:hAnsi="Times New Roman" w:cs="Times New Roman"/>
          <w:sz w:val="24"/>
          <w:szCs w:val="24"/>
        </w:rPr>
        <w:lastRenderedPageBreak/>
        <w:t xml:space="preserve">study, the descriptive statistics of crop production (CP), rural bank deposits (RBD), bank loans to agriculture (BLA), and the Agricultural Credit Guarantee Scheme Fund (ACGSF) are </w:t>
      </w:r>
      <w:proofErr w:type="spellStart"/>
      <w:r w:rsidRPr="00E2635E">
        <w:rPr>
          <w:rFonts w:ascii="Times New Roman" w:hAnsi="Times New Roman" w:cs="Times New Roman"/>
          <w:sz w:val="24"/>
          <w:szCs w:val="24"/>
        </w:rPr>
        <w:t>analyzed</w:t>
      </w:r>
      <w:proofErr w:type="spellEnd"/>
      <w:r w:rsidRPr="00E2635E">
        <w:rPr>
          <w:rFonts w:ascii="Times New Roman" w:hAnsi="Times New Roman" w:cs="Times New Roman"/>
          <w:sz w:val="24"/>
          <w:szCs w:val="24"/>
        </w:rPr>
        <w:t xml:space="preserve"> based on their mean, maximum and minimum values, standard deviation, skewness, kurtosis, and the Jarque-Bera normality test. These measures provide a foundational understanding of how financial inclusion indicators relate to crop production in Nigeria.</w:t>
      </w:r>
    </w:p>
    <w:p w14:paraId="5F4C7A4E"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Table 1: Summary Statistics</w:t>
      </w:r>
    </w:p>
    <w:tbl>
      <w:tblPr>
        <w:tblW w:w="9030" w:type="dxa"/>
        <w:tblBorders>
          <w:top w:val="single" w:sz="4" w:space="0" w:color="auto"/>
          <w:bottom w:val="single" w:sz="4" w:space="0" w:color="auto"/>
        </w:tblBorders>
        <w:tblLook w:val="04A0" w:firstRow="1" w:lastRow="0" w:firstColumn="1" w:lastColumn="0" w:noHBand="0" w:noVBand="1"/>
      </w:tblPr>
      <w:tblGrid>
        <w:gridCol w:w="2230"/>
        <w:gridCol w:w="1700"/>
        <w:gridCol w:w="1700"/>
        <w:gridCol w:w="1700"/>
        <w:gridCol w:w="1700"/>
      </w:tblGrid>
      <w:tr w:rsidR="003C6A26" w:rsidRPr="00E2635E" w14:paraId="17F61E92" w14:textId="77777777" w:rsidTr="00D10386">
        <w:trPr>
          <w:trHeight w:val="241"/>
        </w:trPr>
        <w:tc>
          <w:tcPr>
            <w:tcW w:w="2230" w:type="dxa"/>
            <w:tcBorders>
              <w:top w:val="single" w:sz="4" w:space="0" w:color="auto"/>
              <w:bottom w:val="single" w:sz="4" w:space="0" w:color="auto"/>
            </w:tcBorders>
            <w:noWrap/>
            <w:vAlign w:val="bottom"/>
            <w:hideMark/>
          </w:tcPr>
          <w:p w14:paraId="13FCF3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w:t>
            </w:r>
          </w:p>
        </w:tc>
        <w:tc>
          <w:tcPr>
            <w:tcW w:w="1700" w:type="dxa"/>
            <w:tcBorders>
              <w:top w:val="single" w:sz="4" w:space="0" w:color="auto"/>
              <w:bottom w:val="single" w:sz="4" w:space="0" w:color="auto"/>
            </w:tcBorders>
            <w:noWrap/>
            <w:vAlign w:val="bottom"/>
            <w:hideMark/>
          </w:tcPr>
          <w:p w14:paraId="6A1573C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CP</w:t>
            </w:r>
          </w:p>
        </w:tc>
        <w:tc>
          <w:tcPr>
            <w:tcW w:w="1700" w:type="dxa"/>
            <w:tcBorders>
              <w:top w:val="single" w:sz="4" w:space="0" w:color="auto"/>
              <w:bottom w:val="single" w:sz="4" w:space="0" w:color="auto"/>
            </w:tcBorders>
            <w:noWrap/>
            <w:vAlign w:val="bottom"/>
            <w:hideMark/>
          </w:tcPr>
          <w:p w14:paraId="5408493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RBD</w:t>
            </w:r>
          </w:p>
        </w:tc>
        <w:tc>
          <w:tcPr>
            <w:tcW w:w="1700" w:type="dxa"/>
            <w:tcBorders>
              <w:top w:val="single" w:sz="4" w:space="0" w:color="auto"/>
              <w:bottom w:val="single" w:sz="4" w:space="0" w:color="auto"/>
            </w:tcBorders>
            <w:noWrap/>
            <w:vAlign w:val="bottom"/>
            <w:hideMark/>
          </w:tcPr>
          <w:p w14:paraId="5CED1F8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BLA</w:t>
            </w:r>
          </w:p>
        </w:tc>
        <w:tc>
          <w:tcPr>
            <w:tcW w:w="1700" w:type="dxa"/>
            <w:tcBorders>
              <w:top w:val="single" w:sz="4" w:space="0" w:color="auto"/>
              <w:bottom w:val="single" w:sz="4" w:space="0" w:color="auto"/>
            </w:tcBorders>
            <w:noWrap/>
            <w:vAlign w:val="bottom"/>
            <w:hideMark/>
          </w:tcPr>
          <w:p w14:paraId="0FDFCE3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ACGSF</w:t>
            </w:r>
          </w:p>
        </w:tc>
      </w:tr>
      <w:tr w:rsidR="003C6A26" w:rsidRPr="00E2635E" w14:paraId="31CE427B" w14:textId="77777777" w:rsidTr="00D10386">
        <w:trPr>
          <w:trHeight w:val="241"/>
        </w:trPr>
        <w:tc>
          <w:tcPr>
            <w:tcW w:w="2230" w:type="dxa"/>
            <w:tcBorders>
              <w:top w:val="single" w:sz="4" w:space="0" w:color="auto"/>
            </w:tcBorders>
            <w:noWrap/>
            <w:vAlign w:val="bottom"/>
            <w:hideMark/>
          </w:tcPr>
          <w:p w14:paraId="57FF88A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Mean</w:t>
            </w:r>
          </w:p>
        </w:tc>
        <w:tc>
          <w:tcPr>
            <w:tcW w:w="1700" w:type="dxa"/>
            <w:tcBorders>
              <w:top w:val="single" w:sz="4" w:space="0" w:color="auto"/>
            </w:tcBorders>
            <w:noWrap/>
            <w:vAlign w:val="bottom"/>
            <w:hideMark/>
          </w:tcPr>
          <w:p w14:paraId="012B333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10508.34</w:t>
            </w:r>
          </w:p>
        </w:tc>
        <w:tc>
          <w:tcPr>
            <w:tcW w:w="1700" w:type="dxa"/>
            <w:tcBorders>
              <w:top w:val="single" w:sz="4" w:space="0" w:color="auto"/>
            </w:tcBorders>
            <w:noWrap/>
            <w:vAlign w:val="bottom"/>
            <w:hideMark/>
          </w:tcPr>
          <w:p w14:paraId="71575FD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87.00491</w:t>
            </w:r>
          </w:p>
        </w:tc>
        <w:tc>
          <w:tcPr>
            <w:tcW w:w="1700" w:type="dxa"/>
            <w:tcBorders>
              <w:top w:val="single" w:sz="4" w:space="0" w:color="auto"/>
            </w:tcBorders>
            <w:noWrap/>
            <w:vAlign w:val="bottom"/>
            <w:hideMark/>
          </w:tcPr>
          <w:p w14:paraId="4004F68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314.7473</w:t>
            </w:r>
          </w:p>
        </w:tc>
        <w:tc>
          <w:tcPr>
            <w:tcW w:w="1700" w:type="dxa"/>
            <w:tcBorders>
              <w:top w:val="single" w:sz="4" w:space="0" w:color="auto"/>
            </w:tcBorders>
            <w:noWrap/>
            <w:vAlign w:val="bottom"/>
            <w:hideMark/>
          </w:tcPr>
          <w:p w14:paraId="19717CD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3358.853</w:t>
            </w:r>
          </w:p>
        </w:tc>
      </w:tr>
      <w:tr w:rsidR="003C6A26" w:rsidRPr="00E2635E" w14:paraId="7FB11078" w14:textId="77777777" w:rsidTr="00D10386">
        <w:trPr>
          <w:trHeight w:val="241"/>
        </w:trPr>
        <w:tc>
          <w:tcPr>
            <w:tcW w:w="2230" w:type="dxa"/>
            <w:noWrap/>
            <w:vAlign w:val="bottom"/>
            <w:hideMark/>
          </w:tcPr>
          <w:p w14:paraId="50D939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Maximum</w:t>
            </w:r>
          </w:p>
        </w:tc>
        <w:tc>
          <w:tcPr>
            <w:tcW w:w="1700" w:type="dxa"/>
            <w:noWrap/>
            <w:vAlign w:val="bottom"/>
            <w:hideMark/>
          </w:tcPr>
          <w:p w14:paraId="387B302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47779.28</w:t>
            </w:r>
          </w:p>
        </w:tc>
        <w:tc>
          <w:tcPr>
            <w:tcW w:w="1700" w:type="dxa"/>
            <w:noWrap/>
            <w:vAlign w:val="bottom"/>
            <w:hideMark/>
          </w:tcPr>
          <w:p w14:paraId="68F23F6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670.3300</w:t>
            </w:r>
          </w:p>
        </w:tc>
        <w:tc>
          <w:tcPr>
            <w:tcW w:w="1700" w:type="dxa"/>
            <w:noWrap/>
            <w:vAlign w:val="bottom"/>
            <w:hideMark/>
          </w:tcPr>
          <w:p w14:paraId="3077FF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2255.357</w:t>
            </w:r>
          </w:p>
        </w:tc>
        <w:tc>
          <w:tcPr>
            <w:tcW w:w="1700" w:type="dxa"/>
            <w:noWrap/>
            <w:vAlign w:val="bottom"/>
            <w:hideMark/>
          </w:tcPr>
          <w:p w14:paraId="0690E51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10658.10</w:t>
            </w:r>
          </w:p>
        </w:tc>
      </w:tr>
      <w:tr w:rsidR="003C6A26" w:rsidRPr="00E2635E" w14:paraId="016B6D2A" w14:textId="77777777" w:rsidTr="00D10386">
        <w:trPr>
          <w:trHeight w:val="241"/>
        </w:trPr>
        <w:tc>
          <w:tcPr>
            <w:tcW w:w="2230" w:type="dxa"/>
            <w:noWrap/>
            <w:vAlign w:val="bottom"/>
            <w:hideMark/>
          </w:tcPr>
          <w:p w14:paraId="46D1D47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Minimum</w:t>
            </w:r>
          </w:p>
        </w:tc>
        <w:tc>
          <w:tcPr>
            <w:tcW w:w="1700" w:type="dxa"/>
            <w:noWrap/>
            <w:vAlign w:val="bottom"/>
            <w:hideMark/>
          </w:tcPr>
          <w:p w14:paraId="7AD193D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25.97239</w:t>
            </w:r>
          </w:p>
        </w:tc>
        <w:tc>
          <w:tcPr>
            <w:tcW w:w="1700" w:type="dxa"/>
            <w:noWrap/>
            <w:vAlign w:val="bottom"/>
            <w:hideMark/>
          </w:tcPr>
          <w:p w14:paraId="5522073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0.019723</w:t>
            </w:r>
          </w:p>
        </w:tc>
        <w:tc>
          <w:tcPr>
            <w:tcW w:w="1700" w:type="dxa"/>
            <w:noWrap/>
            <w:vAlign w:val="bottom"/>
            <w:hideMark/>
          </w:tcPr>
          <w:p w14:paraId="157C582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1.830000</w:t>
            </w:r>
          </w:p>
        </w:tc>
        <w:tc>
          <w:tcPr>
            <w:tcW w:w="1700" w:type="dxa"/>
            <w:noWrap/>
            <w:vAlign w:val="bottom"/>
            <w:hideMark/>
          </w:tcPr>
          <w:p w14:paraId="5E4E6AF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76.80000</w:t>
            </w:r>
          </w:p>
        </w:tc>
      </w:tr>
      <w:tr w:rsidR="003C6A26" w:rsidRPr="00E2635E" w14:paraId="53A2102B" w14:textId="77777777" w:rsidTr="00D10386">
        <w:trPr>
          <w:trHeight w:val="241"/>
        </w:trPr>
        <w:tc>
          <w:tcPr>
            <w:tcW w:w="2230" w:type="dxa"/>
            <w:noWrap/>
            <w:vAlign w:val="bottom"/>
            <w:hideMark/>
          </w:tcPr>
          <w:p w14:paraId="1147A46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Std. Dev.</w:t>
            </w:r>
          </w:p>
        </w:tc>
        <w:tc>
          <w:tcPr>
            <w:tcW w:w="1700" w:type="dxa"/>
            <w:noWrap/>
            <w:vAlign w:val="bottom"/>
            <w:hideMark/>
          </w:tcPr>
          <w:p w14:paraId="047AA31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12902.82</w:t>
            </w:r>
          </w:p>
        </w:tc>
        <w:tc>
          <w:tcPr>
            <w:tcW w:w="1700" w:type="dxa"/>
            <w:noWrap/>
            <w:vAlign w:val="bottom"/>
            <w:hideMark/>
          </w:tcPr>
          <w:p w14:paraId="6FD06E8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165.7197</w:t>
            </w:r>
          </w:p>
        </w:tc>
        <w:tc>
          <w:tcPr>
            <w:tcW w:w="1700" w:type="dxa"/>
            <w:noWrap/>
            <w:vAlign w:val="bottom"/>
            <w:hideMark/>
          </w:tcPr>
          <w:p w14:paraId="2A2C40B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524.2325</w:t>
            </w:r>
          </w:p>
        </w:tc>
        <w:tc>
          <w:tcPr>
            <w:tcW w:w="1700" w:type="dxa"/>
            <w:noWrap/>
            <w:vAlign w:val="bottom"/>
            <w:hideMark/>
          </w:tcPr>
          <w:p w14:paraId="7EBA7ED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3344.906</w:t>
            </w:r>
          </w:p>
        </w:tc>
      </w:tr>
      <w:tr w:rsidR="003C6A26" w:rsidRPr="00E2635E" w14:paraId="0E4713D2" w14:textId="77777777" w:rsidTr="00D10386">
        <w:trPr>
          <w:trHeight w:val="241"/>
        </w:trPr>
        <w:tc>
          <w:tcPr>
            <w:tcW w:w="2230" w:type="dxa"/>
            <w:noWrap/>
            <w:vAlign w:val="bottom"/>
            <w:hideMark/>
          </w:tcPr>
          <w:p w14:paraId="0B5335D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Skewness</w:t>
            </w:r>
          </w:p>
        </w:tc>
        <w:tc>
          <w:tcPr>
            <w:tcW w:w="1700" w:type="dxa"/>
            <w:noWrap/>
            <w:vAlign w:val="bottom"/>
            <w:hideMark/>
          </w:tcPr>
          <w:p w14:paraId="1245220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1.373037</w:t>
            </w:r>
          </w:p>
        </w:tc>
        <w:tc>
          <w:tcPr>
            <w:tcW w:w="1700" w:type="dxa"/>
            <w:noWrap/>
            <w:vAlign w:val="bottom"/>
            <w:hideMark/>
          </w:tcPr>
          <w:p w14:paraId="0136D40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2.130709</w:t>
            </w:r>
          </w:p>
        </w:tc>
        <w:tc>
          <w:tcPr>
            <w:tcW w:w="1700" w:type="dxa"/>
            <w:noWrap/>
            <w:vAlign w:val="bottom"/>
            <w:hideMark/>
          </w:tcPr>
          <w:p w14:paraId="2F713C4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2.314763</w:t>
            </w:r>
          </w:p>
        </w:tc>
        <w:tc>
          <w:tcPr>
            <w:tcW w:w="1700" w:type="dxa"/>
            <w:noWrap/>
            <w:vAlign w:val="bottom"/>
            <w:hideMark/>
          </w:tcPr>
          <w:p w14:paraId="262255E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0.542786</w:t>
            </w:r>
          </w:p>
        </w:tc>
      </w:tr>
      <w:tr w:rsidR="003C6A26" w:rsidRPr="00E2635E" w14:paraId="73CF0CB0" w14:textId="77777777" w:rsidTr="00D10386">
        <w:trPr>
          <w:trHeight w:val="241"/>
        </w:trPr>
        <w:tc>
          <w:tcPr>
            <w:tcW w:w="2230" w:type="dxa"/>
            <w:noWrap/>
            <w:vAlign w:val="bottom"/>
            <w:hideMark/>
          </w:tcPr>
          <w:p w14:paraId="57D0094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Kurtosis</w:t>
            </w:r>
          </w:p>
        </w:tc>
        <w:tc>
          <w:tcPr>
            <w:tcW w:w="1700" w:type="dxa"/>
            <w:noWrap/>
            <w:vAlign w:val="bottom"/>
            <w:hideMark/>
          </w:tcPr>
          <w:p w14:paraId="63011B3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4.037543</w:t>
            </w:r>
          </w:p>
        </w:tc>
        <w:tc>
          <w:tcPr>
            <w:tcW w:w="1700" w:type="dxa"/>
            <w:noWrap/>
            <w:vAlign w:val="bottom"/>
            <w:hideMark/>
          </w:tcPr>
          <w:p w14:paraId="3C7EA98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6.532680</w:t>
            </w:r>
          </w:p>
        </w:tc>
        <w:tc>
          <w:tcPr>
            <w:tcW w:w="1700" w:type="dxa"/>
            <w:noWrap/>
            <w:vAlign w:val="bottom"/>
            <w:hideMark/>
          </w:tcPr>
          <w:p w14:paraId="623BA7D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7.873066</w:t>
            </w:r>
          </w:p>
        </w:tc>
        <w:tc>
          <w:tcPr>
            <w:tcW w:w="1700" w:type="dxa"/>
            <w:noWrap/>
            <w:vAlign w:val="bottom"/>
            <w:hideMark/>
          </w:tcPr>
          <w:p w14:paraId="25A2DB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1.871364</w:t>
            </w:r>
          </w:p>
        </w:tc>
      </w:tr>
      <w:tr w:rsidR="003C6A26" w:rsidRPr="00E2635E" w14:paraId="5CE54F8B" w14:textId="77777777" w:rsidTr="00D10386">
        <w:trPr>
          <w:trHeight w:val="241"/>
        </w:trPr>
        <w:tc>
          <w:tcPr>
            <w:tcW w:w="2230" w:type="dxa"/>
            <w:noWrap/>
            <w:vAlign w:val="bottom"/>
            <w:hideMark/>
          </w:tcPr>
          <w:p w14:paraId="6926BE2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Jarque-Bera</w:t>
            </w:r>
          </w:p>
        </w:tc>
        <w:tc>
          <w:tcPr>
            <w:tcW w:w="1700" w:type="dxa"/>
            <w:noWrap/>
            <w:vAlign w:val="bottom"/>
            <w:hideMark/>
          </w:tcPr>
          <w:p w14:paraId="0E5A1F6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13.64425</w:t>
            </w:r>
          </w:p>
        </w:tc>
        <w:tc>
          <w:tcPr>
            <w:tcW w:w="1700" w:type="dxa"/>
            <w:noWrap/>
            <w:vAlign w:val="bottom"/>
            <w:hideMark/>
          </w:tcPr>
          <w:p w14:paraId="3273C3E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48.51258</w:t>
            </w:r>
          </w:p>
        </w:tc>
        <w:tc>
          <w:tcPr>
            <w:tcW w:w="1700" w:type="dxa"/>
            <w:noWrap/>
            <w:vAlign w:val="bottom"/>
            <w:hideMark/>
          </w:tcPr>
          <w:p w14:paraId="1E30519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71.53386</w:t>
            </w:r>
          </w:p>
        </w:tc>
        <w:tc>
          <w:tcPr>
            <w:tcW w:w="1700" w:type="dxa"/>
            <w:noWrap/>
            <w:vAlign w:val="bottom"/>
            <w:hideMark/>
          </w:tcPr>
          <w:p w14:paraId="3EB5BB7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3.882787</w:t>
            </w:r>
          </w:p>
        </w:tc>
      </w:tr>
      <w:tr w:rsidR="003C6A26" w:rsidRPr="00E2635E" w14:paraId="69157621" w14:textId="77777777" w:rsidTr="00D10386">
        <w:trPr>
          <w:trHeight w:val="241"/>
        </w:trPr>
        <w:tc>
          <w:tcPr>
            <w:tcW w:w="2230" w:type="dxa"/>
            <w:noWrap/>
            <w:vAlign w:val="bottom"/>
            <w:hideMark/>
          </w:tcPr>
          <w:p w14:paraId="642971B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Probability</w:t>
            </w:r>
          </w:p>
        </w:tc>
        <w:tc>
          <w:tcPr>
            <w:tcW w:w="1700" w:type="dxa"/>
            <w:noWrap/>
            <w:vAlign w:val="bottom"/>
            <w:hideMark/>
          </w:tcPr>
          <w:p w14:paraId="24FD75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0.001089</w:t>
            </w:r>
          </w:p>
        </w:tc>
        <w:tc>
          <w:tcPr>
            <w:tcW w:w="1700" w:type="dxa"/>
            <w:noWrap/>
            <w:vAlign w:val="bottom"/>
            <w:hideMark/>
          </w:tcPr>
          <w:p w14:paraId="2A950D7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0.000000</w:t>
            </w:r>
          </w:p>
        </w:tc>
        <w:tc>
          <w:tcPr>
            <w:tcW w:w="1700" w:type="dxa"/>
            <w:noWrap/>
            <w:vAlign w:val="bottom"/>
            <w:hideMark/>
          </w:tcPr>
          <w:p w14:paraId="3331EEB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0.000000</w:t>
            </w:r>
          </w:p>
        </w:tc>
        <w:tc>
          <w:tcPr>
            <w:tcW w:w="1700" w:type="dxa"/>
            <w:noWrap/>
            <w:vAlign w:val="bottom"/>
            <w:hideMark/>
          </w:tcPr>
          <w:p w14:paraId="1D9E9DB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0.143504</w:t>
            </w:r>
          </w:p>
        </w:tc>
      </w:tr>
      <w:tr w:rsidR="003C6A26" w:rsidRPr="00E2635E" w14:paraId="4A86D13A" w14:textId="77777777" w:rsidTr="00D10386">
        <w:trPr>
          <w:trHeight w:val="241"/>
        </w:trPr>
        <w:tc>
          <w:tcPr>
            <w:tcW w:w="2230" w:type="dxa"/>
            <w:noWrap/>
            <w:vAlign w:val="bottom"/>
            <w:hideMark/>
          </w:tcPr>
          <w:p w14:paraId="7761CB7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Observations</w:t>
            </w:r>
          </w:p>
        </w:tc>
        <w:tc>
          <w:tcPr>
            <w:tcW w:w="1700" w:type="dxa"/>
            <w:noWrap/>
            <w:vAlign w:val="bottom"/>
            <w:hideMark/>
          </w:tcPr>
          <w:p w14:paraId="7DC7A19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noWrap/>
            <w:vAlign w:val="bottom"/>
            <w:hideMark/>
          </w:tcPr>
          <w:p w14:paraId="6E90214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noWrap/>
            <w:vAlign w:val="bottom"/>
            <w:hideMark/>
          </w:tcPr>
          <w:p w14:paraId="2A5AB7B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noWrap/>
            <w:vAlign w:val="bottom"/>
            <w:hideMark/>
          </w:tcPr>
          <w:p w14:paraId="7547474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r>
    </w:tbl>
    <w:p w14:paraId="311574E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b/>
          <w:bCs/>
          <w:i/>
          <w:iCs/>
          <w:sz w:val="24"/>
          <w:szCs w:val="24"/>
        </w:rPr>
        <w:t>Source: Researcher’s Computation Using EViews-12 (2025)</w:t>
      </w:r>
    </w:p>
    <w:p w14:paraId="1F32FC7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mean value of crop production (CP) over the study period was ₦10,508.34 billion, indicating a relatively high level of crop output contribution to GDP. However, the large standard deviation (₦12,902.82 billion) suggests significant variability in crop production across different years, reflecting fluctuations in agricultural productivity due to factors such as climate change, policy changes, and financial accessibility. The maximum crop production value (₦47,779.28 billion) was observed in recent years, highlighting the increasing role of agriculture in Nigeria’s economy. The minimum value (₦25.97 billion) indicates that crop production was considerably lower in earlier years, possibly due to poor financial access, inadequate mechanization, and limited government intervention. The skewness value (1.37) shows that the distribution of crop production is positively skewed, meaning that extreme high values occur more frequently than extreme low values. The kurtosis value of 4.03 indicates that the distribution is slightly leptokurtic, meaning that it has a higher peak compared to a normal distribution. The Jarque-Bera statistic (13.64) and its probability value (0.001089) indicate that crop production does not follow a normal distribution, suggesting that external factors, such as policy shifts and financial interventions, may have contributed to fluctuations in agricultural output over time.</w:t>
      </w:r>
    </w:p>
    <w:p w14:paraId="020D2C3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Rural bank deposits (RBD), which represent financial savings in rural areas, had a mean value of ₦87.00 billion, indicating that financial accessibility in rural areas remained relatively low. The maximum deposit level of ₦670.33 billion suggests that rural banking penetration improved significantly over time, while the minimum value of ₦0.019 billion reflects years of limited financial participation in rural agricultural economies. The standard deviation (₦165.72 billion) indicates a high level of volatility in rural bank deposits, suggesting inconsistencies in financial access across different years. The skewness value (2.13) and kurtosis value (6.53) suggest that rural bank deposits are highly skewed and have a heavy-tailed distribution, meaning that extreme values are more prevalent than in a normal distribution. The Jarque-Bera probability (0.000000) confirms that the variable is not normally distributed, further supporting the argument that financial inclusion in rural Nigeria has been uneven, with periods of significant underperformance and occasional rapid improvements.</w:t>
      </w:r>
    </w:p>
    <w:p w14:paraId="4E65130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Bank loans to agriculture (BLA), which measure the level of credit allocated to farmers, had a mean value of ₦314.75 billion, indicating relatively low financial support for the agricultural sector. The maximum value of ₦2,255.36 billion suggests that in certain years, financial institutions increased credit allocations to agriculture, possibly due to government policies and financial reforms. However, the minimum value of ₦1.83 billion reveals that in earlier years, the agricultural sector received extremely low funding from banks, likely due to high credit risks and poor lending infrastructure. The high standard deviation (₦524.23 billion) implies significant fluctuations in agricultural credit over time. The skewness value (2.31) and kurtosis value (7.87) indicate that the distribution of bank loans to agriculture is highly asymmetric and heavily tailed, suggesting that a few extreme values disproportionately influence the dataset. The Jarque-Bera probability (0.000000) confirms that the variable is not normally distributed, reinforcing concerns that bank loans to agriculture have been inconsistent and subject to policy-driven fluctuations rather than steady financial deepening.</w:t>
      </w:r>
    </w:p>
    <w:p w14:paraId="16984C2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Agricultural Credit Guarantee Scheme Fund (ACGSF), which provides credit guarantees to encourage banks to lend to the agricultural sector, had a mean value of ₦3,358.85 million. The maximum value (₦10,658.10 million) indicates that in certain years, substantial funds were allocated to support agricultural lending. However, the minimum value of ₦76.80 million suggests that at some points, funding for the ACGSF was significantly limited, reflecting inconsistencies in financial support for farmers. The standard deviation (₦3,344.91 million) shows that the variable exhibits substantial fluctuations, suggesting that the availability of credit guarantees has been highly unstable. The skewness value (0.54) is closer to zero compared to the other variables, indicating that the distribution of ACGSF funds is relatively symmetrical. However, the kurtosis value (1.87) suggests that the distribution is platykurtic, meaning it has thinner tails than a normal distribution, indicating fewer extreme values. The Jarque-Bera probability (0.1435) suggests that the variable may follow a normal</w:t>
      </w:r>
      <w:r w:rsidRPr="00E2635E">
        <w:rPr>
          <w:rFonts w:ascii="Times New Roman" w:hAnsi="Times New Roman" w:cs="Times New Roman"/>
          <w:b/>
          <w:bCs/>
          <w:sz w:val="24"/>
          <w:szCs w:val="24"/>
        </w:rPr>
        <w:t xml:space="preserve"> distribution</w:t>
      </w:r>
      <w:r w:rsidRPr="00E2635E">
        <w:rPr>
          <w:rFonts w:ascii="Times New Roman" w:hAnsi="Times New Roman" w:cs="Times New Roman"/>
          <w:sz w:val="24"/>
          <w:szCs w:val="24"/>
        </w:rPr>
        <w:t>, making it somewhat more stable compared to the other financial inclusion indicators.</w:t>
      </w:r>
    </w:p>
    <w:p w14:paraId="6BAEB674"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Unit Root Results</w:t>
      </w:r>
    </w:p>
    <w:p w14:paraId="289A801F"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Augmented Dickey-Fuller (ADF) test was employed in this study to assess the stationarity of crop production (CP), rural bank deposits (RBD), bank loans to agriculture (BLA), and the Agricultural Credit Guarantee Scheme Fund (ACGSF).</w:t>
      </w:r>
    </w:p>
    <w:p w14:paraId="4A31E207" w14:textId="77777777" w:rsidR="00E2635E" w:rsidRPr="00E2635E" w:rsidRDefault="00E2635E" w:rsidP="003C6A26">
      <w:pPr>
        <w:spacing w:after="0"/>
        <w:jc w:val="both"/>
        <w:rPr>
          <w:rFonts w:ascii="Times New Roman" w:hAnsi="Times New Roman" w:cs="Times New Roman"/>
          <w:sz w:val="24"/>
          <w:szCs w:val="24"/>
        </w:rPr>
      </w:pPr>
    </w:p>
    <w:p w14:paraId="76B90C4B" w14:textId="77777777" w:rsidR="003C6A26" w:rsidRPr="00E2635E" w:rsidRDefault="003C6A26" w:rsidP="003C6A2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2635E">
        <w:rPr>
          <w:rFonts w:ascii="Times New Roman" w:eastAsia="Times New Roman" w:hAnsi="Times New Roman" w:cs="Times New Roman"/>
          <w:b/>
          <w:color w:val="000000"/>
          <w:sz w:val="24"/>
          <w:szCs w:val="24"/>
        </w:rPr>
        <w:t>Table 2: Unit Root Test Result</w:t>
      </w:r>
    </w:p>
    <w:tbl>
      <w:tblPr>
        <w:tblW w:w="9521" w:type="dxa"/>
        <w:tblInd w:w="-5" w:type="dxa"/>
        <w:tblBorders>
          <w:top w:val="single" w:sz="4" w:space="0" w:color="auto"/>
          <w:bottom w:val="single" w:sz="4" w:space="0" w:color="auto"/>
        </w:tblBorders>
        <w:tblLook w:val="04A0" w:firstRow="1" w:lastRow="0" w:firstColumn="1" w:lastColumn="0" w:noHBand="0" w:noVBand="1"/>
      </w:tblPr>
      <w:tblGrid>
        <w:gridCol w:w="1109"/>
        <w:gridCol w:w="1287"/>
        <w:gridCol w:w="1784"/>
        <w:gridCol w:w="1338"/>
        <w:gridCol w:w="2083"/>
        <w:gridCol w:w="1937"/>
      </w:tblGrid>
      <w:tr w:rsidR="003C6A26" w:rsidRPr="00E2635E" w14:paraId="75F13A43" w14:textId="77777777" w:rsidTr="00D10386">
        <w:trPr>
          <w:trHeight w:hRule="exact" w:val="278"/>
        </w:trPr>
        <w:tc>
          <w:tcPr>
            <w:tcW w:w="1092" w:type="dxa"/>
            <w:vMerge w:val="restart"/>
            <w:tcBorders>
              <w:top w:val="single" w:sz="4" w:space="0" w:color="auto"/>
              <w:bottom w:val="single" w:sz="4" w:space="0" w:color="auto"/>
            </w:tcBorders>
            <w:noWrap/>
            <w:vAlign w:val="center"/>
            <w:hideMark/>
          </w:tcPr>
          <w:p w14:paraId="34198CB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Variables</w:t>
            </w:r>
          </w:p>
        </w:tc>
        <w:tc>
          <w:tcPr>
            <w:tcW w:w="6492" w:type="dxa"/>
            <w:gridSpan w:val="4"/>
            <w:tcBorders>
              <w:top w:val="single" w:sz="4" w:space="0" w:color="auto"/>
              <w:bottom w:val="single" w:sz="4" w:space="0" w:color="auto"/>
            </w:tcBorders>
            <w:noWrap/>
            <w:vAlign w:val="bottom"/>
            <w:hideMark/>
          </w:tcPr>
          <w:p w14:paraId="5337F88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1937" w:type="dxa"/>
            <w:vMerge w:val="restart"/>
            <w:tcBorders>
              <w:top w:val="single" w:sz="4" w:space="0" w:color="auto"/>
              <w:bottom w:val="single" w:sz="4" w:space="0" w:color="auto"/>
            </w:tcBorders>
            <w:noWrap/>
            <w:vAlign w:val="center"/>
            <w:hideMark/>
          </w:tcPr>
          <w:p w14:paraId="25457DA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Decision</w:t>
            </w:r>
          </w:p>
        </w:tc>
      </w:tr>
      <w:tr w:rsidR="003C6A26" w:rsidRPr="00E2635E" w14:paraId="35900186" w14:textId="77777777" w:rsidTr="00D10386">
        <w:trPr>
          <w:trHeight w:val="278"/>
        </w:trPr>
        <w:tc>
          <w:tcPr>
            <w:tcW w:w="1092" w:type="dxa"/>
            <w:vMerge/>
            <w:tcBorders>
              <w:top w:val="single" w:sz="4" w:space="0" w:color="auto"/>
            </w:tcBorders>
            <w:vAlign w:val="center"/>
            <w:hideMark/>
          </w:tcPr>
          <w:p w14:paraId="4255260F"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c>
          <w:tcPr>
            <w:tcW w:w="3071" w:type="dxa"/>
            <w:gridSpan w:val="2"/>
            <w:tcBorders>
              <w:top w:val="single" w:sz="4" w:space="0" w:color="auto"/>
              <w:bottom w:val="single" w:sz="4" w:space="0" w:color="auto"/>
            </w:tcBorders>
            <w:noWrap/>
            <w:vAlign w:val="bottom"/>
            <w:hideMark/>
          </w:tcPr>
          <w:p w14:paraId="57A1E1E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Levels (Intercept &amp; trend)</w:t>
            </w:r>
          </w:p>
        </w:tc>
        <w:tc>
          <w:tcPr>
            <w:tcW w:w="3420" w:type="dxa"/>
            <w:gridSpan w:val="2"/>
            <w:tcBorders>
              <w:top w:val="single" w:sz="4" w:space="0" w:color="auto"/>
              <w:bottom w:val="single" w:sz="4" w:space="0" w:color="auto"/>
            </w:tcBorders>
            <w:noWrap/>
            <w:vAlign w:val="bottom"/>
            <w:hideMark/>
          </w:tcPr>
          <w:p w14:paraId="7863DCDD"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1</w:t>
            </w:r>
            <w:r w:rsidRPr="00E2635E">
              <w:rPr>
                <w:rFonts w:ascii="Times New Roman" w:eastAsia="Times New Roman" w:hAnsi="Times New Roman" w:cs="Times New Roman"/>
                <w:color w:val="000000"/>
                <w:sz w:val="24"/>
                <w:szCs w:val="24"/>
                <w:vertAlign w:val="superscript"/>
              </w:rPr>
              <w:t>st</w:t>
            </w:r>
            <w:r w:rsidRPr="00E2635E">
              <w:rPr>
                <w:rFonts w:ascii="Times New Roman" w:eastAsia="Times New Roman" w:hAnsi="Times New Roman" w:cs="Times New Roman"/>
                <w:color w:val="000000"/>
                <w:sz w:val="24"/>
                <w:szCs w:val="24"/>
              </w:rPr>
              <w:t xml:space="preserve"> difference (Intercept &amp; trend)</w:t>
            </w:r>
          </w:p>
        </w:tc>
        <w:tc>
          <w:tcPr>
            <w:tcW w:w="1937" w:type="dxa"/>
            <w:vMerge/>
            <w:tcBorders>
              <w:top w:val="single" w:sz="4" w:space="0" w:color="auto"/>
            </w:tcBorders>
            <w:vAlign w:val="center"/>
            <w:hideMark/>
          </w:tcPr>
          <w:p w14:paraId="2A1CFFD9"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r>
      <w:tr w:rsidR="003C6A26" w:rsidRPr="00E2635E" w14:paraId="0512323F" w14:textId="77777777" w:rsidTr="00D10386">
        <w:trPr>
          <w:trHeight w:val="278"/>
        </w:trPr>
        <w:tc>
          <w:tcPr>
            <w:tcW w:w="1092" w:type="dxa"/>
            <w:vMerge/>
            <w:tcBorders>
              <w:bottom w:val="single" w:sz="4" w:space="0" w:color="auto"/>
            </w:tcBorders>
            <w:vAlign w:val="center"/>
            <w:hideMark/>
          </w:tcPr>
          <w:p w14:paraId="7097356A"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c>
          <w:tcPr>
            <w:tcW w:w="1287" w:type="dxa"/>
            <w:tcBorders>
              <w:top w:val="single" w:sz="4" w:space="0" w:color="auto"/>
              <w:bottom w:val="single" w:sz="4" w:space="0" w:color="auto"/>
            </w:tcBorders>
            <w:noWrap/>
            <w:vAlign w:val="bottom"/>
            <w:hideMark/>
          </w:tcPr>
          <w:p w14:paraId="73E9052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1784" w:type="dxa"/>
            <w:tcBorders>
              <w:top w:val="single" w:sz="4" w:space="0" w:color="auto"/>
              <w:bottom w:val="single" w:sz="4" w:space="0" w:color="auto"/>
            </w:tcBorders>
            <w:noWrap/>
            <w:vAlign w:val="bottom"/>
            <w:hideMark/>
          </w:tcPr>
          <w:p w14:paraId="4D7703A1"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Critical values</w:t>
            </w:r>
          </w:p>
        </w:tc>
        <w:tc>
          <w:tcPr>
            <w:tcW w:w="1338" w:type="dxa"/>
            <w:tcBorders>
              <w:top w:val="single" w:sz="4" w:space="0" w:color="auto"/>
              <w:bottom w:val="single" w:sz="4" w:space="0" w:color="auto"/>
            </w:tcBorders>
            <w:noWrap/>
            <w:vAlign w:val="bottom"/>
            <w:hideMark/>
          </w:tcPr>
          <w:p w14:paraId="69D3115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2082" w:type="dxa"/>
            <w:tcBorders>
              <w:top w:val="single" w:sz="4" w:space="0" w:color="auto"/>
              <w:bottom w:val="single" w:sz="4" w:space="0" w:color="auto"/>
            </w:tcBorders>
            <w:noWrap/>
            <w:vAlign w:val="bottom"/>
            <w:hideMark/>
          </w:tcPr>
          <w:p w14:paraId="614C953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Critical values</w:t>
            </w:r>
          </w:p>
        </w:tc>
        <w:tc>
          <w:tcPr>
            <w:tcW w:w="1937" w:type="dxa"/>
            <w:tcBorders>
              <w:bottom w:val="single" w:sz="4" w:space="0" w:color="auto"/>
            </w:tcBorders>
            <w:noWrap/>
            <w:vAlign w:val="bottom"/>
            <w:hideMark/>
          </w:tcPr>
          <w:p w14:paraId="52042BD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 Order of Integration</w:t>
            </w:r>
          </w:p>
        </w:tc>
      </w:tr>
      <w:tr w:rsidR="003C6A26" w:rsidRPr="00E2635E" w14:paraId="651ADC62" w14:textId="77777777" w:rsidTr="00D10386">
        <w:trPr>
          <w:trHeight w:hRule="exact" w:val="278"/>
        </w:trPr>
        <w:tc>
          <w:tcPr>
            <w:tcW w:w="1092" w:type="dxa"/>
            <w:tcBorders>
              <w:top w:val="single" w:sz="4" w:space="0" w:color="auto"/>
            </w:tcBorders>
            <w:noWrap/>
            <w:vAlign w:val="bottom"/>
            <w:hideMark/>
          </w:tcPr>
          <w:p w14:paraId="261E404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CP</w:t>
            </w:r>
          </w:p>
        </w:tc>
        <w:tc>
          <w:tcPr>
            <w:tcW w:w="1287" w:type="dxa"/>
            <w:tcBorders>
              <w:top w:val="single" w:sz="4" w:space="0" w:color="auto"/>
            </w:tcBorders>
            <w:noWrap/>
            <w:vAlign w:val="bottom"/>
            <w:hideMark/>
          </w:tcPr>
          <w:p w14:paraId="7194AFC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6.333757</w:t>
            </w:r>
          </w:p>
        </w:tc>
        <w:tc>
          <w:tcPr>
            <w:tcW w:w="1784" w:type="dxa"/>
            <w:tcBorders>
              <w:top w:val="single" w:sz="4" w:space="0" w:color="auto"/>
            </w:tcBorders>
            <w:noWrap/>
            <w:vAlign w:val="bottom"/>
            <w:hideMark/>
          </w:tcPr>
          <w:p w14:paraId="7027F97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-4.226815</w:t>
            </w:r>
          </w:p>
        </w:tc>
        <w:tc>
          <w:tcPr>
            <w:tcW w:w="1338" w:type="dxa"/>
            <w:tcBorders>
              <w:top w:val="single" w:sz="4" w:space="0" w:color="auto"/>
            </w:tcBorders>
            <w:noWrap/>
            <w:vAlign w:val="bottom"/>
            <w:hideMark/>
          </w:tcPr>
          <w:p w14:paraId="4899855F"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-3.561175</w:t>
            </w:r>
          </w:p>
        </w:tc>
        <w:tc>
          <w:tcPr>
            <w:tcW w:w="2082" w:type="dxa"/>
            <w:tcBorders>
              <w:top w:val="single" w:sz="4" w:space="0" w:color="auto"/>
            </w:tcBorders>
            <w:noWrap/>
            <w:vAlign w:val="bottom"/>
            <w:hideMark/>
          </w:tcPr>
          <w:p w14:paraId="449E6A3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-3.544284**</w:t>
            </w:r>
          </w:p>
        </w:tc>
        <w:tc>
          <w:tcPr>
            <w:tcW w:w="1937" w:type="dxa"/>
            <w:tcBorders>
              <w:top w:val="single" w:sz="4" w:space="0" w:color="auto"/>
            </w:tcBorders>
            <w:noWrap/>
            <w:vAlign w:val="bottom"/>
            <w:hideMark/>
          </w:tcPr>
          <w:p w14:paraId="0C5CF475"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0DD295B1" w14:textId="77777777" w:rsidTr="00D10386">
        <w:trPr>
          <w:trHeight w:hRule="exact" w:val="278"/>
        </w:trPr>
        <w:tc>
          <w:tcPr>
            <w:tcW w:w="1092" w:type="dxa"/>
            <w:noWrap/>
            <w:vAlign w:val="bottom"/>
            <w:hideMark/>
          </w:tcPr>
          <w:p w14:paraId="5285781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RBD</w:t>
            </w:r>
          </w:p>
        </w:tc>
        <w:tc>
          <w:tcPr>
            <w:tcW w:w="1287" w:type="dxa"/>
            <w:noWrap/>
            <w:vAlign w:val="bottom"/>
            <w:hideMark/>
          </w:tcPr>
          <w:p w14:paraId="655BDD3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3.070812</w:t>
            </w:r>
          </w:p>
        </w:tc>
        <w:tc>
          <w:tcPr>
            <w:tcW w:w="1784" w:type="dxa"/>
            <w:noWrap/>
            <w:vAlign w:val="bottom"/>
            <w:hideMark/>
          </w:tcPr>
          <w:p w14:paraId="1041A9C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-4.226815</w:t>
            </w:r>
          </w:p>
        </w:tc>
        <w:tc>
          <w:tcPr>
            <w:tcW w:w="1338" w:type="dxa"/>
            <w:noWrap/>
            <w:vAlign w:val="bottom"/>
            <w:hideMark/>
          </w:tcPr>
          <w:p w14:paraId="421AC5E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-3.720115</w:t>
            </w:r>
          </w:p>
        </w:tc>
        <w:tc>
          <w:tcPr>
            <w:tcW w:w="2082" w:type="dxa"/>
            <w:noWrap/>
            <w:vAlign w:val="bottom"/>
            <w:hideMark/>
          </w:tcPr>
          <w:p w14:paraId="182718DF"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-3.540328**</w:t>
            </w:r>
          </w:p>
        </w:tc>
        <w:tc>
          <w:tcPr>
            <w:tcW w:w="1937" w:type="dxa"/>
            <w:noWrap/>
            <w:vAlign w:val="bottom"/>
            <w:hideMark/>
          </w:tcPr>
          <w:p w14:paraId="2EF1D058"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67CF859D" w14:textId="77777777" w:rsidTr="00D10386">
        <w:trPr>
          <w:trHeight w:hRule="exact" w:val="278"/>
        </w:trPr>
        <w:tc>
          <w:tcPr>
            <w:tcW w:w="1092" w:type="dxa"/>
            <w:noWrap/>
            <w:vAlign w:val="bottom"/>
            <w:hideMark/>
          </w:tcPr>
          <w:p w14:paraId="62C552FB"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BLA</w:t>
            </w:r>
          </w:p>
        </w:tc>
        <w:tc>
          <w:tcPr>
            <w:tcW w:w="1287" w:type="dxa"/>
            <w:noWrap/>
            <w:vAlign w:val="bottom"/>
            <w:hideMark/>
          </w:tcPr>
          <w:p w14:paraId="470D636A"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4.392045</w:t>
            </w:r>
          </w:p>
        </w:tc>
        <w:tc>
          <w:tcPr>
            <w:tcW w:w="1784" w:type="dxa"/>
            <w:noWrap/>
            <w:vAlign w:val="bottom"/>
            <w:hideMark/>
          </w:tcPr>
          <w:p w14:paraId="67ABB97D"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-4.309824</w:t>
            </w:r>
          </w:p>
        </w:tc>
        <w:tc>
          <w:tcPr>
            <w:tcW w:w="1338" w:type="dxa"/>
            <w:noWrap/>
            <w:vAlign w:val="bottom"/>
            <w:hideMark/>
          </w:tcPr>
          <w:p w14:paraId="41F7E46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-3.263219</w:t>
            </w:r>
          </w:p>
        </w:tc>
        <w:tc>
          <w:tcPr>
            <w:tcW w:w="2082" w:type="dxa"/>
            <w:noWrap/>
            <w:vAlign w:val="bottom"/>
            <w:hideMark/>
          </w:tcPr>
          <w:p w14:paraId="5E01FDC9"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-3.204699***</w:t>
            </w:r>
          </w:p>
        </w:tc>
        <w:tc>
          <w:tcPr>
            <w:tcW w:w="1937" w:type="dxa"/>
            <w:noWrap/>
            <w:vAlign w:val="bottom"/>
            <w:hideMark/>
          </w:tcPr>
          <w:p w14:paraId="0D71F4F8"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6740563A" w14:textId="77777777" w:rsidTr="00D10386">
        <w:trPr>
          <w:trHeight w:hRule="exact" w:val="278"/>
        </w:trPr>
        <w:tc>
          <w:tcPr>
            <w:tcW w:w="1092" w:type="dxa"/>
            <w:noWrap/>
            <w:vAlign w:val="bottom"/>
            <w:hideMark/>
          </w:tcPr>
          <w:p w14:paraId="1F45C8BB"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ACGSF</w:t>
            </w:r>
          </w:p>
        </w:tc>
        <w:tc>
          <w:tcPr>
            <w:tcW w:w="1287" w:type="dxa"/>
            <w:noWrap/>
            <w:vAlign w:val="bottom"/>
            <w:hideMark/>
          </w:tcPr>
          <w:p w14:paraId="5332689A"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-3.517016</w:t>
            </w:r>
          </w:p>
        </w:tc>
        <w:tc>
          <w:tcPr>
            <w:tcW w:w="1784" w:type="dxa"/>
            <w:noWrap/>
            <w:vAlign w:val="bottom"/>
            <w:hideMark/>
          </w:tcPr>
          <w:p w14:paraId="4FE3BE6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-3.218382***</w:t>
            </w:r>
          </w:p>
        </w:tc>
        <w:tc>
          <w:tcPr>
            <w:tcW w:w="1338" w:type="dxa"/>
            <w:noWrap/>
            <w:vAlign w:val="bottom"/>
            <w:hideMark/>
          </w:tcPr>
          <w:p w14:paraId="6F0C42D1"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w:t>
            </w:r>
          </w:p>
        </w:tc>
        <w:tc>
          <w:tcPr>
            <w:tcW w:w="2082" w:type="dxa"/>
            <w:noWrap/>
            <w:vAlign w:val="bottom"/>
            <w:hideMark/>
          </w:tcPr>
          <w:p w14:paraId="446C3E1E"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w:t>
            </w:r>
          </w:p>
        </w:tc>
        <w:tc>
          <w:tcPr>
            <w:tcW w:w="1937" w:type="dxa"/>
            <w:noWrap/>
            <w:vAlign w:val="bottom"/>
            <w:hideMark/>
          </w:tcPr>
          <w:p w14:paraId="0797D7D9"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l</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0)</w:t>
            </w:r>
          </w:p>
        </w:tc>
      </w:tr>
    </w:tbl>
    <w:p w14:paraId="2A38EA54" w14:textId="77777777" w:rsidR="003C6A26" w:rsidRPr="00E2635E" w:rsidRDefault="003C6A26" w:rsidP="003C6A26">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E2635E">
        <w:rPr>
          <w:rFonts w:ascii="Times New Roman" w:eastAsia="Times New Roman" w:hAnsi="Times New Roman" w:cs="Times New Roman"/>
          <w:i/>
          <w:color w:val="000000"/>
          <w:sz w:val="24"/>
          <w:szCs w:val="24"/>
        </w:rPr>
        <w:t xml:space="preserve">Note: **, *** significant at 5% and 10% </w:t>
      </w:r>
    </w:p>
    <w:p w14:paraId="64826AA3"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b/>
          <w:bCs/>
          <w:i/>
          <w:iCs/>
          <w:sz w:val="24"/>
          <w:szCs w:val="24"/>
        </w:rPr>
        <w:t>Source: Researcher’s Computation Using EViews-12 (2025)</w:t>
      </w:r>
    </w:p>
    <w:p w14:paraId="7A41CC0C" w14:textId="77777777" w:rsidR="00E2635E" w:rsidRDefault="00E2635E" w:rsidP="003C6A26">
      <w:pPr>
        <w:spacing w:after="0"/>
        <w:jc w:val="both"/>
        <w:rPr>
          <w:rFonts w:ascii="Times New Roman" w:hAnsi="Times New Roman" w:cs="Times New Roman"/>
          <w:sz w:val="24"/>
          <w:szCs w:val="24"/>
        </w:rPr>
      </w:pPr>
    </w:p>
    <w:p w14:paraId="493DEA9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The results revealed that crop production (CP) was non-stationary at level, as its ADF test statistic (6.333757) exceeded the critical value of -4.226815 in absolute terms. However, after first differencing, CP became stationary at the 5% significance level, with an ADF statistic of -3.561175, which is greater than the critical value of -3.544284 in absolute terms. </w:t>
      </w:r>
    </w:p>
    <w:p w14:paraId="675D4AA4"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Similarly, rural bank deposits (RBD) were found to be non-stationary at level, with an ADF test statistic of 3.070812, which is less than the critical value (-4.226815) in absolute terms. However, after first differencing, RBD became stationary at the 5% significance level, with an ADF test statistic of -3.720115, which is greater than the critical value of -3.540328 in absolute terms. </w:t>
      </w:r>
    </w:p>
    <w:p w14:paraId="010560B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For bank loans to agriculture (BLA), the test results indicated non-stationarity at level, with an ADF test statistic of 4.392045, which is less than the critical value of -4.309824 in absolute terms. However, at first difference, BLA became stationary at the 10% significance level, with an ADF test statistic of -3.263219, which is greater than the critical value of -3.204699 in absolute terms. </w:t>
      </w:r>
    </w:p>
    <w:p w14:paraId="465C8FA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Unlike the other variables, the Agricultural Credit Guarantee Scheme Fund (ACGSF) was found to be stationary at level,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 xml:space="preserve">0), with an ADF test statistic of -3.517016, which is greater than the critical value of -3.218382 in absolute terms at the 10% significance level.** This indicates that the ACGSF does not require differencing to achieve </w:t>
      </w:r>
      <w:proofErr w:type="spellStart"/>
      <w:r w:rsidRPr="00E2635E">
        <w:rPr>
          <w:rFonts w:ascii="Times New Roman" w:hAnsi="Times New Roman" w:cs="Times New Roman"/>
          <w:sz w:val="24"/>
          <w:szCs w:val="24"/>
        </w:rPr>
        <w:t>stationa</w:t>
      </w:r>
      <w:proofErr w:type="spellEnd"/>
      <w:r w:rsidRPr="00E2635E">
        <w:rPr>
          <w:rFonts w:ascii="Times New Roman" w:hAnsi="Times New Roman" w:cs="Times New Roman"/>
          <w:sz w:val="24"/>
          <w:szCs w:val="24"/>
        </w:rPr>
        <w:t xml:space="preserve"> </w:t>
      </w:r>
      <w:proofErr w:type="spellStart"/>
      <w:r w:rsidRPr="00E2635E">
        <w:rPr>
          <w:rFonts w:ascii="Times New Roman" w:hAnsi="Times New Roman" w:cs="Times New Roman"/>
          <w:sz w:val="24"/>
          <w:szCs w:val="24"/>
        </w:rPr>
        <w:t>rity</w:t>
      </w:r>
      <w:proofErr w:type="spellEnd"/>
      <w:r w:rsidRPr="00E2635E">
        <w:rPr>
          <w:rFonts w:ascii="Times New Roman" w:hAnsi="Times New Roman" w:cs="Times New Roman"/>
          <w:sz w:val="24"/>
          <w:szCs w:val="24"/>
        </w:rPr>
        <w:t>, meaning its statistical properties remain consistent over time. This stability suggests that the credit guarantee scheme has shown relative consistency in financial allocations compared to other financial inclusion indicators.</w:t>
      </w:r>
    </w:p>
    <w:p w14:paraId="680073A1"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b/>
          <w:bCs/>
          <w:sz w:val="24"/>
          <w:szCs w:val="24"/>
        </w:rPr>
        <w:t>Cointegration Test Result</w:t>
      </w:r>
    </w:p>
    <w:p w14:paraId="7460CAF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Cointegration analysis is crucial in time series studies to determine whether a long-run equilibrium relationship exists among variables that are individually non-stationary but become stable when combined. The Bounds test for cointegration, developed within the Autoregressive Distributed Lag (ARDL) framework, is particularly useful when variables have different orders of integration, such as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 (stationary at level) and I(1) (stationary after first differencing).</w:t>
      </w:r>
    </w:p>
    <w:p w14:paraId="40585481"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Table 3: Bound Test-Co-integration Results</w:t>
      </w:r>
    </w:p>
    <w:tbl>
      <w:tblPr>
        <w:tblW w:w="9360" w:type="dxa"/>
        <w:tblInd w:w="-5" w:type="dxa"/>
        <w:tblBorders>
          <w:top w:val="single" w:sz="4" w:space="0" w:color="auto"/>
          <w:bottom w:val="single" w:sz="4" w:space="0" w:color="auto"/>
        </w:tblBorders>
        <w:tblLook w:val="04A0" w:firstRow="1" w:lastRow="0" w:firstColumn="1" w:lastColumn="0" w:noHBand="0" w:noVBand="1"/>
      </w:tblPr>
      <w:tblGrid>
        <w:gridCol w:w="2953"/>
        <w:gridCol w:w="1116"/>
        <w:gridCol w:w="2180"/>
        <w:gridCol w:w="1131"/>
        <w:gridCol w:w="1980"/>
      </w:tblGrid>
      <w:tr w:rsidR="003C6A26" w:rsidRPr="00E2635E" w14:paraId="0AEDE0C5" w14:textId="77777777" w:rsidTr="00D10386">
        <w:trPr>
          <w:trHeight w:val="300"/>
        </w:trPr>
        <w:tc>
          <w:tcPr>
            <w:tcW w:w="4069" w:type="dxa"/>
            <w:gridSpan w:val="2"/>
            <w:tcBorders>
              <w:top w:val="single" w:sz="4" w:space="0" w:color="auto"/>
              <w:left w:val="nil"/>
              <w:bottom w:val="single" w:sz="4" w:space="0" w:color="auto"/>
            </w:tcBorders>
            <w:noWrap/>
            <w:vAlign w:val="bottom"/>
            <w:hideMark/>
          </w:tcPr>
          <w:p w14:paraId="17AEB7CD"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F-Bounds Test</w:t>
            </w:r>
          </w:p>
        </w:tc>
        <w:tc>
          <w:tcPr>
            <w:tcW w:w="5291" w:type="dxa"/>
            <w:gridSpan w:val="3"/>
            <w:tcBorders>
              <w:top w:val="single" w:sz="4" w:space="0" w:color="auto"/>
              <w:bottom w:val="single" w:sz="4" w:space="0" w:color="auto"/>
              <w:right w:val="nil"/>
            </w:tcBorders>
            <w:noWrap/>
            <w:vAlign w:val="bottom"/>
            <w:hideMark/>
          </w:tcPr>
          <w:p w14:paraId="24CDEC45"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Null Hypothesis: No levels relationship</w:t>
            </w:r>
          </w:p>
        </w:tc>
      </w:tr>
      <w:tr w:rsidR="003C6A26" w:rsidRPr="00E2635E" w14:paraId="1EF4F1C1" w14:textId="77777777" w:rsidTr="00D10386">
        <w:trPr>
          <w:trHeight w:val="300"/>
        </w:trPr>
        <w:tc>
          <w:tcPr>
            <w:tcW w:w="2953" w:type="dxa"/>
            <w:tcBorders>
              <w:top w:val="single" w:sz="4" w:space="0" w:color="auto"/>
              <w:left w:val="nil"/>
            </w:tcBorders>
            <w:noWrap/>
            <w:vAlign w:val="bottom"/>
            <w:hideMark/>
          </w:tcPr>
          <w:p w14:paraId="62D4A6E7"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Test Statistic</w:t>
            </w:r>
          </w:p>
        </w:tc>
        <w:tc>
          <w:tcPr>
            <w:tcW w:w="1116" w:type="dxa"/>
            <w:tcBorders>
              <w:top w:val="single" w:sz="4" w:space="0" w:color="auto"/>
            </w:tcBorders>
            <w:noWrap/>
            <w:vAlign w:val="bottom"/>
            <w:hideMark/>
          </w:tcPr>
          <w:p w14:paraId="1313D4BF"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Value</w:t>
            </w:r>
          </w:p>
        </w:tc>
        <w:tc>
          <w:tcPr>
            <w:tcW w:w="2180" w:type="dxa"/>
            <w:tcBorders>
              <w:top w:val="single" w:sz="4" w:space="0" w:color="auto"/>
            </w:tcBorders>
            <w:noWrap/>
            <w:vAlign w:val="bottom"/>
            <w:hideMark/>
          </w:tcPr>
          <w:p w14:paraId="7AD55B48"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Significance</w:t>
            </w:r>
          </w:p>
        </w:tc>
        <w:tc>
          <w:tcPr>
            <w:tcW w:w="1131" w:type="dxa"/>
            <w:tcBorders>
              <w:top w:val="single" w:sz="4" w:space="0" w:color="auto"/>
            </w:tcBorders>
            <w:noWrap/>
            <w:vAlign w:val="bottom"/>
            <w:hideMark/>
          </w:tcPr>
          <w:p w14:paraId="661BC653" w14:textId="77777777" w:rsidR="003C6A26" w:rsidRPr="00E2635E" w:rsidRDefault="003C6A26" w:rsidP="00D10386">
            <w:pPr>
              <w:pStyle w:val="NoSpacing"/>
              <w:rPr>
                <w:rFonts w:ascii="Times New Roman" w:hAnsi="Times New Roman" w:cs="Times New Roman"/>
                <w:sz w:val="24"/>
                <w:szCs w:val="24"/>
              </w:rPr>
            </w:pP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w:t>
            </w:r>
          </w:p>
        </w:tc>
        <w:tc>
          <w:tcPr>
            <w:tcW w:w="1980" w:type="dxa"/>
            <w:tcBorders>
              <w:top w:val="single" w:sz="4" w:space="0" w:color="auto"/>
              <w:right w:val="nil"/>
            </w:tcBorders>
            <w:noWrap/>
            <w:vAlign w:val="bottom"/>
            <w:hideMark/>
          </w:tcPr>
          <w:p w14:paraId="52945104" w14:textId="77777777" w:rsidR="003C6A26" w:rsidRPr="00E2635E" w:rsidRDefault="003C6A26" w:rsidP="00D10386">
            <w:pPr>
              <w:pStyle w:val="NoSpacing"/>
              <w:rPr>
                <w:rFonts w:ascii="Times New Roman" w:hAnsi="Times New Roman" w:cs="Times New Roman"/>
                <w:sz w:val="24"/>
                <w:szCs w:val="24"/>
              </w:rPr>
            </w:pP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1)</w:t>
            </w:r>
          </w:p>
        </w:tc>
      </w:tr>
      <w:tr w:rsidR="003C6A26" w:rsidRPr="00E2635E" w14:paraId="78D3C38E" w14:textId="77777777" w:rsidTr="00D10386">
        <w:trPr>
          <w:trHeight w:val="300"/>
        </w:trPr>
        <w:tc>
          <w:tcPr>
            <w:tcW w:w="2953" w:type="dxa"/>
            <w:tcBorders>
              <w:left w:val="nil"/>
            </w:tcBorders>
            <w:noWrap/>
            <w:vAlign w:val="bottom"/>
            <w:hideMark/>
          </w:tcPr>
          <w:p w14:paraId="35EB30C9"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F-statistic</w:t>
            </w:r>
          </w:p>
        </w:tc>
        <w:tc>
          <w:tcPr>
            <w:tcW w:w="1116" w:type="dxa"/>
            <w:noWrap/>
            <w:vAlign w:val="bottom"/>
            <w:hideMark/>
          </w:tcPr>
          <w:p w14:paraId="1ABB674A"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 4.2254</w:t>
            </w:r>
          </w:p>
        </w:tc>
        <w:tc>
          <w:tcPr>
            <w:tcW w:w="2180" w:type="dxa"/>
            <w:noWrap/>
            <w:vAlign w:val="bottom"/>
            <w:hideMark/>
          </w:tcPr>
          <w:p w14:paraId="22763450"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10%</w:t>
            </w:r>
          </w:p>
        </w:tc>
        <w:tc>
          <w:tcPr>
            <w:tcW w:w="1131" w:type="dxa"/>
            <w:noWrap/>
            <w:vAlign w:val="bottom"/>
            <w:hideMark/>
          </w:tcPr>
          <w:p w14:paraId="2BC19DE8"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2.37</w:t>
            </w:r>
          </w:p>
        </w:tc>
        <w:tc>
          <w:tcPr>
            <w:tcW w:w="1980" w:type="dxa"/>
            <w:tcBorders>
              <w:right w:val="nil"/>
            </w:tcBorders>
            <w:noWrap/>
            <w:vAlign w:val="bottom"/>
            <w:hideMark/>
          </w:tcPr>
          <w:p w14:paraId="3DD393A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3.20</w:t>
            </w:r>
          </w:p>
        </w:tc>
      </w:tr>
      <w:tr w:rsidR="003C6A26" w:rsidRPr="00E2635E" w14:paraId="1160FB84" w14:textId="77777777" w:rsidTr="00D10386">
        <w:trPr>
          <w:trHeight w:val="300"/>
        </w:trPr>
        <w:tc>
          <w:tcPr>
            <w:tcW w:w="2953" w:type="dxa"/>
            <w:tcBorders>
              <w:left w:val="nil"/>
            </w:tcBorders>
            <w:noWrap/>
            <w:vAlign w:val="bottom"/>
            <w:hideMark/>
          </w:tcPr>
          <w:p w14:paraId="6F021BA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K</w:t>
            </w:r>
          </w:p>
        </w:tc>
        <w:tc>
          <w:tcPr>
            <w:tcW w:w="1116" w:type="dxa"/>
            <w:noWrap/>
            <w:vAlign w:val="bottom"/>
            <w:hideMark/>
          </w:tcPr>
          <w:p w14:paraId="3EEB4290"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3</w:t>
            </w:r>
          </w:p>
        </w:tc>
        <w:tc>
          <w:tcPr>
            <w:tcW w:w="2180" w:type="dxa"/>
            <w:noWrap/>
            <w:vAlign w:val="bottom"/>
            <w:hideMark/>
          </w:tcPr>
          <w:p w14:paraId="62655C03"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5%</w:t>
            </w:r>
          </w:p>
        </w:tc>
        <w:tc>
          <w:tcPr>
            <w:tcW w:w="1131" w:type="dxa"/>
            <w:noWrap/>
            <w:vAlign w:val="bottom"/>
            <w:hideMark/>
          </w:tcPr>
          <w:p w14:paraId="6587C6CA"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2.79</w:t>
            </w:r>
          </w:p>
        </w:tc>
        <w:tc>
          <w:tcPr>
            <w:tcW w:w="1980" w:type="dxa"/>
            <w:tcBorders>
              <w:right w:val="nil"/>
            </w:tcBorders>
            <w:noWrap/>
            <w:vAlign w:val="bottom"/>
            <w:hideMark/>
          </w:tcPr>
          <w:p w14:paraId="24E21C36"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3.67</w:t>
            </w:r>
          </w:p>
        </w:tc>
      </w:tr>
      <w:tr w:rsidR="003C6A26" w:rsidRPr="00E2635E" w14:paraId="0454B273" w14:textId="77777777" w:rsidTr="00D10386">
        <w:trPr>
          <w:trHeight w:val="300"/>
        </w:trPr>
        <w:tc>
          <w:tcPr>
            <w:tcW w:w="2953" w:type="dxa"/>
            <w:tcBorders>
              <w:left w:val="nil"/>
              <w:bottom w:val="single" w:sz="4" w:space="0" w:color="auto"/>
            </w:tcBorders>
            <w:noWrap/>
            <w:vAlign w:val="bottom"/>
            <w:hideMark/>
          </w:tcPr>
          <w:p w14:paraId="509DBDC2"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 </w:t>
            </w:r>
          </w:p>
        </w:tc>
        <w:tc>
          <w:tcPr>
            <w:tcW w:w="1116" w:type="dxa"/>
            <w:tcBorders>
              <w:bottom w:val="single" w:sz="4" w:space="0" w:color="auto"/>
            </w:tcBorders>
            <w:noWrap/>
            <w:vAlign w:val="bottom"/>
            <w:hideMark/>
          </w:tcPr>
          <w:p w14:paraId="4E85AE4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 </w:t>
            </w:r>
          </w:p>
        </w:tc>
        <w:tc>
          <w:tcPr>
            <w:tcW w:w="2180" w:type="dxa"/>
            <w:tcBorders>
              <w:bottom w:val="single" w:sz="4" w:space="0" w:color="auto"/>
            </w:tcBorders>
            <w:noWrap/>
            <w:vAlign w:val="bottom"/>
            <w:hideMark/>
          </w:tcPr>
          <w:p w14:paraId="797B4B07"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1%</w:t>
            </w:r>
          </w:p>
        </w:tc>
        <w:tc>
          <w:tcPr>
            <w:tcW w:w="1131" w:type="dxa"/>
            <w:tcBorders>
              <w:bottom w:val="single" w:sz="4" w:space="0" w:color="auto"/>
            </w:tcBorders>
            <w:noWrap/>
            <w:vAlign w:val="bottom"/>
            <w:hideMark/>
          </w:tcPr>
          <w:p w14:paraId="09FA5411"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3.65</w:t>
            </w:r>
          </w:p>
        </w:tc>
        <w:tc>
          <w:tcPr>
            <w:tcW w:w="1980" w:type="dxa"/>
            <w:tcBorders>
              <w:bottom w:val="single" w:sz="4" w:space="0" w:color="auto"/>
              <w:right w:val="nil"/>
            </w:tcBorders>
            <w:noWrap/>
            <w:vAlign w:val="bottom"/>
            <w:hideMark/>
          </w:tcPr>
          <w:p w14:paraId="6377C1DA"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4.66</w:t>
            </w:r>
          </w:p>
        </w:tc>
      </w:tr>
    </w:tbl>
    <w:p w14:paraId="404E889F" w14:textId="77777777" w:rsidR="003C6A26" w:rsidRPr="00E2635E" w:rsidRDefault="003C6A26" w:rsidP="003C6A26">
      <w:pPr>
        <w:pStyle w:val="NoSpacing"/>
        <w:jc w:val="both"/>
        <w:rPr>
          <w:rFonts w:ascii="Times New Roman" w:hAnsi="Times New Roman" w:cs="Times New Roman"/>
          <w:b/>
          <w:bCs/>
          <w:i/>
          <w:iCs/>
          <w:sz w:val="24"/>
          <w:szCs w:val="24"/>
        </w:rPr>
      </w:pPr>
      <w:r w:rsidRPr="00E2635E">
        <w:rPr>
          <w:rFonts w:ascii="Times New Roman" w:hAnsi="Times New Roman" w:cs="Times New Roman"/>
          <w:b/>
          <w:bCs/>
          <w:i/>
          <w:iCs/>
          <w:sz w:val="24"/>
          <w:szCs w:val="24"/>
        </w:rPr>
        <w:t>Source: Researcher’s Computation Using EViews-12 (2025)</w:t>
      </w:r>
    </w:p>
    <w:p w14:paraId="1FDC00FF" w14:textId="77777777" w:rsidR="003C6A26" w:rsidRPr="00E2635E" w:rsidRDefault="003C6A26" w:rsidP="003C6A26">
      <w:pPr>
        <w:spacing w:after="0"/>
        <w:jc w:val="both"/>
        <w:rPr>
          <w:rFonts w:ascii="Times New Roman" w:hAnsi="Times New Roman" w:cs="Times New Roman"/>
          <w:sz w:val="24"/>
          <w:szCs w:val="24"/>
        </w:rPr>
      </w:pPr>
    </w:p>
    <w:p w14:paraId="561F0A2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results from the Bounds test for cointegration indicate that the calculated F-statistic (4.2254) exceeds the upper bound critical value at the 5% significance level (3.67). Since the F-statistic is greater than the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1) upper bound value (3.67) at 5%, the null hypothesis of no levels relationship is rejected, confirming the presence of a long-run relationship between crop production (CP), rural bank deposits (RBD), bank loans to agriculture (BLA), and the Agricultural Credit Guarantee Scheme Fund (ACGSF).</w:t>
      </w:r>
    </w:p>
    <w:p w14:paraId="7FD674DA"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Model Estimation and Interpretations</w:t>
      </w:r>
    </w:p>
    <w:p w14:paraId="614DCFD8"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study has confirmed the existence of a cointegrating relationship between financial inclusion and crop production in Nigeria. As a result, the analysis proceeds to estimate the error correction and long-run models. The results, presented in Table 4, provide insights into how financial inclusion indicators influence crop production both in the short term and in the long run.</w:t>
      </w:r>
    </w:p>
    <w:p w14:paraId="012B8D08" w14:textId="77777777" w:rsidR="003C6A26" w:rsidRPr="00E2635E" w:rsidRDefault="003C6A26" w:rsidP="003C6A26">
      <w:pPr>
        <w:pStyle w:val="NoSpacing"/>
        <w:rPr>
          <w:rFonts w:ascii="Times New Roman" w:hAnsi="Times New Roman" w:cs="Times New Roman"/>
          <w:b/>
          <w:bCs/>
          <w:sz w:val="24"/>
          <w:szCs w:val="24"/>
        </w:rPr>
      </w:pPr>
      <w:bookmarkStart w:id="0" w:name="_Hlk152516472"/>
      <w:r w:rsidRPr="00E2635E">
        <w:rPr>
          <w:rFonts w:ascii="Times New Roman" w:hAnsi="Times New Roman" w:cs="Times New Roman"/>
          <w:b/>
          <w:bCs/>
          <w:sz w:val="24"/>
          <w:szCs w:val="24"/>
        </w:rPr>
        <w:lastRenderedPageBreak/>
        <w:t>Table 4: ARDL-ECM Result</w:t>
      </w:r>
    </w:p>
    <w:p w14:paraId="7ECE0D2C"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 xml:space="preserve">Dependent Variable: </w:t>
      </w:r>
      <w:bookmarkEnd w:id="0"/>
      <w:r w:rsidRPr="00E2635E">
        <w:rPr>
          <w:rFonts w:ascii="Times New Roman" w:hAnsi="Times New Roman" w:cs="Times New Roman"/>
          <w:b/>
          <w:bCs/>
          <w:sz w:val="24"/>
          <w:szCs w:val="24"/>
        </w:rPr>
        <w:t>LOG(CP)</w:t>
      </w:r>
    </w:p>
    <w:tbl>
      <w:tblPr>
        <w:tblW w:w="8604" w:type="dxa"/>
        <w:tblBorders>
          <w:top w:val="single" w:sz="4" w:space="0" w:color="auto"/>
          <w:bottom w:val="single" w:sz="4" w:space="0" w:color="auto"/>
        </w:tblBorders>
        <w:tblLook w:val="04A0" w:firstRow="1" w:lastRow="0" w:firstColumn="1" w:lastColumn="0" w:noHBand="0" w:noVBand="1"/>
      </w:tblPr>
      <w:tblGrid>
        <w:gridCol w:w="2737"/>
        <w:gridCol w:w="1814"/>
        <w:gridCol w:w="1346"/>
        <w:gridCol w:w="1414"/>
        <w:gridCol w:w="1293"/>
      </w:tblGrid>
      <w:tr w:rsidR="003C6A26" w:rsidRPr="00E2635E" w14:paraId="3A1E1301" w14:textId="77777777" w:rsidTr="00D10386">
        <w:trPr>
          <w:trHeight w:val="273"/>
        </w:trPr>
        <w:tc>
          <w:tcPr>
            <w:tcW w:w="8604" w:type="dxa"/>
            <w:gridSpan w:val="5"/>
            <w:tcBorders>
              <w:top w:val="single" w:sz="4" w:space="0" w:color="auto"/>
              <w:bottom w:val="single" w:sz="4" w:space="0" w:color="auto"/>
            </w:tcBorders>
            <w:noWrap/>
            <w:vAlign w:val="bottom"/>
            <w:hideMark/>
          </w:tcPr>
          <w:p w14:paraId="41DC43B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b/>
                <w:bCs/>
                <w:color w:val="000000"/>
                <w:kern w:val="0"/>
                <w14:ligatures w14:val="none"/>
              </w:rPr>
              <w:t>ECM Estimates  </w:t>
            </w:r>
            <w:r w:rsidRPr="00E2635E">
              <w:rPr>
                <w:rFonts w:ascii="Times New Roman" w:eastAsia="Times New Roman" w:hAnsi="Times New Roman" w:cs="Times New Roman"/>
                <w:color w:val="000000"/>
                <w:kern w:val="0"/>
                <w14:ligatures w14:val="none"/>
              </w:rPr>
              <w:t> </w:t>
            </w:r>
          </w:p>
        </w:tc>
      </w:tr>
      <w:tr w:rsidR="003C6A26" w:rsidRPr="00E2635E" w14:paraId="449B6820" w14:textId="77777777" w:rsidTr="00D10386">
        <w:trPr>
          <w:trHeight w:hRule="exact" w:val="273"/>
        </w:trPr>
        <w:tc>
          <w:tcPr>
            <w:tcW w:w="2737" w:type="dxa"/>
            <w:tcBorders>
              <w:top w:val="single" w:sz="4" w:space="0" w:color="auto"/>
              <w:bottom w:val="single" w:sz="4" w:space="0" w:color="auto"/>
            </w:tcBorders>
            <w:noWrap/>
            <w:vAlign w:val="bottom"/>
            <w:hideMark/>
          </w:tcPr>
          <w:p w14:paraId="2ECBD33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Variable</w:t>
            </w:r>
          </w:p>
        </w:tc>
        <w:tc>
          <w:tcPr>
            <w:tcW w:w="1814" w:type="dxa"/>
            <w:tcBorders>
              <w:top w:val="single" w:sz="4" w:space="0" w:color="auto"/>
              <w:bottom w:val="single" w:sz="4" w:space="0" w:color="auto"/>
            </w:tcBorders>
            <w:noWrap/>
            <w:vAlign w:val="bottom"/>
            <w:hideMark/>
          </w:tcPr>
          <w:p w14:paraId="5C720A1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Coefficient</w:t>
            </w:r>
          </w:p>
        </w:tc>
        <w:tc>
          <w:tcPr>
            <w:tcW w:w="1346" w:type="dxa"/>
            <w:tcBorders>
              <w:top w:val="single" w:sz="4" w:space="0" w:color="auto"/>
              <w:bottom w:val="single" w:sz="4" w:space="0" w:color="auto"/>
            </w:tcBorders>
            <w:noWrap/>
            <w:vAlign w:val="bottom"/>
            <w:hideMark/>
          </w:tcPr>
          <w:p w14:paraId="1DFA07E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Std. Error</w:t>
            </w:r>
          </w:p>
        </w:tc>
        <w:tc>
          <w:tcPr>
            <w:tcW w:w="1414" w:type="dxa"/>
            <w:tcBorders>
              <w:top w:val="single" w:sz="4" w:space="0" w:color="auto"/>
              <w:bottom w:val="single" w:sz="4" w:space="0" w:color="auto"/>
            </w:tcBorders>
            <w:noWrap/>
            <w:vAlign w:val="bottom"/>
            <w:hideMark/>
          </w:tcPr>
          <w:p w14:paraId="1C0DB9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t-Statistic</w:t>
            </w:r>
          </w:p>
        </w:tc>
        <w:tc>
          <w:tcPr>
            <w:tcW w:w="1293" w:type="dxa"/>
            <w:tcBorders>
              <w:top w:val="single" w:sz="4" w:space="0" w:color="auto"/>
              <w:bottom w:val="single" w:sz="4" w:space="0" w:color="auto"/>
            </w:tcBorders>
            <w:noWrap/>
            <w:vAlign w:val="bottom"/>
            <w:hideMark/>
          </w:tcPr>
          <w:p w14:paraId="55915CA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Prob.   </w:t>
            </w:r>
          </w:p>
        </w:tc>
      </w:tr>
      <w:tr w:rsidR="003C6A26" w:rsidRPr="00E2635E" w14:paraId="45BA4A28" w14:textId="77777777" w:rsidTr="00D10386">
        <w:trPr>
          <w:trHeight w:val="273"/>
        </w:trPr>
        <w:tc>
          <w:tcPr>
            <w:tcW w:w="2737" w:type="dxa"/>
            <w:tcBorders>
              <w:top w:val="single" w:sz="4" w:space="0" w:color="auto"/>
            </w:tcBorders>
            <w:noWrap/>
            <w:vAlign w:val="bottom"/>
            <w:hideMark/>
          </w:tcPr>
          <w:p w14:paraId="18F6731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CP(</w:t>
            </w:r>
            <w:proofErr w:type="gramEnd"/>
            <w:r w:rsidRPr="00E2635E">
              <w:rPr>
                <w:rFonts w:ascii="Times New Roman" w:eastAsia="Times New Roman" w:hAnsi="Times New Roman" w:cs="Times New Roman"/>
                <w:color w:val="000000"/>
                <w:kern w:val="0"/>
                <w14:ligatures w14:val="none"/>
              </w:rPr>
              <w:t>-1))</w:t>
            </w:r>
          </w:p>
        </w:tc>
        <w:tc>
          <w:tcPr>
            <w:tcW w:w="1814" w:type="dxa"/>
            <w:tcBorders>
              <w:top w:val="single" w:sz="4" w:space="0" w:color="auto"/>
            </w:tcBorders>
            <w:noWrap/>
            <w:vAlign w:val="bottom"/>
            <w:hideMark/>
          </w:tcPr>
          <w:p w14:paraId="41A9D63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0.3148</w:t>
            </w:r>
          </w:p>
        </w:tc>
        <w:tc>
          <w:tcPr>
            <w:tcW w:w="1346" w:type="dxa"/>
            <w:tcBorders>
              <w:top w:val="single" w:sz="4" w:space="0" w:color="auto"/>
            </w:tcBorders>
            <w:noWrap/>
            <w:vAlign w:val="bottom"/>
            <w:hideMark/>
          </w:tcPr>
          <w:p w14:paraId="2B8B60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0.1144</w:t>
            </w:r>
          </w:p>
        </w:tc>
        <w:tc>
          <w:tcPr>
            <w:tcW w:w="1414" w:type="dxa"/>
            <w:tcBorders>
              <w:top w:val="single" w:sz="4" w:space="0" w:color="auto"/>
            </w:tcBorders>
            <w:noWrap/>
            <w:vAlign w:val="bottom"/>
            <w:hideMark/>
          </w:tcPr>
          <w:p w14:paraId="1CF2D62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2.7522</w:t>
            </w:r>
          </w:p>
        </w:tc>
        <w:tc>
          <w:tcPr>
            <w:tcW w:w="1293" w:type="dxa"/>
            <w:tcBorders>
              <w:top w:val="single" w:sz="4" w:space="0" w:color="auto"/>
            </w:tcBorders>
            <w:noWrap/>
            <w:vAlign w:val="bottom"/>
            <w:hideMark/>
          </w:tcPr>
          <w:p w14:paraId="2B0DA68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0.0116</w:t>
            </w:r>
          </w:p>
        </w:tc>
      </w:tr>
      <w:tr w:rsidR="003C6A26" w:rsidRPr="00E2635E" w14:paraId="3A089D59" w14:textId="77777777" w:rsidTr="00D10386">
        <w:trPr>
          <w:trHeight w:val="273"/>
        </w:trPr>
        <w:tc>
          <w:tcPr>
            <w:tcW w:w="2737" w:type="dxa"/>
            <w:noWrap/>
            <w:vAlign w:val="bottom"/>
            <w:hideMark/>
          </w:tcPr>
          <w:p w14:paraId="16BBB47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DLOG(RBD)</w:t>
            </w:r>
          </w:p>
        </w:tc>
        <w:tc>
          <w:tcPr>
            <w:tcW w:w="1814" w:type="dxa"/>
            <w:noWrap/>
            <w:vAlign w:val="bottom"/>
            <w:hideMark/>
          </w:tcPr>
          <w:p w14:paraId="3A068A6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-0.0153</w:t>
            </w:r>
          </w:p>
        </w:tc>
        <w:tc>
          <w:tcPr>
            <w:tcW w:w="1346" w:type="dxa"/>
            <w:noWrap/>
            <w:vAlign w:val="bottom"/>
            <w:hideMark/>
          </w:tcPr>
          <w:p w14:paraId="27F8571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0.0152</w:t>
            </w:r>
          </w:p>
        </w:tc>
        <w:tc>
          <w:tcPr>
            <w:tcW w:w="1414" w:type="dxa"/>
            <w:noWrap/>
            <w:vAlign w:val="bottom"/>
            <w:hideMark/>
          </w:tcPr>
          <w:p w14:paraId="7D32576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-1.0062</w:t>
            </w:r>
          </w:p>
        </w:tc>
        <w:tc>
          <w:tcPr>
            <w:tcW w:w="1293" w:type="dxa"/>
            <w:noWrap/>
            <w:vAlign w:val="bottom"/>
            <w:hideMark/>
          </w:tcPr>
          <w:p w14:paraId="0F5139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0.3253</w:t>
            </w:r>
          </w:p>
        </w:tc>
      </w:tr>
      <w:tr w:rsidR="003C6A26" w:rsidRPr="00E2635E" w14:paraId="46C65838" w14:textId="77777777" w:rsidTr="00D10386">
        <w:trPr>
          <w:trHeight w:val="273"/>
        </w:trPr>
        <w:tc>
          <w:tcPr>
            <w:tcW w:w="2737" w:type="dxa"/>
            <w:noWrap/>
            <w:vAlign w:val="bottom"/>
            <w:hideMark/>
          </w:tcPr>
          <w:p w14:paraId="77891F5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DLOG(BLA)</w:t>
            </w:r>
          </w:p>
        </w:tc>
        <w:tc>
          <w:tcPr>
            <w:tcW w:w="1814" w:type="dxa"/>
            <w:noWrap/>
            <w:vAlign w:val="bottom"/>
            <w:hideMark/>
          </w:tcPr>
          <w:p w14:paraId="62836B4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-0.0003</w:t>
            </w:r>
          </w:p>
        </w:tc>
        <w:tc>
          <w:tcPr>
            <w:tcW w:w="1346" w:type="dxa"/>
            <w:noWrap/>
            <w:vAlign w:val="bottom"/>
            <w:hideMark/>
          </w:tcPr>
          <w:p w14:paraId="66B7383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0.0820</w:t>
            </w:r>
          </w:p>
        </w:tc>
        <w:tc>
          <w:tcPr>
            <w:tcW w:w="1414" w:type="dxa"/>
            <w:noWrap/>
            <w:vAlign w:val="bottom"/>
            <w:hideMark/>
          </w:tcPr>
          <w:p w14:paraId="1DF483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-0.0041</w:t>
            </w:r>
          </w:p>
        </w:tc>
        <w:tc>
          <w:tcPr>
            <w:tcW w:w="1293" w:type="dxa"/>
            <w:noWrap/>
            <w:vAlign w:val="bottom"/>
            <w:hideMark/>
          </w:tcPr>
          <w:p w14:paraId="4860DB3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0.9967</w:t>
            </w:r>
          </w:p>
        </w:tc>
      </w:tr>
      <w:tr w:rsidR="003C6A26" w:rsidRPr="00E2635E" w14:paraId="27D690BB" w14:textId="77777777" w:rsidTr="00D10386">
        <w:trPr>
          <w:trHeight w:val="273"/>
        </w:trPr>
        <w:tc>
          <w:tcPr>
            <w:tcW w:w="2737" w:type="dxa"/>
            <w:noWrap/>
            <w:vAlign w:val="bottom"/>
            <w:hideMark/>
          </w:tcPr>
          <w:p w14:paraId="42333FA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DLOG(ACGSF)</w:t>
            </w:r>
          </w:p>
        </w:tc>
        <w:tc>
          <w:tcPr>
            <w:tcW w:w="1814" w:type="dxa"/>
            <w:noWrap/>
            <w:vAlign w:val="bottom"/>
            <w:hideMark/>
          </w:tcPr>
          <w:p w14:paraId="431CAA7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0.1884</w:t>
            </w:r>
          </w:p>
        </w:tc>
        <w:tc>
          <w:tcPr>
            <w:tcW w:w="1346" w:type="dxa"/>
            <w:noWrap/>
            <w:vAlign w:val="bottom"/>
            <w:hideMark/>
          </w:tcPr>
          <w:p w14:paraId="3DC3E90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0.0733</w:t>
            </w:r>
          </w:p>
        </w:tc>
        <w:tc>
          <w:tcPr>
            <w:tcW w:w="1414" w:type="dxa"/>
            <w:noWrap/>
            <w:vAlign w:val="bottom"/>
            <w:hideMark/>
          </w:tcPr>
          <w:p w14:paraId="1FCE7C1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2.5686</w:t>
            </w:r>
          </w:p>
        </w:tc>
        <w:tc>
          <w:tcPr>
            <w:tcW w:w="1293" w:type="dxa"/>
            <w:noWrap/>
            <w:vAlign w:val="bottom"/>
            <w:hideMark/>
          </w:tcPr>
          <w:p w14:paraId="4F7A749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0.0175</w:t>
            </w:r>
          </w:p>
        </w:tc>
      </w:tr>
      <w:tr w:rsidR="003C6A26" w:rsidRPr="00E2635E" w14:paraId="4CD85B99" w14:textId="77777777" w:rsidTr="00D10386">
        <w:trPr>
          <w:trHeight w:val="273"/>
        </w:trPr>
        <w:tc>
          <w:tcPr>
            <w:tcW w:w="2737" w:type="dxa"/>
            <w:noWrap/>
            <w:vAlign w:val="bottom"/>
            <w:hideMark/>
          </w:tcPr>
          <w:p w14:paraId="6D7B164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-1))</w:t>
            </w:r>
          </w:p>
        </w:tc>
        <w:tc>
          <w:tcPr>
            <w:tcW w:w="1814" w:type="dxa"/>
            <w:noWrap/>
            <w:vAlign w:val="bottom"/>
            <w:hideMark/>
          </w:tcPr>
          <w:p w14:paraId="26133C9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0.0835</w:t>
            </w:r>
          </w:p>
        </w:tc>
        <w:tc>
          <w:tcPr>
            <w:tcW w:w="1346" w:type="dxa"/>
            <w:noWrap/>
            <w:vAlign w:val="bottom"/>
            <w:hideMark/>
          </w:tcPr>
          <w:p w14:paraId="4B079AA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0.0758</w:t>
            </w:r>
          </w:p>
        </w:tc>
        <w:tc>
          <w:tcPr>
            <w:tcW w:w="1414" w:type="dxa"/>
            <w:noWrap/>
            <w:vAlign w:val="bottom"/>
            <w:hideMark/>
          </w:tcPr>
          <w:p w14:paraId="7DC5154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1.1016</w:t>
            </w:r>
          </w:p>
        </w:tc>
        <w:tc>
          <w:tcPr>
            <w:tcW w:w="1293" w:type="dxa"/>
            <w:noWrap/>
            <w:vAlign w:val="bottom"/>
            <w:hideMark/>
          </w:tcPr>
          <w:p w14:paraId="0CCDC3A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0.2825</w:t>
            </w:r>
          </w:p>
        </w:tc>
      </w:tr>
      <w:tr w:rsidR="003C6A26" w:rsidRPr="00E2635E" w14:paraId="4C0E4612" w14:textId="77777777" w:rsidTr="00D10386">
        <w:trPr>
          <w:trHeight w:val="273"/>
        </w:trPr>
        <w:tc>
          <w:tcPr>
            <w:tcW w:w="2737" w:type="dxa"/>
            <w:noWrap/>
            <w:vAlign w:val="bottom"/>
            <w:hideMark/>
          </w:tcPr>
          <w:p w14:paraId="233EECA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-2))</w:t>
            </w:r>
          </w:p>
        </w:tc>
        <w:tc>
          <w:tcPr>
            <w:tcW w:w="1814" w:type="dxa"/>
            <w:noWrap/>
            <w:vAlign w:val="bottom"/>
            <w:hideMark/>
          </w:tcPr>
          <w:p w14:paraId="400A787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0.1348</w:t>
            </w:r>
          </w:p>
        </w:tc>
        <w:tc>
          <w:tcPr>
            <w:tcW w:w="1346" w:type="dxa"/>
            <w:noWrap/>
            <w:vAlign w:val="bottom"/>
            <w:hideMark/>
          </w:tcPr>
          <w:p w14:paraId="6CBD7D3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0.0768</w:t>
            </w:r>
          </w:p>
        </w:tc>
        <w:tc>
          <w:tcPr>
            <w:tcW w:w="1414" w:type="dxa"/>
            <w:noWrap/>
            <w:vAlign w:val="bottom"/>
            <w:hideMark/>
          </w:tcPr>
          <w:p w14:paraId="3C78D7E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1.7542</w:t>
            </w:r>
          </w:p>
        </w:tc>
        <w:tc>
          <w:tcPr>
            <w:tcW w:w="1293" w:type="dxa"/>
            <w:noWrap/>
            <w:vAlign w:val="bottom"/>
            <w:hideMark/>
          </w:tcPr>
          <w:p w14:paraId="0300AD8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0.0933</w:t>
            </w:r>
          </w:p>
        </w:tc>
      </w:tr>
      <w:tr w:rsidR="003C6A26" w:rsidRPr="00E2635E" w14:paraId="6E2A9F64" w14:textId="77777777" w:rsidTr="00D10386">
        <w:trPr>
          <w:trHeight w:val="273"/>
        </w:trPr>
        <w:tc>
          <w:tcPr>
            <w:tcW w:w="2737" w:type="dxa"/>
            <w:noWrap/>
            <w:vAlign w:val="bottom"/>
            <w:hideMark/>
          </w:tcPr>
          <w:p w14:paraId="5AA3108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-3))</w:t>
            </w:r>
          </w:p>
        </w:tc>
        <w:tc>
          <w:tcPr>
            <w:tcW w:w="1814" w:type="dxa"/>
            <w:noWrap/>
            <w:vAlign w:val="bottom"/>
            <w:hideMark/>
          </w:tcPr>
          <w:p w14:paraId="3CBF1DA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0.2238</w:t>
            </w:r>
          </w:p>
        </w:tc>
        <w:tc>
          <w:tcPr>
            <w:tcW w:w="1346" w:type="dxa"/>
            <w:noWrap/>
            <w:vAlign w:val="bottom"/>
            <w:hideMark/>
          </w:tcPr>
          <w:p w14:paraId="0AE0A7F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0.0799</w:t>
            </w:r>
          </w:p>
        </w:tc>
        <w:tc>
          <w:tcPr>
            <w:tcW w:w="1414" w:type="dxa"/>
            <w:noWrap/>
            <w:vAlign w:val="bottom"/>
            <w:hideMark/>
          </w:tcPr>
          <w:p w14:paraId="67989FF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2.8019</w:t>
            </w:r>
          </w:p>
        </w:tc>
        <w:tc>
          <w:tcPr>
            <w:tcW w:w="1293" w:type="dxa"/>
            <w:noWrap/>
            <w:vAlign w:val="bottom"/>
            <w:hideMark/>
          </w:tcPr>
          <w:p w14:paraId="653CF25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0.0104</w:t>
            </w:r>
          </w:p>
        </w:tc>
      </w:tr>
      <w:tr w:rsidR="003C6A26" w:rsidRPr="00E2635E" w14:paraId="257FF91D" w14:textId="77777777" w:rsidTr="00D10386">
        <w:trPr>
          <w:trHeight w:val="273"/>
        </w:trPr>
        <w:tc>
          <w:tcPr>
            <w:tcW w:w="2737" w:type="dxa"/>
            <w:tcBorders>
              <w:bottom w:val="single" w:sz="4" w:space="0" w:color="auto"/>
            </w:tcBorders>
            <w:noWrap/>
            <w:vAlign w:val="bottom"/>
            <w:hideMark/>
          </w:tcPr>
          <w:p w14:paraId="7431B5B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proofErr w:type="spellStart"/>
            <w:proofErr w:type="gramStart"/>
            <w:r w:rsidRPr="00E2635E">
              <w:rPr>
                <w:rFonts w:ascii="Times New Roman" w:eastAsia="Times New Roman" w:hAnsi="Times New Roman" w:cs="Times New Roman"/>
                <w:color w:val="000000"/>
                <w:kern w:val="0"/>
                <w14:ligatures w14:val="none"/>
              </w:rPr>
              <w:t>CointEq</w:t>
            </w:r>
            <w:proofErr w:type="spellEnd"/>
            <w:r w:rsidRPr="00E2635E">
              <w:rPr>
                <w:rFonts w:ascii="Times New Roman" w:eastAsia="Times New Roman" w:hAnsi="Times New Roman" w:cs="Times New Roman"/>
                <w:color w:val="000000"/>
                <w:kern w:val="0"/>
                <w14:ligatures w14:val="none"/>
              </w:rPr>
              <w:t>(</w:t>
            </w:r>
            <w:proofErr w:type="gramEnd"/>
            <w:r w:rsidRPr="00E2635E">
              <w:rPr>
                <w:rFonts w:ascii="Times New Roman" w:eastAsia="Times New Roman" w:hAnsi="Times New Roman" w:cs="Times New Roman"/>
                <w:color w:val="000000"/>
                <w:kern w:val="0"/>
                <w14:ligatures w14:val="none"/>
              </w:rPr>
              <w:t>-1)*</w:t>
            </w:r>
          </w:p>
        </w:tc>
        <w:tc>
          <w:tcPr>
            <w:tcW w:w="1814" w:type="dxa"/>
            <w:tcBorders>
              <w:bottom w:val="single" w:sz="4" w:space="0" w:color="auto"/>
            </w:tcBorders>
            <w:noWrap/>
            <w:vAlign w:val="bottom"/>
            <w:hideMark/>
          </w:tcPr>
          <w:p w14:paraId="3215070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-0.2933</w:t>
            </w:r>
          </w:p>
        </w:tc>
        <w:tc>
          <w:tcPr>
            <w:tcW w:w="1346" w:type="dxa"/>
            <w:tcBorders>
              <w:bottom w:val="single" w:sz="4" w:space="0" w:color="auto"/>
            </w:tcBorders>
            <w:noWrap/>
            <w:vAlign w:val="bottom"/>
            <w:hideMark/>
          </w:tcPr>
          <w:p w14:paraId="6BBB270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0.0587</w:t>
            </w:r>
          </w:p>
        </w:tc>
        <w:tc>
          <w:tcPr>
            <w:tcW w:w="1414" w:type="dxa"/>
            <w:tcBorders>
              <w:bottom w:val="single" w:sz="4" w:space="0" w:color="auto"/>
            </w:tcBorders>
            <w:noWrap/>
            <w:vAlign w:val="bottom"/>
            <w:hideMark/>
          </w:tcPr>
          <w:p w14:paraId="05D60E9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-4.9968</w:t>
            </w:r>
          </w:p>
        </w:tc>
        <w:tc>
          <w:tcPr>
            <w:tcW w:w="1293" w:type="dxa"/>
            <w:tcBorders>
              <w:bottom w:val="single" w:sz="4" w:space="0" w:color="auto"/>
            </w:tcBorders>
            <w:noWrap/>
            <w:vAlign w:val="bottom"/>
            <w:hideMark/>
          </w:tcPr>
          <w:p w14:paraId="7FF9996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0.0001</w:t>
            </w:r>
          </w:p>
        </w:tc>
      </w:tr>
      <w:tr w:rsidR="003C6A26" w:rsidRPr="00E2635E" w14:paraId="2E1F01B1" w14:textId="77777777" w:rsidTr="00D10386">
        <w:trPr>
          <w:trHeight w:hRule="exact" w:val="273"/>
        </w:trPr>
        <w:tc>
          <w:tcPr>
            <w:tcW w:w="8604" w:type="dxa"/>
            <w:gridSpan w:val="5"/>
            <w:tcBorders>
              <w:top w:val="single" w:sz="4" w:space="0" w:color="auto"/>
              <w:bottom w:val="single" w:sz="4" w:space="0" w:color="auto"/>
            </w:tcBorders>
            <w:noWrap/>
            <w:vAlign w:val="bottom"/>
            <w:hideMark/>
          </w:tcPr>
          <w:p w14:paraId="398493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b/>
                <w:bCs/>
                <w:color w:val="000000"/>
                <w:kern w:val="0"/>
                <w14:ligatures w14:val="none"/>
              </w:rPr>
              <w:t>Long-Run Estimates </w:t>
            </w:r>
            <w:r w:rsidRPr="00E2635E">
              <w:rPr>
                <w:rFonts w:ascii="Times New Roman" w:eastAsia="Times New Roman" w:hAnsi="Times New Roman" w:cs="Times New Roman"/>
                <w:color w:val="000000"/>
                <w:kern w:val="0"/>
                <w14:ligatures w14:val="none"/>
              </w:rPr>
              <w:t> </w:t>
            </w:r>
          </w:p>
        </w:tc>
      </w:tr>
      <w:tr w:rsidR="003C6A26" w:rsidRPr="00E2635E" w14:paraId="294E3496" w14:textId="77777777" w:rsidTr="00D10386">
        <w:trPr>
          <w:trHeight w:val="273"/>
        </w:trPr>
        <w:tc>
          <w:tcPr>
            <w:tcW w:w="2737" w:type="dxa"/>
            <w:tcBorders>
              <w:top w:val="single" w:sz="4" w:space="0" w:color="auto"/>
            </w:tcBorders>
            <w:noWrap/>
            <w:vAlign w:val="bottom"/>
            <w:hideMark/>
          </w:tcPr>
          <w:p w14:paraId="7690A4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Variable</w:t>
            </w:r>
          </w:p>
        </w:tc>
        <w:tc>
          <w:tcPr>
            <w:tcW w:w="1814" w:type="dxa"/>
            <w:tcBorders>
              <w:top w:val="single" w:sz="4" w:space="0" w:color="auto"/>
            </w:tcBorders>
            <w:noWrap/>
            <w:vAlign w:val="bottom"/>
            <w:hideMark/>
          </w:tcPr>
          <w:p w14:paraId="25F4CAF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Coefficient</w:t>
            </w:r>
          </w:p>
        </w:tc>
        <w:tc>
          <w:tcPr>
            <w:tcW w:w="1346" w:type="dxa"/>
            <w:tcBorders>
              <w:top w:val="single" w:sz="4" w:space="0" w:color="auto"/>
            </w:tcBorders>
            <w:noWrap/>
            <w:vAlign w:val="bottom"/>
            <w:hideMark/>
          </w:tcPr>
          <w:p w14:paraId="3B1A7AA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Std. Error</w:t>
            </w:r>
          </w:p>
        </w:tc>
        <w:tc>
          <w:tcPr>
            <w:tcW w:w="1414" w:type="dxa"/>
            <w:tcBorders>
              <w:top w:val="single" w:sz="4" w:space="0" w:color="auto"/>
            </w:tcBorders>
            <w:noWrap/>
            <w:vAlign w:val="bottom"/>
            <w:hideMark/>
          </w:tcPr>
          <w:p w14:paraId="01E0699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t-Statistic</w:t>
            </w:r>
          </w:p>
        </w:tc>
        <w:tc>
          <w:tcPr>
            <w:tcW w:w="1293" w:type="dxa"/>
            <w:tcBorders>
              <w:top w:val="single" w:sz="4" w:space="0" w:color="auto"/>
            </w:tcBorders>
            <w:noWrap/>
            <w:vAlign w:val="bottom"/>
            <w:hideMark/>
          </w:tcPr>
          <w:p w14:paraId="193F37D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Prob.   </w:t>
            </w:r>
          </w:p>
        </w:tc>
      </w:tr>
      <w:tr w:rsidR="003C6A26" w:rsidRPr="00E2635E" w14:paraId="593439DD" w14:textId="77777777" w:rsidTr="00D10386">
        <w:trPr>
          <w:trHeight w:val="273"/>
        </w:trPr>
        <w:tc>
          <w:tcPr>
            <w:tcW w:w="2737" w:type="dxa"/>
            <w:noWrap/>
            <w:vAlign w:val="bottom"/>
            <w:hideMark/>
          </w:tcPr>
          <w:p w14:paraId="3844242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LOG(RBD)</w:t>
            </w:r>
          </w:p>
        </w:tc>
        <w:tc>
          <w:tcPr>
            <w:tcW w:w="1814" w:type="dxa"/>
            <w:noWrap/>
            <w:vAlign w:val="bottom"/>
            <w:hideMark/>
          </w:tcPr>
          <w:p w14:paraId="292CA95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0.0500</w:t>
            </w:r>
          </w:p>
        </w:tc>
        <w:tc>
          <w:tcPr>
            <w:tcW w:w="1346" w:type="dxa"/>
            <w:noWrap/>
            <w:vAlign w:val="bottom"/>
            <w:hideMark/>
          </w:tcPr>
          <w:p w14:paraId="3169440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0.0430</w:t>
            </w:r>
          </w:p>
        </w:tc>
        <w:tc>
          <w:tcPr>
            <w:tcW w:w="1414" w:type="dxa"/>
            <w:noWrap/>
            <w:vAlign w:val="bottom"/>
            <w:hideMark/>
          </w:tcPr>
          <w:p w14:paraId="2E6376B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1.1621</w:t>
            </w:r>
          </w:p>
        </w:tc>
        <w:tc>
          <w:tcPr>
            <w:tcW w:w="1293" w:type="dxa"/>
            <w:noWrap/>
            <w:vAlign w:val="bottom"/>
            <w:hideMark/>
          </w:tcPr>
          <w:p w14:paraId="38CE30D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0.2576</w:t>
            </w:r>
          </w:p>
        </w:tc>
      </w:tr>
      <w:tr w:rsidR="003C6A26" w:rsidRPr="00E2635E" w14:paraId="3ED51813" w14:textId="77777777" w:rsidTr="00D10386">
        <w:trPr>
          <w:trHeight w:val="273"/>
        </w:trPr>
        <w:tc>
          <w:tcPr>
            <w:tcW w:w="2737" w:type="dxa"/>
            <w:noWrap/>
            <w:vAlign w:val="bottom"/>
            <w:hideMark/>
          </w:tcPr>
          <w:p w14:paraId="439CAEF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LOG(BLA)</w:t>
            </w:r>
          </w:p>
        </w:tc>
        <w:tc>
          <w:tcPr>
            <w:tcW w:w="1814" w:type="dxa"/>
            <w:noWrap/>
            <w:vAlign w:val="bottom"/>
            <w:hideMark/>
          </w:tcPr>
          <w:p w14:paraId="6CF2531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0.7250</w:t>
            </w:r>
          </w:p>
        </w:tc>
        <w:tc>
          <w:tcPr>
            <w:tcW w:w="1346" w:type="dxa"/>
            <w:noWrap/>
            <w:vAlign w:val="bottom"/>
            <w:hideMark/>
          </w:tcPr>
          <w:p w14:paraId="2769724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0.1941</w:t>
            </w:r>
          </w:p>
        </w:tc>
        <w:tc>
          <w:tcPr>
            <w:tcW w:w="1414" w:type="dxa"/>
            <w:noWrap/>
            <w:vAlign w:val="bottom"/>
            <w:hideMark/>
          </w:tcPr>
          <w:p w14:paraId="1351727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3.7352*</w:t>
            </w:r>
          </w:p>
        </w:tc>
        <w:tc>
          <w:tcPr>
            <w:tcW w:w="1293" w:type="dxa"/>
            <w:noWrap/>
            <w:vAlign w:val="bottom"/>
            <w:hideMark/>
          </w:tcPr>
          <w:p w14:paraId="36A04DC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0.0011</w:t>
            </w:r>
          </w:p>
        </w:tc>
      </w:tr>
      <w:tr w:rsidR="003C6A26" w:rsidRPr="00E2635E" w14:paraId="7DC43580" w14:textId="77777777" w:rsidTr="00D10386">
        <w:trPr>
          <w:trHeight w:val="273"/>
        </w:trPr>
        <w:tc>
          <w:tcPr>
            <w:tcW w:w="2737" w:type="dxa"/>
            <w:noWrap/>
            <w:vAlign w:val="bottom"/>
            <w:hideMark/>
          </w:tcPr>
          <w:p w14:paraId="100954A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LOG(ACGSF)</w:t>
            </w:r>
          </w:p>
        </w:tc>
        <w:tc>
          <w:tcPr>
            <w:tcW w:w="1814" w:type="dxa"/>
            <w:noWrap/>
            <w:vAlign w:val="bottom"/>
            <w:hideMark/>
          </w:tcPr>
          <w:p w14:paraId="5100D2D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0.3895</w:t>
            </w:r>
          </w:p>
        </w:tc>
        <w:tc>
          <w:tcPr>
            <w:tcW w:w="1346" w:type="dxa"/>
            <w:noWrap/>
            <w:vAlign w:val="bottom"/>
            <w:hideMark/>
          </w:tcPr>
          <w:p w14:paraId="27A59C4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0.1379</w:t>
            </w:r>
          </w:p>
        </w:tc>
        <w:tc>
          <w:tcPr>
            <w:tcW w:w="1414" w:type="dxa"/>
            <w:noWrap/>
            <w:vAlign w:val="bottom"/>
            <w:hideMark/>
          </w:tcPr>
          <w:p w14:paraId="176A557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2.8250*</w:t>
            </w:r>
          </w:p>
        </w:tc>
        <w:tc>
          <w:tcPr>
            <w:tcW w:w="1293" w:type="dxa"/>
            <w:noWrap/>
            <w:vAlign w:val="bottom"/>
            <w:hideMark/>
          </w:tcPr>
          <w:p w14:paraId="655EB7F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0.0016</w:t>
            </w:r>
          </w:p>
        </w:tc>
      </w:tr>
      <w:tr w:rsidR="003C6A26" w:rsidRPr="00E2635E" w14:paraId="666F10A8" w14:textId="77777777" w:rsidTr="00D10386">
        <w:trPr>
          <w:trHeight w:val="273"/>
        </w:trPr>
        <w:tc>
          <w:tcPr>
            <w:tcW w:w="2737" w:type="dxa"/>
            <w:tcBorders>
              <w:bottom w:val="single" w:sz="4" w:space="0" w:color="auto"/>
            </w:tcBorders>
            <w:noWrap/>
            <w:vAlign w:val="bottom"/>
            <w:hideMark/>
          </w:tcPr>
          <w:p w14:paraId="6B45673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w:t>
            </w:r>
          </w:p>
        </w:tc>
        <w:tc>
          <w:tcPr>
            <w:tcW w:w="1814" w:type="dxa"/>
            <w:tcBorders>
              <w:bottom w:val="single" w:sz="4" w:space="0" w:color="auto"/>
            </w:tcBorders>
            <w:noWrap/>
            <w:vAlign w:val="bottom"/>
            <w:hideMark/>
          </w:tcPr>
          <w:p w14:paraId="60964CD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2.1288</w:t>
            </w:r>
          </w:p>
        </w:tc>
        <w:tc>
          <w:tcPr>
            <w:tcW w:w="1346" w:type="dxa"/>
            <w:tcBorders>
              <w:bottom w:val="single" w:sz="4" w:space="0" w:color="auto"/>
            </w:tcBorders>
            <w:noWrap/>
            <w:vAlign w:val="bottom"/>
            <w:hideMark/>
          </w:tcPr>
          <w:p w14:paraId="010E27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0.9404</w:t>
            </w:r>
          </w:p>
        </w:tc>
        <w:tc>
          <w:tcPr>
            <w:tcW w:w="1414" w:type="dxa"/>
            <w:tcBorders>
              <w:bottom w:val="single" w:sz="4" w:space="0" w:color="auto"/>
            </w:tcBorders>
            <w:noWrap/>
            <w:vAlign w:val="bottom"/>
            <w:hideMark/>
          </w:tcPr>
          <w:p w14:paraId="170956D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2.2636**</w:t>
            </w:r>
          </w:p>
        </w:tc>
        <w:tc>
          <w:tcPr>
            <w:tcW w:w="1293" w:type="dxa"/>
            <w:tcBorders>
              <w:bottom w:val="single" w:sz="4" w:space="0" w:color="auto"/>
            </w:tcBorders>
            <w:noWrap/>
            <w:vAlign w:val="bottom"/>
            <w:hideMark/>
          </w:tcPr>
          <w:p w14:paraId="5C55E64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0.0338</w:t>
            </w:r>
          </w:p>
        </w:tc>
      </w:tr>
      <w:tr w:rsidR="003C6A26" w:rsidRPr="00E2635E" w14:paraId="7DF6605B" w14:textId="77777777" w:rsidTr="00D10386">
        <w:trPr>
          <w:trHeight w:val="273"/>
        </w:trPr>
        <w:tc>
          <w:tcPr>
            <w:tcW w:w="8604" w:type="dxa"/>
            <w:gridSpan w:val="5"/>
            <w:tcBorders>
              <w:top w:val="single" w:sz="4" w:space="0" w:color="auto"/>
              <w:bottom w:val="single" w:sz="4" w:space="0" w:color="auto"/>
            </w:tcBorders>
            <w:noWrap/>
            <w:vAlign w:val="bottom"/>
            <w:hideMark/>
          </w:tcPr>
          <w:p w14:paraId="4DDEF8AA" w14:textId="77777777" w:rsidR="003C6A26" w:rsidRPr="00E2635E" w:rsidRDefault="003C6A26" w:rsidP="00D10386">
            <w:pPr>
              <w:spacing w:after="0" w:line="240" w:lineRule="auto"/>
              <w:rPr>
                <w:rFonts w:ascii="Times New Roman" w:eastAsia="Times New Roman" w:hAnsi="Times New Roman" w:cs="Times New Roman"/>
                <w:b/>
                <w:bCs/>
                <w:color w:val="000000"/>
                <w:kern w:val="0"/>
                <w14:ligatures w14:val="none"/>
              </w:rPr>
            </w:pPr>
            <w:r w:rsidRPr="00E2635E">
              <w:rPr>
                <w:rFonts w:ascii="Times New Roman" w:eastAsia="Times New Roman" w:hAnsi="Times New Roman" w:cs="Times New Roman"/>
                <w:b/>
                <w:bCs/>
                <w:color w:val="000000"/>
                <w:kern w:val="0"/>
                <w14:ligatures w14:val="none"/>
              </w:rPr>
              <w:t xml:space="preserve">                                         Reliability </w:t>
            </w:r>
          </w:p>
        </w:tc>
      </w:tr>
      <w:tr w:rsidR="003C6A26" w:rsidRPr="00E2635E" w14:paraId="51316421" w14:textId="77777777" w:rsidTr="00D10386">
        <w:trPr>
          <w:trHeight w:val="273"/>
        </w:trPr>
        <w:tc>
          <w:tcPr>
            <w:tcW w:w="2737" w:type="dxa"/>
            <w:tcBorders>
              <w:top w:val="single" w:sz="4" w:space="0" w:color="auto"/>
            </w:tcBorders>
            <w:noWrap/>
            <w:vAlign w:val="bottom"/>
            <w:hideMark/>
          </w:tcPr>
          <w:p w14:paraId="6FDB71A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R-squared</w:t>
            </w:r>
          </w:p>
        </w:tc>
        <w:tc>
          <w:tcPr>
            <w:tcW w:w="1814" w:type="dxa"/>
            <w:tcBorders>
              <w:top w:val="single" w:sz="4" w:space="0" w:color="auto"/>
            </w:tcBorders>
            <w:noWrap/>
            <w:vAlign w:val="bottom"/>
            <w:hideMark/>
          </w:tcPr>
          <w:p w14:paraId="50A3F16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0.573512</w:t>
            </w:r>
          </w:p>
        </w:tc>
        <w:tc>
          <w:tcPr>
            <w:tcW w:w="4053" w:type="dxa"/>
            <w:gridSpan w:val="3"/>
            <w:vMerge w:val="restart"/>
            <w:tcBorders>
              <w:top w:val="single" w:sz="4" w:space="0" w:color="auto"/>
            </w:tcBorders>
            <w:noWrap/>
            <w:vAlign w:val="bottom"/>
            <w:hideMark/>
          </w:tcPr>
          <w:p w14:paraId="3C70DF4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 </w:t>
            </w:r>
          </w:p>
        </w:tc>
      </w:tr>
      <w:tr w:rsidR="003C6A26" w:rsidRPr="00E2635E" w14:paraId="01F624E2" w14:textId="77777777" w:rsidTr="00D10386">
        <w:trPr>
          <w:trHeight w:val="273"/>
        </w:trPr>
        <w:tc>
          <w:tcPr>
            <w:tcW w:w="2737" w:type="dxa"/>
            <w:noWrap/>
            <w:vAlign w:val="bottom"/>
            <w:hideMark/>
          </w:tcPr>
          <w:p w14:paraId="6EDB239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Adjusted R-squared</w:t>
            </w:r>
          </w:p>
        </w:tc>
        <w:tc>
          <w:tcPr>
            <w:tcW w:w="1814" w:type="dxa"/>
            <w:noWrap/>
            <w:vAlign w:val="bottom"/>
            <w:hideMark/>
          </w:tcPr>
          <w:p w14:paraId="67F0933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0.458688</w:t>
            </w:r>
          </w:p>
        </w:tc>
        <w:tc>
          <w:tcPr>
            <w:tcW w:w="4053" w:type="dxa"/>
            <w:gridSpan w:val="3"/>
            <w:vMerge/>
            <w:vAlign w:val="center"/>
            <w:hideMark/>
          </w:tcPr>
          <w:p w14:paraId="134CBCDD" w14:textId="77777777" w:rsidR="003C6A26" w:rsidRPr="00E2635E" w:rsidRDefault="003C6A26" w:rsidP="00D10386">
            <w:pPr>
              <w:spacing w:after="0" w:line="240" w:lineRule="auto"/>
              <w:rPr>
                <w:rFonts w:ascii="Times New Roman" w:eastAsia="Times New Roman" w:hAnsi="Times New Roman" w:cs="Times New Roman"/>
                <w:color w:val="000000"/>
                <w:kern w:val="0"/>
                <w14:ligatures w14:val="none"/>
              </w:rPr>
            </w:pPr>
          </w:p>
        </w:tc>
      </w:tr>
      <w:tr w:rsidR="003C6A26" w:rsidRPr="00E2635E" w14:paraId="1B3E7440" w14:textId="77777777" w:rsidTr="00D10386">
        <w:trPr>
          <w:trHeight w:val="273"/>
        </w:trPr>
        <w:tc>
          <w:tcPr>
            <w:tcW w:w="2737" w:type="dxa"/>
            <w:noWrap/>
            <w:vAlign w:val="bottom"/>
            <w:hideMark/>
          </w:tcPr>
          <w:p w14:paraId="5AF1A73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Durbin-Watson stat</w:t>
            </w:r>
          </w:p>
        </w:tc>
        <w:tc>
          <w:tcPr>
            <w:tcW w:w="1814" w:type="dxa"/>
            <w:noWrap/>
            <w:vAlign w:val="bottom"/>
            <w:hideMark/>
          </w:tcPr>
          <w:p w14:paraId="03A92D9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2.10076</w:t>
            </w:r>
          </w:p>
        </w:tc>
        <w:tc>
          <w:tcPr>
            <w:tcW w:w="4053" w:type="dxa"/>
            <w:gridSpan w:val="3"/>
            <w:vMerge/>
            <w:vAlign w:val="center"/>
            <w:hideMark/>
          </w:tcPr>
          <w:p w14:paraId="0C4702AE" w14:textId="77777777" w:rsidR="003C6A26" w:rsidRPr="00E2635E" w:rsidRDefault="003C6A26" w:rsidP="00D10386">
            <w:pPr>
              <w:spacing w:after="0" w:line="240" w:lineRule="auto"/>
              <w:rPr>
                <w:rFonts w:ascii="Times New Roman" w:eastAsia="Times New Roman" w:hAnsi="Times New Roman" w:cs="Times New Roman"/>
                <w:color w:val="000000"/>
                <w:kern w:val="0"/>
                <w14:ligatures w14:val="none"/>
              </w:rPr>
            </w:pPr>
          </w:p>
        </w:tc>
      </w:tr>
    </w:tbl>
    <w:p w14:paraId="45FE8714" w14:textId="77777777" w:rsidR="003C6A26" w:rsidRPr="00E2635E" w:rsidRDefault="003C6A26" w:rsidP="003C6A26">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E2635E">
        <w:rPr>
          <w:rFonts w:ascii="Times New Roman" w:eastAsia="Times New Roman" w:hAnsi="Times New Roman" w:cs="Times New Roman"/>
          <w:i/>
          <w:color w:val="000000"/>
          <w:sz w:val="24"/>
          <w:szCs w:val="24"/>
        </w:rPr>
        <w:t xml:space="preserve">Note: *, ** significant at 1% and 5% </w:t>
      </w:r>
    </w:p>
    <w:p w14:paraId="5090DD36" w14:textId="77777777" w:rsidR="003C6A26" w:rsidRPr="00E2635E" w:rsidRDefault="003C6A26" w:rsidP="003C6A26">
      <w:pPr>
        <w:pStyle w:val="NoSpacing"/>
        <w:jc w:val="both"/>
        <w:rPr>
          <w:rFonts w:ascii="Times New Roman" w:hAnsi="Times New Roman" w:cs="Times New Roman"/>
          <w:b/>
          <w:bCs/>
          <w:i/>
          <w:iCs/>
          <w:sz w:val="24"/>
          <w:szCs w:val="24"/>
        </w:rPr>
      </w:pPr>
      <w:r w:rsidRPr="00E2635E">
        <w:rPr>
          <w:rFonts w:ascii="Times New Roman" w:hAnsi="Times New Roman" w:cs="Times New Roman"/>
          <w:b/>
          <w:bCs/>
          <w:i/>
          <w:iCs/>
          <w:sz w:val="24"/>
          <w:szCs w:val="24"/>
        </w:rPr>
        <w:t>Source: Researcher’s Computation Using EViews-12 (2025)</w:t>
      </w:r>
    </w:p>
    <w:p w14:paraId="60833D60" w14:textId="77777777" w:rsidR="003C6A26" w:rsidRPr="00E2635E" w:rsidRDefault="003C6A26" w:rsidP="003C6A26">
      <w:pPr>
        <w:spacing w:after="0"/>
        <w:jc w:val="both"/>
        <w:rPr>
          <w:rFonts w:ascii="Times New Roman" w:hAnsi="Times New Roman" w:cs="Times New Roman"/>
          <w:sz w:val="24"/>
          <w:szCs w:val="24"/>
        </w:rPr>
      </w:pPr>
    </w:p>
    <w:p w14:paraId="25D6872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error correction term (</w:t>
      </w:r>
      <w:proofErr w:type="spellStart"/>
      <w:proofErr w:type="gramStart"/>
      <w:r w:rsidRPr="00E2635E">
        <w:rPr>
          <w:rFonts w:ascii="Times New Roman" w:hAnsi="Times New Roman" w:cs="Times New Roman"/>
          <w:sz w:val="24"/>
          <w:szCs w:val="24"/>
        </w:rPr>
        <w:t>CointEq</w:t>
      </w:r>
      <w:proofErr w:type="spellEnd"/>
      <w:r w:rsidRPr="00E2635E">
        <w:rPr>
          <w:rFonts w:ascii="Times New Roman" w:hAnsi="Times New Roman" w:cs="Times New Roman"/>
          <w:sz w:val="24"/>
          <w:szCs w:val="24"/>
        </w:rPr>
        <w:t>(</w:t>
      </w:r>
      <w:proofErr w:type="gramEnd"/>
      <w:r w:rsidRPr="00E2635E">
        <w:rPr>
          <w:rFonts w:ascii="Times New Roman" w:hAnsi="Times New Roman" w:cs="Times New Roman"/>
          <w:sz w:val="24"/>
          <w:szCs w:val="24"/>
        </w:rPr>
        <w:t xml:space="preserve">-1)) from the ARDL-ECM model provides insights into the speed of adjustment of crop production towards its long-run equilibrium following short-term deviations. The coefficient of </w:t>
      </w:r>
      <w:proofErr w:type="spellStart"/>
      <w:proofErr w:type="gramStart"/>
      <w:r w:rsidRPr="00E2635E">
        <w:rPr>
          <w:rFonts w:ascii="Times New Roman" w:hAnsi="Times New Roman" w:cs="Times New Roman"/>
          <w:sz w:val="24"/>
          <w:szCs w:val="24"/>
        </w:rPr>
        <w:t>CointEq</w:t>
      </w:r>
      <w:proofErr w:type="spellEnd"/>
      <w:r w:rsidRPr="00E2635E">
        <w:rPr>
          <w:rFonts w:ascii="Times New Roman" w:hAnsi="Times New Roman" w:cs="Times New Roman"/>
          <w:sz w:val="24"/>
          <w:szCs w:val="24"/>
        </w:rPr>
        <w:t>(</w:t>
      </w:r>
      <w:proofErr w:type="gramEnd"/>
      <w:r w:rsidRPr="00E2635E">
        <w:rPr>
          <w:rFonts w:ascii="Times New Roman" w:hAnsi="Times New Roman" w:cs="Times New Roman"/>
          <w:sz w:val="24"/>
          <w:szCs w:val="24"/>
        </w:rPr>
        <w:t xml:space="preserve">-1) is -0.2933, indicating that approximately 29.33% of any disequilibrium in crop production is corrected each period. The negative sign confirms that the system is adjusting towards long-run stability. The t-statistic (-4.9968) is highly statistically significant (p-value = 0.0001), reinforcing the strong adjustment mechanism. </w:t>
      </w:r>
    </w:p>
    <w:p w14:paraId="320AF57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coefficient of LOG(RBD) (rural bank deposits) is 0.049987, meaning that a 1% increase in rural bank deposits is associated with only a 0.0499% increase in crop production. However, the impact is statistically insignificant (p-value = 0.2576), as the t-statistic (1.1622) falls below the conventional significance thresholds.</w:t>
      </w:r>
    </w:p>
    <w:p w14:paraId="6977FFC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Conversely, LOG(BLA) (bank loans to agriculture) shows a strong and significant positive impact on crop production, with a coefficient of 0.725. This indicates that a 1% increase in agricultural credit leads to a 0.725% increase in crop production. The t-statistic (3.7352) is statistically significant at the 1% level (p-value = 0.0011), confirming that credit availability plays a crucial role in enhancing agricultural productivity.</w:t>
      </w:r>
    </w:p>
    <w:p w14:paraId="3B9CEA9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coefficient of LOG(ACGSF) (Agricultural Credit Guarantee Scheme Fund) is 0.3895, indicating that a 1% increase in credit guarantees leads to a 0.3895% increase in crop production. The impact is statistically significant at the 1% level (p-value = 0.0016), with a t-statistic of 2.8250. This confirms that the ACGSF plays a vital role in facilitating credit flow to the agricultural sector by reducing lending risks for financial institutions. </w:t>
      </w:r>
    </w:p>
    <w:p w14:paraId="0DE130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The R-squared value of 0.5735 indicates that approximately 57.35% of the variations in crop production (measured as its contribution to GDP) are explained by financial inclusion indicators—rural bank deposits, bank loans to agriculture, and the Agricultural Credit Guarantee Scheme Fund (ACGSF). The Adjusted R-squared (0.4587) accounts for the number of explanatory variables in the model, suggesting a moderately strong explanatory power after adjustments for degrees of freedom. The Durbin-Watson statistic (2.1008) falls within the acceptable range, indicating that the model does not suffer from serious autocorrelation issues, ensuring the reliability of the estimates.</w:t>
      </w:r>
    </w:p>
    <w:p w14:paraId="131513B3" w14:textId="4727E45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Discussion of Findings</w:t>
      </w:r>
      <w:r w:rsidR="00E10C88">
        <w:rPr>
          <w:rFonts w:ascii="Times New Roman" w:hAnsi="Times New Roman" w:cs="Times New Roman"/>
          <w:b/>
          <w:bCs/>
          <w:sz w:val="24"/>
          <w:szCs w:val="24"/>
        </w:rPr>
        <w:t xml:space="preserve"> and </w:t>
      </w:r>
      <w:r w:rsidR="00642E05">
        <w:rPr>
          <w:rFonts w:ascii="Times New Roman" w:hAnsi="Times New Roman" w:cs="Times New Roman"/>
          <w:b/>
          <w:bCs/>
          <w:sz w:val="24"/>
          <w:szCs w:val="24"/>
        </w:rPr>
        <w:t>Implications</w:t>
      </w:r>
    </w:p>
    <w:p w14:paraId="2AA16C02" w14:textId="49D33E0C"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Findings from the study revealed that rural bank deposits had a positive but insignificant impact on crop production in Nigeria. This implies that while financial savings in rural areas have increased, they have not significantly translated into improved agricultural productivity. The insignificant impact suggests that most rural savings are not effectively channelled into productive agricultural investments, possibly due to low financial literacy, poor banking infrastructure, and limited access to agricultural credit services. This aligns with the findings of </w:t>
      </w:r>
      <w:r w:rsidR="008D551C" w:rsidRPr="001B42E8">
        <w:rPr>
          <w:rFonts w:ascii="Times New Roman" w:hAnsi="Times New Roman" w:cs="Times New Roman"/>
          <w:sz w:val="24"/>
          <w:szCs w:val="24"/>
        </w:rPr>
        <w:t xml:space="preserve">Tan </w:t>
      </w:r>
      <w:r w:rsidR="008D551C" w:rsidRPr="001B42E8">
        <w:rPr>
          <w:rFonts w:ascii="Times New Roman" w:hAnsi="Times New Roman" w:cs="Times New Roman"/>
          <w:i/>
          <w:iCs/>
          <w:sz w:val="24"/>
          <w:szCs w:val="24"/>
        </w:rPr>
        <w:t>et al.</w:t>
      </w:r>
      <w:r w:rsidR="008D551C" w:rsidRPr="001B42E8">
        <w:rPr>
          <w:rFonts w:ascii="Times New Roman" w:hAnsi="Times New Roman" w:cs="Times New Roman"/>
          <w:sz w:val="24"/>
          <w:szCs w:val="24"/>
        </w:rPr>
        <w:t xml:space="preserve"> (2024) </w:t>
      </w:r>
      <w:r w:rsidRPr="00E2635E">
        <w:rPr>
          <w:rFonts w:ascii="Times New Roman" w:hAnsi="Times New Roman" w:cs="Times New Roman"/>
          <w:sz w:val="24"/>
          <w:szCs w:val="24"/>
        </w:rPr>
        <w:t xml:space="preserve">who established that rural banking penetration in Kenya had a weak impact on agricultural output due to farmers’ preference for informal financial services and the limited availability of structured credit facilities. Similarly, </w:t>
      </w:r>
      <w:r w:rsidR="000B2C18" w:rsidRPr="00E2635E">
        <w:rPr>
          <w:rFonts w:ascii="Times New Roman" w:hAnsi="Times New Roman" w:cs="Times New Roman"/>
          <w:sz w:val="24"/>
          <w:szCs w:val="24"/>
        </w:rPr>
        <w:t xml:space="preserve">Gao et al. (2022) </w:t>
      </w:r>
      <w:r w:rsidRPr="00E2635E">
        <w:rPr>
          <w:rFonts w:ascii="Times New Roman" w:hAnsi="Times New Roman" w:cs="Times New Roman"/>
          <w:sz w:val="24"/>
          <w:szCs w:val="24"/>
        </w:rPr>
        <w:t>found that while rural banking accessibility improved in parts of West Africa, its direct contribution to agricultural productivity remained minimal because farmers lacked the necessary financial education to leverage banking services effectively. However, this outcome contradicts the findings of Garcia et al. (2023), who reported that rural bank deposits in Latin America played a significant role in increasing agricultural investments by providing a stable source of funding for farmers through microfinance institutions. The disparity in findings suggests that the effectiveness of rural bank deposits in driving agricultural growth depends on the extent to which financial services are structured to support productive farm investments.</w:t>
      </w:r>
    </w:p>
    <w:p w14:paraId="0DB5B00A" w14:textId="77777777" w:rsidR="00773348" w:rsidRPr="00E2635E" w:rsidRDefault="00773348" w:rsidP="003C6A26">
      <w:pPr>
        <w:spacing w:after="0"/>
        <w:jc w:val="both"/>
        <w:rPr>
          <w:rFonts w:ascii="Times New Roman" w:hAnsi="Times New Roman" w:cs="Times New Roman"/>
          <w:sz w:val="24"/>
          <w:szCs w:val="24"/>
        </w:rPr>
      </w:pPr>
    </w:p>
    <w:p w14:paraId="0DB94220" w14:textId="51CFE5A9"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study further established that bank loans to agriculture had a positive and significant impact on crop production in Nigeria. This finding indicates that increased credit allocation to the agricultural sector has enhanced farmers' ability to invest in modern inputs, machinery, irrigation systems, and post-harvest technologies, thereby boosting crop productivity. The significant impact of agricultural credit aligns with the findings of </w:t>
      </w:r>
      <w:proofErr w:type="spellStart"/>
      <w:proofErr w:type="gramStart"/>
      <w:r w:rsidR="002D3C50" w:rsidRPr="002D3C50">
        <w:rPr>
          <w:rFonts w:ascii="Times New Roman" w:hAnsi="Times New Roman" w:cs="Times New Roman"/>
          <w:sz w:val="24"/>
          <w:szCs w:val="24"/>
        </w:rPr>
        <w:t>RhezandyBudi</w:t>
      </w:r>
      <w:proofErr w:type="spellEnd"/>
      <w:r w:rsidR="002D3C50" w:rsidRPr="002D3C50">
        <w:rPr>
          <w:rFonts w:ascii="Times New Roman" w:hAnsi="Times New Roman" w:cs="Times New Roman"/>
          <w:sz w:val="24"/>
          <w:szCs w:val="24"/>
        </w:rPr>
        <w:t xml:space="preserve"> </w:t>
      </w:r>
      <w:r w:rsidR="002D3C50">
        <w:rPr>
          <w:rFonts w:ascii="Times New Roman" w:hAnsi="Times New Roman" w:cs="Times New Roman"/>
          <w:sz w:val="24"/>
          <w:szCs w:val="24"/>
        </w:rPr>
        <w:t xml:space="preserve"> </w:t>
      </w:r>
      <w:r w:rsidR="000B2C18" w:rsidRPr="00E2635E">
        <w:rPr>
          <w:rFonts w:ascii="Times New Roman" w:hAnsi="Times New Roman" w:cs="Times New Roman"/>
          <w:sz w:val="24"/>
          <w:szCs w:val="24"/>
        </w:rPr>
        <w:t>et al.</w:t>
      </w:r>
      <w:proofErr w:type="gramEnd"/>
      <w:r w:rsidR="000B2C18" w:rsidRPr="00E2635E">
        <w:rPr>
          <w:rFonts w:ascii="Times New Roman" w:hAnsi="Times New Roman" w:cs="Times New Roman"/>
          <w:sz w:val="24"/>
          <w:szCs w:val="24"/>
        </w:rPr>
        <w:t xml:space="preserve"> </w:t>
      </w:r>
      <w:r w:rsidR="000B2C18" w:rsidRPr="000B2C18">
        <w:rPr>
          <w:rFonts w:ascii="Times New Roman" w:hAnsi="Times New Roman" w:cs="Times New Roman"/>
          <w:sz w:val="24"/>
          <w:szCs w:val="24"/>
        </w:rPr>
        <w:t>(</w:t>
      </w:r>
      <w:r w:rsidR="002D3C50">
        <w:rPr>
          <w:rFonts w:ascii="Times New Roman" w:hAnsi="Times New Roman" w:cs="Times New Roman"/>
          <w:sz w:val="24"/>
          <w:szCs w:val="24"/>
        </w:rPr>
        <w:t>2023</w:t>
      </w:r>
      <w:r w:rsidRPr="00E2635E">
        <w:rPr>
          <w:rFonts w:ascii="Times New Roman" w:hAnsi="Times New Roman" w:cs="Times New Roman"/>
          <w:sz w:val="24"/>
          <w:szCs w:val="24"/>
        </w:rPr>
        <w:t xml:space="preserve">), who discovered that formal credit accessibility in China played a crucial role in increasing agricultural output by easing liquidity constraints for farmers. Additionally, </w:t>
      </w:r>
      <w:r w:rsidR="00AB4CDC" w:rsidRPr="00E54481">
        <w:rPr>
          <w:rFonts w:ascii="Times New Roman" w:hAnsi="Times New Roman" w:cs="Times New Roman"/>
          <w:sz w:val="24"/>
          <w:szCs w:val="24"/>
        </w:rPr>
        <w:t>Peprah</w:t>
      </w:r>
      <w:r w:rsidR="00AB4CDC" w:rsidRPr="00E2635E">
        <w:rPr>
          <w:rFonts w:ascii="Times New Roman" w:hAnsi="Times New Roman" w:cs="Times New Roman"/>
          <w:sz w:val="24"/>
          <w:szCs w:val="24"/>
        </w:rPr>
        <w:t xml:space="preserve"> et al. </w:t>
      </w:r>
      <w:r w:rsidRPr="00E2635E">
        <w:rPr>
          <w:rFonts w:ascii="Times New Roman" w:hAnsi="Times New Roman" w:cs="Times New Roman"/>
          <w:sz w:val="24"/>
          <w:szCs w:val="24"/>
        </w:rPr>
        <w:t xml:space="preserve">(2022) found a strong positive relationship between bank loans and agricultural productivity in developing economies, emphasizing that access to affordable credit enables farmers to expand production capacity and adopt more efficient farming techniques. However, while the positive impact of agricultural loans is evident, challenges such as high interest rates, stringent collateral requirements, and delays in loan disbursement remain significant barriers to maximizing the benefits of agricultural credit. This limitation was highlighted in the study by </w:t>
      </w:r>
      <w:r w:rsidR="00AB4CDC" w:rsidRPr="00E2635E">
        <w:rPr>
          <w:rFonts w:ascii="Times New Roman" w:hAnsi="Times New Roman" w:cs="Times New Roman"/>
          <w:sz w:val="24"/>
          <w:szCs w:val="24"/>
        </w:rPr>
        <w:t>Azad et al. (2022</w:t>
      </w:r>
      <w:r w:rsidRPr="00E2635E">
        <w:rPr>
          <w:rFonts w:ascii="Times New Roman" w:hAnsi="Times New Roman" w:cs="Times New Roman"/>
          <w:sz w:val="24"/>
          <w:szCs w:val="24"/>
        </w:rPr>
        <w:t xml:space="preserve">), who noted that despite the availability of agricultural loans in India, many farmers still struggled to a </w:t>
      </w:r>
      <w:proofErr w:type="spellStart"/>
      <w:r w:rsidRPr="00E2635E">
        <w:rPr>
          <w:rFonts w:ascii="Times New Roman" w:hAnsi="Times New Roman" w:cs="Times New Roman"/>
          <w:sz w:val="24"/>
          <w:szCs w:val="24"/>
        </w:rPr>
        <w:t>ccess</w:t>
      </w:r>
      <w:proofErr w:type="spellEnd"/>
      <w:r w:rsidRPr="00E2635E">
        <w:rPr>
          <w:rFonts w:ascii="Times New Roman" w:hAnsi="Times New Roman" w:cs="Times New Roman"/>
          <w:sz w:val="24"/>
          <w:szCs w:val="24"/>
        </w:rPr>
        <w:t xml:space="preserve"> sufficient credit due to rigid banking policies and the dominance of large-scale agribusinesses in loan allocations.</w:t>
      </w:r>
    </w:p>
    <w:p w14:paraId="55D25480" w14:textId="77777777" w:rsidR="00773348" w:rsidRDefault="00773348" w:rsidP="003C6A26">
      <w:pPr>
        <w:spacing w:after="0"/>
        <w:jc w:val="both"/>
        <w:rPr>
          <w:rFonts w:ascii="Times New Roman" w:hAnsi="Times New Roman" w:cs="Times New Roman"/>
          <w:sz w:val="24"/>
          <w:szCs w:val="24"/>
        </w:rPr>
      </w:pPr>
    </w:p>
    <w:p w14:paraId="172A7E59" w14:textId="2A17E99D"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Additionally, the study found that the Agricultural Credit Guarantee Scheme Fund (ACGSF) had a positive and significant impact on crop production in Nigeria. This suggests that credit guarantee schemes have successfully encouraged financial institutions to extend more loans to farmers by reducing the risks associated with lending to the agricultural sector. The significance of ACGSF in promoting agricultural productivity is supported by </w:t>
      </w:r>
      <w:proofErr w:type="spellStart"/>
      <w:r w:rsidR="00D05A78" w:rsidRPr="00D05A78">
        <w:rPr>
          <w:rFonts w:ascii="Times New Roman" w:hAnsi="Times New Roman" w:cs="Times New Roman"/>
          <w:sz w:val="24"/>
          <w:szCs w:val="24"/>
        </w:rPr>
        <w:t>Kilombele</w:t>
      </w:r>
      <w:proofErr w:type="spellEnd"/>
      <w:r w:rsidR="00AB4CDC" w:rsidRPr="00E2635E">
        <w:rPr>
          <w:rFonts w:ascii="Times New Roman" w:hAnsi="Times New Roman" w:cs="Times New Roman"/>
          <w:sz w:val="24"/>
          <w:szCs w:val="24"/>
        </w:rPr>
        <w:t xml:space="preserve"> et al. (202</w:t>
      </w:r>
      <w:r w:rsidR="00D05A78">
        <w:rPr>
          <w:rFonts w:ascii="Times New Roman" w:hAnsi="Times New Roman" w:cs="Times New Roman"/>
          <w:sz w:val="24"/>
          <w:szCs w:val="24"/>
        </w:rPr>
        <w:t>3</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who found that credit guarantee schemes in Pakistan increased financial institutions’ willingness to finance smallholder farmers, thereby leading to higher crop yields and improved food security. Similarly,</w:t>
      </w:r>
      <w:r w:rsidR="00AB4CDC" w:rsidRPr="00E2635E">
        <w:rPr>
          <w:rFonts w:ascii="Times New Roman" w:eastAsiaTheme="minorEastAsia" w:hAnsi="Times New Roman" w:cs="Times New Roman"/>
          <w:sz w:val="24"/>
          <w:szCs w:val="24"/>
          <w:lang w:eastAsia="zh-CN"/>
        </w:rPr>
        <w:t xml:space="preserve"> </w:t>
      </w:r>
      <w:r w:rsidR="00970DC6" w:rsidRPr="00970DC6">
        <w:rPr>
          <w:rFonts w:ascii="Times New Roman" w:hAnsi="Times New Roman" w:cs="Times New Roman"/>
          <w:sz w:val="24"/>
          <w:szCs w:val="24"/>
        </w:rPr>
        <w:t>Pushp et al. (2023)</w:t>
      </w:r>
      <w:r w:rsidR="00970DC6">
        <w:rPr>
          <w:rFonts w:ascii="Times New Roman" w:hAnsi="Times New Roman" w:cs="Times New Roman"/>
          <w:sz w:val="24"/>
          <w:szCs w:val="24"/>
        </w:rPr>
        <w:t xml:space="preserve"> </w:t>
      </w:r>
      <w:r w:rsidRPr="00E2635E">
        <w:rPr>
          <w:rFonts w:ascii="Times New Roman" w:hAnsi="Times New Roman" w:cs="Times New Roman"/>
          <w:sz w:val="24"/>
          <w:szCs w:val="24"/>
        </w:rPr>
        <w:t>reported that</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 xml:space="preserve">countries with well-structured agricultural credit guarantee programs experienced higher levels of financial accessibility for farmers and increased investments in high-yield farming technologies. However, the effectiveness of such schemes depends on efficient implementation, transparency, and farmer awareness, as highlighted by </w:t>
      </w:r>
      <w:r w:rsidR="008D551C" w:rsidRPr="008D551C">
        <w:rPr>
          <w:rFonts w:ascii="Times New Roman" w:hAnsi="Times New Roman" w:cs="Times New Roman"/>
          <w:sz w:val="24"/>
          <w:szCs w:val="24"/>
        </w:rPr>
        <w:t>Shen</w:t>
      </w:r>
      <w:r w:rsidR="008D551C">
        <w:rPr>
          <w:rFonts w:ascii="Times New Roman" w:hAnsi="Times New Roman" w:cs="Times New Roman"/>
          <w:sz w:val="24"/>
          <w:szCs w:val="24"/>
        </w:rPr>
        <w:t xml:space="preserve"> et al. (2023</w:t>
      </w:r>
      <w:r w:rsidRPr="00E2635E">
        <w:rPr>
          <w:rFonts w:ascii="Times New Roman" w:hAnsi="Times New Roman" w:cs="Times New Roman"/>
          <w:sz w:val="24"/>
          <w:szCs w:val="24"/>
        </w:rPr>
        <w:t>), who noted that in China, bureaucratic delays and inadequate awareness limited the impact of credit guarantee funds on small-scale farming enterprises.</w:t>
      </w:r>
    </w:p>
    <w:p w14:paraId="543DE310"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V.</w:t>
      </w:r>
      <w:r w:rsidRPr="00E2635E">
        <w:rPr>
          <w:rFonts w:ascii="Times New Roman" w:hAnsi="Times New Roman" w:cs="Times New Roman"/>
          <w:b/>
          <w:bCs/>
          <w:sz w:val="24"/>
          <w:szCs w:val="24"/>
        </w:rPr>
        <w:tab/>
        <w:t>Conclusion and Recommendations</w:t>
      </w:r>
    </w:p>
    <w:p w14:paraId="653CC8A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This study examined the impact of financial inclusion on crop production in Nigeria, with a focus on rural bank deposits, bank loans to agriculture, and the Agricultural Credit Guarantee Scheme Fund (ACGSF). The findings confirmed that bank loans to agriculture and ACGSF significantly enhanced crop production, while rural bank deposits had an insignificant effect. The first major implication is that mere savings accumulation in rural bank deposits does not directly translate into increased agricultural productivity, suggesting that financial deepening must go beyond deposit mobilization. Second, agricultural credit plays a crucial role in enhancing crop production, reinforcing the need for accessible and well-structured lending mechanisms to support farmers. Third, credit guarantee schemes effectively encourage financial institutions to lend to the agricultural sector, reducing perceived risks and improving access to farm financing. Overall, the study concludes that financial inclusion is a key driver of crop production growth in Nigeria, but its effectiveness depends on how financial resources are allocated and utilized.</w:t>
      </w:r>
    </w:p>
    <w:p w14:paraId="67E9D74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following recommendations are suggested based on the findings:</w:t>
      </w:r>
    </w:p>
    <w:p w14:paraId="10F586C2"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To enhance the effectiveness of financial inclusion in improving crop production in Nigeria, targeted policy actions are required to address the gaps identified in this study. Since rural bank deposits were found to have an insignificant impact on crop production, financial institutions must ensure that savings mobilization is linked to productive agricultural investments. The Central Bank of Nigeria (CBN) should strengthen rural banking policies by incentivizing commercial banks to expand their agricultural loan portfolios using rural deposits. The Nigeria Incentive-Based Risk Sharing System for Agricultural Lending (NIRSAL) should also develop financial literacy programs to educate farmers on how to leverage formal banking services for productive agricultural investments rather than passive savings.</w:t>
      </w:r>
    </w:p>
    <w:p w14:paraId="363F7587"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Given that bank loans to agriculture significantly enhance crop production, it is essential to improve farmers' access to affordable credit. The CBN should introduce lower interest rates and flexible loan repayment terms for agricultural financing, ensuring that smallholder farmers can secure funding without excessive collateral requirements. The Bank of Agriculture (BOA) should also simplify its loan disbursement process, reducing bureaucratic bottlenecks that delay credit access. </w:t>
      </w:r>
      <w:r w:rsidRPr="00E2635E">
        <w:rPr>
          <w:rFonts w:ascii="Times New Roman" w:hAnsi="Times New Roman" w:cs="Times New Roman"/>
          <w:sz w:val="24"/>
          <w:szCs w:val="24"/>
        </w:rPr>
        <w:lastRenderedPageBreak/>
        <w:t xml:space="preserve">Additionally, commercial banks should be encouraged to allocate a higher proportion of their loan portfolios to agriculture, possibly through mandatory credit allocation policies set by financial regulators. </w:t>
      </w:r>
    </w:p>
    <w:p w14:paraId="3B8C8699" w14:textId="4D3217ED" w:rsidR="003C6A26"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Since the Agricultural Credit Guarantee Scheme Fund (ACGSF) was found to have a significant impact on crop production, the Federal Ministry of Agriculture and Rural Development (FMARD) and the CBN should expand the scheme by increasing the guarantee coverage for agricultural loans, making it easier for banks to lend to farmers without fearing defaults. The Nigerian Agricultural Insurance Corporation (NAIC) should also integrate crop insurance schemes with credit guarantees to further reduce lending risks. Furthermore, farmers’ cooperatives and agricultural unions should be actively involved in sensitizing their members about the benefits of credit guarantees and how to access them effectively.</w:t>
      </w:r>
    </w:p>
    <w:p w14:paraId="15CCBA10" w14:textId="6D6EAF9B" w:rsidR="00EA5E9A" w:rsidRDefault="00EA5E9A" w:rsidP="00EA5E9A">
      <w:pPr>
        <w:spacing w:after="0"/>
        <w:jc w:val="both"/>
        <w:rPr>
          <w:rFonts w:ascii="Times New Roman" w:hAnsi="Times New Roman" w:cs="Times New Roman"/>
          <w:sz w:val="24"/>
          <w:szCs w:val="24"/>
        </w:rPr>
      </w:pPr>
    </w:p>
    <w:p w14:paraId="59EA0C24" w14:textId="54068673" w:rsidR="00EA5E9A" w:rsidRPr="00394842" w:rsidRDefault="00EA5E9A" w:rsidP="00EA5E9A">
      <w:pPr>
        <w:rPr>
          <w:highlight w:val="yellow"/>
        </w:rPr>
      </w:pPr>
      <w:r w:rsidRPr="00394842">
        <w:rPr>
          <w:highlight w:val="yellow"/>
        </w:rPr>
        <w:t>Disclaimer (Artificial intelligence)</w:t>
      </w:r>
    </w:p>
    <w:p w14:paraId="02E0ADCE" w14:textId="77777777" w:rsidR="00EA5E9A" w:rsidRPr="00A15BF7" w:rsidRDefault="00EA5E9A" w:rsidP="00A15BF7">
      <w:pPr>
        <w:jc w:val="both"/>
        <w:rPr>
          <w:b/>
          <w:bCs/>
          <w:color w:val="EE0000"/>
          <w:highlight w:val="yellow"/>
        </w:rPr>
      </w:pPr>
      <w:r w:rsidRPr="00A15BF7">
        <w:rPr>
          <w:b/>
          <w:bCs/>
          <w:color w:val="EE000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32EAD6" w14:textId="77777777" w:rsidR="00EA5E9A" w:rsidRPr="00A15BF7" w:rsidRDefault="00EA5E9A" w:rsidP="00A15BF7">
      <w:pPr>
        <w:jc w:val="both"/>
        <w:rPr>
          <w:b/>
          <w:bCs/>
          <w:color w:val="EE0000"/>
          <w:highlight w:val="yellow"/>
        </w:rPr>
      </w:pPr>
      <w:r w:rsidRPr="00A15BF7">
        <w:rPr>
          <w:b/>
          <w:bCs/>
          <w:color w:val="EE0000"/>
          <w:highlight w:val="yellow"/>
        </w:rPr>
        <w:t>Details of the AI usage are given below:</w:t>
      </w:r>
    </w:p>
    <w:p w14:paraId="3CAD9555" w14:textId="61B56A7D" w:rsidR="00EA5E9A" w:rsidRPr="00A15BF7" w:rsidRDefault="00A15BF7" w:rsidP="00A15BF7">
      <w:pPr>
        <w:pStyle w:val="ListParagraph"/>
        <w:numPr>
          <w:ilvl w:val="0"/>
          <w:numId w:val="5"/>
        </w:numPr>
        <w:jc w:val="both"/>
        <w:rPr>
          <w:b/>
          <w:bCs/>
          <w:color w:val="EE0000"/>
          <w:highlight w:val="yellow"/>
        </w:rPr>
      </w:pPr>
      <w:r w:rsidRPr="00A15BF7">
        <w:rPr>
          <w:b/>
          <w:bCs/>
          <w:color w:val="EE0000"/>
          <w:highlight w:val="yellow"/>
        </w:rPr>
        <w:t xml:space="preserve">ChatGPT was used to improve the structure of the discussion of findings, </w:t>
      </w:r>
    </w:p>
    <w:p w14:paraId="6A46A0B6" w14:textId="77E86C21" w:rsidR="00EA5E9A" w:rsidRPr="00A15BF7" w:rsidRDefault="00A15BF7" w:rsidP="00A15BF7">
      <w:pPr>
        <w:pStyle w:val="ListParagraph"/>
        <w:numPr>
          <w:ilvl w:val="0"/>
          <w:numId w:val="5"/>
        </w:numPr>
        <w:jc w:val="both"/>
        <w:rPr>
          <w:b/>
          <w:bCs/>
          <w:color w:val="EE0000"/>
          <w:highlight w:val="yellow"/>
        </w:rPr>
      </w:pPr>
      <w:r w:rsidRPr="00A15BF7">
        <w:rPr>
          <w:b/>
          <w:bCs/>
          <w:color w:val="EE0000"/>
          <w:highlight w:val="yellow"/>
        </w:rPr>
        <w:t xml:space="preserve">ChatGPT was used improve the </w:t>
      </w:r>
      <w:proofErr w:type="spellStart"/>
      <w:r w:rsidRPr="00A15BF7">
        <w:rPr>
          <w:b/>
          <w:bCs/>
          <w:color w:val="EE0000"/>
          <w:highlight w:val="yellow"/>
        </w:rPr>
        <w:t>grammer</w:t>
      </w:r>
      <w:proofErr w:type="spellEnd"/>
      <w:r w:rsidRPr="00A15BF7">
        <w:rPr>
          <w:b/>
          <w:bCs/>
          <w:color w:val="EE0000"/>
          <w:highlight w:val="yellow"/>
        </w:rPr>
        <w:t xml:space="preserve"> checks</w:t>
      </w:r>
    </w:p>
    <w:p w14:paraId="4A53C651" w14:textId="77777777" w:rsidR="00EA5E9A" w:rsidRPr="00EA5E9A" w:rsidRDefault="00EA5E9A" w:rsidP="00EA5E9A">
      <w:pPr>
        <w:spacing w:after="0"/>
        <w:jc w:val="both"/>
        <w:rPr>
          <w:rFonts w:ascii="Times New Roman" w:hAnsi="Times New Roman" w:cs="Times New Roman"/>
          <w:sz w:val="24"/>
          <w:szCs w:val="24"/>
        </w:rPr>
      </w:pPr>
    </w:p>
    <w:p w14:paraId="19146B29" w14:textId="77777777" w:rsidR="003C6A26" w:rsidRPr="00E2635E" w:rsidRDefault="003C6A26" w:rsidP="003C6A26">
      <w:pPr>
        <w:spacing w:after="0"/>
        <w:jc w:val="both"/>
        <w:rPr>
          <w:rFonts w:ascii="Times New Roman" w:hAnsi="Times New Roman" w:cs="Times New Roman"/>
          <w:b/>
          <w:bCs/>
          <w:sz w:val="24"/>
          <w:szCs w:val="24"/>
        </w:rPr>
      </w:pPr>
    </w:p>
    <w:p w14:paraId="3F5FB3A0" w14:textId="77777777" w:rsidR="00B865D3" w:rsidRPr="00E2635E" w:rsidRDefault="00B865D3" w:rsidP="003C6A26">
      <w:pPr>
        <w:spacing w:after="0"/>
        <w:jc w:val="both"/>
        <w:rPr>
          <w:rFonts w:ascii="Times New Roman" w:hAnsi="Times New Roman" w:cs="Times New Roman"/>
          <w:b/>
          <w:bCs/>
          <w:sz w:val="24"/>
          <w:szCs w:val="24"/>
        </w:rPr>
      </w:pPr>
    </w:p>
    <w:p w14:paraId="557ACFA6" w14:textId="77777777" w:rsidR="003C6A26" w:rsidRPr="00E2635E" w:rsidRDefault="003C6A26" w:rsidP="003C6A26">
      <w:pPr>
        <w:spacing w:after="0"/>
        <w:jc w:val="center"/>
        <w:rPr>
          <w:rFonts w:ascii="Times New Roman" w:hAnsi="Times New Roman" w:cs="Times New Roman"/>
          <w:b/>
          <w:bCs/>
          <w:sz w:val="24"/>
          <w:szCs w:val="24"/>
        </w:rPr>
      </w:pPr>
      <w:r w:rsidRPr="00E2635E">
        <w:rPr>
          <w:rFonts w:ascii="Times New Roman" w:hAnsi="Times New Roman" w:cs="Times New Roman"/>
          <w:b/>
          <w:bCs/>
          <w:sz w:val="24"/>
          <w:szCs w:val="24"/>
        </w:rPr>
        <w:t>References</w:t>
      </w:r>
    </w:p>
    <w:p w14:paraId="6954E13A" w14:textId="77777777" w:rsidR="0071723A" w:rsidRPr="00E2635E" w:rsidRDefault="0071723A" w:rsidP="00B865D3">
      <w:pPr>
        <w:spacing w:after="0" w:line="276" w:lineRule="auto"/>
        <w:ind w:left="709" w:hanging="709"/>
        <w:jc w:val="both"/>
        <w:rPr>
          <w:rFonts w:ascii="Times New Roman" w:hAnsi="Times New Roman" w:cs="Times New Roman"/>
          <w:sz w:val="24"/>
          <w:szCs w:val="24"/>
        </w:rPr>
      </w:pPr>
    </w:p>
    <w:p w14:paraId="39D7AC5A"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proofErr w:type="spellStart"/>
      <w:r w:rsidRPr="002D3C50">
        <w:rPr>
          <w:rFonts w:ascii="Times New Roman" w:hAnsi="Times New Roman" w:cs="Times New Roman"/>
          <w:sz w:val="24"/>
          <w:szCs w:val="24"/>
          <w:highlight w:val="yellow"/>
        </w:rPr>
        <w:t>Adenle</w:t>
      </w:r>
      <w:proofErr w:type="spellEnd"/>
      <w:r w:rsidRPr="002D3C50">
        <w:rPr>
          <w:rFonts w:ascii="Times New Roman" w:hAnsi="Times New Roman" w:cs="Times New Roman"/>
          <w:sz w:val="24"/>
          <w:szCs w:val="24"/>
          <w:highlight w:val="yellow"/>
        </w:rPr>
        <w:t>, A. A., Wedig, K., &amp; Azadi, H. (2021). Susta</w:t>
      </w:r>
      <w:bookmarkStart w:id="1" w:name="_GoBack"/>
      <w:bookmarkEnd w:id="1"/>
      <w:r w:rsidRPr="002D3C50">
        <w:rPr>
          <w:rFonts w:ascii="Times New Roman" w:hAnsi="Times New Roman" w:cs="Times New Roman"/>
          <w:sz w:val="24"/>
          <w:szCs w:val="24"/>
          <w:highlight w:val="yellow"/>
        </w:rPr>
        <w:t xml:space="preserve">inable agriculture and food security in Africa: The role of innovative technologies and international organizations. </w:t>
      </w:r>
      <w:r w:rsidRPr="002D3C50">
        <w:rPr>
          <w:rFonts w:ascii="Times New Roman" w:hAnsi="Times New Roman" w:cs="Times New Roman"/>
          <w:i/>
          <w:iCs/>
          <w:sz w:val="24"/>
          <w:szCs w:val="24"/>
          <w:highlight w:val="yellow"/>
        </w:rPr>
        <w:t>Technology in Society, 65</w:t>
      </w:r>
      <w:r w:rsidRPr="002D3C50">
        <w:rPr>
          <w:rFonts w:ascii="Times New Roman" w:hAnsi="Times New Roman" w:cs="Times New Roman"/>
          <w:sz w:val="24"/>
          <w:szCs w:val="24"/>
          <w:highlight w:val="yellow"/>
        </w:rPr>
        <w:t>, 101416.</w:t>
      </w:r>
    </w:p>
    <w:p w14:paraId="21FBCC51" w14:textId="77777777" w:rsidR="000744EA" w:rsidRPr="002D3C50" w:rsidRDefault="000744EA" w:rsidP="00E2635E">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Azad, A. K., Choudhury, N. N., &amp; Wadood, S. N. (2022). Impact of agricultural credit on agricultural production: Evidence from Bangladesh. </w:t>
      </w:r>
      <w:r w:rsidRPr="002D3C50">
        <w:rPr>
          <w:rFonts w:ascii="Times New Roman" w:hAnsi="Times New Roman" w:cs="Times New Roman"/>
          <w:i/>
          <w:iCs/>
          <w:sz w:val="24"/>
          <w:szCs w:val="24"/>
          <w:highlight w:val="yellow"/>
        </w:rPr>
        <w:t>International Journal of Food and Agricultural Economics, 10</w:t>
      </w:r>
      <w:r w:rsidRPr="002D3C50">
        <w:rPr>
          <w:rFonts w:ascii="Times New Roman" w:hAnsi="Times New Roman" w:cs="Times New Roman"/>
          <w:sz w:val="24"/>
          <w:szCs w:val="24"/>
          <w:highlight w:val="yellow"/>
        </w:rPr>
        <w:t xml:space="preserve">(1), 23–38. </w:t>
      </w:r>
      <w:hyperlink r:id="rId86" w:tgtFrame="_new" w:history="1">
        <w:r w:rsidRPr="002D3C50">
          <w:rPr>
            <w:rStyle w:val="Hyperlink"/>
            <w:rFonts w:ascii="Times New Roman" w:hAnsi="Times New Roman" w:cs="Times New Roman"/>
            <w:color w:val="auto"/>
            <w:sz w:val="24"/>
            <w:szCs w:val="24"/>
            <w:highlight w:val="yellow"/>
          </w:rPr>
          <w:t>https://ideas.repec.org/a/ags/ijfaec/305327.html</w:t>
        </w:r>
      </w:hyperlink>
    </w:p>
    <w:p w14:paraId="5976F59B" w14:textId="77777777" w:rsidR="002D3C50" w:rsidRPr="002D3C50" w:rsidRDefault="002D3C50" w:rsidP="00B865D3">
      <w:pPr>
        <w:spacing w:after="0" w:line="276" w:lineRule="auto"/>
        <w:ind w:left="709" w:hanging="709"/>
        <w:jc w:val="both"/>
        <w:rPr>
          <w:rFonts w:ascii="Times New Roman" w:hAnsi="Times New Roman" w:cs="Times New Roman"/>
          <w:sz w:val="24"/>
          <w:szCs w:val="24"/>
          <w:highlight w:val="yellow"/>
        </w:rPr>
      </w:pPr>
      <w:proofErr w:type="spellStart"/>
      <w:r w:rsidRPr="002D3C50">
        <w:rPr>
          <w:rFonts w:ascii="Times New Roman" w:hAnsi="Times New Roman" w:cs="Times New Roman"/>
          <w:sz w:val="24"/>
          <w:szCs w:val="24"/>
          <w:highlight w:val="yellow"/>
        </w:rPr>
        <w:t>Bekoe</w:t>
      </w:r>
      <w:proofErr w:type="spellEnd"/>
      <w:r w:rsidRPr="002D3C50">
        <w:rPr>
          <w:rFonts w:ascii="Times New Roman" w:hAnsi="Times New Roman" w:cs="Times New Roman"/>
          <w:sz w:val="24"/>
          <w:szCs w:val="24"/>
          <w:highlight w:val="yellow"/>
        </w:rPr>
        <w:t xml:space="preserve">, I. K., Abor, J., &amp; </w:t>
      </w:r>
      <w:proofErr w:type="spellStart"/>
      <w:r w:rsidRPr="002D3C50">
        <w:rPr>
          <w:rFonts w:ascii="Times New Roman" w:hAnsi="Times New Roman" w:cs="Times New Roman"/>
          <w:sz w:val="24"/>
          <w:szCs w:val="24"/>
          <w:highlight w:val="yellow"/>
        </w:rPr>
        <w:t>Sekyi</w:t>
      </w:r>
      <w:proofErr w:type="spellEnd"/>
      <w:r w:rsidRPr="002D3C50">
        <w:rPr>
          <w:rFonts w:ascii="Times New Roman" w:hAnsi="Times New Roman" w:cs="Times New Roman"/>
          <w:sz w:val="24"/>
          <w:szCs w:val="24"/>
          <w:highlight w:val="yellow"/>
        </w:rPr>
        <w:t xml:space="preserve">, S. (2025). How do financial inclusion and bank stability explain agricultural productivity in Sub-Saharan </w:t>
      </w:r>
      <w:proofErr w:type="gramStart"/>
      <w:r w:rsidRPr="002D3C50">
        <w:rPr>
          <w:rFonts w:ascii="Times New Roman" w:hAnsi="Times New Roman" w:cs="Times New Roman"/>
          <w:sz w:val="24"/>
          <w:szCs w:val="24"/>
          <w:highlight w:val="yellow"/>
        </w:rPr>
        <w:t>Africa?.</w:t>
      </w:r>
      <w:proofErr w:type="gramEnd"/>
      <w:r w:rsidRPr="002D3C50">
        <w:rPr>
          <w:rFonts w:ascii="Times New Roman" w:hAnsi="Times New Roman" w:cs="Times New Roman"/>
          <w:sz w:val="24"/>
          <w:szCs w:val="24"/>
          <w:highlight w:val="yellow"/>
        </w:rPr>
        <w:t xml:space="preserve"> Journal of Economic Studies, 52(2), 225-238. </w:t>
      </w:r>
    </w:p>
    <w:p w14:paraId="6F5EAA83" w14:textId="1D1F6BCA" w:rsidR="000744EA" w:rsidRPr="002D3C50" w:rsidRDefault="000744EA" w:rsidP="00B865D3">
      <w:pPr>
        <w:spacing w:after="0" w:line="276" w:lineRule="auto"/>
        <w:ind w:left="709" w:hanging="709"/>
        <w:jc w:val="both"/>
        <w:rPr>
          <w:rFonts w:ascii="Times New Roman" w:hAnsi="Times New Roman" w:cs="Times New Roman"/>
          <w:sz w:val="24"/>
          <w:szCs w:val="24"/>
        </w:rPr>
      </w:pPr>
      <w:proofErr w:type="spellStart"/>
      <w:r w:rsidRPr="002D3C50">
        <w:rPr>
          <w:rFonts w:ascii="Times New Roman" w:hAnsi="Times New Roman" w:cs="Times New Roman"/>
          <w:sz w:val="24"/>
          <w:szCs w:val="24"/>
          <w:highlight w:val="yellow"/>
        </w:rPr>
        <w:t>Demirgüç-Kunt</w:t>
      </w:r>
      <w:proofErr w:type="spellEnd"/>
      <w:r w:rsidRPr="002D3C50">
        <w:rPr>
          <w:rFonts w:ascii="Times New Roman" w:hAnsi="Times New Roman" w:cs="Times New Roman"/>
          <w:sz w:val="24"/>
          <w:szCs w:val="24"/>
          <w:highlight w:val="yellow"/>
        </w:rPr>
        <w:t xml:space="preserve">, A., Klapper, L., Singer, D., &amp; Ansar, S. (2022). </w:t>
      </w:r>
      <w:r w:rsidRPr="002D3C50">
        <w:rPr>
          <w:rFonts w:ascii="Times New Roman" w:hAnsi="Times New Roman" w:cs="Times New Roman"/>
          <w:i/>
          <w:iCs/>
          <w:sz w:val="24"/>
          <w:szCs w:val="24"/>
          <w:highlight w:val="yellow"/>
        </w:rPr>
        <w:t>The global Findex database 2022: Financial inclusion, digital payments, and resilience in the age of COVID-19</w:t>
      </w:r>
      <w:r w:rsidRPr="002D3C50">
        <w:rPr>
          <w:rFonts w:ascii="Times New Roman" w:hAnsi="Times New Roman" w:cs="Times New Roman"/>
          <w:sz w:val="24"/>
          <w:szCs w:val="24"/>
          <w:highlight w:val="yellow"/>
        </w:rPr>
        <w:t xml:space="preserve">. World Bank. </w:t>
      </w:r>
      <w:hyperlink r:id="rId87" w:history="1">
        <w:r w:rsidRPr="002D3C50">
          <w:rPr>
            <w:rStyle w:val="Hyperlink"/>
            <w:rFonts w:ascii="Times New Roman" w:hAnsi="Times New Roman" w:cs="Times New Roman"/>
            <w:color w:val="auto"/>
            <w:sz w:val="24"/>
            <w:szCs w:val="24"/>
            <w:highlight w:val="yellow"/>
          </w:rPr>
          <w:t>https://scholar.google.com/scholar?hl=en&amp;as_sdt=0%2C5&amp;q=13.%09Global+Findex.+%282022%29.+The+global+Findex+database+2022%3A+Financial+inclusion%2C+digital+payments%2C+and+resilience+in+the+age+of+COVID-19.+World+Bank.&amp;btnG=</w:t>
        </w:r>
      </w:hyperlink>
    </w:p>
    <w:p w14:paraId="1DC05F73"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lastRenderedPageBreak/>
        <w:t xml:space="preserve">Diamond, D. W. (1984). Financial intermediation and delegated monitoring. </w:t>
      </w:r>
      <w:r w:rsidRPr="002D3C50">
        <w:rPr>
          <w:rFonts w:ascii="Times New Roman" w:hAnsi="Times New Roman" w:cs="Times New Roman"/>
          <w:i/>
          <w:iCs/>
          <w:sz w:val="24"/>
          <w:szCs w:val="24"/>
          <w:highlight w:val="yellow"/>
        </w:rPr>
        <w:t>The Review of Economic Studies, 51</w:t>
      </w:r>
      <w:r w:rsidRPr="002D3C50">
        <w:rPr>
          <w:rFonts w:ascii="Times New Roman" w:hAnsi="Times New Roman" w:cs="Times New Roman"/>
          <w:sz w:val="24"/>
          <w:szCs w:val="24"/>
          <w:highlight w:val="yellow"/>
        </w:rPr>
        <w:t>(3), 393–414.</w:t>
      </w:r>
    </w:p>
    <w:p w14:paraId="781A7BFE" w14:textId="77777777" w:rsidR="000744EA" w:rsidRPr="002D3C50" w:rsidRDefault="000744EA" w:rsidP="00B865D3">
      <w:pPr>
        <w:spacing w:after="0" w:line="276" w:lineRule="auto"/>
        <w:ind w:left="709" w:hanging="709"/>
        <w:jc w:val="both"/>
        <w:rPr>
          <w:rFonts w:ascii="Times New Roman" w:hAnsi="Times New Roman" w:cs="Times New Roman"/>
          <w:sz w:val="24"/>
          <w:szCs w:val="24"/>
          <w:highlight w:val="yellow"/>
        </w:rPr>
      </w:pPr>
      <w:proofErr w:type="spellStart"/>
      <w:r w:rsidRPr="002D3C50">
        <w:rPr>
          <w:rFonts w:ascii="Times New Roman" w:hAnsi="Times New Roman" w:cs="Times New Roman"/>
          <w:sz w:val="24"/>
          <w:szCs w:val="24"/>
          <w:highlight w:val="yellow"/>
        </w:rPr>
        <w:t>Fawowe</w:t>
      </w:r>
      <w:proofErr w:type="spellEnd"/>
      <w:r w:rsidRPr="002D3C50">
        <w:rPr>
          <w:rFonts w:ascii="Times New Roman" w:hAnsi="Times New Roman" w:cs="Times New Roman"/>
          <w:sz w:val="24"/>
          <w:szCs w:val="24"/>
          <w:highlight w:val="yellow"/>
        </w:rPr>
        <w:t xml:space="preserve">, B. (2020). The effects of financial inclusion on agricultural productivity in Nigeria. </w:t>
      </w:r>
      <w:r w:rsidRPr="002D3C50">
        <w:rPr>
          <w:rFonts w:ascii="Times New Roman" w:hAnsi="Times New Roman" w:cs="Times New Roman"/>
          <w:i/>
          <w:iCs/>
          <w:sz w:val="24"/>
          <w:szCs w:val="24"/>
          <w:highlight w:val="yellow"/>
        </w:rPr>
        <w:t>Journal of Economics and Development, 22</w:t>
      </w:r>
      <w:r w:rsidRPr="002D3C50">
        <w:rPr>
          <w:rFonts w:ascii="Times New Roman" w:hAnsi="Times New Roman" w:cs="Times New Roman"/>
          <w:sz w:val="24"/>
          <w:szCs w:val="24"/>
          <w:highlight w:val="yellow"/>
        </w:rPr>
        <w:t>(1), 61–79.</w:t>
      </w:r>
    </w:p>
    <w:p w14:paraId="2B13A879"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Food and Agriculture Organization (FAO). (2022). </w:t>
      </w:r>
      <w:r w:rsidRPr="002D3C50">
        <w:rPr>
          <w:rFonts w:ascii="Times New Roman" w:hAnsi="Times New Roman" w:cs="Times New Roman"/>
          <w:i/>
          <w:iCs/>
          <w:sz w:val="24"/>
          <w:szCs w:val="24"/>
          <w:highlight w:val="yellow"/>
        </w:rPr>
        <w:t>State of food and agriculture 2022</w:t>
      </w:r>
      <w:r w:rsidRPr="002D3C50">
        <w:rPr>
          <w:rFonts w:ascii="Times New Roman" w:hAnsi="Times New Roman" w:cs="Times New Roman"/>
          <w:sz w:val="24"/>
          <w:szCs w:val="24"/>
          <w:highlight w:val="yellow"/>
        </w:rPr>
        <w:t>. FAO.</w:t>
      </w:r>
    </w:p>
    <w:p w14:paraId="2C3304B2" w14:textId="77777777" w:rsidR="000744EA" w:rsidRPr="002D3C50" w:rsidRDefault="000744EA" w:rsidP="000744EA">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Gao, Q., Cheng, C., Sun, G., &amp; Li, J. (2022). The impact of digital inclusive finance on agricultural green total factor productivity: Evidence from China. </w:t>
      </w:r>
      <w:r w:rsidRPr="002D3C50">
        <w:rPr>
          <w:rFonts w:ascii="Times New Roman" w:hAnsi="Times New Roman" w:cs="Times New Roman"/>
          <w:i/>
          <w:iCs/>
          <w:sz w:val="24"/>
          <w:szCs w:val="24"/>
          <w:highlight w:val="yellow"/>
        </w:rPr>
        <w:t>Frontiers in Ecology and Evolution, 10</w:t>
      </w:r>
      <w:r w:rsidRPr="002D3C50">
        <w:rPr>
          <w:rFonts w:ascii="Times New Roman" w:hAnsi="Times New Roman" w:cs="Times New Roman"/>
          <w:sz w:val="24"/>
          <w:szCs w:val="24"/>
          <w:highlight w:val="yellow"/>
        </w:rPr>
        <w:t xml:space="preserve">, 905644. </w:t>
      </w:r>
      <w:hyperlink r:id="rId88" w:tgtFrame="_new" w:history="1">
        <w:r w:rsidRPr="002D3C50">
          <w:rPr>
            <w:rStyle w:val="Hyperlink"/>
            <w:rFonts w:ascii="Times New Roman" w:hAnsi="Times New Roman" w:cs="Times New Roman"/>
            <w:color w:val="auto"/>
            <w:sz w:val="24"/>
            <w:szCs w:val="24"/>
            <w:highlight w:val="yellow"/>
          </w:rPr>
          <w:t>https://doi.org/10.3389/fevo.2022.905644</w:t>
        </w:r>
      </w:hyperlink>
    </w:p>
    <w:p w14:paraId="3C47F93B"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Gurley, J. G., &amp; Shaw, E. S. (1960). </w:t>
      </w:r>
      <w:r w:rsidRPr="002D3C50">
        <w:rPr>
          <w:rFonts w:ascii="Times New Roman" w:hAnsi="Times New Roman" w:cs="Times New Roman"/>
          <w:i/>
          <w:iCs/>
          <w:sz w:val="24"/>
          <w:szCs w:val="24"/>
          <w:highlight w:val="yellow"/>
        </w:rPr>
        <w:t>Money in a theory of finance</w:t>
      </w:r>
      <w:r w:rsidRPr="002D3C50">
        <w:rPr>
          <w:rFonts w:ascii="Times New Roman" w:hAnsi="Times New Roman" w:cs="Times New Roman"/>
          <w:sz w:val="24"/>
          <w:szCs w:val="24"/>
          <w:highlight w:val="yellow"/>
        </w:rPr>
        <w:t>. Brookings Institution.</w:t>
      </w:r>
    </w:p>
    <w:p w14:paraId="30311ABC" w14:textId="5E2B393C" w:rsidR="000744EA" w:rsidRPr="002D3C50" w:rsidRDefault="000744EA" w:rsidP="00E2635E">
      <w:pPr>
        <w:spacing w:after="0" w:line="276" w:lineRule="auto"/>
        <w:ind w:left="709" w:hanging="709"/>
        <w:jc w:val="both"/>
        <w:rPr>
          <w:rStyle w:val="Hyperlink"/>
          <w:rFonts w:ascii="Times New Roman" w:hAnsi="Times New Roman" w:cs="Times New Roman"/>
          <w:color w:val="auto"/>
          <w:sz w:val="24"/>
          <w:szCs w:val="24"/>
          <w:highlight w:val="yellow"/>
        </w:rPr>
      </w:pPr>
      <w:proofErr w:type="spellStart"/>
      <w:r w:rsidRPr="002D3C50">
        <w:rPr>
          <w:rFonts w:ascii="Times New Roman" w:hAnsi="Times New Roman" w:cs="Times New Roman"/>
          <w:sz w:val="24"/>
          <w:szCs w:val="24"/>
          <w:highlight w:val="yellow"/>
        </w:rPr>
        <w:t>Kilombele</w:t>
      </w:r>
      <w:proofErr w:type="spellEnd"/>
      <w:r w:rsidRPr="002D3C50">
        <w:rPr>
          <w:rFonts w:ascii="Times New Roman" w:hAnsi="Times New Roman" w:cs="Times New Roman"/>
          <w:sz w:val="24"/>
          <w:szCs w:val="24"/>
          <w:highlight w:val="yellow"/>
        </w:rPr>
        <w:t xml:space="preserve">, H., Feleke, S., Abdoulaye, T., Cole, S., </w:t>
      </w:r>
      <w:proofErr w:type="spellStart"/>
      <w:r w:rsidRPr="002D3C50">
        <w:rPr>
          <w:rFonts w:ascii="Times New Roman" w:hAnsi="Times New Roman" w:cs="Times New Roman"/>
          <w:sz w:val="24"/>
          <w:szCs w:val="24"/>
          <w:highlight w:val="yellow"/>
        </w:rPr>
        <w:t>Sekabira</w:t>
      </w:r>
      <w:proofErr w:type="spellEnd"/>
      <w:r w:rsidRPr="002D3C50">
        <w:rPr>
          <w:rFonts w:ascii="Times New Roman" w:hAnsi="Times New Roman" w:cs="Times New Roman"/>
          <w:sz w:val="24"/>
          <w:szCs w:val="24"/>
          <w:highlight w:val="yellow"/>
        </w:rPr>
        <w:t xml:space="preserve">, H., &amp; </w:t>
      </w:r>
      <w:proofErr w:type="spellStart"/>
      <w:r w:rsidRPr="002D3C50">
        <w:rPr>
          <w:rFonts w:ascii="Times New Roman" w:hAnsi="Times New Roman" w:cs="Times New Roman"/>
          <w:sz w:val="24"/>
          <w:szCs w:val="24"/>
          <w:highlight w:val="yellow"/>
        </w:rPr>
        <w:t>Manyong</w:t>
      </w:r>
      <w:proofErr w:type="spellEnd"/>
      <w:r w:rsidRPr="002D3C50">
        <w:rPr>
          <w:rFonts w:ascii="Times New Roman" w:hAnsi="Times New Roman" w:cs="Times New Roman"/>
          <w:sz w:val="24"/>
          <w:szCs w:val="24"/>
          <w:highlight w:val="yellow"/>
        </w:rPr>
        <w:t xml:space="preserve">, V. (2023). Maize productivity and household welfare </w:t>
      </w:r>
      <w:proofErr w:type="gramStart"/>
      <w:r w:rsidRPr="002D3C50">
        <w:rPr>
          <w:rFonts w:ascii="Times New Roman" w:hAnsi="Times New Roman" w:cs="Times New Roman"/>
          <w:sz w:val="24"/>
          <w:szCs w:val="24"/>
          <w:highlight w:val="yellow"/>
        </w:rPr>
        <w:t>impacts</w:t>
      </w:r>
      <w:proofErr w:type="gramEnd"/>
      <w:r w:rsidRPr="002D3C50">
        <w:rPr>
          <w:rFonts w:ascii="Times New Roman" w:hAnsi="Times New Roman" w:cs="Times New Roman"/>
          <w:sz w:val="24"/>
          <w:szCs w:val="24"/>
          <w:highlight w:val="yellow"/>
        </w:rPr>
        <w:t xml:space="preserve"> of mobile money usage in Tanzania. </w:t>
      </w:r>
      <w:r w:rsidRPr="002D3C50">
        <w:rPr>
          <w:rFonts w:ascii="Times New Roman" w:hAnsi="Times New Roman" w:cs="Times New Roman"/>
          <w:i/>
          <w:iCs/>
          <w:sz w:val="24"/>
          <w:szCs w:val="24"/>
          <w:highlight w:val="yellow"/>
        </w:rPr>
        <w:t>AgriFinancing, 11</w:t>
      </w:r>
      <w:r w:rsidRPr="002D3C50">
        <w:rPr>
          <w:rFonts w:ascii="Times New Roman" w:hAnsi="Times New Roman" w:cs="Times New Roman"/>
          <w:sz w:val="24"/>
          <w:szCs w:val="24"/>
          <w:highlight w:val="yellow"/>
        </w:rPr>
        <w:t xml:space="preserve">(1), 27–45. </w:t>
      </w:r>
      <w:hyperlink r:id="rId89" w:tgtFrame="_new" w:history="1">
        <w:r w:rsidRPr="002D3C50">
          <w:rPr>
            <w:rStyle w:val="Hyperlink"/>
            <w:rFonts w:ascii="Times New Roman" w:hAnsi="Times New Roman" w:cs="Times New Roman"/>
            <w:color w:val="auto"/>
            <w:sz w:val="24"/>
            <w:szCs w:val="24"/>
            <w:highlight w:val="yellow"/>
          </w:rPr>
          <w:t>https://doi.org/10.3390/agriculture11010027</w:t>
        </w:r>
      </w:hyperlink>
    </w:p>
    <w:p w14:paraId="3B3F9866" w14:textId="0C65F9BF" w:rsidR="002D3C50" w:rsidRPr="002D3C50" w:rsidRDefault="002D3C50" w:rsidP="00E2635E">
      <w:pPr>
        <w:spacing w:after="0" w:line="276" w:lineRule="auto"/>
        <w:ind w:left="709" w:hanging="709"/>
        <w:jc w:val="both"/>
      </w:pPr>
      <w:proofErr w:type="spellStart"/>
      <w:r w:rsidRPr="002D3C50">
        <w:rPr>
          <w:highlight w:val="yellow"/>
        </w:rPr>
        <w:t>RhezandyBudi</w:t>
      </w:r>
      <w:proofErr w:type="spellEnd"/>
      <w:r w:rsidRPr="002D3C50">
        <w:rPr>
          <w:highlight w:val="yellow"/>
        </w:rPr>
        <w:t xml:space="preserve">, M. T., </w:t>
      </w:r>
      <w:proofErr w:type="spellStart"/>
      <w:r w:rsidRPr="002D3C50">
        <w:rPr>
          <w:highlight w:val="yellow"/>
        </w:rPr>
        <w:t>Setiawan</w:t>
      </w:r>
      <w:proofErr w:type="spellEnd"/>
      <w:r w:rsidRPr="002D3C50">
        <w:rPr>
          <w:highlight w:val="yellow"/>
        </w:rPr>
        <w:t xml:space="preserve">, B., </w:t>
      </w:r>
      <w:proofErr w:type="spellStart"/>
      <w:r w:rsidRPr="002D3C50">
        <w:rPr>
          <w:highlight w:val="yellow"/>
        </w:rPr>
        <w:t>Koestiono</w:t>
      </w:r>
      <w:proofErr w:type="spellEnd"/>
      <w:r w:rsidRPr="002D3C50">
        <w:rPr>
          <w:highlight w:val="yellow"/>
        </w:rPr>
        <w:t>, D., &amp; Asmara, R. (2023). Farmers’ Technical Efficiency and their Adoption to New Variety of Sorghum: Evidence from East Java of Indonesia. Journal of Law and Sustainable Development, 11(4), 21.</w:t>
      </w:r>
    </w:p>
    <w:p w14:paraId="0B8B94AD"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proofErr w:type="spellStart"/>
      <w:r w:rsidRPr="002D3C50">
        <w:rPr>
          <w:rFonts w:ascii="Times New Roman" w:hAnsi="Times New Roman" w:cs="Times New Roman"/>
          <w:sz w:val="24"/>
          <w:szCs w:val="24"/>
          <w:highlight w:val="yellow"/>
        </w:rPr>
        <w:t>Osabohien</w:t>
      </w:r>
      <w:proofErr w:type="spellEnd"/>
      <w:r w:rsidRPr="002D3C50">
        <w:rPr>
          <w:rFonts w:ascii="Times New Roman" w:hAnsi="Times New Roman" w:cs="Times New Roman"/>
          <w:sz w:val="24"/>
          <w:szCs w:val="24"/>
          <w:highlight w:val="yellow"/>
        </w:rPr>
        <w:t xml:space="preserve">, R., Osuagwu, E., Osabuohien, E., Ekhator-Mobayode, U. E., Matthew, O., &amp; Gershon, O. (2020). Household access to agricultural credit and agricultural production in Nigeria: A propensity score matching model. </w:t>
      </w:r>
      <w:r w:rsidRPr="002D3C50">
        <w:rPr>
          <w:rFonts w:ascii="Times New Roman" w:hAnsi="Times New Roman" w:cs="Times New Roman"/>
          <w:i/>
          <w:iCs/>
          <w:sz w:val="24"/>
          <w:szCs w:val="24"/>
          <w:highlight w:val="yellow"/>
        </w:rPr>
        <w:t>South African Journal of Economic and Management Sciences, 25</w:t>
      </w:r>
      <w:r w:rsidRPr="002D3C50">
        <w:rPr>
          <w:rFonts w:ascii="Times New Roman" w:hAnsi="Times New Roman" w:cs="Times New Roman"/>
          <w:sz w:val="24"/>
          <w:szCs w:val="24"/>
          <w:highlight w:val="yellow"/>
        </w:rPr>
        <w:t>(1), 1–11.</w:t>
      </w:r>
    </w:p>
    <w:p w14:paraId="04D36BBF" w14:textId="77777777" w:rsidR="000744EA" w:rsidRPr="002D3C50" w:rsidRDefault="000744EA" w:rsidP="00E2635E">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Peprah, J. A., Ofori, I. K., &amp; Asomani, A. N. (2022). Improving productivity among smallholder farmers in Ghana: Does financial inclusion matter? </w:t>
      </w:r>
      <w:r w:rsidRPr="002D3C50">
        <w:rPr>
          <w:rFonts w:ascii="Times New Roman" w:hAnsi="Times New Roman" w:cs="Times New Roman"/>
          <w:i/>
          <w:iCs/>
          <w:sz w:val="24"/>
          <w:szCs w:val="24"/>
          <w:highlight w:val="yellow"/>
        </w:rPr>
        <w:t>Agricultural Finance Review, 82</w:t>
      </w:r>
      <w:r w:rsidRPr="002D3C50">
        <w:rPr>
          <w:rFonts w:ascii="Times New Roman" w:hAnsi="Times New Roman" w:cs="Times New Roman"/>
          <w:sz w:val="24"/>
          <w:szCs w:val="24"/>
          <w:highlight w:val="yellow"/>
        </w:rPr>
        <w:t xml:space="preserve">(1), 15–35. </w:t>
      </w:r>
      <w:hyperlink r:id="rId90" w:tgtFrame="_new" w:history="1">
        <w:r w:rsidRPr="002D3C50">
          <w:rPr>
            <w:rStyle w:val="Hyperlink"/>
            <w:rFonts w:ascii="Times New Roman" w:hAnsi="Times New Roman" w:cs="Times New Roman"/>
            <w:color w:val="auto"/>
            <w:sz w:val="24"/>
            <w:szCs w:val="24"/>
            <w:highlight w:val="yellow"/>
          </w:rPr>
          <w:t>https://www.emerald.com/insight/content/doi/10.1108/AFR-05-2020-0074/full/html</w:t>
        </w:r>
      </w:hyperlink>
    </w:p>
    <w:p w14:paraId="3DD92905" w14:textId="77777777" w:rsidR="000744EA" w:rsidRPr="002D3C50" w:rsidRDefault="000744EA" w:rsidP="00E2635E">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Pushp, A., Gautam, R. S., Tripathi, V., </w:t>
      </w:r>
      <w:proofErr w:type="spellStart"/>
      <w:r w:rsidRPr="002D3C50">
        <w:rPr>
          <w:rFonts w:ascii="Times New Roman" w:hAnsi="Times New Roman" w:cs="Times New Roman"/>
          <w:sz w:val="24"/>
          <w:szCs w:val="24"/>
          <w:highlight w:val="yellow"/>
        </w:rPr>
        <w:t>Kanoujiya</w:t>
      </w:r>
      <w:proofErr w:type="spellEnd"/>
      <w:r w:rsidRPr="002D3C50">
        <w:rPr>
          <w:rFonts w:ascii="Times New Roman" w:hAnsi="Times New Roman" w:cs="Times New Roman"/>
          <w:sz w:val="24"/>
          <w:szCs w:val="24"/>
          <w:highlight w:val="yellow"/>
        </w:rPr>
        <w:t xml:space="preserve">, J., Rastogi, S., </w:t>
      </w:r>
      <w:proofErr w:type="spellStart"/>
      <w:r w:rsidRPr="002D3C50">
        <w:rPr>
          <w:rFonts w:ascii="Times New Roman" w:hAnsi="Times New Roman" w:cs="Times New Roman"/>
          <w:sz w:val="24"/>
          <w:szCs w:val="24"/>
          <w:highlight w:val="yellow"/>
        </w:rPr>
        <w:t>Bhimavarapu</w:t>
      </w:r>
      <w:proofErr w:type="spellEnd"/>
      <w:r w:rsidRPr="002D3C50">
        <w:rPr>
          <w:rFonts w:ascii="Times New Roman" w:hAnsi="Times New Roman" w:cs="Times New Roman"/>
          <w:sz w:val="24"/>
          <w:szCs w:val="24"/>
          <w:highlight w:val="yellow"/>
        </w:rPr>
        <w:t xml:space="preserve">, V. M., &amp; Parashar, N. (2023). Impact of financial inclusion on India's economic development under the moderating effect of internet subscribers. </w:t>
      </w:r>
      <w:r w:rsidRPr="002D3C50">
        <w:rPr>
          <w:rFonts w:ascii="Times New Roman" w:hAnsi="Times New Roman" w:cs="Times New Roman"/>
          <w:i/>
          <w:iCs/>
          <w:sz w:val="24"/>
          <w:szCs w:val="24"/>
          <w:highlight w:val="yellow"/>
        </w:rPr>
        <w:t>Journal of Risk and Financial Management, 16</w:t>
      </w:r>
      <w:r w:rsidRPr="002D3C50">
        <w:rPr>
          <w:rFonts w:ascii="Times New Roman" w:hAnsi="Times New Roman" w:cs="Times New Roman"/>
          <w:sz w:val="24"/>
          <w:szCs w:val="24"/>
          <w:highlight w:val="yellow"/>
        </w:rPr>
        <w:t xml:space="preserve">(5), 262. </w:t>
      </w:r>
      <w:hyperlink r:id="rId91" w:tgtFrame="_new" w:history="1">
        <w:r w:rsidRPr="002D3C50">
          <w:rPr>
            <w:rStyle w:val="Hyperlink"/>
            <w:rFonts w:ascii="Times New Roman" w:hAnsi="Times New Roman" w:cs="Times New Roman"/>
            <w:color w:val="auto"/>
            <w:sz w:val="24"/>
            <w:szCs w:val="24"/>
            <w:highlight w:val="yellow"/>
          </w:rPr>
          <w:t>https://doi.org/10.3390/jrfm16050262</w:t>
        </w:r>
      </w:hyperlink>
    </w:p>
    <w:p w14:paraId="4F078C38" w14:textId="77777777" w:rsidR="000744EA" w:rsidRPr="002D3C50" w:rsidRDefault="000744EA" w:rsidP="00B865D3">
      <w:pPr>
        <w:spacing w:after="0" w:line="276" w:lineRule="auto"/>
        <w:ind w:left="709" w:hanging="709"/>
        <w:jc w:val="both"/>
      </w:pPr>
      <w:r w:rsidRPr="002D3C50">
        <w:rPr>
          <w:rFonts w:ascii="Times New Roman" w:hAnsi="Times New Roman" w:cs="Times New Roman"/>
          <w:sz w:val="24"/>
          <w:szCs w:val="24"/>
          <w:highlight w:val="yellow"/>
        </w:rPr>
        <w:t xml:space="preserve">Ritchie, H., Rosado, P., &amp; Roser, M. (2022). Agricultural production. </w:t>
      </w:r>
      <w:r w:rsidRPr="002D3C50">
        <w:rPr>
          <w:rFonts w:ascii="Times New Roman" w:hAnsi="Times New Roman" w:cs="Times New Roman"/>
          <w:i/>
          <w:iCs/>
          <w:sz w:val="24"/>
          <w:szCs w:val="24"/>
          <w:highlight w:val="yellow"/>
        </w:rPr>
        <w:t>Our World in Data</w:t>
      </w:r>
      <w:r w:rsidRPr="002D3C50">
        <w:rPr>
          <w:rFonts w:ascii="Times New Roman" w:hAnsi="Times New Roman" w:cs="Times New Roman"/>
          <w:sz w:val="24"/>
          <w:szCs w:val="24"/>
          <w:highlight w:val="yellow"/>
        </w:rPr>
        <w:t xml:space="preserve">. </w:t>
      </w:r>
      <w:hyperlink r:id="rId92" w:history="1">
        <w:r w:rsidRPr="002D3C50">
          <w:rPr>
            <w:rStyle w:val="Hyperlink"/>
            <w:rFonts w:ascii="Times New Roman" w:hAnsi="Times New Roman" w:cs="Times New Roman"/>
            <w:color w:val="auto"/>
            <w:sz w:val="24"/>
            <w:szCs w:val="24"/>
            <w:highlight w:val="yellow"/>
          </w:rPr>
          <w:t>https://ourworldindata.org/agricultural-production</w:t>
        </w:r>
      </w:hyperlink>
    </w:p>
    <w:p w14:paraId="6F9B0D4B" w14:textId="77777777" w:rsidR="000744EA" w:rsidRPr="002D3C50" w:rsidRDefault="000744EA" w:rsidP="000744EA">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Sethy, S. K., &amp; </w:t>
      </w:r>
      <w:proofErr w:type="spellStart"/>
      <w:r w:rsidRPr="002D3C50">
        <w:rPr>
          <w:rFonts w:ascii="Times New Roman" w:hAnsi="Times New Roman" w:cs="Times New Roman"/>
          <w:sz w:val="24"/>
          <w:szCs w:val="24"/>
          <w:highlight w:val="yellow"/>
        </w:rPr>
        <w:t>Goyari</w:t>
      </w:r>
      <w:proofErr w:type="spellEnd"/>
      <w:r w:rsidRPr="002D3C50">
        <w:rPr>
          <w:rFonts w:ascii="Times New Roman" w:hAnsi="Times New Roman" w:cs="Times New Roman"/>
          <w:sz w:val="24"/>
          <w:szCs w:val="24"/>
          <w:highlight w:val="yellow"/>
        </w:rPr>
        <w:t xml:space="preserve">, P. (2022). Examining financial inclusion–agricultural productivity connection in South Asian countries: Evidence from FMOLS and DOLS approaches. </w:t>
      </w:r>
      <w:r w:rsidRPr="002D3C50">
        <w:rPr>
          <w:rFonts w:ascii="Times New Roman" w:hAnsi="Times New Roman" w:cs="Times New Roman"/>
          <w:i/>
          <w:iCs/>
          <w:sz w:val="24"/>
          <w:szCs w:val="24"/>
          <w:highlight w:val="yellow"/>
        </w:rPr>
        <w:t>Italian Review of Agricultural Economics, 78</w:t>
      </w:r>
      <w:r w:rsidRPr="002D3C50">
        <w:rPr>
          <w:rFonts w:ascii="Times New Roman" w:hAnsi="Times New Roman" w:cs="Times New Roman"/>
          <w:sz w:val="24"/>
          <w:szCs w:val="24"/>
          <w:highlight w:val="yellow"/>
        </w:rPr>
        <w:t xml:space="preserve">(2), 23–38. </w:t>
      </w:r>
      <w:hyperlink r:id="rId93" w:tgtFrame="_new" w:history="1">
        <w:r w:rsidRPr="002D3C50">
          <w:rPr>
            <w:rStyle w:val="Hyperlink"/>
            <w:rFonts w:ascii="Times New Roman" w:hAnsi="Times New Roman" w:cs="Times New Roman"/>
            <w:color w:val="auto"/>
            <w:sz w:val="24"/>
            <w:szCs w:val="24"/>
            <w:highlight w:val="yellow"/>
          </w:rPr>
          <w:t>https://oajournals.fupress.net/index.php/rea/article/view/14079</w:t>
        </w:r>
      </w:hyperlink>
    </w:p>
    <w:p w14:paraId="2A59E4FE"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Shen, Y., Guo, X., &amp; Zhang, X. (2023). Digital financial inclusion, land transfer, and agricultural green total factor productivity. Sustainability, 15(8), 6436. </w:t>
      </w:r>
      <w:hyperlink r:id="rId94" w:history="1">
        <w:r w:rsidRPr="002D3C50">
          <w:rPr>
            <w:rStyle w:val="Hyperlink"/>
            <w:rFonts w:ascii="Times New Roman" w:hAnsi="Times New Roman" w:cs="Times New Roman"/>
            <w:color w:val="auto"/>
            <w:sz w:val="24"/>
            <w:szCs w:val="24"/>
            <w:highlight w:val="yellow"/>
          </w:rPr>
          <w:t>https://doi.org/10.3390/su15086436</w:t>
        </w:r>
      </w:hyperlink>
    </w:p>
    <w:p w14:paraId="55B2A9BB"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Stiglitz, J. E., &amp; Weiss, A. (1981). Credit rationing in markets with imperfect information. </w:t>
      </w:r>
      <w:r w:rsidRPr="002D3C50">
        <w:rPr>
          <w:rFonts w:ascii="Times New Roman" w:hAnsi="Times New Roman" w:cs="Times New Roman"/>
          <w:i/>
          <w:iCs/>
          <w:sz w:val="24"/>
          <w:szCs w:val="24"/>
          <w:highlight w:val="yellow"/>
        </w:rPr>
        <w:t>The American Economic Review, 71</w:t>
      </w:r>
      <w:r w:rsidRPr="002D3C50">
        <w:rPr>
          <w:rFonts w:ascii="Times New Roman" w:hAnsi="Times New Roman" w:cs="Times New Roman"/>
          <w:sz w:val="24"/>
          <w:szCs w:val="24"/>
          <w:highlight w:val="yellow"/>
        </w:rPr>
        <w:t>(3), 393–410.</w:t>
      </w:r>
    </w:p>
    <w:p w14:paraId="419E0CBD" w14:textId="77777777" w:rsidR="002D3C50" w:rsidRPr="002D3C50" w:rsidRDefault="002D3C50" w:rsidP="000744EA">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Tan, L., Tian, N., Li, X., &amp; Chen, H. (2024). Can digital financial inclusion converge the regional agricultural carbon emissions intensity </w:t>
      </w:r>
      <w:proofErr w:type="gramStart"/>
      <w:r w:rsidRPr="002D3C50">
        <w:rPr>
          <w:rFonts w:ascii="Times New Roman" w:hAnsi="Times New Roman" w:cs="Times New Roman"/>
          <w:sz w:val="24"/>
          <w:szCs w:val="24"/>
          <w:highlight w:val="yellow"/>
        </w:rPr>
        <w:t>gap?.</w:t>
      </w:r>
      <w:proofErr w:type="gramEnd"/>
      <w:r w:rsidRPr="002D3C50">
        <w:rPr>
          <w:rFonts w:ascii="Times New Roman" w:hAnsi="Times New Roman" w:cs="Times New Roman"/>
          <w:sz w:val="24"/>
          <w:szCs w:val="24"/>
          <w:highlight w:val="yellow"/>
        </w:rPr>
        <w:t xml:space="preserve"> </w:t>
      </w:r>
      <w:proofErr w:type="spellStart"/>
      <w:r w:rsidRPr="002D3C50">
        <w:rPr>
          <w:rFonts w:ascii="Times New Roman" w:hAnsi="Times New Roman" w:cs="Times New Roman"/>
          <w:sz w:val="24"/>
          <w:szCs w:val="24"/>
          <w:highlight w:val="yellow"/>
        </w:rPr>
        <w:t>Plos</w:t>
      </w:r>
      <w:proofErr w:type="spellEnd"/>
      <w:r w:rsidRPr="002D3C50">
        <w:rPr>
          <w:rFonts w:ascii="Times New Roman" w:hAnsi="Times New Roman" w:cs="Times New Roman"/>
          <w:sz w:val="24"/>
          <w:szCs w:val="24"/>
          <w:highlight w:val="yellow"/>
        </w:rPr>
        <w:t xml:space="preserve"> one, 19(7), e0307328.</w:t>
      </w:r>
      <w:r w:rsidRPr="002D3C50">
        <w:rPr>
          <w:rFonts w:ascii="Times New Roman" w:hAnsi="Times New Roman" w:cs="Times New Roman"/>
          <w:sz w:val="24"/>
          <w:szCs w:val="24"/>
        </w:rPr>
        <w:t xml:space="preserve"> </w:t>
      </w:r>
    </w:p>
    <w:p w14:paraId="5359B862" w14:textId="08FF34ED" w:rsidR="000744EA" w:rsidRPr="002D3C50" w:rsidRDefault="000744EA" w:rsidP="000744EA">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lastRenderedPageBreak/>
        <w:t xml:space="preserve">Wang, J., &amp; Xu, S. (2023). The impact of digital financial inclusion on the level of agricultural output. </w:t>
      </w:r>
      <w:r w:rsidRPr="002D3C50">
        <w:rPr>
          <w:rFonts w:ascii="Times New Roman" w:hAnsi="Times New Roman" w:cs="Times New Roman"/>
          <w:i/>
          <w:iCs/>
          <w:sz w:val="24"/>
          <w:szCs w:val="24"/>
          <w:highlight w:val="yellow"/>
        </w:rPr>
        <w:t>Sustainability, 15</w:t>
      </w:r>
      <w:r w:rsidRPr="002D3C50">
        <w:rPr>
          <w:rFonts w:ascii="Times New Roman" w:hAnsi="Times New Roman" w:cs="Times New Roman"/>
          <w:sz w:val="24"/>
          <w:szCs w:val="24"/>
          <w:highlight w:val="yellow"/>
        </w:rPr>
        <w:t xml:space="preserve">(5), 4138. </w:t>
      </w:r>
      <w:hyperlink r:id="rId95" w:tgtFrame="_new" w:history="1">
        <w:r w:rsidRPr="002D3C50">
          <w:rPr>
            <w:rStyle w:val="Hyperlink"/>
            <w:rFonts w:ascii="Times New Roman" w:hAnsi="Times New Roman" w:cs="Times New Roman"/>
            <w:color w:val="auto"/>
            <w:sz w:val="24"/>
            <w:szCs w:val="24"/>
            <w:highlight w:val="yellow"/>
          </w:rPr>
          <w:t>https://doi.org/10.3390/su15054138</w:t>
        </w:r>
      </w:hyperlink>
    </w:p>
    <w:p w14:paraId="34036304"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 xml:space="preserve">World Bank. (2022). </w:t>
      </w:r>
      <w:r w:rsidRPr="002D3C50">
        <w:rPr>
          <w:rFonts w:ascii="Times New Roman" w:hAnsi="Times New Roman" w:cs="Times New Roman"/>
          <w:i/>
          <w:iCs/>
          <w:sz w:val="24"/>
          <w:szCs w:val="24"/>
          <w:highlight w:val="yellow"/>
        </w:rPr>
        <w:t>World development report 2022: Finance for an equitable recovery</w:t>
      </w:r>
      <w:r w:rsidRPr="002D3C50">
        <w:rPr>
          <w:rFonts w:ascii="Times New Roman" w:hAnsi="Times New Roman" w:cs="Times New Roman"/>
          <w:sz w:val="24"/>
          <w:szCs w:val="24"/>
          <w:highlight w:val="yellow"/>
        </w:rPr>
        <w:t>. World Bank.</w:t>
      </w:r>
    </w:p>
    <w:p w14:paraId="00FA5B03" w14:textId="77777777" w:rsidR="000744EA" w:rsidRPr="002D3C50" w:rsidRDefault="000744EA" w:rsidP="00B865D3">
      <w:pPr>
        <w:spacing w:after="0" w:line="276" w:lineRule="auto"/>
        <w:ind w:left="709" w:hanging="709"/>
        <w:jc w:val="both"/>
        <w:rPr>
          <w:rFonts w:ascii="Times New Roman" w:hAnsi="Times New Roman" w:cs="Times New Roman"/>
          <w:sz w:val="24"/>
          <w:szCs w:val="24"/>
        </w:rPr>
      </w:pPr>
      <w:r w:rsidRPr="002D3C50">
        <w:rPr>
          <w:rFonts w:ascii="Times New Roman" w:hAnsi="Times New Roman" w:cs="Times New Roman"/>
          <w:sz w:val="24"/>
          <w:szCs w:val="24"/>
          <w:highlight w:val="yellow"/>
        </w:rPr>
        <w:t>Zhang, M., Zhu, T., Huo, Z., &amp; Wan, P. (2024) A study of the promotion mechanism of digital inclusive finance for the common prosperity of Chinese rural households. </w:t>
      </w:r>
      <w:r w:rsidRPr="002D3C50">
        <w:rPr>
          <w:rFonts w:ascii="Times New Roman" w:hAnsi="Times New Roman" w:cs="Times New Roman"/>
          <w:i/>
          <w:iCs/>
          <w:sz w:val="24"/>
          <w:szCs w:val="24"/>
          <w:highlight w:val="yellow"/>
        </w:rPr>
        <w:t>Front. Earth Sci.</w:t>
      </w:r>
      <w:r w:rsidRPr="002D3C50">
        <w:rPr>
          <w:rFonts w:ascii="Times New Roman" w:hAnsi="Times New Roman" w:cs="Times New Roman"/>
          <w:sz w:val="24"/>
          <w:szCs w:val="24"/>
          <w:highlight w:val="yellow"/>
        </w:rPr>
        <w:t> </w:t>
      </w:r>
      <w:hyperlink r:id="rId96" w:history="1">
        <w:r w:rsidRPr="002D3C50">
          <w:rPr>
            <w:rStyle w:val="Hyperlink"/>
            <w:rFonts w:ascii="Times New Roman" w:hAnsi="Times New Roman" w:cs="Times New Roman"/>
            <w:color w:val="auto"/>
            <w:sz w:val="24"/>
            <w:szCs w:val="24"/>
            <w:highlight w:val="yellow"/>
          </w:rPr>
          <w:t>https://doi.org/10.3389/fsufs.2024.1448550</w:t>
        </w:r>
      </w:hyperlink>
    </w:p>
    <w:p w14:paraId="2746C4BF"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0F68D28"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D921317"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17F35836"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D8BD705"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8C4DEFE"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3AB79A3"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sectPr w:rsidR="003C6A26" w:rsidRPr="00E2635E">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C8BD" w14:textId="77777777" w:rsidR="00CE6253" w:rsidRDefault="00CE6253">
      <w:pPr>
        <w:spacing w:after="0" w:line="240" w:lineRule="auto"/>
      </w:pPr>
      <w:r>
        <w:separator/>
      </w:r>
    </w:p>
  </w:endnote>
  <w:endnote w:type="continuationSeparator" w:id="0">
    <w:p w14:paraId="613531CE" w14:textId="77777777" w:rsidR="00CE6253" w:rsidRDefault="00CE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AB2B" w14:textId="77777777" w:rsidR="008C7469" w:rsidRDefault="008C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DAEB" w14:textId="77777777" w:rsidR="00881D77" w:rsidRDefault="00881D77">
    <w:pPr>
      <w:pStyle w:val="Footer"/>
      <w:jc w:val="center"/>
    </w:pPr>
  </w:p>
  <w:p w14:paraId="451C51BF" w14:textId="77777777" w:rsidR="00881D77" w:rsidRDefault="00881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F161" w14:textId="77777777" w:rsidR="008C7469" w:rsidRDefault="008C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72444" w14:textId="77777777" w:rsidR="00CE6253" w:rsidRDefault="00CE6253">
      <w:pPr>
        <w:spacing w:after="0" w:line="240" w:lineRule="auto"/>
      </w:pPr>
      <w:r>
        <w:separator/>
      </w:r>
    </w:p>
  </w:footnote>
  <w:footnote w:type="continuationSeparator" w:id="0">
    <w:p w14:paraId="1CD425A2" w14:textId="77777777" w:rsidR="00CE6253" w:rsidRDefault="00CE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650A" w14:textId="2C1D338A" w:rsidR="008C7469" w:rsidRDefault="002D3C50">
    <w:pPr>
      <w:pStyle w:val="Header"/>
    </w:pPr>
    <w:r>
      <w:rPr>
        <w:noProof/>
      </w:rPr>
      <w:pict w14:anchorId="2E3E6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F0BB" w14:textId="25CEF14B" w:rsidR="008C7469" w:rsidRDefault="002D3C50">
    <w:pPr>
      <w:pStyle w:val="Header"/>
    </w:pPr>
    <w:r>
      <w:rPr>
        <w:noProof/>
      </w:rPr>
      <w:pict w14:anchorId="5F283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62FC" w14:textId="6ADADBC7" w:rsidR="008C7469" w:rsidRDefault="002D3C50">
    <w:pPr>
      <w:pStyle w:val="Header"/>
    </w:pPr>
    <w:r>
      <w:rPr>
        <w:noProof/>
      </w:rPr>
      <w:pict w14:anchorId="48A48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5915"/>
    <w:multiLevelType w:val="hybridMultilevel"/>
    <w:tmpl w:val="4790E550"/>
    <w:lvl w:ilvl="0" w:tplc="47143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04C1"/>
    <w:multiLevelType w:val="hybridMultilevel"/>
    <w:tmpl w:val="4790E550"/>
    <w:lvl w:ilvl="0" w:tplc="47143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904C7"/>
    <w:multiLevelType w:val="hybridMultilevel"/>
    <w:tmpl w:val="B9BE4394"/>
    <w:lvl w:ilvl="0" w:tplc="ED2C4D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010E2E"/>
    <w:multiLevelType w:val="hybridMultilevel"/>
    <w:tmpl w:val="CC80E28A"/>
    <w:lvl w:ilvl="0" w:tplc="5536619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0E6509"/>
    <w:multiLevelType w:val="multilevel"/>
    <w:tmpl w:val="A33A8B7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26"/>
    <w:rsid w:val="000067DE"/>
    <w:rsid w:val="00012478"/>
    <w:rsid w:val="00047B15"/>
    <w:rsid w:val="000744EA"/>
    <w:rsid w:val="000B2C18"/>
    <w:rsid w:val="000D7E13"/>
    <w:rsid w:val="001015EC"/>
    <w:rsid w:val="00101B28"/>
    <w:rsid w:val="0014152E"/>
    <w:rsid w:val="0015132E"/>
    <w:rsid w:val="001A70E3"/>
    <w:rsid w:val="001B42E8"/>
    <w:rsid w:val="001C4F8C"/>
    <w:rsid w:val="002B5814"/>
    <w:rsid w:val="002C7AB5"/>
    <w:rsid w:val="002D3C50"/>
    <w:rsid w:val="002F59A3"/>
    <w:rsid w:val="003912EA"/>
    <w:rsid w:val="003A09C7"/>
    <w:rsid w:val="003C6A26"/>
    <w:rsid w:val="00404170"/>
    <w:rsid w:val="0041705E"/>
    <w:rsid w:val="00481BDE"/>
    <w:rsid w:val="004B7183"/>
    <w:rsid w:val="004C1BE3"/>
    <w:rsid w:val="004D4F31"/>
    <w:rsid w:val="00583B5D"/>
    <w:rsid w:val="006149FC"/>
    <w:rsid w:val="0063059E"/>
    <w:rsid w:val="00642E05"/>
    <w:rsid w:val="006E7100"/>
    <w:rsid w:val="006F1448"/>
    <w:rsid w:val="0071723A"/>
    <w:rsid w:val="007177A3"/>
    <w:rsid w:val="00773348"/>
    <w:rsid w:val="00794562"/>
    <w:rsid w:val="007E08F9"/>
    <w:rsid w:val="00803FFE"/>
    <w:rsid w:val="008045E0"/>
    <w:rsid w:val="00881D77"/>
    <w:rsid w:val="008C7469"/>
    <w:rsid w:val="008D551C"/>
    <w:rsid w:val="0090029C"/>
    <w:rsid w:val="00950BA8"/>
    <w:rsid w:val="00970DC6"/>
    <w:rsid w:val="009D6A54"/>
    <w:rsid w:val="00A0041E"/>
    <w:rsid w:val="00A15BF7"/>
    <w:rsid w:val="00A242C6"/>
    <w:rsid w:val="00AB4CDC"/>
    <w:rsid w:val="00AC3595"/>
    <w:rsid w:val="00B30EC8"/>
    <w:rsid w:val="00B518FA"/>
    <w:rsid w:val="00B61E78"/>
    <w:rsid w:val="00B865D3"/>
    <w:rsid w:val="00BA1695"/>
    <w:rsid w:val="00CE6253"/>
    <w:rsid w:val="00D05A78"/>
    <w:rsid w:val="00D26F92"/>
    <w:rsid w:val="00D53313"/>
    <w:rsid w:val="00D64A3F"/>
    <w:rsid w:val="00D730E5"/>
    <w:rsid w:val="00DC4293"/>
    <w:rsid w:val="00E10C88"/>
    <w:rsid w:val="00E2635E"/>
    <w:rsid w:val="00EA5E9A"/>
    <w:rsid w:val="00EE677D"/>
    <w:rsid w:val="00F50B5F"/>
    <w:rsid w:val="00FA7301"/>
    <w:rsid w:val="00FC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16D93"/>
  <w15:docId w15:val="{DE5AFCA8-B1F2-4B8B-AB4F-9670F705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A26"/>
    <w:pPr>
      <w:spacing w:after="160" w:line="259" w:lineRule="auto"/>
    </w:pPr>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hapter"/>
    <w:link w:val="NoSpacingChar"/>
    <w:uiPriority w:val="1"/>
    <w:qFormat/>
    <w:rsid w:val="003C6A26"/>
    <w:pPr>
      <w:spacing w:after="0" w:line="240" w:lineRule="auto"/>
    </w:pPr>
    <w:rPr>
      <w:kern w:val="2"/>
      <w:lang w:val="en-GB"/>
      <w14:ligatures w14:val="standardContextual"/>
    </w:rPr>
  </w:style>
  <w:style w:type="character" w:customStyle="1" w:styleId="NoSpacingChar">
    <w:name w:val="No Spacing Char"/>
    <w:aliases w:val="Chapter Char"/>
    <w:basedOn w:val="DefaultParagraphFont"/>
    <w:link w:val="NoSpacing"/>
    <w:uiPriority w:val="1"/>
    <w:qFormat/>
    <w:rsid w:val="003C6A26"/>
    <w:rPr>
      <w:kern w:val="2"/>
      <w:lang w:val="en-GB"/>
      <w14:ligatures w14:val="standardContextual"/>
    </w:rPr>
  </w:style>
  <w:style w:type="paragraph" w:styleId="ListParagraph">
    <w:name w:val="List Paragraph"/>
    <w:basedOn w:val="Normal"/>
    <w:uiPriority w:val="34"/>
    <w:qFormat/>
    <w:rsid w:val="003C6A26"/>
    <w:pPr>
      <w:ind w:left="720"/>
      <w:contextualSpacing/>
    </w:pPr>
  </w:style>
  <w:style w:type="paragraph" w:styleId="Footer">
    <w:name w:val="footer"/>
    <w:basedOn w:val="Normal"/>
    <w:link w:val="FooterChar"/>
    <w:uiPriority w:val="99"/>
    <w:unhideWhenUsed/>
    <w:rsid w:val="004B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83"/>
    <w:rPr>
      <w:kern w:val="2"/>
      <w:lang w:val="en-GB"/>
      <w14:ligatures w14:val="standardContextual"/>
    </w:rPr>
  </w:style>
  <w:style w:type="character" w:styleId="Hyperlink">
    <w:name w:val="Hyperlink"/>
    <w:basedOn w:val="DefaultParagraphFont"/>
    <w:uiPriority w:val="99"/>
    <w:unhideWhenUsed/>
    <w:rsid w:val="00EE677D"/>
    <w:rPr>
      <w:color w:val="0000FF" w:themeColor="hyperlink"/>
      <w:u w:val="single"/>
    </w:rPr>
  </w:style>
  <w:style w:type="character" w:customStyle="1" w:styleId="UnresolvedMention1">
    <w:name w:val="Unresolved Mention1"/>
    <w:basedOn w:val="DefaultParagraphFont"/>
    <w:uiPriority w:val="99"/>
    <w:semiHidden/>
    <w:unhideWhenUsed/>
    <w:rsid w:val="00EE677D"/>
    <w:rPr>
      <w:color w:val="605E5C"/>
      <w:shd w:val="clear" w:color="auto" w:fill="E1DFDD"/>
    </w:rPr>
  </w:style>
  <w:style w:type="character" w:styleId="FollowedHyperlink">
    <w:name w:val="FollowedHyperlink"/>
    <w:basedOn w:val="DefaultParagraphFont"/>
    <w:uiPriority w:val="99"/>
    <w:semiHidden/>
    <w:unhideWhenUsed/>
    <w:rsid w:val="000B2C18"/>
    <w:rPr>
      <w:color w:val="800080" w:themeColor="followedHyperlink"/>
      <w:u w:val="single"/>
    </w:rPr>
  </w:style>
  <w:style w:type="paragraph" w:styleId="Header">
    <w:name w:val="header"/>
    <w:basedOn w:val="Normal"/>
    <w:link w:val="HeaderChar"/>
    <w:uiPriority w:val="99"/>
    <w:unhideWhenUsed/>
    <w:rsid w:val="008C7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69"/>
    <w:rPr>
      <w:kern w:val="2"/>
      <w:lang w:val="en-GB"/>
      <w14:ligatures w14:val="standardContextual"/>
    </w:rPr>
  </w:style>
  <w:style w:type="paragraph" w:styleId="NormalWeb">
    <w:name w:val="Normal (Web)"/>
    <w:basedOn w:val="Normal"/>
    <w:uiPriority w:val="99"/>
    <w:semiHidden/>
    <w:unhideWhenUsed/>
    <w:rsid w:val="00FC48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50774">
      <w:bodyDiv w:val="1"/>
      <w:marLeft w:val="0"/>
      <w:marRight w:val="0"/>
      <w:marTop w:val="0"/>
      <w:marBottom w:val="0"/>
      <w:divBdr>
        <w:top w:val="none" w:sz="0" w:space="0" w:color="auto"/>
        <w:left w:val="none" w:sz="0" w:space="0" w:color="auto"/>
        <w:bottom w:val="none" w:sz="0" w:space="0" w:color="auto"/>
        <w:right w:val="none" w:sz="0" w:space="0" w:color="auto"/>
      </w:divBdr>
    </w:div>
    <w:div w:id="426392810">
      <w:bodyDiv w:val="1"/>
      <w:marLeft w:val="0"/>
      <w:marRight w:val="0"/>
      <w:marTop w:val="0"/>
      <w:marBottom w:val="0"/>
      <w:divBdr>
        <w:top w:val="none" w:sz="0" w:space="0" w:color="auto"/>
        <w:left w:val="none" w:sz="0" w:space="0" w:color="auto"/>
        <w:bottom w:val="none" w:sz="0" w:space="0" w:color="auto"/>
        <w:right w:val="none" w:sz="0" w:space="0" w:color="auto"/>
      </w:divBdr>
    </w:div>
    <w:div w:id="514655428">
      <w:bodyDiv w:val="1"/>
      <w:marLeft w:val="0"/>
      <w:marRight w:val="0"/>
      <w:marTop w:val="0"/>
      <w:marBottom w:val="0"/>
      <w:divBdr>
        <w:top w:val="none" w:sz="0" w:space="0" w:color="auto"/>
        <w:left w:val="none" w:sz="0" w:space="0" w:color="auto"/>
        <w:bottom w:val="none" w:sz="0" w:space="0" w:color="auto"/>
        <w:right w:val="none" w:sz="0" w:space="0" w:color="auto"/>
      </w:divBdr>
    </w:div>
    <w:div w:id="1016690802">
      <w:bodyDiv w:val="1"/>
      <w:marLeft w:val="0"/>
      <w:marRight w:val="0"/>
      <w:marTop w:val="0"/>
      <w:marBottom w:val="0"/>
      <w:divBdr>
        <w:top w:val="none" w:sz="0" w:space="0" w:color="auto"/>
        <w:left w:val="none" w:sz="0" w:space="0" w:color="auto"/>
        <w:bottom w:val="none" w:sz="0" w:space="0" w:color="auto"/>
        <w:right w:val="none" w:sz="0" w:space="0" w:color="auto"/>
      </w:divBdr>
    </w:div>
    <w:div w:id="1084256996">
      <w:bodyDiv w:val="1"/>
      <w:marLeft w:val="0"/>
      <w:marRight w:val="0"/>
      <w:marTop w:val="0"/>
      <w:marBottom w:val="0"/>
      <w:divBdr>
        <w:top w:val="none" w:sz="0" w:space="0" w:color="auto"/>
        <w:left w:val="none" w:sz="0" w:space="0" w:color="auto"/>
        <w:bottom w:val="none" w:sz="0" w:space="0" w:color="auto"/>
        <w:right w:val="none" w:sz="0" w:space="0" w:color="auto"/>
      </w:divBdr>
    </w:div>
    <w:div w:id="1165391273">
      <w:bodyDiv w:val="1"/>
      <w:marLeft w:val="0"/>
      <w:marRight w:val="0"/>
      <w:marTop w:val="0"/>
      <w:marBottom w:val="0"/>
      <w:divBdr>
        <w:top w:val="none" w:sz="0" w:space="0" w:color="auto"/>
        <w:left w:val="none" w:sz="0" w:space="0" w:color="auto"/>
        <w:bottom w:val="none" w:sz="0" w:space="0" w:color="auto"/>
        <w:right w:val="none" w:sz="0" w:space="0" w:color="auto"/>
      </w:divBdr>
    </w:div>
    <w:div w:id="1202785821">
      <w:bodyDiv w:val="1"/>
      <w:marLeft w:val="0"/>
      <w:marRight w:val="0"/>
      <w:marTop w:val="0"/>
      <w:marBottom w:val="0"/>
      <w:divBdr>
        <w:top w:val="none" w:sz="0" w:space="0" w:color="auto"/>
        <w:left w:val="none" w:sz="0" w:space="0" w:color="auto"/>
        <w:bottom w:val="none" w:sz="0" w:space="0" w:color="auto"/>
        <w:right w:val="none" w:sz="0" w:space="0" w:color="auto"/>
      </w:divBdr>
    </w:div>
    <w:div w:id="1258560008">
      <w:bodyDiv w:val="1"/>
      <w:marLeft w:val="0"/>
      <w:marRight w:val="0"/>
      <w:marTop w:val="0"/>
      <w:marBottom w:val="0"/>
      <w:divBdr>
        <w:top w:val="none" w:sz="0" w:space="0" w:color="auto"/>
        <w:left w:val="none" w:sz="0" w:space="0" w:color="auto"/>
        <w:bottom w:val="none" w:sz="0" w:space="0" w:color="auto"/>
        <w:right w:val="none" w:sz="0" w:space="0" w:color="auto"/>
      </w:divBdr>
    </w:div>
    <w:div w:id="1479037391">
      <w:bodyDiv w:val="1"/>
      <w:marLeft w:val="0"/>
      <w:marRight w:val="0"/>
      <w:marTop w:val="0"/>
      <w:marBottom w:val="0"/>
      <w:divBdr>
        <w:top w:val="none" w:sz="0" w:space="0" w:color="auto"/>
        <w:left w:val="none" w:sz="0" w:space="0" w:color="auto"/>
        <w:bottom w:val="none" w:sz="0" w:space="0" w:color="auto"/>
        <w:right w:val="none" w:sz="0" w:space="0" w:color="auto"/>
      </w:divBdr>
    </w:div>
    <w:div w:id="1753162755">
      <w:bodyDiv w:val="1"/>
      <w:marLeft w:val="0"/>
      <w:marRight w:val="0"/>
      <w:marTop w:val="0"/>
      <w:marBottom w:val="0"/>
      <w:divBdr>
        <w:top w:val="none" w:sz="0" w:space="0" w:color="auto"/>
        <w:left w:val="none" w:sz="0" w:space="0" w:color="auto"/>
        <w:bottom w:val="none" w:sz="0" w:space="0" w:color="auto"/>
        <w:right w:val="none" w:sz="0" w:space="0" w:color="auto"/>
      </w:divBdr>
    </w:div>
    <w:div w:id="1758405290">
      <w:bodyDiv w:val="1"/>
      <w:marLeft w:val="0"/>
      <w:marRight w:val="0"/>
      <w:marTop w:val="0"/>
      <w:marBottom w:val="0"/>
      <w:divBdr>
        <w:top w:val="none" w:sz="0" w:space="0" w:color="auto"/>
        <w:left w:val="none" w:sz="0" w:space="0" w:color="auto"/>
        <w:bottom w:val="none" w:sz="0" w:space="0" w:color="auto"/>
        <w:right w:val="none" w:sz="0" w:space="0" w:color="auto"/>
      </w:divBdr>
    </w:div>
    <w:div w:id="18284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hyperlink" Target="https://doi.org/10.3390/agriculture11010027"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www.emerald.com/insight/content/doi/10.1108/AFR-05-2020-0074/full/html" TargetMode="External"/><Relationship Id="rId95" Type="http://schemas.openxmlformats.org/officeDocument/2006/relationships/hyperlink" Target="https://doi.org/10.3390/su15054138"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hyperlink" Target="https://doi.org/10.3389/fevo.2022.905644" TargetMode="External"/><Relationship Id="rId91" Type="http://schemas.openxmlformats.org/officeDocument/2006/relationships/hyperlink" Target="https://doi.org/10.3390/jrfm16050262" TargetMode="External"/><Relationship Id="rId96" Type="http://schemas.openxmlformats.org/officeDocument/2006/relationships/hyperlink" Target="https://doi.org/10.3389/fsufs.2024.14485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hyperlink" Target="https://ideas.repec.org/a/ags/ijfaec/305327.html" TargetMode="External"/><Relationship Id="rId94" Type="http://schemas.openxmlformats.org/officeDocument/2006/relationships/hyperlink" Target="https://doi.org/10.3390/su15086436"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hyperlink" Target="https://ourworldindata.org/agricultural-production"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hyperlink" Target="https://scholar.google.com/scholar?hl=en&amp;as_sdt=0%2C5&amp;q=13.%09Global+Findex.+%282022%29.+The+global+Findex+database+2022%3A+Financial+inclusion%2C+digital+payments%2C+and+resilience+in+the+age+of+COVID-19.+World+Bank.&amp;btnG=" TargetMode="External"/><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hyperlink" Target="https://oajournals.fupress.net/index.php/rea/article/view/14079" TargetMode="External"/><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9309</Words>
  <Characters>53067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Stephen</dc:creator>
  <cp:lastModifiedBy>SDI PC New 16</cp:lastModifiedBy>
  <cp:revision>34</cp:revision>
  <dcterms:created xsi:type="dcterms:W3CDTF">2025-06-11T08:06:00Z</dcterms:created>
  <dcterms:modified xsi:type="dcterms:W3CDTF">2025-06-13T09:23:00Z</dcterms:modified>
</cp:coreProperties>
</file>