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E5051" w14:textId="081E9346" w:rsidR="00E43A56" w:rsidRPr="008B3D09" w:rsidRDefault="00E43A56" w:rsidP="00E43A56">
      <w:pPr>
        <w:spacing w:line="360" w:lineRule="auto"/>
        <w:jc w:val="both"/>
        <w:rPr>
          <w:sz w:val="24"/>
          <w:szCs w:val="24"/>
        </w:rPr>
      </w:pPr>
      <w:r w:rsidRPr="008B3D09">
        <w:rPr>
          <w:b/>
          <w:bCs/>
          <w:spacing w:val="-2"/>
          <w:sz w:val="24"/>
          <w:szCs w:val="24"/>
          <w:u w:val="single"/>
          <w:lang w:val="en-GB"/>
        </w:rPr>
        <w:t>An Analytical Study of the Non-Performing Asset (NPA) Issue in Punjab National Bank</w:t>
      </w:r>
      <w:r w:rsidR="00FA12B0">
        <w:rPr>
          <w:b/>
          <w:bCs/>
          <w:spacing w:val="-2"/>
          <w:sz w:val="24"/>
          <w:szCs w:val="24"/>
          <w:u w:val="single"/>
          <w:lang w:val="en-GB"/>
        </w:rPr>
        <w:t>:</w:t>
      </w:r>
      <w:r w:rsidRPr="008B3D09">
        <w:rPr>
          <w:b/>
          <w:bCs/>
          <w:spacing w:val="-2"/>
          <w:sz w:val="24"/>
          <w:szCs w:val="24"/>
          <w:u w:val="single"/>
          <w:lang w:val="en-GB"/>
        </w:rPr>
        <w:t xml:space="preserve"> A </w:t>
      </w:r>
      <w:proofErr w:type="spellStart"/>
      <w:r w:rsidRPr="008B3D09">
        <w:rPr>
          <w:b/>
          <w:bCs/>
          <w:spacing w:val="-2"/>
          <w:sz w:val="24"/>
          <w:szCs w:val="24"/>
          <w:u w:val="single"/>
          <w:lang w:val="en-GB"/>
        </w:rPr>
        <w:t>prepandemic</w:t>
      </w:r>
      <w:proofErr w:type="spellEnd"/>
      <w:r w:rsidRPr="008B3D09">
        <w:rPr>
          <w:b/>
          <w:bCs/>
          <w:spacing w:val="-2"/>
          <w:sz w:val="24"/>
          <w:szCs w:val="24"/>
          <w:u w:val="single"/>
          <w:lang w:val="en-GB"/>
        </w:rPr>
        <w:t xml:space="preserve"> study</w:t>
      </w:r>
    </w:p>
    <w:p w14:paraId="079BF66A" w14:textId="77777777" w:rsidR="00E43A56" w:rsidRPr="008B3D09" w:rsidRDefault="00E43A56" w:rsidP="00E43A56">
      <w:pPr>
        <w:pStyle w:val="Heading1"/>
        <w:rPr>
          <w:sz w:val="24"/>
          <w:szCs w:val="24"/>
        </w:rPr>
      </w:pPr>
      <w:r w:rsidRPr="008B3D09">
        <w:rPr>
          <w:sz w:val="24"/>
          <w:szCs w:val="24"/>
        </w:rPr>
        <w:t>Abstract</w:t>
      </w:r>
    </w:p>
    <w:p w14:paraId="054902D3" w14:textId="77777777" w:rsidR="00E43A56" w:rsidRPr="008B3D09" w:rsidRDefault="00E43A56" w:rsidP="00E43A56">
      <w:pPr>
        <w:spacing w:line="360" w:lineRule="auto"/>
        <w:jc w:val="both"/>
        <w:rPr>
          <w:sz w:val="24"/>
          <w:szCs w:val="24"/>
        </w:rPr>
      </w:pPr>
    </w:p>
    <w:p w14:paraId="5CFE029C" w14:textId="77777777" w:rsidR="00E43A56" w:rsidRPr="008B3D09" w:rsidRDefault="00E43A56" w:rsidP="00E43A56">
      <w:pPr>
        <w:widowControl/>
        <w:autoSpaceDE/>
        <w:autoSpaceDN/>
        <w:spacing w:after="240" w:line="360" w:lineRule="auto"/>
        <w:jc w:val="both"/>
        <w:rPr>
          <w:sz w:val="24"/>
          <w:szCs w:val="24"/>
          <w:lang w:val="en-IN" w:eastAsia="en-IN" w:bidi="hi-IN"/>
        </w:rPr>
      </w:pPr>
      <w:r w:rsidRPr="008B3D09">
        <w:rPr>
          <w:sz w:val="24"/>
          <w:szCs w:val="24"/>
          <w:lang w:val="en-IN" w:eastAsia="en-IN" w:bidi="hi-IN"/>
        </w:rPr>
        <w:t>NPAs are seen as a crucial factor in evaluating banks' implementation and financial stability. One of the factors influencing financial safety and the growth of the banking sector is the amount of non-performing assets (NPAs). These days, financial institutions and organisations face a significant problem in managing non-performing assets (NPAs), as these assets are indicative of a significant setback for the economy's growth. Since 2010, the study discovered a substantial correlation between Punjab National Bank's share capital and advances and its gross and net non-performing assets. Figures support the conclusion that, since 2010, the Bank has been steadily increasing the amount of advances it provides at a steady rate.</w:t>
      </w:r>
    </w:p>
    <w:p w14:paraId="17B71016" w14:textId="77777777" w:rsidR="00E43A56" w:rsidRPr="008B3D09" w:rsidRDefault="00E43A56" w:rsidP="00E43A56">
      <w:pPr>
        <w:spacing w:line="360" w:lineRule="auto"/>
        <w:jc w:val="both"/>
        <w:rPr>
          <w:sz w:val="24"/>
          <w:szCs w:val="24"/>
        </w:rPr>
      </w:pPr>
    </w:p>
    <w:p w14:paraId="64F0E7AB" w14:textId="77777777" w:rsidR="00E43A56" w:rsidRPr="008B3D09" w:rsidRDefault="00E43A56" w:rsidP="00E43A56">
      <w:pPr>
        <w:spacing w:line="360" w:lineRule="auto"/>
        <w:jc w:val="both"/>
        <w:rPr>
          <w:sz w:val="24"/>
          <w:szCs w:val="24"/>
        </w:rPr>
      </w:pPr>
      <w:r w:rsidRPr="008B3D09">
        <w:rPr>
          <w:b/>
          <w:bCs/>
          <w:sz w:val="24"/>
          <w:szCs w:val="24"/>
        </w:rPr>
        <w:t>Keywords:</w:t>
      </w:r>
      <w:r w:rsidRPr="008B3D09">
        <w:rPr>
          <w:sz w:val="24"/>
          <w:szCs w:val="24"/>
        </w:rPr>
        <w:t xml:space="preserve"> Non-performing Assets, Public sector banks, Punjab National Bank, </w:t>
      </w:r>
      <w:proofErr w:type="spellStart"/>
      <w:r w:rsidRPr="008B3D09">
        <w:rPr>
          <w:sz w:val="24"/>
          <w:szCs w:val="24"/>
        </w:rPr>
        <w:t>Assest</w:t>
      </w:r>
      <w:proofErr w:type="spellEnd"/>
      <w:r w:rsidRPr="008B3D09">
        <w:rPr>
          <w:sz w:val="24"/>
          <w:szCs w:val="24"/>
        </w:rPr>
        <w:t xml:space="preserve"> Quality Review</w:t>
      </w:r>
    </w:p>
    <w:p w14:paraId="08F4767F" w14:textId="77777777" w:rsidR="00E43A56" w:rsidRPr="008B3D09" w:rsidRDefault="00E43A56" w:rsidP="00E43A56">
      <w:pPr>
        <w:spacing w:line="360" w:lineRule="auto"/>
        <w:jc w:val="both"/>
        <w:rPr>
          <w:sz w:val="24"/>
          <w:szCs w:val="24"/>
        </w:rPr>
      </w:pPr>
    </w:p>
    <w:p w14:paraId="2572A4C7" w14:textId="77777777" w:rsidR="00E43A56" w:rsidRPr="008B3D09" w:rsidRDefault="00E43A56" w:rsidP="00E43A56">
      <w:pPr>
        <w:spacing w:line="360" w:lineRule="auto"/>
        <w:jc w:val="both"/>
        <w:rPr>
          <w:sz w:val="24"/>
          <w:szCs w:val="24"/>
        </w:rPr>
      </w:pPr>
    </w:p>
    <w:p w14:paraId="3A283A70" w14:textId="77777777" w:rsidR="00E43A56" w:rsidRPr="008B3D09" w:rsidRDefault="00E43A56" w:rsidP="00E43A56">
      <w:pPr>
        <w:spacing w:line="360" w:lineRule="auto"/>
        <w:jc w:val="both"/>
        <w:rPr>
          <w:sz w:val="24"/>
          <w:szCs w:val="24"/>
        </w:rPr>
      </w:pPr>
    </w:p>
    <w:p w14:paraId="3456B3DA" w14:textId="77777777" w:rsidR="00E43A56" w:rsidRPr="008B3D09" w:rsidRDefault="00E43A56" w:rsidP="00E43A56">
      <w:pPr>
        <w:spacing w:line="360" w:lineRule="auto"/>
        <w:jc w:val="both"/>
        <w:rPr>
          <w:sz w:val="24"/>
          <w:szCs w:val="24"/>
        </w:rPr>
      </w:pPr>
    </w:p>
    <w:p w14:paraId="7D3E91E0" w14:textId="77777777" w:rsidR="00E43A56" w:rsidRPr="008B3D09" w:rsidRDefault="00E43A56" w:rsidP="00E43A56">
      <w:pPr>
        <w:spacing w:line="360" w:lineRule="auto"/>
        <w:jc w:val="both"/>
        <w:rPr>
          <w:sz w:val="24"/>
          <w:szCs w:val="24"/>
        </w:rPr>
      </w:pPr>
    </w:p>
    <w:p w14:paraId="646F3CDA" w14:textId="77777777" w:rsidR="00E43A56" w:rsidRPr="008B3D09" w:rsidRDefault="00E43A56" w:rsidP="00E43A56">
      <w:pPr>
        <w:spacing w:line="360" w:lineRule="auto"/>
        <w:jc w:val="both"/>
        <w:rPr>
          <w:sz w:val="24"/>
          <w:szCs w:val="24"/>
        </w:rPr>
      </w:pPr>
    </w:p>
    <w:p w14:paraId="1A7E686A" w14:textId="77777777" w:rsidR="00E43A56" w:rsidRPr="008B3D09" w:rsidRDefault="00E43A56" w:rsidP="00E43A56">
      <w:pPr>
        <w:spacing w:line="360" w:lineRule="auto"/>
        <w:jc w:val="both"/>
        <w:rPr>
          <w:sz w:val="24"/>
          <w:szCs w:val="24"/>
        </w:rPr>
      </w:pPr>
    </w:p>
    <w:p w14:paraId="7E786F97" w14:textId="77777777" w:rsidR="00E43A56" w:rsidRPr="008B3D09" w:rsidRDefault="00E43A56" w:rsidP="00E43A56">
      <w:pPr>
        <w:spacing w:line="360" w:lineRule="auto"/>
        <w:jc w:val="both"/>
        <w:rPr>
          <w:sz w:val="24"/>
          <w:szCs w:val="24"/>
        </w:rPr>
      </w:pPr>
    </w:p>
    <w:p w14:paraId="6D5DDFD3" w14:textId="77777777" w:rsidR="00E43A56" w:rsidRPr="008B3D09" w:rsidRDefault="00E43A56" w:rsidP="00E43A56">
      <w:pPr>
        <w:spacing w:line="360" w:lineRule="auto"/>
        <w:jc w:val="both"/>
        <w:rPr>
          <w:sz w:val="24"/>
          <w:szCs w:val="24"/>
        </w:rPr>
      </w:pPr>
    </w:p>
    <w:p w14:paraId="4560981D" w14:textId="77777777" w:rsidR="00E43A56" w:rsidRPr="008B3D09" w:rsidRDefault="00E43A56" w:rsidP="00E43A56">
      <w:pPr>
        <w:spacing w:line="360" w:lineRule="auto"/>
        <w:jc w:val="both"/>
        <w:rPr>
          <w:sz w:val="24"/>
          <w:szCs w:val="24"/>
        </w:rPr>
      </w:pPr>
    </w:p>
    <w:p w14:paraId="25B8711F" w14:textId="77777777" w:rsidR="00E43A56" w:rsidRPr="008B3D09" w:rsidRDefault="00E43A56" w:rsidP="00E43A56">
      <w:pPr>
        <w:spacing w:line="360" w:lineRule="auto"/>
        <w:jc w:val="both"/>
        <w:rPr>
          <w:sz w:val="24"/>
          <w:szCs w:val="24"/>
        </w:rPr>
      </w:pPr>
    </w:p>
    <w:p w14:paraId="2FD86AE9" w14:textId="77777777" w:rsidR="00E43A56" w:rsidRPr="008B3D09" w:rsidRDefault="00E43A56" w:rsidP="00E43A56">
      <w:pPr>
        <w:spacing w:line="360" w:lineRule="auto"/>
        <w:jc w:val="both"/>
        <w:rPr>
          <w:sz w:val="24"/>
          <w:szCs w:val="24"/>
        </w:rPr>
      </w:pPr>
    </w:p>
    <w:p w14:paraId="1C8A2C69" w14:textId="77777777" w:rsidR="00E43A56" w:rsidRPr="008B3D09" w:rsidRDefault="00E43A56" w:rsidP="00E43A56">
      <w:pPr>
        <w:spacing w:line="360" w:lineRule="auto"/>
        <w:jc w:val="both"/>
        <w:rPr>
          <w:sz w:val="24"/>
          <w:szCs w:val="24"/>
        </w:rPr>
      </w:pPr>
    </w:p>
    <w:p w14:paraId="7BD681B9" w14:textId="77777777" w:rsidR="00E43A56" w:rsidRPr="008B3D09" w:rsidRDefault="00E43A56" w:rsidP="00E43A56">
      <w:pPr>
        <w:spacing w:line="360" w:lineRule="auto"/>
        <w:jc w:val="both"/>
        <w:rPr>
          <w:sz w:val="24"/>
          <w:szCs w:val="24"/>
        </w:rPr>
      </w:pPr>
    </w:p>
    <w:p w14:paraId="6F3B7E48" w14:textId="77777777" w:rsidR="00E43A56" w:rsidRPr="008B3D09" w:rsidRDefault="00E43A56" w:rsidP="00E43A56">
      <w:pPr>
        <w:spacing w:line="360" w:lineRule="auto"/>
        <w:jc w:val="both"/>
        <w:rPr>
          <w:sz w:val="24"/>
          <w:szCs w:val="24"/>
        </w:rPr>
      </w:pPr>
    </w:p>
    <w:p w14:paraId="58687588" w14:textId="77777777" w:rsidR="00E43A56" w:rsidRPr="008B3D09" w:rsidRDefault="00E43A56" w:rsidP="00E43A56">
      <w:pPr>
        <w:spacing w:line="360" w:lineRule="auto"/>
        <w:jc w:val="both"/>
        <w:rPr>
          <w:sz w:val="24"/>
          <w:szCs w:val="24"/>
        </w:rPr>
      </w:pPr>
    </w:p>
    <w:p w14:paraId="3A71D978" w14:textId="77777777" w:rsidR="00E43A56" w:rsidRPr="008B3D09" w:rsidRDefault="00E43A56" w:rsidP="00E43A56">
      <w:pPr>
        <w:spacing w:line="360" w:lineRule="auto"/>
        <w:jc w:val="both"/>
        <w:rPr>
          <w:sz w:val="24"/>
          <w:szCs w:val="24"/>
        </w:rPr>
      </w:pPr>
    </w:p>
    <w:p w14:paraId="3CB09C1F" w14:textId="77777777" w:rsidR="00E43A56" w:rsidRPr="008B3D09" w:rsidRDefault="00E43A56" w:rsidP="00E43A56">
      <w:pPr>
        <w:spacing w:line="360" w:lineRule="auto"/>
        <w:jc w:val="both"/>
        <w:rPr>
          <w:sz w:val="24"/>
          <w:szCs w:val="24"/>
        </w:rPr>
      </w:pPr>
    </w:p>
    <w:p w14:paraId="5E622EB2" w14:textId="77777777" w:rsidR="00E43A56" w:rsidRPr="008B3D09" w:rsidRDefault="00E43A56" w:rsidP="00E43A56">
      <w:pPr>
        <w:spacing w:line="360" w:lineRule="auto"/>
        <w:jc w:val="both"/>
        <w:rPr>
          <w:sz w:val="24"/>
          <w:szCs w:val="24"/>
        </w:rPr>
      </w:pPr>
    </w:p>
    <w:p w14:paraId="77A64FE8" w14:textId="77777777" w:rsidR="00E43A56" w:rsidRPr="008B3D09" w:rsidRDefault="00E43A56" w:rsidP="00E43A56">
      <w:pPr>
        <w:spacing w:line="360" w:lineRule="auto"/>
        <w:jc w:val="both"/>
        <w:rPr>
          <w:sz w:val="24"/>
          <w:szCs w:val="24"/>
        </w:rPr>
      </w:pPr>
    </w:p>
    <w:p w14:paraId="4254710A" w14:textId="77777777" w:rsidR="00E43A56" w:rsidRPr="008B3D09" w:rsidRDefault="00E43A56" w:rsidP="00E43A56">
      <w:pPr>
        <w:pStyle w:val="ListParagraph"/>
      </w:pPr>
      <w:r w:rsidRPr="008B3D09">
        <w:t>Introduction:</w:t>
      </w:r>
    </w:p>
    <w:p w14:paraId="3C816CEB" w14:textId="77777777" w:rsidR="00E43A56" w:rsidRPr="008B3D09" w:rsidRDefault="00E43A56" w:rsidP="00E43A56">
      <w:pPr>
        <w:spacing w:line="360" w:lineRule="auto"/>
        <w:jc w:val="both"/>
        <w:rPr>
          <w:sz w:val="24"/>
          <w:szCs w:val="24"/>
        </w:rPr>
      </w:pPr>
    </w:p>
    <w:p w14:paraId="4C3C3682" w14:textId="77777777" w:rsidR="00E43A56" w:rsidRPr="008B3D09" w:rsidRDefault="00E43A56" w:rsidP="00E43A56">
      <w:pPr>
        <w:widowControl/>
        <w:autoSpaceDE/>
        <w:autoSpaceDN/>
        <w:spacing w:line="360" w:lineRule="auto"/>
        <w:jc w:val="both"/>
        <w:rPr>
          <w:sz w:val="24"/>
          <w:szCs w:val="24"/>
          <w:lang w:val="en-IN" w:eastAsia="en-IN" w:bidi="hi-IN"/>
        </w:rPr>
      </w:pPr>
      <w:r w:rsidRPr="008B3D09">
        <w:rPr>
          <w:sz w:val="24"/>
          <w:szCs w:val="24"/>
          <w:lang w:val="en-IN" w:eastAsia="en-IN" w:bidi="hi-IN"/>
        </w:rPr>
        <w:t>The issue of non-performing assets (NPAs) in the Indian banking industry has drawn a lot of attention and debate. In a recent assessment on the Indian banking industry, the Standing Committee on Finance noted that growing non-performing assets (NPAs) had significantly impacted banks' ability to lend. The performance of public sector banks in relation to their growing non-performing asset (NPA) problem and the various loan recovery tools are also being examined by the Lok Sabha's Estimates Committee. Furthermore, the Reserve Bank of India's (RBI) February 2018 directions for banks on the prompt resolution of stressed assets have been questioned and the subject of numerous legal actions. Here, we look at the country's recent increase in non-performing assets (NPAs), some of the factors that contribute to them, and the actions that have been taken to date to address the problem.</w:t>
      </w:r>
    </w:p>
    <w:p w14:paraId="3D03E97A" w14:textId="77777777" w:rsidR="00E43A56" w:rsidRPr="008B3D09" w:rsidRDefault="00E43A56" w:rsidP="00E43A56">
      <w:pPr>
        <w:widowControl/>
        <w:autoSpaceDE/>
        <w:autoSpaceDN/>
        <w:spacing w:line="360" w:lineRule="auto"/>
        <w:jc w:val="both"/>
        <w:rPr>
          <w:sz w:val="24"/>
          <w:szCs w:val="24"/>
          <w:lang w:val="en-IN" w:eastAsia="en-IN" w:bidi="hi-IN"/>
        </w:rPr>
      </w:pPr>
      <w:r w:rsidRPr="008B3D09">
        <w:rPr>
          <w:sz w:val="24"/>
          <w:szCs w:val="24"/>
          <w:lang w:val="en-IN" w:eastAsia="en-IN" w:bidi="hi-IN"/>
        </w:rPr>
        <w:t>Non-Performing Assets (NPAs) are a critical indicator of the health of a financial institution, particularly banks. An asset becomes non-performing when it ceases to generate income for the bank, typically when a borrower fails to make interest or principal payments for a specified period—usually 90 days or more. Studying NPAs is essential for several reasons, as they have wide-ranging implications for the banking sector, the economy, policymakers, and investors.</w:t>
      </w:r>
    </w:p>
    <w:p w14:paraId="5A20B566" w14:textId="77777777" w:rsidR="00E43A56" w:rsidRPr="008B3D09" w:rsidRDefault="00E43A56" w:rsidP="00E43A56">
      <w:pPr>
        <w:widowControl/>
        <w:autoSpaceDE/>
        <w:autoSpaceDN/>
        <w:spacing w:line="360" w:lineRule="auto"/>
        <w:jc w:val="both"/>
        <w:rPr>
          <w:sz w:val="24"/>
          <w:szCs w:val="24"/>
          <w:lang w:val="en-IN" w:eastAsia="en-IN" w:bidi="hi-IN"/>
        </w:rPr>
      </w:pPr>
      <w:r w:rsidRPr="008B3D09">
        <w:rPr>
          <w:b/>
          <w:bCs/>
          <w:sz w:val="24"/>
          <w:szCs w:val="24"/>
          <w:lang w:val="en-IN" w:eastAsia="en-IN" w:bidi="hi-IN"/>
        </w:rPr>
        <w:t xml:space="preserve">1. Indicator of Banking Sector </w:t>
      </w:r>
      <w:proofErr w:type="gramStart"/>
      <w:r w:rsidRPr="008B3D09">
        <w:rPr>
          <w:b/>
          <w:bCs/>
          <w:sz w:val="24"/>
          <w:szCs w:val="24"/>
          <w:lang w:val="en-IN" w:eastAsia="en-IN" w:bidi="hi-IN"/>
        </w:rPr>
        <w:t xml:space="preserve">Health </w:t>
      </w:r>
      <w:r w:rsidRPr="008B3D09">
        <w:rPr>
          <w:sz w:val="24"/>
          <w:szCs w:val="24"/>
          <w:lang w:val="en-IN" w:eastAsia="en-IN" w:bidi="hi-IN"/>
        </w:rPr>
        <w:t>:</w:t>
      </w:r>
      <w:proofErr w:type="gramEnd"/>
      <w:r w:rsidRPr="008B3D09">
        <w:rPr>
          <w:sz w:val="24"/>
          <w:szCs w:val="24"/>
          <w:lang w:val="en-IN" w:eastAsia="en-IN" w:bidi="hi-IN"/>
        </w:rPr>
        <w:t xml:space="preserve"> NPAs reflect the asset quality of banks. A high level of NPAs indicates inefficiencies in credit appraisal and recovery mechanisms, leading to reduced profitability and operational strain. As banks are key financial intermediaries, the accumulation of NPAs signals underlying stress in the banking sector, necessitating closer scrutiny and remedial action.</w:t>
      </w:r>
    </w:p>
    <w:p w14:paraId="33DC0038" w14:textId="77777777" w:rsidR="00E43A56" w:rsidRPr="008B3D09" w:rsidRDefault="00E43A56" w:rsidP="00E43A56">
      <w:pPr>
        <w:widowControl/>
        <w:autoSpaceDE/>
        <w:autoSpaceDN/>
        <w:spacing w:line="360" w:lineRule="auto"/>
        <w:jc w:val="both"/>
        <w:rPr>
          <w:sz w:val="24"/>
          <w:szCs w:val="24"/>
          <w:lang w:val="en-IN" w:eastAsia="en-IN" w:bidi="hi-IN"/>
        </w:rPr>
      </w:pPr>
      <w:r w:rsidRPr="008B3D09">
        <w:rPr>
          <w:b/>
          <w:bCs/>
          <w:sz w:val="24"/>
          <w:szCs w:val="24"/>
          <w:lang w:val="en-IN" w:eastAsia="en-IN" w:bidi="hi-IN"/>
        </w:rPr>
        <w:t xml:space="preserve">2. Impact on Bank Profitability and Lending </w:t>
      </w:r>
      <w:proofErr w:type="gramStart"/>
      <w:r w:rsidRPr="008B3D09">
        <w:rPr>
          <w:b/>
          <w:bCs/>
          <w:sz w:val="24"/>
          <w:szCs w:val="24"/>
          <w:lang w:val="en-IN" w:eastAsia="en-IN" w:bidi="hi-IN"/>
        </w:rPr>
        <w:t>Capacity</w:t>
      </w:r>
      <w:r w:rsidRPr="008B3D09">
        <w:rPr>
          <w:sz w:val="24"/>
          <w:szCs w:val="24"/>
          <w:lang w:val="en-IN" w:eastAsia="en-IN" w:bidi="hi-IN"/>
        </w:rPr>
        <w:t xml:space="preserve"> :</w:t>
      </w:r>
      <w:proofErr w:type="gramEnd"/>
      <w:r w:rsidRPr="008B3D09">
        <w:rPr>
          <w:sz w:val="24"/>
          <w:szCs w:val="24"/>
          <w:lang w:val="en-IN" w:eastAsia="en-IN" w:bidi="hi-IN"/>
        </w:rPr>
        <w:t xml:space="preserve"> When assets become non-performing, banks lose interest income and may have to make provisions against those loans, directly affecting their profitability. This reduction in earnings limits the bank’s ability to lend further, thereby curtailing credit availability to businesses and consumers. Consequently, NPAs can cause a contraction in economic activity by reducing the flow of credit to productive sectors.</w:t>
      </w:r>
    </w:p>
    <w:p w14:paraId="1A0128FB" w14:textId="77777777" w:rsidR="00E43A56" w:rsidRPr="008B3D09" w:rsidRDefault="00E43A56" w:rsidP="00E43A56">
      <w:pPr>
        <w:widowControl/>
        <w:autoSpaceDE/>
        <w:autoSpaceDN/>
        <w:spacing w:line="360" w:lineRule="auto"/>
        <w:jc w:val="both"/>
        <w:rPr>
          <w:sz w:val="24"/>
          <w:szCs w:val="24"/>
          <w:lang w:val="en-IN" w:eastAsia="en-IN" w:bidi="hi-IN"/>
        </w:rPr>
      </w:pPr>
      <w:r w:rsidRPr="008B3D09">
        <w:rPr>
          <w:b/>
          <w:bCs/>
          <w:sz w:val="24"/>
          <w:szCs w:val="24"/>
          <w:lang w:val="en-IN" w:eastAsia="en-IN" w:bidi="hi-IN"/>
        </w:rPr>
        <w:t xml:space="preserve">3. Capital Erosion and Investor </w:t>
      </w:r>
      <w:proofErr w:type="gramStart"/>
      <w:r w:rsidRPr="008B3D09">
        <w:rPr>
          <w:b/>
          <w:bCs/>
          <w:sz w:val="24"/>
          <w:szCs w:val="24"/>
          <w:lang w:val="en-IN" w:eastAsia="en-IN" w:bidi="hi-IN"/>
        </w:rPr>
        <w:t>Confidence</w:t>
      </w:r>
      <w:r w:rsidRPr="008B3D09">
        <w:rPr>
          <w:sz w:val="24"/>
          <w:szCs w:val="24"/>
          <w:lang w:val="en-IN" w:eastAsia="en-IN" w:bidi="hi-IN"/>
        </w:rPr>
        <w:t xml:space="preserve"> :</w:t>
      </w:r>
      <w:proofErr w:type="gramEnd"/>
      <w:r w:rsidRPr="008B3D09">
        <w:rPr>
          <w:sz w:val="24"/>
          <w:szCs w:val="24"/>
          <w:lang w:val="en-IN" w:eastAsia="en-IN" w:bidi="hi-IN"/>
        </w:rPr>
        <w:t xml:space="preserve"> High NPAs erode a bank’s capital base since more provisions are required to cover potential losses. This affects the bank’s capital adequacy ratio, potentially leading to capital infusion by the government or promoters, particularly in public sector banks. Declining financial performance due to rising NPAs can also reduce investor confidence, negatively impacting share prices and market valuations.</w:t>
      </w:r>
    </w:p>
    <w:p w14:paraId="398DE759" w14:textId="77777777" w:rsidR="00E43A56" w:rsidRPr="008B3D09" w:rsidRDefault="00E43A56" w:rsidP="00E43A56">
      <w:pPr>
        <w:widowControl/>
        <w:autoSpaceDE/>
        <w:autoSpaceDN/>
        <w:spacing w:line="360" w:lineRule="auto"/>
        <w:jc w:val="both"/>
        <w:rPr>
          <w:sz w:val="24"/>
          <w:szCs w:val="24"/>
          <w:lang w:val="en-IN" w:eastAsia="en-IN" w:bidi="hi-IN"/>
        </w:rPr>
      </w:pPr>
      <w:r w:rsidRPr="008B3D09">
        <w:rPr>
          <w:b/>
          <w:bCs/>
          <w:sz w:val="24"/>
          <w:szCs w:val="24"/>
          <w:lang w:val="en-IN" w:eastAsia="en-IN" w:bidi="hi-IN"/>
        </w:rPr>
        <w:t xml:space="preserve">4. Macroeconomic </w:t>
      </w:r>
      <w:proofErr w:type="gramStart"/>
      <w:r w:rsidRPr="008B3D09">
        <w:rPr>
          <w:b/>
          <w:bCs/>
          <w:sz w:val="24"/>
          <w:szCs w:val="24"/>
          <w:lang w:val="en-IN" w:eastAsia="en-IN" w:bidi="hi-IN"/>
        </w:rPr>
        <w:t>Implications</w:t>
      </w:r>
      <w:r w:rsidRPr="008B3D09">
        <w:rPr>
          <w:sz w:val="24"/>
          <w:szCs w:val="24"/>
          <w:lang w:val="en-IN" w:eastAsia="en-IN" w:bidi="hi-IN"/>
        </w:rPr>
        <w:t xml:space="preserve"> :</w:t>
      </w:r>
      <w:proofErr w:type="gramEnd"/>
      <w:r w:rsidRPr="008B3D09">
        <w:rPr>
          <w:sz w:val="24"/>
          <w:szCs w:val="24"/>
          <w:lang w:val="en-IN" w:eastAsia="en-IN" w:bidi="hi-IN"/>
        </w:rPr>
        <w:t xml:space="preserve"> At a macro level, rising NPAs can hinder economic growth. Credit is the lifeline of any economy, and when banks become risk-averse due to bad loans, credit </w:t>
      </w:r>
      <w:r w:rsidRPr="008B3D09">
        <w:rPr>
          <w:sz w:val="24"/>
          <w:szCs w:val="24"/>
          <w:lang w:val="en-IN" w:eastAsia="en-IN" w:bidi="hi-IN"/>
        </w:rPr>
        <w:lastRenderedPageBreak/>
        <w:t>growth slows down. Sectors dependent on institutional credit—such as infrastructure, manufacturing, and MSMEs—may face stagnation, resulting in job losses and reduced economic output. Moreover, a banking crisis triggered by NPAs can lead to financial instability, as seen during global financial downturns.</w:t>
      </w:r>
    </w:p>
    <w:p w14:paraId="13F103B9" w14:textId="77777777" w:rsidR="00E43A56" w:rsidRPr="008B3D09" w:rsidRDefault="00E43A56" w:rsidP="00E43A56">
      <w:pPr>
        <w:widowControl/>
        <w:autoSpaceDE/>
        <w:autoSpaceDN/>
        <w:spacing w:line="360" w:lineRule="auto"/>
        <w:jc w:val="both"/>
        <w:rPr>
          <w:sz w:val="24"/>
          <w:szCs w:val="24"/>
          <w:lang w:val="en-IN" w:eastAsia="en-IN" w:bidi="hi-IN"/>
        </w:rPr>
      </w:pPr>
      <w:r w:rsidRPr="008B3D09">
        <w:rPr>
          <w:b/>
          <w:bCs/>
          <w:sz w:val="24"/>
          <w:szCs w:val="24"/>
          <w:lang w:val="en-IN" w:eastAsia="en-IN" w:bidi="hi-IN"/>
        </w:rPr>
        <w:t xml:space="preserve">5. Insights for Policymaking and </w:t>
      </w:r>
      <w:proofErr w:type="gramStart"/>
      <w:r w:rsidRPr="008B3D09">
        <w:rPr>
          <w:b/>
          <w:bCs/>
          <w:sz w:val="24"/>
          <w:szCs w:val="24"/>
          <w:lang w:val="en-IN" w:eastAsia="en-IN" w:bidi="hi-IN"/>
        </w:rPr>
        <w:t>Regulation</w:t>
      </w:r>
      <w:r w:rsidRPr="008B3D09">
        <w:rPr>
          <w:sz w:val="24"/>
          <w:szCs w:val="24"/>
          <w:lang w:val="en-IN" w:eastAsia="en-IN" w:bidi="hi-IN"/>
        </w:rPr>
        <w:t xml:space="preserve"> :</w:t>
      </w:r>
      <w:proofErr w:type="gramEnd"/>
      <w:r w:rsidRPr="008B3D09">
        <w:rPr>
          <w:sz w:val="24"/>
          <w:szCs w:val="24"/>
          <w:lang w:val="en-IN" w:eastAsia="en-IN" w:bidi="hi-IN"/>
        </w:rPr>
        <w:t xml:space="preserve"> Studying NPAs helps regulators and policymakers understand sectoral vulnerabilities and design effective interventions. It aids in the formulation of policies like asset quality reviews, restructuring frameworks, insolvency and bankruptcy codes, and recapitalization schemes. Timely identification and resolution of NPAs help in maintaining the stability of the financial system and ensure that banks remain solvent and functional.</w:t>
      </w:r>
    </w:p>
    <w:p w14:paraId="20288123" w14:textId="77777777" w:rsidR="00E43A56" w:rsidRPr="008B3D09" w:rsidRDefault="00E43A56" w:rsidP="00E43A56">
      <w:pPr>
        <w:widowControl/>
        <w:autoSpaceDE/>
        <w:autoSpaceDN/>
        <w:spacing w:line="360" w:lineRule="auto"/>
        <w:jc w:val="both"/>
        <w:rPr>
          <w:sz w:val="24"/>
          <w:szCs w:val="24"/>
          <w:lang w:val="en-IN" w:eastAsia="en-IN" w:bidi="hi-IN"/>
        </w:rPr>
      </w:pPr>
      <w:r w:rsidRPr="008B3D09">
        <w:rPr>
          <w:b/>
          <w:bCs/>
          <w:sz w:val="24"/>
          <w:szCs w:val="24"/>
          <w:lang w:val="en-IN" w:eastAsia="en-IN" w:bidi="hi-IN"/>
        </w:rPr>
        <w:t>6. Enhancing Credit Discipline and Governance</w:t>
      </w:r>
      <w:r w:rsidRPr="008B3D09">
        <w:rPr>
          <w:sz w:val="24"/>
          <w:szCs w:val="24"/>
          <w:lang w:val="en-IN" w:eastAsia="en-IN" w:bidi="hi-IN"/>
        </w:rPr>
        <w:t>: Research on NPAs can uncover systemic issues in credit disbursal, such as political interference, poor due diligence, or fraud. Understanding the causes of loan defaults helps banks improve credit assessment practices, enforce stricter due diligence, and enhance accountability at the managerial level. It also encourages borrowers to maintain better credit discipline.</w:t>
      </w:r>
    </w:p>
    <w:p w14:paraId="4CEEE6A5" w14:textId="77777777" w:rsidR="00E43A56" w:rsidRPr="008B3D09" w:rsidRDefault="00E43A56" w:rsidP="00E43A56">
      <w:pPr>
        <w:widowControl/>
        <w:autoSpaceDE/>
        <w:autoSpaceDN/>
        <w:spacing w:line="360" w:lineRule="auto"/>
        <w:jc w:val="both"/>
        <w:rPr>
          <w:sz w:val="24"/>
          <w:szCs w:val="24"/>
          <w:lang w:val="en-IN" w:eastAsia="en-IN" w:bidi="hi-IN"/>
        </w:rPr>
      </w:pPr>
    </w:p>
    <w:p w14:paraId="041313FF" w14:textId="77777777" w:rsidR="00E43A56" w:rsidRPr="008B3D09" w:rsidRDefault="00E43A56" w:rsidP="00E43A56">
      <w:pPr>
        <w:spacing w:line="360" w:lineRule="auto"/>
        <w:jc w:val="both"/>
        <w:rPr>
          <w:sz w:val="24"/>
          <w:szCs w:val="24"/>
        </w:rPr>
      </w:pPr>
    </w:p>
    <w:p w14:paraId="6AF2DF1F" w14:textId="77777777" w:rsidR="00E43A56" w:rsidRPr="008B3D09" w:rsidRDefault="00E43A56" w:rsidP="00E43A56">
      <w:pPr>
        <w:pStyle w:val="NoSpacing"/>
        <w:spacing w:line="360" w:lineRule="auto"/>
        <w:jc w:val="both"/>
        <w:rPr>
          <w:szCs w:val="24"/>
        </w:rPr>
      </w:pPr>
      <w:r w:rsidRPr="008B3D09">
        <w:rPr>
          <w:szCs w:val="24"/>
        </w:rPr>
        <w:t>What is the extent and effect of the NPA problem in India?</w:t>
      </w:r>
    </w:p>
    <w:p w14:paraId="02669F07" w14:textId="77777777" w:rsidR="00E43A56" w:rsidRPr="008B3D09" w:rsidRDefault="00E43A56" w:rsidP="00E43A56">
      <w:pPr>
        <w:spacing w:line="360" w:lineRule="auto"/>
        <w:jc w:val="both"/>
        <w:rPr>
          <w:sz w:val="24"/>
          <w:szCs w:val="24"/>
        </w:rPr>
      </w:pPr>
    </w:p>
    <w:p w14:paraId="35EF7F46"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Banks provide loans and advances to borrowers, which are classified based on repayment performance. These loans can be either: (i) standard assets, where borrowers consistently make payments, or (ii) non-performing assets (NPAs), where no repayment of interest or principal has been made for over 90 days.</w:t>
      </w:r>
    </w:p>
    <w:p w14:paraId="3FF26EF5"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As of March 31, 2018, preliminary data shows that gross NPAs in the Indian economy amounted to ₹10.35 lakh crore. Public sector banks accounted for approximately 85% of these NPAs. For example, the State Bank of India alone had NPAs worth ₹2.23 lakh crore.</w:t>
      </w:r>
    </w:p>
    <w:p w14:paraId="52978545"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Over the past decade, the gross NPA ratio—NPAs as a percentage of total loans—has risen significantly, from 2.3% in 2008 to 9.3% in 2017 (refer to Figure 1). This trend suggests that a growing share of banks’ assets are no longer generating income, which negatively affects their profitability and limits their capacity to extend new credit. The rise in NPAs forces banks to allocate more funds as provisions for potential losses, further straining their financial health. These increased provisions, combined with structural inefficiencies, contribute to declining profitability. Bank profitability is typically measured using Return on Assets (</w:t>
      </w:r>
      <w:proofErr w:type="spellStart"/>
      <w:r w:rsidRPr="008B3D09">
        <w:rPr>
          <w:sz w:val="24"/>
          <w:szCs w:val="24"/>
          <w:lang w:val="en-IN" w:eastAsia="en-IN" w:bidi="hi-IN"/>
        </w:rPr>
        <w:t>RoA</w:t>
      </w:r>
      <w:proofErr w:type="spellEnd"/>
      <w:r w:rsidRPr="008B3D09">
        <w:rPr>
          <w:sz w:val="24"/>
          <w:szCs w:val="24"/>
          <w:lang w:val="en-IN" w:eastAsia="en-IN" w:bidi="hi-IN"/>
        </w:rPr>
        <w:t xml:space="preserve">), which reflects net profit relative to </w:t>
      </w:r>
      <w:r w:rsidRPr="008B3D09">
        <w:rPr>
          <w:sz w:val="24"/>
          <w:szCs w:val="24"/>
          <w:lang w:val="en-IN" w:eastAsia="en-IN" w:bidi="hi-IN"/>
        </w:rPr>
        <w:lastRenderedPageBreak/>
        <w:t xml:space="preserve">total assets. In recent years, </w:t>
      </w:r>
      <w:proofErr w:type="spellStart"/>
      <w:r w:rsidRPr="008B3D09">
        <w:rPr>
          <w:sz w:val="24"/>
          <w:szCs w:val="24"/>
          <w:lang w:val="en-IN" w:eastAsia="en-IN" w:bidi="hi-IN"/>
        </w:rPr>
        <w:t>RoA</w:t>
      </w:r>
      <w:proofErr w:type="spellEnd"/>
      <w:r w:rsidRPr="008B3D09">
        <w:rPr>
          <w:sz w:val="24"/>
          <w:szCs w:val="24"/>
          <w:lang w:val="en-IN" w:eastAsia="en-IN" w:bidi="hi-IN"/>
        </w:rPr>
        <w:t xml:space="preserve"> has declined (see Figure 2), leaving banks more exposed to economic downturns and posing risks to depositor funds.</w:t>
      </w:r>
    </w:p>
    <w:p w14:paraId="19E080DC" w14:textId="77777777" w:rsidR="00E43A56" w:rsidRPr="008B3D09" w:rsidRDefault="00E43A56" w:rsidP="00E43A56">
      <w:pPr>
        <w:spacing w:line="360" w:lineRule="auto"/>
        <w:jc w:val="both"/>
        <w:rPr>
          <w:sz w:val="24"/>
          <w:szCs w:val="24"/>
        </w:rPr>
      </w:pPr>
      <w:r w:rsidRPr="008B3D09">
        <w:rPr>
          <w:noProof/>
          <w:sz w:val="24"/>
          <w:szCs w:val="24"/>
          <w:lang w:val="en-IN" w:eastAsia="en-IN"/>
        </w:rPr>
        <w:drawing>
          <wp:anchor distT="0" distB="0" distL="0" distR="0" simplePos="0" relativeHeight="251659264" behindDoc="1" locked="0" layoutInCell="1" allowOverlap="1" wp14:anchorId="0CB574EC" wp14:editId="2853434C">
            <wp:simplePos x="0" y="0"/>
            <wp:positionH relativeFrom="page">
              <wp:posOffset>990553</wp:posOffset>
            </wp:positionH>
            <wp:positionV relativeFrom="paragraph">
              <wp:posOffset>262304</wp:posOffset>
            </wp:positionV>
            <wp:extent cx="6085665" cy="281940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6085665" cy="2819400"/>
                    </a:xfrm>
                    <a:prstGeom prst="rect">
                      <a:avLst/>
                    </a:prstGeom>
                  </pic:spPr>
                </pic:pic>
              </a:graphicData>
            </a:graphic>
          </wp:anchor>
        </w:drawing>
      </w:r>
    </w:p>
    <w:p w14:paraId="54BC34C3" w14:textId="77777777" w:rsidR="00E43A56" w:rsidRPr="008B3D09" w:rsidRDefault="00E43A56" w:rsidP="00E43A56">
      <w:pPr>
        <w:spacing w:line="360" w:lineRule="auto"/>
        <w:jc w:val="both"/>
        <w:rPr>
          <w:sz w:val="24"/>
          <w:szCs w:val="24"/>
        </w:rPr>
      </w:pPr>
    </w:p>
    <w:p w14:paraId="5341098F" w14:textId="77777777" w:rsidR="00E43A56" w:rsidRPr="008B3D09" w:rsidRDefault="00E43A56" w:rsidP="00E43A56">
      <w:pPr>
        <w:pStyle w:val="NoSpacing"/>
        <w:spacing w:line="360" w:lineRule="auto"/>
        <w:jc w:val="both"/>
        <w:rPr>
          <w:szCs w:val="24"/>
        </w:rPr>
      </w:pPr>
      <w:r w:rsidRPr="008B3D09">
        <w:rPr>
          <w:szCs w:val="24"/>
        </w:rPr>
        <w:t>What led to the rise in NPAs?</w:t>
      </w:r>
    </w:p>
    <w:p w14:paraId="0118A24C" w14:textId="77777777" w:rsidR="00E43A56" w:rsidRPr="008B3D09" w:rsidRDefault="00E43A56" w:rsidP="00E43A56">
      <w:pPr>
        <w:spacing w:line="360" w:lineRule="auto"/>
        <w:jc w:val="both"/>
        <w:rPr>
          <w:sz w:val="24"/>
          <w:szCs w:val="24"/>
        </w:rPr>
      </w:pPr>
    </w:p>
    <w:p w14:paraId="2916EDF1" w14:textId="77777777" w:rsidR="00E43A56" w:rsidRPr="008B3D09" w:rsidRDefault="00E43A56" w:rsidP="00E43A56">
      <w:pPr>
        <w:pStyle w:val="NoSpacing"/>
        <w:numPr>
          <w:ilvl w:val="0"/>
          <w:numId w:val="0"/>
        </w:numPr>
        <w:spacing w:line="360" w:lineRule="auto"/>
        <w:ind w:left="284" w:firstLine="76"/>
        <w:jc w:val="both"/>
        <w:rPr>
          <w:b w:val="0"/>
          <w:bCs/>
          <w:szCs w:val="24"/>
          <w:lang w:val="en-IN" w:eastAsia="en-IN" w:bidi="hi-IN"/>
        </w:rPr>
      </w:pPr>
      <w:r w:rsidRPr="008B3D09">
        <w:rPr>
          <w:b w:val="0"/>
          <w:bCs/>
          <w:szCs w:val="24"/>
          <w:lang w:val="en-IN" w:eastAsia="en-IN" w:bidi="hi-IN"/>
        </w:rPr>
        <w:t>Several factors have contributed to the rise in non-performing assets (NPAs), some of which are external—such as the decline in global commodity prices that affected export performance—while others are rooted within the Indian banking system itself.</w:t>
      </w:r>
    </w:p>
    <w:p w14:paraId="6FB2F018" w14:textId="77777777" w:rsidR="00E43A56" w:rsidRPr="008B3D09" w:rsidRDefault="00E43A56" w:rsidP="00E43A56">
      <w:pPr>
        <w:pStyle w:val="NoSpacing"/>
        <w:numPr>
          <w:ilvl w:val="0"/>
          <w:numId w:val="0"/>
        </w:numPr>
        <w:spacing w:line="360" w:lineRule="auto"/>
        <w:ind w:left="284"/>
        <w:jc w:val="both"/>
        <w:rPr>
          <w:b w:val="0"/>
          <w:bCs/>
          <w:szCs w:val="24"/>
          <w:lang w:val="en-IN" w:eastAsia="en-IN" w:bidi="hi-IN"/>
        </w:rPr>
      </w:pPr>
      <w:r w:rsidRPr="008B3D09">
        <w:rPr>
          <w:b w:val="0"/>
          <w:bCs/>
          <w:szCs w:val="24"/>
          <w:lang w:val="en-IN" w:eastAsia="en-IN" w:bidi="hi-IN"/>
        </w:rPr>
        <w:t>Many of the loans that have now turned into NPAs were issued in the mid-2000s, a period marked by robust economic growth and optimistic business expectations. During this time, large companies received loans for new projects based on their recent performance and projected future success. With easier access to credit, these firms became highly leveraged, relying heavily on borrowed funds rather than internal capital from promoters. However, when economic growth slowed down after the 2008 global financial crisis, their ability to repay loans declined sharply. This situation led to what is referred to as India’s “Twin Balance Sheet” problem—where both the lenders (banks) and the borrowers (corporates) are under financial strain.</w:t>
      </w:r>
    </w:p>
    <w:p w14:paraId="3EB1C13E" w14:textId="77777777" w:rsidR="00E43A56" w:rsidRPr="008B3D09" w:rsidRDefault="00E43A56" w:rsidP="00E43A56">
      <w:pPr>
        <w:pStyle w:val="NoSpacing"/>
        <w:numPr>
          <w:ilvl w:val="0"/>
          <w:numId w:val="0"/>
        </w:numPr>
        <w:spacing w:line="360" w:lineRule="auto"/>
        <w:ind w:left="284"/>
        <w:jc w:val="both"/>
        <w:rPr>
          <w:b w:val="0"/>
          <w:bCs/>
          <w:szCs w:val="24"/>
          <w:lang w:val="en-IN" w:eastAsia="en-IN" w:bidi="hi-IN"/>
        </w:rPr>
      </w:pPr>
      <w:r w:rsidRPr="008B3D09">
        <w:rPr>
          <w:b w:val="0"/>
          <w:bCs/>
          <w:szCs w:val="24"/>
          <w:lang w:val="en-IN" w:eastAsia="en-IN" w:bidi="hi-IN"/>
        </w:rPr>
        <w:t>As the projects funded by these loans began to underperform, borrowers found it increasingly difficult to repay. In response, banks engaged in “evergreening,” a practice in which they extended new loans to help borrowers pay existing interest obligations. While this delayed the classification of these loans as NPAs, it failed to address the underlying financial weaknesses of the projects.</w:t>
      </w:r>
    </w:p>
    <w:p w14:paraId="444F34C6" w14:textId="77777777" w:rsidR="00E43A56" w:rsidRPr="008B3D09" w:rsidRDefault="00E43A56" w:rsidP="00E43A56">
      <w:pPr>
        <w:pStyle w:val="NoSpacing"/>
        <w:numPr>
          <w:ilvl w:val="0"/>
          <w:numId w:val="0"/>
        </w:numPr>
        <w:spacing w:line="360" w:lineRule="auto"/>
        <w:ind w:left="284"/>
        <w:jc w:val="both"/>
        <w:rPr>
          <w:b w:val="0"/>
          <w:bCs/>
          <w:szCs w:val="24"/>
          <w:lang w:val="en-IN" w:eastAsia="en-IN" w:bidi="hi-IN"/>
        </w:rPr>
      </w:pPr>
      <w:r w:rsidRPr="008B3D09">
        <w:rPr>
          <w:b w:val="0"/>
          <w:bCs/>
          <w:szCs w:val="24"/>
          <w:lang w:val="en-IN" w:eastAsia="en-IN" w:bidi="hi-IN"/>
        </w:rPr>
        <w:t xml:space="preserve">Additionally, the problem has been worsened by large-scale financial frauds. Although the overall contribution of such frauds to total NPAs is relatively minor, their frequency has been growing. </w:t>
      </w:r>
      <w:r w:rsidRPr="008B3D09">
        <w:rPr>
          <w:b w:val="0"/>
          <w:bCs/>
          <w:szCs w:val="24"/>
          <w:lang w:val="en-IN" w:eastAsia="en-IN" w:bidi="hi-IN"/>
        </w:rPr>
        <w:lastRenderedPageBreak/>
        <w:t>Alarmingly, many major fraudsters have yet to face serious consequences, further undermining confidence in the system.</w:t>
      </w:r>
    </w:p>
    <w:p w14:paraId="2DA8742F" w14:textId="77777777" w:rsidR="00E43A56" w:rsidRPr="008B3D09" w:rsidRDefault="00E43A56" w:rsidP="00E43A56">
      <w:pPr>
        <w:pStyle w:val="NoSpacing"/>
        <w:numPr>
          <w:ilvl w:val="0"/>
          <w:numId w:val="0"/>
        </w:numPr>
        <w:spacing w:line="360" w:lineRule="auto"/>
        <w:ind w:left="720"/>
        <w:jc w:val="both"/>
        <w:rPr>
          <w:szCs w:val="24"/>
          <w:lang w:val="en-IN" w:eastAsia="en-IN" w:bidi="hi-IN"/>
        </w:rPr>
      </w:pPr>
    </w:p>
    <w:p w14:paraId="327E0A43" w14:textId="77777777" w:rsidR="00E43A56" w:rsidRPr="008B3D09" w:rsidRDefault="00E43A56" w:rsidP="00E43A56">
      <w:pPr>
        <w:pStyle w:val="NoSpacing"/>
        <w:spacing w:line="360" w:lineRule="auto"/>
        <w:jc w:val="both"/>
        <w:rPr>
          <w:szCs w:val="24"/>
        </w:rPr>
      </w:pPr>
      <w:r w:rsidRPr="008B3D09">
        <w:rPr>
          <w:szCs w:val="24"/>
        </w:rPr>
        <w:t>What is being done to address the problem of growing NPAs?</w:t>
      </w:r>
    </w:p>
    <w:p w14:paraId="285C885B" w14:textId="77777777" w:rsidR="00E43A56" w:rsidRPr="008B3D09" w:rsidRDefault="00E43A56" w:rsidP="00E43A56">
      <w:pPr>
        <w:spacing w:line="360" w:lineRule="auto"/>
        <w:jc w:val="both"/>
        <w:rPr>
          <w:sz w:val="24"/>
          <w:szCs w:val="24"/>
        </w:rPr>
      </w:pPr>
    </w:p>
    <w:p w14:paraId="00E7C0A3"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Efforts to address and prevent non-performing assets (NPAs) can generally be divided into two categories: first, legal and regulatory frameworks aimed at resolving NPAs, such as the Insolvency and Bankruptcy Code (IBC); and second, corrective measures implemented by the Reserve Bank of India (RBI) to help banks internally restructure stressed assets.</w:t>
      </w:r>
    </w:p>
    <w:p w14:paraId="55D5DBD2"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The Insolvency and Bankruptcy Code, introduced in May 2016, was designed to facilitate a time-bound recovery process—typically within 180 days—for accounts where borrowers are unable to meet their repayment obligations. Under this framework, creditors, guided by a licensed insolvency professional, decide whether to restructure the defaulted loan or sell the borrower's assets to recover dues. If no decision is reached within the stipulated time, the borrower’s assets are liquidated. For enforcement, personal insolvency cases are handled by the Debt Recovery Tribunal, while corporate cases fall under the jurisdiction of the National Company Law Tribunal (NCLT). As of March 2018, 701 cases had been filed under the IBC, out of which 176 had been resolved.</w:t>
      </w:r>
    </w:p>
    <w:p w14:paraId="085EE062" w14:textId="77777777" w:rsidR="00E43A56" w:rsidRPr="008B3D09" w:rsidRDefault="00E43A56" w:rsidP="00E43A56">
      <w:pPr>
        <w:spacing w:line="360" w:lineRule="auto"/>
        <w:jc w:val="both"/>
        <w:rPr>
          <w:sz w:val="24"/>
          <w:szCs w:val="24"/>
        </w:rPr>
      </w:pPr>
    </w:p>
    <w:p w14:paraId="3AD2CD6B" w14:textId="77777777" w:rsidR="00E43A56" w:rsidRPr="008B3D09" w:rsidRDefault="00E43A56" w:rsidP="00E43A56">
      <w:pPr>
        <w:pStyle w:val="NoSpacing"/>
        <w:spacing w:line="360" w:lineRule="auto"/>
        <w:jc w:val="both"/>
        <w:rPr>
          <w:szCs w:val="24"/>
        </w:rPr>
      </w:pPr>
      <w:r w:rsidRPr="008B3D09">
        <w:rPr>
          <w:szCs w:val="24"/>
        </w:rPr>
        <w:t>What changed recently in the RBI’s guidelines to banks?</w:t>
      </w:r>
    </w:p>
    <w:p w14:paraId="441F5617" w14:textId="77777777" w:rsidR="00E43A56" w:rsidRPr="008B3D09" w:rsidRDefault="00E43A56" w:rsidP="00E43A56">
      <w:pPr>
        <w:spacing w:line="360" w:lineRule="auto"/>
        <w:jc w:val="both"/>
        <w:rPr>
          <w:sz w:val="24"/>
          <w:szCs w:val="24"/>
        </w:rPr>
      </w:pPr>
    </w:p>
    <w:p w14:paraId="0136907E"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Over time, the Reserve Bank of India (RBI) has introduced several guidelines to address the issue of stressed assets in the banking sector. These included initiatives such as:</w:t>
      </w:r>
    </w:p>
    <w:p w14:paraId="2551E6F9" w14:textId="77777777" w:rsidR="00E43A56" w:rsidRPr="008B3D09" w:rsidRDefault="00E43A56" w:rsidP="00E43A56">
      <w:pPr>
        <w:widowControl/>
        <w:numPr>
          <w:ilvl w:val="0"/>
          <w:numId w:val="23"/>
        </w:numPr>
        <w:autoSpaceDE/>
        <w:autoSpaceDN/>
        <w:spacing w:before="100" w:beforeAutospacing="1" w:after="100" w:afterAutospacing="1" w:line="360" w:lineRule="auto"/>
        <w:jc w:val="both"/>
        <w:rPr>
          <w:sz w:val="24"/>
          <w:szCs w:val="24"/>
          <w:lang w:val="en-IN" w:eastAsia="en-IN" w:bidi="hi-IN"/>
        </w:rPr>
      </w:pPr>
      <w:r w:rsidRPr="008B3D09">
        <w:rPr>
          <w:b/>
          <w:bCs/>
          <w:sz w:val="24"/>
          <w:szCs w:val="24"/>
          <w:lang w:val="en-IN" w:eastAsia="en-IN" w:bidi="hi-IN"/>
        </w:rPr>
        <w:t>Strategic Debt Restructuring (SDR):</w:t>
      </w:r>
      <w:r w:rsidRPr="008B3D09">
        <w:rPr>
          <w:sz w:val="24"/>
          <w:szCs w:val="24"/>
          <w:lang w:val="en-IN" w:eastAsia="en-IN" w:bidi="hi-IN"/>
        </w:rPr>
        <w:t xml:space="preserve"> This allowed banks to take control of the management of defaulting companies.</w:t>
      </w:r>
    </w:p>
    <w:p w14:paraId="5216B6F3" w14:textId="77777777" w:rsidR="00E43A56" w:rsidRPr="008B3D09" w:rsidRDefault="00E43A56" w:rsidP="00E43A56">
      <w:pPr>
        <w:widowControl/>
        <w:numPr>
          <w:ilvl w:val="0"/>
          <w:numId w:val="23"/>
        </w:numPr>
        <w:autoSpaceDE/>
        <w:autoSpaceDN/>
        <w:spacing w:before="100" w:beforeAutospacing="1" w:after="100" w:afterAutospacing="1" w:line="360" w:lineRule="auto"/>
        <w:jc w:val="both"/>
        <w:rPr>
          <w:sz w:val="24"/>
          <w:szCs w:val="24"/>
          <w:lang w:val="en-IN" w:eastAsia="en-IN" w:bidi="hi-IN"/>
        </w:rPr>
      </w:pPr>
      <w:r w:rsidRPr="008B3D09">
        <w:rPr>
          <w:b/>
          <w:bCs/>
          <w:sz w:val="24"/>
          <w:szCs w:val="24"/>
          <w:lang w:val="en-IN" w:eastAsia="en-IN" w:bidi="hi-IN"/>
        </w:rPr>
        <w:t>Joint Lenders’ Forum (JLF):</w:t>
      </w:r>
      <w:r w:rsidRPr="008B3D09">
        <w:rPr>
          <w:sz w:val="24"/>
          <w:szCs w:val="24"/>
          <w:lang w:val="en-IN" w:eastAsia="en-IN" w:bidi="hi-IN"/>
        </w:rPr>
        <w:t xml:space="preserve"> A platform where lenders collaborated to formulate and vote on resolution strategies.</w:t>
      </w:r>
    </w:p>
    <w:p w14:paraId="4C755B1C"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Following the introduction of the Insolvency and Bankruptcy Code (IBC), the RBI issued a new circular in February 2018 that replaced all previous schemes with a unified, streamlined, and time-bound framework for resolving stressed assets.</w:t>
      </w:r>
    </w:p>
    <w:p w14:paraId="4D3526A0"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 xml:space="preserve">Under this revised framework, banks were required to implement a resolution plan within 180 days. If they failed to do so, the stressed accounts had to be referred to the National Company Law </w:t>
      </w:r>
      <w:r w:rsidRPr="008B3D09">
        <w:rPr>
          <w:sz w:val="24"/>
          <w:szCs w:val="24"/>
          <w:lang w:val="en-IN" w:eastAsia="en-IN" w:bidi="hi-IN"/>
        </w:rPr>
        <w:lastRenderedPageBreak/>
        <w:t>Tribunal (NCLT) under the IBC within 15 days. Additionally, the framework introduced a “one-day default” monitoring system, where even a single day’s delay in repayment triggered early warning signals.</w:t>
      </w:r>
    </w:p>
    <w:p w14:paraId="0B179FB8"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Some borrowers whose loans had already been classified as NPAs prior to the circular missed the 180-day resolution deadline. These included entities such as power producers and sugar mills, who subsequently challenged the RBI’s guidelines in various High Courts. The Allahabad High Court upheld the RBI's authority to issue such regulations and declined interim relief to borrowers to avoid being referred to the NCLT. Eventually, all legal challenges were consolidated and transferred to the Supreme Court, which issued a status quo order. This means no new insolvency proceedings can be initiated under the circular until the Supreme Court delivers its verdict. As a result, borrowers who approached the courts have received temporary relief until the matter is heard in November 2018.</w:t>
      </w:r>
    </w:p>
    <w:p w14:paraId="24571649" w14:textId="77777777" w:rsidR="00E43A56" w:rsidRPr="008B3D09" w:rsidRDefault="00E43A56" w:rsidP="00E43A56">
      <w:pPr>
        <w:widowControl/>
        <w:autoSpaceDE/>
        <w:autoSpaceDN/>
        <w:spacing w:line="360" w:lineRule="auto"/>
        <w:jc w:val="both"/>
        <w:rPr>
          <w:sz w:val="24"/>
          <w:szCs w:val="24"/>
          <w:lang w:val="en-IN" w:eastAsia="en-IN" w:bidi="hi-IN"/>
        </w:rPr>
      </w:pPr>
    </w:p>
    <w:p w14:paraId="3BFEAA17" w14:textId="77777777" w:rsidR="00E43A56" w:rsidRPr="008B3D09" w:rsidRDefault="00E43A56" w:rsidP="00E43A56">
      <w:pPr>
        <w:pStyle w:val="ListParagraph"/>
        <w:rPr>
          <w:lang w:val="en-IN" w:eastAsia="en-IN" w:bidi="hi-IN"/>
        </w:rPr>
      </w:pPr>
      <w:r w:rsidRPr="008B3D09">
        <w:rPr>
          <w:lang w:val="en-IN" w:eastAsia="en-IN" w:bidi="hi-IN"/>
        </w:rPr>
        <w:t>Significance of the Study:</w:t>
      </w:r>
    </w:p>
    <w:p w14:paraId="33CFF758"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This study focuses on the pressing issue of Non-Performing Assets (NPAs) in India. It aims to benefit researchers, analysts, government policymakers, and other stakeholders affected by the NPA crisis. Insights from this study could contribute toward developing practical solutions to mitigate the NPA problem in the near future.</w:t>
      </w:r>
    </w:p>
    <w:p w14:paraId="4C50AD48" w14:textId="77777777" w:rsidR="00E43A56" w:rsidRPr="008B3D09" w:rsidRDefault="00E43A56" w:rsidP="00E43A56">
      <w:pPr>
        <w:spacing w:line="360" w:lineRule="auto"/>
        <w:jc w:val="both"/>
        <w:rPr>
          <w:sz w:val="24"/>
          <w:szCs w:val="24"/>
        </w:rPr>
      </w:pPr>
    </w:p>
    <w:p w14:paraId="4E14737B" w14:textId="77777777" w:rsidR="00E43A56" w:rsidRPr="008B3D09" w:rsidRDefault="00E43A56" w:rsidP="00E43A56">
      <w:pPr>
        <w:pStyle w:val="ListParagraph"/>
      </w:pPr>
      <w:r w:rsidRPr="008B3D09">
        <w:t>Objective</w:t>
      </w:r>
    </w:p>
    <w:p w14:paraId="019F04BD" w14:textId="77777777" w:rsidR="00E43A56" w:rsidRPr="008B3D09" w:rsidRDefault="00E43A56" w:rsidP="00E43A56">
      <w:pPr>
        <w:spacing w:line="360" w:lineRule="auto"/>
        <w:jc w:val="both"/>
        <w:rPr>
          <w:sz w:val="24"/>
          <w:szCs w:val="24"/>
        </w:rPr>
      </w:pPr>
    </w:p>
    <w:p w14:paraId="4C856BF9" w14:textId="77777777" w:rsidR="00E43A56" w:rsidRPr="008B3D09" w:rsidRDefault="00E43A56" w:rsidP="00E43A56">
      <w:pPr>
        <w:pStyle w:val="ListParagraph"/>
        <w:numPr>
          <w:ilvl w:val="0"/>
          <w:numId w:val="8"/>
        </w:numPr>
        <w:rPr>
          <w:b w:val="0"/>
          <w:bCs/>
          <w:u w:val="none"/>
        </w:rPr>
      </w:pPr>
      <w:r w:rsidRPr="008B3D09">
        <w:rPr>
          <w:b w:val="0"/>
          <w:bCs/>
          <w:u w:val="none"/>
        </w:rPr>
        <w:t xml:space="preserve">To </w:t>
      </w:r>
      <w:proofErr w:type="spellStart"/>
      <w:r w:rsidRPr="008B3D09">
        <w:rPr>
          <w:b w:val="0"/>
          <w:bCs/>
          <w:u w:val="none"/>
        </w:rPr>
        <w:t>analyse</w:t>
      </w:r>
      <w:proofErr w:type="spellEnd"/>
      <w:r w:rsidRPr="008B3D09">
        <w:rPr>
          <w:b w:val="0"/>
          <w:bCs/>
          <w:u w:val="none"/>
        </w:rPr>
        <w:t xml:space="preserve"> the trend of NPA in Punjab National Bank.</w:t>
      </w:r>
    </w:p>
    <w:p w14:paraId="358C1AD5" w14:textId="77777777" w:rsidR="00E43A56" w:rsidRPr="008B3D09" w:rsidRDefault="00E43A56" w:rsidP="00E43A56">
      <w:pPr>
        <w:pStyle w:val="ListParagraph"/>
        <w:numPr>
          <w:ilvl w:val="0"/>
          <w:numId w:val="8"/>
        </w:numPr>
        <w:rPr>
          <w:b w:val="0"/>
          <w:bCs/>
          <w:u w:val="none"/>
        </w:rPr>
      </w:pPr>
      <w:r w:rsidRPr="008B3D09">
        <w:rPr>
          <w:b w:val="0"/>
          <w:bCs/>
          <w:u w:val="none"/>
        </w:rPr>
        <w:t>To examine the relationship of share capital with Gross NPA in PNB</w:t>
      </w:r>
    </w:p>
    <w:p w14:paraId="5AEE277B" w14:textId="77777777" w:rsidR="00E43A56" w:rsidRPr="008B3D09" w:rsidRDefault="00E43A56" w:rsidP="00E43A56">
      <w:pPr>
        <w:pStyle w:val="ListParagraph"/>
        <w:numPr>
          <w:ilvl w:val="0"/>
          <w:numId w:val="8"/>
        </w:numPr>
        <w:rPr>
          <w:b w:val="0"/>
          <w:bCs/>
          <w:u w:val="none"/>
        </w:rPr>
      </w:pPr>
      <w:r w:rsidRPr="008B3D09">
        <w:rPr>
          <w:b w:val="0"/>
          <w:bCs/>
          <w:u w:val="none"/>
        </w:rPr>
        <w:t>To examine the relationship of advances with Gross NPA/ Net NPA in PNB.</w:t>
      </w:r>
    </w:p>
    <w:p w14:paraId="7D6D8C2C" w14:textId="77777777" w:rsidR="00E43A56" w:rsidRPr="008B3D09" w:rsidRDefault="00E43A56" w:rsidP="00E43A56">
      <w:pPr>
        <w:pStyle w:val="ListParagraph"/>
        <w:numPr>
          <w:ilvl w:val="0"/>
          <w:numId w:val="0"/>
        </w:numPr>
        <w:ind w:left="720"/>
        <w:rPr>
          <w:b w:val="0"/>
          <w:bCs/>
        </w:rPr>
      </w:pPr>
    </w:p>
    <w:p w14:paraId="6EA762CD" w14:textId="77777777" w:rsidR="00E43A56" w:rsidRPr="008B3D09" w:rsidRDefault="00E43A56" w:rsidP="00E43A56">
      <w:pPr>
        <w:pStyle w:val="ListParagraph"/>
      </w:pPr>
      <w:r w:rsidRPr="008B3D09">
        <w:rPr>
          <w:rStyle w:val="Strong"/>
          <w:b/>
        </w:rPr>
        <w:t>Methodology</w:t>
      </w:r>
    </w:p>
    <w:p w14:paraId="26864531" w14:textId="77777777" w:rsidR="00E43A56" w:rsidRPr="008B3D09" w:rsidRDefault="00E43A56" w:rsidP="00E43A56">
      <w:pPr>
        <w:spacing w:before="100" w:beforeAutospacing="1" w:after="100" w:afterAutospacing="1" w:line="360" w:lineRule="auto"/>
        <w:rPr>
          <w:b/>
          <w:bCs/>
        </w:rPr>
      </w:pPr>
      <w:r w:rsidRPr="008B3D09">
        <w:t>This study adopts a</w:t>
      </w:r>
      <w:r w:rsidRPr="008B3D09">
        <w:rPr>
          <w:b/>
          <w:bCs/>
        </w:rPr>
        <w:t xml:space="preserve"> </w:t>
      </w:r>
      <w:r w:rsidRPr="008B3D09">
        <w:rPr>
          <w:rStyle w:val="Strong"/>
          <w:b w:val="0"/>
          <w:bCs w:val="0"/>
        </w:rPr>
        <w:t>quantitative and analytical research design</w:t>
      </w:r>
      <w:r w:rsidRPr="008B3D09">
        <w:rPr>
          <w:b/>
          <w:bCs/>
        </w:rPr>
        <w:t xml:space="preserve"> </w:t>
      </w:r>
      <w:r w:rsidRPr="008B3D09">
        <w:t>focused on examining the relationship between Non-Performing Assets (NPAs) and two key financial variables</w:t>
      </w:r>
      <w:r w:rsidRPr="008B3D09">
        <w:rPr>
          <w:b/>
          <w:bCs/>
        </w:rPr>
        <w:t>—</w:t>
      </w:r>
      <w:r w:rsidRPr="008B3D09">
        <w:rPr>
          <w:rStyle w:val="Strong"/>
          <w:b w:val="0"/>
          <w:bCs w:val="0"/>
        </w:rPr>
        <w:t>share capital and loans &amp; advances for Punjab National Bank (PNB)</w:t>
      </w:r>
      <w:r w:rsidRPr="008B3D09">
        <w:rPr>
          <w:b/>
          <w:bCs/>
        </w:rPr>
        <w:t xml:space="preserve"> </w:t>
      </w:r>
      <w:r w:rsidRPr="008B3D09">
        <w:t>over the period from</w:t>
      </w:r>
      <w:r w:rsidRPr="008B3D09">
        <w:rPr>
          <w:b/>
          <w:bCs/>
        </w:rPr>
        <w:t xml:space="preserve"> </w:t>
      </w:r>
      <w:r w:rsidRPr="008B3D09">
        <w:rPr>
          <w:rStyle w:val="Strong"/>
          <w:b w:val="0"/>
          <w:bCs w:val="0"/>
        </w:rPr>
        <w:t>2010 to 2019</w:t>
      </w:r>
      <w:r w:rsidRPr="008B3D09">
        <w:rPr>
          <w:b/>
          <w:bCs/>
        </w:rPr>
        <w:t>.</w:t>
      </w:r>
      <w:r w:rsidRPr="008B3D09">
        <w:t xml:space="preserve">The research is based exclusively on </w:t>
      </w:r>
      <w:r w:rsidRPr="008B3D09">
        <w:rPr>
          <w:rStyle w:val="Strong"/>
          <w:b w:val="0"/>
          <w:bCs w:val="0"/>
        </w:rPr>
        <w:t>secondary data</w:t>
      </w:r>
      <w:r w:rsidRPr="008B3D09">
        <w:t xml:space="preserve"> collected from:</w:t>
      </w:r>
    </w:p>
    <w:p w14:paraId="08191FE0" w14:textId="77777777" w:rsidR="00E43A56" w:rsidRPr="008B3D09" w:rsidRDefault="00E43A56" w:rsidP="00E43A56">
      <w:pPr>
        <w:widowControl/>
        <w:numPr>
          <w:ilvl w:val="0"/>
          <w:numId w:val="24"/>
        </w:numPr>
        <w:autoSpaceDE/>
        <w:autoSpaceDN/>
        <w:spacing w:before="100" w:beforeAutospacing="1" w:after="100" w:afterAutospacing="1" w:line="360" w:lineRule="auto"/>
      </w:pPr>
      <w:r w:rsidRPr="008B3D09">
        <w:t>Annual reports of Punjab National Bank,</w:t>
      </w:r>
    </w:p>
    <w:p w14:paraId="46E89B42" w14:textId="77777777" w:rsidR="00E43A56" w:rsidRPr="008B3D09" w:rsidRDefault="00E43A56" w:rsidP="00E43A56">
      <w:pPr>
        <w:widowControl/>
        <w:numPr>
          <w:ilvl w:val="0"/>
          <w:numId w:val="24"/>
        </w:numPr>
        <w:autoSpaceDE/>
        <w:autoSpaceDN/>
        <w:spacing w:before="100" w:beforeAutospacing="1" w:after="100" w:afterAutospacing="1" w:line="360" w:lineRule="auto"/>
      </w:pPr>
      <w:r w:rsidRPr="008B3D09">
        <w:t>Government publications and institutional reports,</w:t>
      </w:r>
    </w:p>
    <w:p w14:paraId="6499065F" w14:textId="77777777" w:rsidR="00E43A56" w:rsidRPr="008B3D09" w:rsidRDefault="00E43A56" w:rsidP="00E43A56">
      <w:pPr>
        <w:widowControl/>
        <w:numPr>
          <w:ilvl w:val="0"/>
          <w:numId w:val="24"/>
        </w:numPr>
        <w:autoSpaceDE/>
        <w:autoSpaceDN/>
        <w:spacing w:before="100" w:beforeAutospacing="1" w:after="100" w:afterAutospacing="1" w:line="360" w:lineRule="auto"/>
      </w:pPr>
      <w:r w:rsidRPr="008B3D09">
        <w:t>Academic journals, and</w:t>
      </w:r>
    </w:p>
    <w:p w14:paraId="5D964AB8" w14:textId="77777777" w:rsidR="00E43A56" w:rsidRPr="008B3D09" w:rsidRDefault="00E43A56" w:rsidP="00E43A56">
      <w:pPr>
        <w:widowControl/>
        <w:numPr>
          <w:ilvl w:val="0"/>
          <w:numId w:val="24"/>
        </w:numPr>
        <w:autoSpaceDE/>
        <w:autoSpaceDN/>
        <w:spacing w:before="100" w:beforeAutospacing="1" w:after="100" w:afterAutospacing="1" w:line="360" w:lineRule="auto"/>
      </w:pPr>
      <w:r w:rsidRPr="008B3D09">
        <w:lastRenderedPageBreak/>
        <w:t>Authoritative online databases.</w:t>
      </w:r>
    </w:p>
    <w:p w14:paraId="69BD575F" w14:textId="77777777" w:rsidR="00E43A56" w:rsidRPr="008B3D09" w:rsidRDefault="00E43A56" w:rsidP="00E43A56">
      <w:pPr>
        <w:widowControl/>
        <w:autoSpaceDE/>
        <w:autoSpaceDN/>
        <w:spacing w:before="100" w:beforeAutospacing="1" w:after="100" w:afterAutospacing="1" w:line="360" w:lineRule="auto"/>
      </w:pPr>
      <w:r w:rsidRPr="008B3D09">
        <w:t xml:space="preserve">Data analysis was conducted using </w:t>
      </w:r>
      <w:r w:rsidRPr="008B3D09">
        <w:rPr>
          <w:rStyle w:val="Strong"/>
          <w:b w:val="0"/>
          <w:bCs w:val="0"/>
        </w:rPr>
        <w:t>SPSS statistical software</w:t>
      </w:r>
      <w:r w:rsidRPr="008B3D09">
        <w:t>. The key statistical methods employed include:</w:t>
      </w:r>
    </w:p>
    <w:p w14:paraId="1FCDD23F" w14:textId="77777777" w:rsidR="00E43A56" w:rsidRPr="008B3D09" w:rsidRDefault="00E43A56" w:rsidP="00E43A56">
      <w:pPr>
        <w:widowControl/>
        <w:numPr>
          <w:ilvl w:val="0"/>
          <w:numId w:val="25"/>
        </w:numPr>
        <w:autoSpaceDE/>
        <w:autoSpaceDN/>
        <w:spacing w:before="100" w:beforeAutospacing="1" w:after="100" w:afterAutospacing="1" w:line="360" w:lineRule="auto"/>
      </w:pPr>
      <w:r w:rsidRPr="008B3D09">
        <w:rPr>
          <w:rStyle w:val="Strong"/>
          <w:b w:val="0"/>
          <w:bCs w:val="0"/>
        </w:rPr>
        <w:t>Trend Analysis (Time-Series Analysis)</w:t>
      </w:r>
      <w:r w:rsidRPr="008B3D09">
        <w:t xml:space="preserve"> to track the progression of advances and NPAs over time,</w:t>
      </w:r>
    </w:p>
    <w:p w14:paraId="36078298" w14:textId="77777777" w:rsidR="00E43A56" w:rsidRPr="008B3D09" w:rsidRDefault="00E43A56" w:rsidP="00E43A56">
      <w:pPr>
        <w:widowControl/>
        <w:numPr>
          <w:ilvl w:val="0"/>
          <w:numId w:val="25"/>
        </w:numPr>
        <w:autoSpaceDE/>
        <w:autoSpaceDN/>
        <w:spacing w:before="100" w:beforeAutospacing="1" w:after="100" w:afterAutospacing="1" w:line="360" w:lineRule="auto"/>
      </w:pPr>
      <w:r w:rsidRPr="008B3D09">
        <w:rPr>
          <w:rStyle w:val="Strong"/>
          <w:b w:val="0"/>
          <w:bCs w:val="0"/>
        </w:rPr>
        <w:t>Pearson’s Correlation Coefficient (r)</w:t>
      </w:r>
      <w:r w:rsidRPr="008B3D09">
        <w:t xml:space="preserve"> to measure the strength and direction of linear relationships between variables,</w:t>
      </w:r>
    </w:p>
    <w:p w14:paraId="5929D48A" w14:textId="77777777" w:rsidR="00E43A56" w:rsidRPr="008B3D09" w:rsidRDefault="00E43A56" w:rsidP="00E43A56">
      <w:pPr>
        <w:widowControl/>
        <w:numPr>
          <w:ilvl w:val="0"/>
          <w:numId w:val="25"/>
        </w:numPr>
        <w:autoSpaceDE/>
        <w:autoSpaceDN/>
        <w:spacing w:before="100" w:beforeAutospacing="1" w:after="100" w:afterAutospacing="1" w:line="360" w:lineRule="auto"/>
      </w:pPr>
      <w:r w:rsidRPr="008B3D09">
        <w:rPr>
          <w:rStyle w:val="Strong"/>
          <w:b w:val="0"/>
          <w:bCs w:val="0"/>
        </w:rPr>
        <w:t>Percentage and Ratio Calculations</w:t>
      </w:r>
      <w:r w:rsidRPr="008B3D09">
        <w:t>, and</w:t>
      </w:r>
    </w:p>
    <w:p w14:paraId="34CB8B60" w14:textId="77777777" w:rsidR="00E43A56" w:rsidRPr="008B3D09" w:rsidRDefault="00E43A56" w:rsidP="00E43A56">
      <w:pPr>
        <w:widowControl/>
        <w:numPr>
          <w:ilvl w:val="0"/>
          <w:numId w:val="25"/>
        </w:numPr>
        <w:autoSpaceDE/>
        <w:autoSpaceDN/>
        <w:spacing w:before="100" w:beforeAutospacing="1" w:after="100" w:afterAutospacing="1" w:line="360" w:lineRule="auto"/>
      </w:pPr>
      <w:r w:rsidRPr="008B3D09">
        <w:rPr>
          <w:rStyle w:val="Strong"/>
          <w:b w:val="0"/>
          <w:bCs w:val="0"/>
        </w:rPr>
        <w:t>Graphical Representations</w:t>
      </w:r>
      <w:r w:rsidRPr="008B3D09">
        <w:t xml:space="preserve"> (line graphs) for enhanced data visualization and interpretability.</w:t>
      </w:r>
    </w:p>
    <w:p w14:paraId="7FAEA229" w14:textId="77777777" w:rsidR="00E43A56" w:rsidRPr="008B3D09" w:rsidRDefault="00E43A56" w:rsidP="00E43A56">
      <w:pPr>
        <w:pStyle w:val="Heading4"/>
        <w:spacing w:line="360" w:lineRule="auto"/>
        <w:rPr>
          <w:rFonts w:ascii="Times New Roman" w:hAnsi="Times New Roman" w:cs="Times New Roman"/>
          <w:i w:val="0"/>
          <w:iCs w:val="0"/>
          <w:color w:val="auto"/>
        </w:rPr>
      </w:pPr>
      <w:r w:rsidRPr="008B3D09">
        <w:rPr>
          <w:rStyle w:val="Strong"/>
          <w:rFonts w:ascii="Times New Roman" w:hAnsi="Times New Roman" w:cs="Times New Roman"/>
          <w:b/>
          <w:bCs/>
          <w:i w:val="0"/>
          <w:iCs w:val="0"/>
          <w:color w:val="auto"/>
        </w:rPr>
        <w:t xml:space="preserve">Hypotheses </w:t>
      </w:r>
    </w:p>
    <w:p w14:paraId="698FF940" w14:textId="77777777" w:rsidR="00E43A56" w:rsidRPr="008B3D09" w:rsidRDefault="00E43A56" w:rsidP="00E43A56">
      <w:pPr>
        <w:widowControl/>
        <w:numPr>
          <w:ilvl w:val="0"/>
          <w:numId w:val="26"/>
        </w:numPr>
        <w:autoSpaceDE/>
        <w:autoSpaceDN/>
        <w:spacing w:before="100" w:beforeAutospacing="1" w:after="100" w:afterAutospacing="1" w:line="360" w:lineRule="auto"/>
      </w:pPr>
      <w:r w:rsidRPr="008B3D09">
        <w:rPr>
          <w:rStyle w:val="Strong"/>
        </w:rPr>
        <w:t>H₀₁</w:t>
      </w:r>
      <w:r w:rsidRPr="008B3D09">
        <w:t>: There is no significant relationship between share capital and Gross NPA in PNB.</w:t>
      </w:r>
    </w:p>
    <w:p w14:paraId="5359FDEA" w14:textId="77777777" w:rsidR="00E43A56" w:rsidRPr="008B3D09" w:rsidRDefault="00E43A56" w:rsidP="00E43A56">
      <w:pPr>
        <w:widowControl/>
        <w:numPr>
          <w:ilvl w:val="0"/>
          <w:numId w:val="26"/>
        </w:numPr>
        <w:autoSpaceDE/>
        <w:autoSpaceDN/>
        <w:spacing w:before="100" w:beforeAutospacing="1" w:after="100" w:afterAutospacing="1" w:line="360" w:lineRule="auto"/>
      </w:pPr>
      <w:r w:rsidRPr="008B3D09">
        <w:rPr>
          <w:rStyle w:val="Strong"/>
        </w:rPr>
        <w:t>H₀₂</w:t>
      </w:r>
      <w:r w:rsidRPr="008B3D09">
        <w:t>: There is no significant relationship between loans &amp; advances and Gross/Net NPA in PNB.</w:t>
      </w:r>
    </w:p>
    <w:p w14:paraId="3E6EE8E7" w14:textId="77777777" w:rsidR="00E43A56" w:rsidRPr="008B3D09" w:rsidRDefault="00E43A56" w:rsidP="00E43A56">
      <w:pPr>
        <w:spacing w:before="100" w:beforeAutospacing="1" w:after="100" w:afterAutospacing="1" w:line="360" w:lineRule="auto"/>
      </w:pPr>
      <w:r w:rsidRPr="008B3D09">
        <w:t>These hypotheses were tested at significance levels of 0.05 and 0.01 using Pearson’s correlation.</w:t>
      </w:r>
    </w:p>
    <w:p w14:paraId="3FE9B92A" w14:textId="77777777" w:rsidR="00E43A56" w:rsidRPr="008B3D09" w:rsidRDefault="00E43A56" w:rsidP="00E43A56">
      <w:pPr>
        <w:spacing w:line="360" w:lineRule="auto"/>
        <w:jc w:val="both"/>
        <w:rPr>
          <w:sz w:val="24"/>
          <w:szCs w:val="24"/>
        </w:rPr>
      </w:pPr>
    </w:p>
    <w:p w14:paraId="04715288" w14:textId="77777777" w:rsidR="00E43A56" w:rsidRPr="008B3D09" w:rsidRDefault="00E43A56" w:rsidP="00E43A56">
      <w:pPr>
        <w:pStyle w:val="ListParagraph"/>
      </w:pPr>
      <w:r w:rsidRPr="008B3D09">
        <w:t>Results and Interpretation:</w:t>
      </w:r>
    </w:p>
    <w:p w14:paraId="0A77EFD2" w14:textId="77777777" w:rsidR="00E43A56" w:rsidRPr="008B3D09" w:rsidRDefault="00E43A56" w:rsidP="00E43A56">
      <w:pPr>
        <w:pStyle w:val="Caption"/>
        <w:keepNext/>
        <w:spacing w:line="360" w:lineRule="auto"/>
        <w:rPr>
          <w:sz w:val="24"/>
          <w:szCs w:val="24"/>
        </w:rPr>
      </w:pPr>
    </w:p>
    <w:p w14:paraId="3637F88C" w14:textId="77777777" w:rsidR="00E43A56" w:rsidRPr="008B3D09" w:rsidRDefault="00E43A56" w:rsidP="00E43A56">
      <w:pPr>
        <w:pStyle w:val="Caption"/>
        <w:keepNext/>
        <w:spacing w:line="360" w:lineRule="auto"/>
        <w:rPr>
          <w:sz w:val="24"/>
          <w:szCs w:val="24"/>
        </w:rPr>
      </w:pPr>
      <w:r w:rsidRPr="008B3D09">
        <w:rPr>
          <w:sz w:val="24"/>
          <w:szCs w:val="24"/>
        </w:rPr>
        <w:t xml:space="preserve">Table </w:t>
      </w:r>
      <w:r w:rsidRPr="008B3D09">
        <w:rPr>
          <w:sz w:val="24"/>
          <w:szCs w:val="24"/>
        </w:rPr>
        <w:fldChar w:fldCharType="begin"/>
      </w:r>
      <w:r w:rsidRPr="008B3D09">
        <w:rPr>
          <w:sz w:val="24"/>
          <w:szCs w:val="24"/>
        </w:rPr>
        <w:instrText xml:space="preserve"> SEQ Table \* ARABIC </w:instrText>
      </w:r>
      <w:r w:rsidRPr="008B3D09">
        <w:rPr>
          <w:sz w:val="24"/>
          <w:szCs w:val="24"/>
        </w:rPr>
        <w:fldChar w:fldCharType="separate"/>
      </w:r>
      <w:r w:rsidRPr="008B3D09">
        <w:rPr>
          <w:noProof/>
          <w:sz w:val="24"/>
          <w:szCs w:val="24"/>
        </w:rPr>
        <w:t>1</w:t>
      </w:r>
      <w:r w:rsidRPr="008B3D09">
        <w:rPr>
          <w:sz w:val="24"/>
          <w:szCs w:val="24"/>
        </w:rPr>
        <w:fldChar w:fldCharType="end"/>
      </w:r>
      <w:r w:rsidRPr="008B3D09">
        <w:rPr>
          <w:sz w:val="24"/>
          <w:szCs w:val="24"/>
        </w:rPr>
        <w:t>: Loans and Advances</w:t>
      </w:r>
    </w:p>
    <w:tbl>
      <w:tblPr>
        <w:tblStyle w:val="LightShading-Accent1"/>
        <w:tblW w:w="0" w:type="auto"/>
        <w:tblLook w:val="04A0" w:firstRow="1" w:lastRow="0" w:firstColumn="1" w:lastColumn="0" w:noHBand="0" w:noVBand="1"/>
      </w:tblPr>
      <w:tblGrid>
        <w:gridCol w:w="4320"/>
        <w:gridCol w:w="4320"/>
      </w:tblGrid>
      <w:tr w:rsidR="00E43A56" w:rsidRPr="008B3D09" w14:paraId="3E1C5499" w14:textId="77777777" w:rsidTr="00AE4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1C46E19D" w14:textId="77777777" w:rsidR="00E43A56" w:rsidRPr="008B3D09" w:rsidRDefault="00E43A56" w:rsidP="00AE4332">
            <w:pPr>
              <w:spacing w:line="360" w:lineRule="auto"/>
              <w:rPr>
                <w:sz w:val="24"/>
                <w:szCs w:val="24"/>
              </w:rPr>
            </w:pPr>
            <w:r w:rsidRPr="008B3D09">
              <w:rPr>
                <w:sz w:val="24"/>
                <w:szCs w:val="24"/>
              </w:rPr>
              <w:t>Financial Year</w:t>
            </w:r>
          </w:p>
        </w:tc>
        <w:tc>
          <w:tcPr>
            <w:tcW w:w="4320" w:type="dxa"/>
          </w:tcPr>
          <w:p w14:paraId="6649F3D6" w14:textId="77777777" w:rsidR="00E43A56" w:rsidRPr="008B3D09" w:rsidRDefault="00E43A56" w:rsidP="00AE4332">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8B3D09">
              <w:rPr>
                <w:sz w:val="24"/>
                <w:szCs w:val="24"/>
              </w:rPr>
              <w:t>Loans &amp; Advances (in crore)</w:t>
            </w:r>
          </w:p>
        </w:tc>
      </w:tr>
      <w:tr w:rsidR="00E43A56" w:rsidRPr="008B3D09" w14:paraId="1A63DC92" w14:textId="77777777" w:rsidTr="00AE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FE65516" w14:textId="77777777" w:rsidR="00E43A56" w:rsidRPr="008B3D09" w:rsidRDefault="00E43A56" w:rsidP="00AE4332">
            <w:pPr>
              <w:spacing w:line="360" w:lineRule="auto"/>
              <w:rPr>
                <w:sz w:val="24"/>
                <w:szCs w:val="24"/>
              </w:rPr>
            </w:pPr>
            <w:r w:rsidRPr="008B3D09">
              <w:rPr>
                <w:sz w:val="24"/>
                <w:szCs w:val="24"/>
              </w:rPr>
              <w:t>2010</w:t>
            </w:r>
          </w:p>
        </w:tc>
        <w:tc>
          <w:tcPr>
            <w:tcW w:w="4320" w:type="dxa"/>
          </w:tcPr>
          <w:p w14:paraId="225B0F3A" w14:textId="77777777" w:rsidR="00E43A56" w:rsidRPr="008B3D09" w:rsidRDefault="00E43A56" w:rsidP="00AE4332">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8B3D09">
              <w:rPr>
                <w:sz w:val="24"/>
                <w:szCs w:val="24"/>
              </w:rPr>
              <w:t>186,601</w:t>
            </w:r>
          </w:p>
        </w:tc>
      </w:tr>
      <w:tr w:rsidR="00E43A56" w:rsidRPr="008B3D09" w14:paraId="6FE2CEEB" w14:textId="77777777" w:rsidTr="00AE4332">
        <w:tc>
          <w:tcPr>
            <w:cnfStyle w:val="001000000000" w:firstRow="0" w:lastRow="0" w:firstColumn="1" w:lastColumn="0" w:oddVBand="0" w:evenVBand="0" w:oddHBand="0" w:evenHBand="0" w:firstRowFirstColumn="0" w:firstRowLastColumn="0" w:lastRowFirstColumn="0" w:lastRowLastColumn="0"/>
            <w:tcW w:w="4320" w:type="dxa"/>
          </w:tcPr>
          <w:p w14:paraId="04117EDF" w14:textId="77777777" w:rsidR="00E43A56" w:rsidRPr="008B3D09" w:rsidRDefault="00E43A56" w:rsidP="00AE4332">
            <w:pPr>
              <w:spacing w:line="360" w:lineRule="auto"/>
              <w:rPr>
                <w:sz w:val="24"/>
                <w:szCs w:val="24"/>
              </w:rPr>
            </w:pPr>
            <w:r w:rsidRPr="008B3D09">
              <w:rPr>
                <w:sz w:val="24"/>
                <w:szCs w:val="24"/>
              </w:rPr>
              <w:t>2011</w:t>
            </w:r>
          </w:p>
        </w:tc>
        <w:tc>
          <w:tcPr>
            <w:tcW w:w="4320" w:type="dxa"/>
          </w:tcPr>
          <w:p w14:paraId="2E3CDC79" w14:textId="77777777" w:rsidR="00E43A56" w:rsidRPr="008B3D09" w:rsidRDefault="00E43A56" w:rsidP="00AE4332">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8B3D09">
              <w:rPr>
                <w:sz w:val="24"/>
                <w:szCs w:val="24"/>
              </w:rPr>
              <w:t>242,107</w:t>
            </w:r>
          </w:p>
        </w:tc>
      </w:tr>
      <w:tr w:rsidR="00E43A56" w:rsidRPr="008B3D09" w14:paraId="20E4DF16" w14:textId="77777777" w:rsidTr="00AE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6B28F9B7" w14:textId="77777777" w:rsidR="00E43A56" w:rsidRPr="008B3D09" w:rsidRDefault="00E43A56" w:rsidP="00AE4332">
            <w:pPr>
              <w:spacing w:line="360" w:lineRule="auto"/>
              <w:rPr>
                <w:sz w:val="24"/>
                <w:szCs w:val="24"/>
              </w:rPr>
            </w:pPr>
            <w:r w:rsidRPr="008B3D09">
              <w:rPr>
                <w:sz w:val="24"/>
                <w:szCs w:val="24"/>
              </w:rPr>
              <w:t>2012</w:t>
            </w:r>
          </w:p>
        </w:tc>
        <w:tc>
          <w:tcPr>
            <w:tcW w:w="4320" w:type="dxa"/>
          </w:tcPr>
          <w:p w14:paraId="1E00D47F" w14:textId="77777777" w:rsidR="00E43A56" w:rsidRPr="008B3D09" w:rsidRDefault="00E43A56" w:rsidP="00AE4332">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8B3D09">
              <w:rPr>
                <w:sz w:val="24"/>
                <w:szCs w:val="24"/>
              </w:rPr>
              <w:t>293,775</w:t>
            </w:r>
          </w:p>
        </w:tc>
      </w:tr>
      <w:tr w:rsidR="00E43A56" w:rsidRPr="008B3D09" w14:paraId="63F236D4" w14:textId="77777777" w:rsidTr="00AE4332">
        <w:tc>
          <w:tcPr>
            <w:cnfStyle w:val="001000000000" w:firstRow="0" w:lastRow="0" w:firstColumn="1" w:lastColumn="0" w:oddVBand="0" w:evenVBand="0" w:oddHBand="0" w:evenHBand="0" w:firstRowFirstColumn="0" w:firstRowLastColumn="0" w:lastRowFirstColumn="0" w:lastRowLastColumn="0"/>
            <w:tcW w:w="4320" w:type="dxa"/>
          </w:tcPr>
          <w:p w14:paraId="074F0565" w14:textId="77777777" w:rsidR="00E43A56" w:rsidRPr="008B3D09" w:rsidRDefault="00E43A56" w:rsidP="00AE4332">
            <w:pPr>
              <w:spacing w:line="360" w:lineRule="auto"/>
              <w:rPr>
                <w:sz w:val="24"/>
                <w:szCs w:val="24"/>
              </w:rPr>
            </w:pPr>
            <w:r w:rsidRPr="008B3D09">
              <w:rPr>
                <w:sz w:val="24"/>
                <w:szCs w:val="24"/>
              </w:rPr>
              <w:t>2013</w:t>
            </w:r>
          </w:p>
        </w:tc>
        <w:tc>
          <w:tcPr>
            <w:tcW w:w="4320" w:type="dxa"/>
          </w:tcPr>
          <w:p w14:paraId="7D8EA238" w14:textId="77777777" w:rsidR="00E43A56" w:rsidRPr="008B3D09" w:rsidRDefault="00E43A56" w:rsidP="00AE4332">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8B3D09">
              <w:rPr>
                <w:sz w:val="24"/>
                <w:szCs w:val="24"/>
              </w:rPr>
              <w:t>308,796</w:t>
            </w:r>
          </w:p>
        </w:tc>
      </w:tr>
      <w:tr w:rsidR="00E43A56" w:rsidRPr="008B3D09" w14:paraId="54758F73" w14:textId="77777777" w:rsidTr="00AE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E2E3FDA" w14:textId="77777777" w:rsidR="00E43A56" w:rsidRPr="008B3D09" w:rsidRDefault="00E43A56" w:rsidP="00AE4332">
            <w:pPr>
              <w:spacing w:line="360" w:lineRule="auto"/>
              <w:rPr>
                <w:sz w:val="24"/>
                <w:szCs w:val="24"/>
              </w:rPr>
            </w:pPr>
            <w:r w:rsidRPr="008B3D09">
              <w:rPr>
                <w:sz w:val="24"/>
                <w:szCs w:val="24"/>
              </w:rPr>
              <w:t>2014</w:t>
            </w:r>
          </w:p>
        </w:tc>
        <w:tc>
          <w:tcPr>
            <w:tcW w:w="4320" w:type="dxa"/>
          </w:tcPr>
          <w:p w14:paraId="2F546A0F" w14:textId="77777777" w:rsidR="00E43A56" w:rsidRPr="008B3D09" w:rsidRDefault="00E43A56" w:rsidP="00AE4332">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8B3D09">
              <w:rPr>
                <w:sz w:val="24"/>
                <w:szCs w:val="24"/>
              </w:rPr>
              <w:t>349,269</w:t>
            </w:r>
          </w:p>
        </w:tc>
      </w:tr>
      <w:tr w:rsidR="00E43A56" w:rsidRPr="008B3D09" w14:paraId="4AAF9402" w14:textId="77777777" w:rsidTr="00AE4332">
        <w:tc>
          <w:tcPr>
            <w:cnfStyle w:val="001000000000" w:firstRow="0" w:lastRow="0" w:firstColumn="1" w:lastColumn="0" w:oddVBand="0" w:evenVBand="0" w:oddHBand="0" w:evenHBand="0" w:firstRowFirstColumn="0" w:firstRowLastColumn="0" w:lastRowFirstColumn="0" w:lastRowLastColumn="0"/>
            <w:tcW w:w="4320" w:type="dxa"/>
          </w:tcPr>
          <w:p w14:paraId="3D0D0BFD" w14:textId="77777777" w:rsidR="00E43A56" w:rsidRPr="008B3D09" w:rsidRDefault="00E43A56" w:rsidP="00AE4332">
            <w:pPr>
              <w:spacing w:line="360" w:lineRule="auto"/>
              <w:rPr>
                <w:sz w:val="24"/>
                <w:szCs w:val="24"/>
              </w:rPr>
            </w:pPr>
            <w:r w:rsidRPr="008B3D09">
              <w:rPr>
                <w:sz w:val="24"/>
                <w:szCs w:val="24"/>
              </w:rPr>
              <w:t>2015</w:t>
            </w:r>
          </w:p>
        </w:tc>
        <w:tc>
          <w:tcPr>
            <w:tcW w:w="4320" w:type="dxa"/>
          </w:tcPr>
          <w:p w14:paraId="3891C140" w14:textId="77777777" w:rsidR="00E43A56" w:rsidRPr="008B3D09" w:rsidRDefault="00E43A56" w:rsidP="00AE4332">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8B3D09">
              <w:rPr>
                <w:sz w:val="24"/>
                <w:szCs w:val="24"/>
              </w:rPr>
              <w:t>380,534</w:t>
            </w:r>
          </w:p>
        </w:tc>
      </w:tr>
      <w:tr w:rsidR="00E43A56" w:rsidRPr="008B3D09" w14:paraId="281EBA12" w14:textId="77777777" w:rsidTr="00AE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CCDEFCF" w14:textId="77777777" w:rsidR="00E43A56" w:rsidRPr="008B3D09" w:rsidRDefault="00E43A56" w:rsidP="00AE4332">
            <w:pPr>
              <w:spacing w:line="360" w:lineRule="auto"/>
              <w:rPr>
                <w:sz w:val="24"/>
                <w:szCs w:val="24"/>
              </w:rPr>
            </w:pPr>
            <w:r w:rsidRPr="008B3D09">
              <w:rPr>
                <w:sz w:val="24"/>
                <w:szCs w:val="24"/>
              </w:rPr>
              <w:t>2016</w:t>
            </w:r>
          </w:p>
        </w:tc>
        <w:tc>
          <w:tcPr>
            <w:tcW w:w="4320" w:type="dxa"/>
          </w:tcPr>
          <w:p w14:paraId="1375C54C" w14:textId="77777777" w:rsidR="00E43A56" w:rsidRPr="008B3D09" w:rsidRDefault="00E43A56" w:rsidP="00AE4332">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8B3D09">
              <w:rPr>
                <w:sz w:val="24"/>
                <w:szCs w:val="24"/>
              </w:rPr>
              <w:t>412,326</w:t>
            </w:r>
          </w:p>
        </w:tc>
      </w:tr>
      <w:tr w:rsidR="00E43A56" w:rsidRPr="008B3D09" w14:paraId="3BC4E4B2" w14:textId="77777777" w:rsidTr="00AE4332">
        <w:tc>
          <w:tcPr>
            <w:cnfStyle w:val="001000000000" w:firstRow="0" w:lastRow="0" w:firstColumn="1" w:lastColumn="0" w:oddVBand="0" w:evenVBand="0" w:oddHBand="0" w:evenHBand="0" w:firstRowFirstColumn="0" w:firstRowLastColumn="0" w:lastRowFirstColumn="0" w:lastRowLastColumn="0"/>
            <w:tcW w:w="4320" w:type="dxa"/>
          </w:tcPr>
          <w:p w14:paraId="3DD506A0" w14:textId="77777777" w:rsidR="00E43A56" w:rsidRPr="008B3D09" w:rsidRDefault="00E43A56" w:rsidP="00AE4332">
            <w:pPr>
              <w:spacing w:line="360" w:lineRule="auto"/>
              <w:rPr>
                <w:sz w:val="24"/>
                <w:szCs w:val="24"/>
              </w:rPr>
            </w:pPr>
            <w:r w:rsidRPr="008B3D09">
              <w:rPr>
                <w:sz w:val="24"/>
                <w:szCs w:val="24"/>
              </w:rPr>
              <w:t>2017</w:t>
            </w:r>
          </w:p>
        </w:tc>
        <w:tc>
          <w:tcPr>
            <w:tcW w:w="4320" w:type="dxa"/>
          </w:tcPr>
          <w:p w14:paraId="306C09E8" w14:textId="77777777" w:rsidR="00E43A56" w:rsidRPr="008B3D09" w:rsidRDefault="00E43A56" w:rsidP="00AE4332">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8B3D09">
              <w:rPr>
                <w:sz w:val="24"/>
                <w:szCs w:val="24"/>
              </w:rPr>
              <w:t>419,493</w:t>
            </w:r>
          </w:p>
        </w:tc>
      </w:tr>
      <w:tr w:rsidR="00E43A56" w:rsidRPr="008B3D09" w14:paraId="3E457777" w14:textId="77777777" w:rsidTr="00AE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0B864B39" w14:textId="77777777" w:rsidR="00E43A56" w:rsidRPr="008B3D09" w:rsidRDefault="00E43A56" w:rsidP="00AE4332">
            <w:pPr>
              <w:spacing w:line="360" w:lineRule="auto"/>
              <w:rPr>
                <w:sz w:val="24"/>
                <w:szCs w:val="24"/>
              </w:rPr>
            </w:pPr>
            <w:r w:rsidRPr="008B3D09">
              <w:rPr>
                <w:sz w:val="24"/>
                <w:szCs w:val="24"/>
              </w:rPr>
              <w:t>2018</w:t>
            </w:r>
          </w:p>
        </w:tc>
        <w:tc>
          <w:tcPr>
            <w:tcW w:w="4320" w:type="dxa"/>
          </w:tcPr>
          <w:p w14:paraId="3A0072EB" w14:textId="77777777" w:rsidR="00E43A56" w:rsidRPr="008B3D09" w:rsidRDefault="00E43A56" w:rsidP="00AE4332">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8B3D09">
              <w:rPr>
                <w:sz w:val="24"/>
                <w:szCs w:val="24"/>
              </w:rPr>
              <w:t>433,775</w:t>
            </w:r>
          </w:p>
        </w:tc>
      </w:tr>
      <w:tr w:rsidR="00E43A56" w:rsidRPr="008B3D09" w14:paraId="46652984" w14:textId="77777777" w:rsidTr="00AE4332">
        <w:tc>
          <w:tcPr>
            <w:cnfStyle w:val="001000000000" w:firstRow="0" w:lastRow="0" w:firstColumn="1" w:lastColumn="0" w:oddVBand="0" w:evenVBand="0" w:oddHBand="0" w:evenHBand="0" w:firstRowFirstColumn="0" w:firstRowLastColumn="0" w:lastRowFirstColumn="0" w:lastRowLastColumn="0"/>
            <w:tcW w:w="4320" w:type="dxa"/>
          </w:tcPr>
          <w:p w14:paraId="0A04DEC2" w14:textId="77777777" w:rsidR="00E43A56" w:rsidRPr="008B3D09" w:rsidRDefault="00E43A56" w:rsidP="00AE4332">
            <w:pPr>
              <w:spacing w:line="360" w:lineRule="auto"/>
              <w:rPr>
                <w:sz w:val="24"/>
                <w:szCs w:val="24"/>
              </w:rPr>
            </w:pPr>
            <w:r w:rsidRPr="008B3D09">
              <w:rPr>
                <w:sz w:val="24"/>
                <w:szCs w:val="24"/>
              </w:rPr>
              <w:t>2019</w:t>
            </w:r>
          </w:p>
        </w:tc>
        <w:tc>
          <w:tcPr>
            <w:tcW w:w="4320" w:type="dxa"/>
          </w:tcPr>
          <w:p w14:paraId="77E279BC" w14:textId="77777777" w:rsidR="00E43A56" w:rsidRPr="008B3D09" w:rsidRDefault="00E43A56" w:rsidP="00AE4332">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8B3D09">
              <w:rPr>
                <w:sz w:val="24"/>
                <w:szCs w:val="24"/>
              </w:rPr>
              <w:t>458,249</w:t>
            </w:r>
          </w:p>
        </w:tc>
      </w:tr>
    </w:tbl>
    <w:p w14:paraId="31F68F7C" w14:textId="77777777" w:rsidR="00E43A56" w:rsidRPr="008B3D09" w:rsidRDefault="00E43A56" w:rsidP="00E43A56">
      <w:pPr>
        <w:spacing w:line="360" w:lineRule="auto"/>
        <w:jc w:val="both"/>
        <w:rPr>
          <w:sz w:val="24"/>
          <w:szCs w:val="24"/>
        </w:rPr>
      </w:pPr>
    </w:p>
    <w:p w14:paraId="5AEB5C6A" w14:textId="77777777" w:rsidR="00E43A56" w:rsidRPr="008B3D09" w:rsidRDefault="00E43A56" w:rsidP="00E43A56">
      <w:pPr>
        <w:keepNext/>
        <w:spacing w:line="360" w:lineRule="auto"/>
        <w:jc w:val="both"/>
        <w:rPr>
          <w:sz w:val="24"/>
          <w:szCs w:val="24"/>
        </w:rPr>
      </w:pPr>
      <w:r w:rsidRPr="008B3D09">
        <w:rPr>
          <w:noProof/>
          <w:sz w:val="24"/>
          <w:szCs w:val="24"/>
          <w:lang w:val="en-IN" w:eastAsia="en-IN"/>
        </w:rPr>
        <w:lastRenderedPageBreak/>
        <w:drawing>
          <wp:inline distT="0" distB="0" distL="0" distR="0" wp14:anchorId="1D4991FA" wp14:editId="2A71F5B8">
            <wp:extent cx="5693133" cy="2584174"/>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ns_and_Advances_Grap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6349" cy="2585634"/>
                    </a:xfrm>
                    <a:prstGeom prst="rect">
                      <a:avLst/>
                    </a:prstGeom>
                  </pic:spPr>
                </pic:pic>
              </a:graphicData>
            </a:graphic>
          </wp:inline>
        </w:drawing>
      </w:r>
    </w:p>
    <w:p w14:paraId="12453C95" w14:textId="47B3780E" w:rsidR="00E43A56" w:rsidRPr="008B3D09" w:rsidRDefault="00E43A56" w:rsidP="00E43A56">
      <w:pPr>
        <w:pStyle w:val="Caption"/>
        <w:spacing w:line="360" w:lineRule="auto"/>
        <w:jc w:val="both"/>
        <w:rPr>
          <w:sz w:val="24"/>
          <w:szCs w:val="24"/>
        </w:rPr>
      </w:pPr>
      <w:r w:rsidRPr="008B3D09">
        <w:rPr>
          <w:sz w:val="24"/>
          <w:szCs w:val="24"/>
        </w:rPr>
        <w:t xml:space="preserve">Figure </w:t>
      </w:r>
      <w:r w:rsidR="00841AD6">
        <w:rPr>
          <w:sz w:val="24"/>
          <w:szCs w:val="24"/>
        </w:rPr>
        <w:t>3</w:t>
      </w:r>
      <w:r w:rsidRPr="008B3D09">
        <w:rPr>
          <w:sz w:val="24"/>
          <w:szCs w:val="24"/>
        </w:rPr>
        <w:t>: Loans and Advances</w:t>
      </w:r>
    </w:p>
    <w:p w14:paraId="0531CD17" w14:textId="77777777" w:rsidR="00E43A56" w:rsidRPr="008B3D09" w:rsidRDefault="00E43A56" w:rsidP="00E43A56">
      <w:pPr>
        <w:spacing w:line="360" w:lineRule="auto"/>
        <w:jc w:val="both"/>
        <w:rPr>
          <w:sz w:val="24"/>
          <w:szCs w:val="24"/>
        </w:rPr>
      </w:pPr>
      <w:r w:rsidRPr="008B3D09">
        <w:rPr>
          <w:sz w:val="24"/>
          <w:szCs w:val="24"/>
        </w:rPr>
        <w:tab/>
      </w:r>
    </w:p>
    <w:p w14:paraId="62959E3B" w14:textId="77777777" w:rsidR="00E43A56" w:rsidRPr="008B3D09" w:rsidRDefault="00E43A56" w:rsidP="00E43A56">
      <w:pPr>
        <w:spacing w:line="360" w:lineRule="auto"/>
        <w:jc w:val="both"/>
        <w:rPr>
          <w:sz w:val="24"/>
          <w:szCs w:val="24"/>
        </w:rPr>
      </w:pPr>
    </w:p>
    <w:p w14:paraId="20E42416" w14:textId="186769FF" w:rsidR="00E43A56" w:rsidRPr="008B3D09" w:rsidRDefault="00E43A56" w:rsidP="00E43A56">
      <w:pPr>
        <w:spacing w:line="360" w:lineRule="auto"/>
        <w:jc w:val="both"/>
        <w:rPr>
          <w:sz w:val="24"/>
          <w:szCs w:val="24"/>
        </w:rPr>
      </w:pPr>
      <w:r w:rsidRPr="008B3D09">
        <w:rPr>
          <w:sz w:val="24"/>
          <w:szCs w:val="24"/>
        </w:rPr>
        <w:t xml:space="preserve">With the help </w:t>
      </w:r>
      <w:proofErr w:type="gramStart"/>
      <w:r w:rsidRPr="008B3D09">
        <w:rPr>
          <w:sz w:val="24"/>
          <w:szCs w:val="24"/>
        </w:rPr>
        <w:t>of  Figure</w:t>
      </w:r>
      <w:proofErr w:type="gramEnd"/>
      <w:r w:rsidRPr="008B3D09">
        <w:rPr>
          <w:sz w:val="24"/>
          <w:szCs w:val="24"/>
        </w:rPr>
        <w:t xml:space="preserve"> </w:t>
      </w:r>
      <w:r w:rsidR="00841AD6">
        <w:rPr>
          <w:sz w:val="24"/>
          <w:szCs w:val="24"/>
        </w:rPr>
        <w:t>3</w:t>
      </w:r>
      <w:r w:rsidRPr="008B3D09">
        <w:rPr>
          <w:sz w:val="24"/>
          <w:szCs w:val="24"/>
        </w:rPr>
        <w:t xml:space="preserve">, it can be </w:t>
      </w:r>
      <w:proofErr w:type="spellStart"/>
      <w:r w:rsidRPr="008B3D09">
        <w:rPr>
          <w:sz w:val="24"/>
          <w:szCs w:val="24"/>
        </w:rPr>
        <w:t>analysed</w:t>
      </w:r>
      <w:proofErr w:type="spellEnd"/>
      <w:r w:rsidRPr="008B3D09">
        <w:rPr>
          <w:sz w:val="24"/>
          <w:szCs w:val="24"/>
        </w:rPr>
        <w:t xml:space="preserve"> that the volume of advances, provided by the Bank, has been continuously increasing with the constant rate since 2010. It can be interpreted as</w:t>
      </w:r>
    </w:p>
    <w:p w14:paraId="6B4933FC"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proofErr w:type="gramStart"/>
      <w:r w:rsidRPr="008B3D09">
        <w:rPr>
          <w:sz w:val="24"/>
          <w:szCs w:val="24"/>
          <w:lang w:val="en-IN" w:eastAsia="en-IN" w:bidi="hi-IN"/>
        </w:rPr>
        <w:t xml:space="preserve">  </w:t>
      </w:r>
      <w:r w:rsidRPr="008B3D09">
        <w:rPr>
          <w:b/>
          <w:bCs/>
          <w:sz w:val="24"/>
          <w:szCs w:val="24"/>
          <w:lang w:val="en-IN" w:eastAsia="en-IN" w:bidi="hi-IN"/>
        </w:rPr>
        <w:t>Consistent</w:t>
      </w:r>
      <w:proofErr w:type="gramEnd"/>
      <w:r w:rsidRPr="008B3D09">
        <w:rPr>
          <w:b/>
          <w:bCs/>
          <w:sz w:val="24"/>
          <w:szCs w:val="24"/>
          <w:lang w:val="en-IN" w:eastAsia="en-IN" w:bidi="hi-IN"/>
        </w:rPr>
        <w:t xml:space="preserve"> and Linear Growth</w:t>
      </w:r>
      <w:r w:rsidRPr="008B3D09">
        <w:rPr>
          <w:sz w:val="24"/>
          <w:szCs w:val="24"/>
          <w:lang w:val="en-IN" w:eastAsia="en-IN" w:bidi="hi-IN"/>
        </w:rPr>
        <w:t>:</w:t>
      </w:r>
    </w:p>
    <w:p w14:paraId="725C3C23" w14:textId="77777777" w:rsidR="00E43A56" w:rsidRPr="008B3D09" w:rsidRDefault="00E43A56" w:rsidP="00E43A56">
      <w:pPr>
        <w:widowControl/>
        <w:numPr>
          <w:ilvl w:val="0"/>
          <w:numId w:val="20"/>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 xml:space="preserve">The graph shows a </w:t>
      </w:r>
      <w:r w:rsidRPr="008B3D09">
        <w:rPr>
          <w:b/>
          <w:bCs/>
          <w:sz w:val="24"/>
          <w:szCs w:val="24"/>
          <w:lang w:val="en-IN" w:eastAsia="en-IN" w:bidi="hi-IN"/>
        </w:rPr>
        <w:t>steady and uninterrupted increase</w:t>
      </w:r>
      <w:r w:rsidRPr="008B3D09">
        <w:rPr>
          <w:sz w:val="24"/>
          <w:szCs w:val="24"/>
          <w:lang w:val="en-IN" w:eastAsia="en-IN" w:bidi="hi-IN"/>
        </w:rPr>
        <w:t xml:space="preserve"> in the volume of loans and advances from </w:t>
      </w:r>
      <w:r w:rsidRPr="008B3D09">
        <w:rPr>
          <w:b/>
          <w:bCs/>
          <w:sz w:val="24"/>
          <w:szCs w:val="24"/>
          <w:lang w:val="en-IN" w:eastAsia="en-IN" w:bidi="hi-IN"/>
        </w:rPr>
        <w:t>approximately ₹1.86 lakh crore (Indian rupee) in 2010</w:t>
      </w:r>
      <w:r w:rsidRPr="008B3D09">
        <w:rPr>
          <w:sz w:val="24"/>
          <w:szCs w:val="24"/>
          <w:lang w:val="en-IN" w:eastAsia="en-IN" w:bidi="hi-IN"/>
        </w:rPr>
        <w:t xml:space="preserve"> to </w:t>
      </w:r>
      <w:r w:rsidRPr="008B3D09">
        <w:rPr>
          <w:b/>
          <w:bCs/>
          <w:sz w:val="24"/>
          <w:szCs w:val="24"/>
          <w:lang w:val="en-IN" w:eastAsia="en-IN" w:bidi="hi-IN"/>
        </w:rPr>
        <w:t>over ₹4.58 lakh crore (Indian rupee) in 2019</w:t>
      </w:r>
      <w:r w:rsidRPr="008B3D09">
        <w:rPr>
          <w:sz w:val="24"/>
          <w:szCs w:val="24"/>
          <w:lang w:val="en-IN" w:eastAsia="en-IN" w:bidi="hi-IN"/>
        </w:rPr>
        <w:t>.</w:t>
      </w:r>
    </w:p>
    <w:p w14:paraId="577BF2A4" w14:textId="77777777" w:rsidR="00E43A56" w:rsidRPr="008B3D09" w:rsidRDefault="00E43A56" w:rsidP="00E43A56">
      <w:pPr>
        <w:widowControl/>
        <w:numPr>
          <w:ilvl w:val="0"/>
          <w:numId w:val="20"/>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This upward trend reflects the bank’s aggressive credit expansion strategy over the decade, likely driven by growth objectives and efforts to increase market share.</w:t>
      </w:r>
    </w:p>
    <w:p w14:paraId="49185505"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proofErr w:type="gramStart"/>
      <w:r w:rsidRPr="008B3D09">
        <w:rPr>
          <w:sz w:val="24"/>
          <w:szCs w:val="24"/>
          <w:lang w:val="en-IN" w:eastAsia="en-IN" w:bidi="hi-IN"/>
        </w:rPr>
        <w:t xml:space="preserve">  </w:t>
      </w:r>
      <w:r w:rsidRPr="008B3D09">
        <w:rPr>
          <w:b/>
          <w:bCs/>
          <w:sz w:val="24"/>
          <w:szCs w:val="24"/>
          <w:lang w:val="en-IN" w:eastAsia="en-IN" w:bidi="hi-IN"/>
        </w:rPr>
        <w:t>Implication</w:t>
      </w:r>
      <w:proofErr w:type="gramEnd"/>
      <w:r w:rsidRPr="008B3D09">
        <w:rPr>
          <w:b/>
          <w:bCs/>
          <w:sz w:val="24"/>
          <w:szCs w:val="24"/>
          <w:lang w:val="en-IN" w:eastAsia="en-IN" w:bidi="hi-IN"/>
        </w:rPr>
        <w:t xml:space="preserve"> of Rising Credit Exposure</w:t>
      </w:r>
      <w:r w:rsidRPr="008B3D09">
        <w:rPr>
          <w:sz w:val="24"/>
          <w:szCs w:val="24"/>
          <w:lang w:val="en-IN" w:eastAsia="en-IN" w:bidi="hi-IN"/>
        </w:rPr>
        <w:t>:</w:t>
      </w:r>
    </w:p>
    <w:p w14:paraId="458279AE" w14:textId="77777777" w:rsidR="00E43A56" w:rsidRPr="008B3D09" w:rsidRDefault="00E43A56" w:rsidP="00E43A56">
      <w:pPr>
        <w:widowControl/>
        <w:numPr>
          <w:ilvl w:val="0"/>
          <w:numId w:val="21"/>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 xml:space="preserve">While consistent loan growth is a sign of banking activity and economic stimulation, it also </w:t>
      </w:r>
      <w:r w:rsidRPr="008B3D09">
        <w:rPr>
          <w:b/>
          <w:bCs/>
          <w:sz w:val="24"/>
          <w:szCs w:val="24"/>
          <w:lang w:val="en-IN" w:eastAsia="en-IN" w:bidi="hi-IN"/>
        </w:rPr>
        <w:t>increases credit risk</w:t>
      </w:r>
      <w:r w:rsidRPr="008B3D09">
        <w:rPr>
          <w:sz w:val="24"/>
          <w:szCs w:val="24"/>
          <w:lang w:val="en-IN" w:eastAsia="en-IN" w:bidi="hi-IN"/>
        </w:rPr>
        <w:t>, particularly when growth is not matched by robust risk management.</w:t>
      </w:r>
    </w:p>
    <w:p w14:paraId="3982F263" w14:textId="77777777" w:rsidR="00E43A56" w:rsidRPr="008B3D09" w:rsidRDefault="00E43A56" w:rsidP="00E43A56">
      <w:pPr>
        <w:widowControl/>
        <w:numPr>
          <w:ilvl w:val="0"/>
          <w:numId w:val="21"/>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The rising trend must be viewed alongside the simultaneous increase in Gross and Net NPAs (as seen in previous graphs), suggesting that a portion of these advances became non-performing, impacting the asset quality.</w:t>
      </w:r>
    </w:p>
    <w:p w14:paraId="6F998233"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proofErr w:type="gramStart"/>
      <w:r w:rsidRPr="008B3D09">
        <w:rPr>
          <w:sz w:val="24"/>
          <w:szCs w:val="24"/>
          <w:lang w:val="en-IN" w:eastAsia="en-IN" w:bidi="hi-IN"/>
        </w:rPr>
        <w:t xml:space="preserve">  </w:t>
      </w:r>
      <w:r w:rsidRPr="008B3D09">
        <w:rPr>
          <w:b/>
          <w:bCs/>
          <w:sz w:val="24"/>
          <w:szCs w:val="24"/>
          <w:lang w:val="en-IN" w:eastAsia="en-IN" w:bidi="hi-IN"/>
        </w:rPr>
        <w:t>No</w:t>
      </w:r>
      <w:proofErr w:type="gramEnd"/>
      <w:r w:rsidRPr="008B3D09">
        <w:rPr>
          <w:b/>
          <w:bCs/>
          <w:sz w:val="24"/>
          <w:szCs w:val="24"/>
          <w:lang w:val="en-IN" w:eastAsia="en-IN" w:bidi="hi-IN"/>
        </w:rPr>
        <w:t xml:space="preserve"> Periods of Contraction</w:t>
      </w:r>
      <w:r w:rsidRPr="008B3D09">
        <w:rPr>
          <w:sz w:val="24"/>
          <w:szCs w:val="24"/>
          <w:lang w:val="en-IN" w:eastAsia="en-IN" w:bidi="hi-IN"/>
        </w:rPr>
        <w:t>:</w:t>
      </w:r>
    </w:p>
    <w:p w14:paraId="6F24CE3E" w14:textId="77777777" w:rsidR="00E43A56" w:rsidRPr="008B3D09" w:rsidRDefault="00E43A56" w:rsidP="00E43A56">
      <w:pPr>
        <w:widowControl/>
        <w:numPr>
          <w:ilvl w:val="0"/>
          <w:numId w:val="22"/>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 xml:space="preserve">There is </w:t>
      </w:r>
      <w:r w:rsidRPr="008B3D09">
        <w:rPr>
          <w:b/>
          <w:bCs/>
          <w:sz w:val="24"/>
          <w:szCs w:val="24"/>
          <w:lang w:val="en-IN" w:eastAsia="en-IN" w:bidi="hi-IN"/>
        </w:rPr>
        <w:t>no decline or stagnation</w:t>
      </w:r>
      <w:r w:rsidRPr="008B3D09">
        <w:rPr>
          <w:sz w:val="24"/>
          <w:szCs w:val="24"/>
          <w:lang w:val="en-IN" w:eastAsia="en-IN" w:bidi="hi-IN"/>
        </w:rPr>
        <w:t xml:space="preserve"> in the loans &amp; advances trend during the 10-year period, indicating that even during years of high NPA stress (e.g., 2016–2018), the bank continued expanding its loan book.</w:t>
      </w:r>
    </w:p>
    <w:p w14:paraId="72091A21" w14:textId="77777777" w:rsidR="00E43A56" w:rsidRPr="008B3D09" w:rsidRDefault="00E43A56" w:rsidP="00E43A56">
      <w:pPr>
        <w:widowControl/>
        <w:numPr>
          <w:ilvl w:val="0"/>
          <w:numId w:val="22"/>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lastRenderedPageBreak/>
        <w:t>This could reflect delayed policy responses or commitments to existing disbursement pipelines, potentially contributing to further stress.</w:t>
      </w:r>
    </w:p>
    <w:p w14:paraId="623C5CB2" w14:textId="77777777" w:rsidR="00E43A56" w:rsidRPr="008B3D09" w:rsidRDefault="00E43A56" w:rsidP="00E43A56">
      <w:pPr>
        <w:spacing w:line="360" w:lineRule="auto"/>
        <w:jc w:val="both"/>
        <w:rPr>
          <w:sz w:val="24"/>
          <w:szCs w:val="24"/>
        </w:rPr>
      </w:pPr>
    </w:p>
    <w:p w14:paraId="40BD0A7B" w14:textId="77777777" w:rsidR="00E43A56" w:rsidRPr="008B3D09" w:rsidRDefault="00E43A56" w:rsidP="00E43A56">
      <w:pPr>
        <w:tabs>
          <w:tab w:val="left" w:pos="952"/>
        </w:tabs>
        <w:spacing w:line="360" w:lineRule="auto"/>
        <w:jc w:val="both"/>
        <w:rPr>
          <w:sz w:val="24"/>
          <w:szCs w:val="24"/>
        </w:rPr>
      </w:pPr>
      <w:r w:rsidRPr="008B3D09">
        <w:rPr>
          <w:sz w:val="24"/>
          <w:szCs w:val="24"/>
        </w:rPr>
        <w:t xml:space="preserve">The graph demonstrates that </w:t>
      </w:r>
      <w:r w:rsidRPr="008B3D09">
        <w:rPr>
          <w:rStyle w:val="Strong"/>
          <w:sz w:val="24"/>
          <w:szCs w:val="24"/>
        </w:rPr>
        <w:t>Punjab National Bank expanded its credit operations aggressively and continuously from 2010 to 2019</w:t>
      </w:r>
      <w:r w:rsidRPr="008B3D09">
        <w:rPr>
          <w:sz w:val="24"/>
          <w:szCs w:val="24"/>
        </w:rPr>
        <w:t xml:space="preserve">. However, this growth in loans and advances must be critically assessed in light of the parallel rise in NPAs. The trend points to the importance of ensuring that credit expansion is aligned with </w:t>
      </w:r>
      <w:r w:rsidRPr="008B3D09">
        <w:rPr>
          <w:rStyle w:val="Strong"/>
          <w:sz w:val="24"/>
          <w:szCs w:val="24"/>
        </w:rPr>
        <w:t>sound appraisal standards, sectoral health analysis, and post-disbursement monitoring</w:t>
      </w:r>
      <w:r w:rsidRPr="008B3D09">
        <w:rPr>
          <w:sz w:val="24"/>
          <w:szCs w:val="24"/>
        </w:rPr>
        <w:t>.</w:t>
      </w:r>
    </w:p>
    <w:p w14:paraId="2F47E727" w14:textId="77777777" w:rsidR="00E43A56" w:rsidRPr="008B3D09" w:rsidRDefault="00E43A56" w:rsidP="00E43A56">
      <w:pPr>
        <w:pStyle w:val="Caption"/>
        <w:keepNext/>
        <w:spacing w:line="360" w:lineRule="auto"/>
        <w:rPr>
          <w:sz w:val="24"/>
          <w:szCs w:val="24"/>
        </w:rPr>
      </w:pPr>
      <w:r w:rsidRPr="008B3D09">
        <w:rPr>
          <w:sz w:val="24"/>
          <w:szCs w:val="24"/>
        </w:rPr>
        <w:t xml:space="preserve">Table </w:t>
      </w:r>
      <w:r w:rsidRPr="008B3D09">
        <w:rPr>
          <w:sz w:val="24"/>
          <w:szCs w:val="24"/>
        </w:rPr>
        <w:fldChar w:fldCharType="begin"/>
      </w:r>
      <w:r w:rsidRPr="008B3D09">
        <w:rPr>
          <w:sz w:val="24"/>
          <w:szCs w:val="24"/>
        </w:rPr>
        <w:instrText xml:space="preserve"> SEQ Table \* ARABIC </w:instrText>
      </w:r>
      <w:r w:rsidRPr="008B3D09">
        <w:rPr>
          <w:sz w:val="24"/>
          <w:szCs w:val="24"/>
        </w:rPr>
        <w:fldChar w:fldCharType="separate"/>
      </w:r>
      <w:r w:rsidRPr="008B3D09">
        <w:rPr>
          <w:noProof/>
          <w:sz w:val="24"/>
          <w:szCs w:val="24"/>
        </w:rPr>
        <w:t>2</w:t>
      </w:r>
      <w:r w:rsidRPr="008B3D09">
        <w:rPr>
          <w:sz w:val="24"/>
          <w:szCs w:val="24"/>
        </w:rPr>
        <w:fldChar w:fldCharType="end"/>
      </w:r>
      <w:r w:rsidRPr="008B3D09">
        <w:rPr>
          <w:sz w:val="24"/>
          <w:szCs w:val="24"/>
        </w:rPr>
        <w:t>: Gross NPA</w:t>
      </w:r>
    </w:p>
    <w:tbl>
      <w:tblPr>
        <w:tblStyle w:val="LightShading-Accent1"/>
        <w:tblW w:w="0" w:type="auto"/>
        <w:tblLook w:val="04A0" w:firstRow="1" w:lastRow="0" w:firstColumn="1" w:lastColumn="0" w:noHBand="0" w:noVBand="1"/>
      </w:tblPr>
      <w:tblGrid>
        <w:gridCol w:w="4320"/>
        <w:gridCol w:w="4320"/>
      </w:tblGrid>
      <w:tr w:rsidR="00E43A56" w:rsidRPr="008B3D09" w14:paraId="71D56717" w14:textId="77777777" w:rsidTr="00AE4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747B8E2B" w14:textId="77777777" w:rsidR="00E43A56" w:rsidRPr="008B3D09" w:rsidRDefault="00E43A56" w:rsidP="00AE4332">
            <w:pPr>
              <w:spacing w:line="360" w:lineRule="auto"/>
              <w:rPr>
                <w:sz w:val="24"/>
                <w:szCs w:val="24"/>
              </w:rPr>
            </w:pPr>
            <w:r w:rsidRPr="008B3D09">
              <w:rPr>
                <w:sz w:val="24"/>
                <w:szCs w:val="24"/>
              </w:rPr>
              <w:t>Financial Year</w:t>
            </w:r>
          </w:p>
        </w:tc>
        <w:tc>
          <w:tcPr>
            <w:tcW w:w="4320" w:type="dxa"/>
          </w:tcPr>
          <w:p w14:paraId="430A0101" w14:textId="77777777" w:rsidR="00E43A56" w:rsidRPr="008B3D09" w:rsidRDefault="00E43A56" w:rsidP="00AE4332">
            <w:pPr>
              <w:spacing w:line="360" w:lineRule="auto"/>
              <w:cnfStyle w:val="100000000000" w:firstRow="1" w:lastRow="0" w:firstColumn="0" w:lastColumn="0" w:oddVBand="0" w:evenVBand="0" w:oddHBand="0" w:evenHBand="0" w:firstRowFirstColumn="0" w:firstRowLastColumn="0" w:lastRowFirstColumn="0" w:lastRowLastColumn="0"/>
              <w:rPr>
                <w:sz w:val="24"/>
                <w:szCs w:val="24"/>
              </w:rPr>
            </w:pPr>
            <w:r w:rsidRPr="008B3D09">
              <w:rPr>
                <w:sz w:val="24"/>
                <w:szCs w:val="24"/>
              </w:rPr>
              <w:t>Gross NPA (%)</w:t>
            </w:r>
          </w:p>
        </w:tc>
      </w:tr>
      <w:tr w:rsidR="00E43A56" w:rsidRPr="008B3D09" w14:paraId="3563C820" w14:textId="77777777" w:rsidTr="00AE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22E0D47E" w14:textId="77777777" w:rsidR="00E43A56" w:rsidRPr="008B3D09" w:rsidRDefault="00E43A56" w:rsidP="00AE4332">
            <w:pPr>
              <w:spacing w:line="360" w:lineRule="auto"/>
              <w:rPr>
                <w:sz w:val="24"/>
                <w:szCs w:val="24"/>
              </w:rPr>
            </w:pPr>
            <w:r w:rsidRPr="008B3D09">
              <w:rPr>
                <w:sz w:val="24"/>
                <w:szCs w:val="24"/>
              </w:rPr>
              <w:t>2010</w:t>
            </w:r>
          </w:p>
        </w:tc>
        <w:tc>
          <w:tcPr>
            <w:tcW w:w="4320" w:type="dxa"/>
          </w:tcPr>
          <w:p w14:paraId="2644B86C" w14:textId="77777777" w:rsidR="00E43A56" w:rsidRPr="008B3D09" w:rsidRDefault="00E43A56" w:rsidP="00AE4332">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8B3D09">
              <w:rPr>
                <w:sz w:val="24"/>
                <w:szCs w:val="24"/>
              </w:rPr>
              <w:t>1.71</w:t>
            </w:r>
          </w:p>
        </w:tc>
      </w:tr>
      <w:tr w:rsidR="00E43A56" w:rsidRPr="008B3D09" w14:paraId="055C2574" w14:textId="77777777" w:rsidTr="00AE4332">
        <w:tc>
          <w:tcPr>
            <w:cnfStyle w:val="001000000000" w:firstRow="0" w:lastRow="0" w:firstColumn="1" w:lastColumn="0" w:oddVBand="0" w:evenVBand="0" w:oddHBand="0" w:evenHBand="0" w:firstRowFirstColumn="0" w:firstRowLastColumn="0" w:lastRowFirstColumn="0" w:lastRowLastColumn="0"/>
            <w:tcW w:w="4320" w:type="dxa"/>
          </w:tcPr>
          <w:p w14:paraId="500132A4" w14:textId="77777777" w:rsidR="00E43A56" w:rsidRPr="008B3D09" w:rsidRDefault="00E43A56" w:rsidP="00AE4332">
            <w:pPr>
              <w:spacing w:line="360" w:lineRule="auto"/>
              <w:rPr>
                <w:sz w:val="24"/>
                <w:szCs w:val="24"/>
              </w:rPr>
            </w:pPr>
            <w:r w:rsidRPr="008B3D09">
              <w:rPr>
                <w:sz w:val="24"/>
                <w:szCs w:val="24"/>
              </w:rPr>
              <w:t>2011</w:t>
            </w:r>
          </w:p>
        </w:tc>
        <w:tc>
          <w:tcPr>
            <w:tcW w:w="4320" w:type="dxa"/>
          </w:tcPr>
          <w:p w14:paraId="59008E33" w14:textId="77777777" w:rsidR="00E43A56" w:rsidRPr="008B3D09" w:rsidRDefault="00E43A56" w:rsidP="00AE4332">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8B3D09">
              <w:rPr>
                <w:sz w:val="24"/>
                <w:szCs w:val="24"/>
              </w:rPr>
              <w:t>2.00</w:t>
            </w:r>
          </w:p>
        </w:tc>
      </w:tr>
      <w:tr w:rsidR="00E43A56" w:rsidRPr="008B3D09" w14:paraId="02547FAC" w14:textId="77777777" w:rsidTr="00AE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B158E56" w14:textId="77777777" w:rsidR="00E43A56" w:rsidRPr="008B3D09" w:rsidRDefault="00E43A56" w:rsidP="00AE4332">
            <w:pPr>
              <w:spacing w:line="360" w:lineRule="auto"/>
              <w:rPr>
                <w:sz w:val="24"/>
                <w:szCs w:val="24"/>
              </w:rPr>
            </w:pPr>
            <w:r w:rsidRPr="008B3D09">
              <w:rPr>
                <w:sz w:val="24"/>
                <w:szCs w:val="24"/>
              </w:rPr>
              <w:t>2012</w:t>
            </w:r>
          </w:p>
        </w:tc>
        <w:tc>
          <w:tcPr>
            <w:tcW w:w="4320" w:type="dxa"/>
          </w:tcPr>
          <w:p w14:paraId="45023FC0" w14:textId="77777777" w:rsidR="00E43A56" w:rsidRPr="008B3D09" w:rsidRDefault="00E43A56" w:rsidP="00AE4332">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8B3D09">
              <w:rPr>
                <w:sz w:val="24"/>
                <w:szCs w:val="24"/>
              </w:rPr>
              <w:t>2.93</w:t>
            </w:r>
          </w:p>
        </w:tc>
      </w:tr>
      <w:tr w:rsidR="00E43A56" w:rsidRPr="008B3D09" w14:paraId="1DAE9FB9" w14:textId="77777777" w:rsidTr="00AE4332">
        <w:tc>
          <w:tcPr>
            <w:cnfStyle w:val="001000000000" w:firstRow="0" w:lastRow="0" w:firstColumn="1" w:lastColumn="0" w:oddVBand="0" w:evenVBand="0" w:oddHBand="0" w:evenHBand="0" w:firstRowFirstColumn="0" w:firstRowLastColumn="0" w:lastRowFirstColumn="0" w:lastRowLastColumn="0"/>
            <w:tcW w:w="4320" w:type="dxa"/>
          </w:tcPr>
          <w:p w14:paraId="7EB29191" w14:textId="77777777" w:rsidR="00E43A56" w:rsidRPr="008B3D09" w:rsidRDefault="00E43A56" w:rsidP="00AE4332">
            <w:pPr>
              <w:spacing w:line="360" w:lineRule="auto"/>
              <w:rPr>
                <w:sz w:val="24"/>
                <w:szCs w:val="24"/>
              </w:rPr>
            </w:pPr>
            <w:r w:rsidRPr="008B3D09">
              <w:rPr>
                <w:sz w:val="24"/>
                <w:szCs w:val="24"/>
              </w:rPr>
              <w:t>2013</w:t>
            </w:r>
          </w:p>
        </w:tc>
        <w:tc>
          <w:tcPr>
            <w:tcW w:w="4320" w:type="dxa"/>
          </w:tcPr>
          <w:p w14:paraId="23876EB3" w14:textId="77777777" w:rsidR="00E43A56" w:rsidRPr="008B3D09" w:rsidRDefault="00E43A56" w:rsidP="00AE4332">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8B3D09">
              <w:rPr>
                <w:sz w:val="24"/>
                <w:szCs w:val="24"/>
              </w:rPr>
              <w:t>3.91</w:t>
            </w:r>
          </w:p>
        </w:tc>
      </w:tr>
      <w:tr w:rsidR="00E43A56" w:rsidRPr="008B3D09" w14:paraId="7448B16B" w14:textId="77777777" w:rsidTr="00AE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F3235C0" w14:textId="77777777" w:rsidR="00E43A56" w:rsidRPr="008B3D09" w:rsidRDefault="00E43A56" w:rsidP="00AE4332">
            <w:pPr>
              <w:spacing w:line="360" w:lineRule="auto"/>
              <w:rPr>
                <w:sz w:val="24"/>
                <w:szCs w:val="24"/>
              </w:rPr>
            </w:pPr>
            <w:r w:rsidRPr="008B3D09">
              <w:rPr>
                <w:sz w:val="24"/>
                <w:szCs w:val="24"/>
              </w:rPr>
              <w:t>2014</w:t>
            </w:r>
          </w:p>
        </w:tc>
        <w:tc>
          <w:tcPr>
            <w:tcW w:w="4320" w:type="dxa"/>
          </w:tcPr>
          <w:p w14:paraId="5444F3C5" w14:textId="77777777" w:rsidR="00E43A56" w:rsidRPr="008B3D09" w:rsidRDefault="00E43A56" w:rsidP="00AE4332">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8B3D09">
              <w:rPr>
                <w:sz w:val="24"/>
                <w:szCs w:val="24"/>
              </w:rPr>
              <w:t>4.64</w:t>
            </w:r>
          </w:p>
        </w:tc>
      </w:tr>
      <w:tr w:rsidR="00E43A56" w:rsidRPr="008B3D09" w14:paraId="4A26A94F" w14:textId="77777777" w:rsidTr="00AE4332">
        <w:tc>
          <w:tcPr>
            <w:cnfStyle w:val="001000000000" w:firstRow="0" w:lastRow="0" w:firstColumn="1" w:lastColumn="0" w:oddVBand="0" w:evenVBand="0" w:oddHBand="0" w:evenHBand="0" w:firstRowFirstColumn="0" w:firstRowLastColumn="0" w:lastRowFirstColumn="0" w:lastRowLastColumn="0"/>
            <w:tcW w:w="4320" w:type="dxa"/>
          </w:tcPr>
          <w:p w14:paraId="23CB4272" w14:textId="77777777" w:rsidR="00E43A56" w:rsidRPr="008B3D09" w:rsidRDefault="00E43A56" w:rsidP="00AE4332">
            <w:pPr>
              <w:spacing w:line="360" w:lineRule="auto"/>
              <w:rPr>
                <w:sz w:val="24"/>
                <w:szCs w:val="24"/>
              </w:rPr>
            </w:pPr>
            <w:r w:rsidRPr="008B3D09">
              <w:rPr>
                <w:sz w:val="24"/>
                <w:szCs w:val="24"/>
              </w:rPr>
              <w:t>2015</w:t>
            </w:r>
          </w:p>
        </w:tc>
        <w:tc>
          <w:tcPr>
            <w:tcW w:w="4320" w:type="dxa"/>
          </w:tcPr>
          <w:p w14:paraId="47C0CA88" w14:textId="77777777" w:rsidR="00E43A56" w:rsidRPr="008B3D09" w:rsidRDefault="00E43A56" w:rsidP="00AE4332">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8B3D09">
              <w:rPr>
                <w:sz w:val="24"/>
                <w:szCs w:val="24"/>
              </w:rPr>
              <w:t>5.90</w:t>
            </w:r>
          </w:p>
        </w:tc>
      </w:tr>
      <w:tr w:rsidR="00E43A56" w:rsidRPr="008B3D09" w14:paraId="15B2F67B" w14:textId="77777777" w:rsidTr="00AE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83A16BD" w14:textId="77777777" w:rsidR="00E43A56" w:rsidRPr="008B3D09" w:rsidRDefault="00E43A56" w:rsidP="00AE4332">
            <w:pPr>
              <w:spacing w:line="360" w:lineRule="auto"/>
              <w:rPr>
                <w:sz w:val="24"/>
                <w:szCs w:val="24"/>
              </w:rPr>
            </w:pPr>
            <w:r w:rsidRPr="008B3D09">
              <w:rPr>
                <w:sz w:val="24"/>
                <w:szCs w:val="24"/>
              </w:rPr>
              <w:t>2016</w:t>
            </w:r>
          </w:p>
        </w:tc>
        <w:tc>
          <w:tcPr>
            <w:tcW w:w="4320" w:type="dxa"/>
          </w:tcPr>
          <w:p w14:paraId="77871EBB" w14:textId="77777777" w:rsidR="00E43A56" w:rsidRPr="008B3D09" w:rsidRDefault="00E43A56" w:rsidP="00AE4332">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8B3D09">
              <w:rPr>
                <w:sz w:val="24"/>
                <w:szCs w:val="24"/>
              </w:rPr>
              <w:t>9.23</w:t>
            </w:r>
          </w:p>
        </w:tc>
      </w:tr>
      <w:tr w:rsidR="00E43A56" w:rsidRPr="008B3D09" w14:paraId="0569D629" w14:textId="77777777" w:rsidTr="00AE4332">
        <w:tc>
          <w:tcPr>
            <w:cnfStyle w:val="001000000000" w:firstRow="0" w:lastRow="0" w:firstColumn="1" w:lastColumn="0" w:oddVBand="0" w:evenVBand="0" w:oddHBand="0" w:evenHBand="0" w:firstRowFirstColumn="0" w:firstRowLastColumn="0" w:lastRowFirstColumn="0" w:lastRowLastColumn="0"/>
            <w:tcW w:w="4320" w:type="dxa"/>
          </w:tcPr>
          <w:p w14:paraId="0DA67A9E" w14:textId="77777777" w:rsidR="00E43A56" w:rsidRPr="008B3D09" w:rsidRDefault="00E43A56" w:rsidP="00AE4332">
            <w:pPr>
              <w:spacing w:line="360" w:lineRule="auto"/>
              <w:rPr>
                <w:sz w:val="24"/>
                <w:szCs w:val="24"/>
              </w:rPr>
            </w:pPr>
            <w:r w:rsidRPr="008B3D09">
              <w:rPr>
                <w:sz w:val="24"/>
                <w:szCs w:val="24"/>
              </w:rPr>
              <w:t>2017</w:t>
            </w:r>
          </w:p>
        </w:tc>
        <w:tc>
          <w:tcPr>
            <w:tcW w:w="4320" w:type="dxa"/>
          </w:tcPr>
          <w:p w14:paraId="46BAC023" w14:textId="77777777" w:rsidR="00E43A56" w:rsidRPr="008B3D09" w:rsidRDefault="00E43A56" w:rsidP="00AE4332">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8B3D09">
              <w:rPr>
                <w:sz w:val="24"/>
                <w:szCs w:val="24"/>
              </w:rPr>
              <w:t>8.16</w:t>
            </w:r>
          </w:p>
        </w:tc>
      </w:tr>
      <w:tr w:rsidR="00E43A56" w:rsidRPr="008B3D09" w14:paraId="5DED5FE2" w14:textId="77777777" w:rsidTr="00AE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8499565" w14:textId="77777777" w:rsidR="00E43A56" w:rsidRPr="008B3D09" w:rsidRDefault="00E43A56" w:rsidP="00AE4332">
            <w:pPr>
              <w:spacing w:line="360" w:lineRule="auto"/>
              <w:rPr>
                <w:sz w:val="24"/>
                <w:szCs w:val="24"/>
              </w:rPr>
            </w:pPr>
            <w:r w:rsidRPr="008B3D09">
              <w:rPr>
                <w:sz w:val="24"/>
                <w:szCs w:val="24"/>
              </w:rPr>
              <w:t>2018</w:t>
            </w:r>
          </w:p>
        </w:tc>
        <w:tc>
          <w:tcPr>
            <w:tcW w:w="4320" w:type="dxa"/>
          </w:tcPr>
          <w:p w14:paraId="49F52DDD" w14:textId="77777777" w:rsidR="00E43A56" w:rsidRPr="008B3D09" w:rsidRDefault="00E43A56" w:rsidP="00AE4332">
            <w:pPr>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8B3D09">
              <w:rPr>
                <w:sz w:val="24"/>
                <w:szCs w:val="24"/>
              </w:rPr>
              <w:t>17.54</w:t>
            </w:r>
          </w:p>
        </w:tc>
      </w:tr>
      <w:tr w:rsidR="00E43A56" w:rsidRPr="008B3D09" w14:paraId="7A4A8951" w14:textId="77777777" w:rsidTr="00AE4332">
        <w:tc>
          <w:tcPr>
            <w:cnfStyle w:val="001000000000" w:firstRow="0" w:lastRow="0" w:firstColumn="1" w:lastColumn="0" w:oddVBand="0" w:evenVBand="0" w:oddHBand="0" w:evenHBand="0" w:firstRowFirstColumn="0" w:firstRowLastColumn="0" w:lastRowFirstColumn="0" w:lastRowLastColumn="0"/>
            <w:tcW w:w="4320" w:type="dxa"/>
          </w:tcPr>
          <w:p w14:paraId="768450D1" w14:textId="77777777" w:rsidR="00E43A56" w:rsidRPr="008B3D09" w:rsidRDefault="00E43A56" w:rsidP="00AE4332">
            <w:pPr>
              <w:spacing w:line="360" w:lineRule="auto"/>
              <w:rPr>
                <w:sz w:val="24"/>
                <w:szCs w:val="24"/>
              </w:rPr>
            </w:pPr>
            <w:r w:rsidRPr="008B3D09">
              <w:rPr>
                <w:sz w:val="24"/>
                <w:szCs w:val="24"/>
              </w:rPr>
              <w:t>2019</w:t>
            </w:r>
          </w:p>
        </w:tc>
        <w:tc>
          <w:tcPr>
            <w:tcW w:w="4320" w:type="dxa"/>
          </w:tcPr>
          <w:p w14:paraId="4D1D5B76" w14:textId="77777777" w:rsidR="00E43A56" w:rsidRPr="008B3D09" w:rsidRDefault="00E43A56" w:rsidP="00AE4332">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8B3D09">
              <w:rPr>
                <w:sz w:val="24"/>
                <w:szCs w:val="24"/>
              </w:rPr>
              <w:t>15.84</w:t>
            </w:r>
          </w:p>
        </w:tc>
      </w:tr>
    </w:tbl>
    <w:p w14:paraId="1882E542" w14:textId="77777777" w:rsidR="00E43A56" w:rsidRPr="008B3D09" w:rsidRDefault="00E43A56" w:rsidP="00E43A56">
      <w:pPr>
        <w:spacing w:line="360" w:lineRule="auto"/>
        <w:jc w:val="both"/>
        <w:rPr>
          <w:sz w:val="24"/>
          <w:szCs w:val="24"/>
        </w:rPr>
      </w:pPr>
    </w:p>
    <w:p w14:paraId="70A1E021" w14:textId="77777777" w:rsidR="00E43A56" w:rsidRPr="008B3D09" w:rsidRDefault="00E43A56" w:rsidP="00E43A56">
      <w:pPr>
        <w:keepNext/>
        <w:spacing w:line="360" w:lineRule="auto"/>
        <w:jc w:val="both"/>
        <w:rPr>
          <w:sz w:val="24"/>
          <w:szCs w:val="24"/>
        </w:rPr>
      </w:pPr>
      <w:r w:rsidRPr="008B3D09">
        <w:rPr>
          <w:noProof/>
          <w:sz w:val="24"/>
          <w:szCs w:val="24"/>
          <w:lang w:val="en-IN" w:eastAsia="en-IN"/>
        </w:rPr>
        <w:drawing>
          <wp:inline distT="0" distB="0" distL="0" distR="0" wp14:anchorId="70EC5BC6" wp14:editId="3689A328">
            <wp:extent cx="5390985" cy="276705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ss_NPA_Graph.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3929" cy="2773697"/>
                    </a:xfrm>
                    <a:prstGeom prst="rect">
                      <a:avLst/>
                    </a:prstGeom>
                  </pic:spPr>
                </pic:pic>
              </a:graphicData>
            </a:graphic>
          </wp:inline>
        </w:drawing>
      </w:r>
    </w:p>
    <w:p w14:paraId="0D2032F3" w14:textId="7A61DF65" w:rsidR="00E43A56" w:rsidRPr="008B3D09" w:rsidRDefault="00E43A56" w:rsidP="00E43A56">
      <w:pPr>
        <w:pStyle w:val="Caption"/>
        <w:spacing w:line="360" w:lineRule="auto"/>
        <w:jc w:val="both"/>
        <w:rPr>
          <w:sz w:val="24"/>
          <w:szCs w:val="24"/>
        </w:rPr>
      </w:pPr>
      <w:r w:rsidRPr="008B3D09">
        <w:rPr>
          <w:sz w:val="24"/>
          <w:szCs w:val="24"/>
        </w:rPr>
        <w:t xml:space="preserve">Figure </w:t>
      </w:r>
      <w:r w:rsidR="00841AD6">
        <w:rPr>
          <w:sz w:val="24"/>
          <w:szCs w:val="24"/>
        </w:rPr>
        <w:t>4</w:t>
      </w:r>
      <w:r w:rsidRPr="008B3D09">
        <w:rPr>
          <w:sz w:val="24"/>
          <w:szCs w:val="24"/>
        </w:rPr>
        <w:t>: Gross NPA</w:t>
      </w:r>
    </w:p>
    <w:p w14:paraId="274F498E" w14:textId="64E892DC" w:rsidR="00E43A56" w:rsidRPr="008B3D09" w:rsidRDefault="00E43A56" w:rsidP="00E43A56">
      <w:pPr>
        <w:spacing w:before="100" w:beforeAutospacing="1" w:after="100" w:afterAutospacing="1" w:line="360" w:lineRule="auto"/>
        <w:jc w:val="both"/>
        <w:rPr>
          <w:sz w:val="24"/>
          <w:szCs w:val="24"/>
          <w:lang w:val="en-IN" w:eastAsia="en-IN" w:bidi="hi-IN"/>
        </w:rPr>
      </w:pPr>
      <w:r w:rsidRPr="008B3D09">
        <w:rPr>
          <w:sz w:val="24"/>
          <w:szCs w:val="24"/>
        </w:rPr>
        <w:t>The figure no-</w:t>
      </w:r>
      <w:r w:rsidR="00841AD6">
        <w:rPr>
          <w:sz w:val="24"/>
          <w:szCs w:val="24"/>
        </w:rPr>
        <w:t>4</w:t>
      </w:r>
      <w:r w:rsidRPr="008B3D09">
        <w:rPr>
          <w:sz w:val="24"/>
          <w:szCs w:val="24"/>
        </w:rPr>
        <w:t xml:space="preserve"> reflects the trend of gross NPA, and shows that the gross NPA ratio increased till </w:t>
      </w:r>
      <w:r w:rsidRPr="008B3D09">
        <w:rPr>
          <w:sz w:val="24"/>
          <w:szCs w:val="24"/>
        </w:rPr>
        <w:lastRenderedPageBreak/>
        <w:t xml:space="preserve">2015. But in 2015-2016 it had been noticed that the increasing rate of gross NPA was higher. </w:t>
      </w:r>
    </w:p>
    <w:p w14:paraId="27C585AF" w14:textId="77777777" w:rsidR="00E43A56" w:rsidRPr="008B3D09" w:rsidRDefault="00E43A56" w:rsidP="00E43A56">
      <w:pPr>
        <w:spacing w:before="100" w:beforeAutospacing="1" w:after="100" w:afterAutospacing="1" w:line="360" w:lineRule="auto"/>
        <w:jc w:val="both"/>
        <w:rPr>
          <w:sz w:val="24"/>
          <w:szCs w:val="24"/>
          <w:lang w:val="en-IN" w:eastAsia="en-IN" w:bidi="hi-IN"/>
        </w:rPr>
      </w:pPr>
      <w:r w:rsidRPr="008B3D09">
        <w:rPr>
          <w:b/>
          <w:bCs/>
          <w:sz w:val="24"/>
          <w:szCs w:val="24"/>
          <w:lang w:val="en-IN" w:eastAsia="en-IN" w:bidi="hi-IN"/>
        </w:rPr>
        <w:t>Gradual Increase (2010–2014)</w:t>
      </w:r>
      <w:r w:rsidRPr="008B3D09">
        <w:rPr>
          <w:sz w:val="24"/>
          <w:szCs w:val="24"/>
          <w:lang w:val="en-IN" w:eastAsia="en-IN" w:bidi="hi-IN"/>
        </w:rPr>
        <w:t>:</w:t>
      </w:r>
    </w:p>
    <w:p w14:paraId="5FA64DC9" w14:textId="77777777" w:rsidR="00E43A56" w:rsidRPr="008B3D09" w:rsidRDefault="00E43A56" w:rsidP="00E43A56">
      <w:pPr>
        <w:widowControl/>
        <w:numPr>
          <w:ilvl w:val="0"/>
          <w:numId w:val="16"/>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 xml:space="preserve">The Gross NPA ratio rose moderately from around </w:t>
      </w:r>
      <w:r w:rsidRPr="008B3D09">
        <w:rPr>
          <w:b/>
          <w:bCs/>
          <w:sz w:val="24"/>
          <w:szCs w:val="24"/>
          <w:lang w:val="en-IN" w:eastAsia="en-IN" w:bidi="hi-IN"/>
        </w:rPr>
        <w:t>1.71% in 2010</w:t>
      </w:r>
      <w:r w:rsidRPr="008B3D09">
        <w:rPr>
          <w:sz w:val="24"/>
          <w:szCs w:val="24"/>
          <w:lang w:val="en-IN" w:eastAsia="en-IN" w:bidi="hi-IN"/>
        </w:rPr>
        <w:t xml:space="preserve"> to approximately </w:t>
      </w:r>
      <w:r w:rsidRPr="008B3D09">
        <w:rPr>
          <w:b/>
          <w:bCs/>
          <w:sz w:val="24"/>
          <w:szCs w:val="24"/>
          <w:lang w:val="en-IN" w:eastAsia="en-IN" w:bidi="hi-IN"/>
        </w:rPr>
        <w:t>4.25% in 2014</w:t>
      </w:r>
      <w:r w:rsidRPr="008B3D09">
        <w:rPr>
          <w:sz w:val="24"/>
          <w:szCs w:val="24"/>
          <w:lang w:val="en-IN" w:eastAsia="en-IN" w:bidi="hi-IN"/>
        </w:rPr>
        <w:t>.</w:t>
      </w:r>
    </w:p>
    <w:p w14:paraId="0A02EF3D" w14:textId="77777777" w:rsidR="00E43A56" w:rsidRPr="008B3D09" w:rsidRDefault="00E43A56" w:rsidP="00E43A56">
      <w:pPr>
        <w:widowControl/>
        <w:numPr>
          <w:ilvl w:val="0"/>
          <w:numId w:val="16"/>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This steady growth suggests emerging stress in the bank’s asset portfolio, possibly due to relaxed lending practices or early signs of default in certain sectors, but not yet fully recognized or provisioned.</w:t>
      </w:r>
    </w:p>
    <w:p w14:paraId="2DA0BB1F"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 xml:space="preserve"> </w:t>
      </w:r>
      <w:r w:rsidRPr="008B3D09">
        <w:rPr>
          <w:b/>
          <w:bCs/>
          <w:sz w:val="24"/>
          <w:szCs w:val="24"/>
          <w:lang w:val="en-IN" w:eastAsia="en-IN" w:bidi="hi-IN"/>
        </w:rPr>
        <w:t>Sharp Acceleration (2015–2016)</w:t>
      </w:r>
      <w:r w:rsidRPr="008B3D09">
        <w:rPr>
          <w:sz w:val="24"/>
          <w:szCs w:val="24"/>
          <w:lang w:val="en-IN" w:eastAsia="en-IN" w:bidi="hi-IN"/>
        </w:rPr>
        <w:t>:</w:t>
      </w:r>
    </w:p>
    <w:p w14:paraId="0A376470" w14:textId="77777777" w:rsidR="00E43A56" w:rsidRPr="008B3D09" w:rsidRDefault="00E43A56" w:rsidP="00E43A56">
      <w:pPr>
        <w:widowControl/>
        <w:numPr>
          <w:ilvl w:val="0"/>
          <w:numId w:val="17"/>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 xml:space="preserve">From 2014 to 2016, the Gross NPA surged significantly, reaching </w:t>
      </w:r>
      <w:r w:rsidRPr="008B3D09">
        <w:rPr>
          <w:b/>
          <w:bCs/>
          <w:sz w:val="24"/>
          <w:szCs w:val="24"/>
          <w:lang w:val="en-IN" w:eastAsia="en-IN" w:bidi="hi-IN"/>
        </w:rPr>
        <w:t>over 12.5%</w:t>
      </w:r>
      <w:r w:rsidRPr="008B3D09">
        <w:rPr>
          <w:sz w:val="24"/>
          <w:szCs w:val="24"/>
          <w:lang w:val="en-IN" w:eastAsia="en-IN" w:bidi="hi-IN"/>
        </w:rPr>
        <w:t>.</w:t>
      </w:r>
    </w:p>
    <w:p w14:paraId="0A14DDCE" w14:textId="77777777" w:rsidR="00E43A56" w:rsidRPr="008B3D09" w:rsidRDefault="00E43A56" w:rsidP="00E43A56">
      <w:pPr>
        <w:widowControl/>
        <w:numPr>
          <w:ilvl w:val="0"/>
          <w:numId w:val="17"/>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This corresponds to the RBI's Asset Quality Review (AQR) initiated in 2015–16, which forced banks to disclose and recognize hidden NPAs. The sharp rise reflects more transparent classification of bad loans rather than a sudden increase in defaults.</w:t>
      </w:r>
    </w:p>
    <w:p w14:paraId="5D8DD564"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r w:rsidRPr="008B3D09">
        <w:rPr>
          <w:b/>
          <w:bCs/>
          <w:sz w:val="24"/>
          <w:szCs w:val="24"/>
          <w:lang w:val="en-IN" w:eastAsia="en-IN" w:bidi="hi-IN"/>
        </w:rPr>
        <w:t>Minor Dip and Recovery (2017–2018)</w:t>
      </w:r>
      <w:r w:rsidRPr="008B3D09">
        <w:rPr>
          <w:sz w:val="24"/>
          <w:szCs w:val="24"/>
          <w:lang w:val="en-IN" w:eastAsia="en-IN" w:bidi="hi-IN"/>
        </w:rPr>
        <w:t>:</w:t>
      </w:r>
    </w:p>
    <w:p w14:paraId="254047F4" w14:textId="77777777" w:rsidR="00E43A56" w:rsidRPr="008B3D09" w:rsidRDefault="00E43A56" w:rsidP="00E43A56">
      <w:pPr>
        <w:widowControl/>
        <w:numPr>
          <w:ilvl w:val="0"/>
          <w:numId w:val="18"/>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In 2017, Gross NPA dropped slightly, likely due to recoveries, write-offs, or restructuring.</w:t>
      </w:r>
    </w:p>
    <w:p w14:paraId="2E152153" w14:textId="77777777" w:rsidR="00E43A56" w:rsidRPr="008B3D09" w:rsidRDefault="00E43A56" w:rsidP="00E43A56">
      <w:pPr>
        <w:widowControl/>
        <w:numPr>
          <w:ilvl w:val="0"/>
          <w:numId w:val="18"/>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 xml:space="preserve">However, in </w:t>
      </w:r>
      <w:r w:rsidRPr="008B3D09">
        <w:rPr>
          <w:b/>
          <w:bCs/>
          <w:sz w:val="24"/>
          <w:szCs w:val="24"/>
          <w:lang w:val="en-IN" w:eastAsia="en-IN" w:bidi="hi-IN"/>
        </w:rPr>
        <w:t>2018</w:t>
      </w:r>
      <w:r w:rsidRPr="008B3D09">
        <w:rPr>
          <w:sz w:val="24"/>
          <w:szCs w:val="24"/>
          <w:lang w:val="en-IN" w:eastAsia="en-IN" w:bidi="hi-IN"/>
        </w:rPr>
        <w:t xml:space="preserve">, it </w:t>
      </w:r>
      <w:r w:rsidRPr="008B3D09">
        <w:rPr>
          <w:b/>
          <w:bCs/>
          <w:sz w:val="24"/>
          <w:szCs w:val="24"/>
          <w:lang w:val="en-IN" w:eastAsia="en-IN" w:bidi="hi-IN"/>
        </w:rPr>
        <w:t>peaked at its highest level</w:t>
      </w:r>
      <w:r w:rsidRPr="008B3D09">
        <w:rPr>
          <w:sz w:val="24"/>
          <w:szCs w:val="24"/>
          <w:lang w:val="en-IN" w:eastAsia="en-IN" w:bidi="hi-IN"/>
        </w:rPr>
        <w:t xml:space="preserve">, close to </w:t>
      </w:r>
      <w:r w:rsidRPr="008B3D09">
        <w:rPr>
          <w:b/>
          <w:bCs/>
          <w:sz w:val="24"/>
          <w:szCs w:val="24"/>
          <w:lang w:val="en-IN" w:eastAsia="en-IN" w:bidi="hi-IN"/>
        </w:rPr>
        <w:t>18.38%</w:t>
      </w:r>
      <w:r w:rsidRPr="008B3D09">
        <w:rPr>
          <w:sz w:val="24"/>
          <w:szCs w:val="24"/>
          <w:lang w:val="en-IN" w:eastAsia="en-IN" w:bidi="hi-IN"/>
        </w:rPr>
        <w:t>, indicating continued deterioration in asset quality, possibly from legacy loans and new defaults in high-risk sectors.</w:t>
      </w:r>
    </w:p>
    <w:p w14:paraId="7BAC4424"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r w:rsidRPr="008B3D09">
        <w:rPr>
          <w:b/>
          <w:bCs/>
          <w:sz w:val="24"/>
          <w:szCs w:val="24"/>
          <w:lang w:val="en-IN" w:eastAsia="en-IN" w:bidi="hi-IN"/>
        </w:rPr>
        <w:t>Slight Improvement (2019)</w:t>
      </w:r>
      <w:r w:rsidRPr="008B3D09">
        <w:rPr>
          <w:sz w:val="24"/>
          <w:szCs w:val="24"/>
          <w:lang w:val="en-IN" w:eastAsia="en-IN" w:bidi="hi-IN"/>
        </w:rPr>
        <w:t>:</w:t>
      </w:r>
    </w:p>
    <w:p w14:paraId="1ABF14DD" w14:textId="77777777" w:rsidR="00E43A56" w:rsidRPr="008B3D09" w:rsidRDefault="00E43A56" w:rsidP="00E43A56">
      <w:pPr>
        <w:widowControl/>
        <w:numPr>
          <w:ilvl w:val="0"/>
          <w:numId w:val="19"/>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 xml:space="preserve">By 2019, Gross NPA reduced marginally, indicating initial positive outcomes from the implementation of the </w:t>
      </w:r>
      <w:r w:rsidRPr="008B3D09">
        <w:rPr>
          <w:b/>
          <w:bCs/>
          <w:sz w:val="24"/>
          <w:szCs w:val="24"/>
          <w:lang w:val="en-IN" w:eastAsia="en-IN" w:bidi="hi-IN"/>
        </w:rPr>
        <w:t>Insolvency and Bankruptcy Code (IBC)</w:t>
      </w:r>
      <w:r w:rsidRPr="008B3D09">
        <w:rPr>
          <w:sz w:val="24"/>
          <w:szCs w:val="24"/>
          <w:lang w:val="en-IN" w:eastAsia="en-IN" w:bidi="hi-IN"/>
        </w:rPr>
        <w:t>, improved recovery mechanisms, and stricter internal controls.</w:t>
      </w:r>
    </w:p>
    <w:p w14:paraId="2F901876" w14:textId="77777777" w:rsidR="00E43A56" w:rsidRPr="008B3D09" w:rsidRDefault="00E43A56" w:rsidP="00E43A56">
      <w:pPr>
        <w:spacing w:line="360" w:lineRule="auto"/>
        <w:jc w:val="both"/>
        <w:rPr>
          <w:sz w:val="24"/>
          <w:szCs w:val="24"/>
        </w:rPr>
      </w:pPr>
      <w:r w:rsidRPr="008B3D09">
        <w:rPr>
          <w:sz w:val="24"/>
          <w:szCs w:val="24"/>
        </w:rPr>
        <w:t>The Gross NPA trend reveals that PNB faced a substantial and systemic challenge in managing its asset quality, especially between 2015 and 2018. The data suggests that asset quality issues were building up quietly before being formally recognized post-AQR. Although there was a slight improvement in 2019, the NPA levels remained elevated, emphasizing the need for ongoing reforms and stronger governance.</w:t>
      </w:r>
    </w:p>
    <w:p w14:paraId="460726DB" w14:textId="77777777" w:rsidR="00E43A56" w:rsidRPr="008B3D09" w:rsidRDefault="00E43A56" w:rsidP="00E43A56">
      <w:pPr>
        <w:spacing w:line="360" w:lineRule="auto"/>
        <w:jc w:val="both"/>
        <w:rPr>
          <w:sz w:val="24"/>
          <w:szCs w:val="24"/>
        </w:rPr>
      </w:pPr>
    </w:p>
    <w:p w14:paraId="1B6A7E0C" w14:textId="77777777" w:rsidR="00E43A56" w:rsidRPr="008B3D09" w:rsidRDefault="00E43A56" w:rsidP="00E43A56">
      <w:pPr>
        <w:pStyle w:val="Caption"/>
        <w:keepNext/>
        <w:spacing w:line="360" w:lineRule="auto"/>
      </w:pPr>
      <w:r w:rsidRPr="008B3D09">
        <w:t xml:space="preserve">Table </w:t>
      </w:r>
      <w:r w:rsidR="00FB1445">
        <w:fldChar w:fldCharType="begin"/>
      </w:r>
      <w:r w:rsidR="00FB1445">
        <w:instrText xml:space="preserve"> SEQ Table \* ARABIC </w:instrText>
      </w:r>
      <w:r w:rsidR="00FB1445">
        <w:fldChar w:fldCharType="separate"/>
      </w:r>
      <w:r w:rsidRPr="008B3D09">
        <w:rPr>
          <w:noProof/>
        </w:rPr>
        <w:t>3</w:t>
      </w:r>
      <w:r w:rsidR="00FB1445">
        <w:rPr>
          <w:noProof/>
        </w:rPr>
        <w:fldChar w:fldCharType="end"/>
      </w:r>
      <w:r w:rsidRPr="008B3D09">
        <w:t>: Net NPA</w:t>
      </w:r>
    </w:p>
    <w:tbl>
      <w:tblPr>
        <w:tblStyle w:val="LightShading-Accent1"/>
        <w:tblW w:w="0" w:type="auto"/>
        <w:tblLook w:val="04A0" w:firstRow="1" w:lastRow="0" w:firstColumn="1" w:lastColumn="0" w:noHBand="0" w:noVBand="1"/>
      </w:tblPr>
      <w:tblGrid>
        <w:gridCol w:w="4320"/>
        <w:gridCol w:w="4320"/>
      </w:tblGrid>
      <w:tr w:rsidR="00E43A56" w:rsidRPr="008B3D09" w14:paraId="31A6B72A" w14:textId="77777777" w:rsidTr="00AE4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F7247B5" w14:textId="77777777" w:rsidR="00E43A56" w:rsidRPr="008B3D09" w:rsidRDefault="00E43A56" w:rsidP="00AE4332">
            <w:pPr>
              <w:spacing w:line="360" w:lineRule="auto"/>
            </w:pPr>
            <w:r w:rsidRPr="008B3D09">
              <w:t>Financial Year</w:t>
            </w:r>
          </w:p>
        </w:tc>
        <w:tc>
          <w:tcPr>
            <w:tcW w:w="4320" w:type="dxa"/>
          </w:tcPr>
          <w:p w14:paraId="3E35D12E" w14:textId="77777777" w:rsidR="00E43A56" w:rsidRPr="008B3D09" w:rsidRDefault="00E43A56" w:rsidP="00AE4332">
            <w:pPr>
              <w:spacing w:line="360" w:lineRule="auto"/>
              <w:cnfStyle w:val="100000000000" w:firstRow="1" w:lastRow="0" w:firstColumn="0" w:lastColumn="0" w:oddVBand="0" w:evenVBand="0" w:oddHBand="0" w:evenHBand="0" w:firstRowFirstColumn="0" w:firstRowLastColumn="0" w:lastRowFirstColumn="0" w:lastRowLastColumn="0"/>
            </w:pPr>
            <w:r w:rsidRPr="008B3D09">
              <w:t>Net NPA (%)</w:t>
            </w:r>
          </w:p>
        </w:tc>
      </w:tr>
      <w:tr w:rsidR="00E43A56" w:rsidRPr="008B3D09" w14:paraId="04E04CC9" w14:textId="77777777" w:rsidTr="00AE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63CD9DD9" w14:textId="77777777" w:rsidR="00E43A56" w:rsidRPr="008B3D09" w:rsidRDefault="00E43A56" w:rsidP="00AE4332">
            <w:pPr>
              <w:spacing w:line="360" w:lineRule="auto"/>
            </w:pPr>
            <w:r w:rsidRPr="008B3D09">
              <w:lastRenderedPageBreak/>
              <w:t>2010</w:t>
            </w:r>
          </w:p>
        </w:tc>
        <w:tc>
          <w:tcPr>
            <w:tcW w:w="4320" w:type="dxa"/>
          </w:tcPr>
          <w:p w14:paraId="622D74A2" w14:textId="77777777" w:rsidR="00E43A56" w:rsidRPr="008B3D09" w:rsidRDefault="00E43A56" w:rsidP="00AE4332">
            <w:pPr>
              <w:spacing w:line="360" w:lineRule="auto"/>
              <w:cnfStyle w:val="000000100000" w:firstRow="0" w:lastRow="0" w:firstColumn="0" w:lastColumn="0" w:oddVBand="0" w:evenVBand="0" w:oddHBand="1" w:evenHBand="0" w:firstRowFirstColumn="0" w:firstRowLastColumn="0" w:lastRowFirstColumn="0" w:lastRowLastColumn="0"/>
            </w:pPr>
            <w:r w:rsidRPr="008B3D09">
              <w:t>0.53</w:t>
            </w:r>
          </w:p>
        </w:tc>
      </w:tr>
      <w:tr w:rsidR="00E43A56" w:rsidRPr="008B3D09" w14:paraId="724DB0F4" w14:textId="77777777" w:rsidTr="00AE4332">
        <w:tc>
          <w:tcPr>
            <w:cnfStyle w:val="001000000000" w:firstRow="0" w:lastRow="0" w:firstColumn="1" w:lastColumn="0" w:oddVBand="0" w:evenVBand="0" w:oddHBand="0" w:evenHBand="0" w:firstRowFirstColumn="0" w:firstRowLastColumn="0" w:lastRowFirstColumn="0" w:lastRowLastColumn="0"/>
            <w:tcW w:w="4320" w:type="dxa"/>
          </w:tcPr>
          <w:p w14:paraId="2BEE7E02" w14:textId="77777777" w:rsidR="00E43A56" w:rsidRPr="008B3D09" w:rsidRDefault="00E43A56" w:rsidP="00AE4332">
            <w:pPr>
              <w:spacing w:line="360" w:lineRule="auto"/>
            </w:pPr>
            <w:r w:rsidRPr="008B3D09">
              <w:t>2011</w:t>
            </w:r>
          </w:p>
        </w:tc>
        <w:tc>
          <w:tcPr>
            <w:tcW w:w="4320" w:type="dxa"/>
          </w:tcPr>
          <w:p w14:paraId="7764D509" w14:textId="77777777" w:rsidR="00E43A56" w:rsidRPr="008B3D09" w:rsidRDefault="00E43A56" w:rsidP="00AE4332">
            <w:pPr>
              <w:spacing w:line="360" w:lineRule="auto"/>
              <w:cnfStyle w:val="000000000000" w:firstRow="0" w:lastRow="0" w:firstColumn="0" w:lastColumn="0" w:oddVBand="0" w:evenVBand="0" w:oddHBand="0" w:evenHBand="0" w:firstRowFirstColumn="0" w:firstRowLastColumn="0" w:lastRowFirstColumn="0" w:lastRowLastColumn="0"/>
            </w:pPr>
            <w:r w:rsidRPr="008B3D09">
              <w:t>0.85</w:t>
            </w:r>
          </w:p>
        </w:tc>
      </w:tr>
      <w:tr w:rsidR="00E43A56" w:rsidRPr="008B3D09" w14:paraId="06427E16" w14:textId="77777777" w:rsidTr="00AE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298A760E" w14:textId="77777777" w:rsidR="00E43A56" w:rsidRPr="008B3D09" w:rsidRDefault="00E43A56" w:rsidP="00AE4332">
            <w:pPr>
              <w:spacing w:line="360" w:lineRule="auto"/>
            </w:pPr>
            <w:r w:rsidRPr="008B3D09">
              <w:t>2012</w:t>
            </w:r>
          </w:p>
        </w:tc>
        <w:tc>
          <w:tcPr>
            <w:tcW w:w="4320" w:type="dxa"/>
          </w:tcPr>
          <w:p w14:paraId="3FDFC2D7" w14:textId="77777777" w:rsidR="00E43A56" w:rsidRPr="008B3D09" w:rsidRDefault="00E43A56" w:rsidP="00AE4332">
            <w:pPr>
              <w:spacing w:line="360" w:lineRule="auto"/>
              <w:cnfStyle w:val="000000100000" w:firstRow="0" w:lastRow="0" w:firstColumn="0" w:lastColumn="0" w:oddVBand="0" w:evenVBand="0" w:oddHBand="1" w:evenHBand="0" w:firstRowFirstColumn="0" w:firstRowLastColumn="0" w:lastRowFirstColumn="0" w:lastRowLastColumn="0"/>
            </w:pPr>
            <w:r w:rsidRPr="008B3D09">
              <w:t>1.62</w:t>
            </w:r>
          </w:p>
        </w:tc>
      </w:tr>
      <w:tr w:rsidR="00E43A56" w:rsidRPr="008B3D09" w14:paraId="411F11D1" w14:textId="77777777" w:rsidTr="00AE4332">
        <w:tc>
          <w:tcPr>
            <w:cnfStyle w:val="001000000000" w:firstRow="0" w:lastRow="0" w:firstColumn="1" w:lastColumn="0" w:oddVBand="0" w:evenVBand="0" w:oddHBand="0" w:evenHBand="0" w:firstRowFirstColumn="0" w:firstRowLastColumn="0" w:lastRowFirstColumn="0" w:lastRowLastColumn="0"/>
            <w:tcW w:w="4320" w:type="dxa"/>
          </w:tcPr>
          <w:p w14:paraId="3FEBCC83" w14:textId="77777777" w:rsidR="00E43A56" w:rsidRPr="008B3D09" w:rsidRDefault="00E43A56" w:rsidP="00AE4332">
            <w:pPr>
              <w:spacing w:line="360" w:lineRule="auto"/>
            </w:pPr>
            <w:r w:rsidRPr="008B3D09">
              <w:t>2013</w:t>
            </w:r>
          </w:p>
        </w:tc>
        <w:tc>
          <w:tcPr>
            <w:tcW w:w="4320" w:type="dxa"/>
          </w:tcPr>
          <w:p w14:paraId="5411921C" w14:textId="77777777" w:rsidR="00E43A56" w:rsidRPr="008B3D09" w:rsidRDefault="00E43A56" w:rsidP="00AE4332">
            <w:pPr>
              <w:spacing w:line="360" w:lineRule="auto"/>
              <w:cnfStyle w:val="000000000000" w:firstRow="0" w:lastRow="0" w:firstColumn="0" w:lastColumn="0" w:oddVBand="0" w:evenVBand="0" w:oddHBand="0" w:evenHBand="0" w:firstRowFirstColumn="0" w:firstRowLastColumn="0" w:lastRowFirstColumn="0" w:lastRowLastColumn="0"/>
            </w:pPr>
            <w:r w:rsidRPr="008B3D09">
              <w:t>2.38</w:t>
            </w:r>
          </w:p>
        </w:tc>
      </w:tr>
      <w:tr w:rsidR="00E43A56" w:rsidRPr="008B3D09" w14:paraId="74C2764D" w14:textId="77777777" w:rsidTr="00AE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FFB4A01" w14:textId="77777777" w:rsidR="00E43A56" w:rsidRPr="008B3D09" w:rsidRDefault="00E43A56" w:rsidP="00AE4332">
            <w:pPr>
              <w:spacing w:line="360" w:lineRule="auto"/>
            </w:pPr>
            <w:r w:rsidRPr="008B3D09">
              <w:t>2014</w:t>
            </w:r>
          </w:p>
        </w:tc>
        <w:tc>
          <w:tcPr>
            <w:tcW w:w="4320" w:type="dxa"/>
          </w:tcPr>
          <w:p w14:paraId="4652E25A" w14:textId="77777777" w:rsidR="00E43A56" w:rsidRPr="008B3D09" w:rsidRDefault="00E43A56" w:rsidP="00AE4332">
            <w:pPr>
              <w:spacing w:line="360" w:lineRule="auto"/>
              <w:cnfStyle w:val="000000100000" w:firstRow="0" w:lastRow="0" w:firstColumn="0" w:lastColumn="0" w:oddVBand="0" w:evenVBand="0" w:oddHBand="1" w:evenHBand="0" w:firstRowFirstColumn="0" w:firstRowLastColumn="0" w:lastRowFirstColumn="0" w:lastRowLastColumn="0"/>
            </w:pPr>
            <w:r w:rsidRPr="008B3D09">
              <w:t>3.27</w:t>
            </w:r>
          </w:p>
        </w:tc>
      </w:tr>
      <w:tr w:rsidR="00E43A56" w:rsidRPr="008B3D09" w14:paraId="30C675C3" w14:textId="77777777" w:rsidTr="00AE4332">
        <w:tc>
          <w:tcPr>
            <w:cnfStyle w:val="001000000000" w:firstRow="0" w:lastRow="0" w:firstColumn="1" w:lastColumn="0" w:oddVBand="0" w:evenVBand="0" w:oddHBand="0" w:evenHBand="0" w:firstRowFirstColumn="0" w:firstRowLastColumn="0" w:lastRowFirstColumn="0" w:lastRowLastColumn="0"/>
            <w:tcW w:w="4320" w:type="dxa"/>
          </w:tcPr>
          <w:p w14:paraId="63415F7B" w14:textId="77777777" w:rsidR="00E43A56" w:rsidRPr="008B3D09" w:rsidRDefault="00E43A56" w:rsidP="00AE4332">
            <w:pPr>
              <w:spacing w:line="360" w:lineRule="auto"/>
            </w:pPr>
            <w:r w:rsidRPr="008B3D09">
              <w:t>2015</w:t>
            </w:r>
          </w:p>
        </w:tc>
        <w:tc>
          <w:tcPr>
            <w:tcW w:w="4320" w:type="dxa"/>
          </w:tcPr>
          <w:p w14:paraId="5DF8E718" w14:textId="77777777" w:rsidR="00E43A56" w:rsidRPr="008B3D09" w:rsidRDefault="00E43A56" w:rsidP="00AE4332">
            <w:pPr>
              <w:spacing w:line="360" w:lineRule="auto"/>
              <w:cnfStyle w:val="000000000000" w:firstRow="0" w:lastRow="0" w:firstColumn="0" w:lastColumn="0" w:oddVBand="0" w:evenVBand="0" w:oddHBand="0" w:evenHBand="0" w:firstRowFirstColumn="0" w:firstRowLastColumn="0" w:lastRowFirstColumn="0" w:lastRowLastColumn="0"/>
            </w:pPr>
            <w:r w:rsidRPr="008B3D09">
              <w:t>4.48</w:t>
            </w:r>
          </w:p>
        </w:tc>
      </w:tr>
      <w:tr w:rsidR="00E43A56" w:rsidRPr="008B3D09" w14:paraId="3D4AF8E3" w14:textId="77777777" w:rsidTr="00AE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8A07ED9" w14:textId="77777777" w:rsidR="00E43A56" w:rsidRPr="008B3D09" w:rsidRDefault="00E43A56" w:rsidP="00AE4332">
            <w:pPr>
              <w:spacing w:line="360" w:lineRule="auto"/>
            </w:pPr>
            <w:r w:rsidRPr="008B3D09">
              <w:t>2016</w:t>
            </w:r>
          </w:p>
        </w:tc>
        <w:tc>
          <w:tcPr>
            <w:tcW w:w="4320" w:type="dxa"/>
          </w:tcPr>
          <w:p w14:paraId="502F2FD6" w14:textId="77777777" w:rsidR="00E43A56" w:rsidRPr="008B3D09" w:rsidRDefault="00E43A56" w:rsidP="00AE4332">
            <w:pPr>
              <w:spacing w:line="360" w:lineRule="auto"/>
              <w:cnfStyle w:val="000000100000" w:firstRow="0" w:lastRow="0" w:firstColumn="0" w:lastColumn="0" w:oddVBand="0" w:evenVBand="0" w:oddHBand="1" w:evenHBand="0" w:firstRowFirstColumn="0" w:firstRowLastColumn="0" w:lastRowFirstColumn="0" w:lastRowLastColumn="0"/>
            </w:pPr>
            <w:r w:rsidRPr="008B3D09">
              <w:t>8.62</w:t>
            </w:r>
          </w:p>
        </w:tc>
      </w:tr>
      <w:tr w:rsidR="00E43A56" w:rsidRPr="008B3D09" w14:paraId="75AFCD19" w14:textId="77777777" w:rsidTr="00AE4332">
        <w:tc>
          <w:tcPr>
            <w:cnfStyle w:val="001000000000" w:firstRow="0" w:lastRow="0" w:firstColumn="1" w:lastColumn="0" w:oddVBand="0" w:evenVBand="0" w:oddHBand="0" w:evenHBand="0" w:firstRowFirstColumn="0" w:firstRowLastColumn="0" w:lastRowFirstColumn="0" w:lastRowLastColumn="0"/>
            <w:tcW w:w="4320" w:type="dxa"/>
          </w:tcPr>
          <w:p w14:paraId="003AF5A2" w14:textId="77777777" w:rsidR="00E43A56" w:rsidRPr="008B3D09" w:rsidRDefault="00E43A56" w:rsidP="00AE4332">
            <w:pPr>
              <w:spacing w:line="360" w:lineRule="auto"/>
            </w:pPr>
            <w:r w:rsidRPr="008B3D09">
              <w:t>2017</w:t>
            </w:r>
          </w:p>
        </w:tc>
        <w:tc>
          <w:tcPr>
            <w:tcW w:w="4320" w:type="dxa"/>
          </w:tcPr>
          <w:p w14:paraId="70EE012B" w14:textId="77777777" w:rsidR="00E43A56" w:rsidRPr="008B3D09" w:rsidRDefault="00E43A56" w:rsidP="00AE4332">
            <w:pPr>
              <w:spacing w:line="360" w:lineRule="auto"/>
              <w:cnfStyle w:val="000000000000" w:firstRow="0" w:lastRow="0" w:firstColumn="0" w:lastColumn="0" w:oddVBand="0" w:evenVBand="0" w:oddHBand="0" w:evenHBand="0" w:firstRowFirstColumn="0" w:firstRowLastColumn="0" w:lastRowFirstColumn="0" w:lastRowLastColumn="0"/>
            </w:pPr>
            <w:r w:rsidRPr="008B3D09">
              <w:t>7.42</w:t>
            </w:r>
          </w:p>
        </w:tc>
      </w:tr>
      <w:tr w:rsidR="00E43A56" w:rsidRPr="008B3D09" w14:paraId="41113403" w14:textId="77777777" w:rsidTr="00AE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745C37AF" w14:textId="77777777" w:rsidR="00E43A56" w:rsidRPr="008B3D09" w:rsidRDefault="00E43A56" w:rsidP="00AE4332">
            <w:pPr>
              <w:spacing w:line="360" w:lineRule="auto"/>
            </w:pPr>
            <w:r w:rsidRPr="008B3D09">
              <w:t>2018</w:t>
            </w:r>
          </w:p>
        </w:tc>
        <w:tc>
          <w:tcPr>
            <w:tcW w:w="4320" w:type="dxa"/>
          </w:tcPr>
          <w:p w14:paraId="10D11B4E" w14:textId="77777777" w:rsidR="00E43A56" w:rsidRPr="008B3D09" w:rsidRDefault="00E43A56" w:rsidP="00AE4332">
            <w:pPr>
              <w:spacing w:line="360" w:lineRule="auto"/>
              <w:cnfStyle w:val="000000100000" w:firstRow="0" w:lastRow="0" w:firstColumn="0" w:lastColumn="0" w:oddVBand="0" w:evenVBand="0" w:oddHBand="1" w:evenHBand="0" w:firstRowFirstColumn="0" w:firstRowLastColumn="0" w:lastRowFirstColumn="0" w:lastRowLastColumn="0"/>
            </w:pPr>
            <w:r w:rsidRPr="008B3D09">
              <w:t>11.24</w:t>
            </w:r>
          </w:p>
        </w:tc>
      </w:tr>
      <w:tr w:rsidR="00E43A56" w:rsidRPr="008B3D09" w14:paraId="616ABCE8" w14:textId="77777777" w:rsidTr="00AE4332">
        <w:tc>
          <w:tcPr>
            <w:cnfStyle w:val="001000000000" w:firstRow="0" w:lastRow="0" w:firstColumn="1" w:lastColumn="0" w:oddVBand="0" w:evenVBand="0" w:oddHBand="0" w:evenHBand="0" w:firstRowFirstColumn="0" w:firstRowLastColumn="0" w:lastRowFirstColumn="0" w:lastRowLastColumn="0"/>
            <w:tcW w:w="4320" w:type="dxa"/>
          </w:tcPr>
          <w:p w14:paraId="4C05252A" w14:textId="77777777" w:rsidR="00E43A56" w:rsidRPr="008B3D09" w:rsidRDefault="00E43A56" w:rsidP="00AE4332">
            <w:pPr>
              <w:spacing w:line="360" w:lineRule="auto"/>
            </w:pPr>
            <w:r w:rsidRPr="008B3D09">
              <w:t>2019</w:t>
            </w:r>
          </w:p>
        </w:tc>
        <w:tc>
          <w:tcPr>
            <w:tcW w:w="4320" w:type="dxa"/>
          </w:tcPr>
          <w:p w14:paraId="7C6FA06F" w14:textId="77777777" w:rsidR="00E43A56" w:rsidRPr="008B3D09" w:rsidRDefault="00E43A56" w:rsidP="00AE4332">
            <w:pPr>
              <w:spacing w:line="360" w:lineRule="auto"/>
              <w:cnfStyle w:val="000000000000" w:firstRow="0" w:lastRow="0" w:firstColumn="0" w:lastColumn="0" w:oddVBand="0" w:evenVBand="0" w:oddHBand="0" w:evenHBand="0" w:firstRowFirstColumn="0" w:firstRowLastColumn="0" w:lastRowFirstColumn="0" w:lastRowLastColumn="0"/>
            </w:pPr>
            <w:r w:rsidRPr="008B3D09">
              <w:t>6.96</w:t>
            </w:r>
          </w:p>
        </w:tc>
      </w:tr>
    </w:tbl>
    <w:p w14:paraId="56DDF06A" w14:textId="77777777" w:rsidR="00E43A56" w:rsidRPr="008B3D09" w:rsidRDefault="00E43A56" w:rsidP="00E43A56">
      <w:pPr>
        <w:spacing w:line="360" w:lineRule="auto"/>
        <w:jc w:val="both"/>
        <w:rPr>
          <w:sz w:val="24"/>
          <w:szCs w:val="24"/>
        </w:rPr>
      </w:pPr>
    </w:p>
    <w:p w14:paraId="1B5CEE13" w14:textId="77777777" w:rsidR="00E43A56" w:rsidRPr="008B3D09" w:rsidRDefault="00E43A56" w:rsidP="00E43A56">
      <w:pPr>
        <w:tabs>
          <w:tab w:val="left" w:pos="6086"/>
        </w:tabs>
        <w:spacing w:line="360" w:lineRule="auto"/>
        <w:jc w:val="both"/>
        <w:rPr>
          <w:sz w:val="24"/>
          <w:szCs w:val="24"/>
        </w:rPr>
      </w:pPr>
      <w:r w:rsidRPr="008B3D09">
        <w:rPr>
          <w:sz w:val="24"/>
          <w:szCs w:val="24"/>
        </w:rPr>
        <w:tab/>
      </w:r>
    </w:p>
    <w:p w14:paraId="57260107" w14:textId="5CCE9E6A" w:rsidR="00E43A56" w:rsidRPr="008B3D09" w:rsidRDefault="00E43A56" w:rsidP="00E43A56">
      <w:pPr>
        <w:pStyle w:val="Caption"/>
        <w:keepNext/>
        <w:spacing w:line="360" w:lineRule="auto"/>
        <w:jc w:val="both"/>
        <w:rPr>
          <w:noProof/>
          <w:sz w:val="24"/>
          <w:szCs w:val="24"/>
        </w:rPr>
      </w:pPr>
      <w:r w:rsidRPr="008B3D09">
        <w:rPr>
          <w:sz w:val="24"/>
          <w:szCs w:val="24"/>
        </w:rPr>
        <w:t xml:space="preserve">Figure </w:t>
      </w:r>
      <w:r w:rsidR="00841AD6">
        <w:rPr>
          <w:sz w:val="24"/>
          <w:szCs w:val="24"/>
        </w:rPr>
        <w:t>5</w:t>
      </w:r>
    </w:p>
    <w:p w14:paraId="6802573C" w14:textId="77777777" w:rsidR="00E43A56" w:rsidRPr="008B3D09" w:rsidRDefault="00E43A56" w:rsidP="00E43A56">
      <w:pPr>
        <w:spacing w:line="360" w:lineRule="auto"/>
      </w:pPr>
      <w:r w:rsidRPr="008B3D09">
        <w:rPr>
          <w:noProof/>
          <w:lang w:val="en-IN" w:eastAsia="en-IN"/>
        </w:rPr>
        <w:drawing>
          <wp:inline distT="0" distB="0" distL="0" distR="0" wp14:anchorId="5945027B" wp14:editId="477D176D">
            <wp:extent cx="5589767" cy="27829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_NPA_Grap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2923" cy="2784528"/>
                    </a:xfrm>
                    <a:prstGeom prst="rect">
                      <a:avLst/>
                    </a:prstGeom>
                  </pic:spPr>
                </pic:pic>
              </a:graphicData>
            </a:graphic>
          </wp:inline>
        </w:drawing>
      </w:r>
    </w:p>
    <w:p w14:paraId="3CD99601" w14:textId="77777777" w:rsidR="00E43A56" w:rsidRPr="008B3D09" w:rsidRDefault="00E43A56" w:rsidP="00E43A56">
      <w:pPr>
        <w:spacing w:line="360" w:lineRule="auto"/>
        <w:jc w:val="both"/>
        <w:rPr>
          <w:sz w:val="24"/>
          <w:szCs w:val="24"/>
        </w:rPr>
      </w:pPr>
    </w:p>
    <w:p w14:paraId="025C6BD9" w14:textId="05B106B8" w:rsidR="00E43A56" w:rsidRPr="008B3D09" w:rsidRDefault="00E43A56" w:rsidP="00E43A56">
      <w:pPr>
        <w:spacing w:before="100" w:beforeAutospacing="1" w:after="100" w:afterAutospacing="1" w:line="360" w:lineRule="auto"/>
        <w:jc w:val="both"/>
        <w:rPr>
          <w:sz w:val="24"/>
          <w:szCs w:val="24"/>
          <w:lang w:val="en-IN" w:eastAsia="en-IN" w:bidi="hi-IN"/>
        </w:rPr>
      </w:pPr>
      <w:r w:rsidRPr="008B3D09">
        <w:rPr>
          <w:sz w:val="24"/>
          <w:szCs w:val="24"/>
        </w:rPr>
        <w:t>The figure no-</w:t>
      </w:r>
      <w:r w:rsidR="00841AD6">
        <w:rPr>
          <w:sz w:val="24"/>
          <w:szCs w:val="24"/>
        </w:rPr>
        <w:t>5</w:t>
      </w:r>
      <w:r w:rsidRPr="008B3D09">
        <w:rPr>
          <w:sz w:val="24"/>
          <w:szCs w:val="24"/>
        </w:rPr>
        <w:t xml:space="preserve"> shows the trend of Net NPA, which is based on Gross NPA and its rate of repayment. It can be divided into phases as under:</w:t>
      </w:r>
    </w:p>
    <w:p w14:paraId="2EA22240" w14:textId="77777777" w:rsidR="00E43A56" w:rsidRPr="008B3D09" w:rsidRDefault="00E43A56" w:rsidP="00E43A56">
      <w:pPr>
        <w:spacing w:before="100" w:beforeAutospacing="1" w:after="100" w:afterAutospacing="1" w:line="360" w:lineRule="auto"/>
        <w:jc w:val="both"/>
        <w:rPr>
          <w:sz w:val="24"/>
          <w:szCs w:val="24"/>
          <w:lang w:val="en-IN" w:eastAsia="en-IN" w:bidi="hi-IN"/>
        </w:rPr>
      </w:pPr>
      <w:r w:rsidRPr="008B3D09">
        <w:rPr>
          <w:b/>
          <w:bCs/>
          <w:sz w:val="24"/>
          <w:szCs w:val="24"/>
          <w:lang w:val="en-IN" w:eastAsia="en-IN" w:bidi="hi-IN"/>
        </w:rPr>
        <w:t>Steady Increase (2010–2015)</w:t>
      </w:r>
      <w:r w:rsidRPr="008B3D09">
        <w:rPr>
          <w:sz w:val="24"/>
          <w:szCs w:val="24"/>
          <w:lang w:val="en-IN" w:eastAsia="en-IN" w:bidi="hi-IN"/>
        </w:rPr>
        <w:t>:</w:t>
      </w:r>
    </w:p>
    <w:p w14:paraId="1D08B07F" w14:textId="77777777" w:rsidR="00E43A56" w:rsidRPr="008B3D09" w:rsidRDefault="00E43A56" w:rsidP="00E43A56">
      <w:pPr>
        <w:widowControl/>
        <w:numPr>
          <w:ilvl w:val="0"/>
          <w:numId w:val="12"/>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 xml:space="preserve">Net NPA (%) shows a consistent and gradual increase from </w:t>
      </w:r>
      <w:r w:rsidRPr="008B3D09">
        <w:rPr>
          <w:b/>
          <w:bCs/>
          <w:sz w:val="24"/>
          <w:szCs w:val="24"/>
          <w:lang w:val="en-IN" w:eastAsia="en-IN" w:bidi="hi-IN"/>
        </w:rPr>
        <w:t>0.53% in 2010</w:t>
      </w:r>
      <w:r w:rsidRPr="008B3D09">
        <w:rPr>
          <w:sz w:val="24"/>
          <w:szCs w:val="24"/>
          <w:lang w:val="en-IN" w:eastAsia="en-IN" w:bidi="hi-IN"/>
        </w:rPr>
        <w:t xml:space="preserve"> to </w:t>
      </w:r>
      <w:r w:rsidRPr="008B3D09">
        <w:rPr>
          <w:b/>
          <w:bCs/>
          <w:sz w:val="24"/>
          <w:szCs w:val="24"/>
          <w:lang w:val="en-IN" w:eastAsia="en-IN" w:bidi="hi-IN"/>
        </w:rPr>
        <w:t>approximately 4.0% in 2015</w:t>
      </w:r>
      <w:r w:rsidRPr="008B3D09">
        <w:rPr>
          <w:sz w:val="24"/>
          <w:szCs w:val="24"/>
          <w:lang w:val="en-IN" w:eastAsia="en-IN" w:bidi="hi-IN"/>
        </w:rPr>
        <w:t>.</w:t>
      </w:r>
    </w:p>
    <w:p w14:paraId="7167A7F0" w14:textId="77777777" w:rsidR="00E43A56" w:rsidRPr="008B3D09" w:rsidRDefault="00E43A56" w:rsidP="00E43A56">
      <w:pPr>
        <w:widowControl/>
        <w:numPr>
          <w:ilvl w:val="0"/>
          <w:numId w:val="12"/>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This period likely reflects accumulating bad loans over time, perhaps due to relaxed lending norms or inadequate risk monitoring, particularly during the post-recession economic expansion.</w:t>
      </w:r>
    </w:p>
    <w:p w14:paraId="30A29E0C"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r w:rsidRPr="008B3D09">
        <w:rPr>
          <w:b/>
          <w:bCs/>
          <w:sz w:val="24"/>
          <w:szCs w:val="24"/>
          <w:lang w:val="en-IN" w:eastAsia="en-IN" w:bidi="hi-IN"/>
        </w:rPr>
        <w:lastRenderedPageBreak/>
        <w:t>Sharp Rise (2015–2016)</w:t>
      </w:r>
      <w:r w:rsidRPr="008B3D09">
        <w:rPr>
          <w:sz w:val="24"/>
          <w:szCs w:val="24"/>
          <w:lang w:val="en-IN" w:eastAsia="en-IN" w:bidi="hi-IN"/>
        </w:rPr>
        <w:t>:</w:t>
      </w:r>
    </w:p>
    <w:p w14:paraId="6995EF93" w14:textId="77777777" w:rsidR="00E43A56" w:rsidRPr="008B3D09" w:rsidRDefault="00E43A56" w:rsidP="00E43A56">
      <w:pPr>
        <w:widowControl/>
        <w:numPr>
          <w:ilvl w:val="0"/>
          <w:numId w:val="13"/>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 xml:space="preserve">Between 2015 and 2016, there is a </w:t>
      </w:r>
      <w:r w:rsidRPr="008B3D09">
        <w:rPr>
          <w:b/>
          <w:bCs/>
          <w:sz w:val="24"/>
          <w:szCs w:val="24"/>
          <w:lang w:val="en-IN" w:eastAsia="en-IN" w:bidi="hi-IN"/>
        </w:rPr>
        <w:t>steep spike in Net NPA</w:t>
      </w:r>
      <w:r w:rsidRPr="008B3D09">
        <w:rPr>
          <w:sz w:val="24"/>
          <w:szCs w:val="24"/>
          <w:lang w:val="en-IN" w:eastAsia="en-IN" w:bidi="hi-IN"/>
        </w:rPr>
        <w:t xml:space="preserve">, rising to </w:t>
      </w:r>
      <w:r w:rsidRPr="008B3D09">
        <w:rPr>
          <w:b/>
          <w:bCs/>
          <w:sz w:val="24"/>
          <w:szCs w:val="24"/>
          <w:lang w:val="en-IN" w:eastAsia="en-IN" w:bidi="hi-IN"/>
        </w:rPr>
        <w:t>around 8.6%</w:t>
      </w:r>
      <w:r w:rsidRPr="008B3D09">
        <w:rPr>
          <w:sz w:val="24"/>
          <w:szCs w:val="24"/>
          <w:lang w:val="en-IN" w:eastAsia="en-IN" w:bidi="hi-IN"/>
        </w:rPr>
        <w:t>, indicating a phase of significant deterioration in asset quality.</w:t>
      </w:r>
    </w:p>
    <w:p w14:paraId="3814C39A" w14:textId="77777777" w:rsidR="00E43A56" w:rsidRPr="008B3D09" w:rsidRDefault="00E43A56" w:rsidP="00E43A56">
      <w:pPr>
        <w:widowControl/>
        <w:numPr>
          <w:ilvl w:val="0"/>
          <w:numId w:val="13"/>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This corresponds to the period when the Reserve Bank of India (RBI) mandated stricter recognition of stressed assets, forcing banks to classify more loans as NPAs under Asset Quality Review (AQR).</w:t>
      </w:r>
    </w:p>
    <w:p w14:paraId="0FA0C5B0"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r w:rsidRPr="008B3D09">
        <w:rPr>
          <w:b/>
          <w:bCs/>
          <w:sz w:val="24"/>
          <w:szCs w:val="24"/>
          <w:lang w:val="en-IN" w:eastAsia="en-IN" w:bidi="hi-IN"/>
        </w:rPr>
        <w:t>Fluctuations and Peak (2016–2018)</w:t>
      </w:r>
      <w:r w:rsidRPr="008B3D09">
        <w:rPr>
          <w:sz w:val="24"/>
          <w:szCs w:val="24"/>
          <w:lang w:val="en-IN" w:eastAsia="en-IN" w:bidi="hi-IN"/>
        </w:rPr>
        <w:t>:</w:t>
      </w:r>
    </w:p>
    <w:p w14:paraId="25CCA324" w14:textId="77777777" w:rsidR="00E43A56" w:rsidRPr="008B3D09" w:rsidRDefault="00E43A56" w:rsidP="00E43A56">
      <w:pPr>
        <w:widowControl/>
        <w:numPr>
          <w:ilvl w:val="0"/>
          <w:numId w:val="14"/>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 xml:space="preserve">In 2017, there’s a slight decline in Net NPA, but this is short-lived as it again </w:t>
      </w:r>
      <w:r w:rsidRPr="008B3D09">
        <w:rPr>
          <w:b/>
          <w:bCs/>
          <w:sz w:val="24"/>
          <w:szCs w:val="24"/>
          <w:lang w:val="en-IN" w:eastAsia="en-IN" w:bidi="hi-IN"/>
        </w:rPr>
        <w:t>peaks in 2018 at around 11.24%</w:t>
      </w:r>
      <w:r w:rsidRPr="008B3D09">
        <w:rPr>
          <w:sz w:val="24"/>
          <w:szCs w:val="24"/>
          <w:lang w:val="en-IN" w:eastAsia="en-IN" w:bidi="hi-IN"/>
        </w:rPr>
        <w:t>—the highest in the decade.</w:t>
      </w:r>
    </w:p>
    <w:p w14:paraId="369B6A61" w14:textId="77777777" w:rsidR="00E43A56" w:rsidRPr="008B3D09" w:rsidRDefault="00E43A56" w:rsidP="00E43A56">
      <w:pPr>
        <w:widowControl/>
        <w:numPr>
          <w:ilvl w:val="0"/>
          <w:numId w:val="14"/>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This peak may reflect delayed recognition of losses, increased provisioning, or major defaults and fraud cases during that time.</w:t>
      </w:r>
    </w:p>
    <w:p w14:paraId="034CDDF7" w14:textId="77777777" w:rsidR="00E43A56" w:rsidRPr="008B3D09" w:rsidRDefault="00E43A56" w:rsidP="00E43A56">
      <w:pPr>
        <w:widowControl/>
        <w:autoSpaceDE/>
        <w:autoSpaceDN/>
        <w:spacing w:before="100" w:beforeAutospacing="1" w:after="100" w:afterAutospacing="1" w:line="360" w:lineRule="auto"/>
        <w:jc w:val="both"/>
        <w:rPr>
          <w:sz w:val="24"/>
          <w:szCs w:val="24"/>
          <w:lang w:val="en-IN" w:eastAsia="en-IN" w:bidi="hi-IN"/>
        </w:rPr>
      </w:pPr>
      <w:r w:rsidRPr="008B3D09">
        <w:rPr>
          <w:b/>
          <w:bCs/>
          <w:sz w:val="24"/>
          <w:szCs w:val="24"/>
          <w:lang w:val="en-IN" w:eastAsia="en-IN" w:bidi="hi-IN"/>
        </w:rPr>
        <w:t>Decline (2018–2019)</w:t>
      </w:r>
      <w:r w:rsidRPr="008B3D09">
        <w:rPr>
          <w:sz w:val="24"/>
          <w:szCs w:val="24"/>
          <w:lang w:val="en-IN" w:eastAsia="en-IN" w:bidi="hi-IN"/>
        </w:rPr>
        <w:t>:</w:t>
      </w:r>
    </w:p>
    <w:p w14:paraId="36EBEE39" w14:textId="77777777" w:rsidR="00E43A56" w:rsidRPr="008B3D09" w:rsidRDefault="00E43A56" w:rsidP="00E43A56">
      <w:pPr>
        <w:widowControl/>
        <w:numPr>
          <w:ilvl w:val="0"/>
          <w:numId w:val="15"/>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 xml:space="preserve">There’s a </w:t>
      </w:r>
      <w:r w:rsidRPr="008B3D09">
        <w:rPr>
          <w:b/>
          <w:bCs/>
          <w:sz w:val="24"/>
          <w:szCs w:val="24"/>
          <w:lang w:val="en-IN" w:eastAsia="en-IN" w:bidi="hi-IN"/>
        </w:rPr>
        <w:t>significant drop in Net NPA to around 7% in 2019</w:t>
      </w:r>
      <w:r w:rsidRPr="008B3D09">
        <w:rPr>
          <w:sz w:val="24"/>
          <w:szCs w:val="24"/>
          <w:lang w:val="en-IN" w:eastAsia="en-IN" w:bidi="hi-IN"/>
        </w:rPr>
        <w:t>.</w:t>
      </w:r>
    </w:p>
    <w:p w14:paraId="141EE1F8" w14:textId="77777777" w:rsidR="00E43A56" w:rsidRPr="008B3D09" w:rsidRDefault="00E43A56" w:rsidP="00E43A56">
      <w:pPr>
        <w:widowControl/>
        <w:numPr>
          <w:ilvl w:val="0"/>
          <w:numId w:val="15"/>
        </w:numPr>
        <w:autoSpaceDE/>
        <w:autoSpaceDN/>
        <w:spacing w:before="100" w:beforeAutospacing="1" w:after="100" w:afterAutospacing="1" w:line="360" w:lineRule="auto"/>
        <w:jc w:val="both"/>
        <w:rPr>
          <w:sz w:val="24"/>
          <w:szCs w:val="24"/>
          <w:lang w:val="en-IN" w:eastAsia="en-IN" w:bidi="hi-IN"/>
        </w:rPr>
      </w:pPr>
      <w:r w:rsidRPr="008B3D09">
        <w:rPr>
          <w:sz w:val="24"/>
          <w:szCs w:val="24"/>
          <w:lang w:val="en-IN" w:eastAsia="en-IN" w:bidi="hi-IN"/>
        </w:rPr>
        <w:t>This decline suggests the positive impact of resolution mechanisms such as the Insolvency and Bankruptcy Code (IBC), improved recovery efforts, and tighter credit appraisal processes.</w:t>
      </w:r>
    </w:p>
    <w:p w14:paraId="7FCFA8BA" w14:textId="77777777" w:rsidR="00E43A56" w:rsidRPr="008B3D09" w:rsidRDefault="00E43A56" w:rsidP="00E43A56">
      <w:pPr>
        <w:spacing w:line="360" w:lineRule="auto"/>
        <w:jc w:val="both"/>
        <w:rPr>
          <w:sz w:val="24"/>
          <w:szCs w:val="24"/>
        </w:rPr>
      </w:pPr>
      <w:r w:rsidRPr="008B3D09">
        <w:rPr>
          <w:sz w:val="24"/>
          <w:szCs w:val="24"/>
        </w:rPr>
        <w:t>The figure indicates that Net NPAs were relatively low in the early part of the decade but escalated sharply post-2015 due to stricter regulations and the uncovering of bad loans. The highest distress was in 2018, after which efforts to clean up the balance sheet began showing results by 2019. This trend is critical for understanding both the magnitude of the NPA problem and the impact of reform measures.</w:t>
      </w:r>
    </w:p>
    <w:p w14:paraId="5C88EC44" w14:textId="77777777" w:rsidR="00E43A56" w:rsidRPr="008B3D09" w:rsidRDefault="00E43A56" w:rsidP="00E43A56">
      <w:pPr>
        <w:spacing w:line="360" w:lineRule="auto"/>
        <w:jc w:val="both"/>
        <w:rPr>
          <w:b/>
          <w:bCs/>
          <w:sz w:val="24"/>
          <w:szCs w:val="24"/>
        </w:rPr>
      </w:pPr>
    </w:p>
    <w:p w14:paraId="0BDCE0EC" w14:textId="77777777" w:rsidR="00E43A56" w:rsidRPr="008B3D09" w:rsidRDefault="00E43A56" w:rsidP="00E43A56">
      <w:pPr>
        <w:spacing w:line="360" w:lineRule="auto"/>
        <w:jc w:val="both"/>
        <w:rPr>
          <w:b/>
          <w:bCs/>
          <w:sz w:val="24"/>
          <w:szCs w:val="24"/>
        </w:rPr>
      </w:pPr>
      <w:r w:rsidRPr="008B3D09">
        <w:rPr>
          <w:b/>
          <w:bCs/>
          <w:sz w:val="24"/>
          <w:szCs w:val="24"/>
        </w:rPr>
        <w:t xml:space="preserve">Table </w:t>
      </w:r>
      <w:r w:rsidRPr="008B3D09">
        <w:rPr>
          <w:b/>
          <w:bCs/>
          <w:sz w:val="24"/>
          <w:szCs w:val="24"/>
        </w:rPr>
        <w:fldChar w:fldCharType="begin"/>
      </w:r>
      <w:r w:rsidRPr="008B3D09">
        <w:rPr>
          <w:b/>
          <w:bCs/>
          <w:sz w:val="24"/>
          <w:szCs w:val="24"/>
        </w:rPr>
        <w:instrText xml:space="preserve"> SEQ Table \* ARABIC </w:instrText>
      </w:r>
      <w:r w:rsidRPr="008B3D09">
        <w:rPr>
          <w:b/>
          <w:bCs/>
          <w:sz w:val="24"/>
          <w:szCs w:val="24"/>
        </w:rPr>
        <w:fldChar w:fldCharType="separate"/>
      </w:r>
      <w:r w:rsidRPr="008B3D09">
        <w:rPr>
          <w:b/>
          <w:bCs/>
          <w:noProof/>
          <w:sz w:val="24"/>
          <w:szCs w:val="24"/>
        </w:rPr>
        <w:t>4</w:t>
      </w:r>
      <w:r w:rsidRPr="008B3D09">
        <w:rPr>
          <w:b/>
          <w:bCs/>
          <w:sz w:val="24"/>
          <w:szCs w:val="24"/>
        </w:rPr>
        <w:fldChar w:fldCharType="end"/>
      </w:r>
      <w:r w:rsidRPr="008B3D09">
        <w:rPr>
          <w:b/>
          <w:bCs/>
          <w:sz w:val="24"/>
          <w:szCs w:val="24"/>
        </w:rPr>
        <w:t xml:space="preserve">: Correlation </w:t>
      </w:r>
    </w:p>
    <w:tbl>
      <w:tblPr>
        <w:tblW w:w="0" w:type="auto"/>
        <w:tblInd w:w="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85"/>
        <w:gridCol w:w="2604"/>
        <w:gridCol w:w="1901"/>
        <w:gridCol w:w="1783"/>
      </w:tblGrid>
      <w:tr w:rsidR="00E43A56" w:rsidRPr="008B3D09" w14:paraId="5F7C7510" w14:textId="77777777" w:rsidTr="00AE4332">
        <w:trPr>
          <w:trHeight w:val="1414"/>
        </w:trPr>
        <w:tc>
          <w:tcPr>
            <w:tcW w:w="5489" w:type="dxa"/>
            <w:gridSpan w:val="2"/>
          </w:tcPr>
          <w:p w14:paraId="33AD66A5" w14:textId="77777777" w:rsidR="00E43A56" w:rsidRPr="008B3D09" w:rsidRDefault="00E43A56" w:rsidP="00AE4332">
            <w:pPr>
              <w:spacing w:line="360" w:lineRule="auto"/>
              <w:jc w:val="both"/>
              <w:rPr>
                <w:sz w:val="24"/>
                <w:szCs w:val="24"/>
              </w:rPr>
            </w:pPr>
          </w:p>
        </w:tc>
        <w:tc>
          <w:tcPr>
            <w:tcW w:w="1901" w:type="dxa"/>
            <w:tcBorders>
              <w:right w:val="single" w:sz="8" w:space="0" w:color="000000"/>
            </w:tcBorders>
          </w:tcPr>
          <w:p w14:paraId="1E47A887" w14:textId="77777777" w:rsidR="00E43A56" w:rsidRPr="008B3D09" w:rsidRDefault="00E43A56" w:rsidP="00AE4332">
            <w:pPr>
              <w:spacing w:line="360" w:lineRule="auto"/>
              <w:jc w:val="both"/>
              <w:rPr>
                <w:sz w:val="24"/>
                <w:szCs w:val="24"/>
              </w:rPr>
            </w:pPr>
            <w:r w:rsidRPr="008B3D09">
              <w:rPr>
                <w:sz w:val="24"/>
                <w:szCs w:val="24"/>
              </w:rPr>
              <w:t>Share</w:t>
            </w:r>
            <w:r w:rsidRPr="008B3D09">
              <w:rPr>
                <w:sz w:val="24"/>
                <w:szCs w:val="24"/>
              </w:rPr>
              <w:tab/>
              <w:t>Capital (in Crore)</w:t>
            </w:r>
          </w:p>
        </w:tc>
        <w:tc>
          <w:tcPr>
            <w:tcW w:w="1783" w:type="dxa"/>
            <w:tcBorders>
              <w:left w:val="single" w:sz="8" w:space="0" w:color="000000"/>
            </w:tcBorders>
          </w:tcPr>
          <w:p w14:paraId="3E18FBB0" w14:textId="77777777" w:rsidR="00E43A56" w:rsidRPr="008B3D09" w:rsidRDefault="00E43A56" w:rsidP="00AE4332">
            <w:pPr>
              <w:spacing w:line="360" w:lineRule="auto"/>
              <w:jc w:val="both"/>
              <w:rPr>
                <w:sz w:val="24"/>
                <w:szCs w:val="24"/>
              </w:rPr>
            </w:pPr>
            <w:r w:rsidRPr="008B3D09">
              <w:rPr>
                <w:sz w:val="24"/>
                <w:szCs w:val="24"/>
              </w:rPr>
              <w:t>Gross NPA%</w:t>
            </w:r>
          </w:p>
        </w:tc>
      </w:tr>
      <w:tr w:rsidR="00E43A56" w:rsidRPr="008B3D09" w14:paraId="403FF5E4" w14:textId="77777777" w:rsidTr="00AE4332">
        <w:trPr>
          <w:trHeight w:val="651"/>
        </w:trPr>
        <w:tc>
          <w:tcPr>
            <w:tcW w:w="2885" w:type="dxa"/>
            <w:tcBorders>
              <w:bottom w:val="nil"/>
              <w:right w:val="nil"/>
            </w:tcBorders>
          </w:tcPr>
          <w:p w14:paraId="44A3D6C1" w14:textId="77777777" w:rsidR="00E43A56" w:rsidRPr="008B3D09" w:rsidRDefault="00E43A56" w:rsidP="00AE4332">
            <w:pPr>
              <w:spacing w:line="360" w:lineRule="auto"/>
              <w:jc w:val="both"/>
              <w:rPr>
                <w:sz w:val="24"/>
                <w:szCs w:val="24"/>
              </w:rPr>
            </w:pPr>
          </w:p>
        </w:tc>
        <w:tc>
          <w:tcPr>
            <w:tcW w:w="2604" w:type="dxa"/>
            <w:tcBorders>
              <w:left w:val="nil"/>
              <w:bottom w:val="nil"/>
            </w:tcBorders>
          </w:tcPr>
          <w:p w14:paraId="5C729230" w14:textId="77777777" w:rsidR="00E43A56" w:rsidRPr="008B3D09" w:rsidRDefault="00E43A56" w:rsidP="00AE4332">
            <w:pPr>
              <w:spacing w:line="360" w:lineRule="auto"/>
              <w:jc w:val="both"/>
              <w:rPr>
                <w:sz w:val="24"/>
                <w:szCs w:val="24"/>
              </w:rPr>
            </w:pPr>
            <w:r w:rsidRPr="008B3D09">
              <w:rPr>
                <w:sz w:val="24"/>
                <w:szCs w:val="24"/>
              </w:rPr>
              <w:t>Pearson Correlation</w:t>
            </w:r>
          </w:p>
        </w:tc>
        <w:tc>
          <w:tcPr>
            <w:tcW w:w="1901" w:type="dxa"/>
            <w:tcBorders>
              <w:bottom w:val="nil"/>
              <w:right w:val="single" w:sz="8" w:space="0" w:color="000000"/>
            </w:tcBorders>
          </w:tcPr>
          <w:p w14:paraId="325F20BE" w14:textId="77777777" w:rsidR="00E43A56" w:rsidRPr="008B3D09" w:rsidRDefault="00E43A56" w:rsidP="00AE4332">
            <w:pPr>
              <w:spacing w:line="360" w:lineRule="auto"/>
              <w:jc w:val="both"/>
              <w:rPr>
                <w:sz w:val="24"/>
                <w:szCs w:val="24"/>
              </w:rPr>
            </w:pPr>
            <w:r w:rsidRPr="008B3D09">
              <w:rPr>
                <w:sz w:val="24"/>
                <w:szCs w:val="24"/>
              </w:rPr>
              <w:t>1</w:t>
            </w:r>
          </w:p>
        </w:tc>
        <w:tc>
          <w:tcPr>
            <w:tcW w:w="1783" w:type="dxa"/>
            <w:tcBorders>
              <w:left w:val="single" w:sz="8" w:space="0" w:color="000000"/>
              <w:bottom w:val="nil"/>
            </w:tcBorders>
          </w:tcPr>
          <w:p w14:paraId="0677E2AF" w14:textId="77777777" w:rsidR="00E43A56" w:rsidRPr="008B3D09" w:rsidRDefault="00E43A56" w:rsidP="00AE4332">
            <w:pPr>
              <w:spacing w:line="360" w:lineRule="auto"/>
              <w:jc w:val="both"/>
              <w:rPr>
                <w:sz w:val="24"/>
                <w:szCs w:val="24"/>
              </w:rPr>
            </w:pPr>
            <w:r w:rsidRPr="008B3D09">
              <w:rPr>
                <w:sz w:val="24"/>
                <w:szCs w:val="24"/>
              </w:rPr>
              <w:t>.712*</w:t>
            </w:r>
          </w:p>
        </w:tc>
      </w:tr>
      <w:tr w:rsidR="00E43A56" w:rsidRPr="008B3D09" w14:paraId="5B246548" w14:textId="77777777" w:rsidTr="00AE4332">
        <w:trPr>
          <w:trHeight w:val="753"/>
        </w:trPr>
        <w:tc>
          <w:tcPr>
            <w:tcW w:w="2885" w:type="dxa"/>
            <w:tcBorders>
              <w:top w:val="nil"/>
              <w:bottom w:val="nil"/>
              <w:right w:val="nil"/>
            </w:tcBorders>
          </w:tcPr>
          <w:p w14:paraId="70C90D02" w14:textId="77777777" w:rsidR="00E43A56" w:rsidRPr="008B3D09" w:rsidRDefault="00E43A56" w:rsidP="00AE4332">
            <w:pPr>
              <w:spacing w:line="360" w:lineRule="auto"/>
              <w:jc w:val="both"/>
              <w:rPr>
                <w:sz w:val="24"/>
                <w:szCs w:val="24"/>
              </w:rPr>
            </w:pPr>
            <w:r w:rsidRPr="008B3D09">
              <w:rPr>
                <w:sz w:val="24"/>
                <w:szCs w:val="24"/>
              </w:rPr>
              <w:t>Share Capital (in Crore)</w:t>
            </w:r>
          </w:p>
        </w:tc>
        <w:tc>
          <w:tcPr>
            <w:tcW w:w="2604" w:type="dxa"/>
            <w:tcBorders>
              <w:top w:val="nil"/>
              <w:left w:val="nil"/>
              <w:bottom w:val="nil"/>
            </w:tcBorders>
          </w:tcPr>
          <w:p w14:paraId="6C04F61E" w14:textId="77777777" w:rsidR="00E43A56" w:rsidRPr="008B3D09" w:rsidRDefault="00E43A56" w:rsidP="00AE4332">
            <w:pPr>
              <w:spacing w:line="360" w:lineRule="auto"/>
              <w:jc w:val="both"/>
              <w:rPr>
                <w:sz w:val="24"/>
                <w:szCs w:val="24"/>
              </w:rPr>
            </w:pPr>
          </w:p>
          <w:p w14:paraId="1562C86C" w14:textId="77777777" w:rsidR="00E43A56" w:rsidRPr="008B3D09" w:rsidRDefault="00E43A56" w:rsidP="00AE4332">
            <w:pPr>
              <w:spacing w:line="360" w:lineRule="auto"/>
              <w:jc w:val="both"/>
              <w:rPr>
                <w:sz w:val="24"/>
                <w:szCs w:val="24"/>
              </w:rPr>
            </w:pPr>
            <w:r w:rsidRPr="008B3D09">
              <w:rPr>
                <w:sz w:val="24"/>
                <w:szCs w:val="24"/>
              </w:rPr>
              <w:t>Sig. (2-tailed)</w:t>
            </w:r>
          </w:p>
        </w:tc>
        <w:tc>
          <w:tcPr>
            <w:tcW w:w="1901" w:type="dxa"/>
            <w:tcBorders>
              <w:top w:val="nil"/>
              <w:bottom w:val="nil"/>
              <w:right w:val="single" w:sz="8" w:space="0" w:color="000000"/>
            </w:tcBorders>
          </w:tcPr>
          <w:p w14:paraId="09AFA3E4" w14:textId="77777777" w:rsidR="00E43A56" w:rsidRPr="008B3D09" w:rsidRDefault="00E43A56" w:rsidP="00AE4332">
            <w:pPr>
              <w:spacing w:line="360" w:lineRule="auto"/>
              <w:jc w:val="both"/>
              <w:rPr>
                <w:sz w:val="24"/>
                <w:szCs w:val="24"/>
              </w:rPr>
            </w:pPr>
          </w:p>
        </w:tc>
        <w:tc>
          <w:tcPr>
            <w:tcW w:w="1783" w:type="dxa"/>
            <w:tcBorders>
              <w:top w:val="nil"/>
              <w:left w:val="single" w:sz="8" w:space="0" w:color="000000"/>
              <w:bottom w:val="nil"/>
            </w:tcBorders>
          </w:tcPr>
          <w:p w14:paraId="322F0E56" w14:textId="77777777" w:rsidR="00E43A56" w:rsidRPr="008B3D09" w:rsidRDefault="00E43A56" w:rsidP="00AE4332">
            <w:pPr>
              <w:spacing w:line="360" w:lineRule="auto"/>
              <w:jc w:val="both"/>
              <w:rPr>
                <w:sz w:val="24"/>
                <w:szCs w:val="24"/>
              </w:rPr>
            </w:pPr>
          </w:p>
          <w:p w14:paraId="5245CF09" w14:textId="77777777" w:rsidR="00E43A56" w:rsidRPr="008B3D09" w:rsidRDefault="00E43A56" w:rsidP="00AE4332">
            <w:pPr>
              <w:spacing w:line="360" w:lineRule="auto"/>
              <w:jc w:val="both"/>
              <w:rPr>
                <w:sz w:val="24"/>
                <w:szCs w:val="24"/>
              </w:rPr>
            </w:pPr>
            <w:r w:rsidRPr="008B3D09">
              <w:rPr>
                <w:sz w:val="24"/>
                <w:szCs w:val="24"/>
              </w:rPr>
              <w:t>.021</w:t>
            </w:r>
          </w:p>
        </w:tc>
      </w:tr>
      <w:tr w:rsidR="00E43A56" w:rsidRPr="008B3D09" w14:paraId="5FAE2CF4" w14:textId="77777777" w:rsidTr="00AE4332">
        <w:trPr>
          <w:trHeight w:val="614"/>
        </w:trPr>
        <w:tc>
          <w:tcPr>
            <w:tcW w:w="2885" w:type="dxa"/>
            <w:tcBorders>
              <w:top w:val="nil"/>
              <w:bottom w:val="nil"/>
              <w:right w:val="nil"/>
            </w:tcBorders>
          </w:tcPr>
          <w:p w14:paraId="1E4E7345" w14:textId="77777777" w:rsidR="00E43A56" w:rsidRPr="008B3D09" w:rsidRDefault="00E43A56" w:rsidP="00AE4332">
            <w:pPr>
              <w:spacing w:line="360" w:lineRule="auto"/>
              <w:jc w:val="both"/>
              <w:rPr>
                <w:sz w:val="24"/>
                <w:szCs w:val="24"/>
              </w:rPr>
            </w:pPr>
          </w:p>
        </w:tc>
        <w:tc>
          <w:tcPr>
            <w:tcW w:w="2604" w:type="dxa"/>
            <w:tcBorders>
              <w:top w:val="nil"/>
              <w:left w:val="nil"/>
              <w:bottom w:val="nil"/>
            </w:tcBorders>
          </w:tcPr>
          <w:p w14:paraId="42A8D810" w14:textId="77777777" w:rsidR="00E43A56" w:rsidRPr="008B3D09" w:rsidRDefault="00E43A56" w:rsidP="00AE4332">
            <w:pPr>
              <w:spacing w:line="360" w:lineRule="auto"/>
              <w:jc w:val="both"/>
              <w:rPr>
                <w:sz w:val="24"/>
                <w:szCs w:val="24"/>
              </w:rPr>
            </w:pPr>
            <w:r w:rsidRPr="008B3D09">
              <w:rPr>
                <w:sz w:val="24"/>
                <w:szCs w:val="24"/>
              </w:rPr>
              <w:t>N</w:t>
            </w:r>
          </w:p>
        </w:tc>
        <w:tc>
          <w:tcPr>
            <w:tcW w:w="1901" w:type="dxa"/>
            <w:tcBorders>
              <w:top w:val="nil"/>
              <w:bottom w:val="nil"/>
              <w:right w:val="single" w:sz="8" w:space="0" w:color="000000"/>
            </w:tcBorders>
          </w:tcPr>
          <w:p w14:paraId="6275A7EA" w14:textId="77777777" w:rsidR="00E43A56" w:rsidRPr="008B3D09" w:rsidRDefault="00E43A56" w:rsidP="00AE4332">
            <w:pPr>
              <w:spacing w:line="360" w:lineRule="auto"/>
              <w:jc w:val="both"/>
              <w:rPr>
                <w:sz w:val="24"/>
                <w:szCs w:val="24"/>
              </w:rPr>
            </w:pPr>
            <w:r w:rsidRPr="008B3D09">
              <w:rPr>
                <w:sz w:val="24"/>
                <w:szCs w:val="24"/>
              </w:rPr>
              <w:t>10</w:t>
            </w:r>
          </w:p>
        </w:tc>
        <w:tc>
          <w:tcPr>
            <w:tcW w:w="1783" w:type="dxa"/>
            <w:tcBorders>
              <w:top w:val="nil"/>
              <w:left w:val="single" w:sz="8" w:space="0" w:color="000000"/>
              <w:bottom w:val="nil"/>
            </w:tcBorders>
          </w:tcPr>
          <w:p w14:paraId="56B7AE7F" w14:textId="77777777" w:rsidR="00E43A56" w:rsidRPr="008B3D09" w:rsidRDefault="00E43A56" w:rsidP="00AE4332">
            <w:pPr>
              <w:spacing w:line="360" w:lineRule="auto"/>
              <w:jc w:val="both"/>
              <w:rPr>
                <w:sz w:val="24"/>
                <w:szCs w:val="24"/>
              </w:rPr>
            </w:pPr>
            <w:r w:rsidRPr="008B3D09">
              <w:rPr>
                <w:sz w:val="24"/>
                <w:szCs w:val="24"/>
              </w:rPr>
              <w:t>10</w:t>
            </w:r>
          </w:p>
        </w:tc>
      </w:tr>
      <w:tr w:rsidR="00E43A56" w:rsidRPr="008B3D09" w14:paraId="40E8ED41" w14:textId="77777777" w:rsidTr="00AE4332">
        <w:trPr>
          <w:trHeight w:val="614"/>
        </w:trPr>
        <w:tc>
          <w:tcPr>
            <w:tcW w:w="2885" w:type="dxa"/>
            <w:tcBorders>
              <w:top w:val="nil"/>
              <w:bottom w:val="nil"/>
              <w:right w:val="nil"/>
            </w:tcBorders>
          </w:tcPr>
          <w:p w14:paraId="37FF7F48" w14:textId="77777777" w:rsidR="00E43A56" w:rsidRPr="008B3D09" w:rsidRDefault="00E43A56" w:rsidP="00AE4332">
            <w:pPr>
              <w:spacing w:line="360" w:lineRule="auto"/>
              <w:jc w:val="both"/>
              <w:rPr>
                <w:sz w:val="24"/>
                <w:szCs w:val="24"/>
              </w:rPr>
            </w:pPr>
          </w:p>
        </w:tc>
        <w:tc>
          <w:tcPr>
            <w:tcW w:w="2604" w:type="dxa"/>
            <w:tcBorders>
              <w:top w:val="nil"/>
              <w:left w:val="nil"/>
              <w:bottom w:val="nil"/>
            </w:tcBorders>
          </w:tcPr>
          <w:p w14:paraId="5FC2C38C" w14:textId="77777777" w:rsidR="00E43A56" w:rsidRPr="008B3D09" w:rsidRDefault="00E43A56" w:rsidP="00AE4332">
            <w:pPr>
              <w:spacing w:line="360" w:lineRule="auto"/>
              <w:jc w:val="both"/>
              <w:rPr>
                <w:sz w:val="24"/>
                <w:szCs w:val="24"/>
              </w:rPr>
            </w:pPr>
            <w:r w:rsidRPr="008B3D09">
              <w:rPr>
                <w:sz w:val="24"/>
                <w:szCs w:val="24"/>
              </w:rPr>
              <w:t>Pearson Correlation</w:t>
            </w:r>
          </w:p>
        </w:tc>
        <w:tc>
          <w:tcPr>
            <w:tcW w:w="1901" w:type="dxa"/>
            <w:tcBorders>
              <w:top w:val="nil"/>
              <w:bottom w:val="nil"/>
              <w:right w:val="single" w:sz="8" w:space="0" w:color="000000"/>
            </w:tcBorders>
          </w:tcPr>
          <w:p w14:paraId="4DD4BC42" w14:textId="77777777" w:rsidR="00E43A56" w:rsidRPr="008B3D09" w:rsidRDefault="00E43A56" w:rsidP="00AE4332">
            <w:pPr>
              <w:spacing w:line="360" w:lineRule="auto"/>
              <w:jc w:val="both"/>
              <w:rPr>
                <w:sz w:val="24"/>
                <w:szCs w:val="24"/>
              </w:rPr>
            </w:pPr>
            <w:r w:rsidRPr="008B3D09">
              <w:rPr>
                <w:sz w:val="24"/>
                <w:szCs w:val="24"/>
              </w:rPr>
              <w:t>.712*</w:t>
            </w:r>
          </w:p>
        </w:tc>
        <w:tc>
          <w:tcPr>
            <w:tcW w:w="1783" w:type="dxa"/>
            <w:tcBorders>
              <w:top w:val="nil"/>
              <w:left w:val="single" w:sz="8" w:space="0" w:color="000000"/>
              <w:bottom w:val="nil"/>
            </w:tcBorders>
          </w:tcPr>
          <w:p w14:paraId="7547071E" w14:textId="77777777" w:rsidR="00E43A56" w:rsidRPr="008B3D09" w:rsidRDefault="00E43A56" w:rsidP="00AE4332">
            <w:pPr>
              <w:spacing w:line="360" w:lineRule="auto"/>
              <w:jc w:val="both"/>
              <w:rPr>
                <w:sz w:val="24"/>
                <w:szCs w:val="24"/>
              </w:rPr>
            </w:pPr>
            <w:r w:rsidRPr="008B3D09">
              <w:rPr>
                <w:sz w:val="24"/>
                <w:szCs w:val="24"/>
              </w:rPr>
              <w:t>1</w:t>
            </w:r>
          </w:p>
        </w:tc>
      </w:tr>
      <w:tr w:rsidR="00E43A56" w:rsidRPr="008B3D09" w14:paraId="3BA876D5" w14:textId="77777777" w:rsidTr="00AE4332">
        <w:trPr>
          <w:trHeight w:val="746"/>
        </w:trPr>
        <w:tc>
          <w:tcPr>
            <w:tcW w:w="2885" w:type="dxa"/>
            <w:tcBorders>
              <w:top w:val="nil"/>
              <w:bottom w:val="nil"/>
              <w:right w:val="nil"/>
            </w:tcBorders>
          </w:tcPr>
          <w:p w14:paraId="42E2AB0F" w14:textId="77777777" w:rsidR="00E43A56" w:rsidRPr="008B3D09" w:rsidRDefault="00E43A56" w:rsidP="00AE4332">
            <w:pPr>
              <w:spacing w:line="360" w:lineRule="auto"/>
              <w:jc w:val="both"/>
              <w:rPr>
                <w:sz w:val="24"/>
                <w:szCs w:val="24"/>
              </w:rPr>
            </w:pPr>
            <w:r w:rsidRPr="008B3D09">
              <w:rPr>
                <w:sz w:val="24"/>
                <w:szCs w:val="24"/>
              </w:rPr>
              <w:t>Gross NPA%</w:t>
            </w:r>
          </w:p>
        </w:tc>
        <w:tc>
          <w:tcPr>
            <w:tcW w:w="2604" w:type="dxa"/>
            <w:tcBorders>
              <w:top w:val="nil"/>
              <w:left w:val="nil"/>
              <w:bottom w:val="nil"/>
            </w:tcBorders>
          </w:tcPr>
          <w:p w14:paraId="0CC92D21" w14:textId="77777777" w:rsidR="00E43A56" w:rsidRPr="008B3D09" w:rsidRDefault="00E43A56" w:rsidP="00AE4332">
            <w:pPr>
              <w:spacing w:line="360" w:lineRule="auto"/>
              <w:jc w:val="both"/>
              <w:rPr>
                <w:sz w:val="24"/>
                <w:szCs w:val="24"/>
              </w:rPr>
            </w:pPr>
            <w:r w:rsidRPr="008B3D09">
              <w:rPr>
                <w:sz w:val="24"/>
                <w:szCs w:val="24"/>
              </w:rPr>
              <w:t>Sig. (2-tailed)</w:t>
            </w:r>
          </w:p>
        </w:tc>
        <w:tc>
          <w:tcPr>
            <w:tcW w:w="1901" w:type="dxa"/>
            <w:tcBorders>
              <w:top w:val="nil"/>
              <w:bottom w:val="nil"/>
              <w:right w:val="single" w:sz="8" w:space="0" w:color="000000"/>
            </w:tcBorders>
          </w:tcPr>
          <w:p w14:paraId="1CD4F3D4" w14:textId="77777777" w:rsidR="00E43A56" w:rsidRPr="008B3D09" w:rsidRDefault="00E43A56" w:rsidP="00AE4332">
            <w:pPr>
              <w:spacing w:line="360" w:lineRule="auto"/>
              <w:jc w:val="both"/>
              <w:rPr>
                <w:sz w:val="24"/>
                <w:szCs w:val="24"/>
              </w:rPr>
            </w:pPr>
            <w:r w:rsidRPr="008B3D09">
              <w:rPr>
                <w:sz w:val="24"/>
                <w:szCs w:val="24"/>
              </w:rPr>
              <w:t>.021</w:t>
            </w:r>
          </w:p>
        </w:tc>
        <w:tc>
          <w:tcPr>
            <w:tcW w:w="1783" w:type="dxa"/>
            <w:tcBorders>
              <w:top w:val="nil"/>
              <w:left w:val="single" w:sz="8" w:space="0" w:color="000000"/>
              <w:bottom w:val="nil"/>
            </w:tcBorders>
          </w:tcPr>
          <w:p w14:paraId="309ABF45" w14:textId="77777777" w:rsidR="00E43A56" w:rsidRPr="008B3D09" w:rsidRDefault="00E43A56" w:rsidP="00AE4332">
            <w:pPr>
              <w:spacing w:line="360" w:lineRule="auto"/>
              <w:jc w:val="both"/>
              <w:rPr>
                <w:sz w:val="24"/>
                <w:szCs w:val="24"/>
              </w:rPr>
            </w:pPr>
          </w:p>
        </w:tc>
      </w:tr>
      <w:tr w:rsidR="00E43A56" w:rsidRPr="008B3D09" w14:paraId="19BDDB2A" w14:textId="77777777" w:rsidTr="00AE4332">
        <w:trPr>
          <w:trHeight w:val="581"/>
        </w:trPr>
        <w:tc>
          <w:tcPr>
            <w:tcW w:w="2885" w:type="dxa"/>
            <w:tcBorders>
              <w:top w:val="nil"/>
              <w:right w:val="nil"/>
            </w:tcBorders>
          </w:tcPr>
          <w:p w14:paraId="48E3AF22" w14:textId="77777777" w:rsidR="00E43A56" w:rsidRPr="008B3D09" w:rsidRDefault="00E43A56" w:rsidP="00AE4332">
            <w:pPr>
              <w:spacing w:line="360" w:lineRule="auto"/>
              <w:jc w:val="both"/>
              <w:rPr>
                <w:sz w:val="24"/>
                <w:szCs w:val="24"/>
              </w:rPr>
            </w:pPr>
          </w:p>
        </w:tc>
        <w:tc>
          <w:tcPr>
            <w:tcW w:w="2604" w:type="dxa"/>
            <w:tcBorders>
              <w:top w:val="nil"/>
              <w:left w:val="nil"/>
            </w:tcBorders>
          </w:tcPr>
          <w:p w14:paraId="61C27873" w14:textId="77777777" w:rsidR="00E43A56" w:rsidRPr="008B3D09" w:rsidRDefault="00E43A56" w:rsidP="00AE4332">
            <w:pPr>
              <w:spacing w:line="360" w:lineRule="auto"/>
              <w:jc w:val="both"/>
              <w:rPr>
                <w:sz w:val="24"/>
                <w:szCs w:val="24"/>
              </w:rPr>
            </w:pPr>
            <w:r w:rsidRPr="008B3D09">
              <w:rPr>
                <w:sz w:val="24"/>
                <w:szCs w:val="24"/>
              </w:rPr>
              <w:t>N</w:t>
            </w:r>
          </w:p>
        </w:tc>
        <w:tc>
          <w:tcPr>
            <w:tcW w:w="1901" w:type="dxa"/>
            <w:tcBorders>
              <w:top w:val="nil"/>
              <w:right w:val="single" w:sz="8" w:space="0" w:color="000000"/>
            </w:tcBorders>
          </w:tcPr>
          <w:p w14:paraId="7C93D074" w14:textId="77777777" w:rsidR="00E43A56" w:rsidRPr="008B3D09" w:rsidRDefault="00E43A56" w:rsidP="00AE4332">
            <w:pPr>
              <w:spacing w:line="360" w:lineRule="auto"/>
              <w:jc w:val="both"/>
              <w:rPr>
                <w:sz w:val="24"/>
                <w:szCs w:val="24"/>
              </w:rPr>
            </w:pPr>
            <w:r w:rsidRPr="008B3D09">
              <w:rPr>
                <w:sz w:val="24"/>
                <w:szCs w:val="24"/>
              </w:rPr>
              <w:t>10</w:t>
            </w:r>
          </w:p>
        </w:tc>
        <w:tc>
          <w:tcPr>
            <w:tcW w:w="1783" w:type="dxa"/>
            <w:tcBorders>
              <w:top w:val="nil"/>
              <w:left w:val="single" w:sz="8" w:space="0" w:color="000000"/>
            </w:tcBorders>
          </w:tcPr>
          <w:p w14:paraId="4DB0FBEF" w14:textId="77777777" w:rsidR="00E43A56" w:rsidRPr="008B3D09" w:rsidRDefault="00E43A56" w:rsidP="00AE4332">
            <w:pPr>
              <w:spacing w:line="360" w:lineRule="auto"/>
              <w:jc w:val="both"/>
              <w:rPr>
                <w:sz w:val="24"/>
                <w:szCs w:val="24"/>
              </w:rPr>
            </w:pPr>
            <w:r w:rsidRPr="008B3D09">
              <w:rPr>
                <w:sz w:val="24"/>
                <w:szCs w:val="24"/>
              </w:rPr>
              <w:t>10</w:t>
            </w:r>
          </w:p>
        </w:tc>
      </w:tr>
    </w:tbl>
    <w:p w14:paraId="238D9DD8" w14:textId="77777777" w:rsidR="00E43A56" w:rsidRPr="008B3D09" w:rsidRDefault="00E43A56" w:rsidP="00E43A56">
      <w:pPr>
        <w:spacing w:line="360" w:lineRule="auto"/>
        <w:jc w:val="both"/>
        <w:rPr>
          <w:sz w:val="24"/>
          <w:szCs w:val="24"/>
        </w:rPr>
      </w:pPr>
      <w:r w:rsidRPr="008B3D09">
        <w:rPr>
          <w:sz w:val="24"/>
          <w:szCs w:val="24"/>
        </w:rPr>
        <w:t>*. Correlation is significant at the 0.05 level (2-tailed).</w:t>
      </w:r>
    </w:p>
    <w:p w14:paraId="0AED3B2B" w14:textId="77777777" w:rsidR="00E43A56" w:rsidRPr="008B3D09" w:rsidRDefault="00E43A56" w:rsidP="00E43A56">
      <w:pPr>
        <w:spacing w:line="360" w:lineRule="auto"/>
        <w:jc w:val="both"/>
        <w:rPr>
          <w:sz w:val="24"/>
          <w:szCs w:val="24"/>
        </w:rPr>
      </w:pPr>
    </w:p>
    <w:p w14:paraId="4A038FFA" w14:textId="77777777" w:rsidR="00E43A56" w:rsidRPr="008B3D09" w:rsidRDefault="00E43A56" w:rsidP="00E43A56">
      <w:pPr>
        <w:spacing w:line="360" w:lineRule="auto"/>
        <w:jc w:val="both"/>
        <w:rPr>
          <w:sz w:val="24"/>
          <w:szCs w:val="24"/>
        </w:rPr>
      </w:pPr>
      <w:r w:rsidRPr="008B3D09">
        <w:rPr>
          <w:sz w:val="24"/>
          <w:szCs w:val="24"/>
        </w:rPr>
        <w:t xml:space="preserve">The Study found the significant relationship of Gross NPA and Net NPA with share capital and advances of Punjab National Bank, since 2010. </w:t>
      </w:r>
    </w:p>
    <w:p w14:paraId="05B73BDF" w14:textId="77777777" w:rsidR="00E43A56" w:rsidRPr="008B3D09" w:rsidRDefault="00E43A56" w:rsidP="00E43A56">
      <w:pPr>
        <w:spacing w:line="360" w:lineRule="auto"/>
        <w:jc w:val="both"/>
        <w:rPr>
          <w:sz w:val="24"/>
          <w:szCs w:val="24"/>
        </w:rPr>
      </w:pPr>
      <w:r w:rsidRPr="008B3D09">
        <w:rPr>
          <w:b/>
          <w:bCs/>
          <w:sz w:val="24"/>
          <w:szCs w:val="24"/>
        </w:rPr>
        <w:t>Table no-1</w:t>
      </w:r>
      <w:r w:rsidRPr="008B3D09">
        <w:rPr>
          <w:sz w:val="24"/>
          <w:szCs w:val="24"/>
        </w:rPr>
        <w:t xml:space="preserve"> shows that the rate of gross NPA and share capital are having the significant relation i.e. 0.712. The P-value in the above table, has been found, less than 5%, therefore the </w:t>
      </w:r>
      <w:proofErr w:type="spellStart"/>
      <w:r w:rsidRPr="008B3D09">
        <w:rPr>
          <w:sz w:val="24"/>
          <w:szCs w:val="24"/>
        </w:rPr>
        <w:t>Ist</w:t>
      </w:r>
      <w:proofErr w:type="spellEnd"/>
      <w:r w:rsidRPr="008B3D09">
        <w:rPr>
          <w:sz w:val="24"/>
          <w:szCs w:val="24"/>
        </w:rPr>
        <w:t xml:space="preserve"> null hypothesis found disprove and it can be concluded that there is the significant relationship between share capital and Gross NPA in PNB Bank.</w:t>
      </w:r>
    </w:p>
    <w:p w14:paraId="61808984" w14:textId="77777777" w:rsidR="00E43A56" w:rsidRPr="008B3D09" w:rsidRDefault="00E43A56" w:rsidP="00E43A56">
      <w:pPr>
        <w:spacing w:line="360" w:lineRule="auto"/>
        <w:jc w:val="both"/>
        <w:rPr>
          <w:sz w:val="24"/>
          <w:szCs w:val="24"/>
        </w:rPr>
      </w:pPr>
    </w:p>
    <w:p w14:paraId="1B286CF0" w14:textId="77777777" w:rsidR="00E43A56" w:rsidRPr="008B3D09" w:rsidRDefault="00E43A56" w:rsidP="00E43A56">
      <w:pPr>
        <w:pStyle w:val="Caption"/>
        <w:keepNext/>
        <w:spacing w:line="360" w:lineRule="auto"/>
        <w:jc w:val="both"/>
        <w:rPr>
          <w:color w:val="auto"/>
          <w:sz w:val="24"/>
          <w:szCs w:val="24"/>
        </w:rPr>
      </w:pPr>
      <w:r w:rsidRPr="008B3D09">
        <w:rPr>
          <w:color w:val="auto"/>
          <w:sz w:val="24"/>
          <w:szCs w:val="24"/>
        </w:rPr>
        <w:t xml:space="preserve">Table </w:t>
      </w:r>
      <w:r w:rsidRPr="008B3D09">
        <w:rPr>
          <w:color w:val="auto"/>
          <w:sz w:val="24"/>
          <w:szCs w:val="24"/>
        </w:rPr>
        <w:fldChar w:fldCharType="begin"/>
      </w:r>
      <w:r w:rsidRPr="008B3D09">
        <w:rPr>
          <w:color w:val="auto"/>
          <w:sz w:val="24"/>
          <w:szCs w:val="24"/>
        </w:rPr>
        <w:instrText xml:space="preserve"> SEQ Table \* ARABIC </w:instrText>
      </w:r>
      <w:r w:rsidRPr="008B3D09">
        <w:rPr>
          <w:color w:val="auto"/>
          <w:sz w:val="24"/>
          <w:szCs w:val="24"/>
        </w:rPr>
        <w:fldChar w:fldCharType="separate"/>
      </w:r>
      <w:r w:rsidRPr="008B3D09">
        <w:rPr>
          <w:noProof/>
          <w:color w:val="auto"/>
          <w:sz w:val="24"/>
          <w:szCs w:val="24"/>
        </w:rPr>
        <w:t>5</w:t>
      </w:r>
      <w:r w:rsidRPr="008B3D09">
        <w:rPr>
          <w:color w:val="auto"/>
          <w:sz w:val="24"/>
          <w:szCs w:val="24"/>
        </w:rPr>
        <w:fldChar w:fldCharType="end"/>
      </w:r>
      <w:r w:rsidRPr="008B3D09">
        <w:rPr>
          <w:color w:val="auto"/>
          <w:sz w:val="24"/>
          <w:szCs w:val="24"/>
        </w:rPr>
        <w:t>: Correlation</w:t>
      </w:r>
    </w:p>
    <w:tbl>
      <w:tblPr>
        <w:tblW w:w="0" w:type="auto"/>
        <w:tblInd w:w="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000"/>
        <w:gridCol w:w="2420"/>
        <w:gridCol w:w="1800"/>
        <w:gridCol w:w="1685"/>
      </w:tblGrid>
      <w:tr w:rsidR="00E43A56" w:rsidRPr="008B3D09" w14:paraId="3544EB07" w14:textId="77777777" w:rsidTr="00AE4332">
        <w:trPr>
          <w:trHeight w:val="1445"/>
        </w:trPr>
        <w:tc>
          <w:tcPr>
            <w:tcW w:w="5420" w:type="dxa"/>
            <w:gridSpan w:val="2"/>
          </w:tcPr>
          <w:p w14:paraId="78E800CF" w14:textId="77777777" w:rsidR="00E43A56" w:rsidRPr="008B3D09" w:rsidRDefault="00E43A56" w:rsidP="00AE4332">
            <w:pPr>
              <w:spacing w:line="360" w:lineRule="auto"/>
              <w:jc w:val="both"/>
              <w:rPr>
                <w:sz w:val="24"/>
                <w:szCs w:val="24"/>
              </w:rPr>
            </w:pPr>
          </w:p>
        </w:tc>
        <w:tc>
          <w:tcPr>
            <w:tcW w:w="1800" w:type="dxa"/>
            <w:tcBorders>
              <w:right w:val="single" w:sz="8" w:space="0" w:color="000000"/>
            </w:tcBorders>
          </w:tcPr>
          <w:p w14:paraId="77740C4B" w14:textId="77777777" w:rsidR="00E43A56" w:rsidRPr="008B3D09" w:rsidRDefault="00E43A56" w:rsidP="00AE4332">
            <w:pPr>
              <w:spacing w:line="360" w:lineRule="auto"/>
              <w:jc w:val="both"/>
              <w:rPr>
                <w:sz w:val="24"/>
                <w:szCs w:val="24"/>
              </w:rPr>
            </w:pPr>
            <w:r w:rsidRPr="008B3D09">
              <w:rPr>
                <w:sz w:val="24"/>
                <w:szCs w:val="24"/>
              </w:rPr>
              <w:t>Loans</w:t>
            </w:r>
            <w:r w:rsidRPr="008B3D09">
              <w:rPr>
                <w:sz w:val="24"/>
                <w:szCs w:val="24"/>
              </w:rPr>
              <w:tab/>
            </w:r>
            <w:r w:rsidRPr="008B3D09">
              <w:rPr>
                <w:sz w:val="24"/>
                <w:szCs w:val="24"/>
              </w:rPr>
              <w:tab/>
              <w:t>&amp; Advances</w:t>
            </w:r>
            <w:r w:rsidRPr="008B3D09">
              <w:rPr>
                <w:sz w:val="24"/>
                <w:szCs w:val="24"/>
              </w:rPr>
              <w:tab/>
              <w:t>(in</w:t>
            </w:r>
          </w:p>
          <w:p w14:paraId="3A088644" w14:textId="77777777" w:rsidR="00E43A56" w:rsidRPr="008B3D09" w:rsidRDefault="00E43A56" w:rsidP="00AE4332">
            <w:pPr>
              <w:spacing w:line="360" w:lineRule="auto"/>
              <w:jc w:val="both"/>
              <w:rPr>
                <w:sz w:val="24"/>
                <w:szCs w:val="24"/>
              </w:rPr>
            </w:pPr>
            <w:r w:rsidRPr="008B3D09">
              <w:rPr>
                <w:sz w:val="24"/>
                <w:szCs w:val="24"/>
              </w:rPr>
              <w:t>crore)</w:t>
            </w:r>
          </w:p>
        </w:tc>
        <w:tc>
          <w:tcPr>
            <w:tcW w:w="1685" w:type="dxa"/>
            <w:tcBorders>
              <w:left w:val="single" w:sz="8" w:space="0" w:color="000000"/>
            </w:tcBorders>
          </w:tcPr>
          <w:p w14:paraId="7413C3A1" w14:textId="77777777" w:rsidR="00E43A56" w:rsidRPr="008B3D09" w:rsidRDefault="00E43A56" w:rsidP="00AE4332">
            <w:pPr>
              <w:spacing w:line="360" w:lineRule="auto"/>
              <w:jc w:val="both"/>
              <w:rPr>
                <w:sz w:val="24"/>
                <w:szCs w:val="24"/>
              </w:rPr>
            </w:pPr>
            <w:r w:rsidRPr="008B3D09">
              <w:rPr>
                <w:sz w:val="24"/>
                <w:szCs w:val="24"/>
              </w:rPr>
              <w:t>Gross NPA%</w:t>
            </w:r>
          </w:p>
        </w:tc>
      </w:tr>
      <w:tr w:rsidR="00E43A56" w:rsidRPr="008B3D09" w14:paraId="73DDB43D" w14:textId="77777777" w:rsidTr="00AE4332">
        <w:trPr>
          <w:trHeight w:val="873"/>
        </w:trPr>
        <w:tc>
          <w:tcPr>
            <w:tcW w:w="3000" w:type="dxa"/>
            <w:tcBorders>
              <w:bottom w:val="nil"/>
              <w:right w:val="nil"/>
            </w:tcBorders>
          </w:tcPr>
          <w:p w14:paraId="2FF948FB" w14:textId="77777777" w:rsidR="00E43A56" w:rsidRPr="008B3D09" w:rsidRDefault="00E43A56" w:rsidP="00AE4332">
            <w:pPr>
              <w:spacing w:line="360" w:lineRule="auto"/>
              <w:jc w:val="both"/>
              <w:rPr>
                <w:sz w:val="24"/>
                <w:szCs w:val="24"/>
              </w:rPr>
            </w:pPr>
          </w:p>
          <w:p w14:paraId="09718C12" w14:textId="77777777" w:rsidR="00E43A56" w:rsidRPr="008B3D09" w:rsidRDefault="00E43A56" w:rsidP="00AE4332">
            <w:pPr>
              <w:spacing w:line="360" w:lineRule="auto"/>
              <w:jc w:val="both"/>
              <w:rPr>
                <w:sz w:val="24"/>
                <w:szCs w:val="24"/>
              </w:rPr>
            </w:pPr>
            <w:r w:rsidRPr="008B3D09">
              <w:rPr>
                <w:sz w:val="24"/>
                <w:szCs w:val="24"/>
              </w:rPr>
              <w:t>Loans &amp; Advances (in</w:t>
            </w:r>
          </w:p>
        </w:tc>
        <w:tc>
          <w:tcPr>
            <w:tcW w:w="2420" w:type="dxa"/>
            <w:tcBorders>
              <w:left w:val="nil"/>
              <w:bottom w:val="nil"/>
            </w:tcBorders>
          </w:tcPr>
          <w:p w14:paraId="64173B92" w14:textId="77777777" w:rsidR="00E43A56" w:rsidRPr="008B3D09" w:rsidRDefault="00E43A56" w:rsidP="00AE4332">
            <w:pPr>
              <w:spacing w:line="360" w:lineRule="auto"/>
              <w:jc w:val="both"/>
              <w:rPr>
                <w:sz w:val="24"/>
                <w:szCs w:val="24"/>
              </w:rPr>
            </w:pPr>
            <w:r w:rsidRPr="008B3D09">
              <w:rPr>
                <w:sz w:val="24"/>
                <w:szCs w:val="24"/>
              </w:rPr>
              <w:t>Pearson Correlation</w:t>
            </w:r>
          </w:p>
        </w:tc>
        <w:tc>
          <w:tcPr>
            <w:tcW w:w="1800" w:type="dxa"/>
            <w:tcBorders>
              <w:bottom w:val="nil"/>
              <w:right w:val="single" w:sz="8" w:space="0" w:color="000000"/>
            </w:tcBorders>
          </w:tcPr>
          <w:p w14:paraId="6A55303F" w14:textId="77777777" w:rsidR="00E43A56" w:rsidRPr="008B3D09" w:rsidRDefault="00E43A56" w:rsidP="00AE4332">
            <w:pPr>
              <w:spacing w:line="360" w:lineRule="auto"/>
              <w:jc w:val="both"/>
              <w:rPr>
                <w:sz w:val="24"/>
                <w:szCs w:val="24"/>
              </w:rPr>
            </w:pPr>
            <w:r w:rsidRPr="008B3D09">
              <w:rPr>
                <w:sz w:val="24"/>
                <w:szCs w:val="24"/>
              </w:rPr>
              <w:t>1</w:t>
            </w:r>
          </w:p>
        </w:tc>
        <w:tc>
          <w:tcPr>
            <w:tcW w:w="1685" w:type="dxa"/>
            <w:tcBorders>
              <w:left w:val="single" w:sz="8" w:space="0" w:color="000000"/>
              <w:bottom w:val="nil"/>
            </w:tcBorders>
          </w:tcPr>
          <w:p w14:paraId="6128C36A" w14:textId="77777777" w:rsidR="00E43A56" w:rsidRPr="008B3D09" w:rsidRDefault="00E43A56" w:rsidP="00AE4332">
            <w:pPr>
              <w:spacing w:line="360" w:lineRule="auto"/>
              <w:jc w:val="both"/>
              <w:rPr>
                <w:sz w:val="24"/>
                <w:szCs w:val="24"/>
              </w:rPr>
            </w:pPr>
            <w:r w:rsidRPr="008B3D09">
              <w:rPr>
                <w:sz w:val="24"/>
                <w:szCs w:val="24"/>
              </w:rPr>
              <w:t>.898**</w:t>
            </w:r>
          </w:p>
        </w:tc>
      </w:tr>
      <w:tr w:rsidR="00E43A56" w:rsidRPr="008B3D09" w14:paraId="43D9C69B" w14:textId="77777777" w:rsidTr="00AE4332">
        <w:trPr>
          <w:trHeight w:val="503"/>
        </w:trPr>
        <w:tc>
          <w:tcPr>
            <w:tcW w:w="3000" w:type="dxa"/>
            <w:tcBorders>
              <w:top w:val="nil"/>
              <w:bottom w:val="nil"/>
              <w:right w:val="nil"/>
            </w:tcBorders>
          </w:tcPr>
          <w:p w14:paraId="1B58763B" w14:textId="77777777" w:rsidR="00E43A56" w:rsidRPr="008B3D09" w:rsidRDefault="00E43A56" w:rsidP="00AE4332">
            <w:pPr>
              <w:spacing w:line="360" w:lineRule="auto"/>
              <w:jc w:val="both"/>
              <w:rPr>
                <w:sz w:val="24"/>
                <w:szCs w:val="24"/>
              </w:rPr>
            </w:pPr>
            <w:r w:rsidRPr="008B3D09">
              <w:rPr>
                <w:sz w:val="24"/>
                <w:szCs w:val="24"/>
              </w:rPr>
              <w:t>crore)</w:t>
            </w:r>
          </w:p>
        </w:tc>
        <w:tc>
          <w:tcPr>
            <w:tcW w:w="2420" w:type="dxa"/>
            <w:tcBorders>
              <w:top w:val="nil"/>
              <w:left w:val="nil"/>
              <w:bottom w:val="nil"/>
            </w:tcBorders>
          </w:tcPr>
          <w:p w14:paraId="2BBC88D5" w14:textId="77777777" w:rsidR="00E43A56" w:rsidRPr="008B3D09" w:rsidRDefault="00E43A56" w:rsidP="00AE4332">
            <w:pPr>
              <w:spacing w:line="360" w:lineRule="auto"/>
              <w:jc w:val="both"/>
              <w:rPr>
                <w:sz w:val="24"/>
                <w:szCs w:val="24"/>
              </w:rPr>
            </w:pPr>
            <w:r w:rsidRPr="008B3D09">
              <w:rPr>
                <w:sz w:val="24"/>
                <w:szCs w:val="24"/>
              </w:rPr>
              <w:t>Sig. (2-tailed)</w:t>
            </w:r>
          </w:p>
        </w:tc>
        <w:tc>
          <w:tcPr>
            <w:tcW w:w="1800" w:type="dxa"/>
            <w:tcBorders>
              <w:top w:val="nil"/>
              <w:bottom w:val="nil"/>
              <w:right w:val="single" w:sz="8" w:space="0" w:color="000000"/>
            </w:tcBorders>
          </w:tcPr>
          <w:p w14:paraId="7ADA0D38" w14:textId="77777777" w:rsidR="00E43A56" w:rsidRPr="008B3D09" w:rsidRDefault="00E43A56" w:rsidP="00AE4332">
            <w:pPr>
              <w:spacing w:line="360" w:lineRule="auto"/>
              <w:jc w:val="both"/>
              <w:rPr>
                <w:sz w:val="24"/>
                <w:szCs w:val="24"/>
              </w:rPr>
            </w:pPr>
          </w:p>
        </w:tc>
        <w:tc>
          <w:tcPr>
            <w:tcW w:w="1685" w:type="dxa"/>
            <w:tcBorders>
              <w:top w:val="nil"/>
              <w:left w:val="single" w:sz="8" w:space="0" w:color="000000"/>
              <w:bottom w:val="nil"/>
            </w:tcBorders>
          </w:tcPr>
          <w:p w14:paraId="1A3A263E" w14:textId="77777777" w:rsidR="00E43A56" w:rsidRPr="008B3D09" w:rsidRDefault="00E43A56" w:rsidP="00AE4332">
            <w:pPr>
              <w:spacing w:line="360" w:lineRule="auto"/>
              <w:jc w:val="both"/>
              <w:rPr>
                <w:sz w:val="24"/>
                <w:szCs w:val="24"/>
              </w:rPr>
            </w:pPr>
            <w:r w:rsidRPr="008B3D09">
              <w:rPr>
                <w:sz w:val="24"/>
                <w:szCs w:val="24"/>
              </w:rPr>
              <w:t>.000</w:t>
            </w:r>
          </w:p>
        </w:tc>
      </w:tr>
      <w:tr w:rsidR="00E43A56" w:rsidRPr="008B3D09" w14:paraId="6B0AFFBD" w14:textId="77777777" w:rsidTr="00AE4332">
        <w:trPr>
          <w:trHeight w:val="586"/>
        </w:trPr>
        <w:tc>
          <w:tcPr>
            <w:tcW w:w="3000" w:type="dxa"/>
            <w:tcBorders>
              <w:top w:val="nil"/>
              <w:bottom w:val="nil"/>
              <w:right w:val="nil"/>
            </w:tcBorders>
          </w:tcPr>
          <w:p w14:paraId="14A4F6FC" w14:textId="77777777" w:rsidR="00E43A56" w:rsidRPr="008B3D09" w:rsidRDefault="00E43A56" w:rsidP="00AE4332">
            <w:pPr>
              <w:spacing w:line="360" w:lineRule="auto"/>
              <w:jc w:val="both"/>
              <w:rPr>
                <w:sz w:val="24"/>
                <w:szCs w:val="24"/>
              </w:rPr>
            </w:pPr>
          </w:p>
        </w:tc>
        <w:tc>
          <w:tcPr>
            <w:tcW w:w="2420" w:type="dxa"/>
            <w:tcBorders>
              <w:top w:val="nil"/>
              <w:left w:val="nil"/>
              <w:bottom w:val="nil"/>
            </w:tcBorders>
          </w:tcPr>
          <w:p w14:paraId="17A3F0C0" w14:textId="77777777" w:rsidR="00E43A56" w:rsidRPr="008B3D09" w:rsidRDefault="00E43A56" w:rsidP="00AE4332">
            <w:pPr>
              <w:spacing w:line="360" w:lineRule="auto"/>
              <w:jc w:val="both"/>
              <w:rPr>
                <w:sz w:val="24"/>
                <w:szCs w:val="24"/>
              </w:rPr>
            </w:pPr>
            <w:r w:rsidRPr="008B3D09">
              <w:rPr>
                <w:sz w:val="24"/>
                <w:szCs w:val="24"/>
              </w:rPr>
              <w:t>N</w:t>
            </w:r>
          </w:p>
        </w:tc>
        <w:tc>
          <w:tcPr>
            <w:tcW w:w="1800" w:type="dxa"/>
            <w:tcBorders>
              <w:top w:val="nil"/>
              <w:bottom w:val="nil"/>
              <w:right w:val="single" w:sz="8" w:space="0" w:color="000000"/>
            </w:tcBorders>
          </w:tcPr>
          <w:p w14:paraId="0757A901" w14:textId="77777777" w:rsidR="00E43A56" w:rsidRPr="008B3D09" w:rsidRDefault="00E43A56" w:rsidP="00AE4332">
            <w:pPr>
              <w:spacing w:line="360" w:lineRule="auto"/>
              <w:jc w:val="both"/>
              <w:rPr>
                <w:sz w:val="24"/>
                <w:szCs w:val="24"/>
              </w:rPr>
            </w:pPr>
            <w:r w:rsidRPr="008B3D09">
              <w:rPr>
                <w:sz w:val="24"/>
                <w:szCs w:val="24"/>
              </w:rPr>
              <w:t>10</w:t>
            </w:r>
          </w:p>
        </w:tc>
        <w:tc>
          <w:tcPr>
            <w:tcW w:w="1685" w:type="dxa"/>
            <w:tcBorders>
              <w:top w:val="nil"/>
              <w:left w:val="single" w:sz="8" w:space="0" w:color="000000"/>
              <w:bottom w:val="nil"/>
            </w:tcBorders>
          </w:tcPr>
          <w:p w14:paraId="48FB4821" w14:textId="77777777" w:rsidR="00E43A56" w:rsidRPr="008B3D09" w:rsidRDefault="00E43A56" w:rsidP="00AE4332">
            <w:pPr>
              <w:spacing w:line="360" w:lineRule="auto"/>
              <w:jc w:val="both"/>
              <w:rPr>
                <w:sz w:val="24"/>
                <w:szCs w:val="24"/>
              </w:rPr>
            </w:pPr>
            <w:r w:rsidRPr="008B3D09">
              <w:rPr>
                <w:sz w:val="24"/>
                <w:szCs w:val="24"/>
              </w:rPr>
              <w:t>10</w:t>
            </w:r>
          </w:p>
        </w:tc>
      </w:tr>
      <w:tr w:rsidR="00E43A56" w:rsidRPr="008B3D09" w14:paraId="0A773EAD" w14:textId="77777777" w:rsidTr="00AE4332">
        <w:trPr>
          <w:trHeight w:val="687"/>
        </w:trPr>
        <w:tc>
          <w:tcPr>
            <w:tcW w:w="3000" w:type="dxa"/>
            <w:tcBorders>
              <w:top w:val="nil"/>
              <w:bottom w:val="nil"/>
              <w:right w:val="nil"/>
            </w:tcBorders>
          </w:tcPr>
          <w:p w14:paraId="2001E920" w14:textId="77777777" w:rsidR="00E43A56" w:rsidRPr="008B3D09" w:rsidRDefault="00E43A56" w:rsidP="00AE4332">
            <w:pPr>
              <w:spacing w:line="360" w:lineRule="auto"/>
              <w:jc w:val="both"/>
              <w:rPr>
                <w:sz w:val="24"/>
                <w:szCs w:val="24"/>
              </w:rPr>
            </w:pPr>
          </w:p>
        </w:tc>
        <w:tc>
          <w:tcPr>
            <w:tcW w:w="2420" w:type="dxa"/>
            <w:tcBorders>
              <w:top w:val="nil"/>
              <w:left w:val="nil"/>
              <w:bottom w:val="nil"/>
            </w:tcBorders>
          </w:tcPr>
          <w:p w14:paraId="04594705" w14:textId="77777777" w:rsidR="00E43A56" w:rsidRPr="008B3D09" w:rsidRDefault="00E43A56" w:rsidP="00AE4332">
            <w:pPr>
              <w:spacing w:line="360" w:lineRule="auto"/>
              <w:jc w:val="both"/>
              <w:rPr>
                <w:sz w:val="24"/>
                <w:szCs w:val="24"/>
              </w:rPr>
            </w:pPr>
            <w:r w:rsidRPr="008B3D09">
              <w:rPr>
                <w:sz w:val="24"/>
                <w:szCs w:val="24"/>
              </w:rPr>
              <w:t>Pearson Correlation</w:t>
            </w:r>
          </w:p>
        </w:tc>
        <w:tc>
          <w:tcPr>
            <w:tcW w:w="1800" w:type="dxa"/>
            <w:tcBorders>
              <w:top w:val="nil"/>
              <w:bottom w:val="nil"/>
              <w:right w:val="single" w:sz="8" w:space="0" w:color="000000"/>
            </w:tcBorders>
          </w:tcPr>
          <w:p w14:paraId="70064ED9" w14:textId="77777777" w:rsidR="00E43A56" w:rsidRPr="008B3D09" w:rsidRDefault="00E43A56" w:rsidP="00AE4332">
            <w:pPr>
              <w:spacing w:line="360" w:lineRule="auto"/>
              <w:jc w:val="both"/>
              <w:rPr>
                <w:sz w:val="24"/>
                <w:szCs w:val="24"/>
              </w:rPr>
            </w:pPr>
            <w:r w:rsidRPr="008B3D09">
              <w:rPr>
                <w:sz w:val="24"/>
                <w:szCs w:val="24"/>
              </w:rPr>
              <w:t>.898**</w:t>
            </w:r>
          </w:p>
        </w:tc>
        <w:tc>
          <w:tcPr>
            <w:tcW w:w="1685" w:type="dxa"/>
            <w:tcBorders>
              <w:top w:val="nil"/>
              <w:left w:val="single" w:sz="8" w:space="0" w:color="000000"/>
              <w:bottom w:val="nil"/>
            </w:tcBorders>
          </w:tcPr>
          <w:p w14:paraId="3D0BD856" w14:textId="77777777" w:rsidR="00E43A56" w:rsidRPr="008B3D09" w:rsidRDefault="00E43A56" w:rsidP="00AE4332">
            <w:pPr>
              <w:spacing w:line="360" w:lineRule="auto"/>
              <w:jc w:val="both"/>
              <w:rPr>
                <w:sz w:val="24"/>
                <w:szCs w:val="24"/>
              </w:rPr>
            </w:pPr>
            <w:r w:rsidRPr="008B3D09">
              <w:rPr>
                <w:sz w:val="24"/>
                <w:szCs w:val="24"/>
              </w:rPr>
              <w:t>1</w:t>
            </w:r>
          </w:p>
        </w:tc>
      </w:tr>
      <w:tr w:rsidR="00E43A56" w:rsidRPr="008B3D09" w14:paraId="351AF979" w14:textId="77777777" w:rsidTr="00AE4332">
        <w:trPr>
          <w:trHeight w:val="638"/>
        </w:trPr>
        <w:tc>
          <w:tcPr>
            <w:tcW w:w="3000" w:type="dxa"/>
            <w:tcBorders>
              <w:top w:val="nil"/>
              <w:bottom w:val="nil"/>
              <w:right w:val="nil"/>
            </w:tcBorders>
          </w:tcPr>
          <w:p w14:paraId="1BAC27C0" w14:textId="77777777" w:rsidR="00E43A56" w:rsidRPr="008B3D09" w:rsidRDefault="00E43A56" w:rsidP="00AE4332">
            <w:pPr>
              <w:spacing w:line="360" w:lineRule="auto"/>
              <w:jc w:val="both"/>
              <w:rPr>
                <w:sz w:val="24"/>
                <w:szCs w:val="24"/>
              </w:rPr>
            </w:pPr>
            <w:r w:rsidRPr="008B3D09">
              <w:rPr>
                <w:sz w:val="24"/>
                <w:szCs w:val="24"/>
              </w:rPr>
              <w:t>Gross NPA%</w:t>
            </w:r>
          </w:p>
        </w:tc>
        <w:tc>
          <w:tcPr>
            <w:tcW w:w="2420" w:type="dxa"/>
            <w:tcBorders>
              <w:top w:val="nil"/>
              <w:left w:val="nil"/>
              <w:bottom w:val="nil"/>
            </w:tcBorders>
          </w:tcPr>
          <w:p w14:paraId="367DAD5E" w14:textId="77777777" w:rsidR="00E43A56" w:rsidRPr="008B3D09" w:rsidRDefault="00E43A56" w:rsidP="00AE4332">
            <w:pPr>
              <w:spacing w:line="360" w:lineRule="auto"/>
              <w:jc w:val="both"/>
              <w:rPr>
                <w:sz w:val="24"/>
                <w:szCs w:val="24"/>
              </w:rPr>
            </w:pPr>
            <w:r w:rsidRPr="008B3D09">
              <w:rPr>
                <w:sz w:val="24"/>
                <w:szCs w:val="24"/>
              </w:rPr>
              <w:t>Sig. (2-tailed)</w:t>
            </w:r>
          </w:p>
        </w:tc>
        <w:tc>
          <w:tcPr>
            <w:tcW w:w="1800" w:type="dxa"/>
            <w:tcBorders>
              <w:top w:val="nil"/>
              <w:bottom w:val="nil"/>
              <w:right w:val="single" w:sz="8" w:space="0" w:color="000000"/>
            </w:tcBorders>
          </w:tcPr>
          <w:p w14:paraId="0E70C6F8" w14:textId="77777777" w:rsidR="00E43A56" w:rsidRPr="008B3D09" w:rsidRDefault="00E43A56" w:rsidP="00AE4332">
            <w:pPr>
              <w:spacing w:line="360" w:lineRule="auto"/>
              <w:jc w:val="both"/>
              <w:rPr>
                <w:sz w:val="24"/>
                <w:szCs w:val="24"/>
              </w:rPr>
            </w:pPr>
            <w:r w:rsidRPr="008B3D09">
              <w:rPr>
                <w:sz w:val="24"/>
                <w:szCs w:val="24"/>
              </w:rPr>
              <w:t>.000</w:t>
            </w:r>
          </w:p>
        </w:tc>
        <w:tc>
          <w:tcPr>
            <w:tcW w:w="1685" w:type="dxa"/>
            <w:tcBorders>
              <w:top w:val="nil"/>
              <w:left w:val="single" w:sz="8" w:space="0" w:color="000000"/>
              <w:bottom w:val="nil"/>
            </w:tcBorders>
          </w:tcPr>
          <w:p w14:paraId="178DC714" w14:textId="77777777" w:rsidR="00E43A56" w:rsidRPr="008B3D09" w:rsidRDefault="00E43A56" w:rsidP="00AE4332">
            <w:pPr>
              <w:spacing w:line="360" w:lineRule="auto"/>
              <w:jc w:val="both"/>
              <w:rPr>
                <w:sz w:val="24"/>
                <w:szCs w:val="24"/>
              </w:rPr>
            </w:pPr>
          </w:p>
        </w:tc>
      </w:tr>
      <w:tr w:rsidR="00E43A56" w:rsidRPr="008B3D09" w14:paraId="7012601B" w14:textId="77777777" w:rsidTr="00AE4332">
        <w:trPr>
          <w:trHeight w:val="581"/>
        </w:trPr>
        <w:tc>
          <w:tcPr>
            <w:tcW w:w="3000" w:type="dxa"/>
            <w:tcBorders>
              <w:top w:val="nil"/>
              <w:right w:val="nil"/>
            </w:tcBorders>
          </w:tcPr>
          <w:p w14:paraId="66E15B11" w14:textId="77777777" w:rsidR="00E43A56" w:rsidRPr="008B3D09" w:rsidRDefault="00E43A56" w:rsidP="00AE4332">
            <w:pPr>
              <w:spacing w:line="360" w:lineRule="auto"/>
              <w:jc w:val="both"/>
              <w:rPr>
                <w:sz w:val="24"/>
                <w:szCs w:val="24"/>
              </w:rPr>
            </w:pPr>
          </w:p>
        </w:tc>
        <w:tc>
          <w:tcPr>
            <w:tcW w:w="2420" w:type="dxa"/>
            <w:tcBorders>
              <w:top w:val="nil"/>
              <w:left w:val="nil"/>
            </w:tcBorders>
          </w:tcPr>
          <w:p w14:paraId="6E6F7949" w14:textId="77777777" w:rsidR="00E43A56" w:rsidRPr="008B3D09" w:rsidRDefault="00E43A56" w:rsidP="00AE4332">
            <w:pPr>
              <w:spacing w:line="360" w:lineRule="auto"/>
              <w:jc w:val="both"/>
              <w:rPr>
                <w:sz w:val="24"/>
                <w:szCs w:val="24"/>
              </w:rPr>
            </w:pPr>
            <w:r w:rsidRPr="008B3D09">
              <w:rPr>
                <w:sz w:val="24"/>
                <w:szCs w:val="24"/>
              </w:rPr>
              <w:t>N</w:t>
            </w:r>
          </w:p>
        </w:tc>
        <w:tc>
          <w:tcPr>
            <w:tcW w:w="1800" w:type="dxa"/>
            <w:tcBorders>
              <w:top w:val="nil"/>
              <w:right w:val="single" w:sz="8" w:space="0" w:color="000000"/>
            </w:tcBorders>
          </w:tcPr>
          <w:p w14:paraId="458CC4C1" w14:textId="77777777" w:rsidR="00E43A56" w:rsidRPr="008B3D09" w:rsidRDefault="00E43A56" w:rsidP="00AE4332">
            <w:pPr>
              <w:spacing w:line="360" w:lineRule="auto"/>
              <w:jc w:val="both"/>
              <w:rPr>
                <w:sz w:val="24"/>
                <w:szCs w:val="24"/>
              </w:rPr>
            </w:pPr>
            <w:r w:rsidRPr="008B3D09">
              <w:rPr>
                <w:sz w:val="24"/>
                <w:szCs w:val="24"/>
              </w:rPr>
              <w:t>10</w:t>
            </w:r>
          </w:p>
        </w:tc>
        <w:tc>
          <w:tcPr>
            <w:tcW w:w="1685" w:type="dxa"/>
            <w:tcBorders>
              <w:top w:val="nil"/>
              <w:left w:val="single" w:sz="8" w:space="0" w:color="000000"/>
            </w:tcBorders>
          </w:tcPr>
          <w:p w14:paraId="4464F4DB" w14:textId="77777777" w:rsidR="00E43A56" w:rsidRPr="008B3D09" w:rsidRDefault="00E43A56" w:rsidP="00AE4332">
            <w:pPr>
              <w:spacing w:line="360" w:lineRule="auto"/>
              <w:jc w:val="both"/>
              <w:rPr>
                <w:sz w:val="24"/>
                <w:szCs w:val="24"/>
              </w:rPr>
            </w:pPr>
            <w:r w:rsidRPr="008B3D09">
              <w:rPr>
                <w:sz w:val="24"/>
                <w:szCs w:val="24"/>
              </w:rPr>
              <w:t>10</w:t>
            </w:r>
          </w:p>
        </w:tc>
      </w:tr>
    </w:tbl>
    <w:p w14:paraId="0BFDD0E4" w14:textId="77777777" w:rsidR="00E43A56" w:rsidRPr="008B3D09" w:rsidRDefault="00E43A56" w:rsidP="00E43A56">
      <w:pPr>
        <w:spacing w:line="360" w:lineRule="auto"/>
        <w:jc w:val="both"/>
        <w:rPr>
          <w:sz w:val="24"/>
          <w:szCs w:val="24"/>
        </w:rPr>
      </w:pPr>
      <w:r w:rsidRPr="008B3D09">
        <w:rPr>
          <w:sz w:val="24"/>
          <w:szCs w:val="24"/>
        </w:rPr>
        <w:t>**. Correlation is significant at the 0.01 level (2-tailed).</w:t>
      </w:r>
    </w:p>
    <w:p w14:paraId="23436FA8" w14:textId="77777777" w:rsidR="00E43A56" w:rsidRPr="008B3D09" w:rsidRDefault="00E43A56" w:rsidP="00E43A56">
      <w:pPr>
        <w:spacing w:line="360" w:lineRule="auto"/>
        <w:jc w:val="both"/>
        <w:rPr>
          <w:sz w:val="24"/>
          <w:szCs w:val="24"/>
        </w:rPr>
      </w:pPr>
      <w:r w:rsidRPr="008B3D09">
        <w:rPr>
          <w:sz w:val="24"/>
          <w:szCs w:val="24"/>
        </w:rPr>
        <w:t xml:space="preserve">The </w:t>
      </w:r>
      <w:r w:rsidRPr="008B3D09">
        <w:rPr>
          <w:b/>
          <w:bCs/>
          <w:sz w:val="24"/>
          <w:szCs w:val="24"/>
        </w:rPr>
        <w:t>correlation table no-2</w:t>
      </w:r>
      <w:r w:rsidRPr="008B3D09">
        <w:rPr>
          <w:sz w:val="24"/>
          <w:szCs w:val="24"/>
        </w:rPr>
        <w:t xml:space="preserve"> shows that the rate of gross NPA and Loans and advances are having the significant relation i.e. 0.898. The P-value in the above table, has been found, less than 5%, therefore the 2nd null hypothesis found disprove and it can be concluded that there is the significant relationship between advances and Gross NPA in PNB Bank.</w:t>
      </w:r>
    </w:p>
    <w:p w14:paraId="6D1F35AD" w14:textId="77777777" w:rsidR="00E43A56" w:rsidRPr="008B3D09" w:rsidRDefault="00E43A56" w:rsidP="00E43A56">
      <w:pPr>
        <w:spacing w:line="360" w:lineRule="auto"/>
        <w:jc w:val="both"/>
        <w:rPr>
          <w:sz w:val="24"/>
          <w:szCs w:val="24"/>
        </w:rPr>
      </w:pPr>
      <w:r w:rsidRPr="008B3D09">
        <w:rPr>
          <w:b/>
          <w:bCs/>
          <w:sz w:val="24"/>
          <w:szCs w:val="24"/>
        </w:rPr>
        <w:t>Correlation table no-3</w:t>
      </w:r>
    </w:p>
    <w:p w14:paraId="615B3025" w14:textId="77777777" w:rsidR="00E43A56" w:rsidRPr="008B3D09" w:rsidRDefault="00E43A56" w:rsidP="00E43A56">
      <w:pPr>
        <w:pStyle w:val="Caption"/>
        <w:keepNext/>
        <w:spacing w:line="360" w:lineRule="auto"/>
        <w:jc w:val="both"/>
        <w:rPr>
          <w:color w:val="auto"/>
          <w:sz w:val="24"/>
          <w:szCs w:val="24"/>
        </w:rPr>
      </w:pPr>
      <w:r w:rsidRPr="008B3D09">
        <w:rPr>
          <w:color w:val="auto"/>
          <w:sz w:val="24"/>
          <w:szCs w:val="24"/>
        </w:rPr>
        <w:lastRenderedPageBreak/>
        <w:t xml:space="preserve">Table </w:t>
      </w:r>
      <w:r w:rsidRPr="008B3D09">
        <w:rPr>
          <w:color w:val="auto"/>
          <w:sz w:val="24"/>
          <w:szCs w:val="24"/>
        </w:rPr>
        <w:fldChar w:fldCharType="begin"/>
      </w:r>
      <w:r w:rsidRPr="008B3D09">
        <w:rPr>
          <w:color w:val="auto"/>
          <w:sz w:val="24"/>
          <w:szCs w:val="24"/>
        </w:rPr>
        <w:instrText xml:space="preserve"> SEQ Table \* ARABIC </w:instrText>
      </w:r>
      <w:r w:rsidRPr="008B3D09">
        <w:rPr>
          <w:color w:val="auto"/>
          <w:sz w:val="24"/>
          <w:szCs w:val="24"/>
        </w:rPr>
        <w:fldChar w:fldCharType="separate"/>
      </w:r>
      <w:r w:rsidRPr="008B3D09">
        <w:rPr>
          <w:noProof/>
          <w:color w:val="auto"/>
          <w:sz w:val="24"/>
          <w:szCs w:val="24"/>
        </w:rPr>
        <w:t>6</w:t>
      </w:r>
      <w:r w:rsidRPr="008B3D09">
        <w:rPr>
          <w:color w:val="auto"/>
          <w:sz w:val="24"/>
          <w:szCs w:val="24"/>
        </w:rPr>
        <w:fldChar w:fldCharType="end"/>
      </w:r>
      <w:r w:rsidRPr="008B3D09">
        <w:rPr>
          <w:color w:val="auto"/>
          <w:sz w:val="24"/>
          <w:szCs w:val="24"/>
        </w:rPr>
        <w:t>: Correlation</w:t>
      </w:r>
    </w:p>
    <w:tbl>
      <w:tblPr>
        <w:tblW w:w="0" w:type="auto"/>
        <w:tblInd w:w="49" w:type="dxa"/>
        <w:tblLayout w:type="fixed"/>
        <w:tblCellMar>
          <w:left w:w="0" w:type="dxa"/>
          <w:right w:w="0" w:type="dxa"/>
        </w:tblCellMar>
        <w:tblLook w:val="01E0" w:firstRow="1" w:lastRow="1" w:firstColumn="1" w:lastColumn="1" w:noHBand="0" w:noVBand="0"/>
      </w:tblPr>
      <w:tblGrid>
        <w:gridCol w:w="1457"/>
        <w:gridCol w:w="1359"/>
        <w:gridCol w:w="518"/>
        <w:gridCol w:w="2691"/>
        <w:gridCol w:w="2001"/>
        <w:gridCol w:w="1564"/>
      </w:tblGrid>
      <w:tr w:rsidR="00E43A56" w:rsidRPr="008B3D09" w14:paraId="03AFC417" w14:textId="77777777" w:rsidTr="00AE4332">
        <w:trPr>
          <w:trHeight w:hRule="exact" w:val="1488"/>
        </w:trPr>
        <w:tc>
          <w:tcPr>
            <w:tcW w:w="6025" w:type="dxa"/>
            <w:gridSpan w:val="4"/>
            <w:tcBorders>
              <w:top w:val="single" w:sz="18" w:space="0" w:color="000000"/>
              <w:left w:val="single" w:sz="18" w:space="0" w:color="000000"/>
              <w:bottom w:val="single" w:sz="18" w:space="0" w:color="000000"/>
              <w:right w:val="single" w:sz="18" w:space="0" w:color="000000"/>
            </w:tcBorders>
          </w:tcPr>
          <w:p w14:paraId="0252F6DA" w14:textId="77777777" w:rsidR="00E43A56" w:rsidRPr="008B3D09" w:rsidRDefault="00E43A56" w:rsidP="00AE4332">
            <w:pPr>
              <w:spacing w:line="360" w:lineRule="auto"/>
              <w:jc w:val="both"/>
              <w:rPr>
                <w:sz w:val="24"/>
                <w:szCs w:val="24"/>
              </w:rPr>
            </w:pPr>
          </w:p>
        </w:tc>
        <w:tc>
          <w:tcPr>
            <w:tcW w:w="2001" w:type="dxa"/>
            <w:tcBorders>
              <w:top w:val="single" w:sz="18" w:space="0" w:color="000000"/>
              <w:left w:val="single" w:sz="18" w:space="0" w:color="000000"/>
              <w:bottom w:val="single" w:sz="18" w:space="0" w:color="000000"/>
              <w:right w:val="single" w:sz="8" w:space="0" w:color="000000"/>
            </w:tcBorders>
          </w:tcPr>
          <w:p w14:paraId="43D4C2E4" w14:textId="77777777" w:rsidR="00E43A56" w:rsidRPr="008B3D09" w:rsidRDefault="00E43A56" w:rsidP="00AE4332">
            <w:pPr>
              <w:spacing w:line="360" w:lineRule="auto"/>
              <w:jc w:val="both"/>
              <w:rPr>
                <w:sz w:val="24"/>
                <w:szCs w:val="24"/>
              </w:rPr>
            </w:pPr>
            <w:r w:rsidRPr="008B3D09">
              <w:rPr>
                <w:sz w:val="24"/>
                <w:szCs w:val="24"/>
              </w:rPr>
              <w:t>Loans</w:t>
            </w:r>
            <w:r w:rsidRPr="008B3D09">
              <w:rPr>
                <w:sz w:val="24"/>
                <w:szCs w:val="24"/>
              </w:rPr>
              <w:tab/>
              <w:t>&amp;</w:t>
            </w:r>
          </w:p>
          <w:p w14:paraId="5445796C" w14:textId="77777777" w:rsidR="00E43A56" w:rsidRPr="008B3D09" w:rsidRDefault="00E43A56" w:rsidP="00AE4332">
            <w:pPr>
              <w:spacing w:line="360" w:lineRule="auto"/>
              <w:jc w:val="both"/>
              <w:rPr>
                <w:sz w:val="24"/>
                <w:szCs w:val="24"/>
              </w:rPr>
            </w:pPr>
            <w:r w:rsidRPr="008B3D09">
              <w:rPr>
                <w:sz w:val="24"/>
                <w:szCs w:val="24"/>
              </w:rPr>
              <w:t>Advances</w:t>
            </w:r>
            <w:r w:rsidRPr="008B3D09">
              <w:rPr>
                <w:sz w:val="24"/>
                <w:szCs w:val="24"/>
              </w:rPr>
              <w:tab/>
              <w:t>(in crore)</w:t>
            </w:r>
          </w:p>
        </w:tc>
        <w:tc>
          <w:tcPr>
            <w:tcW w:w="1564" w:type="dxa"/>
            <w:tcBorders>
              <w:top w:val="single" w:sz="18" w:space="0" w:color="000000"/>
              <w:left w:val="single" w:sz="8" w:space="0" w:color="000000"/>
              <w:bottom w:val="single" w:sz="18" w:space="0" w:color="000000"/>
              <w:right w:val="single" w:sz="18" w:space="0" w:color="000000"/>
            </w:tcBorders>
          </w:tcPr>
          <w:p w14:paraId="085017DA" w14:textId="77777777" w:rsidR="00E43A56" w:rsidRPr="008B3D09" w:rsidRDefault="00E43A56" w:rsidP="00AE4332">
            <w:pPr>
              <w:spacing w:line="360" w:lineRule="auto"/>
              <w:jc w:val="both"/>
              <w:rPr>
                <w:sz w:val="24"/>
                <w:szCs w:val="24"/>
              </w:rPr>
            </w:pPr>
            <w:r w:rsidRPr="008B3D09">
              <w:rPr>
                <w:sz w:val="24"/>
                <w:szCs w:val="24"/>
              </w:rPr>
              <w:t>Net NPA%</w:t>
            </w:r>
          </w:p>
        </w:tc>
      </w:tr>
      <w:tr w:rsidR="00E43A56" w:rsidRPr="008B3D09" w14:paraId="052960D5" w14:textId="77777777" w:rsidTr="00AE4332">
        <w:trPr>
          <w:trHeight w:hRule="exact" w:val="408"/>
        </w:trPr>
        <w:tc>
          <w:tcPr>
            <w:tcW w:w="1457" w:type="dxa"/>
            <w:tcBorders>
              <w:top w:val="single" w:sz="18" w:space="0" w:color="000000"/>
              <w:left w:val="single" w:sz="18" w:space="0" w:color="000000"/>
            </w:tcBorders>
          </w:tcPr>
          <w:p w14:paraId="09025B2F" w14:textId="77777777" w:rsidR="00E43A56" w:rsidRPr="008B3D09" w:rsidRDefault="00E43A56" w:rsidP="00AE4332">
            <w:pPr>
              <w:spacing w:line="360" w:lineRule="auto"/>
              <w:jc w:val="both"/>
              <w:rPr>
                <w:sz w:val="24"/>
                <w:szCs w:val="24"/>
              </w:rPr>
            </w:pPr>
          </w:p>
        </w:tc>
        <w:tc>
          <w:tcPr>
            <w:tcW w:w="1359" w:type="dxa"/>
            <w:tcBorders>
              <w:top w:val="single" w:sz="18" w:space="0" w:color="000000"/>
            </w:tcBorders>
          </w:tcPr>
          <w:p w14:paraId="3A70CFB9" w14:textId="77777777" w:rsidR="00E43A56" w:rsidRPr="008B3D09" w:rsidRDefault="00E43A56" w:rsidP="00AE4332">
            <w:pPr>
              <w:spacing w:line="360" w:lineRule="auto"/>
              <w:jc w:val="both"/>
              <w:rPr>
                <w:sz w:val="24"/>
                <w:szCs w:val="24"/>
              </w:rPr>
            </w:pPr>
          </w:p>
        </w:tc>
        <w:tc>
          <w:tcPr>
            <w:tcW w:w="518" w:type="dxa"/>
            <w:tcBorders>
              <w:top w:val="single" w:sz="18" w:space="0" w:color="000000"/>
            </w:tcBorders>
          </w:tcPr>
          <w:p w14:paraId="14DDC826" w14:textId="77777777" w:rsidR="00E43A56" w:rsidRPr="008B3D09" w:rsidRDefault="00E43A56" w:rsidP="00AE4332">
            <w:pPr>
              <w:spacing w:line="360" w:lineRule="auto"/>
              <w:jc w:val="both"/>
              <w:rPr>
                <w:sz w:val="24"/>
                <w:szCs w:val="24"/>
              </w:rPr>
            </w:pPr>
          </w:p>
        </w:tc>
        <w:tc>
          <w:tcPr>
            <w:tcW w:w="2691" w:type="dxa"/>
            <w:tcBorders>
              <w:top w:val="single" w:sz="18" w:space="0" w:color="000000"/>
              <w:right w:val="single" w:sz="18" w:space="0" w:color="000000"/>
            </w:tcBorders>
          </w:tcPr>
          <w:p w14:paraId="1B54086A" w14:textId="77777777" w:rsidR="00E43A56" w:rsidRPr="008B3D09" w:rsidRDefault="00E43A56" w:rsidP="00AE4332">
            <w:pPr>
              <w:spacing w:line="360" w:lineRule="auto"/>
              <w:jc w:val="both"/>
              <w:rPr>
                <w:sz w:val="24"/>
                <w:szCs w:val="24"/>
              </w:rPr>
            </w:pPr>
            <w:r w:rsidRPr="008B3D09">
              <w:rPr>
                <w:sz w:val="24"/>
                <w:szCs w:val="24"/>
              </w:rPr>
              <w:t>Pearson Correlation</w:t>
            </w:r>
          </w:p>
        </w:tc>
        <w:tc>
          <w:tcPr>
            <w:tcW w:w="2001" w:type="dxa"/>
            <w:tcBorders>
              <w:top w:val="single" w:sz="18" w:space="0" w:color="000000"/>
              <w:left w:val="single" w:sz="18" w:space="0" w:color="000000"/>
              <w:right w:val="single" w:sz="8" w:space="0" w:color="000000"/>
            </w:tcBorders>
          </w:tcPr>
          <w:p w14:paraId="01D37D3D" w14:textId="77777777" w:rsidR="00E43A56" w:rsidRPr="008B3D09" w:rsidRDefault="00E43A56" w:rsidP="00AE4332">
            <w:pPr>
              <w:spacing w:line="360" w:lineRule="auto"/>
              <w:jc w:val="both"/>
              <w:rPr>
                <w:sz w:val="24"/>
                <w:szCs w:val="24"/>
              </w:rPr>
            </w:pPr>
            <w:r w:rsidRPr="008B3D09">
              <w:rPr>
                <w:sz w:val="24"/>
                <w:szCs w:val="24"/>
              </w:rPr>
              <w:t>1</w:t>
            </w:r>
          </w:p>
        </w:tc>
        <w:tc>
          <w:tcPr>
            <w:tcW w:w="1564" w:type="dxa"/>
            <w:vMerge w:val="restart"/>
            <w:tcBorders>
              <w:top w:val="single" w:sz="18" w:space="0" w:color="000000"/>
              <w:left w:val="single" w:sz="8" w:space="0" w:color="000000"/>
              <w:right w:val="single" w:sz="18" w:space="0" w:color="000000"/>
            </w:tcBorders>
          </w:tcPr>
          <w:p w14:paraId="29783F84" w14:textId="77777777" w:rsidR="00E43A56" w:rsidRPr="008B3D09" w:rsidRDefault="00E43A56" w:rsidP="00AE4332">
            <w:pPr>
              <w:spacing w:line="360" w:lineRule="auto"/>
              <w:jc w:val="both"/>
              <w:rPr>
                <w:sz w:val="24"/>
                <w:szCs w:val="24"/>
              </w:rPr>
            </w:pPr>
            <w:r w:rsidRPr="008B3D09">
              <w:rPr>
                <w:sz w:val="24"/>
                <w:szCs w:val="24"/>
              </w:rPr>
              <w:t>.864**</w:t>
            </w:r>
          </w:p>
        </w:tc>
      </w:tr>
      <w:tr w:rsidR="00E43A56" w:rsidRPr="008B3D09" w14:paraId="5B50EB63" w14:textId="77777777" w:rsidTr="00AE4332">
        <w:trPr>
          <w:trHeight w:hRule="exact" w:val="5"/>
        </w:trPr>
        <w:tc>
          <w:tcPr>
            <w:tcW w:w="1457" w:type="dxa"/>
            <w:vMerge w:val="restart"/>
            <w:tcBorders>
              <w:left w:val="single" w:sz="18" w:space="0" w:color="000000"/>
            </w:tcBorders>
          </w:tcPr>
          <w:p w14:paraId="1F748680" w14:textId="77777777" w:rsidR="00E43A56" w:rsidRPr="008B3D09" w:rsidRDefault="00E43A56" w:rsidP="00AE4332">
            <w:pPr>
              <w:spacing w:line="360" w:lineRule="auto"/>
              <w:jc w:val="both"/>
              <w:rPr>
                <w:sz w:val="24"/>
                <w:szCs w:val="24"/>
              </w:rPr>
            </w:pPr>
            <w:r w:rsidRPr="008B3D09">
              <w:rPr>
                <w:sz w:val="24"/>
                <w:szCs w:val="24"/>
              </w:rPr>
              <w:t>Loans</w:t>
            </w:r>
            <w:r w:rsidRPr="008B3D09">
              <w:rPr>
                <w:sz w:val="24"/>
                <w:szCs w:val="24"/>
              </w:rPr>
              <w:tab/>
              <w:t>&amp;</w:t>
            </w:r>
          </w:p>
        </w:tc>
        <w:tc>
          <w:tcPr>
            <w:tcW w:w="1359" w:type="dxa"/>
            <w:vMerge w:val="restart"/>
          </w:tcPr>
          <w:p w14:paraId="54589C0A" w14:textId="77777777" w:rsidR="00E43A56" w:rsidRPr="008B3D09" w:rsidRDefault="00E43A56" w:rsidP="00AE4332">
            <w:pPr>
              <w:spacing w:line="360" w:lineRule="auto"/>
              <w:jc w:val="both"/>
              <w:rPr>
                <w:sz w:val="24"/>
                <w:szCs w:val="24"/>
              </w:rPr>
            </w:pPr>
            <w:r w:rsidRPr="008B3D09">
              <w:rPr>
                <w:sz w:val="24"/>
                <w:szCs w:val="24"/>
              </w:rPr>
              <w:t>Advances</w:t>
            </w:r>
          </w:p>
        </w:tc>
        <w:tc>
          <w:tcPr>
            <w:tcW w:w="518" w:type="dxa"/>
            <w:vMerge w:val="restart"/>
          </w:tcPr>
          <w:p w14:paraId="666706AB" w14:textId="77777777" w:rsidR="00E43A56" w:rsidRPr="008B3D09" w:rsidRDefault="00E43A56" w:rsidP="00AE4332">
            <w:pPr>
              <w:spacing w:line="360" w:lineRule="auto"/>
              <w:jc w:val="both"/>
              <w:rPr>
                <w:sz w:val="24"/>
                <w:szCs w:val="24"/>
              </w:rPr>
            </w:pPr>
            <w:r w:rsidRPr="008B3D09">
              <w:rPr>
                <w:sz w:val="24"/>
                <w:szCs w:val="24"/>
              </w:rPr>
              <w:t>(in</w:t>
            </w:r>
          </w:p>
        </w:tc>
        <w:tc>
          <w:tcPr>
            <w:tcW w:w="2691" w:type="dxa"/>
            <w:vMerge w:val="restart"/>
            <w:tcBorders>
              <w:right w:val="single" w:sz="18" w:space="0" w:color="000000"/>
            </w:tcBorders>
          </w:tcPr>
          <w:p w14:paraId="1977C290" w14:textId="77777777" w:rsidR="00E43A56" w:rsidRPr="008B3D09" w:rsidRDefault="00E43A56" w:rsidP="00AE4332">
            <w:pPr>
              <w:spacing w:line="360" w:lineRule="auto"/>
              <w:jc w:val="both"/>
              <w:rPr>
                <w:sz w:val="24"/>
                <w:szCs w:val="24"/>
              </w:rPr>
            </w:pPr>
          </w:p>
        </w:tc>
        <w:tc>
          <w:tcPr>
            <w:tcW w:w="2001" w:type="dxa"/>
            <w:vMerge w:val="restart"/>
            <w:tcBorders>
              <w:left w:val="single" w:sz="18" w:space="0" w:color="000000"/>
              <w:right w:val="single" w:sz="8" w:space="0" w:color="000000"/>
            </w:tcBorders>
          </w:tcPr>
          <w:p w14:paraId="226FCC21" w14:textId="77777777" w:rsidR="00E43A56" w:rsidRPr="008B3D09" w:rsidRDefault="00E43A56" w:rsidP="00AE4332">
            <w:pPr>
              <w:spacing w:line="360" w:lineRule="auto"/>
              <w:jc w:val="both"/>
              <w:rPr>
                <w:sz w:val="24"/>
                <w:szCs w:val="24"/>
              </w:rPr>
            </w:pPr>
          </w:p>
        </w:tc>
        <w:tc>
          <w:tcPr>
            <w:tcW w:w="1564" w:type="dxa"/>
            <w:vMerge/>
            <w:tcBorders>
              <w:top w:val="nil"/>
              <w:left w:val="single" w:sz="8" w:space="0" w:color="000000"/>
              <w:right w:val="single" w:sz="18" w:space="0" w:color="000000"/>
            </w:tcBorders>
          </w:tcPr>
          <w:p w14:paraId="35F6E235" w14:textId="77777777" w:rsidR="00E43A56" w:rsidRPr="008B3D09" w:rsidRDefault="00E43A56" w:rsidP="00AE4332">
            <w:pPr>
              <w:spacing w:line="360" w:lineRule="auto"/>
              <w:jc w:val="both"/>
              <w:rPr>
                <w:sz w:val="24"/>
                <w:szCs w:val="24"/>
              </w:rPr>
            </w:pPr>
          </w:p>
        </w:tc>
      </w:tr>
      <w:tr w:rsidR="00E43A56" w:rsidRPr="008B3D09" w14:paraId="536A1DEA" w14:textId="77777777" w:rsidTr="00AE4332">
        <w:trPr>
          <w:trHeight w:hRule="exact" w:val="274"/>
        </w:trPr>
        <w:tc>
          <w:tcPr>
            <w:tcW w:w="1457" w:type="dxa"/>
            <w:vMerge/>
            <w:tcBorders>
              <w:top w:val="nil"/>
              <w:left w:val="single" w:sz="18" w:space="0" w:color="000000"/>
            </w:tcBorders>
          </w:tcPr>
          <w:p w14:paraId="4A631087" w14:textId="77777777" w:rsidR="00E43A56" w:rsidRPr="008B3D09" w:rsidRDefault="00E43A56" w:rsidP="00AE4332">
            <w:pPr>
              <w:spacing w:line="360" w:lineRule="auto"/>
              <w:jc w:val="both"/>
              <w:rPr>
                <w:sz w:val="24"/>
                <w:szCs w:val="24"/>
              </w:rPr>
            </w:pPr>
          </w:p>
        </w:tc>
        <w:tc>
          <w:tcPr>
            <w:tcW w:w="1359" w:type="dxa"/>
            <w:vMerge/>
            <w:tcBorders>
              <w:top w:val="nil"/>
            </w:tcBorders>
          </w:tcPr>
          <w:p w14:paraId="557DE388" w14:textId="77777777" w:rsidR="00E43A56" w:rsidRPr="008B3D09" w:rsidRDefault="00E43A56" w:rsidP="00AE4332">
            <w:pPr>
              <w:spacing w:line="360" w:lineRule="auto"/>
              <w:jc w:val="both"/>
              <w:rPr>
                <w:sz w:val="24"/>
                <w:szCs w:val="24"/>
              </w:rPr>
            </w:pPr>
          </w:p>
        </w:tc>
        <w:tc>
          <w:tcPr>
            <w:tcW w:w="518" w:type="dxa"/>
            <w:vMerge/>
            <w:tcBorders>
              <w:top w:val="nil"/>
            </w:tcBorders>
          </w:tcPr>
          <w:p w14:paraId="598EC61A" w14:textId="77777777" w:rsidR="00E43A56" w:rsidRPr="008B3D09" w:rsidRDefault="00E43A56" w:rsidP="00AE4332">
            <w:pPr>
              <w:spacing w:line="360" w:lineRule="auto"/>
              <w:jc w:val="both"/>
              <w:rPr>
                <w:sz w:val="24"/>
                <w:szCs w:val="24"/>
              </w:rPr>
            </w:pPr>
          </w:p>
        </w:tc>
        <w:tc>
          <w:tcPr>
            <w:tcW w:w="2691" w:type="dxa"/>
            <w:vMerge/>
            <w:tcBorders>
              <w:top w:val="nil"/>
              <w:right w:val="single" w:sz="18" w:space="0" w:color="000000"/>
            </w:tcBorders>
          </w:tcPr>
          <w:p w14:paraId="5552AA49" w14:textId="77777777" w:rsidR="00E43A56" w:rsidRPr="008B3D09" w:rsidRDefault="00E43A56" w:rsidP="00AE4332">
            <w:pPr>
              <w:spacing w:line="360" w:lineRule="auto"/>
              <w:jc w:val="both"/>
              <w:rPr>
                <w:sz w:val="24"/>
                <w:szCs w:val="24"/>
              </w:rPr>
            </w:pPr>
          </w:p>
        </w:tc>
        <w:tc>
          <w:tcPr>
            <w:tcW w:w="2001" w:type="dxa"/>
            <w:vMerge/>
            <w:tcBorders>
              <w:top w:val="nil"/>
              <w:left w:val="single" w:sz="18" w:space="0" w:color="000000"/>
              <w:right w:val="single" w:sz="8" w:space="0" w:color="000000"/>
            </w:tcBorders>
          </w:tcPr>
          <w:p w14:paraId="5F5BA05D" w14:textId="77777777" w:rsidR="00E43A56" w:rsidRPr="008B3D09" w:rsidRDefault="00E43A56" w:rsidP="00AE4332">
            <w:pPr>
              <w:spacing w:line="360" w:lineRule="auto"/>
              <w:jc w:val="both"/>
              <w:rPr>
                <w:sz w:val="24"/>
                <w:szCs w:val="24"/>
              </w:rPr>
            </w:pPr>
          </w:p>
        </w:tc>
        <w:tc>
          <w:tcPr>
            <w:tcW w:w="1564" w:type="dxa"/>
            <w:tcBorders>
              <w:left w:val="single" w:sz="8" w:space="0" w:color="000000"/>
              <w:right w:val="single" w:sz="18" w:space="0" w:color="000000"/>
            </w:tcBorders>
          </w:tcPr>
          <w:p w14:paraId="5923F490" w14:textId="77777777" w:rsidR="00E43A56" w:rsidRPr="008B3D09" w:rsidRDefault="00E43A56" w:rsidP="00AE4332">
            <w:pPr>
              <w:spacing w:line="360" w:lineRule="auto"/>
              <w:jc w:val="both"/>
              <w:rPr>
                <w:sz w:val="24"/>
                <w:szCs w:val="24"/>
              </w:rPr>
            </w:pPr>
          </w:p>
        </w:tc>
      </w:tr>
      <w:tr w:rsidR="00E43A56" w:rsidRPr="008B3D09" w14:paraId="485DA067" w14:textId="77777777" w:rsidTr="00AE4332">
        <w:trPr>
          <w:trHeight w:hRule="exact" w:val="437"/>
        </w:trPr>
        <w:tc>
          <w:tcPr>
            <w:tcW w:w="1457" w:type="dxa"/>
            <w:tcBorders>
              <w:left w:val="single" w:sz="18" w:space="0" w:color="000000"/>
            </w:tcBorders>
          </w:tcPr>
          <w:p w14:paraId="290A7F8A" w14:textId="77777777" w:rsidR="00E43A56" w:rsidRPr="008B3D09" w:rsidRDefault="00E43A56" w:rsidP="00AE4332">
            <w:pPr>
              <w:spacing w:line="360" w:lineRule="auto"/>
              <w:jc w:val="both"/>
              <w:rPr>
                <w:sz w:val="24"/>
                <w:szCs w:val="24"/>
              </w:rPr>
            </w:pPr>
            <w:r w:rsidRPr="008B3D09">
              <w:rPr>
                <w:sz w:val="24"/>
                <w:szCs w:val="24"/>
              </w:rPr>
              <w:t>crore)</w:t>
            </w:r>
          </w:p>
        </w:tc>
        <w:tc>
          <w:tcPr>
            <w:tcW w:w="1359" w:type="dxa"/>
          </w:tcPr>
          <w:p w14:paraId="12CB8955" w14:textId="77777777" w:rsidR="00E43A56" w:rsidRPr="008B3D09" w:rsidRDefault="00E43A56" w:rsidP="00AE4332">
            <w:pPr>
              <w:spacing w:line="360" w:lineRule="auto"/>
              <w:jc w:val="both"/>
              <w:rPr>
                <w:sz w:val="24"/>
                <w:szCs w:val="24"/>
              </w:rPr>
            </w:pPr>
          </w:p>
        </w:tc>
        <w:tc>
          <w:tcPr>
            <w:tcW w:w="518" w:type="dxa"/>
          </w:tcPr>
          <w:p w14:paraId="25603E33" w14:textId="77777777" w:rsidR="00E43A56" w:rsidRPr="008B3D09" w:rsidRDefault="00E43A56" w:rsidP="00AE4332">
            <w:pPr>
              <w:spacing w:line="360" w:lineRule="auto"/>
              <w:jc w:val="both"/>
              <w:rPr>
                <w:sz w:val="24"/>
                <w:szCs w:val="24"/>
              </w:rPr>
            </w:pPr>
          </w:p>
        </w:tc>
        <w:tc>
          <w:tcPr>
            <w:tcW w:w="2691" w:type="dxa"/>
            <w:tcBorders>
              <w:right w:val="single" w:sz="18" w:space="0" w:color="000000"/>
            </w:tcBorders>
          </w:tcPr>
          <w:p w14:paraId="783EE678" w14:textId="77777777" w:rsidR="00E43A56" w:rsidRPr="008B3D09" w:rsidRDefault="00E43A56" w:rsidP="00AE4332">
            <w:pPr>
              <w:spacing w:line="360" w:lineRule="auto"/>
              <w:jc w:val="both"/>
              <w:rPr>
                <w:sz w:val="24"/>
                <w:szCs w:val="24"/>
              </w:rPr>
            </w:pPr>
            <w:r w:rsidRPr="008B3D09">
              <w:rPr>
                <w:sz w:val="24"/>
                <w:szCs w:val="24"/>
              </w:rPr>
              <w:t>Sig. (2-tailed)</w:t>
            </w:r>
          </w:p>
        </w:tc>
        <w:tc>
          <w:tcPr>
            <w:tcW w:w="2001" w:type="dxa"/>
            <w:tcBorders>
              <w:left w:val="single" w:sz="18" w:space="0" w:color="000000"/>
              <w:right w:val="single" w:sz="8" w:space="0" w:color="000000"/>
            </w:tcBorders>
          </w:tcPr>
          <w:p w14:paraId="201C6F6C" w14:textId="77777777" w:rsidR="00E43A56" w:rsidRPr="008B3D09" w:rsidRDefault="00E43A56" w:rsidP="00AE4332">
            <w:pPr>
              <w:spacing w:line="360" w:lineRule="auto"/>
              <w:jc w:val="both"/>
              <w:rPr>
                <w:sz w:val="24"/>
                <w:szCs w:val="24"/>
              </w:rPr>
            </w:pPr>
          </w:p>
        </w:tc>
        <w:tc>
          <w:tcPr>
            <w:tcW w:w="1564" w:type="dxa"/>
            <w:tcBorders>
              <w:left w:val="single" w:sz="8" w:space="0" w:color="000000"/>
              <w:right w:val="single" w:sz="18" w:space="0" w:color="000000"/>
            </w:tcBorders>
          </w:tcPr>
          <w:p w14:paraId="7DEB5660" w14:textId="77777777" w:rsidR="00E43A56" w:rsidRPr="008B3D09" w:rsidRDefault="00E43A56" w:rsidP="00AE4332">
            <w:pPr>
              <w:spacing w:line="360" w:lineRule="auto"/>
              <w:jc w:val="both"/>
              <w:rPr>
                <w:sz w:val="24"/>
                <w:szCs w:val="24"/>
              </w:rPr>
            </w:pPr>
            <w:r w:rsidRPr="008B3D09">
              <w:rPr>
                <w:sz w:val="24"/>
                <w:szCs w:val="24"/>
              </w:rPr>
              <w:t>.001</w:t>
            </w:r>
          </w:p>
        </w:tc>
      </w:tr>
      <w:tr w:rsidR="00E43A56" w:rsidRPr="008B3D09" w14:paraId="423C4C40" w14:textId="77777777" w:rsidTr="00AE4332">
        <w:trPr>
          <w:trHeight w:hRule="exact" w:val="544"/>
        </w:trPr>
        <w:tc>
          <w:tcPr>
            <w:tcW w:w="1457" w:type="dxa"/>
            <w:tcBorders>
              <w:left w:val="single" w:sz="18" w:space="0" w:color="000000"/>
            </w:tcBorders>
          </w:tcPr>
          <w:p w14:paraId="4ADF6F40" w14:textId="77777777" w:rsidR="00E43A56" w:rsidRPr="008B3D09" w:rsidRDefault="00E43A56" w:rsidP="00AE4332">
            <w:pPr>
              <w:spacing w:line="360" w:lineRule="auto"/>
              <w:jc w:val="both"/>
              <w:rPr>
                <w:sz w:val="24"/>
                <w:szCs w:val="24"/>
              </w:rPr>
            </w:pPr>
          </w:p>
        </w:tc>
        <w:tc>
          <w:tcPr>
            <w:tcW w:w="1359" w:type="dxa"/>
          </w:tcPr>
          <w:p w14:paraId="78BBD04D" w14:textId="77777777" w:rsidR="00E43A56" w:rsidRPr="008B3D09" w:rsidRDefault="00E43A56" w:rsidP="00AE4332">
            <w:pPr>
              <w:spacing w:line="360" w:lineRule="auto"/>
              <w:jc w:val="both"/>
              <w:rPr>
                <w:sz w:val="24"/>
                <w:szCs w:val="24"/>
              </w:rPr>
            </w:pPr>
          </w:p>
        </w:tc>
        <w:tc>
          <w:tcPr>
            <w:tcW w:w="518" w:type="dxa"/>
          </w:tcPr>
          <w:p w14:paraId="583302F2" w14:textId="77777777" w:rsidR="00E43A56" w:rsidRPr="008B3D09" w:rsidRDefault="00E43A56" w:rsidP="00AE4332">
            <w:pPr>
              <w:spacing w:line="360" w:lineRule="auto"/>
              <w:jc w:val="both"/>
              <w:rPr>
                <w:sz w:val="24"/>
                <w:szCs w:val="24"/>
              </w:rPr>
            </w:pPr>
          </w:p>
        </w:tc>
        <w:tc>
          <w:tcPr>
            <w:tcW w:w="2691" w:type="dxa"/>
            <w:tcBorders>
              <w:right w:val="single" w:sz="18" w:space="0" w:color="000000"/>
            </w:tcBorders>
          </w:tcPr>
          <w:p w14:paraId="3804EA30" w14:textId="77777777" w:rsidR="00E43A56" w:rsidRPr="008B3D09" w:rsidRDefault="00E43A56" w:rsidP="00AE4332">
            <w:pPr>
              <w:spacing w:line="360" w:lineRule="auto"/>
              <w:jc w:val="both"/>
              <w:rPr>
                <w:sz w:val="24"/>
                <w:szCs w:val="24"/>
              </w:rPr>
            </w:pPr>
            <w:r w:rsidRPr="008B3D09">
              <w:rPr>
                <w:sz w:val="24"/>
                <w:szCs w:val="24"/>
              </w:rPr>
              <w:t>N</w:t>
            </w:r>
          </w:p>
        </w:tc>
        <w:tc>
          <w:tcPr>
            <w:tcW w:w="2001" w:type="dxa"/>
            <w:tcBorders>
              <w:left w:val="single" w:sz="18" w:space="0" w:color="000000"/>
              <w:right w:val="single" w:sz="8" w:space="0" w:color="000000"/>
            </w:tcBorders>
          </w:tcPr>
          <w:p w14:paraId="2F98F8F9" w14:textId="77777777" w:rsidR="00E43A56" w:rsidRPr="008B3D09" w:rsidRDefault="00E43A56" w:rsidP="00AE4332">
            <w:pPr>
              <w:spacing w:line="360" w:lineRule="auto"/>
              <w:jc w:val="both"/>
              <w:rPr>
                <w:sz w:val="24"/>
                <w:szCs w:val="24"/>
              </w:rPr>
            </w:pPr>
            <w:r w:rsidRPr="008B3D09">
              <w:rPr>
                <w:sz w:val="24"/>
                <w:szCs w:val="24"/>
              </w:rPr>
              <w:t>10</w:t>
            </w:r>
          </w:p>
        </w:tc>
        <w:tc>
          <w:tcPr>
            <w:tcW w:w="1564" w:type="dxa"/>
            <w:tcBorders>
              <w:left w:val="single" w:sz="8" w:space="0" w:color="000000"/>
              <w:right w:val="single" w:sz="18" w:space="0" w:color="000000"/>
            </w:tcBorders>
          </w:tcPr>
          <w:p w14:paraId="1A943184" w14:textId="77777777" w:rsidR="00E43A56" w:rsidRPr="008B3D09" w:rsidRDefault="00E43A56" w:rsidP="00AE4332">
            <w:pPr>
              <w:spacing w:line="360" w:lineRule="auto"/>
              <w:jc w:val="both"/>
              <w:rPr>
                <w:sz w:val="24"/>
                <w:szCs w:val="24"/>
              </w:rPr>
            </w:pPr>
            <w:r w:rsidRPr="008B3D09">
              <w:rPr>
                <w:sz w:val="24"/>
                <w:szCs w:val="24"/>
              </w:rPr>
              <w:t>10</w:t>
            </w:r>
          </w:p>
        </w:tc>
      </w:tr>
      <w:tr w:rsidR="00E43A56" w:rsidRPr="008B3D09" w14:paraId="1470CCC8" w14:textId="77777777" w:rsidTr="00AE4332">
        <w:trPr>
          <w:trHeight w:hRule="exact" w:val="543"/>
        </w:trPr>
        <w:tc>
          <w:tcPr>
            <w:tcW w:w="1457" w:type="dxa"/>
            <w:tcBorders>
              <w:left w:val="single" w:sz="18" w:space="0" w:color="000000"/>
            </w:tcBorders>
          </w:tcPr>
          <w:p w14:paraId="1E460F0A" w14:textId="77777777" w:rsidR="00E43A56" w:rsidRPr="008B3D09" w:rsidRDefault="00E43A56" w:rsidP="00AE4332">
            <w:pPr>
              <w:spacing w:line="360" w:lineRule="auto"/>
              <w:jc w:val="both"/>
              <w:rPr>
                <w:sz w:val="24"/>
                <w:szCs w:val="24"/>
              </w:rPr>
            </w:pPr>
          </w:p>
        </w:tc>
        <w:tc>
          <w:tcPr>
            <w:tcW w:w="1359" w:type="dxa"/>
          </w:tcPr>
          <w:p w14:paraId="00BBB9AB" w14:textId="77777777" w:rsidR="00E43A56" w:rsidRPr="008B3D09" w:rsidRDefault="00E43A56" w:rsidP="00AE4332">
            <w:pPr>
              <w:spacing w:line="360" w:lineRule="auto"/>
              <w:jc w:val="both"/>
              <w:rPr>
                <w:sz w:val="24"/>
                <w:szCs w:val="24"/>
              </w:rPr>
            </w:pPr>
          </w:p>
        </w:tc>
        <w:tc>
          <w:tcPr>
            <w:tcW w:w="518" w:type="dxa"/>
          </w:tcPr>
          <w:p w14:paraId="3CCE9017" w14:textId="77777777" w:rsidR="00E43A56" w:rsidRPr="008B3D09" w:rsidRDefault="00E43A56" w:rsidP="00AE4332">
            <w:pPr>
              <w:spacing w:line="360" w:lineRule="auto"/>
              <w:jc w:val="both"/>
              <w:rPr>
                <w:sz w:val="24"/>
                <w:szCs w:val="24"/>
              </w:rPr>
            </w:pPr>
          </w:p>
        </w:tc>
        <w:tc>
          <w:tcPr>
            <w:tcW w:w="2691" w:type="dxa"/>
            <w:tcBorders>
              <w:right w:val="single" w:sz="18" w:space="0" w:color="000000"/>
            </w:tcBorders>
          </w:tcPr>
          <w:p w14:paraId="5B7A9A52" w14:textId="77777777" w:rsidR="00E43A56" w:rsidRPr="008B3D09" w:rsidRDefault="00E43A56" w:rsidP="00AE4332">
            <w:pPr>
              <w:spacing w:line="360" w:lineRule="auto"/>
              <w:jc w:val="both"/>
              <w:rPr>
                <w:sz w:val="24"/>
                <w:szCs w:val="24"/>
              </w:rPr>
            </w:pPr>
            <w:r w:rsidRPr="008B3D09">
              <w:rPr>
                <w:sz w:val="24"/>
                <w:szCs w:val="24"/>
              </w:rPr>
              <w:t>Pearson Correlation</w:t>
            </w:r>
          </w:p>
        </w:tc>
        <w:tc>
          <w:tcPr>
            <w:tcW w:w="2001" w:type="dxa"/>
            <w:tcBorders>
              <w:left w:val="single" w:sz="18" w:space="0" w:color="000000"/>
              <w:right w:val="single" w:sz="8" w:space="0" w:color="000000"/>
            </w:tcBorders>
          </w:tcPr>
          <w:p w14:paraId="097F2A89" w14:textId="77777777" w:rsidR="00E43A56" w:rsidRPr="008B3D09" w:rsidRDefault="00E43A56" w:rsidP="00AE4332">
            <w:pPr>
              <w:spacing w:line="360" w:lineRule="auto"/>
              <w:jc w:val="both"/>
              <w:rPr>
                <w:sz w:val="24"/>
                <w:szCs w:val="24"/>
              </w:rPr>
            </w:pPr>
            <w:r w:rsidRPr="008B3D09">
              <w:rPr>
                <w:sz w:val="24"/>
                <w:szCs w:val="24"/>
              </w:rPr>
              <w:t>.864**</w:t>
            </w:r>
          </w:p>
        </w:tc>
        <w:tc>
          <w:tcPr>
            <w:tcW w:w="1564" w:type="dxa"/>
            <w:tcBorders>
              <w:left w:val="single" w:sz="8" w:space="0" w:color="000000"/>
              <w:right w:val="single" w:sz="18" w:space="0" w:color="000000"/>
            </w:tcBorders>
          </w:tcPr>
          <w:p w14:paraId="6E8F8F13" w14:textId="77777777" w:rsidR="00E43A56" w:rsidRPr="008B3D09" w:rsidRDefault="00E43A56" w:rsidP="00AE4332">
            <w:pPr>
              <w:spacing w:line="360" w:lineRule="auto"/>
              <w:jc w:val="both"/>
              <w:rPr>
                <w:sz w:val="24"/>
                <w:szCs w:val="24"/>
              </w:rPr>
            </w:pPr>
            <w:r w:rsidRPr="008B3D09">
              <w:rPr>
                <w:sz w:val="24"/>
                <w:szCs w:val="24"/>
              </w:rPr>
              <w:t>1</w:t>
            </w:r>
          </w:p>
        </w:tc>
      </w:tr>
      <w:tr w:rsidR="00E43A56" w:rsidRPr="008B3D09" w14:paraId="5A3A54ED" w14:textId="77777777" w:rsidTr="00AE4332">
        <w:trPr>
          <w:trHeight w:hRule="exact" w:val="603"/>
        </w:trPr>
        <w:tc>
          <w:tcPr>
            <w:tcW w:w="1457" w:type="dxa"/>
            <w:tcBorders>
              <w:left w:val="single" w:sz="18" w:space="0" w:color="000000"/>
            </w:tcBorders>
          </w:tcPr>
          <w:p w14:paraId="466CD851" w14:textId="77777777" w:rsidR="00E43A56" w:rsidRPr="008B3D09" w:rsidRDefault="00E43A56" w:rsidP="00AE4332">
            <w:pPr>
              <w:spacing w:line="360" w:lineRule="auto"/>
              <w:jc w:val="both"/>
              <w:rPr>
                <w:sz w:val="24"/>
                <w:szCs w:val="24"/>
              </w:rPr>
            </w:pPr>
            <w:r w:rsidRPr="008B3D09">
              <w:rPr>
                <w:sz w:val="24"/>
                <w:szCs w:val="24"/>
              </w:rPr>
              <w:t>Net NPA%</w:t>
            </w:r>
          </w:p>
        </w:tc>
        <w:tc>
          <w:tcPr>
            <w:tcW w:w="1359" w:type="dxa"/>
          </w:tcPr>
          <w:p w14:paraId="58B37616" w14:textId="77777777" w:rsidR="00E43A56" w:rsidRPr="008B3D09" w:rsidRDefault="00E43A56" w:rsidP="00AE4332">
            <w:pPr>
              <w:spacing w:line="360" w:lineRule="auto"/>
              <w:jc w:val="both"/>
              <w:rPr>
                <w:sz w:val="24"/>
                <w:szCs w:val="24"/>
              </w:rPr>
            </w:pPr>
          </w:p>
        </w:tc>
        <w:tc>
          <w:tcPr>
            <w:tcW w:w="518" w:type="dxa"/>
          </w:tcPr>
          <w:p w14:paraId="77C621F3" w14:textId="77777777" w:rsidR="00E43A56" w:rsidRPr="008B3D09" w:rsidRDefault="00E43A56" w:rsidP="00AE4332">
            <w:pPr>
              <w:spacing w:line="360" w:lineRule="auto"/>
              <w:jc w:val="both"/>
              <w:rPr>
                <w:sz w:val="24"/>
                <w:szCs w:val="24"/>
              </w:rPr>
            </w:pPr>
          </w:p>
        </w:tc>
        <w:tc>
          <w:tcPr>
            <w:tcW w:w="2691" w:type="dxa"/>
            <w:tcBorders>
              <w:right w:val="single" w:sz="18" w:space="0" w:color="000000"/>
            </w:tcBorders>
          </w:tcPr>
          <w:p w14:paraId="07116011" w14:textId="77777777" w:rsidR="00E43A56" w:rsidRPr="008B3D09" w:rsidRDefault="00E43A56" w:rsidP="00AE4332">
            <w:pPr>
              <w:spacing w:line="360" w:lineRule="auto"/>
              <w:jc w:val="both"/>
              <w:rPr>
                <w:sz w:val="24"/>
                <w:szCs w:val="24"/>
              </w:rPr>
            </w:pPr>
            <w:r w:rsidRPr="008B3D09">
              <w:rPr>
                <w:sz w:val="24"/>
                <w:szCs w:val="24"/>
              </w:rPr>
              <w:t>Sig. (2-tailed)</w:t>
            </w:r>
          </w:p>
        </w:tc>
        <w:tc>
          <w:tcPr>
            <w:tcW w:w="2001" w:type="dxa"/>
            <w:tcBorders>
              <w:left w:val="single" w:sz="18" w:space="0" w:color="000000"/>
              <w:right w:val="single" w:sz="8" w:space="0" w:color="000000"/>
            </w:tcBorders>
          </w:tcPr>
          <w:p w14:paraId="409F1829" w14:textId="77777777" w:rsidR="00E43A56" w:rsidRPr="008B3D09" w:rsidRDefault="00E43A56" w:rsidP="00AE4332">
            <w:pPr>
              <w:spacing w:line="360" w:lineRule="auto"/>
              <w:jc w:val="both"/>
              <w:rPr>
                <w:sz w:val="24"/>
                <w:szCs w:val="24"/>
              </w:rPr>
            </w:pPr>
            <w:r w:rsidRPr="008B3D09">
              <w:rPr>
                <w:sz w:val="24"/>
                <w:szCs w:val="24"/>
              </w:rPr>
              <w:t>.001</w:t>
            </w:r>
          </w:p>
        </w:tc>
        <w:tc>
          <w:tcPr>
            <w:tcW w:w="1564" w:type="dxa"/>
            <w:tcBorders>
              <w:left w:val="single" w:sz="8" w:space="0" w:color="000000"/>
              <w:right w:val="single" w:sz="18" w:space="0" w:color="000000"/>
            </w:tcBorders>
          </w:tcPr>
          <w:p w14:paraId="326EA846" w14:textId="77777777" w:rsidR="00E43A56" w:rsidRPr="008B3D09" w:rsidRDefault="00E43A56" w:rsidP="00AE4332">
            <w:pPr>
              <w:spacing w:line="360" w:lineRule="auto"/>
              <w:jc w:val="both"/>
              <w:rPr>
                <w:sz w:val="24"/>
                <w:szCs w:val="24"/>
              </w:rPr>
            </w:pPr>
          </w:p>
        </w:tc>
      </w:tr>
      <w:tr w:rsidR="00E43A56" w:rsidRPr="008B3D09" w14:paraId="7D2D11AD" w14:textId="77777777" w:rsidTr="00AE4332">
        <w:trPr>
          <w:trHeight w:hRule="exact" w:val="606"/>
        </w:trPr>
        <w:tc>
          <w:tcPr>
            <w:tcW w:w="1457" w:type="dxa"/>
            <w:tcBorders>
              <w:left w:val="single" w:sz="18" w:space="0" w:color="000000"/>
              <w:bottom w:val="single" w:sz="18" w:space="0" w:color="000000"/>
            </w:tcBorders>
          </w:tcPr>
          <w:p w14:paraId="0AD8FD97" w14:textId="77777777" w:rsidR="00E43A56" w:rsidRPr="008B3D09" w:rsidRDefault="00E43A56" w:rsidP="00AE4332">
            <w:pPr>
              <w:spacing w:line="360" w:lineRule="auto"/>
              <w:jc w:val="both"/>
              <w:rPr>
                <w:sz w:val="24"/>
                <w:szCs w:val="24"/>
              </w:rPr>
            </w:pPr>
          </w:p>
        </w:tc>
        <w:tc>
          <w:tcPr>
            <w:tcW w:w="1359" w:type="dxa"/>
            <w:tcBorders>
              <w:bottom w:val="single" w:sz="18" w:space="0" w:color="000000"/>
            </w:tcBorders>
          </w:tcPr>
          <w:p w14:paraId="41853623" w14:textId="77777777" w:rsidR="00E43A56" w:rsidRPr="008B3D09" w:rsidRDefault="00E43A56" w:rsidP="00AE4332">
            <w:pPr>
              <w:spacing w:line="360" w:lineRule="auto"/>
              <w:jc w:val="both"/>
              <w:rPr>
                <w:sz w:val="24"/>
                <w:szCs w:val="24"/>
              </w:rPr>
            </w:pPr>
          </w:p>
        </w:tc>
        <w:tc>
          <w:tcPr>
            <w:tcW w:w="518" w:type="dxa"/>
            <w:tcBorders>
              <w:bottom w:val="single" w:sz="18" w:space="0" w:color="000000"/>
            </w:tcBorders>
          </w:tcPr>
          <w:p w14:paraId="2E7AC3F8" w14:textId="77777777" w:rsidR="00E43A56" w:rsidRPr="008B3D09" w:rsidRDefault="00E43A56" w:rsidP="00AE4332">
            <w:pPr>
              <w:spacing w:line="360" w:lineRule="auto"/>
              <w:jc w:val="both"/>
              <w:rPr>
                <w:sz w:val="24"/>
                <w:szCs w:val="24"/>
              </w:rPr>
            </w:pPr>
          </w:p>
        </w:tc>
        <w:tc>
          <w:tcPr>
            <w:tcW w:w="2691" w:type="dxa"/>
            <w:tcBorders>
              <w:bottom w:val="single" w:sz="18" w:space="0" w:color="000000"/>
              <w:right w:val="single" w:sz="18" w:space="0" w:color="000000"/>
            </w:tcBorders>
          </w:tcPr>
          <w:p w14:paraId="36BCC01C" w14:textId="77777777" w:rsidR="00E43A56" w:rsidRPr="008B3D09" w:rsidRDefault="00E43A56" w:rsidP="00AE4332">
            <w:pPr>
              <w:spacing w:line="360" w:lineRule="auto"/>
              <w:jc w:val="both"/>
              <w:rPr>
                <w:sz w:val="24"/>
                <w:szCs w:val="24"/>
              </w:rPr>
            </w:pPr>
            <w:r w:rsidRPr="008B3D09">
              <w:rPr>
                <w:sz w:val="24"/>
                <w:szCs w:val="24"/>
              </w:rPr>
              <w:t>N</w:t>
            </w:r>
          </w:p>
        </w:tc>
        <w:tc>
          <w:tcPr>
            <w:tcW w:w="2001" w:type="dxa"/>
            <w:tcBorders>
              <w:left w:val="single" w:sz="18" w:space="0" w:color="000000"/>
              <w:bottom w:val="single" w:sz="18" w:space="0" w:color="000000"/>
              <w:right w:val="single" w:sz="8" w:space="0" w:color="000000"/>
            </w:tcBorders>
          </w:tcPr>
          <w:p w14:paraId="0222C2CC" w14:textId="77777777" w:rsidR="00E43A56" w:rsidRPr="008B3D09" w:rsidRDefault="00E43A56" w:rsidP="00AE4332">
            <w:pPr>
              <w:spacing w:line="360" w:lineRule="auto"/>
              <w:jc w:val="both"/>
              <w:rPr>
                <w:sz w:val="24"/>
                <w:szCs w:val="24"/>
              </w:rPr>
            </w:pPr>
            <w:r w:rsidRPr="008B3D09">
              <w:rPr>
                <w:sz w:val="24"/>
                <w:szCs w:val="24"/>
              </w:rPr>
              <w:t>10</w:t>
            </w:r>
          </w:p>
        </w:tc>
        <w:tc>
          <w:tcPr>
            <w:tcW w:w="1564" w:type="dxa"/>
            <w:tcBorders>
              <w:left w:val="single" w:sz="8" w:space="0" w:color="000000"/>
              <w:bottom w:val="single" w:sz="18" w:space="0" w:color="000000"/>
              <w:right w:val="single" w:sz="18" w:space="0" w:color="000000"/>
            </w:tcBorders>
          </w:tcPr>
          <w:p w14:paraId="0A97D0AC" w14:textId="77777777" w:rsidR="00E43A56" w:rsidRPr="008B3D09" w:rsidRDefault="00E43A56" w:rsidP="00AE4332">
            <w:pPr>
              <w:spacing w:line="360" w:lineRule="auto"/>
              <w:jc w:val="both"/>
              <w:rPr>
                <w:sz w:val="24"/>
                <w:szCs w:val="24"/>
              </w:rPr>
            </w:pPr>
            <w:r w:rsidRPr="008B3D09">
              <w:rPr>
                <w:sz w:val="24"/>
                <w:szCs w:val="24"/>
              </w:rPr>
              <w:t>10</w:t>
            </w:r>
          </w:p>
        </w:tc>
      </w:tr>
    </w:tbl>
    <w:p w14:paraId="450C1DB6" w14:textId="77777777" w:rsidR="00E43A56" w:rsidRPr="008B3D09" w:rsidRDefault="00E43A56" w:rsidP="00E43A56">
      <w:pPr>
        <w:spacing w:line="360" w:lineRule="auto"/>
        <w:jc w:val="both"/>
        <w:rPr>
          <w:sz w:val="24"/>
          <w:szCs w:val="24"/>
        </w:rPr>
      </w:pPr>
      <w:r w:rsidRPr="008B3D09">
        <w:rPr>
          <w:sz w:val="24"/>
          <w:szCs w:val="24"/>
        </w:rPr>
        <w:t>**. Correlation is significant at the 0.01 level (2-tailed).</w:t>
      </w:r>
    </w:p>
    <w:p w14:paraId="7CDCB431" w14:textId="77777777" w:rsidR="00E43A56" w:rsidRPr="008B3D09" w:rsidRDefault="00E43A56" w:rsidP="00E43A56">
      <w:pPr>
        <w:spacing w:line="360" w:lineRule="auto"/>
        <w:jc w:val="both"/>
        <w:rPr>
          <w:sz w:val="24"/>
          <w:szCs w:val="24"/>
        </w:rPr>
      </w:pPr>
    </w:p>
    <w:p w14:paraId="39F9BD47" w14:textId="77777777" w:rsidR="00E43A56" w:rsidRPr="008B3D09" w:rsidRDefault="00E43A56" w:rsidP="00E43A56">
      <w:pPr>
        <w:spacing w:line="360" w:lineRule="auto"/>
        <w:jc w:val="both"/>
        <w:rPr>
          <w:sz w:val="24"/>
          <w:szCs w:val="24"/>
        </w:rPr>
      </w:pPr>
      <w:r w:rsidRPr="008B3D09">
        <w:rPr>
          <w:sz w:val="24"/>
          <w:szCs w:val="24"/>
        </w:rPr>
        <w:t xml:space="preserve">The </w:t>
      </w:r>
      <w:r w:rsidRPr="008B3D09">
        <w:rPr>
          <w:b/>
          <w:bCs/>
          <w:sz w:val="24"/>
          <w:szCs w:val="24"/>
        </w:rPr>
        <w:t>correlation table no-3</w:t>
      </w:r>
      <w:r w:rsidRPr="008B3D09">
        <w:rPr>
          <w:sz w:val="24"/>
          <w:szCs w:val="24"/>
        </w:rPr>
        <w:t xml:space="preserve"> shows that the rate of Net NPA and Advances are having the significant relation i.e. 0.864. The P-value in the above table, has been found, less than 5%, therefore the 2nd null hypothesis found disprove and it can be concluded that there is the significant relationship between share capital and Gross NPA in PNB Bank.</w:t>
      </w:r>
    </w:p>
    <w:p w14:paraId="3CDF21D6" w14:textId="77777777" w:rsidR="00E43A56" w:rsidRPr="008B3D09" w:rsidRDefault="00E43A56" w:rsidP="00E43A56">
      <w:pPr>
        <w:spacing w:line="360" w:lineRule="auto"/>
        <w:jc w:val="both"/>
        <w:rPr>
          <w:sz w:val="24"/>
          <w:szCs w:val="24"/>
        </w:rPr>
      </w:pPr>
    </w:p>
    <w:p w14:paraId="5721EECD" w14:textId="77777777" w:rsidR="00E43A56" w:rsidRPr="008B3D09" w:rsidRDefault="00E43A56" w:rsidP="00E43A56">
      <w:pPr>
        <w:pStyle w:val="ListParagraph"/>
        <w:numPr>
          <w:ilvl w:val="0"/>
          <w:numId w:val="9"/>
        </w:numPr>
        <w:rPr>
          <w:bCs/>
        </w:rPr>
      </w:pPr>
      <w:r w:rsidRPr="008B3D09">
        <w:rPr>
          <w:bCs/>
        </w:rPr>
        <w:t>Result Interpretation and Discussion</w:t>
      </w:r>
    </w:p>
    <w:p w14:paraId="4BD30311" w14:textId="77777777" w:rsidR="00E43A56" w:rsidRPr="008B3D09" w:rsidRDefault="00E43A56" w:rsidP="00E43A56">
      <w:pPr>
        <w:pStyle w:val="ListParagraph"/>
        <w:numPr>
          <w:ilvl w:val="0"/>
          <w:numId w:val="0"/>
        </w:numPr>
        <w:ind w:left="720"/>
        <w:rPr>
          <w:bCs/>
        </w:rPr>
      </w:pPr>
    </w:p>
    <w:p w14:paraId="79297FC9" w14:textId="77777777" w:rsidR="00E43A56" w:rsidRPr="008B3D09" w:rsidRDefault="00E43A56" w:rsidP="00E43A56">
      <w:pPr>
        <w:spacing w:line="360" w:lineRule="auto"/>
        <w:jc w:val="both"/>
        <w:rPr>
          <w:sz w:val="24"/>
          <w:szCs w:val="24"/>
        </w:rPr>
      </w:pPr>
      <w:r w:rsidRPr="008B3D09">
        <w:rPr>
          <w:sz w:val="24"/>
          <w:szCs w:val="24"/>
        </w:rPr>
        <w:t>The present study sought to explore the relationship between Non-Performing Assets (NPAs) and key financial indicators—namely, share capital and loans &amp; advances—within Punjab National Bank (PNB) from 2010 onward. The findings have shown statistically significant correlations across all tested variables, and these relationships carry implications both for bank management and policymakers.</w:t>
      </w:r>
    </w:p>
    <w:p w14:paraId="48182F57" w14:textId="77777777" w:rsidR="00E43A56" w:rsidRPr="008B3D09" w:rsidRDefault="00E43A56" w:rsidP="00E43A56">
      <w:pPr>
        <w:pStyle w:val="ListParagraph"/>
        <w:numPr>
          <w:ilvl w:val="0"/>
          <w:numId w:val="9"/>
        </w:numPr>
        <w:rPr>
          <w:bCs/>
        </w:rPr>
      </w:pPr>
      <w:r w:rsidRPr="008B3D09">
        <w:rPr>
          <w:bCs/>
        </w:rPr>
        <w:t>Interpretation of Correlation Results</w:t>
      </w:r>
    </w:p>
    <w:p w14:paraId="62DCF70B" w14:textId="77777777" w:rsidR="00E43A56" w:rsidRPr="008B3D09" w:rsidRDefault="00E43A56" w:rsidP="00E43A56">
      <w:pPr>
        <w:spacing w:line="360" w:lineRule="auto"/>
        <w:jc w:val="both"/>
        <w:rPr>
          <w:bCs/>
          <w:sz w:val="24"/>
          <w:szCs w:val="24"/>
          <w:u w:val="single"/>
        </w:rPr>
      </w:pPr>
    </w:p>
    <w:p w14:paraId="51FE440D" w14:textId="77777777" w:rsidR="00E43A56" w:rsidRPr="008B3D09" w:rsidRDefault="00E43A56" w:rsidP="00E43A56">
      <w:pPr>
        <w:spacing w:line="360" w:lineRule="auto"/>
        <w:jc w:val="both"/>
        <w:rPr>
          <w:sz w:val="24"/>
          <w:szCs w:val="24"/>
        </w:rPr>
      </w:pPr>
      <w:r w:rsidRPr="008B3D09">
        <w:rPr>
          <w:sz w:val="24"/>
          <w:szCs w:val="24"/>
        </w:rPr>
        <w:t>The correlation analysis reveals:</w:t>
      </w:r>
    </w:p>
    <w:p w14:paraId="22858582" w14:textId="77777777" w:rsidR="00E43A56" w:rsidRPr="008B3D09" w:rsidRDefault="00E43A56" w:rsidP="00E43A56">
      <w:pPr>
        <w:pStyle w:val="ListParagraph"/>
        <w:numPr>
          <w:ilvl w:val="0"/>
          <w:numId w:val="10"/>
        </w:numPr>
        <w:rPr>
          <w:b w:val="0"/>
          <w:bCs/>
          <w:u w:val="none"/>
        </w:rPr>
      </w:pPr>
      <w:r w:rsidRPr="008B3D09">
        <w:rPr>
          <w:b w:val="0"/>
          <w:bCs/>
          <w:u w:val="none"/>
        </w:rPr>
        <w:t xml:space="preserve">          A strong positive correlation (r = 0.712) between Share Capital and Gross NPA, indicating that as PNB increased its share capital over the years, gross NPAs also increased. This suggests that capital infusion alone may not be effective in reducing bad loans unless accompanied by robust risk assessment and monitoring mechanisms.</w:t>
      </w:r>
    </w:p>
    <w:p w14:paraId="775F9D72" w14:textId="77777777" w:rsidR="00E43A56" w:rsidRPr="008B3D09" w:rsidRDefault="00E43A56" w:rsidP="00E43A56">
      <w:pPr>
        <w:pStyle w:val="ListParagraph"/>
        <w:numPr>
          <w:ilvl w:val="0"/>
          <w:numId w:val="10"/>
        </w:numPr>
        <w:rPr>
          <w:b w:val="0"/>
          <w:bCs/>
          <w:u w:val="none"/>
        </w:rPr>
      </w:pPr>
      <w:r w:rsidRPr="008B3D09">
        <w:rPr>
          <w:b w:val="0"/>
          <w:bCs/>
          <w:u w:val="none"/>
        </w:rPr>
        <w:t xml:space="preserve">          A very strong positive correlation (r = 0.898) between Loans &amp; Advances and Gross </w:t>
      </w:r>
      <w:r w:rsidRPr="008B3D09">
        <w:rPr>
          <w:b w:val="0"/>
          <w:bCs/>
          <w:u w:val="none"/>
        </w:rPr>
        <w:lastRenderedPageBreak/>
        <w:t>NPA, implying that a higher volume of lending is closely associated with a higher volume of NPAs. This aligns with historical trends, where aggressive lending, particularly in the post-2008 economic boom, resulted in a ballooning of NPAs due to deteriorating credit quality.</w:t>
      </w:r>
    </w:p>
    <w:p w14:paraId="2A281AB9" w14:textId="77777777" w:rsidR="00E43A56" w:rsidRPr="008B3D09" w:rsidRDefault="00E43A56" w:rsidP="00E43A56">
      <w:pPr>
        <w:pStyle w:val="ListParagraph"/>
        <w:numPr>
          <w:ilvl w:val="0"/>
          <w:numId w:val="10"/>
        </w:numPr>
        <w:rPr>
          <w:b w:val="0"/>
          <w:bCs/>
          <w:u w:val="none"/>
        </w:rPr>
      </w:pPr>
      <w:r w:rsidRPr="008B3D09">
        <w:rPr>
          <w:b w:val="0"/>
          <w:bCs/>
          <w:u w:val="none"/>
        </w:rPr>
        <w:t>Similarly, a very strong positive correlation (r = 0.864) between Loans &amp; Advances and Net NPA further underscores that not only are gross NPAs rising with increased advances, but net NPAs—those not yet provisioned for—are also increasing. This highlights inefficiencies in loan recovery mechanisms and suggests possible lapses in follow-up and restructuring processes.</w:t>
      </w:r>
    </w:p>
    <w:p w14:paraId="5F95EBDE" w14:textId="77777777" w:rsidR="00E43A56" w:rsidRPr="008B3D09" w:rsidRDefault="00E43A56" w:rsidP="00E43A56">
      <w:pPr>
        <w:spacing w:line="360" w:lineRule="auto"/>
        <w:jc w:val="both"/>
        <w:rPr>
          <w:bCs/>
          <w:sz w:val="24"/>
          <w:szCs w:val="24"/>
        </w:rPr>
      </w:pPr>
    </w:p>
    <w:p w14:paraId="15869A7D" w14:textId="77777777" w:rsidR="00E43A56" w:rsidRPr="008B3D09" w:rsidRDefault="00E43A56" w:rsidP="00E43A56">
      <w:pPr>
        <w:pStyle w:val="ListParagraph"/>
        <w:numPr>
          <w:ilvl w:val="0"/>
          <w:numId w:val="9"/>
        </w:numPr>
        <w:rPr>
          <w:bCs/>
        </w:rPr>
      </w:pPr>
      <w:r w:rsidRPr="008B3D09">
        <w:rPr>
          <w:bCs/>
        </w:rPr>
        <w:t>Broader Implications</w:t>
      </w:r>
    </w:p>
    <w:p w14:paraId="67E16408" w14:textId="77777777" w:rsidR="00E43A56" w:rsidRPr="008B3D09" w:rsidRDefault="00E43A56" w:rsidP="00E43A56">
      <w:pPr>
        <w:pStyle w:val="ListParagraph"/>
        <w:numPr>
          <w:ilvl w:val="0"/>
          <w:numId w:val="0"/>
        </w:numPr>
        <w:ind w:left="720"/>
        <w:rPr>
          <w:bCs/>
        </w:rPr>
      </w:pPr>
    </w:p>
    <w:p w14:paraId="4CC770B4" w14:textId="77777777" w:rsidR="00E43A56" w:rsidRPr="008B3D09" w:rsidRDefault="00E43A56" w:rsidP="00E43A56">
      <w:pPr>
        <w:spacing w:line="360" w:lineRule="auto"/>
        <w:jc w:val="both"/>
        <w:rPr>
          <w:sz w:val="24"/>
          <w:szCs w:val="24"/>
        </w:rPr>
      </w:pPr>
      <w:r w:rsidRPr="008B3D09">
        <w:rPr>
          <w:sz w:val="24"/>
          <w:szCs w:val="24"/>
        </w:rPr>
        <w:t>The results of this study reinforce broader concerns about the structural challenges in credit appraisal and risk management within Indian public sector banks. The increase in NPAs despite higher capital and lending growth points to systemic issues in governance, project viability assessment, and sectoral exposure, particularly in infrastructure and large corporates.</w:t>
      </w:r>
    </w:p>
    <w:p w14:paraId="1A3B9584" w14:textId="77777777" w:rsidR="00E43A56" w:rsidRPr="008B3D09" w:rsidRDefault="00E43A56" w:rsidP="00E43A56">
      <w:pPr>
        <w:spacing w:line="360" w:lineRule="auto"/>
        <w:jc w:val="both"/>
        <w:rPr>
          <w:sz w:val="24"/>
          <w:szCs w:val="24"/>
        </w:rPr>
      </w:pPr>
    </w:p>
    <w:p w14:paraId="7AE3A08C" w14:textId="77777777" w:rsidR="00E43A56" w:rsidRPr="008B3D09" w:rsidRDefault="00E43A56" w:rsidP="00E43A56">
      <w:pPr>
        <w:spacing w:line="360" w:lineRule="auto"/>
        <w:jc w:val="both"/>
        <w:rPr>
          <w:sz w:val="24"/>
          <w:szCs w:val="24"/>
        </w:rPr>
      </w:pPr>
      <w:r w:rsidRPr="008B3D09">
        <w:rPr>
          <w:sz w:val="24"/>
          <w:szCs w:val="24"/>
        </w:rPr>
        <w:t>Moreover, the findings validate concerns raised by the Standing Committee on Finance and the RBI's ongoing efforts toward reforming stressed asset recognition and resolution frameworks. The significance of these correlations underlines the importance of not only quantitative expansion of banking services but also qualitative improvements in credit risk management.</w:t>
      </w:r>
    </w:p>
    <w:p w14:paraId="09931286" w14:textId="77777777" w:rsidR="00E43A56" w:rsidRPr="008B3D09" w:rsidRDefault="00E43A56" w:rsidP="00E43A56">
      <w:pPr>
        <w:spacing w:line="360" w:lineRule="auto"/>
        <w:jc w:val="both"/>
        <w:rPr>
          <w:sz w:val="24"/>
          <w:szCs w:val="24"/>
        </w:rPr>
      </w:pPr>
    </w:p>
    <w:p w14:paraId="6A3A554D" w14:textId="77777777" w:rsidR="00E43A56" w:rsidRPr="008B3D09" w:rsidRDefault="00E43A56" w:rsidP="00E43A56">
      <w:pPr>
        <w:pStyle w:val="ListParagraph"/>
        <w:numPr>
          <w:ilvl w:val="0"/>
          <w:numId w:val="9"/>
        </w:numPr>
        <w:rPr>
          <w:bCs/>
        </w:rPr>
      </w:pPr>
      <w:r w:rsidRPr="008B3D09">
        <w:rPr>
          <w:bCs/>
        </w:rPr>
        <w:t>Policy and Strategic Recommendations</w:t>
      </w:r>
    </w:p>
    <w:p w14:paraId="5AE754C5" w14:textId="77777777" w:rsidR="00E43A56" w:rsidRPr="008B3D09" w:rsidRDefault="00E43A56" w:rsidP="00E43A56">
      <w:pPr>
        <w:spacing w:line="360" w:lineRule="auto"/>
        <w:jc w:val="both"/>
        <w:rPr>
          <w:sz w:val="24"/>
          <w:szCs w:val="24"/>
        </w:rPr>
      </w:pPr>
    </w:p>
    <w:p w14:paraId="77ABF5AF" w14:textId="77777777" w:rsidR="00E43A56" w:rsidRPr="008B3D09" w:rsidRDefault="00E43A56" w:rsidP="00E43A56">
      <w:pPr>
        <w:pStyle w:val="ListParagraph"/>
        <w:numPr>
          <w:ilvl w:val="0"/>
          <w:numId w:val="11"/>
        </w:numPr>
        <w:rPr>
          <w:b w:val="0"/>
          <w:u w:val="none"/>
        </w:rPr>
      </w:pPr>
      <w:r w:rsidRPr="008B3D09">
        <w:rPr>
          <w:b w:val="0"/>
          <w:u w:val="none"/>
        </w:rPr>
        <w:t xml:space="preserve">        </w:t>
      </w:r>
      <w:r w:rsidRPr="008B3D09">
        <w:rPr>
          <w:bCs/>
          <w:u w:val="none"/>
        </w:rPr>
        <w:t xml:space="preserve">     Enhanced Credit Appraisal:</w:t>
      </w:r>
      <w:r w:rsidRPr="008B3D09">
        <w:rPr>
          <w:b w:val="0"/>
          <w:u w:val="none"/>
        </w:rPr>
        <w:t xml:space="preserve"> PNB and other banks must strengthen due diligence processes and adopt more sophisticated credit-scoring models to better evaluate borrower risk.</w:t>
      </w:r>
    </w:p>
    <w:p w14:paraId="1AFD3EE6" w14:textId="77777777" w:rsidR="00E43A56" w:rsidRPr="008B3D09" w:rsidRDefault="00E43A56" w:rsidP="00E43A56">
      <w:pPr>
        <w:pStyle w:val="ListParagraph"/>
        <w:numPr>
          <w:ilvl w:val="0"/>
          <w:numId w:val="11"/>
        </w:numPr>
        <w:rPr>
          <w:b w:val="0"/>
          <w:u w:val="none"/>
        </w:rPr>
      </w:pPr>
      <w:r w:rsidRPr="008B3D09">
        <w:rPr>
          <w:b w:val="0"/>
          <w:u w:val="none"/>
        </w:rPr>
        <w:t xml:space="preserve">            </w:t>
      </w:r>
      <w:r w:rsidRPr="008B3D09">
        <w:rPr>
          <w:bCs/>
          <w:u w:val="none"/>
        </w:rPr>
        <w:t>Targeted Sectoral Policies:</w:t>
      </w:r>
      <w:r w:rsidRPr="008B3D09">
        <w:rPr>
          <w:b w:val="0"/>
          <w:u w:val="none"/>
        </w:rPr>
        <w:t xml:space="preserve"> Lending should be aligned with sectoral health and economic trends to avoid overexposure to stressed industries such as power, steel, and infrastructure.</w:t>
      </w:r>
    </w:p>
    <w:p w14:paraId="0062CF02" w14:textId="77777777" w:rsidR="00E43A56" w:rsidRPr="008B3D09" w:rsidRDefault="00E43A56" w:rsidP="00E43A56">
      <w:pPr>
        <w:pStyle w:val="ListParagraph"/>
        <w:numPr>
          <w:ilvl w:val="0"/>
          <w:numId w:val="11"/>
        </w:numPr>
        <w:rPr>
          <w:b w:val="0"/>
          <w:bCs/>
        </w:rPr>
      </w:pPr>
      <w:r w:rsidRPr="008B3D09">
        <w:rPr>
          <w:u w:val="none"/>
        </w:rPr>
        <w:t>Timely Resolution Frameworks:</w:t>
      </w:r>
      <w:r w:rsidRPr="008B3D09">
        <w:rPr>
          <w:b w:val="0"/>
          <w:bCs/>
          <w:u w:val="none"/>
        </w:rPr>
        <w:t xml:space="preserve"> Banks must actively engage with insolvency processes and ensure swift action under the Insolvency and Bankruptcy Code (IBC) to prevent further asset erosion</w:t>
      </w:r>
      <w:r w:rsidRPr="008B3D09">
        <w:rPr>
          <w:b w:val="0"/>
          <w:bCs/>
        </w:rPr>
        <w:t>.</w:t>
      </w:r>
    </w:p>
    <w:p w14:paraId="69AC1DD8" w14:textId="77777777" w:rsidR="00E43A56" w:rsidRPr="008B3D09" w:rsidRDefault="00E43A56" w:rsidP="00E43A56">
      <w:pPr>
        <w:pStyle w:val="ListParagraph"/>
        <w:numPr>
          <w:ilvl w:val="0"/>
          <w:numId w:val="11"/>
        </w:numPr>
        <w:rPr>
          <w:b w:val="0"/>
          <w:bCs/>
          <w:u w:val="none"/>
        </w:rPr>
      </w:pPr>
      <w:r w:rsidRPr="008B3D09">
        <w:rPr>
          <w:u w:val="none"/>
        </w:rPr>
        <w:t>Performance-Linked Capital Infusion:</w:t>
      </w:r>
      <w:r w:rsidRPr="008B3D09">
        <w:rPr>
          <w:b w:val="0"/>
          <w:bCs/>
          <w:u w:val="none"/>
        </w:rPr>
        <w:t xml:space="preserve"> Government support in the form of capital should be linked to performance indicators, such as reductions in NPA ratios and improvements in recovery rates.</w:t>
      </w:r>
    </w:p>
    <w:p w14:paraId="0B01E86D" w14:textId="77777777" w:rsidR="00E43A56" w:rsidRPr="008B3D09" w:rsidRDefault="00E43A56" w:rsidP="00E43A56">
      <w:pPr>
        <w:pStyle w:val="ListParagraph"/>
        <w:numPr>
          <w:ilvl w:val="0"/>
          <w:numId w:val="11"/>
        </w:numPr>
        <w:rPr>
          <w:b w:val="0"/>
          <w:bCs/>
          <w:u w:val="none"/>
        </w:rPr>
      </w:pPr>
      <w:r w:rsidRPr="008B3D09">
        <w:rPr>
          <w:b w:val="0"/>
          <w:bCs/>
          <w:u w:val="none"/>
        </w:rPr>
        <w:t xml:space="preserve">             </w:t>
      </w:r>
      <w:r w:rsidRPr="008B3D09">
        <w:rPr>
          <w:u w:val="none"/>
        </w:rPr>
        <w:t>Use of Technology:</w:t>
      </w:r>
      <w:r w:rsidRPr="008B3D09">
        <w:rPr>
          <w:b w:val="0"/>
          <w:bCs/>
          <w:u w:val="none"/>
        </w:rPr>
        <w:t xml:space="preserve"> Data analytics and AI-based monitoring tools can help flag early </w:t>
      </w:r>
      <w:r w:rsidRPr="008B3D09">
        <w:rPr>
          <w:b w:val="0"/>
          <w:bCs/>
          <w:u w:val="none"/>
        </w:rPr>
        <w:lastRenderedPageBreak/>
        <w:t>signs of loan distress, allowing banks to take proactive steps before loans become non-performing.</w:t>
      </w:r>
    </w:p>
    <w:p w14:paraId="633E503F" w14:textId="77777777" w:rsidR="00E43A56" w:rsidRPr="008B3D09" w:rsidRDefault="00E43A56" w:rsidP="00E43A56">
      <w:pPr>
        <w:pStyle w:val="ListParagraph"/>
        <w:numPr>
          <w:ilvl w:val="0"/>
          <w:numId w:val="0"/>
        </w:numPr>
        <w:ind w:left="720"/>
      </w:pPr>
    </w:p>
    <w:p w14:paraId="689978FF" w14:textId="77777777" w:rsidR="00E43A56" w:rsidRPr="008B3D09" w:rsidRDefault="00E43A56" w:rsidP="00E43A56">
      <w:pPr>
        <w:pStyle w:val="ListParagraph"/>
        <w:numPr>
          <w:ilvl w:val="0"/>
          <w:numId w:val="9"/>
        </w:numPr>
      </w:pPr>
      <w:r w:rsidRPr="008B3D09">
        <w:t>Limitations and Scope for Further Study</w:t>
      </w:r>
    </w:p>
    <w:p w14:paraId="62C3AEFE" w14:textId="77777777" w:rsidR="00E43A56" w:rsidRDefault="00E43A56" w:rsidP="00E43A56">
      <w:pPr>
        <w:spacing w:line="360" w:lineRule="auto"/>
        <w:jc w:val="both"/>
        <w:rPr>
          <w:sz w:val="24"/>
          <w:szCs w:val="24"/>
        </w:rPr>
      </w:pPr>
      <w:r w:rsidRPr="008B3D09">
        <w:rPr>
          <w:sz w:val="24"/>
          <w:szCs w:val="24"/>
        </w:rPr>
        <w:t>This study focuses exclusively on Punjab National Bank and uses secondary data for analysis. Future studies can expand the scope to include comparative analysis across multiple public and private sector banks, incorporating additional variables such as sectoral loan distribution, provisioning coverage ratio, and return on assets to derive more comprehensive insights.</w:t>
      </w:r>
    </w:p>
    <w:p w14:paraId="081D36BF" w14:textId="77777777" w:rsidR="00E43A56" w:rsidRDefault="00E43A56" w:rsidP="00E43A56">
      <w:pPr>
        <w:spacing w:line="360" w:lineRule="auto"/>
        <w:jc w:val="both"/>
        <w:rPr>
          <w:sz w:val="24"/>
          <w:szCs w:val="24"/>
        </w:rPr>
      </w:pPr>
    </w:p>
    <w:p w14:paraId="63C9E326" w14:textId="77777777" w:rsidR="00E43A56" w:rsidRDefault="00E43A56" w:rsidP="00E43A56">
      <w:pPr>
        <w:pStyle w:val="ListParagraph"/>
      </w:pPr>
      <w:r>
        <w:t>Key Findings</w:t>
      </w:r>
    </w:p>
    <w:p w14:paraId="531C179F" w14:textId="77777777" w:rsidR="00E43A56" w:rsidRPr="008B3D09" w:rsidRDefault="00E43A56" w:rsidP="00E43A56">
      <w:pPr>
        <w:pStyle w:val="ListParagraph"/>
        <w:numPr>
          <w:ilvl w:val="0"/>
          <w:numId w:val="0"/>
        </w:numPr>
        <w:ind w:left="885"/>
      </w:pPr>
    </w:p>
    <w:p w14:paraId="77C32166" w14:textId="77777777" w:rsidR="00E43A56" w:rsidRDefault="00E43A56" w:rsidP="00E43A56">
      <w:pPr>
        <w:spacing w:line="360" w:lineRule="auto"/>
        <w:jc w:val="both"/>
        <w:rPr>
          <w:sz w:val="24"/>
          <w:szCs w:val="24"/>
          <w:lang w:val="en-IN"/>
        </w:rPr>
      </w:pPr>
      <w:r w:rsidRPr="002F0B8E">
        <w:rPr>
          <w:sz w:val="24"/>
          <w:szCs w:val="24"/>
          <w:lang w:val="en-IN"/>
        </w:rPr>
        <w:t>The statistical analysis yielded several noteworthy results:</w:t>
      </w:r>
    </w:p>
    <w:p w14:paraId="13E542D0" w14:textId="77777777" w:rsidR="00E43A56" w:rsidRPr="002F0B8E" w:rsidRDefault="00E43A56" w:rsidP="00E43A56">
      <w:pPr>
        <w:spacing w:line="360" w:lineRule="auto"/>
        <w:jc w:val="both"/>
        <w:rPr>
          <w:sz w:val="24"/>
          <w:szCs w:val="24"/>
          <w:lang w:val="en-IN"/>
        </w:rPr>
      </w:pPr>
    </w:p>
    <w:p w14:paraId="5D40E9AC" w14:textId="77777777" w:rsidR="00E43A56" w:rsidRPr="002F0B8E" w:rsidRDefault="00E43A56" w:rsidP="00E43A56">
      <w:pPr>
        <w:spacing w:line="360" w:lineRule="auto"/>
        <w:jc w:val="both"/>
        <w:rPr>
          <w:b/>
          <w:bCs/>
          <w:sz w:val="24"/>
          <w:szCs w:val="24"/>
          <w:lang w:val="en-IN"/>
        </w:rPr>
      </w:pPr>
      <w:r w:rsidRPr="002F0B8E">
        <w:rPr>
          <w:b/>
          <w:bCs/>
          <w:sz w:val="24"/>
          <w:szCs w:val="24"/>
          <w:lang w:val="en-IN"/>
        </w:rPr>
        <w:t>1. Trend of Advances (2010–2019)</w:t>
      </w:r>
    </w:p>
    <w:p w14:paraId="1E514999" w14:textId="77777777" w:rsidR="00E43A56" w:rsidRDefault="00E43A56" w:rsidP="00E43A56">
      <w:pPr>
        <w:spacing w:line="360" w:lineRule="auto"/>
        <w:jc w:val="both"/>
        <w:rPr>
          <w:sz w:val="24"/>
          <w:szCs w:val="24"/>
          <w:lang w:val="en-IN"/>
        </w:rPr>
      </w:pPr>
      <w:r w:rsidRPr="002F0B8E">
        <w:rPr>
          <w:sz w:val="24"/>
          <w:szCs w:val="24"/>
          <w:lang w:val="en-IN"/>
        </w:rPr>
        <w:t>The volume of loans and advances increased consistently and linearly</w:t>
      </w:r>
      <w:r>
        <w:rPr>
          <w:sz w:val="24"/>
          <w:szCs w:val="24"/>
          <w:lang w:val="en-IN"/>
        </w:rPr>
        <w:t xml:space="preserve">, growing from ₹1.86 lakh crore (Indian Rupee) </w:t>
      </w:r>
      <w:r w:rsidRPr="002F0B8E">
        <w:rPr>
          <w:sz w:val="24"/>
          <w:szCs w:val="24"/>
          <w:lang w:val="en-IN"/>
        </w:rPr>
        <w:t xml:space="preserve">in 2010 to ₹4.58 lakh crore </w:t>
      </w:r>
      <w:r>
        <w:rPr>
          <w:sz w:val="24"/>
          <w:szCs w:val="24"/>
          <w:lang w:val="en-IN"/>
        </w:rPr>
        <w:t xml:space="preserve">(Indian Rupee) </w:t>
      </w:r>
      <w:r w:rsidRPr="002F0B8E">
        <w:rPr>
          <w:sz w:val="24"/>
          <w:szCs w:val="24"/>
          <w:lang w:val="en-IN"/>
        </w:rPr>
        <w:t>in 2019. This growth reflects an aggressive credit expansion strategy by PNB.</w:t>
      </w:r>
    </w:p>
    <w:p w14:paraId="2F812B74" w14:textId="77777777" w:rsidR="00E43A56" w:rsidRPr="002F0B8E" w:rsidRDefault="00E43A56" w:rsidP="00E43A56">
      <w:pPr>
        <w:spacing w:line="360" w:lineRule="auto"/>
        <w:jc w:val="both"/>
        <w:rPr>
          <w:sz w:val="24"/>
          <w:szCs w:val="24"/>
          <w:lang w:val="en-IN"/>
        </w:rPr>
      </w:pPr>
    </w:p>
    <w:p w14:paraId="096CD5D0" w14:textId="77777777" w:rsidR="00E43A56" w:rsidRPr="002F0B8E" w:rsidRDefault="00E43A56" w:rsidP="00E43A56">
      <w:pPr>
        <w:spacing w:line="360" w:lineRule="auto"/>
        <w:jc w:val="both"/>
        <w:rPr>
          <w:b/>
          <w:bCs/>
          <w:sz w:val="24"/>
          <w:szCs w:val="24"/>
          <w:lang w:val="en-IN"/>
        </w:rPr>
      </w:pPr>
      <w:r w:rsidRPr="002F0B8E">
        <w:rPr>
          <w:b/>
          <w:bCs/>
          <w:sz w:val="24"/>
          <w:szCs w:val="24"/>
          <w:lang w:val="en-IN"/>
        </w:rPr>
        <w:t>2. Trend of Gross and Net NPAs</w:t>
      </w:r>
    </w:p>
    <w:p w14:paraId="2F5349C8" w14:textId="77777777" w:rsidR="00E43A56" w:rsidRPr="002F0B8E" w:rsidRDefault="00E43A56" w:rsidP="00E43A56">
      <w:pPr>
        <w:numPr>
          <w:ilvl w:val="0"/>
          <w:numId w:val="27"/>
        </w:numPr>
        <w:spacing w:line="360" w:lineRule="auto"/>
        <w:jc w:val="both"/>
        <w:rPr>
          <w:sz w:val="24"/>
          <w:szCs w:val="24"/>
          <w:lang w:val="en-IN"/>
        </w:rPr>
      </w:pPr>
      <w:r w:rsidRPr="002F0B8E">
        <w:rPr>
          <w:sz w:val="24"/>
          <w:szCs w:val="24"/>
          <w:lang w:val="en-IN"/>
        </w:rPr>
        <w:t>Gross NPAs rose sharply after 2014, peaking at 17.54% in 2018, driven largely by the Reserve Bank of India’s Asset Quality Review (AQR).</w:t>
      </w:r>
    </w:p>
    <w:p w14:paraId="2942407E" w14:textId="77777777" w:rsidR="00E43A56" w:rsidRPr="002F0B8E" w:rsidRDefault="00E43A56" w:rsidP="00E43A56">
      <w:pPr>
        <w:numPr>
          <w:ilvl w:val="0"/>
          <w:numId w:val="27"/>
        </w:numPr>
        <w:spacing w:line="360" w:lineRule="auto"/>
        <w:jc w:val="both"/>
        <w:rPr>
          <w:sz w:val="24"/>
          <w:szCs w:val="24"/>
          <w:lang w:val="en-IN"/>
        </w:rPr>
      </w:pPr>
      <w:r w:rsidRPr="002F0B8E">
        <w:rPr>
          <w:sz w:val="24"/>
          <w:szCs w:val="24"/>
          <w:lang w:val="en-IN"/>
        </w:rPr>
        <w:t>Net NPAs followed a similar trend, increasing steeply after 2015 and peaking at 11.24% in 2018, before slightly improving in 2019 due to resolution mechanisms like the Insolvency and Bankruptcy Code (IBC).</w:t>
      </w:r>
    </w:p>
    <w:p w14:paraId="6DB0FC82" w14:textId="77777777" w:rsidR="00E43A56" w:rsidRPr="002F0B8E" w:rsidRDefault="00E43A56" w:rsidP="00E43A56">
      <w:pPr>
        <w:spacing w:line="360" w:lineRule="auto"/>
        <w:ind w:left="720"/>
        <w:jc w:val="both"/>
        <w:rPr>
          <w:sz w:val="24"/>
          <w:szCs w:val="24"/>
          <w:lang w:val="en-IN"/>
        </w:rPr>
      </w:pPr>
    </w:p>
    <w:p w14:paraId="39D40628" w14:textId="77777777" w:rsidR="00E43A56" w:rsidRPr="002F0B8E" w:rsidRDefault="00E43A56" w:rsidP="00E43A56">
      <w:pPr>
        <w:spacing w:line="360" w:lineRule="auto"/>
        <w:jc w:val="both"/>
        <w:rPr>
          <w:b/>
          <w:bCs/>
          <w:sz w:val="24"/>
          <w:szCs w:val="24"/>
          <w:lang w:val="en-IN"/>
        </w:rPr>
      </w:pPr>
      <w:r w:rsidRPr="002F0B8E">
        <w:rPr>
          <w:b/>
          <w:bCs/>
          <w:sz w:val="24"/>
          <w:szCs w:val="24"/>
          <w:lang w:val="en-IN"/>
        </w:rPr>
        <w:t>3. Correlation Between Variables</w:t>
      </w:r>
    </w:p>
    <w:p w14:paraId="15FCFAFC" w14:textId="77777777" w:rsidR="00E43A56" w:rsidRPr="002F0B8E" w:rsidRDefault="00E43A56" w:rsidP="00E43A56">
      <w:pPr>
        <w:numPr>
          <w:ilvl w:val="0"/>
          <w:numId w:val="28"/>
        </w:numPr>
        <w:spacing w:line="360" w:lineRule="auto"/>
        <w:jc w:val="both"/>
        <w:rPr>
          <w:sz w:val="24"/>
          <w:szCs w:val="24"/>
          <w:lang w:val="en-IN"/>
        </w:rPr>
      </w:pPr>
      <w:r w:rsidRPr="002F0B8E">
        <w:rPr>
          <w:sz w:val="24"/>
          <w:szCs w:val="24"/>
          <w:lang w:val="en-IN"/>
        </w:rPr>
        <w:t>Share Capital and Gross NPA: A moderate to strong positive correlation was found (</w:t>
      </w:r>
      <w:r w:rsidRPr="002F0B8E">
        <w:rPr>
          <w:i/>
          <w:iCs/>
          <w:sz w:val="24"/>
          <w:szCs w:val="24"/>
          <w:lang w:val="en-IN"/>
        </w:rPr>
        <w:t>r = 0.712</w:t>
      </w:r>
      <w:r w:rsidRPr="002F0B8E">
        <w:rPr>
          <w:sz w:val="24"/>
          <w:szCs w:val="24"/>
          <w:lang w:val="en-IN"/>
        </w:rPr>
        <w:t xml:space="preserve">, </w:t>
      </w:r>
      <w:r w:rsidRPr="002F0B8E">
        <w:rPr>
          <w:i/>
          <w:iCs/>
          <w:sz w:val="24"/>
          <w:szCs w:val="24"/>
          <w:lang w:val="en-IN"/>
        </w:rPr>
        <w:t>p = 0.021</w:t>
      </w:r>
      <w:r w:rsidRPr="002F0B8E">
        <w:rPr>
          <w:sz w:val="24"/>
          <w:szCs w:val="24"/>
          <w:lang w:val="en-IN"/>
        </w:rPr>
        <w:t>), indicating that increases in share capital coincided with rising NPAs.</w:t>
      </w:r>
    </w:p>
    <w:p w14:paraId="25354FD8" w14:textId="77777777" w:rsidR="00E43A56" w:rsidRPr="002F0B8E" w:rsidRDefault="00E43A56" w:rsidP="00E43A56">
      <w:pPr>
        <w:numPr>
          <w:ilvl w:val="0"/>
          <w:numId w:val="28"/>
        </w:numPr>
        <w:spacing w:line="360" w:lineRule="auto"/>
        <w:jc w:val="both"/>
        <w:rPr>
          <w:sz w:val="24"/>
          <w:szCs w:val="24"/>
          <w:lang w:val="en-IN"/>
        </w:rPr>
      </w:pPr>
      <w:r w:rsidRPr="002F0B8E">
        <w:rPr>
          <w:sz w:val="24"/>
          <w:szCs w:val="24"/>
          <w:lang w:val="en-IN"/>
        </w:rPr>
        <w:t>Loans &amp; Advances and Gross NPA: A very strong positive correlation (</w:t>
      </w:r>
      <w:r w:rsidRPr="002F0B8E">
        <w:rPr>
          <w:i/>
          <w:iCs/>
          <w:sz w:val="24"/>
          <w:szCs w:val="24"/>
          <w:lang w:val="en-IN"/>
        </w:rPr>
        <w:t>r = 0.898</w:t>
      </w:r>
      <w:r w:rsidRPr="002F0B8E">
        <w:rPr>
          <w:sz w:val="24"/>
          <w:szCs w:val="24"/>
          <w:lang w:val="en-IN"/>
        </w:rPr>
        <w:t xml:space="preserve">, </w:t>
      </w:r>
      <w:r w:rsidRPr="002F0B8E">
        <w:rPr>
          <w:i/>
          <w:iCs/>
          <w:sz w:val="24"/>
          <w:szCs w:val="24"/>
          <w:lang w:val="en-IN"/>
        </w:rPr>
        <w:t>p &lt; 0.001</w:t>
      </w:r>
      <w:r w:rsidRPr="002F0B8E">
        <w:rPr>
          <w:sz w:val="24"/>
          <w:szCs w:val="24"/>
          <w:lang w:val="en-IN"/>
        </w:rPr>
        <w:t>) was observed, implying that higher credit exposure was closely associated with higher bad loans.</w:t>
      </w:r>
    </w:p>
    <w:p w14:paraId="0944D116" w14:textId="77777777" w:rsidR="00E43A56" w:rsidRPr="002F0B8E" w:rsidRDefault="00E43A56" w:rsidP="00E43A56">
      <w:pPr>
        <w:numPr>
          <w:ilvl w:val="0"/>
          <w:numId w:val="28"/>
        </w:numPr>
        <w:spacing w:line="360" w:lineRule="auto"/>
        <w:jc w:val="both"/>
        <w:rPr>
          <w:sz w:val="24"/>
          <w:szCs w:val="24"/>
          <w:lang w:val="en-IN"/>
        </w:rPr>
      </w:pPr>
      <w:r w:rsidRPr="002F0B8E">
        <w:rPr>
          <w:sz w:val="24"/>
          <w:szCs w:val="24"/>
          <w:lang w:val="en-IN"/>
        </w:rPr>
        <w:t>Loans &amp; Advances and Net NPA: Also showed a strong correlation (</w:t>
      </w:r>
      <w:r w:rsidRPr="002F0B8E">
        <w:rPr>
          <w:i/>
          <w:iCs/>
          <w:sz w:val="24"/>
          <w:szCs w:val="24"/>
          <w:lang w:val="en-IN"/>
        </w:rPr>
        <w:t>r = 0.864</w:t>
      </w:r>
      <w:r w:rsidRPr="002F0B8E">
        <w:rPr>
          <w:sz w:val="24"/>
          <w:szCs w:val="24"/>
          <w:lang w:val="en-IN"/>
        </w:rPr>
        <w:t xml:space="preserve">, </w:t>
      </w:r>
      <w:r w:rsidRPr="002F0B8E">
        <w:rPr>
          <w:i/>
          <w:iCs/>
          <w:sz w:val="24"/>
          <w:szCs w:val="24"/>
          <w:lang w:val="en-IN"/>
        </w:rPr>
        <w:t>p = 0.001</w:t>
      </w:r>
      <w:r w:rsidRPr="002F0B8E">
        <w:rPr>
          <w:sz w:val="24"/>
          <w:szCs w:val="24"/>
          <w:lang w:val="en-IN"/>
        </w:rPr>
        <w:t>), reinforcing the notion that increased lending without adequate risk control contributed significantly to asset quality deterioration.</w:t>
      </w:r>
    </w:p>
    <w:p w14:paraId="3015F4A3" w14:textId="77777777" w:rsidR="00E43A56" w:rsidRDefault="00E43A56" w:rsidP="00E43A56">
      <w:pPr>
        <w:spacing w:line="360" w:lineRule="auto"/>
        <w:jc w:val="both"/>
        <w:rPr>
          <w:b/>
          <w:bCs/>
          <w:sz w:val="24"/>
          <w:szCs w:val="24"/>
          <w:lang w:val="en-IN"/>
        </w:rPr>
      </w:pPr>
    </w:p>
    <w:p w14:paraId="5556DB2B" w14:textId="77777777" w:rsidR="00E43A56" w:rsidRPr="002F0B8E" w:rsidRDefault="00E43A56" w:rsidP="00E43A56">
      <w:pPr>
        <w:spacing w:line="360" w:lineRule="auto"/>
        <w:jc w:val="both"/>
        <w:rPr>
          <w:b/>
          <w:bCs/>
          <w:sz w:val="24"/>
          <w:szCs w:val="24"/>
          <w:lang w:val="en-IN"/>
        </w:rPr>
      </w:pPr>
      <w:r w:rsidRPr="002F0B8E">
        <w:rPr>
          <w:b/>
          <w:bCs/>
          <w:sz w:val="24"/>
          <w:szCs w:val="24"/>
          <w:lang w:val="en-IN"/>
        </w:rPr>
        <w:lastRenderedPageBreak/>
        <w:t>Interpretation</w:t>
      </w:r>
    </w:p>
    <w:p w14:paraId="0022E52E" w14:textId="77777777" w:rsidR="00E43A56" w:rsidRPr="0071766F" w:rsidRDefault="00E43A56" w:rsidP="00E43A56">
      <w:pPr>
        <w:spacing w:line="360" w:lineRule="auto"/>
        <w:jc w:val="both"/>
        <w:rPr>
          <w:sz w:val="24"/>
          <w:szCs w:val="24"/>
          <w:lang w:val="en-IN"/>
        </w:rPr>
      </w:pPr>
      <w:r w:rsidRPr="0071766F">
        <w:rPr>
          <w:sz w:val="24"/>
          <w:szCs w:val="24"/>
          <w:lang w:val="en-IN"/>
        </w:rPr>
        <w:t>These findings disprove the null hypotheses, confirming statistically significant relationships between the studied variables. The results suggest that while capital and credit expansion are essential for bank growth, they must be accompanied by robust risk management, credit appraisal, and recovery mechanisms to prevent asset quality from deteriorating.</w:t>
      </w:r>
    </w:p>
    <w:p w14:paraId="55BEC00B" w14:textId="77777777" w:rsidR="00E43A56" w:rsidRPr="008B3D09" w:rsidRDefault="00E43A56" w:rsidP="00E43A56">
      <w:pPr>
        <w:spacing w:line="360" w:lineRule="auto"/>
        <w:jc w:val="both"/>
        <w:rPr>
          <w:sz w:val="24"/>
          <w:szCs w:val="24"/>
        </w:rPr>
      </w:pPr>
    </w:p>
    <w:p w14:paraId="11DA57E4" w14:textId="77777777" w:rsidR="00E43A56" w:rsidRPr="008B3D09" w:rsidRDefault="00E43A56" w:rsidP="00E43A56">
      <w:pPr>
        <w:pStyle w:val="ListParagraph"/>
      </w:pPr>
      <w:r w:rsidRPr="008B3D09">
        <w:t>Conclusion:</w:t>
      </w:r>
    </w:p>
    <w:p w14:paraId="006A8B4A" w14:textId="77777777" w:rsidR="00E43A56" w:rsidRPr="008B3D09" w:rsidRDefault="00E43A56" w:rsidP="00E43A56">
      <w:pPr>
        <w:spacing w:line="360" w:lineRule="auto"/>
        <w:jc w:val="both"/>
        <w:rPr>
          <w:sz w:val="24"/>
          <w:szCs w:val="24"/>
        </w:rPr>
      </w:pPr>
    </w:p>
    <w:p w14:paraId="126E57F9" w14:textId="77777777" w:rsidR="00E43A56" w:rsidRPr="008B3D09" w:rsidRDefault="00E43A56" w:rsidP="00E43A56">
      <w:pPr>
        <w:widowControl/>
        <w:autoSpaceDE/>
        <w:autoSpaceDN/>
        <w:spacing w:before="100" w:beforeAutospacing="1" w:after="100" w:afterAutospacing="1" w:line="360" w:lineRule="auto"/>
        <w:ind w:firstLine="525"/>
        <w:jc w:val="both"/>
        <w:rPr>
          <w:sz w:val="24"/>
          <w:szCs w:val="24"/>
          <w:lang w:val="en-IN" w:eastAsia="en-IN" w:bidi="hi-IN"/>
        </w:rPr>
      </w:pPr>
      <w:r w:rsidRPr="008B3D09">
        <w:rPr>
          <w:sz w:val="24"/>
          <w:szCs w:val="24"/>
          <w:lang w:val="en-IN" w:eastAsia="en-IN" w:bidi="hi-IN"/>
        </w:rPr>
        <w:t xml:space="preserve">This study has highlighted the critical and persistent issue of Non-Performing Assets (NPAs) in Punjab National Bank (PNB) since 2010, using statistical correlation analysis to examine the relationship between NPAs and key financial variables such as share capital and loans &amp; advances. The findings reveal a strong and statistically significant positive correlation between Gross/Net NPAs and both share capital and advances. This underscores that while the bank has expanded its lending operations and received increased capital infusion, these measures alone have not effectively contained the rise in </w:t>
      </w:r>
      <w:proofErr w:type="spellStart"/>
      <w:r w:rsidRPr="008B3D09">
        <w:rPr>
          <w:sz w:val="24"/>
          <w:szCs w:val="24"/>
          <w:lang w:val="en-IN" w:eastAsia="en-IN" w:bidi="hi-IN"/>
        </w:rPr>
        <w:t>NPAs.The</w:t>
      </w:r>
      <w:proofErr w:type="spellEnd"/>
      <w:r w:rsidRPr="008B3D09">
        <w:rPr>
          <w:sz w:val="24"/>
          <w:szCs w:val="24"/>
          <w:lang w:val="en-IN" w:eastAsia="en-IN" w:bidi="hi-IN"/>
        </w:rPr>
        <w:t xml:space="preserve"> results suggest that the growing volume of NPAs is deeply embedded in structural inefficiencies related to credit appraisal, loan monitoring, and recovery systems. The study’s evidence supports the call for a more strategic and disciplined lending framework, where growth in advances is matched by robust credit risk management practices and sectoral prudence.</w:t>
      </w:r>
    </w:p>
    <w:p w14:paraId="2E31A6E1" w14:textId="77777777" w:rsidR="00E43A56" w:rsidRPr="008B3D09" w:rsidRDefault="00E43A56" w:rsidP="00E43A56">
      <w:pPr>
        <w:widowControl/>
        <w:autoSpaceDE/>
        <w:autoSpaceDN/>
        <w:spacing w:before="100" w:beforeAutospacing="1" w:after="100" w:afterAutospacing="1" w:line="360" w:lineRule="auto"/>
        <w:ind w:firstLine="525"/>
        <w:jc w:val="both"/>
        <w:rPr>
          <w:sz w:val="24"/>
          <w:szCs w:val="24"/>
          <w:lang w:val="en-IN" w:eastAsia="en-IN" w:bidi="hi-IN"/>
        </w:rPr>
      </w:pPr>
      <w:r w:rsidRPr="008B3D09">
        <w:rPr>
          <w:sz w:val="24"/>
          <w:szCs w:val="24"/>
          <w:lang w:val="en-IN" w:eastAsia="en-IN" w:bidi="hi-IN"/>
        </w:rPr>
        <w:t>Furthermore, the correlation between increased capital and rising NPAs suggests that recapitalization of banks without parallel governance reforms is unlikely to yield lasting improvement. Therefore, tackling the NPA crisis requires not only regulatory oversight and policy reform, but also internal institutional restructuring to improve operational efficiency and accountability.</w:t>
      </w:r>
    </w:p>
    <w:p w14:paraId="41DBC64A" w14:textId="77777777" w:rsidR="00E43A56" w:rsidRPr="008B3D09" w:rsidRDefault="00E43A56" w:rsidP="00E43A56">
      <w:pPr>
        <w:widowControl/>
        <w:autoSpaceDE/>
        <w:autoSpaceDN/>
        <w:spacing w:before="100" w:beforeAutospacing="1" w:after="100" w:afterAutospacing="1" w:line="360" w:lineRule="auto"/>
        <w:ind w:firstLine="525"/>
        <w:jc w:val="both"/>
        <w:rPr>
          <w:sz w:val="24"/>
          <w:szCs w:val="24"/>
          <w:lang w:val="en-IN" w:eastAsia="en-IN" w:bidi="hi-IN"/>
        </w:rPr>
      </w:pPr>
      <w:r w:rsidRPr="008B3D09">
        <w:rPr>
          <w:sz w:val="24"/>
          <w:szCs w:val="24"/>
          <w:lang w:val="en-IN" w:eastAsia="en-IN" w:bidi="hi-IN"/>
        </w:rPr>
        <w:t>In conclusion, while the study has provided valuable insights into the NPA trends in PNB, its implications are broadly applicable across the Indian banking sector. With coordinated policy intervention, improved financial discipline, and modern risk assessment tools, banks can move toward sustainable growth while mitigating the risk of future asset deterioration.</w:t>
      </w:r>
    </w:p>
    <w:p w14:paraId="03937009" w14:textId="77777777" w:rsidR="00E43A56" w:rsidRDefault="00E43A56" w:rsidP="00E43A56">
      <w:pPr>
        <w:spacing w:line="360" w:lineRule="auto"/>
        <w:jc w:val="both"/>
        <w:rPr>
          <w:sz w:val="24"/>
          <w:szCs w:val="24"/>
          <w:lang w:val="en-IN"/>
        </w:rPr>
      </w:pPr>
    </w:p>
    <w:p w14:paraId="3E5C131A" w14:textId="77777777" w:rsidR="002334BA" w:rsidRPr="002334BA" w:rsidRDefault="002334BA" w:rsidP="002334BA">
      <w:pPr>
        <w:rPr>
          <w:highlight w:val="yellow"/>
        </w:rPr>
      </w:pPr>
      <w:r w:rsidRPr="002334BA">
        <w:rPr>
          <w:highlight w:val="yellow"/>
        </w:rPr>
        <w:t>Disclaimer (Artificial intelligence)</w:t>
      </w:r>
    </w:p>
    <w:p w14:paraId="6D559B6B" w14:textId="77777777" w:rsidR="002334BA" w:rsidRPr="002334BA" w:rsidRDefault="002334BA" w:rsidP="002334BA">
      <w:pPr>
        <w:rPr>
          <w:highlight w:val="yellow"/>
        </w:rPr>
      </w:pPr>
      <w:r w:rsidRPr="002334BA">
        <w:rPr>
          <w:highlight w:val="yellow"/>
        </w:rPr>
        <w:t xml:space="preserve">Option 1: </w:t>
      </w:r>
    </w:p>
    <w:p w14:paraId="083842F3" w14:textId="77777777" w:rsidR="002334BA" w:rsidRPr="002334BA" w:rsidRDefault="002334BA" w:rsidP="002334BA">
      <w:pPr>
        <w:rPr>
          <w:highlight w:val="yellow"/>
        </w:rPr>
      </w:pPr>
      <w:r w:rsidRPr="002334BA">
        <w:rPr>
          <w:highlight w:val="yellow"/>
        </w:rPr>
        <w:t xml:space="preserve">Author(s) hereby declare that NO generative AI technologies such as Large Language Models (ChatGPT, COPILOT, etc.) and text-to-image generators have been used during the writing or editing of this manuscript. </w:t>
      </w:r>
    </w:p>
    <w:p w14:paraId="716D071E" w14:textId="77777777" w:rsidR="002334BA" w:rsidRPr="002334BA" w:rsidRDefault="002334BA" w:rsidP="002334BA">
      <w:pPr>
        <w:rPr>
          <w:highlight w:val="yellow"/>
        </w:rPr>
      </w:pPr>
      <w:r w:rsidRPr="002334BA">
        <w:rPr>
          <w:highlight w:val="yellow"/>
        </w:rPr>
        <w:t xml:space="preserve">Option 2: </w:t>
      </w:r>
    </w:p>
    <w:p w14:paraId="7EB6F57E" w14:textId="77777777" w:rsidR="002334BA" w:rsidRPr="002334BA" w:rsidRDefault="002334BA" w:rsidP="002334BA">
      <w:pPr>
        <w:rPr>
          <w:highlight w:val="yellow"/>
        </w:rPr>
      </w:pPr>
      <w:r w:rsidRPr="002334BA">
        <w:rPr>
          <w:highlight w:val="yellow"/>
        </w:rP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w:t>
      </w:r>
      <w:r w:rsidRPr="002334BA">
        <w:rPr>
          <w:highlight w:val="yellow"/>
        </w:rPr>
        <w:lastRenderedPageBreak/>
        <w:t>technology</w:t>
      </w:r>
    </w:p>
    <w:p w14:paraId="4BF4DCAE" w14:textId="77777777" w:rsidR="002334BA" w:rsidRPr="002334BA" w:rsidRDefault="002334BA" w:rsidP="002334BA">
      <w:pPr>
        <w:rPr>
          <w:highlight w:val="yellow"/>
        </w:rPr>
      </w:pPr>
      <w:r w:rsidRPr="002334BA">
        <w:rPr>
          <w:highlight w:val="yellow"/>
        </w:rPr>
        <w:t>Details of the AI usage are given below:</w:t>
      </w:r>
    </w:p>
    <w:p w14:paraId="0BC2ED6F" w14:textId="77777777" w:rsidR="002334BA" w:rsidRPr="002334BA" w:rsidRDefault="002334BA" w:rsidP="002334BA">
      <w:pPr>
        <w:rPr>
          <w:highlight w:val="yellow"/>
        </w:rPr>
      </w:pPr>
      <w:r w:rsidRPr="002334BA">
        <w:rPr>
          <w:highlight w:val="yellow"/>
        </w:rPr>
        <w:t>1.</w:t>
      </w:r>
    </w:p>
    <w:p w14:paraId="501B7638" w14:textId="77777777" w:rsidR="002334BA" w:rsidRPr="002334BA" w:rsidRDefault="002334BA" w:rsidP="002334BA">
      <w:pPr>
        <w:rPr>
          <w:highlight w:val="yellow"/>
        </w:rPr>
      </w:pPr>
      <w:r w:rsidRPr="002334BA">
        <w:rPr>
          <w:highlight w:val="yellow"/>
        </w:rPr>
        <w:t>2.</w:t>
      </w:r>
    </w:p>
    <w:p w14:paraId="48931357" w14:textId="77777777" w:rsidR="002334BA" w:rsidRPr="0053103C" w:rsidRDefault="002334BA" w:rsidP="002334BA">
      <w:r w:rsidRPr="002334BA">
        <w:rPr>
          <w:highlight w:val="yellow"/>
        </w:rPr>
        <w:t>3.</w:t>
      </w:r>
    </w:p>
    <w:p w14:paraId="2752DE16" w14:textId="77777777" w:rsidR="002334BA" w:rsidRPr="002334BA" w:rsidRDefault="002334BA" w:rsidP="00E43A56">
      <w:pPr>
        <w:spacing w:line="360" w:lineRule="auto"/>
        <w:jc w:val="both"/>
        <w:rPr>
          <w:sz w:val="24"/>
          <w:szCs w:val="24"/>
          <w:lang w:val="en-IN"/>
        </w:rPr>
        <w:sectPr w:rsidR="002334BA" w:rsidRPr="002334BA">
          <w:headerReference w:type="default" r:id="rId12"/>
          <w:footerReference w:type="default" r:id="rId13"/>
          <w:pgSz w:w="11910" w:h="16840"/>
          <w:pgMar w:top="1340" w:right="708" w:bottom="740" w:left="1417" w:header="362" w:footer="559" w:gutter="0"/>
          <w:cols w:space="720"/>
        </w:sectPr>
      </w:pPr>
    </w:p>
    <w:p w14:paraId="311EC204" w14:textId="77777777" w:rsidR="00E43A56" w:rsidRPr="008B3D09" w:rsidRDefault="00E43A56" w:rsidP="00E43A56">
      <w:pPr>
        <w:pStyle w:val="ListParagraph"/>
      </w:pPr>
      <w:r w:rsidRPr="008B3D09">
        <w:lastRenderedPageBreak/>
        <w:t>References</w:t>
      </w:r>
    </w:p>
    <w:p w14:paraId="0405ECFF" w14:textId="77777777" w:rsidR="00E43A56" w:rsidRPr="008B3D09" w:rsidRDefault="00E43A56" w:rsidP="00E43A56">
      <w:pPr>
        <w:spacing w:line="360" w:lineRule="auto"/>
        <w:jc w:val="both"/>
        <w:rPr>
          <w:sz w:val="24"/>
          <w:szCs w:val="24"/>
        </w:rPr>
      </w:pPr>
    </w:p>
    <w:p w14:paraId="7261A86F" w14:textId="77777777" w:rsidR="00E43A56" w:rsidRPr="008B3D09" w:rsidRDefault="00E43A56" w:rsidP="00E43A56">
      <w:pPr>
        <w:spacing w:before="100" w:beforeAutospacing="1" w:after="100" w:afterAutospacing="1" w:line="360" w:lineRule="auto"/>
        <w:jc w:val="both"/>
      </w:pPr>
      <w:proofErr w:type="gramStart"/>
      <w:r w:rsidRPr="008B3D09">
        <w:rPr>
          <w:sz w:val="24"/>
          <w:szCs w:val="24"/>
        </w:rPr>
        <w:t xml:space="preserve">  </w:t>
      </w:r>
      <w:r w:rsidRPr="00B31B4E">
        <w:rPr>
          <w:highlight w:val="yellow"/>
        </w:rPr>
        <w:t>Patel</w:t>
      </w:r>
      <w:proofErr w:type="gramEnd"/>
      <w:r w:rsidRPr="00B31B4E">
        <w:rPr>
          <w:highlight w:val="yellow"/>
        </w:rPr>
        <w:t>, V. &amp; Shah, K. (2023). An Analytical Study of Non-Performing Assets NPA in Various Sector - In the Context of ‘Bad Bank’. International Journal of Novel Research and Development. 8 (12). 816-817. Retrieved from https://www.ijnrd.org/papers/IJNRD2312391.pdf</w:t>
      </w:r>
      <w:r w:rsidRPr="008B3D09">
        <w:t xml:space="preserve"> </w:t>
      </w:r>
    </w:p>
    <w:p w14:paraId="27879433" w14:textId="77777777" w:rsidR="00E43A56" w:rsidRPr="008B3D09" w:rsidRDefault="00E43A56" w:rsidP="00E43A56">
      <w:pPr>
        <w:spacing w:before="100" w:beforeAutospacing="1" w:after="100" w:afterAutospacing="1" w:line="360" w:lineRule="auto"/>
        <w:jc w:val="both"/>
      </w:pPr>
      <w:r w:rsidRPr="008B3D09">
        <w:rPr>
          <w:sz w:val="24"/>
          <w:szCs w:val="24"/>
        </w:rPr>
        <w:t xml:space="preserve"> </w:t>
      </w:r>
      <w:r w:rsidRPr="00E84165">
        <w:rPr>
          <w:highlight w:val="yellow"/>
        </w:rPr>
        <w:t>Karunakar, M., “Are non - Performing Assets Gloomy or Greedy from Indian Perspective, Research Journal of Social Sciences, 3: 4-12, 2008</w:t>
      </w:r>
    </w:p>
    <w:p w14:paraId="174D3555" w14:textId="77777777" w:rsidR="00E43A56" w:rsidRPr="008B3D09" w:rsidRDefault="00E43A56" w:rsidP="00E43A56">
      <w:pPr>
        <w:spacing w:before="100" w:beforeAutospacing="1" w:after="100" w:afterAutospacing="1" w:line="360" w:lineRule="auto"/>
        <w:jc w:val="both"/>
        <w:rPr>
          <w:sz w:val="24"/>
          <w:szCs w:val="24"/>
        </w:rPr>
      </w:pPr>
      <w:proofErr w:type="gramStart"/>
      <w:r w:rsidRPr="008B3D09">
        <w:rPr>
          <w:sz w:val="24"/>
          <w:szCs w:val="24"/>
        </w:rPr>
        <w:t xml:space="preserve">  </w:t>
      </w:r>
      <w:r w:rsidRPr="00D94AD8">
        <w:rPr>
          <w:highlight w:val="yellow"/>
        </w:rPr>
        <w:t>Renuka</w:t>
      </w:r>
      <w:proofErr w:type="gramEnd"/>
      <w:r w:rsidRPr="00D94AD8">
        <w:rPr>
          <w:highlight w:val="yellow"/>
        </w:rPr>
        <w:t>, A. &amp; Divya, P. (2023). A study on impact of non – performing assets on the profitability of banks. Journal of Management. 10 (1). 26-27. DOI: https://doi.org/10.17605/OSF.IO/KACDF</w:t>
      </w:r>
    </w:p>
    <w:p w14:paraId="0803B854" w14:textId="77777777" w:rsidR="00E43A56" w:rsidRPr="008B3D09" w:rsidRDefault="00E43A56" w:rsidP="00E43A56">
      <w:pPr>
        <w:spacing w:before="100" w:beforeAutospacing="1" w:after="100" w:afterAutospacing="1" w:line="360" w:lineRule="auto"/>
        <w:jc w:val="both"/>
        <w:rPr>
          <w:sz w:val="24"/>
          <w:szCs w:val="24"/>
        </w:rPr>
      </w:pPr>
      <w:proofErr w:type="gramStart"/>
      <w:r w:rsidRPr="008B3D09">
        <w:rPr>
          <w:sz w:val="24"/>
          <w:szCs w:val="24"/>
        </w:rPr>
        <w:t xml:space="preserve">  </w:t>
      </w:r>
      <w:r w:rsidRPr="007C09E1">
        <w:rPr>
          <w:highlight w:val="yellow"/>
        </w:rPr>
        <w:t>Rao</w:t>
      </w:r>
      <w:proofErr w:type="gramEnd"/>
      <w:r w:rsidRPr="007C09E1">
        <w:rPr>
          <w:highlight w:val="yellow"/>
        </w:rPr>
        <w:t>, M. &amp; Patel, A. (2015). A study on non-performing assets management with reference to public sector banks, private sector banks and foreign banks in India. Journal of Management and Science. DOI:10.26524/jms.2015.4</w:t>
      </w:r>
    </w:p>
    <w:p w14:paraId="11C315B5" w14:textId="77777777" w:rsidR="00E43A56" w:rsidRPr="008B3D09" w:rsidRDefault="00E43A56" w:rsidP="00E43A56">
      <w:pPr>
        <w:spacing w:before="100" w:beforeAutospacing="1" w:after="100" w:afterAutospacing="1" w:line="360" w:lineRule="auto"/>
        <w:jc w:val="both"/>
        <w:rPr>
          <w:sz w:val="24"/>
          <w:szCs w:val="24"/>
        </w:rPr>
      </w:pPr>
      <w:proofErr w:type="gramStart"/>
      <w:r w:rsidRPr="008B3D09">
        <w:rPr>
          <w:sz w:val="24"/>
          <w:szCs w:val="24"/>
        </w:rPr>
        <w:t xml:space="preserve">  </w:t>
      </w:r>
      <w:r w:rsidRPr="003A5C08">
        <w:rPr>
          <w:sz w:val="24"/>
          <w:szCs w:val="24"/>
          <w:highlight w:val="yellow"/>
        </w:rPr>
        <w:t>Gupta</w:t>
      </w:r>
      <w:proofErr w:type="gramEnd"/>
      <w:r w:rsidRPr="003A5C08">
        <w:rPr>
          <w:sz w:val="24"/>
          <w:szCs w:val="24"/>
          <w:highlight w:val="yellow"/>
        </w:rPr>
        <w:t xml:space="preserve">, A. (2010). </w:t>
      </w:r>
      <w:r w:rsidRPr="003A5C08">
        <w:rPr>
          <w:rStyle w:val="Emphasis"/>
          <w:sz w:val="24"/>
          <w:szCs w:val="24"/>
          <w:highlight w:val="yellow"/>
        </w:rPr>
        <w:t>Non-performing assets in Indian banks: Issues, perspectives and future directions</w:t>
      </w:r>
      <w:r w:rsidRPr="003A5C08">
        <w:rPr>
          <w:sz w:val="24"/>
          <w:szCs w:val="24"/>
          <w:highlight w:val="yellow"/>
        </w:rPr>
        <w:t>. LAP Lambert Academic Publishing.</w:t>
      </w:r>
    </w:p>
    <w:p w14:paraId="04247429" w14:textId="77777777" w:rsidR="00E43A56" w:rsidRPr="008B3D09" w:rsidRDefault="00E43A56" w:rsidP="00E43A56">
      <w:pPr>
        <w:spacing w:before="100" w:beforeAutospacing="1" w:after="100" w:afterAutospacing="1" w:line="360" w:lineRule="auto"/>
        <w:jc w:val="both"/>
        <w:rPr>
          <w:sz w:val="24"/>
          <w:szCs w:val="24"/>
        </w:rPr>
      </w:pPr>
      <w:proofErr w:type="gramStart"/>
      <w:r w:rsidRPr="008B3D09">
        <w:rPr>
          <w:sz w:val="24"/>
          <w:szCs w:val="24"/>
        </w:rPr>
        <w:t xml:space="preserve">  </w:t>
      </w:r>
      <w:r w:rsidRPr="00A819B9">
        <w:rPr>
          <w:highlight w:val="yellow"/>
        </w:rPr>
        <w:t>Karunakar</w:t>
      </w:r>
      <w:proofErr w:type="gramEnd"/>
      <w:r w:rsidRPr="00A819B9">
        <w:rPr>
          <w:highlight w:val="yellow"/>
        </w:rPr>
        <w:t>, M., “Are non -Performing Assets Gloomy or Greedy from Indian Perspective, Research Journal of Social Sciences, 3: 4-12, 2008</w:t>
      </w:r>
      <w:r w:rsidRPr="00A819B9">
        <w:rPr>
          <w:sz w:val="24"/>
          <w:szCs w:val="24"/>
          <w:highlight w:val="yellow"/>
        </w:rPr>
        <w:t>.</w:t>
      </w:r>
    </w:p>
    <w:p w14:paraId="0588ED3D" w14:textId="77777777" w:rsidR="00E43A56" w:rsidRPr="008B3D09" w:rsidRDefault="00E43A56" w:rsidP="00E43A56">
      <w:pPr>
        <w:spacing w:before="100" w:beforeAutospacing="1" w:after="100" w:afterAutospacing="1" w:line="360" w:lineRule="auto"/>
        <w:jc w:val="both"/>
        <w:rPr>
          <w:sz w:val="24"/>
          <w:szCs w:val="24"/>
        </w:rPr>
      </w:pPr>
      <w:proofErr w:type="gramStart"/>
      <w:r w:rsidRPr="008B3D09">
        <w:rPr>
          <w:sz w:val="24"/>
          <w:szCs w:val="24"/>
        </w:rPr>
        <w:t xml:space="preserve">  </w:t>
      </w:r>
      <w:proofErr w:type="spellStart"/>
      <w:r w:rsidRPr="00C7255F">
        <w:rPr>
          <w:highlight w:val="yellow"/>
        </w:rPr>
        <w:t>Gnawali</w:t>
      </w:r>
      <w:proofErr w:type="spellEnd"/>
      <w:proofErr w:type="gramEnd"/>
      <w:r w:rsidRPr="00C7255F">
        <w:rPr>
          <w:highlight w:val="yellow"/>
        </w:rPr>
        <w:t>, A. (2018). Non-Performing Asset and its Effects on Profitability of Nepalese Commercial Banks. International Journal of Research in Business Studies and Management. 5 (9). 39-40. Retrieved from https://www.ijrbsm.org/papers/v5-i9/5.pdf</w:t>
      </w:r>
      <w:r w:rsidRPr="00C7255F">
        <w:rPr>
          <w:sz w:val="24"/>
          <w:szCs w:val="24"/>
          <w:highlight w:val="yellow"/>
        </w:rPr>
        <w:t>.</w:t>
      </w:r>
    </w:p>
    <w:p w14:paraId="7306488C" w14:textId="77777777" w:rsidR="00E43A56" w:rsidRPr="008B3D09" w:rsidRDefault="00E43A56" w:rsidP="00E43A56">
      <w:pPr>
        <w:spacing w:before="100" w:beforeAutospacing="1" w:after="100" w:afterAutospacing="1" w:line="360" w:lineRule="auto"/>
        <w:jc w:val="both"/>
        <w:rPr>
          <w:sz w:val="24"/>
          <w:szCs w:val="24"/>
        </w:rPr>
      </w:pPr>
      <w:proofErr w:type="gramStart"/>
      <w:r w:rsidRPr="008B3D09">
        <w:rPr>
          <w:sz w:val="24"/>
          <w:szCs w:val="24"/>
        </w:rPr>
        <w:t xml:space="preserve">  </w:t>
      </w:r>
      <w:r w:rsidRPr="00FB0EC3">
        <w:rPr>
          <w:highlight w:val="yellow"/>
        </w:rPr>
        <w:t>Satyanarayana</w:t>
      </w:r>
      <w:proofErr w:type="gramEnd"/>
      <w:r w:rsidRPr="00FB0EC3">
        <w:rPr>
          <w:highlight w:val="yellow"/>
        </w:rPr>
        <w:t>, S. (2016). Non-Performing Assets of Commercial Banks in India - A Study. International Journal of Trend in Research and Development, 3(6), 168-169. Retrieved from https://www.ijtrd.com/papers/ijtrd4363.pdf</w:t>
      </w:r>
    </w:p>
    <w:p w14:paraId="0BADDB9E" w14:textId="77777777" w:rsidR="00E43A56" w:rsidRPr="008B3D09" w:rsidRDefault="00E43A56" w:rsidP="00E43A56">
      <w:pPr>
        <w:spacing w:before="100" w:beforeAutospacing="1" w:after="100" w:afterAutospacing="1" w:line="360" w:lineRule="auto"/>
        <w:jc w:val="both"/>
        <w:rPr>
          <w:sz w:val="24"/>
          <w:szCs w:val="24"/>
        </w:rPr>
      </w:pPr>
      <w:proofErr w:type="gramStart"/>
      <w:r w:rsidRPr="008B3D09">
        <w:rPr>
          <w:sz w:val="24"/>
          <w:szCs w:val="24"/>
        </w:rPr>
        <w:t xml:space="preserve">  </w:t>
      </w:r>
      <w:proofErr w:type="spellStart"/>
      <w:r w:rsidRPr="009033F2">
        <w:rPr>
          <w:highlight w:val="yellow"/>
        </w:rPr>
        <w:t>Selvarajan</w:t>
      </w:r>
      <w:proofErr w:type="spellEnd"/>
      <w:proofErr w:type="gramEnd"/>
      <w:r w:rsidRPr="009033F2">
        <w:rPr>
          <w:highlight w:val="yellow"/>
        </w:rPr>
        <w:t xml:space="preserve">, B &amp; </w:t>
      </w:r>
      <w:proofErr w:type="spellStart"/>
      <w:r w:rsidRPr="009033F2">
        <w:rPr>
          <w:highlight w:val="yellow"/>
        </w:rPr>
        <w:t>Vadivalagan</w:t>
      </w:r>
      <w:proofErr w:type="spellEnd"/>
      <w:r w:rsidRPr="009033F2">
        <w:rPr>
          <w:highlight w:val="yellow"/>
        </w:rPr>
        <w:t>, G. (2013). A Study on Management of Non-Performing Assets in Priority Sector reference to Indian Bank and Public Sector Banks. Global Journal of Management and Business Research. 13 (1). Version 1, 101-102. Retrieved https://globaljournals.org/GJMBR_Volume13/10-A-Study-on-Management-ofNon.pdf</w:t>
      </w:r>
    </w:p>
    <w:p w14:paraId="27CEF86B" w14:textId="77777777" w:rsidR="00E43A56" w:rsidRPr="008B3D09" w:rsidRDefault="00E43A56" w:rsidP="00E43A56">
      <w:pPr>
        <w:spacing w:before="100" w:beforeAutospacing="1" w:after="100" w:afterAutospacing="1" w:line="360" w:lineRule="auto"/>
        <w:jc w:val="both"/>
        <w:rPr>
          <w:sz w:val="24"/>
          <w:szCs w:val="24"/>
        </w:rPr>
      </w:pPr>
      <w:proofErr w:type="gramStart"/>
      <w:r w:rsidRPr="008B3D09">
        <w:rPr>
          <w:sz w:val="24"/>
          <w:szCs w:val="24"/>
        </w:rPr>
        <w:t xml:space="preserve">  </w:t>
      </w:r>
      <w:r w:rsidRPr="00F6560A">
        <w:rPr>
          <w:highlight w:val="yellow"/>
        </w:rPr>
        <w:t>Sudha</w:t>
      </w:r>
      <w:proofErr w:type="gramEnd"/>
      <w:r w:rsidRPr="00F6560A">
        <w:rPr>
          <w:highlight w:val="yellow"/>
        </w:rPr>
        <w:t>, B. &amp; Mangai, R. (2020). Non-performing assets: reasons and remedies. International journal of scientific &amp; technology research. 8 (3). 1125-1126. Retrieved from https://www.ijstr.org/finalprint/mar2020/Non-performing-Assets-Reasons-And-Remedies.pdf</w:t>
      </w:r>
      <w:r w:rsidRPr="00F6560A">
        <w:rPr>
          <w:sz w:val="24"/>
          <w:szCs w:val="24"/>
          <w:highlight w:val="yellow"/>
        </w:rPr>
        <w:t>.</w:t>
      </w:r>
    </w:p>
    <w:p w14:paraId="763AA216" w14:textId="77777777" w:rsidR="00E43A56" w:rsidRPr="008B3D09" w:rsidRDefault="00E43A56" w:rsidP="00E43A56">
      <w:pPr>
        <w:spacing w:before="100" w:beforeAutospacing="1" w:after="100" w:afterAutospacing="1" w:line="360" w:lineRule="auto"/>
        <w:jc w:val="both"/>
        <w:rPr>
          <w:sz w:val="24"/>
          <w:szCs w:val="24"/>
        </w:rPr>
      </w:pPr>
      <w:proofErr w:type="gramStart"/>
      <w:r w:rsidRPr="008B3D09">
        <w:rPr>
          <w:sz w:val="24"/>
          <w:szCs w:val="24"/>
        </w:rPr>
        <w:lastRenderedPageBreak/>
        <w:t xml:space="preserve">  </w:t>
      </w:r>
      <w:r w:rsidRPr="00174BC8">
        <w:rPr>
          <w:highlight w:val="yellow"/>
        </w:rPr>
        <w:t>Prasad</w:t>
      </w:r>
      <w:proofErr w:type="gramEnd"/>
      <w:r w:rsidRPr="00174BC8">
        <w:rPr>
          <w:highlight w:val="yellow"/>
        </w:rPr>
        <w:t>, P. S. &amp; Prasad, P. B. (2020). Impact of non-performing assets on profitability in Nepalese Commercial Banks. Patan Pragya. 7 (1). 222-223.</w:t>
      </w:r>
    </w:p>
    <w:p w14:paraId="42692CA3" w14:textId="77777777" w:rsidR="00E43A56" w:rsidRPr="008B3D09" w:rsidRDefault="00E43A56" w:rsidP="00E43A56">
      <w:pPr>
        <w:spacing w:before="100" w:beforeAutospacing="1" w:after="100" w:afterAutospacing="1" w:line="360" w:lineRule="auto"/>
        <w:jc w:val="both"/>
        <w:rPr>
          <w:sz w:val="24"/>
          <w:szCs w:val="24"/>
        </w:rPr>
      </w:pPr>
      <w:proofErr w:type="gramStart"/>
      <w:r w:rsidRPr="008B3D09">
        <w:rPr>
          <w:sz w:val="24"/>
          <w:szCs w:val="24"/>
        </w:rPr>
        <w:t xml:space="preserve">  </w:t>
      </w:r>
      <w:r w:rsidRPr="00E96C22">
        <w:rPr>
          <w:highlight w:val="yellow"/>
        </w:rPr>
        <w:t>Pani</w:t>
      </w:r>
      <w:proofErr w:type="gramEnd"/>
      <w:r w:rsidRPr="00E96C22">
        <w:rPr>
          <w:highlight w:val="yellow"/>
        </w:rPr>
        <w:t>, P. K. (2022). Non-Performing Assets (NPA): Some Suggestions for Reducing NPA. International Journal of Advances in Engineering and Management. 4 (10). 68-69. Retrieved from https://ijaem.net/</w:t>
      </w:r>
    </w:p>
    <w:p w14:paraId="57E252CA" w14:textId="77777777" w:rsidR="00E43A56" w:rsidRPr="008B3D09" w:rsidRDefault="00E43A56" w:rsidP="00E43A56">
      <w:pPr>
        <w:spacing w:before="100" w:beforeAutospacing="1" w:after="100" w:afterAutospacing="1" w:line="360" w:lineRule="auto"/>
        <w:jc w:val="both"/>
        <w:rPr>
          <w:sz w:val="24"/>
          <w:szCs w:val="24"/>
        </w:rPr>
      </w:pPr>
      <w:proofErr w:type="gramStart"/>
      <w:r w:rsidRPr="008B3D09">
        <w:rPr>
          <w:sz w:val="24"/>
          <w:szCs w:val="24"/>
        </w:rPr>
        <w:t xml:space="preserve">  </w:t>
      </w:r>
      <w:r w:rsidRPr="00AC74D9">
        <w:rPr>
          <w:highlight w:val="yellow"/>
        </w:rPr>
        <w:t>Mohan</w:t>
      </w:r>
      <w:proofErr w:type="gramEnd"/>
      <w:r w:rsidRPr="00AC74D9">
        <w:rPr>
          <w:highlight w:val="yellow"/>
        </w:rPr>
        <w:t>, R., &amp; Ray, P. (2022). The roller coaster ride of non-performing assets in Indian banking. Centre for Social and Economic Progress</w:t>
      </w:r>
      <w:r w:rsidRPr="00AC74D9">
        <w:rPr>
          <w:sz w:val="24"/>
          <w:szCs w:val="24"/>
          <w:highlight w:val="yellow"/>
        </w:rPr>
        <w:t>.</w:t>
      </w:r>
    </w:p>
    <w:p w14:paraId="208EE69A" w14:textId="77777777" w:rsidR="00E43A56" w:rsidRPr="008B3D09" w:rsidRDefault="00E43A56" w:rsidP="00E43A56">
      <w:pPr>
        <w:spacing w:before="100" w:beforeAutospacing="1" w:after="100" w:afterAutospacing="1" w:line="360" w:lineRule="auto"/>
        <w:jc w:val="both"/>
        <w:rPr>
          <w:sz w:val="24"/>
          <w:szCs w:val="24"/>
        </w:rPr>
      </w:pPr>
      <w:proofErr w:type="gramStart"/>
      <w:r w:rsidRPr="008B3D09">
        <w:rPr>
          <w:sz w:val="24"/>
          <w:szCs w:val="24"/>
        </w:rPr>
        <w:t xml:space="preserve">  </w:t>
      </w:r>
      <w:r w:rsidRPr="009D2AE8">
        <w:rPr>
          <w:sz w:val="24"/>
          <w:szCs w:val="24"/>
          <w:highlight w:val="yellow"/>
        </w:rPr>
        <w:t>Tiwari</w:t>
      </w:r>
      <w:proofErr w:type="gramEnd"/>
      <w:r w:rsidRPr="009D2AE8">
        <w:rPr>
          <w:sz w:val="24"/>
          <w:szCs w:val="24"/>
          <w:highlight w:val="yellow"/>
        </w:rPr>
        <w:t xml:space="preserve">, C. (2015). A study on the causes of non-performing assets in selected co-operative banks in Pune. </w:t>
      </w:r>
      <w:r w:rsidRPr="009D2AE8">
        <w:rPr>
          <w:rStyle w:val="Emphasis"/>
          <w:sz w:val="24"/>
          <w:szCs w:val="24"/>
          <w:highlight w:val="yellow"/>
        </w:rPr>
        <w:t>International Journal of Advance Research, 3</w:t>
      </w:r>
      <w:r w:rsidRPr="009D2AE8">
        <w:rPr>
          <w:sz w:val="24"/>
          <w:szCs w:val="24"/>
          <w:highlight w:val="yellow"/>
        </w:rPr>
        <w:t>(6), 147–155. https://doi.org/10.21474/IJAR01/560</w:t>
      </w:r>
    </w:p>
    <w:p w14:paraId="253165E8" w14:textId="77777777" w:rsidR="00E43A56" w:rsidRPr="008339D0" w:rsidRDefault="00E43A56" w:rsidP="00E43A56">
      <w:pPr>
        <w:spacing w:before="100" w:beforeAutospacing="1" w:after="100" w:afterAutospacing="1" w:line="360" w:lineRule="auto"/>
        <w:jc w:val="both"/>
        <w:rPr>
          <w:sz w:val="24"/>
          <w:szCs w:val="24"/>
          <w:lang w:val="en-GB"/>
        </w:rPr>
      </w:pPr>
      <w:r w:rsidRPr="008B3D09">
        <w:rPr>
          <w:sz w:val="24"/>
          <w:szCs w:val="24"/>
        </w:rPr>
        <w:t xml:space="preserve"> </w:t>
      </w:r>
      <w:proofErr w:type="spellStart"/>
      <w:r w:rsidRPr="004133BD">
        <w:rPr>
          <w:sz w:val="24"/>
          <w:szCs w:val="24"/>
          <w:highlight w:val="yellow"/>
          <w:lang w:val="en-GB"/>
        </w:rPr>
        <w:t>Chrisostom</w:t>
      </w:r>
      <w:proofErr w:type="spellEnd"/>
      <w:r w:rsidRPr="004133BD">
        <w:rPr>
          <w:sz w:val="24"/>
          <w:szCs w:val="24"/>
          <w:highlight w:val="yellow"/>
          <w:lang w:val="en-GB"/>
        </w:rPr>
        <w:t xml:space="preserve"> N, Naho A, </w:t>
      </w:r>
      <w:proofErr w:type="spellStart"/>
      <w:r w:rsidRPr="004133BD">
        <w:rPr>
          <w:sz w:val="24"/>
          <w:szCs w:val="24"/>
          <w:highlight w:val="yellow"/>
          <w:lang w:val="en-GB"/>
        </w:rPr>
        <w:t>Mwonge</w:t>
      </w:r>
      <w:proofErr w:type="spellEnd"/>
      <w:r w:rsidRPr="004133BD">
        <w:rPr>
          <w:sz w:val="24"/>
          <w:szCs w:val="24"/>
          <w:highlight w:val="yellow"/>
          <w:lang w:val="en-GB"/>
        </w:rPr>
        <w:t xml:space="preserve"> LA. The Role of Commercial Bank Loans in Enhancing Financial Performance of Small and Medium-sized Enterprises in Morogoro Municipality, Tanzania. Asian J. Econ. </w:t>
      </w:r>
      <w:proofErr w:type="spellStart"/>
      <w:r w:rsidRPr="004133BD">
        <w:rPr>
          <w:sz w:val="24"/>
          <w:szCs w:val="24"/>
          <w:highlight w:val="yellow"/>
          <w:lang w:val="en-GB"/>
        </w:rPr>
        <w:t>Busin</w:t>
      </w:r>
      <w:proofErr w:type="spellEnd"/>
      <w:r w:rsidRPr="004133BD">
        <w:rPr>
          <w:sz w:val="24"/>
          <w:szCs w:val="24"/>
          <w:highlight w:val="yellow"/>
          <w:lang w:val="en-GB"/>
        </w:rPr>
        <w:t>. Acc. [Internet]. 2024 Sep. 6 [cited 2025 May 15];24(9):188-200. Available from: https://journalajeba.com/index.php/AJEBA/article/view/1485</w:t>
      </w:r>
    </w:p>
    <w:p w14:paraId="731F4574" w14:textId="77777777" w:rsidR="00E43A56" w:rsidRPr="008339D0" w:rsidRDefault="00E43A56" w:rsidP="00E43A56">
      <w:pPr>
        <w:spacing w:before="100" w:beforeAutospacing="1" w:after="100" w:afterAutospacing="1" w:line="360" w:lineRule="auto"/>
        <w:jc w:val="both"/>
        <w:rPr>
          <w:sz w:val="24"/>
          <w:szCs w:val="24"/>
        </w:rPr>
      </w:pPr>
      <w:r w:rsidRPr="008B3D09">
        <w:rPr>
          <w:sz w:val="24"/>
          <w:szCs w:val="24"/>
        </w:rPr>
        <w:t></w:t>
      </w:r>
      <w:r>
        <w:rPr>
          <w:sz w:val="24"/>
          <w:szCs w:val="24"/>
        </w:rPr>
        <w:t xml:space="preserve"> </w:t>
      </w:r>
      <w:r w:rsidRPr="00C81830">
        <w:rPr>
          <w:highlight w:val="yellow"/>
        </w:rPr>
        <w:t xml:space="preserve">Prasanth, S. Nivetha, P., Ramapriya, M., and </w:t>
      </w:r>
      <w:proofErr w:type="spellStart"/>
      <w:r w:rsidRPr="00C81830">
        <w:rPr>
          <w:highlight w:val="yellow"/>
        </w:rPr>
        <w:t>Sudhamathi</w:t>
      </w:r>
      <w:proofErr w:type="spellEnd"/>
      <w:r w:rsidRPr="00C81830">
        <w:rPr>
          <w:highlight w:val="yellow"/>
        </w:rPr>
        <w:t xml:space="preserve">, S. (2020). Factors Affecting </w:t>
      </w:r>
      <w:proofErr w:type="gramStart"/>
      <w:r w:rsidRPr="00C81830">
        <w:rPr>
          <w:highlight w:val="yellow"/>
        </w:rPr>
        <w:t>Non Performing</w:t>
      </w:r>
      <w:proofErr w:type="gramEnd"/>
      <w:r w:rsidRPr="00C81830">
        <w:rPr>
          <w:highlight w:val="yellow"/>
        </w:rPr>
        <w:t xml:space="preserve"> Loan in India. International journal of scientific &amp; technology research. 8 (1). 1654. See </w:t>
      </w:r>
      <w:hyperlink r:id="rId14" w:history="1">
        <w:r w:rsidRPr="00C81830">
          <w:rPr>
            <w:rStyle w:val="Hyperlink"/>
            <w:highlight w:val="yellow"/>
          </w:rPr>
          <w:t>https://www.ijstr.org/finalprint/jan2020/Factors-Affecting-Non-Performing-Loan-In-India-.pdf</w:t>
        </w:r>
      </w:hyperlink>
    </w:p>
    <w:p w14:paraId="11B85A9F" w14:textId="77777777" w:rsidR="00E43A56" w:rsidRPr="008B3D09" w:rsidRDefault="00E43A56" w:rsidP="00E43A56">
      <w:pPr>
        <w:spacing w:before="100" w:beforeAutospacing="1" w:after="100" w:afterAutospacing="1" w:line="360" w:lineRule="auto"/>
        <w:jc w:val="both"/>
        <w:rPr>
          <w:sz w:val="24"/>
          <w:szCs w:val="24"/>
        </w:rPr>
      </w:pPr>
      <w:r w:rsidRPr="008B3D09">
        <w:rPr>
          <w:sz w:val="24"/>
          <w:szCs w:val="24"/>
        </w:rPr>
        <w:t xml:space="preserve"> </w:t>
      </w:r>
      <w:r w:rsidRPr="00E512F6">
        <w:rPr>
          <w:sz w:val="24"/>
          <w:szCs w:val="24"/>
          <w:highlight w:val="yellow"/>
        </w:rPr>
        <w:t xml:space="preserve">Annual Report of Punjab National Bank. (2023-24). </w:t>
      </w:r>
      <w:hyperlink r:id="rId15" w:history="1">
        <w:r w:rsidRPr="00E512F6">
          <w:rPr>
            <w:rStyle w:val="Hyperlink"/>
            <w:sz w:val="24"/>
            <w:szCs w:val="24"/>
            <w:highlight w:val="yellow"/>
          </w:rPr>
          <w:t>https://www.pnbindia.in/annual-reports.html</w:t>
        </w:r>
      </w:hyperlink>
      <w:r w:rsidRPr="008B3D09">
        <w:rPr>
          <w:sz w:val="24"/>
          <w:szCs w:val="24"/>
        </w:rPr>
        <w:t xml:space="preserve"> </w:t>
      </w:r>
    </w:p>
    <w:p w14:paraId="68793364" w14:textId="77777777" w:rsidR="00AE471F" w:rsidRPr="00E43A56" w:rsidRDefault="00AE471F" w:rsidP="00E43A56">
      <w:bookmarkStart w:id="0" w:name="_GoBack"/>
      <w:bookmarkEnd w:id="0"/>
    </w:p>
    <w:sectPr w:rsidR="00AE471F" w:rsidRPr="00E43A56">
      <w:headerReference w:type="even" r:id="rId16"/>
      <w:headerReference w:type="default" r:id="rId17"/>
      <w:footerReference w:type="even" r:id="rId18"/>
      <w:footerReference w:type="default" r:id="rId19"/>
      <w:headerReference w:type="first" r:id="rId20"/>
      <w:footerReference w:type="first" r:id="rId21"/>
      <w:pgSz w:w="11910" w:h="16840"/>
      <w:pgMar w:top="1340" w:right="708" w:bottom="740" w:left="1417" w:header="362" w:footer="5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9E4E4" w14:textId="77777777" w:rsidR="00B5227E" w:rsidRDefault="00B5227E">
      <w:r>
        <w:separator/>
      </w:r>
    </w:p>
  </w:endnote>
  <w:endnote w:type="continuationSeparator" w:id="0">
    <w:p w14:paraId="528A92D9" w14:textId="77777777" w:rsidR="00B5227E" w:rsidRDefault="00B5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C277E" w14:textId="77777777" w:rsidR="00E43A56" w:rsidRDefault="00E43A5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4FA03" w14:textId="77777777" w:rsidR="00E83A1A" w:rsidRDefault="00E83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F049" w14:textId="77777777" w:rsidR="00AE471F" w:rsidRDefault="00AE471F">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D1899" w14:textId="77777777" w:rsidR="00E83A1A" w:rsidRDefault="00E83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E8CFA" w14:textId="77777777" w:rsidR="00B5227E" w:rsidRDefault="00B5227E">
      <w:r>
        <w:separator/>
      </w:r>
    </w:p>
  </w:footnote>
  <w:footnote w:type="continuationSeparator" w:id="0">
    <w:p w14:paraId="3DE14CB1" w14:textId="77777777" w:rsidR="00B5227E" w:rsidRDefault="00B5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596DE" w14:textId="77777777" w:rsidR="00E43A56" w:rsidRDefault="00E43A56">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4D5C" w14:textId="77777777" w:rsidR="00E83A1A" w:rsidRDefault="00FB1445">
    <w:pPr>
      <w:pStyle w:val="Header"/>
    </w:pPr>
    <w:r>
      <w:rPr>
        <w:noProof/>
      </w:rPr>
      <w:pict w14:anchorId="030F3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503516" o:spid="_x0000_s2050" type="#_x0000_t136" style="position:absolute;margin-left:0;margin-top:0;width:620.7pt;height:68.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CC6A" w14:textId="77777777" w:rsidR="00AE471F" w:rsidRDefault="00FB1445">
    <w:pPr>
      <w:pStyle w:val="BodyText"/>
      <w:spacing w:line="14" w:lineRule="auto"/>
      <w:rPr>
        <w:sz w:val="20"/>
      </w:rPr>
    </w:pPr>
    <w:r>
      <w:rPr>
        <w:noProof/>
      </w:rPr>
      <w:pict w14:anchorId="7923F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503517" o:spid="_x0000_s2051" type="#_x0000_t136" style="position:absolute;margin-left:0;margin-top:0;width:620.7pt;height:68.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11E68" w14:textId="77777777" w:rsidR="00E83A1A" w:rsidRDefault="00FB1445">
    <w:pPr>
      <w:pStyle w:val="Header"/>
    </w:pPr>
    <w:r>
      <w:rPr>
        <w:noProof/>
      </w:rPr>
      <w:pict w14:anchorId="735BE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503515" o:spid="_x0000_s2049" type="#_x0000_t136" style="position:absolute;margin-left:0;margin-top:0;width:620.7pt;height:68.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4FF4"/>
    <w:multiLevelType w:val="hybridMultilevel"/>
    <w:tmpl w:val="368872B0"/>
    <w:lvl w:ilvl="0" w:tplc="02CE1C54">
      <w:start w:val="1"/>
      <w:numFmt w:val="lowerRoman"/>
      <w:pStyle w:val="NoSpacing"/>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0F0592"/>
    <w:multiLevelType w:val="multilevel"/>
    <w:tmpl w:val="E862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27B97"/>
    <w:multiLevelType w:val="multilevel"/>
    <w:tmpl w:val="62B8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51DD9"/>
    <w:multiLevelType w:val="multilevel"/>
    <w:tmpl w:val="7494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C4937"/>
    <w:multiLevelType w:val="multilevel"/>
    <w:tmpl w:val="ED10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10CF4"/>
    <w:multiLevelType w:val="multilevel"/>
    <w:tmpl w:val="2C6A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82F25"/>
    <w:multiLevelType w:val="multilevel"/>
    <w:tmpl w:val="C89C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42B62"/>
    <w:multiLevelType w:val="multilevel"/>
    <w:tmpl w:val="2020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A3B20"/>
    <w:multiLevelType w:val="hybridMultilevel"/>
    <w:tmpl w:val="DED2C6B4"/>
    <w:lvl w:ilvl="0" w:tplc="5B9035BA">
      <w:start w:val="1"/>
      <w:numFmt w:val="lowerRoman"/>
      <w:lvlText w:val="(%1)"/>
      <w:lvlJc w:val="left"/>
      <w:pPr>
        <w:ind w:left="1103" w:hanging="72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9078C122">
      <w:numFmt w:val="bullet"/>
      <w:lvlText w:val="•"/>
      <w:lvlJc w:val="left"/>
      <w:pPr>
        <w:ind w:left="1968" w:hanging="720"/>
      </w:pPr>
      <w:rPr>
        <w:rFonts w:hint="default"/>
        <w:lang w:val="en-US" w:eastAsia="en-US" w:bidi="ar-SA"/>
      </w:rPr>
    </w:lvl>
    <w:lvl w:ilvl="2" w:tplc="CD105E90">
      <w:numFmt w:val="bullet"/>
      <w:lvlText w:val="•"/>
      <w:lvlJc w:val="left"/>
      <w:pPr>
        <w:ind w:left="2836" w:hanging="720"/>
      </w:pPr>
      <w:rPr>
        <w:rFonts w:hint="default"/>
        <w:lang w:val="en-US" w:eastAsia="en-US" w:bidi="ar-SA"/>
      </w:rPr>
    </w:lvl>
    <w:lvl w:ilvl="3" w:tplc="46605B12">
      <w:numFmt w:val="bullet"/>
      <w:lvlText w:val="•"/>
      <w:lvlJc w:val="left"/>
      <w:pPr>
        <w:ind w:left="3704" w:hanging="720"/>
      </w:pPr>
      <w:rPr>
        <w:rFonts w:hint="default"/>
        <w:lang w:val="en-US" w:eastAsia="en-US" w:bidi="ar-SA"/>
      </w:rPr>
    </w:lvl>
    <w:lvl w:ilvl="4" w:tplc="4B9C348A">
      <w:numFmt w:val="bullet"/>
      <w:lvlText w:val="•"/>
      <w:lvlJc w:val="left"/>
      <w:pPr>
        <w:ind w:left="4572" w:hanging="720"/>
      </w:pPr>
      <w:rPr>
        <w:rFonts w:hint="default"/>
        <w:lang w:val="en-US" w:eastAsia="en-US" w:bidi="ar-SA"/>
      </w:rPr>
    </w:lvl>
    <w:lvl w:ilvl="5" w:tplc="007E5CD8">
      <w:numFmt w:val="bullet"/>
      <w:lvlText w:val="•"/>
      <w:lvlJc w:val="left"/>
      <w:pPr>
        <w:ind w:left="5440" w:hanging="720"/>
      </w:pPr>
      <w:rPr>
        <w:rFonts w:hint="default"/>
        <w:lang w:val="en-US" w:eastAsia="en-US" w:bidi="ar-SA"/>
      </w:rPr>
    </w:lvl>
    <w:lvl w:ilvl="6" w:tplc="5A40D652">
      <w:numFmt w:val="bullet"/>
      <w:lvlText w:val="•"/>
      <w:lvlJc w:val="left"/>
      <w:pPr>
        <w:ind w:left="6308" w:hanging="720"/>
      </w:pPr>
      <w:rPr>
        <w:rFonts w:hint="default"/>
        <w:lang w:val="en-US" w:eastAsia="en-US" w:bidi="ar-SA"/>
      </w:rPr>
    </w:lvl>
    <w:lvl w:ilvl="7" w:tplc="C5166C98">
      <w:numFmt w:val="bullet"/>
      <w:lvlText w:val="•"/>
      <w:lvlJc w:val="left"/>
      <w:pPr>
        <w:ind w:left="7176" w:hanging="720"/>
      </w:pPr>
      <w:rPr>
        <w:rFonts w:hint="default"/>
        <w:lang w:val="en-US" w:eastAsia="en-US" w:bidi="ar-SA"/>
      </w:rPr>
    </w:lvl>
    <w:lvl w:ilvl="8" w:tplc="72EA15FA">
      <w:numFmt w:val="bullet"/>
      <w:lvlText w:val="•"/>
      <w:lvlJc w:val="left"/>
      <w:pPr>
        <w:ind w:left="8045" w:hanging="720"/>
      </w:pPr>
      <w:rPr>
        <w:rFonts w:hint="default"/>
        <w:lang w:val="en-US" w:eastAsia="en-US" w:bidi="ar-SA"/>
      </w:rPr>
    </w:lvl>
  </w:abstractNum>
  <w:abstractNum w:abstractNumId="9" w15:restartNumberingAfterBreak="0">
    <w:nsid w:val="2B452AD5"/>
    <w:multiLevelType w:val="hybridMultilevel"/>
    <w:tmpl w:val="8ADED66C"/>
    <w:lvl w:ilvl="0" w:tplc="7C4261E8">
      <w:start w:val="1"/>
      <w:numFmt w:val="upperRoman"/>
      <w:pStyle w:val="ListParagraph"/>
      <w:lvlText w:val="%1."/>
      <w:lvlJc w:val="right"/>
      <w:pPr>
        <w:ind w:left="885" w:hanging="360"/>
      </w:p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10" w15:restartNumberingAfterBreak="0">
    <w:nsid w:val="2D4035BC"/>
    <w:multiLevelType w:val="multilevel"/>
    <w:tmpl w:val="3E80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B77122"/>
    <w:multiLevelType w:val="multilevel"/>
    <w:tmpl w:val="CBD8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02900"/>
    <w:multiLevelType w:val="multilevel"/>
    <w:tmpl w:val="44D2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7C7720"/>
    <w:multiLevelType w:val="hybridMultilevel"/>
    <w:tmpl w:val="CC321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EF4CEE"/>
    <w:multiLevelType w:val="multilevel"/>
    <w:tmpl w:val="2268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17DF5"/>
    <w:multiLevelType w:val="multilevel"/>
    <w:tmpl w:val="FF96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BB5172"/>
    <w:multiLevelType w:val="multilevel"/>
    <w:tmpl w:val="9DBA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A7DBF"/>
    <w:multiLevelType w:val="hybridMultilevel"/>
    <w:tmpl w:val="B560B76C"/>
    <w:lvl w:ilvl="0" w:tplc="5B9035BA">
      <w:start w:val="1"/>
      <w:numFmt w:val="lowerRoman"/>
      <w:lvlText w:val="(%1)"/>
      <w:lvlJc w:val="left"/>
      <w:pPr>
        <w:ind w:left="72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67749DB"/>
    <w:multiLevelType w:val="multilevel"/>
    <w:tmpl w:val="2774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425D1F"/>
    <w:multiLevelType w:val="multilevel"/>
    <w:tmpl w:val="4DA8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7D4460"/>
    <w:multiLevelType w:val="hybridMultilevel"/>
    <w:tmpl w:val="B13CF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EFF1BD2"/>
    <w:multiLevelType w:val="multilevel"/>
    <w:tmpl w:val="0B34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6D6876"/>
    <w:multiLevelType w:val="multilevel"/>
    <w:tmpl w:val="7A48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4A00C2"/>
    <w:multiLevelType w:val="multilevel"/>
    <w:tmpl w:val="71C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560C4C"/>
    <w:multiLevelType w:val="hybridMultilevel"/>
    <w:tmpl w:val="02E8C586"/>
    <w:lvl w:ilvl="0" w:tplc="27F096E2">
      <w:numFmt w:val="bullet"/>
      <w:lvlText w:val=""/>
      <w:lvlJc w:val="left"/>
      <w:pPr>
        <w:ind w:left="525" w:hanging="360"/>
      </w:pPr>
      <w:rPr>
        <w:rFonts w:ascii="Wingdings" w:eastAsia="Wingdings" w:hAnsi="Wingdings" w:cs="Wingdings" w:hint="default"/>
        <w:b w:val="0"/>
        <w:bCs w:val="0"/>
        <w:i w:val="0"/>
        <w:iCs w:val="0"/>
        <w:spacing w:val="0"/>
        <w:w w:val="100"/>
        <w:sz w:val="28"/>
        <w:szCs w:val="28"/>
        <w:lang w:val="en-US" w:eastAsia="en-US" w:bidi="ar-SA"/>
      </w:rPr>
    </w:lvl>
    <w:lvl w:ilvl="1" w:tplc="C1EE5CAA">
      <w:numFmt w:val="bullet"/>
      <w:lvlText w:val=""/>
      <w:lvlJc w:val="left"/>
      <w:pPr>
        <w:ind w:left="724" w:hanging="200"/>
      </w:pPr>
      <w:rPr>
        <w:rFonts w:ascii="Symbol" w:eastAsia="Symbol" w:hAnsi="Symbol" w:cs="Symbol" w:hint="default"/>
        <w:b w:val="0"/>
        <w:bCs w:val="0"/>
        <w:i w:val="0"/>
        <w:iCs w:val="0"/>
        <w:spacing w:val="0"/>
        <w:w w:val="100"/>
        <w:sz w:val="28"/>
        <w:szCs w:val="28"/>
        <w:lang w:val="en-US" w:eastAsia="en-US" w:bidi="ar-SA"/>
      </w:rPr>
    </w:lvl>
    <w:lvl w:ilvl="2" w:tplc="5E74F3D8">
      <w:numFmt w:val="bullet"/>
      <w:lvlText w:val="•"/>
      <w:lvlJc w:val="left"/>
      <w:pPr>
        <w:ind w:left="1726" w:hanging="200"/>
      </w:pPr>
      <w:rPr>
        <w:rFonts w:hint="default"/>
        <w:lang w:val="en-US" w:eastAsia="en-US" w:bidi="ar-SA"/>
      </w:rPr>
    </w:lvl>
    <w:lvl w:ilvl="3" w:tplc="3D38225E">
      <w:numFmt w:val="bullet"/>
      <w:lvlText w:val="•"/>
      <w:lvlJc w:val="left"/>
      <w:pPr>
        <w:ind w:left="2733" w:hanging="200"/>
      </w:pPr>
      <w:rPr>
        <w:rFonts w:hint="default"/>
        <w:lang w:val="en-US" w:eastAsia="en-US" w:bidi="ar-SA"/>
      </w:rPr>
    </w:lvl>
    <w:lvl w:ilvl="4" w:tplc="BA6069A6">
      <w:numFmt w:val="bullet"/>
      <w:lvlText w:val="•"/>
      <w:lvlJc w:val="left"/>
      <w:pPr>
        <w:ind w:left="3740" w:hanging="200"/>
      </w:pPr>
      <w:rPr>
        <w:rFonts w:hint="default"/>
        <w:lang w:val="en-US" w:eastAsia="en-US" w:bidi="ar-SA"/>
      </w:rPr>
    </w:lvl>
    <w:lvl w:ilvl="5" w:tplc="94B43A0A">
      <w:numFmt w:val="bullet"/>
      <w:lvlText w:val="•"/>
      <w:lvlJc w:val="left"/>
      <w:pPr>
        <w:ind w:left="4747" w:hanging="200"/>
      </w:pPr>
      <w:rPr>
        <w:rFonts w:hint="default"/>
        <w:lang w:val="en-US" w:eastAsia="en-US" w:bidi="ar-SA"/>
      </w:rPr>
    </w:lvl>
    <w:lvl w:ilvl="6" w:tplc="0324DB80">
      <w:numFmt w:val="bullet"/>
      <w:lvlText w:val="•"/>
      <w:lvlJc w:val="left"/>
      <w:pPr>
        <w:ind w:left="5754" w:hanging="200"/>
      </w:pPr>
      <w:rPr>
        <w:rFonts w:hint="default"/>
        <w:lang w:val="en-US" w:eastAsia="en-US" w:bidi="ar-SA"/>
      </w:rPr>
    </w:lvl>
    <w:lvl w:ilvl="7" w:tplc="80BE9A6A">
      <w:numFmt w:val="bullet"/>
      <w:lvlText w:val="•"/>
      <w:lvlJc w:val="left"/>
      <w:pPr>
        <w:ind w:left="6760" w:hanging="200"/>
      </w:pPr>
      <w:rPr>
        <w:rFonts w:hint="default"/>
        <w:lang w:val="en-US" w:eastAsia="en-US" w:bidi="ar-SA"/>
      </w:rPr>
    </w:lvl>
    <w:lvl w:ilvl="8" w:tplc="4710864E">
      <w:numFmt w:val="bullet"/>
      <w:lvlText w:val="•"/>
      <w:lvlJc w:val="left"/>
      <w:pPr>
        <w:ind w:left="7767" w:hanging="200"/>
      </w:pPr>
      <w:rPr>
        <w:rFonts w:hint="default"/>
        <w:lang w:val="en-US" w:eastAsia="en-US" w:bidi="ar-SA"/>
      </w:rPr>
    </w:lvl>
  </w:abstractNum>
  <w:abstractNum w:abstractNumId="25" w15:restartNumberingAfterBreak="0">
    <w:nsid w:val="71B87F6A"/>
    <w:multiLevelType w:val="hybridMultilevel"/>
    <w:tmpl w:val="D222052A"/>
    <w:lvl w:ilvl="0" w:tplc="782495FE">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A8B49E9E">
      <w:numFmt w:val="bullet"/>
      <w:lvlText w:val="•"/>
      <w:lvlJc w:val="left"/>
      <w:pPr>
        <w:ind w:left="1644" w:hanging="360"/>
      </w:pPr>
      <w:rPr>
        <w:rFonts w:hint="default"/>
        <w:lang w:val="en-US" w:eastAsia="en-US" w:bidi="ar-SA"/>
      </w:rPr>
    </w:lvl>
    <w:lvl w:ilvl="2" w:tplc="AAEE21C0">
      <w:numFmt w:val="bullet"/>
      <w:lvlText w:val="•"/>
      <w:lvlJc w:val="left"/>
      <w:pPr>
        <w:ind w:left="2548" w:hanging="360"/>
      </w:pPr>
      <w:rPr>
        <w:rFonts w:hint="default"/>
        <w:lang w:val="en-US" w:eastAsia="en-US" w:bidi="ar-SA"/>
      </w:rPr>
    </w:lvl>
    <w:lvl w:ilvl="3" w:tplc="14C8B83E">
      <w:numFmt w:val="bullet"/>
      <w:lvlText w:val="•"/>
      <w:lvlJc w:val="left"/>
      <w:pPr>
        <w:ind w:left="3452" w:hanging="360"/>
      </w:pPr>
      <w:rPr>
        <w:rFonts w:hint="default"/>
        <w:lang w:val="en-US" w:eastAsia="en-US" w:bidi="ar-SA"/>
      </w:rPr>
    </w:lvl>
    <w:lvl w:ilvl="4" w:tplc="9B1869C8">
      <w:numFmt w:val="bullet"/>
      <w:lvlText w:val="•"/>
      <w:lvlJc w:val="left"/>
      <w:pPr>
        <w:ind w:left="4356" w:hanging="360"/>
      </w:pPr>
      <w:rPr>
        <w:rFonts w:hint="default"/>
        <w:lang w:val="en-US" w:eastAsia="en-US" w:bidi="ar-SA"/>
      </w:rPr>
    </w:lvl>
    <w:lvl w:ilvl="5" w:tplc="AAE49044">
      <w:numFmt w:val="bullet"/>
      <w:lvlText w:val="•"/>
      <w:lvlJc w:val="left"/>
      <w:pPr>
        <w:ind w:left="5260" w:hanging="360"/>
      </w:pPr>
      <w:rPr>
        <w:rFonts w:hint="default"/>
        <w:lang w:val="en-US" w:eastAsia="en-US" w:bidi="ar-SA"/>
      </w:rPr>
    </w:lvl>
    <w:lvl w:ilvl="6" w:tplc="FA1EE0B0">
      <w:numFmt w:val="bullet"/>
      <w:lvlText w:val="•"/>
      <w:lvlJc w:val="left"/>
      <w:pPr>
        <w:ind w:left="6164" w:hanging="360"/>
      </w:pPr>
      <w:rPr>
        <w:rFonts w:hint="default"/>
        <w:lang w:val="en-US" w:eastAsia="en-US" w:bidi="ar-SA"/>
      </w:rPr>
    </w:lvl>
    <w:lvl w:ilvl="7" w:tplc="3C96B438">
      <w:numFmt w:val="bullet"/>
      <w:lvlText w:val="•"/>
      <w:lvlJc w:val="left"/>
      <w:pPr>
        <w:ind w:left="7068" w:hanging="360"/>
      </w:pPr>
      <w:rPr>
        <w:rFonts w:hint="default"/>
        <w:lang w:val="en-US" w:eastAsia="en-US" w:bidi="ar-SA"/>
      </w:rPr>
    </w:lvl>
    <w:lvl w:ilvl="8" w:tplc="7B0875DE">
      <w:numFmt w:val="bullet"/>
      <w:lvlText w:val="•"/>
      <w:lvlJc w:val="left"/>
      <w:pPr>
        <w:ind w:left="7973" w:hanging="360"/>
      </w:pPr>
      <w:rPr>
        <w:rFonts w:hint="default"/>
        <w:lang w:val="en-US" w:eastAsia="en-US" w:bidi="ar-SA"/>
      </w:rPr>
    </w:lvl>
  </w:abstractNum>
  <w:abstractNum w:abstractNumId="26" w15:restartNumberingAfterBreak="0">
    <w:nsid w:val="7DEE5F95"/>
    <w:multiLevelType w:val="multilevel"/>
    <w:tmpl w:val="3E02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31614F"/>
    <w:multiLevelType w:val="hybridMultilevel"/>
    <w:tmpl w:val="BA249E88"/>
    <w:lvl w:ilvl="0" w:tplc="5B9035BA">
      <w:start w:val="1"/>
      <w:numFmt w:val="lowerRoman"/>
      <w:lvlText w:val="(%1)"/>
      <w:lvlJc w:val="left"/>
      <w:pPr>
        <w:ind w:left="72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25"/>
  </w:num>
  <w:num w:numId="3">
    <w:abstractNumId w:val="8"/>
  </w:num>
  <w:num w:numId="4">
    <w:abstractNumId w:val="26"/>
  </w:num>
  <w:num w:numId="5">
    <w:abstractNumId w:val="15"/>
  </w:num>
  <w:num w:numId="6">
    <w:abstractNumId w:val="9"/>
  </w:num>
  <w:num w:numId="7">
    <w:abstractNumId w:val="0"/>
  </w:num>
  <w:num w:numId="8">
    <w:abstractNumId w:val="20"/>
  </w:num>
  <w:num w:numId="9">
    <w:abstractNumId w:val="13"/>
  </w:num>
  <w:num w:numId="10">
    <w:abstractNumId w:val="27"/>
  </w:num>
  <w:num w:numId="11">
    <w:abstractNumId w:val="17"/>
  </w:num>
  <w:num w:numId="12">
    <w:abstractNumId w:val="19"/>
  </w:num>
  <w:num w:numId="13">
    <w:abstractNumId w:val="5"/>
  </w:num>
  <w:num w:numId="14">
    <w:abstractNumId w:val="23"/>
  </w:num>
  <w:num w:numId="15">
    <w:abstractNumId w:val="1"/>
  </w:num>
  <w:num w:numId="16">
    <w:abstractNumId w:val="16"/>
  </w:num>
  <w:num w:numId="17">
    <w:abstractNumId w:val="14"/>
  </w:num>
  <w:num w:numId="18">
    <w:abstractNumId w:val="12"/>
  </w:num>
  <w:num w:numId="19">
    <w:abstractNumId w:val="10"/>
  </w:num>
  <w:num w:numId="20">
    <w:abstractNumId w:val="11"/>
  </w:num>
  <w:num w:numId="21">
    <w:abstractNumId w:val="3"/>
  </w:num>
  <w:num w:numId="22">
    <w:abstractNumId w:val="4"/>
  </w:num>
  <w:num w:numId="23">
    <w:abstractNumId w:val="6"/>
  </w:num>
  <w:num w:numId="24">
    <w:abstractNumId w:val="7"/>
  </w:num>
  <w:num w:numId="25">
    <w:abstractNumId w:val="21"/>
  </w:num>
  <w:num w:numId="26">
    <w:abstractNumId w:val="2"/>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E471F"/>
    <w:rsid w:val="00067D5E"/>
    <w:rsid w:val="000B1272"/>
    <w:rsid w:val="000C1B24"/>
    <w:rsid w:val="000D5493"/>
    <w:rsid w:val="0012006F"/>
    <w:rsid w:val="00174BC8"/>
    <w:rsid w:val="00177028"/>
    <w:rsid w:val="001D0173"/>
    <w:rsid w:val="00212217"/>
    <w:rsid w:val="002334BA"/>
    <w:rsid w:val="003A5C08"/>
    <w:rsid w:val="003E3FFD"/>
    <w:rsid w:val="004005B1"/>
    <w:rsid w:val="004133BD"/>
    <w:rsid w:val="004D7116"/>
    <w:rsid w:val="004E0F42"/>
    <w:rsid w:val="0051594C"/>
    <w:rsid w:val="00547A58"/>
    <w:rsid w:val="006616C2"/>
    <w:rsid w:val="006F55C6"/>
    <w:rsid w:val="00771CDC"/>
    <w:rsid w:val="007B1072"/>
    <w:rsid w:val="007C09E1"/>
    <w:rsid w:val="00841AD6"/>
    <w:rsid w:val="00856960"/>
    <w:rsid w:val="008D3C80"/>
    <w:rsid w:val="008E546A"/>
    <w:rsid w:val="009033F2"/>
    <w:rsid w:val="00971520"/>
    <w:rsid w:val="00980C2E"/>
    <w:rsid w:val="009D2AE8"/>
    <w:rsid w:val="009E420E"/>
    <w:rsid w:val="00A819B9"/>
    <w:rsid w:val="00AA0F35"/>
    <w:rsid w:val="00AC74D9"/>
    <w:rsid w:val="00AE471F"/>
    <w:rsid w:val="00AE6CE8"/>
    <w:rsid w:val="00B266D4"/>
    <w:rsid w:val="00B31B4E"/>
    <w:rsid w:val="00B5227E"/>
    <w:rsid w:val="00BC6CDD"/>
    <w:rsid w:val="00C47713"/>
    <w:rsid w:val="00C7255F"/>
    <w:rsid w:val="00C81830"/>
    <w:rsid w:val="00D1368A"/>
    <w:rsid w:val="00D94AD8"/>
    <w:rsid w:val="00DD259C"/>
    <w:rsid w:val="00E11AFD"/>
    <w:rsid w:val="00E35E11"/>
    <w:rsid w:val="00E43A56"/>
    <w:rsid w:val="00E512F6"/>
    <w:rsid w:val="00E83A1A"/>
    <w:rsid w:val="00E84165"/>
    <w:rsid w:val="00E96C22"/>
    <w:rsid w:val="00EC143C"/>
    <w:rsid w:val="00EC1F9E"/>
    <w:rsid w:val="00EE373B"/>
    <w:rsid w:val="00F336A7"/>
    <w:rsid w:val="00F3635D"/>
    <w:rsid w:val="00F6560A"/>
    <w:rsid w:val="00FA12B0"/>
    <w:rsid w:val="00FB0EC3"/>
    <w:rsid w:val="00FB144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F72A08"/>
  <w15:docId w15:val="{EC50A5E6-E3E8-414E-A678-1B28BE5A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autoRedefine/>
    <w:uiPriority w:val="1"/>
    <w:qFormat/>
    <w:rsid w:val="000B1272"/>
    <w:pPr>
      <w:spacing w:before="282" w:line="360" w:lineRule="auto"/>
      <w:ind w:left="23"/>
      <w:jc w:val="both"/>
      <w:outlineLvl w:val="0"/>
    </w:pPr>
    <w:rPr>
      <w:b/>
      <w:bCs/>
      <w:spacing w:val="-2"/>
      <w:sz w:val="28"/>
      <w:szCs w:val="28"/>
      <w:u w:val="single"/>
      <w:lang w:val="en-IN"/>
    </w:rPr>
  </w:style>
  <w:style w:type="paragraph" w:styleId="Heading3">
    <w:name w:val="heading 3"/>
    <w:basedOn w:val="Normal"/>
    <w:next w:val="Normal"/>
    <w:link w:val="Heading3Char"/>
    <w:uiPriority w:val="9"/>
    <w:semiHidden/>
    <w:unhideWhenUsed/>
    <w:qFormat/>
    <w:rsid w:val="00980C2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80C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rsid w:val="00177028"/>
    <w:pPr>
      <w:numPr>
        <w:numId w:val="6"/>
      </w:numPr>
      <w:spacing w:line="360" w:lineRule="auto"/>
      <w:jc w:val="both"/>
    </w:pPr>
    <w:rPr>
      <w:b/>
      <w:sz w:val="24"/>
      <w:szCs w:val="24"/>
      <w:u w:val="single"/>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5E11"/>
    <w:pPr>
      <w:tabs>
        <w:tab w:val="center" w:pos="4513"/>
        <w:tab w:val="right" w:pos="9026"/>
      </w:tabs>
    </w:pPr>
  </w:style>
  <w:style w:type="character" w:customStyle="1" w:styleId="HeaderChar">
    <w:name w:val="Header Char"/>
    <w:basedOn w:val="DefaultParagraphFont"/>
    <w:link w:val="Header"/>
    <w:uiPriority w:val="99"/>
    <w:rsid w:val="00E35E11"/>
    <w:rPr>
      <w:rFonts w:ascii="Times New Roman" w:eastAsia="Times New Roman" w:hAnsi="Times New Roman" w:cs="Times New Roman"/>
    </w:rPr>
  </w:style>
  <w:style w:type="paragraph" w:styleId="Footer">
    <w:name w:val="footer"/>
    <w:basedOn w:val="Normal"/>
    <w:link w:val="FooterChar"/>
    <w:uiPriority w:val="99"/>
    <w:unhideWhenUsed/>
    <w:rsid w:val="00E35E11"/>
    <w:pPr>
      <w:tabs>
        <w:tab w:val="center" w:pos="4513"/>
        <w:tab w:val="right" w:pos="9026"/>
      </w:tabs>
    </w:pPr>
  </w:style>
  <w:style w:type="character" w:customStyle="1" w:styleId="FooterChar">
    <w:name w:val="Footer Char"/>
    <w:basedOn w:val="DefaultParagraphFont"/>
    <w:link w:val="Footer"/>
    <w:uiPriority w:val="99"/>
    <w:rsid w:val="00E35E1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35E11"/>
    <w:rPr>
      <w:rFonts w:ascii="Tahoma" w:hAnsi="Tahoma" w:cs="Tahoma"/>
      <w:sz w:val="16"/>
      <w:szCs w:val="16"/>
    </w:rPr>
  </w:style>
  <w:style w:type="character" w:customStyle="1" w:styleId="BalloonTextChar">
    <w:name w:val="Balloon Text Char"/>
    <w:basedOn w:val="DefaultParagraphFont"/>
    <w:link w:val="BalloonText"/>
    <w:uiPriority w:val="99"/>
    <w:semiHidden/>
    <w:rsid w:val="00E35E11"/>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E35E11"/>
    <w:rPr>
      <w:sz w:val="20"/>
      <w:szCs w:val="20"/>
    </w:rPr>
  </w:style>
  <w:style w:type="character" w:customStyle="1" w:styleId="FootnoteTextChar">
    <w:name w:val="Footnote Text Char"/>
    <w:basedOn w:val="DefaultParagraphFont"/>
    <w:link w:val="FootnoteText"/>
    <w:uiPriority w:val="99"/>
    <w:semiHidden/>
    <w:rsid w:val="00E35E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35E11"/>
    <w:rPr>
      <w:vertAlign w:val="superscript"/>
    </w:rPr>
  </w:style>
  <w:style w:type="character" w:customStyle="1" w:styleId="Heading3Char">
    <w:name w:val="Heading 3 Char"/>
    <w:basedOn w:val="DefaultParagraphFont"/>
    <w:link w:val="Heading3"/>
    <w:uiPriority w:val="9"/>
    <w:semiHidden/>
    <w:rsid w:val="00980C2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80C2E"/>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980C2E"/>
    <w:rPr>
      <w:color w:val="0000FF" w:themeColor="hyperlink"/>
      <w:u w:val="single"/>
    </w:rPr>
  </w:style>
  <w:style w:type="paragraph" w:styleId="NoSpacing">
    <w:name w:val="No Spacing"/>
    <w:uiPriority w:val="1"/>
    <w:qFormat/>
    <w:rsid w:val="00980C2E"/>
    <w:pPr>
      <w:numPr>
        <w:numId w:val="7"/>
      </w:numPr>
    </w:pPr>
    <w:rPr>
      <w:rFonts w:ascii="Times New Roman" w:eastAsia="Times New Roman" w:hAnsi="Times New Roman" w:cs="Times New Roman"/>
      <w:b/>
      <w:sz w:val="24"/>
    </w:rPr>
  </w:style>
  <w:style w:type="paragraph" w:styleId="Caption">
    <w:name w:val="caption"/>
    <w:basedOn w:val="Normal"/>
    <w:next w:val="Normal"/>
    <w:uiPriority w:val="35"/>
    <w:unhideWhenUsed/>
    <w:qFormat/>
    <w:rsid w:val="004005B1"/>
    <w:pPr>
      <w:spacing w:after="200"/>
    </w:pPr>
    <w:rPr>
      <w:b/>
      <w:bCs/>
      <w:color w:val="4F81BD" w:themeColor="accent1"/>
      <w:sz w:val="18"/>
      <w:szCs w:val="18"/>
    </w:rPr>
  </w:style>
  <w:style w:type="character" w:styleId="Strong">
    <w:name w:val="Strong"/>
    <w:basedOn w:val="DefaultParagraphFont"/>
    <w:uiPriority w:val="22"/>
    <w:qFormat/>
    <w:rsid w:val="004005B1"/>
    <w:rPr>
      <w:b/>
      <w:bCs/>
    </w:rPr>
  </w:style>
  <w:style w:type="character" w:styleId="Emphasis">
    <w:name w:val="Emphasis"/>
    <w:basedOn w:val="DefaultParagraphFont"/>
    <w:uiPriority w:val="20"/>
    <w:qFormat/>
    <w:rsid w:val="008D3C80"/>
    <w:rPr>
      <w:i/>
      <w:iCs/>
    </w:rPr>
  </w:style>
  <w:style w:type="paragraph" w:styleId="NormalWeb">
    <w:name w:val="Normal (Web)"/>
    <w:basedOn w:val="Normal"/>
    <w:uiPriority w:val="99"/>
    <w:unhideWhenUsed/>
    <w:rsid w:val="008D3C80"/>
    <w:pPr>
      <w:widowControl/>
      <w:autoSpaceDE/>
      <w:autoSpaceDN/>
      <w:spacing w:before="100" w:beforeAutospacing="1" w:after="100" w:afterAutospacing="1"/>
    </w:pPr>
    <w:rPr>
      <w:sz w:val="24"/>
      <w:szCs w:val="24"/>
      <w:lang w:val="en-IN" w:eastAsia="en-IN" w:bidi="hi-IN"/>
    </w:rPr>
  </w:style>
  <w:style w:type="character" w:customStyle="1" w:styleId="fadein4f9by7">
    <w:name w:val="_fadein_4f9by_7"/>
    <w:basedOn w:val="DefaultParagraphFont"/>
    <w:rsid w:val="008D3C80"/>
  </w:style>
  <w:style w:type="table" w:styleId="TableGrid">
    <w:name w:val="Table Grid"/>
    <w:basedOn w:val="TableNormal"/>
    <w:uiPriority w:val="59"/>
    <w:rsid w:val="003E3FFD"/>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E3F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1"/>
    <w:rsid w:val="00E43A56"/>
    <w:rPr>
      <w:rFonts w:ascii="Times New Roman" w:eastAsia="Times New Roman" w:hAnsi="Times New Roman" w:cs="Times New Roman"/>
      <w:b/>
      <w:bCs/>
      <w:spacing w:val="-2"/>
      <w:sz w:val="28"/>
      <w:szCs w:val="28"/>
      <w:u w:val="single"/>
      <w:lang w:val="en-IN"/>
    </w:rPr>
  </w:style>
  <w:style w:type="character" w:customStyle="1" w:styleId="BodyTextChar">
    <w:name w:val="Body Text Char"/>
    <w:basedOn w:val="DefaultParagraphFont"/>
    <w:link w:val="BodyText"/>
    <w:uiPriority w:val="1"/>
    <w:rsid w:val="00E43A5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59188">
      <w:bodyDiv w:val="1"/>
      <w:marLeft w:val="0"/>
      <w:marRight w:val="0"/>
      <w:marTop w:val="0"/>
      <w:marBottom w:val="0"/>
      <w:divBdr>
        <w:top w:val="none" w:sz="0" w:space="0" w:color="auto"/>
        <w:left w:val="none" w:sz="0" w:space="0" w:color="auto"/>
        <w:bottom w:val="none" w:sz="0" w:space="0" w:color="auto"/>
        <w:right w:val="none" w:sz="0" w:space="0" w:color="auto"/>
      </w:divBdr>
    </w:div>
    <w:div w:id="262230387">
      <w:bodyDiv w:val="1"/>
      <w:marLeft w:val="0"/>
      <w:marRight w:val="0"/>
      <w:marTop w:val="0"/>
      <w:marBottom w:val="0"/>
      <w:divBdr>
        <w:top w:val="none" w:sz="0" w:space="0" w:color="auto"/>
        <w:left w:val="none" w:sz="0" w:space="0" w:color="auto"/>
        <w:bottom w:val="none" w:sz="0" w:space="0" w:color="auto"/>
        <w:right w:val="none" w:sz="0" w:space="0" w:color="auto"/>
      </w:divBdr>
    </w:div>
    <w:div w:id="693843916">
      <w:bodyDiv w:val="1"/>
      <w:marLeft w:val="0"/>
      <w:marRight w:val="0"/>
      <w:marTop w:val="0"/>
      <w:marBottom w:val="0"/>
      <w:divBdr>
        <w:top w:val="none" w:sz="0" w:space="0" w:color="auto"/>
        <w:left w:val="none" w:sz="0" w:space="0" w:color="auto"/>
        <w:bottom w:val="none" w:sz="0" w:space="0" w:color="auto"/>
        <w:right w:val="none" w:sz="0" w:space="0" w:color="auto"/>
      </w:divBdr>
    </w:div>
    <w:div w:id="740908705">
      <w:bodyDiv w:val="1"/>
      <w:marLeft w:val="0"/>
      <w:marRight w:val="0"/>
      <w:marTop w:val="0"/>
      <w:marBottom w:val="0"/>
      <w:divBdr>
        <w:top w:val="none" w:sz="0" w:space="0" w:color="auto"/>
        <w:left w:val="none" w:sz="0" w:space="0" w:color="auto"/>
        <w:bottom w:val="none" w:sz="0" w:space="0" w:color="auto"/>
        <w:right w:val="none" w:sz="0" w:space="0" w:color="auto"/>
      </w:divBdr>
    </w:div>
    <w:div w:id="825248722">
      <w:bodyDiv w:val="1"/>
      <w:marLeft w:val="0"/>
      <w:marRight w:val="0"/>
      <w:marTop w:val="0"/>
      <w:marBottom w:val="0"/>
      <w:divBdr>
        <w:top w:val="none" w:sz="0" w:space="0" w:color="auto"/>
        <w:left w:val="none" w:sz="0" w:space="0" w:color="auto"/>
        <w:bottom w:val="none" w:sz="0" w:space="0" w:color="auto"/>
        <w:right w:val="none" w:sz="0" w:space="0" w:color="auto"/>
      </w:divBdr>
    </w:div>
    <w:div w:id="847018578">
      <w:bodyDiv w:val="1"/>
      <w:marLeft w:val="0"/>
      <w:marRight w:val="0"/>
      <w:marTop w:val="0"/>
      <w:marBottom w:val="0"/>
      <w:divBdr>
        <w:top w:val="none" w:sz="0" w:space="0" w:color="auto"/>
        <w:left w:val="none" w:sz="0" w:space="0" w:color="auto"/>
        <w:bottom w:val="none" w:sz="0" w:space="0" w:color="auto"/>
        <w:right w:val="none" w:sz="0" w:space="0" w:color="auto"/>
      </w:divBdr>
    </w:div>
    <w:div w:id="956136726">
      <w:bodyDiv w:val="1"/>
      <w:marLeft w:val="0"/>
      <w:marRight w:val="0"/>
      <w:marTop w:val="0"/>
      <w:marBottom w:val="0"/>
      <w:divBdr>
        <w:top w:val="none" w:sz="0" w:space="0" w:color="auto"/>
        <w:left w:val="none" w:sz="0" w:space="0" w:color="auto"/>
        <w:bottom w:val="none" w:sz="0" w:space="0" w:color="auto"/>
        <w:right w:val="none" w:sz="0" w:space="0" w:color="auto"/>
      </w:divBdr>
    </w:div>
    <w:div w:id="1030493167">
      <w:bodyDiv w:val="1"/>
      <w:marLeft w:val="0"/>
      <w:marRight w:val="0"/>
      <w:marTop w:val="0"/>
      <w:marBottom w:val="0"/>
      <w:divBdr>
        <w:top w:val="none" w:sz="0" w:space="0" w:color="auto"/>
        <w:left w:val="none" w:sz="0" w:space="0" w:color="auto"/>
        <w:bottom w:val="none" w:sz="0" w:space="0" w:color="auto"/>
        <w:right w:val="none" w:sz="0" w:space="0" w:color="auto"/>
      </w:divBdr>
    </w:div>
    <w:div w:id="1222642420">
      <w:bodyDiv w:val="1"/>
      <w:marLeft w:val="0"/>
      <w:marRight w:val="0"/>
      <w:marTop w:val="0"/>
      <w:marBottom w:val="0"/>
      <w:divBdr>
        <w:top w:val="none" w:sz="0" w:space="0" w:color="auto"/>
        <w:left w:val="none" w:sz="0" w:space="0" w:color="auto"/>
        <w:bottom w:val="none" w:sz="0" w:space="0" w:color="auto"/>
        <w:right w:val="none" w:sz="0" w:space="0" w:color="auto"/>
      </w:divBdr>
    </w:div>
    <w:div w:id="1241065119">
      <w:bodyDiv w:val="1"/>
      <w:marLeft w:val="0"/>
      <w:marRight w:val="0"/>
      <w:marTop w:val="0"/>
      <w:marBottom w:val="0"/>
      <w:divBdr>
        <w:top w:val="none" w:sz="0" w:space="0" w:color="auto"/>
        <w:left w:val="none" w:sz="0" w:space="0" w:color="auto"/>
        <w:bottom w:val="none" w:sz="0" w:space="0" w:color="auto"/>
        <w:right w:val="none" w:sz="0" w:space="0" w:color="auto"/>
      </w:divBdr>
    </w:div>
    <w:div w:id="1298951659">
      <w:bodyDiv w:val="1"/>
      <w:marLeft w:val="0"/>
      <w:marRight w:val="0"/>
      <w:marTop w:val="0"/>
      <w:marBottom w:val="0"/>
      <w:divBdr>
        <w:top w:val="none" w:sz="0" w:space="0" w:color="auto"/>
        <w:left w:val="none" w:sz="0" w:space="0" w:color="auto"/>
        <w:bottom w:val="none" w:sz="0" w:space="0" w:color="auto"/>
        <w:right w:val="none" w:sz="0" w:space="0" w:color="auto"/>
      </w:divBdr>
    </w:div>
    <w:div w:id="1344162890">
      <w:bodyDiv w:val="1"/>
      <w:marLeft w:val="0"/>
      <w:marRight w:val="0"/>
      <w:marTop w:val="0"/>
      <w:marBottom w:val="0"/>
      <w:divBdr>
        <w:top w:val="none" w:sz="0" w:space="0" w:color="auto"/>
        <w:left w:val="none" w:sz="0" w:space="0" w:color="auto"/>
        <w:bottom w:val="none" w:sz="0" w:space="0" w:color="auto"/>
        <w:right w:val="none" w:sz="0" w:space="0" w:color="auto"/>
      </w:divBdr>
    </w:div>
    <w:div w:id="1508447013">
      <w:bodyDiv w:val="1"/>
      <w:marLeft w:val="0"/>
      <w:marRight w:val="0"/>
      <w:marTop w:val="0"/>
      <w:marBottom w:val="0"/>
      <w:divBdr>
        <w:top w:val="none" w:sz="0" w:space="0" w:color="auto"/>
        <w:left w:val="none" w:sz="0" w:space="0" w:color="auto"/>
        <w:bottom w:val="none" w:sz="0" w:space="0" w:color="auto"/>
        <w:right w:val="none" w:sz="0" w:space="0" w:color="auto"/>
      </w:divBdr>
    </w:div>
    <w:div w:id="1665007978">
      <w:bodyDiv w:val="1"/>
      <w:marLeft w:val="0"/>
      <w:marRight w:val="0"/>
      <w:marTop w:val="0"/>
      <w:marBottom w:val="0"/>
      <w:divBdr>
        <w:top w:val="none" w:sz="0" w:space="0" w:color="auto"/>
        <w:left w:val="none" w:sz="0" w:space="0" w:color="auto"/>
        <w:bottom w:val="none" w:sz="0" w:space="0" w:color="auto"/>
        <w:right w:val="none" w:sz="0" w:space="0" w:color="auto"/>
      </w:divBdr>
    </w:div>
    <w:div w:id="1789621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pnbindia.in/annual-reports.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jstr.org/finalprint/jan2020/Factors-Affecting-Non-Performing-Loan-In-India-.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DD17F-5C97-4055-BB44-7E1703E0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20</Pages>
  <Words>4926</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PC New 16</cp:lastModifiedBy>
  <cp:revision>47</cp:revision>
  <dcterms:created xsi:type="dcterms:W3CDTF">2025-05-01T15:22:00Z</dcterms:created>
  <dcterms:modified xsi:type="dcterms:W3CDTF">2025-05-29T07:12:00Z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LastSaved">
    <vt:filetime>2025-05-01T00:00:00Z</vt:filetime>
  </property>
  <property fmtid="{D5CDD505-2E9C-101B-9397-08002B2CF9AE}" pid="4" name="Producer">
    <vt:lpwstr>PDFill PDF Editor 14.0</vt:lpwstr>
  </property>
</Properties>
</file>