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E50C2" w14:textId="77777777" w:rsidR="00C82D0A" w:rsidRDefault="00C82D0A" w:rsidP="009C0002">
      <w:pPr>
        <w:spacing w:line="360" w:lineRule="auto"/>
        <w:jc w:val="both"/>
        <w:rPr>
          <w:rFonts w:ascii="Times New Roman" w:hAnsi="Times New Roman" w:cs="Times New Roman"/>
          <w:b/>
          <w:bCs/>
          <w:sz w:val="24"/>
          <w:szCs w:val="24"/>
        </w:rPr>
      </w:pPr>
      <w:bookmarkStart w:id="0" w:name="_Hlk199966675"/>
    </w:p>
    <w:p w14:paraId="4CC1E311" w14:textId="21BB76B5" w:rsidR="00CF5882" w:rsidRPr="009C0002" w:rsidRDefault="00F2597A"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 xml:space="preserve">Precision </w:t>
      </w:r>
      <w:r>
        <w:rPr>
          <w:rFonts w:ascii="Times New Roman" w:hAnsi="Times New Roman" w:cs="Times New Roman"/>
          <w:b/>
          <w:bCs/>
          <w:sz w:val="24"/>
          <w:szCs w:val="24"/>
        </w:rPr>
        <w:t>G</w:t>
      </w:r>
      <w:r w:rsidRPr="009C0002">
        <w:rPr>
          <w:rFonts w:ascii="Times New Roman" w:hAnsi="Times New Roman" w:cs="Times New Roman"/>
          <w:b/>
          <w:bCs/>
          <w:sz w:val="24"/>
          <w:szCs w:val="24"/>
        </w:rPr>
        <w:t xml:space="preserve">ene </w:t>
      </w:r>
      <w:r>
        <w:rPr>
          <w:rFonts w:ascii="Times New Roman" w:hAnsi="Times New Roman" w:cs="Times New Roman"/>
          <w:b/>
          <w:bCs/>
          <w:sz w:val="24"/>
          <w:szCs w:val="24"/>
        </w:rPr>
        <w:t>T</w:t>
      </w:r>
      <w:r w:rsidRPr="009C0002">
        <w:rPr>
          <w:rFonts w:ascii="Times New Roman" w:hAnsi="Times New Roman" w:cs="Times New Roman"/>
          <w:b/>
          <w:bCs/>
          <w:sz w:val="24"/>
          <w:szCs w:val="24"/>
        </w:rPr>
        <w:t>herapy</w:t>
      </w:r>
      <w:r w:rsidR="00CF5882" w:rsidRPr="009C0002">
        <w:rPr>
          <w:rFonts w:ascii="Times New Roman" w:hAnsi="Times New Roman" w:cs="Times New Roman"/>
          <w:b/>
          <w:bCs/>
          <w:sz w:val="24"/>
          <w:szCs w:val="24"/>
        </w:rPr>
        <w:t>: A Transformative Approach to Treat Age-Related Macular Degeneration (ARMD)</w:t>
      </w:r>
    </w:p>
    <w:bookmarkEnd w:id="0"/>
    <w:p w14:paraId="3C613CAA" w14:textId="5DFBB2FF" w:rsidR="00C30F5C" w:rsidRPr="009C0002" w:rsidRDefault="00C30F5C" w:rsidP="009C0002">
      <w:pPr>
        <w:spacing w:line="360" w:lineRule="auto"/>
        <w:jc w:val="both"/>
        <w:rPr>
          <w:rFonts w:ascii="Times New Roman" w:hAnsi="Times New Roman" w:cs="Times New Roman"/>
          <w:sz w:val="24"/>
          <w:szCs w:val="24"/>
        </w:rPr>
      </w:pPr>
    </w:p>
    <w:p w14:paraId="796113E8" w14:textId="77777777" w:rsidR="00CF5882" w:rsidRPr="009C0002" w:rsidRDefault="00CF5882"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 xml:space="preserve">Abstract </w:t>
      </w:r>
    </w:p>
    <w:p w14:paraId="7FB5526A" w14:textId="2EE41D62" w:rsidR="008979A3" w:rsidRDefault="00710FB1" w:rsidP="008979A3">
      <w:pPr>
        <w:shd w:val="clear" w:color="auto" w:fill="FFFFFF"/>
        <w:spacing w:line="360" w:lineRule="auto"/>
        <w:jc w:val="both"/>
        <w:rPr>
          <w:rFonts w:ascii="Times New Roman" w:eastAsia="Times New Roman" w:hAnsi="Times New Roman" w:cs="Times New Roman"/>
          <w:color w:val="222222"/>
          <w:kern w:val="0"/>
          <w:sz w:val="24"/>
          <w:szCs w:val="24"/>
        </w:rPr>
      </w:pPr>
      <w:r w:rsidRPr="00710FB1">
        <w:rPr>
          <w:rFonts w:ascii="Times New Roman" w:eastAsia="Times New Roman" w:hAnsi="Times New Roman" w:cs="Times New Roman"/>
          <w:color w:val="222222"/>
          <w:kern w:val="0"/>
          <w:sz w:val="24"/>
          <w:szCs w:val="24"/>
        </w:rPr>
        <w:t xml:space="preserve">A new age of Precision gene therapy is the most futuristic, transformative, and alternative approach developed for treating Age-Related Macular Degeneration (ARMD). Globally, ARMD is a major contributor to severe, irreversible vision loss. It is a degenerative disease that results in central vision loss by affecting the choriocapillaris, photoreceptors, retinal pigment epithelium, and macula, thereby limiting the frequency of </w:t>
      </w:r>
      <w:r w:rsidRPr="00FC5F42">
        <w:rPr>
          <w:rFonts w:ascii="Times New Roman" w:eastAsia="Times New Roman" w:hAnsi="Times New Roman" w:cs="Times New Roman"/>
          <w:color w:val="222222"/>
          <w:kern w:val="0"/>
          <w:sz w:val="24"/>
          <w:szCs w:val="24"/>
          <w:highlight w:val="yellow"/>
        </w:rPr>
        <w:t>anti-vascular endothelial growth factor</w:t>
      </w:r>
      <w:r w:rsidR="00FC5F42" w:rsidRPr="00FC5F42">
        <w:rPr>
          <w:rFonts w:ascii="Times New Roman" w:eastAsia="Times New Roman" w:hAnsi="Times New Roman" w:cs="Times New Roman"/>
          <w:color w:val="222222"/>
          <w:kern w:val="0"/>
          <w:sz w:val="24"/>
          <w:szCs w:val="24"/>
          <w:highlight w:val="yellow"/>
        </w:rPr>
        <w:t xml:space="preserve"> (anti-VEGF)</w:t>
      </w:r>
      <w:r w:rsidRPr="00710FB1">
        <w:rPr>
          <w:rFonts w:ascii="Times New Roman" w:eastAsia="Times New Roman" w:hAnsi="Times New Roman" w:cs="Times New Roman"/>
          <w:color w:val="222222"/>
          <w:kern w:val="0"/>
          <w:sz w:val="24"/>
          <w:szCs w:val="24"/>
        </w:rPr>
        <w:t xml:space="preserve"> injections as a standard treatment. Additionally, it involves creating techniques to ensure sustained delivery of a range of antiangiogenic proteins. These are repetitive intravitreal injections, which put the patient at high risk of infection, costly drugs, low compliance, disparities in access, healthcare burden, increase the doctor-patient conflict, </w:t>
      </w:r>
      <w:r w:rsidR="002F6077">
        <w:rPr>
          <w:rFonts w:ascii="Times New Roman" w:eastAsia="Times New Roman" w:hAnsi="Times New Roman" w:cs="Times New Roman"/>
          <w:color w:val="222222"/>
          <w:kern w:val="0"/>
          <w:sz w:val="24"/>
          <w:szCs w:val="24"/>
        </w:rPr>
        <w:t xml:space="preserve">and are </w:t>
      </w:r>
      <w:r w:rsidRPr="00710FB1">
        <w:rPr>
          <w:rFonts w:ascii="Times New Roman" w:eastAsia="Times New Roman" w:hAnsi="Times New Roman" w:cs="Times New Roman"/>
          <w:color w:val="222222"/>
          <w:kern w:val="0"/>
          <w:sz w:val="24"/>
          <w:szCs w:val="24"/>
        </w:rPr>
        <w:t xml:space="preserve">hectic for the elderly population. Gene therapy has emerged as a promising substitute, an </w:t>
      </w:r>
      <w:r w:rsidR="00311F74" w:rsidRPr="00311F74">
        <w:rPr>
          <w:rFonts w:ascii="Times New Roman" w:eastAsia="Times New Roman" w:hAnsi="Times New Roman" w:cs="Times New Roman"/>
          <w:color w:val="222222"/>
          <w:kern w:val="0"/>
          <w:sz w:val="24"/>
          <w:szCs w:val="24"/>
          <w:highlight w:val="yellow"/>
        </w:rPr>
        <w:t>i</w:t>
      </w:r>
      <w:r w:rsidRPr="00311F74">
        <w:rPr>
          <w:rFonts w:ascii="Times New Roman" w:eastAsia="Times New Roman" w:hAnsi="Times New Roman" w:cs="Times New Roman"/>
          <w:color w:val="222222"/>
          <w:kern w:val="0"/>
          <w:sz w:val="24"/>
          <w:szCs w:val="24"/>
          <w:highlight w:val="yellow"/>
        </w:rPr>
        <w:t>nnovative</w:t>
      </w:r>
      <w:r w:rsidRPr="00710FB1">
        <w:rPr>
          <w:rFonts w:ascii="Times New Roman" w:eastAsia="Times New Roman" w:hAnsi="Times New Roman" w:cs="Times New Roman"/>
          <w:color w:val="222222"/>
          <w:kern w:val="0"/>
          <w:sz w:val="24"/>
          <w:szCs w:val="24"/>
        </w:rPr>
        <w:t xml:space="preserve"> approach to treating ARMD by replacing faulty genes with healthy ones. Viral </w:t>
      </w:r>
      <w:r w:rsidR="00311F74" w:rsidRPr="00311F74">
        <w:rPr>
          <w:rFonts w:ascii="Times New Roman" w:eastAsia="Times New Roman" w:hAnsi="Times New Roman" w:cs="Times New Roman"/>
          <w:color w:val="222222"/>
          <w:kern w:val="0"/>
          <w:sz w:val="24"/>
          <w:szCs w:val="24"/>
          <w:highlight w:val="yellow"/>
        </w:rPr>
        <w:t>non-integrating vectors</w:t>
      </w:r>
      <w:r w:rsidRPr="00710FB1">
        <w:rPr>
          <w:rFonts w:ascii="Times New Roman" w:eastAsia="Times New Roman" w:hAnsi="Times New Roman" w:cs="Times New Roman"/>
          <w:color w:val="222222"/>
          <w:kern w:val="0"/>
          <w:sz w:val="24"/>
          <w:szCs w:val="24"/>
        </w:rPr>
        <w:t xml:space="preserve">, such as </w:t>
      </w:r>
      <w:r w:rsidR="00311F74" w:rsidRPr="00311F74">
        <w:rPr>
          <w:rFonts w:ascii="Times New Roman" w:hAnsi="Times New Roman" w:cs="Times New Roman"/>
          <w:color w:val="222222"/>
          <w:sz w:val="24"/>
          <w:szCs w:val="24"/>
          <w:highlight w:val="yellow"/>
          <w:shd w:val="clear" w:color="auto" w:fill="FFFFFF"/>
        </w:rPr>
        <w:t>Adeno-Associated Viral (</w:t>
      </w:r>
      <w:r w:rsidRPr="00311F74">
        <w:rPr>
          <w:rFonts w:ascii="Times New Roman" w:eastAsia="Times New Roman" w:hAnsi="Times New Roman" w:cs="Times New Roman"/>
          <w:color w:val="222222"/>
          <w:kern w:val="0"/>
          <w:sz w:val="24"/>
          <w:szCs w:val="24"/>
          <w:highlight w:val="yellow"/>
        </w:rPr>
        <w:t>AAV</w:t>
      </w:r>
      <w:r w:rsidR="00311F74" w:rsidRPr="00311F74">
        <w:rPr>
          <w:rFonts w:ascii="Times New Roman" w:eastAsia="Times New Roman" w:hAnsi="Times New Roman" w:cs="Times New Roman"/>
          <w:color w:val="222222"/>
          <w:kern w:val="0"/>
          <w:sz w:val="24"/>
          <w:szCs w:val="24"/>
          <w:highlight w:val="yellow"/>
        </w:rPr>
        <w:t>)</w:t>
      </w:r>
      <w:r w:rsidRPr="00710FB1">
        <w:rPr>
          <w:rFonts w:ascii="Times New Roman" w:eastAsia="Times New Roman" w:hAnsi="Times New Roman" w:cs="Times New Roman"/>
          <w:color w:val="222222"/>
          <w:kern w:val="0"/>
          <w:sz w:val="24"/>
          <w:szCs w:val="24"/>
        </w:rPr>
        <w:t xml:space="preserve">, act as envelopes that carry encoded genetic messages without impacting native cellular DNA. This Review aims to </w:t>
      </w:r>
      <w:r w:rsidRPr="0082015E">
        <w:rPr>
          <w:rFonts w:ascii="Times New Roman" w:eastAsia="Times New Roman" w:hAnsi="Times New Roman" w:cs="Times New Roman"/>
          <w:color w:val="222222"/>
          <w:kern w:val="0"/>
          <w:sz w:val="24"/>
          <w:szCs w:val="24"/>
          <w:highlight w:val="yellow"/>
        </w:rPr>
        <w:t>p</w:t>
      </w:r>
      <w:r w:rsidR="0082015E" w:rsidRPr="0082015E">
        <w:rPr>
          <w:rFonts w:ascii="Times New Roman" w:eastAsia="Times New Roman" w:hAnsi="Times New Roman" w:cs="Times New Roman"/>
          <w:color w:val="222222"/>
          <w:kern w:val="0"/>
          <w:sz w:val="24"/>
          <w:szCs w:val="24"/>
          <w:highlight w:val="yellow"/>
        </w:rPr>
        <w:t xml:space="preserve">rovide a comprehensive overview of </w:t>
      </w:r>
      <w:r w:rsidRPr="0082015E">
        <w:rPr>
          <w:rFonts w:ascii="Times New Roman" w:eastAsia="Times New Roman" w:hAnsi="Times New Roman" w:cs="Times New Roman"/>
          <w:color w:val="222222"/>
          <w:kern w:val="0"/>
          <w:sz w:val="24"/>
          <w:szCs w:val="24"/>
          <w:highlight w:val="yellow"/>
        </w:rPr>
        <w:t xml:space="preserve">gene therapy for </w:t>
      </w:r>
      <w:r w:rsidR="008979A3">
        <w:rPr>
          <w:rFonts w:ascii="Times New Roman" w:eastAsia="Times New Roman" w:hAnsi="Times New Roman" w:cs="Times New Roman"/>
          <w:color w:val="222222"/>
          <w:kern w:val="0"/>
          <w:sz w:val="24"/>
          <w:szCs w:val="24"/>
          <w:highlight w:val="yellow"/>
        </w:rPr>
        <w:t xml:space="preserve">patients with </w:t>
      </w:r>
      <w:r w:rsidRPr="0082015E">
        <w:rPr>
          <w:rFonts w:ascii="Times New Roman" w:eastAsia="Times New Roman" w:hAnsi="Times New Roman" w:cs="Times New Roman"/>
          <w:color w:val="222222"/>
          <w:kern w:val="0"/>
          <w:sz w:val="24"/>
          <w:szCs w:val="24"/>
          <w:highlight w:val="yellow"/>
        </w:rPr>
        <w:t>ARMD</w:t>
      </w:r>
      <w:r w:rsidRPr="00710FB1">
        <w:rPr>
          <w:rFonts w:ascii="Times New Roman" w:eastAsia="Times New Roman" w:hAnsi="Times New Roman" w:cs="Times New Roman"/>
          <w:color w:val="222222"/>
          <w:kern w:val="0"/>
          <w:sz w:val="24"/>
          <w:szCs w:val="24"/>
        </w:rPr>
        <w:t xml:space="preserve">, providing the current status of ongoing research, awareness, and future innovative progression. </w:t>
      </w:r>
      <w:r w:rsidR="008979A3" w:rsidRPr="008979A3">
        <w:rPr>
          <w:rFonts w:ascii="Times New Roman" w:eastAsia="Times New Roman" w:hAnsi="Times New Roman" w:cs="Times New Roman"/>
          <w:color w:val="222222"/>
          <w:kern w:val="0"/>
          <w:sz w:val="24"/>
          <w:szCs w:val="24"/>
          <w:highlight w:val="yellow"/>
        </w:rPr>
        <w:t>The</w:t>
      </w:r>
      <w:r w:rsidR="0082015E" w:rsidRPr="008979A3">
        <w:rPr>
          <w:rFonts w:ascii="Times New Roman" w:eastAsia="Times New Roman" w:hAnsi="Times New Roman" w:cs="Times New Roman"/>
          <w:color w:val="222222"/>
          <w:kern w:val="0"/>
          <w:sz w:val="24"/>
          <w:szCs w:val="24"/>
          <w:highlight w:val="yellow"/>
        </w:rPr>
        <w:t xml:space="preserve"> high potential</w:t>
      </w:r>
      <w:r w:rsidR="008979A3" w:rsidRPr="008979A3">
        <w:rPr>
          <w:rFonts w:ascii="Times New Roman" w:eastAsia="Times New Roman" w:hAnsi="Times New Roman" w:cs="Times New Roman"/>
          <w:color w:val="222222"/>
          <w:kern w:val="0"/>
          <w:sz w:val="24"/>
          <w:szCs w:val="24"/>
          <w:highlight w:val="yellow"/>
        </w:rPr>
        <w:t xml:space="preserve"> and efficiency of </w:t>
      </w:r>
      <w:r w:rsidR="0082015E" w:rsidRPr="008979A3">
        <w:rPr>
          <w:rFonts w:ascii="Times New Roman" w:eastAsia="Times New Roman" w:hAnsi="Times New Roman" w:cs="Times New Roman"/>
          <w:color w:val="222222"/>
          <w:kern w:val="0"/>
          <w:sz w:val="24"/>
          <w:szCs w:val="24"/>
          <w:highlight w:val="yellow"/>
        </w:rPr>
        <w:t>this t</w:t>
      </w:r>
      <w:r w:rsidR="008979A3" w:rsidRPr="008979A3">
        <w:rPr>
          <w:rFonts w:ascii="Times New Roman" w:eastAsia="Times New Roman" w:hAnsi="Times New Roman" w:cs="Times New Roman"/>
          <w:color w:val="222222"/>
          <w:kern w:val="0"/>
          <w:sz w:val="24"/>
          <w:szCs w:val="24"/>
          <w:highlight w:val="yellow"/>
        </w:rPr>
        <w:t>herapy</w:t>
      </w:r>
      <w:r w:rsidR="0082015E" w:rsidRPr="008979A3">
        <w:rPr>
          <w:rFonts w:ascii="Times New Roman" w:eastAsia="Times New Roman" w:hAnsi="Times New Roman" w:cs="Times New Roman"/>
          <w:color w:val="222222"/>
          <w:kern w:val="0"/>
          <w:sz w:val="24"/>
          <w:szCs w:val="24"/>
          <w:highlight w:val="yellow"/>
        </w:rPr>
        <w:t xml:space="preserve"> could </w:t>
      </w:r>
      <w:r w:rsidR="007726E4">
        <w:rPr>
          <w:rFonts w:ascii="Times New Roman" w:eastAsia="Times New Roman" w:hAnsi="Times New Roman" w:cs="Times New Roman"/>
          <w:color w:val="222222"/>
          <w:kern w:val="0"/>
          <w:sz w:val="24"/>
          <w:szCs w:val="24"/>
          <w:highlight w:val="yellow"/>
        </w:rPr>
        <w:t>make it an effective method, providing hope for patients and potentially revolutionizing the future of healthcare</w:t>
      </w:r>
      <w:r w:rsidR="008979A3" w:rsidRPr="008979A3">
        <w:rPr>
          <w:rFonts w:ascii="Times New Roman" w:eastAsia="Times New Roman" w:hAnsi="Times New Roman" w:cs="Times New Roman"/>
          <w:color w:val="222222"/>
          <w:kern w:val="0"/>
          <w:sz w:val="24"/>
          <w:szCs w:val="24"/>
          <w:highlight w:val="yellow"/>
        </w:rPr>
        <w:t>.</w:t>
      </w:r>
    </w:p>
    <w:p w14:paraId="34A8CA36" w14:textId="3E3483E9" w:rsidR="00A37D7A" w:rsidRPr="009C0002" w:rsidRDefault="00CF5882" w:rsidP="008979A3">
      <w:pPr>
        <w:shd w:val="clear" w:color="auto" w:fill="FFFFFF"/>
        <w:spacing w:line="360" w:lineRule="auto"/>
        <w:jc w:val="both"/>
        <w:rPr>
          <w:rFonts w:ascii="Times New Roman" w:hAnsi="Times New Roman" w:cs="Times New Roman"/>
          <w:sz w:val="24"/>
          <w:szCs w:val="24"/>
        </w:rPr>
      </w:pPr>
      <w:r w:rsidRPr="009C0002">
        <w:rPr>
          <w:rFonts w:ascii="Times New Roman" w:hAnsi="Times New Roman" w:cs="Times New Roman"/>
          <w:b/>
          <w:bCs/>
          <w:sz w:val="24"/>
          <w:szCs w:val="24"/>
        </w:rPr>
        <w:t>Keywords</w:t>
      </w:r>
      <w:r w:rsidR="009C0002" w:rsidRPr="009C0002">
        <w:rPr>
          <w:rFonts w:ascii="Times New Roman" w:hAnsi="Times New Roman" w:cs="Times New Roman"/>
          <w:b/>
          <w:bCs/>
          <w:sz w:val="24"/>
          <w:szCs w:val="24"/>
        </w:rPr>
        <w:t>:</w:t>
      </w:r>
      <w:r w:rsidR="009C0002" w:rsidRPr="009C0002">
        <w:rPr>
          <w:rFonts w:ascii="Times New Roman" w:hAnsi="Times New Roman" w:cs="Times New Roman"/>
          <w:sz w:val="24"/>
          <w:szCs w:val="24"/>
        </w:rPr>
        <w:t xml:space="preserve"> Adeno</w:t>
      </w:r>
      <w:r w:rsidR="00B52557" w:rsidRPr="009C0002">
        <w:rPr>
          <w:rFonts w:ascii="Times New Roman" w:hAnsi="Times New Roman" w:cs="Times New Roman"/>
          <w:sz w:val="24"/>
          <w:szCs w:val="24"/>
        </w:rPr>
        <w:t xml:space="preserve">-Associated Viral Vector, </w:t>
      </w:r>
      <w:r w:rsidRPr="009C0002">
        <w:rPr>
          <w:rFonts w:ascii="Times New Roman" w:hAnsi="Times New Roman" w:cs="Times New Roman"/>
          <w:sz w:val="24"/>
          <w:szCs w:val="24"/>
        </w:rPr>
        <w:t>Age-Related Macular Degeneration, Gene Therapy, Precision Medicine, Vision Loss</w:t>
      </w:r>
      <w:r w:rsidR="00B52557" w:rsidRPr="009C0002">
        <w:rPr>
          <w:rFonts w:ascii="Times New Roman" w:hAnsi="Times New Roman" w:cs="Times New Roman"/>
          <w:sz w:val="24"/>
          <w:szCs w:val="24"/>
        </w:rPr>
        <w:t>.</w:t>
      </w:r>
    </w:p>
    <w:p w14:paraId="4A6241B3" w14:textId="77777777" w:rsidR="00B10DE5" w:rsidRPr="009C0002" w:rsidRDefault="00B10DE5" w:rsidP="009C0002">
      <w:pPr>
        <w:spacing w:line="360" w:lineRule="auto"/>
        <w:jc w:val="both"/>
        <w:rPr>
          <w:rFonts w:ascii="Times New Roman" w:hAnsi="Times New Roman" w:cs="Times New Roman"/>
          <w:sz w:val="24"/>
          <w:szCs w:val="24"/>
        </w:rPr>
      </w:pPr>
    </w:p>
    <w:p w14:paraId="367F3FD4" w14:textId="77777777" w:rsidR="00C30F5C" w:rsidRPr="009C0002" w:rsidRDefault="00C30F5C" w:rsidP="009C0002">
      <w:pPr>
        <w:spacing w:line="360" w:lineRule="auto"/>
        <w:jc w:val="both"/>
        <w:rPr>
          <w:rFonts w:ascii="Times New Roman" w:hAnsi="Times New Roman" w:cs="Times New Roman"/>
          <w:sz w:val="24"/>
          <w:szCs w:val="24"/>
        </w:rPr>
      </w:pPr>
    </w:p>
    <w:p w14:paraId="4AC06CA6" w14:textId="77777777" w:rsidR="00C30F5C" w:rsidRPr="009C0002" w:rsidRDefault="00C30F5C" w:rsidP="009C0002">
      <w:pPr>
        <w:spacing w:line="360" w:lineRule="auto"/>
        <w:jc w:val="both"/>
        <w:rPr>
          <w:rFonts w:ascii="Times New Roman" w:hAnsi="Times New Roman" w:cs="Times New Roman"/>
          <w:sz w:val="24"/>
          <w:szCs w:val="24"/>
        </w:rPr>
      </w:pPr>
    </w:p>
    <w:p w14:paraId="4CF83AFF" w14:textId="77777777" w:rsidR="00F10C78" w:rsidRPr="009C0002" w:rsidRDefault="00F10C78" w:rsidP="009C0002">
      <w:pPr>
        <w:spacing w:line="360" w:lineRule="auto"/>
        <w:jc w:val="both"/>
        <w:rPr>
          <w:rFonts w:ascii="Times New Roman" w:hAnsi="Times New Roman" w:cs="Times New Roman"/>
          <w:sz w:val="24"/>
          <w:szCs w:val="24"/>
        </w:rPr>
      </w:pPr>
    </w:p>
    <w:p w14:paraId="69FC2000" w14:textId="77777777" w:rsidR="00CF5882" w:rsidRPr="009C0002" w:rsidRDefault="00AF1310"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 xml:space="preserve">1. </w:t>
      </w:r>
      <w:r w:rsidR="00CF5882" w:rsidRPr="009C0002">
        <w:rPr>
          <w:rFonts w:ascii="Times New Roman" w:hAnsi="Times New Roman" w:cs="Times New Roman"/>
          <w:b/>
          <w:bCs/>
          <w:sz w:val="24"/>
          <w:szCs w:val="24"/>
        </w:rPr>
        <w:t>Introduction</w:t>
      </w:r>
    </w:p>
    <w:p w14:paraId="08649843" w14:textId="3C62B54C" w:rsidR="00CF5882" w:rsidRPr="005A00BD" w:rsidRDefault="00710FB1" w:rsidP="009C0002">
      <w:pPr>
        <w:shd w:val="clear" w:color="auto" w:fill="FFFFFF"/>
        <w:spacing w:line="360" w:lineRule="auto"/>
        <w:jc w:val="both"/>
        <w:rPr>
          <w:rFonts w:ascii="Times New Roman" w:hAnsi="Times New Roman" w:cs="Times New Roman"/>
          <w:sz w:val="24"/>
          <w:szCs w:val="24"/>
        </w:rPr>
      </w:pPr>
      <w:r w:rsidRPr="009C0002">
        <w:rPr>
          <w:rFonts w:ascii="Times New Roman" w:hAnsi="Times New Roman" w:cs="Times New Roman"/>
          <w:color w:val="222222"/>
          <w:sz w:val="24"/>
          <w:szCs w:val="24"/>
          <w:shd w:val="clear" w:color="auto" w:fill="FFFFFF"/>
        </w:rPr>
        <w:lastRenderedPageBreak/>
        <w:t xml:space="preserve">Age-related macular degeneration </w:t>
      </w:r>
      <w:r w:rsidR="0082044D" w:rsidRPr="0082044D">
        <w:rPr>
          <w:rFonts w:ascii="Times New Roman" w:hAnsi="Times New Roman" w:cs="Times New Roman"/>
          <w:color w:val="222222"/>
          <w:sz w:val="24"/>
          <w:szCs w:val="24"/>
          <w:highlight w:val="yellow"/>
          <w:shd w:val="clear" w:color="auto" w:fill="FFFFFF"/>
        </w:rPr>
        <w:t>(</w:t>
      </w:r>
      <w:r w:rsidRPr="0082044D">
        <w:rPr>
          <w:rFonts w:ascii="Times New Roman" w:hAnsi="Times New Roman" w:cs="Times New Roman"/>
          <w:color w:val="222222"/>
          <w:sz w:val="24"/>
          <w:szCs w:val="24"/>
          <w:highlight w:val="yellow"/>
          <w:shd w:val="clear" w:color="auto" w:fill="FFFFFF"/>
        </w:rPr>
        <w:t>ARMD)</w:t>
      </w:r>
      <w:r w:rsidRPr="009C0002">
        <w:rPr>
          <w:rFonts w:ascii="Times New Roman" w:hAnsi="Times New Roman" w:cs="Times New Roman"/>
          <w:color w:val="222222"/>
          <w:sz w:val="24"/>
          <w:szCs w:val="24"/>
          <w:shd w:val="clear" w:color="auto" w:fill="FFFFFF"/>
        </w:rPr>
        <w:t>, also known as senile macular degeneration, is a complex bilateral disorder characterised by the development of distinct, slightly raised, yellowish-white spots called Drusen</w:t>
      </w:r>
      <w:r w:rsidR="002F6077">
        <w:rPr>
          <w:rFonts w:ascii="Times New Roman" w:hAnsi="Times New Roman" w:cs="Times New Roman"/>
          <w:color w:val="222222"/>
          <w:sz w:val="24"/>
          <w:szCs w:val="24"/>
          <w:shd w:val="clear" w:color="auto" w:fill="FFFFFF"/>
        </w:rPr>
        <w:t xml:space="preserve"> </w:t>
      </w:r>
      <w:r w:rsidR="003A0F1D" w:rsidRPr="009C0002">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{"citationID":"yUAWgwFS","properties":{"formattedCitation":"(Voelker, 2024)","plainCitation":"(Voelker, 2024)","noteIndex":0},"citationItems":[{"id":"URioxLtk/wIzJumMI","uris":["http://zotero.org/users/17126151/items/8LU5X9BJ"],"itemData":{"id":1,"type":"article-journal","abstract":"Age-related macular degeneration (AMD) causes severe vision impairment in older adults.Age-related macular degeneration affects approximately 20 million individuals in the US and 196 million people worldwide. Although AMD does not typically cause complete vision loss, it accounts for 6% to 9% of legal blindness globally. Patients with late-stage AMD may lose their ability to drive, read, and recognize faces.","container-title":"JAMA","DOI":"10.1001/jama.2024.4281","ISSN":"0098-7484","issue":"24","journalAbbreviation":"JAMA","page":"2142","source":"Silverchair","title":"What Is Age-Related Macular Degeneration?","volume":"331","author":[{"family":"Voelker","given":"Rebecca"}],"issued":{"date-parts":[["2024",6,25]]}}}],"schema":"https://github.com/citation-style-language/schema/raw/master/csl-citation.json"}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(Voelker, 2024)</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These extracellular deposits form between the retinal pigment epithelium and Bruch's membrane. The risk is 1.3 times greater for women than for men. 10–20% of adults over 65 are suffering from Age-Related Macular Degeneration (ARMD), a major cause of severe, permanent loss of vision that will affect 2</w:t>
      </w:r>
      <w:r w:rsidR="00513BFC" w:rsidRPr="009C0002">
        <w:rPr>
          <w:rFonts w:ascii="Times New Roman" w:hAnsi="Times New Roman" w:cs="Times New Roman"/>
          <w:sz w:val="24"/>
          <w:szCs w:val="24"/>
        </w:rPr>
        <w:t xml:space="preserve">00 </w:t>
      </w:r>
      <w:r w:rsidR="00CF5882" w:rsidRPr="009C0002">
        <w:rPr>
          <w:rFonts w:ascii="Times New Roman" w:hAnsi="Times New Roman" w:cs="Times New Roman"/>
          <w:sz w:val="24"/>
          <w:szCs w:val="24"/>
        </w:rPr>
        <w:t>million people by 2040</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{"citationID":"Wp4OpO69","properties":{"formattedCitation":"(Vyawahare &amp; Shinde, n.d.)","plainCitation":"(Vyawahare &amp; Shinde, n.d.)","noteIndex":0},"citationItems":[{"id":"URioxLtk/YEL0cwfu","uris":["http://zotero.org/users/17126151/items/979A9ZI4"],"itemData":{"id":3,"type":"article-journal","abstract":"The greatest global root of irremediable amaurosis in the venerable is age-related macular degeneration (AMD), a complex eye condition. Clinically, AMD is characterized as being in an early stage to late stage and initially affects the macula, which is the center of the retina (advanced AMD). Age-related cellular and metabolic imbalance are made worse by the creation of excessive amounts of free radical species, which causes mitochondrial malfunction. As a result, in AMD-affected eyes, the deprivation of melanocytes, confection, and eventually atrophy within the retinal tissue are caused by the continued proliferation of oxidative stress caused by systemic antioxidant capacity depletion., In the urbanized, industrialized world, age-related macular degeneration (AMD) is one of the major causes of central vision loss in the older age group. Although several causes and mechanisms for the dysfunction and degeneration of the retinal pigment epithelium (RPE) have previously been identified, the condition’s symptoms are still not fully understood. Etiopathogenesis is still not entirely understood. As a result, the RPE fails, allowing an accumulation of aberrant misfolded proteins, due to the loss of anatomical control over oppression, altered homeostasis, dysfunctional lipid homeostasis, and failure of mitochondria., Due to the multitude of interconnected processes, numerous complicated therapy combinations will probably be the best option to deliver the best visual outcomes; these combinations will vary depending on the kind and degree of the condition being treated. Undoubtedly, this will lead to the development of customized preventative medications and, hopefully, the revelation of a potential cure. All the mechanisms involved in the etiology of AMD should be continuously probed to create covariates for other contemporaneous or future problems.","container-title":"Cureus","DOI":"10.7759/cureus.29583","ISSN":"2168-8184","issue":"9","journalAbbreviation":"Cureus","note":"PMID: 36312607\nPMCID: PMC9595233","page":"e29583","source":"PubMed Central","title":"Age-Related Macular Degeneration: Epidemiology, Pathophysiology, Diagnosis, and Treatment","title-short":"Age-Related Macular Degeneration","volume":"14","author":[{"family":"Vyawahare","given":"Hrishikesh"},{"family":"Shinde","given":"Pranaykumar"}]}}],"schema":"https://github.com/citation-style-language/schema/raw/master/csl-citation.json"}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(Vyawahare &amp; Shinde, n.d.)</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5A00BD">
        <w:rPr>
          <w:rFonts w:ascii="Times New Roman" w:hAnsi="Times New Roman" w:cs="Times New Roman"/>
          <w:sz w:val="24"/>
          <w:szCs w:val="24"/>
        </w:rPr>
        <w:t xml:space="preserve"> </w:t>
      </w:r>
      <w:r w:rsidR="005A00BD" w:rsidRPr="005A00BD">
        <w:rPr>
          <w:rFonts w:ascii="Times New Roman" w:hAnsi="Times New Roman" w:cs="Times New Roman"/>
          <w:sz w:val="24"/>
          <w:szCs w:val="24"/>
          <w:highlight w:val="yellow"/>
        </w:rPr>
        <w:t>Current therapies, such as anti-VEGF injections, have limitations, such as a high risk of infection, expensive medications, poor patient adherence, and a significant financial strain on the healthcare system</w:t>
      </w:r>
      <w:r w:rsidR="005A00BD">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{"citationID":"vqhVwOVl","properties":{"formattedCitation":"(Xu et al., 2022)","plainCitation":"(Xu et al., 2022)","noteIndex":0},"citationItems":[{"id":"URioxLtk/WuziJmLe","uris":["http://zotero.org/users/17126151/items/8QPVNPRE"],"itemData":{"id":6,"type":"article-journal","abstract":"Currently, the treatment for ocular neovascular diseases, including diabetic macular edema (DME) and age-related macular degeneration (AMD), mainly involves repeated intravitreal injection of anti-vascular endothelial growth factor (VEGF) drugs. Although it can preserve vision, repeated injections are an invasive treatment modality, leading to serious complications and reducing patient adherence to treatment. To reduce the frequency of administration, prolong the time of drug action, and avoid repeated intravitreal injections, the combination of sustained-release materials with anti-VEGF drug therapy has become an emphasis in ophthalmology. In this review, we highlight the current state of anti-VEGF technology, its challenges, and the sustained-release strategies under investigation or being used in clinical practice. Both continuous release and considerable therapeutic effects can be achieved by encapsulating anti-VEGF drugs in sustained-release materials to minimize the number of intravitreal injections. At present, two sustained-release materials are being tested in clinical research, and although basic research shows the strong therapeutic application prospects of extended-release drugs, its challenges mainly involve the discrepancy between the release rates in vitro and the efficiency of the drugs in vivo. Briefly, sustained release of anti-VEGF agents is an advantageous strategy for treating retinal angiogenesis.","container-title":"Drug Design, Development and Therapy","DOI":"10.2147/DDDT.S383101","ISSN":"1177-8881","journalAbbreviation":"Drug Des Devel Ther","note":"PMID: 36172053\nPMCID: PMC9512290","page":"3241-3262","source":"PubMed Central","title":"Progress and Challenges of Anti-VEGF Agents and Their Sustained-Release Strategies for Retinal Angiogenesis","volume":"16","author":[{"family":"Xu","given":"Manhong"},{"family":"Fan","given":"Ruiyan"},{"family":"Fan","given":"Xiaoe"},{"family":"Shao","given":"Yan"},{"family":"Li","given":"Xiaorong"}],"issued":{"date-parts":[["2022",9,22]]}}}],"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(Xu et al., 2022)</w:t>
      </w:r>
      <w:r w:rsidR="003A0F1D" w:rsidRPr="009C0002">
        <w:rPr>
          <w:rFonts w:ascii="Times New Roman" w:hAnsi="Times New Roman" w:cs="Times New Roman"/>
          <w:sz w:val="24"/>
          <w:szCs w:val="24"/>
        </w:rPr>
        <w:fldChar w:fldCharType="end"/>
      </w:r>
      <w:r w:rsidR="005A00BD">
        <w:rPr>
          <w:rFonts w:ascii="Times New Roman" w:hAnsi="Times New Roman" w:cs="Times New Roman"/>
          <w:sz w:val="24"/>
          <w:szCs w:val="24"/>
        </w:rPr>
        <w:t xml:space="preserve">. </w:t>
      </w:r>
      <w:r w:rsidR="00CF5882" w:rsidRPr="009C0002">
        <w:rPr>
          <w:rFonts w:ascii="Times New Roman" w:hAnsi="Times New Roman" w:cs="Times New Roman"/>
          <w:sz w:val="24"/>
          <w:szCs w:val="24"/>
        </w:rPr>
        <w:t xml:space="preserve">ARMD is a multifactorial global disease that significantly impacts society. In </w:t>
      </w:r>
      <w:r w:rsidR="005A00BD" w:rsidRPr="005A00BD">
        <w:rPr>
          <w:rFonts w:ascii="Times New Roman" w:hAnsi="Times New Roman" w:cs="Times New Roman"/>
          <w:sz w:val="24"/>
          <w:szCs w:val="24"/>
          <w:highlight w:val="yellow"/>
        </w:rPr>
        <w:t>which</w:t>
      </w:r>
      <w:r w:rsidR="00CF5882" w:rsidRPr="009C0002">
        <w:rPr>
          <w:rFonts w:ascii="Times New Roman" w:hAnsi="Times New Roman" w:cs="Times New Roman"/>
          <w:sz w:val="24"/>
          <w:szCs w:val="24"/>
        </w:rPr>
        <w:t xml:space="preserve"> the </w:t>
      </w:r>
      <w:r w:rsidR="005A00BD">
        <w:rPr>
          <w:rFonts w:ascii="Times New Roman" w:hAnsi="Times New Roman" w:cs="Times New Roman"/>
          <w:sz w:val="24"/>
          <w:szCs w:val="24"/>
        </w:rPr>
        <w:t>m</w:t>
      </w:r>
      <w:r w:rsidR="00CF5882" w:rsidRPr="009C0002">
        <w:rPr>
          <w:rFonts w:ascii="Times New Roman" w:hAnsi="Times New Roman" w:cs="Times New Roman"/>
          <w:sz w:val="24"/>
          <w:szCs w:val="24"/>
        </w:rPr>
        <w:t xml:space="preserve">acula is affected, </w:t>
      </w:r>
      <w:r w:rsidR="00C85373" w:rsidRPr="009C0002">
        <w:rPr>
          <w:rFonts w:ascii="Times New Roman" w:hAnsi="Times New Roman" w:cs="Times New Roman"/>
          <w:sz w:val="24"/>
          <w:szCs w:val="24"/>
        </w:rPr>
        <w:t>compromising the central vision, impairing</w:t>
      </w:r>
      <w:r w:rsidR="00CF5882" w:rsidRPr="009C0002">
        <w:rPr>
          <w:rFonts w:ascii="Times New Roman" w:hAnsi="Times New Roman" w:cs="Times New Roman"/>
          <w:sz w:val="24"/>
          <w:szCs w:val="24"/>
        </w:rPr>
        <w:t xml:space="preserve"> a person's ability to see colours, and </w:t>
      </w:r>
      <w:r w:rsidR="00C85373" w:rsidRPr="009C0002">
        <w:rPr>
          <w:rFonts w:ascii="Times New Roman" w:hAnsi="Times New Roman" w:cs="Times New Roman"/>
          <w:sz w:val="24"/>
          <w:szCs w:val="24"/>
        </w:rPr>
        <w:t>causing</w:t>
      </w:r>
      <w:r w:rsidR="00CF5882" w:rsidRPr="009C0002">
        <w:rPr>
          <w:rFonts w:ascii="Times New Roman" w:hAnsi="Times New Roman" w:cs="Times New Roman"/>
          <w:sz w:val="24"/>
          <w:szCs w:val="24"/>
        </w:rPr>
        <w:t xml:space="preserve"> distorted and blurred vision. An individual will suffer from metamorphopsia with central scotoma, which might cause hallucinations and make facial recognition difficult</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{"citationID":"IpKqTEVO","properties":{"formattedCitation":"(Chaudhuri et al., n.d.)","plainCitation":"(Chaudhuri et al., n.d.)","noteIndex":0},"citationItems":[{"id":"URioxLtk/18kRk2pO","uris":["http://zotero.org/users/17126151/items/TICWYPHA"],"itemData":{"id":9,"type":"article-journal","abstract":"Age-related macular degeneration (AMD) is a significant cause of blindness globally. With the exponential rise in the aging population, AMD is the third leading cause of visual impairment worldwide. Neovascular AMD (nAMD; Wet AMD) and geographical atrophy (GA, late-stage dry AMD) are the advanced AMD accountable for substantial cases of visual deterioration among the elderly. Our review of the literature depicted that notable risk factors include cigarette smoking, nutritional elements, cardiovascular disorders, and genetic markers, including genes regulating complement, lipid, and angiogenic pathways. Some studies have suggested a relative decline in the proportion of AMD cases in the last two decades attributable to novel diagnostic and therapeutic modalities. Accurate diagnosis is the result of a combination of clinical examination and imaging techniques, including retinal photography, angiography, and optical coherence tomography. The incorporation of dietary antioxidant supplements, explicitly lutein, slows the progression of the disease in advanced stages. The induction of vascular endothelial growth factor (VEGF) inhibitors in the treatment of neovascular AMD, often combined with other modalities, has shown an immensely favorable prognosis. Research to integrate gene therapy and regenerative techniques using stem cells is underway to further mitigate AMD-associated morbidity. It is imperative to establish screening and therapeutic guidelines for AMD to curtail the future social and financial burden and improve the diminishing quality of life among the elderly.","container-title":"Cureus","DOI":"10.7759/cureus.39624","ISSN":"2168-8184","issue":"5","journalAbbreviation":"Cureus","note":"PMID: 37388610\nPMCID: PMC10300666","page":"e39624","source":"PubMed Central","title":"Age-Related Macular Degeneration: An Exponentially Emerging Imminent Threat of Visual Impairment and Irreversible Blindness","title-short":"Age-Related Macular Degeneration","volume":"15","author":[{"family":"Chaudhuri","given":"Madhurima"},{"family":"Hassan","given":"Yusra"},{"family":"Bakka Vemana","given":"Pansy Prardhana Sinha"},{"family":"Bellary Pattanashetty","given":"Muktha S"},{"family":"Abdin","given":"Zain U"},{"family":"Siddiqui","given":"Humza F"}]}}],"schema":"https://github.com/citation-style-language/schema/raw/master/csl-citation.json"}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(Chaudhuri et al., n.d.)</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w:t>
      </w:r>
      <w:r w:rsidR="009C0002" w:rsidRPr="009C0002">
        <w:rPr>
          <w:rFonts w:ascii="Times New Roman" w:eastAsia="Times New Roman" w:hAnsi="Times New Roman" w:cs="Times New Roman"/>
          <w:color w:val="222222"/>
          <w:kern w:val="0"/>
          <w:sz w:val="24"/>
          <w:szCs w:val="24"/>
        </w:rPr>
        <w:t xml:space="preserve">ARMD exists in two main </w:t>
      </w:r>
      <w:r w:rsidR="002F6077">
        <w:rPr>
          <w:rFonts w:ascii="Times New Roman" w:eastAsia="Times New Roman" w:hAnsi="Times New Roman" w:cs="Times New Roman"/>
          <w:color w:val="222222"/>
          <w:kern w:val="0"/>
          <w:sz w:val="24"/>
          <w:szCs w:val="24"/>
        </w:rPr>
        <w:t>forms: Dry and wet.</w:t>
      </w:r>
      <w:r w:rsidR="009C0002" w:rsidRPr="009C0002">
        <w:rPr>
          <w:rFonts w:ascii="Times New Roman" w:eastAsia="Times New Roman" w:hAnsi="Times New Roman" w:cs="Times New Roman"/>
          <w:b/>
          <w:bCs/>
          <w:color w:val="222222"/>
          <w:kern w:val="0"/>
          <w:sz w:val="24"/>
          <w:szCs w:val="24"/>
        </w:rPr>
        <w:t xml:space="preserve"> Fig</w:t>
      </w:r>
      <w:r w:rsidR="00F10C78">
        <w:rPr>
          <w:rFonts w:ascii="Times New Roman" w:eastAsia="Times New Roman" w:hAnsi="Times New Roman" w:cs="Times New Roman"/>
          <w:b/>
          <w:bCs/>
          <w:color w:val="222222"/>
          <w:kern w:val="0"/>
          <w:sz w:val="24"/>
          <w:szCs w:val="24"/>
        </w:rPr>
        <w:t>. 1</w:t>
      </w:r>
      <w:r w:rsidR="009C0002" w:rsidRPr="009C0002">
        <w:rPr>
          <w:rFonts w:ascii="Times New Roman" w:eastAsia="Times New Roman" w:hAnsi="Times New Roman" w:cs="Times New Roman"/>
          <w:color w:val="222222"/>
          <w:kern w:val="0"/>
          <w:sz w:val="24"/>
          <w:szCs w:val="24"/>
        </w:rPr>
        <w:t>. Dry ARMD (Non-Exudative/Atrophic) is a slower-progressing form of ARMD characterised by the accumulation of waste material in the retina. New vessels are fragile and prone to breaking</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{"citationID":"h45La41E","properties":{"formattedCitation":"(Fernandes et al., 2022)","plainCitation":"(Fernandes et al., 2022)","noteIndex":0},"citationItems":[{"id":"URioxLtk/tRmEgNWS","uris":["http://zotero.org/users/17126151/items/8NVPRXLA"],"itemData":{"id":12,"type":"article-journal","abstract":"Age-related macular degeneration (AMD) is an eye disease typically associated with the aging and can be classified into two types—namely, the exudative and the nonexudative AMD. Currently available treatments for exudative AMD use intravitreal injections, which are associated with high risk of infection that can lead to endophthalmitis, while no successful treatments yet exist for the nonexudative form of AMD. In addition to the pharmacologic therapies administered by intravitreal injection already approved by the Food and Drug Administration (FDA) in exudative AMD, there are some laser treatments approved that can be used in combination with the pharmacological therapies. In this review, we discuss the latest developments of treatment options for AMD. Relevant literature available from 1993 was used, which included original articles and reviews available in PubMed database and also information collected from Clinical Trials Gov website using “age-related macular degeneration” and “antiangiogenic therapies” as keywords. The clinical trials search was limited to ongoing trials from 2015 to date.","container-title":"International Journal of Molecular Sciences","DOI":"10.3390/ijms23052592","ISSN":"1422-0067","issue":"5","journalAbbreviation":"Int J Mol Sci","note":"PMID: 35269743\nPMCID: PMC8910030","page":"2592","source":"PubMed Central","title":"Exudative versus Nonexudative Age-Related Macular Degeneration: Physiopathology and Treatment Options","title-short":"Exudative versus Nonexudative Age-Related Macular Degeneration","volume":"23","author":[{"family":"Fernandes","given":"Ana Rita"},{"family":"Zielińska","given":"Aleksandra"},{"family":"Sanchez-Lopez","given":"Elena"},{"family":"Santos","given":"Tiago","non-dropping-particle":"dos"},{"family":"Garcia","given":"Maria Luisa"},{"family":"Silva","given":"Amelia M."},{"family":"Karczewski","given":"Jacek"},{"family":"Souto","given":"Eliana B."}],"issued":{"date-parts":[["2022",2,26]]}}}],"schema":"https://github.com/citation-style-language/schema/raw/master/csl-citation.json"}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(Fernandes et al., 2022)</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w:t>
      </w:r>
      <w:r w:rsidR="009C0002" w:rsidRPr="009C0002">
        <w:rPr>
          <w:rFonts w:ascii="Times New Roman" w:eastAsia="Times New Roman" w:hAnsi="Times New Roman" w:cs="Times New Roman"/>
          <w:kern w:val="0"/>
          <w:sz w:val="24"/>
          <w:szCs w:val="24"/>
        </w:rPr>
        <w:t>Neovascularisation occurred</w:t>
      </w:r>
      <w:r w:rsidR="009C0002" w:rsidRPr="005A00BD">
        <w:rPr>
          <w:rFonts w:ascii="Times New Roman" w:eastAsia="Times New Roman" w:hAnsi="Times New Roman" w:cs="Times New Roman"/>
          <w:kern w:val="0"/>
          <w:sz w:val="24"/>
          <w:szCs w:val="24"/>
        </w:rPr>
        <w:t xml:space="preserve"> </w:t>
      </w:r>
      <w:r w:rsidR="009C0002" w:rsidRPr="005A00BD">
        <w:rPr>
          <w:rFonts w:ascii="Times New Roman" w:eastAsia="Times New Roman" w:hAnsi="Times New Roman" w:cs="Times New Roman"/>
          <w:kern w:val="0"/>
          <w:sz w:val="24"/>
          <w:szCs w:val="24"/>
          <w:highlight w:val="yellow"/>
        </w:rPr>
        <w:t xml:space="preserve">in </w:t>
      </w:r>
      <w:r w:rsidR="005A00BD">
        <w:rPr>
          <w:rFonts w:ascii="Times New Roman" w:eastAsia="Times New Roman" w:hAnsi="Times New Roman" w:cs="Times New Roman"/>
          <w:kern w:val="0"/>
          <w:sz w:val="24"/>
          <w:szCs w:val="24"/>
          <w:highlight w:val="yellow"/>
        </w:rPr>
        <w:t xml:space="preserve">the </w:t>
      </w:r>
      <w:r w:rsidR="009C0002" w:rsidRPr="005A00BD">
        <w:rPr>
          <w:rFonts w:ascii="Times New Roman" w:eastAsia="Times New Roman" w:hAnsi="Times New Roman" w:cs="Times New Roman"/>
          <w:kern w:val="0"/>
          <w:sz w:val="24"/>
          <w:szCs w:val="24"/>
          <w:highlight w:val="yellow"/>
        </w:rPr>
        <w:t>choroidal</w:t>
      </w:r>
      <w:r w:rsidR="009C0002" w:rsidRPr="009C0002">
        <w:rPr>
          <w:rFonts w:ascii="Times New Roman" w:eastAsia="Times New Roman" w:hAnsi="Times New Roman" w:cs="Times New Roman"/>
          <w:kern w:val="0"/>
          <w:sz w:val="24"/>
          <w:szCs w:val="24"/>
        </w:rPr>
        <w:t xml:space="preserve"> membrane of the retina with enhanced oxygen flow to retinal tissue. </w:t>
      </w:r>
      <w:r w:rsidR="009C0002" w:rsidRPr="007726E4">
        <w:rPr>
          <w:rFonts w:ascii="Times New Roman" w:eastAsia="Times New Roman" w:hAnsi="Times New Roman" w:cs="Times New Roman"/>
          <w:kern w:val="0"/>
          <w:sz w:val="24"/>
          <w:szCs w:val="24"/>
          <w:highlight w:val="yellow"/>
        </w:rPr>
        <w:t xml:space="preserve">Geographic atrophy, a progressive loss of the </w:t>
      </w:r>
      <w:r w:rsidR="00BA6AFC" w:rsidRPr="007726E4">
        <w:rPr>
          <w:rFonts w:ascii="Times New Roman" w:hAnsi="Times New Roman" w:cs="Times New Roman"/>
          <w:sz w:val="24"/>
          <w:szCs w:val="24"/>
          <w:highlight w:val="yellow"/>
        </w:rPr>
        <w:t>retinal pigment epithelial (</w:t>
      </w:r>
      <w:r w:rsidR="009C0002" w:rsidRPr="007726E4">
        <w:rPr>
          <w:rFonts w:ascii="Times New Roman" w:eastAsia="Times New Roman" w:hAnsi="Times New Roman" w:cs="Times New Roman"/>
          <w:kern w:val="0"/>
          <w:sz w:val="24"/>
          <w:szCs w:val="24"/>
          <w:highlight w:val="yellow"/>
        </w:rPr>
        <w:t>RPE</w:t>
      </w:r>
      <w:r w:rsidR="00BA6AFC" w:rsidRPr="007726E4">
        <w:rPr>
          <w:rFonts w:ascii="Times New Roman" w:eastAsia="Times New Roman" w:hAnsi="Times New Roman" w:cs="Times New Roman"/>
          <w:kern w:val="0"/>
          <w:sz w:val="24"/>
          <w:szCs w:val="24"/>
          <w:highlight w:val="yellow"/>
        </w:rPr>
        <w:t>)</w:t>
      </w:r>
      <w:r w:rsidR="009C0002" w:rsidRPr="007726E4">
        <w:rPr>
          <w:rFonts w:ascii="Times New Roman" w:eastAsia="Times New Roman" w:hAnsi="Times New Roman" w:cs="Times New Roman"/>
          <w:kern w:val="0"/>
          <w:sz w:val="24"/>
          <w:szCs w:val="24"/>
          <w:highlight w:val="yellow"/>
        </w:rPr>
        <w:t xml:space="preserve"> and photoreceptors, is a sign of dry AMD</w:t>
      </w:r>
      <w:r w:rsidR="007726E4" w:rsidRPr="007726E4">
        <w:rPr>
          <w:rFonts w:ascii="Times New Roman" w:eastAsia="Times New Roman" w:hAnsi="Times New Roman" w:cs="Times New Roman"/>
          <w:kern w:val="0"/>
          <w:sz w:val="24"/>
          <w:szCs w:val="24"/>
          <w:highlight w:val="yellow"/>
        </w:rPr>
        <w:t>R</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{"citationID":"KRjEojDE","properties":{"formattedCitation":"(Di Staso et al., 2023)","plainCitation":"(Di Staso et al., 2023)","noteIndex":0},"citationItems":[{"id":"URioxLtk/heHJA4OK","uris":["http://zotero.org/users/17126151/items/7H9SET7I"],"itemData":{"id":15,"type":"article-journal","abstract":"Choroidal neovascularizations are historically associated with exudative macular degeneration, nonetheless, they have been observed in nevus, melanoma, osteoma, and hemangioma involving the choroid and retina. This review aimed to elucidate the possible origins of neovascular membranes by examining in vivo and in vitro models compared to real clinical cases. Among the several potential mechanisms examined, particular attention was paid to histologic alterations and molecular cascades. Physical or biochemical resistance to vascular invasion from the choroid offered by Bruch’s membrane, the role of fibroblast growth factor 2 and vascular endothelial growth factor, resident or recruited stem-like/progenitor cells, and other angiogenic promoters were taken into account. Even if the exact mechanisms are still partially obscure, experimental models are progressively enhancing our understanding of neovascularization etiology. Choroidal neovascularization (CNV) over melanoma, osteoma, and other tumors is not rare and is not contraindicative of malignancy as previously believed. In addition, CNV may represent a late complication of either benign or malignant choroidal tumors, stressing the importance of a long follow-up.","container-title":"International Journal of Molecular Sciences","DOI":"10.3390/ijms24021064","ISSN":"1422-0067","issue":"2","journalAbbreviation":"Int J Mol Sci","note":"PMID: 36674579\nPMCID: PMC9865148","page":"1064","source":"PubMed Central","title":"Choroidal Neovascular Membranes in Retinal and Choroidal Tumors: Origins, Mechanisms, and Effects","title-short":"Choroidal Neovascular Membranes in Retinal and Choroidal Tumors","volume":"24","author":[{"family":"Di Staso","given":"Federico"},{"family":"Di Pippo","given":"Mariachiara"},{"family":"Abdolrahimzadeh","given":"Solmaz"}],"issued":{"date-parts":[["2023",1,5]]}}}],"schema":"https://github.com/citation-style-language/schema/raw/master/csl-citation.json"}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(Di Staso et al., 2023)</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w:t>
      </w:r>
      <w:r w:rsidR="009C0002" w:rsidRPr="009C0002">
        <w:rPr>
          <w:rFonts w:ascii="Times New Roman" w:eastAsia="Times New Roman" w:hAnsi="Times New Roman" w:cs="Times New Roman"/>
          <w:color w:val="222222"/>
          <w:kern w:val="0"/>
          <w:sz w:val="24"/>
          <w:szCs w:val="24"/>
        </w:rPr>
        <w:t>Exudative/neovascular wet ARMD is more severe, which involves the formation of new, fragile blood vessels beneath the retina.</w:t>
      </w:r>
      <w:r w:rsidR="007726E4">
        <w:rPr>
          <w:rFonts w:ascii="Times New Roman" w:eastAsia="Times New Roman" w:hAnsi="Times New Roman" w:cs="Times New Roman"/>
          <w:color w:val="222222"/>
          <w:kern w:val="0"/>
          <w:sz w:val="24"/>
          <w:szCs w:val="24"/>
        </w:rPr>
        <w:t xml:space="preserve"> </w:t>
      </w:r>
      <w:r w:rsidR="007726E4" w:rsidRPr="007726E4">
        <w:rPr>
          <w:rFonts w:ascii="Times New Roman" w:eastAsia="Times New Roman" w:hAnsi="Times New Roman" w:cs="Times New Roman"/>
          <w:color w:val="222222"/>
          <w:kern w:val="0"/>
          <w:sz w:val="24"/>
          <w:szCs w:val="24"/>
          <w:highlight w:val="yellow"/>
        </w:rPr>
        <w:t>A decrease in macular thickness leads to deposition and pigmentation in the macula</w:t>
      </w:r>
      <w:r w:rsidR="009C0002" w:rsidRPr="009C0002">
        <w:rPr>
          <w:rFonts w:ascii="Times New Roman" w:eastAsia="Times New Roman" w:hAnsi="Times New Roman" w:cs="Times New Roman"/>
          <w:color w:val="222222"/>
          <w:kern w:val="0"/>
          <w:sz w:val="24"/>
          <w:szCs w:val="24"/>
        </w:rPr>
        <w:t>. Degeneration of photoreceptor, retinal pigment epithelium, and choriocapillaris of retina</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{"citationID":"8FhSLYat","properties":{"formattedCitation":"(Somasundaran et al., 2020)","plainCitation":"(Somasundaran et al., 2020)","noteIndex":0},"citationItems":[{"id":1219,"uris":["http://zotero.org/users/15401920/items/37ZXIEBR"],"itemData":{"id":1219,"type":"article-journal","abstract":"Age‐related macular degeneration (AMD) is a progressive degenerative disease that is the leading cause of vision loss in the elderly population. Degeneration/dysregulation of the retinal pigment epithelium (RPE), a supportive monolayer of cells underlying the photoreceptors, is commonly seen in patients with AMD. While treatment exists for the neovascular/wet form of AMD, there is currently no cure for the non‐exudative/dry form of AMD, making it imperative to understand the pathogenesis of this disease. Although our understanding of the aetiology of AMD has increased over the years, the underlying disease mechanism has not yet been identified, mainly due to the multifactorial nature of this disease. Herein, we review some of the commonly proposed degeneration pathways of RPE cells and their role in the pathogenesis of AMD; including activation of the complement cascade, oxidative stress‐induced cell death mechanisms, dysfunctional mitochondria and the role of crystallins in AMD disease progression.","container-title":"Clinical &amp; Experimental Ophthalmology","DOI":"10.1111/ceo.13834","ISSN":"1442-6404","issue":"8","journalAbbreviation":"Clin Exp Ophthalmol","note":"PMID: 32710488\nPMCID: PMC7754492","page":"1043-1056","source":"PubMed Central","title":"Retinal pigment epithelium and age‐related macular degeneration: A review of major disease mechanisms","title-short":"Retinal pigment epithelium and age‐related macular degeneration","volume":"48","author":[{"family":"Somasundaran","given":"Shreya"},{"family":"Constable","given":"Ian J."},{"family":"Mellough","given":"Carla B."},{"family":"Carvalho","given":"Livia S."}],"issued":{"date-parts":[["2020",11]]}}}],"schema":"https://github.com/citation-style-language/schema/raw/master/csl-citation.json"}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(Somasundaran et al., 2020)</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16320A46" w14:textId="3FC06D8B" w:rsidR="009C0002" w:rsidRPr="009C0002" w:rsidRDefault="009C0002" w:rsidP="00F042AE">
      <w:pPr>
        <w:spacing w:line="360" w:lineRule="auto"/>
        <w:jc w:val="both"/>
        <w:rPr>
          <w:rFonts w:ascii="Times New Roman" w:hAnsi="Times New Roman" w:cs="Times New Roman"/>
          <w:color w:val="222222"/>
          <w:sz w:val="24"/>
          <w:szCs w:val="24"/>
          <w:shd w:val="clear" w:color="auto" w:fill="FFFFFF"/>
        </w:rPr>
      </w:pPr>
      <w:r w:rsidRPr="009C0002">
        <w:rPr>
          <w:rFonts w:ascii="Times New Roman" w:hAnsi="Times New Roman" w:cs="Times New Roman"/>
          <w:color w:val="222222"/>
          <w:sz w:val="24"/>
          <w:szCs w:val="24"/>
          <w:shd w:val="clear" w:color="auto" w:fill="FFFFFF"/>
        </w:rPr>
        <w:t xml:space="preserve">This study introduces a visionary perspective on the application of precision gene therapy in the treatment of </w:t>
      </w:r>
      <w:r w:rsidRPr="00B06583">
        <w:rPr>
          <w:rFonts w:ascii="Times New Roman" w:hAnsi="Times New Roman" w:cs="Times New Roman"/>
          <w:color w:val="222222"/>
          <w:sz w:val="24"/>
          <w:szCs w:val="24"/>
          <w:highlight w:val="yellow"/>
          <w:shd w:val="clear" w:color="auto" w:fill="FFFFFF"/>
        </w:rPr>
        <w:t>ARMD</w:t>
      </w:r>
      <w:r w:rsidRPr="009C0002">
        <w:rPr>
          <w:rFonts w:ascii="Times New Roman" w:hAnsi="Times New Roman" w:cs="Times New Roman"/>
          <w:color w:val="222222"/>
          <w:sz w:val="24"/>
          <w:szCs w:val="24"/>
          <w:shd w:val="clear" w:color="auto" w:fill="FFFFFF"/>
        </w:rPr>
        <w:t xml:space="preserve">, a major cause of visual impairment in ageing populations worldwide. Traditional therapies, namely anti-VEGF injections, offer temporary relief for neovascular ARMD; however, they are limited by high costs, the need for regular administration, a high risk of complications, and a limited impact on vision restoration. This approach advances beyond existing symptom-targeting methods by focusing on addressing the underlying genetic mechanisms that initiate ARMD development. This study differentiates itself through its focus on the evolving gene therapy technologies by using recombinant Adeno-Associated Viral (AAV) vectors and genome-editing tools like CRISPR-Cas9 to deliver therapeutic genes directly to the retinal tissues of individuals, which can provide permanent relief and eliminate </w:t>
      </w:r>
      <w:r w:rsidRPr="009C0002">
        <w:rPr>
          <w:rFonts w:ascii="Times New Roman" w:hAnsi="Times New Roman" w:cs="Times New Roman"/>
          <w:color w:val="222222"/>
          <w:sz w:val="24"/>
          <w:szCs w:val="24"/>
          <w:shd w:val="clear" w:color="auto" w:fill="FFFFFF"/>
        </w:rPr>
        <w:lastRenderedPageBreak/>
        <w:t>the need for frequent anti-VEGF injections for at least five years due to the continuous expression of anti-angiogenic proteins in retinal cells. Furthermore, the study uniquely examines how gene therapy can target specific genetic risk factors such as variations in CFH, ARMS2, HTRA1, and other genes that contribute to oxidative stress, inflammation, and abnormal blood vessel formation in the retina.</w:t>
      </w:r>
    </w:p>
    <w:p w14:paraId="18C0E14B" w14:textId="77777777" w:rsidR="00F042AE" w:rsidRPr="00D017CD" w:rsidRDefault="00F042AE"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Precision gene therapy plans are designed to work according with the eye’s immune system, reducing systemic side effects and improving treatment and patient adherence, and comfort.  Recent advancements in the studies suggested that gene-editing technology could develop the scope of future therapeutic possibilities, along with the correction of hereditary mutations. Novelty lies in the condensed integration of genetic insights, clinical advancements to propose a long-lasting and patient-friendly alternative and a promising advancement to current ARMD treatments.  This study not only boosts the current body of knowledge but also charts a new direction for precision medicine in ophthalmology for the treatment of ARMD.</w:t>
      </w:r>
    </w:p>
    <w:p w14:paraId="3A8FC720" w14:textId="77777777" w:rsidR="00CF5882" w:rsidRPr="009C0002" w:rsidRDefault="000C2E6C" w:rsidP="009C0002">
      <w:pPr>
        <w:spacing w:line="360" w:lineRule="auto"/>
        <w:jc w:val="both"/>
        <w:rPr>
          <w:rFonts w:ascii="Times New Roman" w:hAnsi="Times New Roman" w:cs="Times New Roman"/>
          <w:sz w:val="24"/>
          <w:szCs w:val="24"/>
        </w:rPr>
      </w:pPr>
      <w:r w:rsidRPr="009C0002">
        <w:rPr>
          <w:rFonts w:ascii="Times New Roman" w:hAnsi="Times New Roman" w:cs="Times New Roman"/>
          <w:noProof/>
          <w:sz w:val="24"/>
          <w:szCs w:val="24"/>
          <w:lang w:val="en-US"/>
        </w:rPr>
        <w:drawing>
          <wp:inline distT="0" distB="0" distL="0" distR="0" wp14:anchorId="32D5760E" wp14:editId="421EC95B">
            <wp:extent cx="5651500" cy="4371544"/>
            <wp:effectExtent l="0" t="0" r="6350" b="0"/>
            <wp:docPr id="85870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056" cy="4373521"/>
                    </a:xfrm>
                    <a:prstGeom prst="rect">
                      <a:avLst/>
                    </a:prstGeom>
                    <a:noFill/>
                  </pic:spPr>
                </pic:pic>
              </a:graphicData>
            </a:graphic>
          </wp:inline>
        </w:drawing>
      </w:r>
    </w:p>
    <w:p w14:paraId="38D6D80A" w14:textId="2A51A2E7" w:rsidR="009C0002" w:rsidRPr="009C0002" w:rsidRDefault="009C0002" w:rsidP="009C0002">
      <w:pPr>
        <w:spacing w:line="360" w:lineRule="auto"/>
        <w:jc w:val="both"/>
        <w:rPr>
          <w:rFonts w:ascii="Times New Roman" w:hAnsi="Times New Roman" w:cs="Times New Roman"/>
          <w:color w:val="222222"/>
          <w:sz w:val="24"/>
          <w:szCs w:val="24"/>
          <w:shd w:val="clear" w:color="auto" w:fill="FFFFFF"/>
        </w:rPr>
      </w:pPr>
      <w:r w:rsidRPr="009C0002">
        <w:rPr>
          <w:rFonts w:ascii="Times New Roman" w:hAnsi="Times New Roman" w:cs="Times New Roman"/>
          <w:b/>
          <w:bCs/>
          <w:color w:val="222222"/>
          <w:sz w:val="24"/>
          <w:szCs w:val="24"/>
          <w:shd w:val="clear" w:color="auto" w:fill="FFFFFF"/>
        </w:rPr>
        <w:t>Fig</w:t>
      </w:r>
      <w:r w:rsidR="00F10C78">
        <w:rPr>
          <w:rFonts w:ascii="Times New Roman" w:hAnsi="Times New Roman" w:cs="Times New Roman"/>
          <w:b/>
          <w:bCs/>
          <w:color w:val="222222"/>
          <w:sz w:val="24"/>
          <w:szCs w:val="24"/>
          <w:shd w:val="clear" w:color="auto" w:fill="FFFFFF"/>
        </w:rPr>
        <w:t>. 1.</w:t>
      </w:r>
      <w:r w:rsidRPr="009C0002">
        <w:rPr>
          <w:rFonts w:ascii="Times New Roman" w:hAnsi="Times New Roman" w:cs="Times New Roman"/>
          <w:color w:val="222222"/>
          <w:sz w:val="24"/>
          <w:szCs w:val="24"/>
          <w:shd w:val="clear" w:color="auto" w:fill="FFFFFF"/>
        </w:rPr>
        <w:t xml:space="preserve"> </w:t>
      </w:r>
      <w:r w:rsidR="00CE2146">
        <w:rPr>
          <w:rFonts w:ascii="Times New Roman" w:hAnsi="Times New Roman" w:cs="Times New Roman"/>
          <w:color w:val="222222"/>
          <w:sz w:val="24"/>
          <w:szCs w:val="24"/>
          <w:shd w:val="clear" w:color="auto" w:fill="FFFFFF"/>
        </w:rPr>
        <w:t>T</w:t>
      </w:r>
      <w:r w:rsidRPr="009C0002">
        <w:rPr>
          <w:rFonts w:ascii="Times New Roman" w:hAnsi="Times New Roman" w:cs="Times New Roman"/>
          <w:color w:val="222222"/>
          <w:sz w:val="24"/>
          <w:szCs w:val="24"/>
          <w:shd w:val="clear" w:color="auto" w:fill="FFFFFF"/>
        </w:rPr>
        <w:t>he Fundus Images Depicting Normal and Pathological Findings:</w:t>
      </w:r>
      <w:r w:rsidR="00D27307">
        <w:rPr>
          <w:rFonts w:ascii="Times New Roman" w:hAnsi="Times New Roman" w:cs="Times New Roman"/>
          <w:color w:val="222222"/>
          <w:sz w:val="24"/>
          <w:szCs w:val="24"/>
          <w:shd w:val="clear" w:color="auto" w:fill="FFFFFF"/>
        </w:rPr>
        <w:t xml:space="preserve"> </w:t>
      </w:r>
      <w:r w:rsidRPr="009C0002">
        <w:rPr>
          <w:rFonts w:ascii="Times New Roman" w:hAnsi="Times New Roman" w:cs="Times New Roman"/>
          <w:color w:val="222222"/>
          <w:sz w:val="24"/>
          <w:szCs w:val="24"/>
          <w:shd w:val="clear" w:color="auto" w:fill="FFFFFF"/>
        </w:rPr>
        <w:t xml:space="preserve">(a) Normal fundus showing clearly defined optic disc, macula, fovea, and normal retinal vasculature. (b) </w:t>
      </w:r>
      <w:r w:rsidRPr="009C0002">
        <w:rPr>
          <w:rFonts w:ascii="Times New Roman" w:hAnsi="Times New Roman" w:cs="Times New Roman"/>
          <w:color w:val="222222"/>
          <w:sz w:val="24"/>
          <w:szCs w:val="24"/>
          <w:shd w:val="clear" w:color="auto" w:fill="FFFFFF"/>
        </w:rPr>
        <w:lastRenderedPageBreak/>
        <w:t>Exudative Age-Related Macular Degeneration (ARMD): Fundus image showing lipid-rich deposits (exudates) localised in the macular region. (c) Fundus image illustrating cotton wool spots, indicative of localised retinal nerve fibre layer infarcts. (d)</w:t>
      </w:r>
      <w:r w:rsidR="00D27307">
        <w:rPr>
          <w:rFonts w:ascii="Times New Roman" w:hAnsi="Times New Roman" w:cs="Times New Roman"/>
          <w:color w:val="222222"/>
          <w:sz w:val="24"/>
          <w:szCs w:val="24"/>
          <w:shd w:val="clear" w:color="auto" w:fill="FFFFFF"/>
        </w:rPr>
        <w:t xml:space="preserve"> </w:t>
      </w:r>
      <w:r w:rsidRPr="009C0002">
        <w:rPr>
          <w:rFonts w:ascii="Times New Roman" w:hAnsi="Times New Roman" w:cs="Times New Roman"/>
          <w:color w:val="222222"/>
          <w:sz w:val="24"/>
          <w:szCs w:val="24"/>
          <w:shd w:val="clear" w:color="auto" w:fill="FFFFFF"/>
        </w:rPr>
        <w:t xml:space="preserve">Non-Exudative ARMD: Fundus image showing </w:t>
      </w:r>
      <w:r w:rsidR="002F6077">
        <w:rPr>
          <w:rFonts w:ascii="Times New Roman" w:hAnsi="Times New Roman" w:cs="Times New Roman"/>
          <w:color w:val="222222"/>
          <w:sz w:val="24"/>
          <w:szCs w:val="24"/>
          <w:shd w:val="clear" w:color="auto" w:fill="FFFFFF"/>
        </w:rPr>
        <w:t>subretinal</w:t>
      </w:r>
      <w:r w:rsidRPr="009C0002">
        <w:rPr>
          <w:rFonts w:ascii="Times New Roman" w:hAnsi="Times New Roman" w:cs="Times New Roman"/>
          <w:color w:val="222222"/>
          <w:sz w:val="24"/>
          <w:szCs w:val="24"/>
          <w:shd w:val="clear" w:color="auto" w:fill="FFFFFF"/>
        </w:rPr>
        <w:t xml:space="preserve"> haemorrhage without </w:t>
      </w:r>
      <w:r w:rsidR="002F6077">
        <w:rPr>
          <w:rFonts w:ascii="Times New Roman" w:hAnsi="Times New Roman" w:cs="Times New Roman"/>
          <w:color w:val="222222"/>
          <w:sz w:val="24"/>
          <w:szCs w:val="24"/>
          <w:shd w:val="clear" w:color="auto" w:fill="FFFFFF"/>
        </w:rPr>
        <w:t>exudate</w:t>
      </w:r>
      <w:r w:rsidRPr="009C0002">
        <w:rPr>
          <w:rFonts w:ascii="Times New Roman" w:hAnsi="Times New Roman" w:cs="Times New Roman"/>
          <w:color w:val="222222"/>
          <w:sz w:val="24"/>
          <w:szCs w:val="24"/>
          <w:shd w:val="clear" w:color="auto" w:fill="FFFFFF"/>
        </w:rPr>
        <w:t xml:space="preserve"> accumulation.</w:t>
      </w:r>
    </w:p>
    <w:p w14:paraId="252AC111" w14:textId="77777777" w:rsidR="00F042AE" w:rsidRPr="009C0002" w:rsidRDefault="00F042AE"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2. Age-Related Macular Degeneration Pathophysiology</w:t>
      </w:r>
    </w:p>
    <w:p w14:paraId="743D5CF3" w14:textId="374378A5" w:rsidR="00F042AE" w:rsidRPr="00DE3B3E" w:rsidRDefault="009C0002" w:rsidP="00DE3B3E">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9C0002">
        <w:rPr>
          <w:rFonts w:ascii="Times New Roman" w:eastAsia="Times New Roman" w:hAnsi="Times New Roman" w:cs="Times New Roman"/>
          <w:color w:val="222222"/>
          <w:kern w:val="0"/>
          <w:sz w:val="24"/>
          <w:szCs w:val="24"/>
        </w:rPr>
        <w:t>The pathophysiology of Age-related Macular Degeneration (ARMD) is a complex process involving multiple factors. </w:t>
      </w:r>
      <w:bookmarkStart w:id="1" w:name="_Hlk199080238"/>
      <w:r w:rsidRPr="009C0002">
        <w:rPr>
          <w:rFonts w:ascii="Times New Roman" w:eastAsia="Times New Roman" w:hAnsi="Times New Roman" w:cs="Times New Roman"/>
          <w:color w:val="222222"/>
          <w:kern w:val="0"/>
          <w:sz w:val="24"/>
          <w:szCs w:val="24"/>
        </w:rPr>
        <w:t xml:space="preserve">It includes oxidative stress, ageing, environmental factors (smoking, UV exposure), poor diet, sedentary lifestyle, and genetic predisposition as key indicators. </w:t>
      </w:r>
      <w:r w:rsidR="00663E5E" w:rsidRPr="00663E5E">
        <w:rPr>
          <w:rFonts w:ascii="Times New Roman" w:eastAsia="Times New Roman" w:hAnsi="Times New Roman" w:cs="Times New Roman"/>
          <w:color w:val="222222"/>
          <w:kern w:val="0"/>
          <w:sz w:val="24"/>
          <w:szCs w:val="24"/>
          <w:highlight w:val="yellow"/>
        </w:rPr>
        <w:t>This leads</w:t>
      </w:r>
      <w:r w:rsidRPr="009C0002">
        <w:rPr>
          <w:rFonts w:ascii="Times New Roman" w:eastAsia="Times New Roman" w:hAnsi="Times New Roman" w:cs="Times New Roman"/>
          <w:color w:val="222222"/>
          <w:kern w:val="0"/>
          <w:sz w:val="24"/>
          <w:szCs w:val="24"/>
        </w:rPr>
        <w:t xml:space="preserve"> to aggregation of reactive oxygen species (ROS), cellular damage and decline, and enablement of the immune response of the individual</w:t>
      </w:r>
      <w:bookmarkEnd w:id="1"/>
      <w:r w:rsidRPr="009C0002">
        <w:rPr>
          <w:rFonts w:ascii="Times New Roman" w:eastAsia="Times New Roman" w:hAnsi="Times New Roman" w:cs="Times New Roman"/>
          <w:color w:val="222222"/>
          <w:kern w:val="0"/>
          <w:sz w:val="24"/>
          <w:szCs w:val="24"/>
        </w:rPr>
        <w:t>. Together, these processes contribute to the development of ARMD</w:t>
      </w:r>
      <w:r w:rsidR="002D39FE">
        <w:rPr>
          <w:rFonts w:ascii="Times New Roman" w:hAnsi="Times New Roman" w:cs="Times New Roman"/>
          <w:sz w:val="24"/>
          <w:szCs w:val="24"/>
        </w:rPr>
        <w:t xml:space="preserve"> </w:t>
      </w:r>
      <w:r w:rsidR="00B042F0" w:rsidRPr="00B042F0">
        <w:rPr>
          <w:rFonts w:ascii="Times New Roman" w:hAnsi="Times New Roman" w:cs="Times New Roman"/>
          <w:sz w:val="24"/>
          <w:szCs w:val="24"/>
          <w:highlight w:val="yellow"/>
        </w:rPr>
        <w:fldChar w:fldCharType="begin"/>
      </w:r>
      <w:r w:rsidR="00B042F0" w:rsidRPr="00B042F0">
        <w:rPr>
          <w:rFonts w:ascii="Times New Roman" w:hAnsi="Times New Roman" w:cs="Times New Roman"/>
          <w:sz w:val="24"/>
          <w:szCs w:val="24"/>
          <w:highlight w:val="yellow"/>
        </w:rPr>
        <w:instrText xml:space="preserve"> ADDIN ZOTERO_ITEM CSL_CITATION {"citationID":"oDnDoitw","properties":{"formattedCitation":"(Kushwah et al., 2023)","plainCitation":"(Kushwah et al., 2023)","noteIndex":0},"citationItems":[{"id":1263,"uris":["http://zotero.org/users/15401920/items/HYJ3YXFM"],"itemData":{"id":1263,"type":"article-journal","abstract":"Oxidative stress plays a crucial role in aging-related eye diseases, including age-related macular degeneration (AMD), cataracts, and glaucoma. With age, antioxidant reparative capacity decreases, and excess levels of reactive oxygen species produce oxidative damage in many ocular cell types underling age-related pathologies. In AMD, loss of central vision in the elderly is caused primarily by retinal pigment epithelium (RPE) dysfunction and degeneration and/or choroidal neovascularization that trigger malfunction and loss of photo-sensing photoreceptor cells. Along with various genetic and environmental factors that contribute to AMD, aging and age-related oxidative damage have critical involvement in AMD pathogenesis. To this end, dietary intake of antioxidants is a proven way to scavenge free radicals and to prevent or slow AMD progression. This review focuses on AMD and highlights the pathogenic role of oxidative stress in AMD from both clinical and experimental studies. The beneficial roles of antioxidants and dietary micronutrients in AMD are also summarized.","container-title":"Antioxidants","DOI":"10.3390/antiox12071379","ISSN":"2076-3921","issue":"7","journalAbbreviation":"Antioxidants (Basel)","note":"PMID: 37507918\nPMCID: PMC10376043","page":"1379","source":"PubMed Central","title":"Oxidative Stress and Antioxidants in Age-Related Macular Degeneration","volume":"12","author":[{"family":"Kushwah","given":"Neetu"},{"family":"Bora","given":"Kiran"},{"family":"Maurya","given":"Meenakshi"},{"family":"Pavlovich","given":"Madeline C."},{"family":"Chen","given":"Jing"}],"issued":{"date-parts":[["2023",7,3]]}}}],"schema":"https://github.com/citation-style-language/schema/raw/master/csl-citation.json"} </w:instrText>
      </w:r>
      <w:r w:rsidR="00B042F0" w:rsidRPr="00B042F0">
        <w:rPr>
          <w:rFonts w:ascii="Times New Roman" w:hAnsi="Times New Roman" w:cs="Times New Roman"/>
          <w:sz w:val="24"/>
          <w:szCs w:val="24"/>
          <w:highlight w:val="yellow"/>
        </w:rPr>
        <w:fldChar w:fldCharType="separate"/>
      </w:r>
      <w:r w:rsidR="00B042F0" w:rsidRPr="00B042F0">
        <w:rPr>
          <w:rFonts w:ascii="Times New Roman" w:hAnsi="Times New Roman" w:cs="Times New Roman"/>
          <w:sz w:val="24"/>
          <w:highlight w:val="yellow"/>
        </w:rPr>
        <w:t>(Kushwah et al., 2023)</w:t>
      </w:r>
      <w:r w:rsidR="00B042F0" w:rsidRPr="00B042F0">
        <w:rPr>
          <w:rFonts w:ascii="Times New Roman" w:hAnsi="Times New Roman" w:cs="Times New Roman"/>
          <w:sz w:val="24"/>
          <w:szCs w:val="24"/>
          <w:highlight w:val="yellow"/>
        </w:rPr>
        <w:fldChar w:fldCharType="end"/>
      </w:r>
      <w:r w:rsidR="002D39FE">
        <w:rPr>
          <w:rFonts w:ascii="Times New Roman" w:hAnsi="Times New Roman" w:cs="Times New Roman"/>
          <w:sz w:val="24"/>
          <w:szCs w:val="24"/>
        </w:rPr>
        <w:t>.</w:t>
      </w:r>
      <w:r w:rsidR="00663E5E">
        <w:rPr>
          <w:rFonts w:ascii="Times New Roman" w:hAnsi="Times New Roman" w:cs="Times New Roman"/>
          <w:sz w:val="24"/>
          <w:szCs w:val="24"/>
        </w:rPr>
        <w:t xml:space="preserve"> </w:t>
      </w:r>
      <w:r w:rsidR="00663E5E" w:rsidRPr="00663E5E">
        <w:rPr>
          <w:rFonts w:ascii="Times New Roman" w:hAnsi="Times New Roman" w:cs="Times New Roman"/>
          <w:sz w:val="24"/>
          <w:szCs w:val="24"/>
          <w:highlight w:val="yellow"/>
        </w:rPr>
        <w:t>When ARMD develops fully, the process of formation</w:t>
      </w:r>
      <w:r w:rsidR="00F042AE" w:rsidRPr="00663E5E">
        <w:rPr>
          <w:rFonts w:ascii="Times New Roman" w:hAnsi="Times New Roman" w:cs="Times New Roman"/>
          <w:sz w:val="24"/>
          <w:szCs w:val="24"/>
          <w:highlight w:val="yellow"/>
        </w:rPr>
        <w:t xml:space="preserve"> </w:t>
      </w:r>
      <w:r w:rsidR="00663E5E" w:rsidRPr="00663E5E">
        <w:rPr>
          <w:rFonts w:ascii="Times New Roman" w:hAnsi="Times New Roman" w:cs="Times New Roman"/>
          <w:sz w:val="24"/>
          <w:szCs w:val="24"/>
          <w:highlight w:val="yellow"/>
        </w:rPr>
        <w:t>is called Lipofuscinogenesis</w:t>
      </w:r>
      <w:r w:rsidR="00663E5E" w:rsidRPr="00B042F0">
        <w:rPr>
          <w:rFonts w:ascii="Times New Roman" w:hAnsi="Times New Roman" w:cs="Times New Roman"/>
          <w:sz w:val="24"/>
          <w:szCs w:val="24"/>
          <w:highlight w:val="yellow"/>
        </w:rPr>
        <w:t xml:space="preserve">, </w:t>
      </w:r>
      <w:r w:rsidR="00F042AE" w:rsidRPr="00B042F0">
        <w:rPr>
          <w:rFonts w:ascii="Times New Roman" w:hAnsi="Times New Roman" w:cs="Times New Roman"/>
          <w:sz w:val="24"/>
          <w:szCs w:val="24"/>
          <w:highlight w:val="yellow"/>
        </w:rPr>
        <w:t>leading to the collection of waste products, such as lipofuscin, within RPE cells in the retina</w:t>
      </w:r>
      <w:r w:rsidR="00F042AE" w:rsidRPr="00D017CD">
        <w:rPr>
          <w:rFonts w:ascii="Times New Roman" w:hAnsi="Times New Roman" w:cs="Times New Roman"/>
          <w:sz w:val="24"/>
          <w:szCs w:val="24"/>
        </w:rPr>
        <w:t>.</w:t>
      </w:r>
      <w:r w:rsidR="00663E5E">
        <w:rPr>
          <w:rFonts w:ascii="Times New Roman" w:hAnsi="Times New Roman" w:cs="Times New Roman"/>
          <w:sz w:val="24"/>
          <w:szCs w:val="24"/>
        </w:rPr>
        <w:t xml:space="preserve"> </w:t>
      </w:r>
      <w:r w:rsidR="00663E5E" w:rsidRPr="00663E5E">
        <w:rPr>
          <w:rFonts w:ascii="Times New Roman" w:hAnsi="Times New Roman" w:cs="Times New Roman"/>
          <w:sz w:val="24"/>
          <w:szCs w:val="24"/>
          <w:highlight w:val="yellow"/>
        </w:rPr>
        <w:t>It causes</w:t>
      </w:r>
      <w:r w:rsidR="00F042AE" w:rsidRPr="00D017CD">
        <w:rPr>
          <w:rFonts w:ascii="Times New Roman" w:hAnsi="Times New Roman" w:cs="Times New Roman"/>
          <w:sz w:val="24"/>
          <w:szCs w:val="24"/>
        </w:rPr>
        <w:t xml:space="preserve"> impaired RP</w:t>
      </w:r>
      <w:r w:rsidR="00F042AE" w:rsidRPr="00DE3B3E">
        <w:rPr>
          <w:rFonts w:ascii="Times New Roman" w:hAnsi="Times New Roman" w:cs="Times New Roman"/>
          <w:sz w:val="24"/>
          <w:szCs w:val="24"/>
        </w:rPr>
        <w:t>E function, reduces nutrient supply to photoreceptors, and activates the release of pro-inflammatory cytokines</w:t>
      </w:r>
      <w:r w:rsidR="002D39FE">
        <w:rPr>
          <w:rFonts w:ascii="Times New Roman" w:hAnsi="Times New Roman" w:cs="Times New Roman"/>
          <w:sz w:val="24"/>
          <w:szCs w:val="24"/>
        </w:rPr>
        <w:t xml:space="preserve"> </w:t>
      </w:r>
      <w:r w:rsidR="003A0F1D" w:rsidRPr="00DE3B3E">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{"citationID":"aSDhRMTd","properties":{"formattedCitation":"(Mazzitello et al., 2009)","plainCitation":"(Mazzitello et al., 2009)","noteIndex":0},"citationItems":[{"id":"URioxLtk/spFVhDvB","uris":["http://zotero.org/users/17126151/items/8E4CXDDB"],"itemData":{"id":41,"type":"article-journal","abstract":"The kinetics of lipofuscin growth in diseased retinal pigment epithelium cells is investigated using Monte Carlo simulations and scaling theory on a cluster aggregation model. The model captures the essential physics of lipofuscin growth in the cells. A remarkable feature is that small particles may be removed from the cells while the larger ones become fixed and grow by aggregation. Model simulations are compared to the number of lipofuscin granules in eyes with early age-related degeneration.","container-title":"Physical review. E, Statistical, nonlinear, and soft matter physics","DOI":"10.1103/PhysRevE.80.051908","ISSN":"1539-3755","issue":"5 Pt 1","journalAbbreviation":"Phys Rev E Stat Nonlin Soft Matter Phys","note":"PMID: 20365007\nPMCID: PMC2993693","page":"051908","source":"PubMed Central","title":"Formation and growth of lipofuscin in the retinal pigment epithelium cells","volume":"80","author":[{"family":"Mazzitello","given":"K. I."},{"family":"Arizmendi","given":"C. M."},{"family":"Family","given":"F."},{"family":"Grossniklaus","given":"H. E."}],"issued":{"date-parts":[["2009",11]]}}}],"schema":"https://github.com/citation-style-language/schema/raw/master/csl-citation.json"} </w:instrText>
      </w:r>
      <w:r w:rsidR="003A0F1D" w:rsidRPr="00DE3B3E">
        <w:rPr>
          <w:rFonts w:ascii="Times New Roman" w:hAnsi="Times New Roman" w:cs="Times New Roman"/>
          <w:sz w:val="24"/>
          <w:szCs w:val="24"/>
        </w:rPr>
        <w:fldChar w:fldCharType="separate"/>
      </w:r>
      <w:r w:rsidR="00B3699E" w:rsidRPr="00B3699E">
        <w:rPr>
          <w:rFonts w:ascii="Times New Roman" w:hAnsi="Times New Roman" w:cs="Times New Roman"/>
          <w:sz w:val="24"/>
        </w:rPr>
        <w:t>(Mazzitello et al., 2009)</w:t>
      </w:r>
      <w:r w:rsidR="003A0F1D" w:rsidRPr="00DE3B3E">
        <w:rPr>
          <w:rFonts w:ascii="Times New Roman" w:hAnsi="Times New Roman" w:cs="Times New Roman"/>
          <w:sz w:val="24"/>
          <w:szCs w:val="24"/>
        </w:rPr>
        <w:fldChar w:fldCharType="end"/>
      </w:r>
      <w:r w:rsidR="00D111A2">
        <w:rPr>
          <w:rFonts w:ascii="Times New Roman" w:hAnsi="Times New Roman" w:cs="Times New Roman"/>
          <w:sz w:val="24"/>
          <w:szCs w:val="24"/>
        </w:rPr>
        <w:t xml:space="preserve">, </w:t>
      </w:r>
      <w:r w:rsidR="00D111A2" w:rsidRPr="00D111A2">
        <w:rPr>
          <w:rFonts w:ascii="Times New Roman" w:hAnsi="Times New Roman" w:cs="Times New Roman"/>
          <w:sz w:val="24"/>
          <w:szCs w:val="24"/>
          <w:highlight w:val="yellow"/>
        </w:rPr>
        <w:fldChar w:fldCharType="begin"/>
      </w:r>
      <w:r w:rsidR="00D111A2" w:rsidRPr="00D111A2">
        <w:rPr>
          <w:rFonts w:ascii="Times New Roman" w:hAnsi="Times New Roman" w:cs="Times New Roman"/>
          <w:sz w:val="24"/>
          <w:szCs w:val="24"/>
          <w:highlight w:val="yellow"/>
        </w:rPr>
        <w:instrText xml:space="preserve"> ADDIN ZOTERO_ITEM CSL_CITATION {"citationID":"Q5ctMpPv","properties":{"formattedCitation":"(Richer et al., 2017)","plainCitation":"(Richer et al., 2017)","noteIndex":0},"citationItems":[{"id":1249,"uris":["http://zotero.org/users/15401920/items/KTZA9J5K"],"itemData":{"id":1249,"type":"article-journal","container-title":"Journal of Advances in Medicine and Medical Research","DOI":"10.9734/BJMMR/2017/33820","ISSN":"2456-8899","language":"en","page":"1-19","source":"journaljammr.com","title":"Longevinex ® Improves Human Atrophic Aged-related Macular Degeneration (AMD) Photoreceptor / Retinal Pigment Epithelium Mediated Dark Adaptation*","author":[{"family":"Richer","given":"Stuart"},{"family":"Ii","given":"Lawrence Ulanski"},{"family":"Bhandari","given":"Anish"},{"family":"Popenko","given":"Natalia"}],"issued":{"date-parts":[["2017",6,1]]}}}],"schema":"https://github.com/citation-style-language/schema/raw/master/csl-citation.json"} </w:instrText>
      </w:r>
      <w:r w:rsidR="00D111A2" w:rsidRPr="00D111A2">
        <w:rPr>
          <w:rFonts w:ascii="Times New Roman" w:hAnsi="Times New Roman" w:cs="Times New Roman"/>
          <w:sz w:val="24"/>
          <w:szCs w:val="24"/>
          <w:highlight w:val="yellow"/>
        </w:rPr>
        <w:fldChar w:fldCharType="separate"/>
      </w:r>
      <w:r w:rsidR="00D111A2" w:rsidRPr="00D111A2">
        <w:rPr>
          <w:rFonts w:ascii="Times New Roman" w:hAnsi="Times New Roman" w:cs="Times New Roman"/>
          <w:sz w:val="24"/>
          <w:highlight w:val="yellow"/>
        </w:rPr>
        <w:t>(Richer et al., 2017)</w:t>
      </w:r>
      <w:r w:rsidR="00D111A2" w:rsidRPr="00D111A2">
        <w:rPr>
          <w:rFonts w:ascii="Times New Roman" w:hAnsi="Times New Roman" w:cs="Times New Roman"/>
          <w:sz w:val="24"/>
          <w:szCs w:val="24"/>
          <w:highlight w:val="yellow"/>
        </w:rPr>
        <w:fldChar w:fldCharType="end"/>
      </w:r>
      <w:r w:rsidR="00D111A2">
        <w:rPr>
          <w:rFonts w:ascii="Times New Roman" w:hAnsi="Times New Roman" w:cs="Times New Roman"/>
          <w:sz w:val="24"/>
          <w:szCs w:val="24"/>
        </w:rPr>
        <w:t>.</w:t>
      </w:r>
    </w:p>
    <w:p w14:paraId="7123C3D2" w14:textId="198421C1" w:rsidR="00CF5882" w:rsidRPr="00D017CD" w:rsidRDefault="00DE3B3E" w:rsidP="00DE3B3E">
      <w:pPr>
        <w:spacing w:line="360" w:lineRule="auto"/>
        <w:jc w:val="both"/>
        <w:rPr>
          <w:rFonts w:ascii="Times New Roman" w:hAnsi="Times New Roman" w:cs="Times New Roman"/>
          <w:sz w:val="24"/>
          <w:szCs w:val="24"/>
        </w:rPr>
      </w:pPr>
      <w:r w:rsidRPr="00DE3B3E">
        <w:rPr>
          <w:rFonts w:ascii="Times New Roman" w:hAnsi="Times New Roman" w:cs="Times New Roman"/>
          <w:color w:val="222222"/>
          <w:sz w:val="24"/>
          <w:szCs w:val="24"/>
          <w:shd w:val="clear" w:color="auto" w:fill="FFFFFF"/>
        </w:rPr>
        <w:t xml:space="preserve">Chronic inflammation develops, further worsening the condition. In Wet AMD, the RPE detaches from Bruch's membrane, activates abnormal blood vessel growth from the choroid into the </w:t>
      </w:r>
      <w:r w:rsidR="002F6077">
        <w:rPr>
          <w:rFonts w:ascii="Times New Roman" w:hAnsi="Times New Roman" w:cs="Times New Roman"/>
          <w:color w:val="222222"/>
          <w:sz w:val="24"/>
          <w:szCs w:val="24"/>
          <w:shd w:val="clear" w:color="auto" w:fill="FFFFFF"/>
        </w:rPr>
        <w:t>subretinal</w:t>
      </w:r>
      <w:r w:rsidRPr="00DE3B3E">
        <w:rPr>
          <w:rFonts w:ascii="Times New Roman" w:hAnsi="Times New Roman" w:cs="Times New Roman"/>
          <w:color w:val="222222"/>
          <w:sz w:val="24"/>
          <w:szCs w:val="24"/>
          <w:shd w:val="clear" w:color="auto" w:fill="FFFFFF"/>
        </w:rPr>
        <w:t xml:space="preserve"> space (choroidal vascularisation), and leakage from new, fragile vessels of the retina. This process leads to the formation of a disciform scar, causing permanent, irreversible, and central vision loss</w:t>
      </w:r>
      <w:r w:rsidR="002D39FE">
        <w:rPr>
          <w:rFonts w:ascii="Times New Roman" w:hAnsi="Times New Roman" w:cs="Times New Roman"/>
          <w:sz w:val="24"/>
          <w:szCs w:val="24"/>
        </w:rPr>
        <w:t xml:space="preserve"> </w:t>
      </w:r>
      <w:r w:rsidR="003A0F1D" w:rsidRPr="00DE3B3E">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{"citationID":"Qvjx0p51","properties":{"formattedCitation":"(Bhutto &amp; Lutty, 2012)","plainCitation":"(Bhutto &amp; Lutty, 2012)","noteIndex":0},"citationItems":[{"id":"URioxLtk/2fyLoPDp","uris":["http://zotero.org/users/17126151/items/BTPK7Q8I"],"itemData":{"id":202,"type":"article-journal","abstract":"There is a mutualistic symbiotic relationship between the components of the photoreceptor/retinal pigment epithelium (RPE)/Bruch's membrane (BrMb)/choriocapillaris (CC) complex that is lost in AMD. Which component in the photoreceptor/RPE/BrMb/CC complex is affected first appears to depend on the type of AMD. In atrophic AMD (~85-90% of cases), it appears that large confluent drusen formation and hyperpigmentation (presumably dysfunction in RPE) are the initial insult and the resorption of these drusen and loss of RPE (hypopigmentation) can be predictive for progression of geographic atrophy (GA). The death and dysfunction of photoreceptors and CC appear to be secondary events to loss in RPE. In neovascular AMD (~10-15% of cases), the loss of choroidal vasculature may be the initial insult to the complex. Loss of CC with an intact RPE monolayer in wet AMD has been observed. This may be due to reduction in blood supply because of large vessel stenosis. Furthermore, the environment of the CC, basement membrane and intercapillary septa, is a proinflammatory milieu with accumulation of complement components as well as proinflammatory molecules like CRP during AMD. In this toxic milieu, CC die or become dysfunction making adjacent RPE hypoxic. These hypoxic cells then produce angiogenic substances like VEGF that stimulate growth of new vessels from CC, resulting in choroidal neovascularization (CNV). The loss of CC might also be a stimulus for drusen formation since the disposal system for retinal debris and exocytosed material from RPE would be limited. Ultimately, the photoreceptors die of lack of nutrients, leakage of serum components from the neovascularization, and scar formation. Therefore, the mutualistic symbiotic relationship within the photoreceptor/RPE/BrMb/CC complex is lost in both forms of AMD. Loss of this functionally integrated relationship results in death and dysfunction of all of the components in the complex.","container-title":"Molecular Aspects of Medicine","DOI":"10.1016/j.mam.2012.04.005","ISSN":"1872-9452","issue":"4","journalAbbreviation":"Mol Aspects Med","language":"eng","note":"PMID: 22542780\nPMCID: PMC3392421","page":"295-317","source":"PubMed","title":"Understanding age-related macular degeneration (AMD): relationships between the photoreceptor/retinal pigment epithelium/Bruch's membrane/choriocapillaris complex","title-short":"Understanding age-related macular degeneration (AMD)","volume":"33","author":[{"family":"Bhutto","given":"Imran"},{"family":"Lutty","given":"Gerard"}],"issued":{"date-parts":[["2012",8]]}}}],"schema":"https://github.com/citation-style-language/schema/raw/master/csl-citation.json"} </w:instrText>
      </w:r>
      <w:r w:rsidR="003A0F1D" w:rsidRPr="00DE3B3E">
        <w:rPr>
          <w:rFonts w:ascii="Times New Roman" w:hAnsi="Times New Roman" w:cs="Times New Roman"/>
          <w:sz w:val="24"/>
          <w:szCs w:val="24"/>
        </w:rPr>
        <w:fldChar w:fldCharType="separate"/>
      </w:r>
      <w:r w:rsidR="00B3699E" w:rsidRPr="00B3699E">
        <w:rPr>
          <w:rFonts w:ascii="Times New Roman" w:hAnsi="Times New Roman" w:cs="Times New Roman"/>
          <w:sz w:val="24"/>
        </w:rPr>
        <w:t>(Bhutto &amp; Lutty, 2012)</w:t>
      </w:r>
      <w:r w:rsidR="003A0F1D" w:rsidRPr="00DE3B3E">
        <w:rPr>
          <w:rFonts w:ascii="Times New Roman" w:hAnsi="Times New Roman" w:cs="Times New Roman"/>
          <w:sz w:val="24"/>
          <w:szCs w:val="24"/>
        </w:rPr>
        <w:fldChar w:fldCharType="end"/>
      </w:r>
      <w:r w:rsidR="002D39FE">
        <w:rPr>
          <w:rFonts w:ascii="Times New Roman" w:hAnsi="Times New Roman" w:cs="Times New Roman"/>
          <w:sz w:val="24"/>
          <w:szCs w:val="24"/>
        </w:rPr>
        <w:t>.</w:t>
      </w:r>
      <w:r w:rsidR="008B1F1F" w:rsidRPr="00DE3B3E">
        <w:rPr>
          <w:rFonts w:ascii="Times New Roman" w:hAnsi="Times New Roman" w:cs="Times New Roman"/>
          <w:sz w:val="24"/>
          <w:szCs w:val="24"/>
        </w:rPr>
        <w:t xml:space="preserve"> </w:t>
      </w:r>
      <w:r w:rsidRPr="00DE3B3E">
        <w:rPr>
          <w:rFonts w:ascii="Times New Roman" w:hAnsi="Times New Roman" w:cs="Times New Roman"/>
          <w:color w:val="222222"/>
          <w:sz w:val="24"/>
          <w:szCs w:val="24"/>
          <w:shd w:val="clear" w:color="auto" w:fill="FFFFFF"/>
        </w:rPr>
        <w:t>The pathophysiology of age-related macular degeneration is shown in </w:t>
      </w:r>
      <w:r w:rsidRPr="00DE3B3E">
        <w:rPr>
          <w:rFonts w:ascii="Times New Roman" w:hAnsi="Times New Roman" w:cs="Times New Roman"/>
          <w:b/>
          <w:bCs/>
          <w:color w:val="222222"/>
          <w:sz w:val="24"/>
          <w:szCs w:val="24"/>
          <w:shd w:val="clear" w:color="auto" w:fill="FFFFFF"/>
        </w:rPr>
        <w:t>Fig</w:t>
      </w:r>
      <w:r w:rsidR="00F10C78">
        <w:rPr>
          <w:rFonts w:ascii="Times New Roman" w:hAnsi="Times New Roman" w:cs="Times New Roman"/>
          <w:b/>
          <w:bCs/>
          <w:color w:val="222222"/>
          <w:sz w:val="24"/>
          <w:szCs w:val="24"/>
          <w:shd w:val="clear" w:color="auto" w:fill="FFFFFF"/>
        </w:rPr>
        <w:t>. 2</w:t>
      </w:r>
      <w:r w:rsidRPr="00DE3B3E">
        <w:rPr>
          <w:rFonts w:ascii="Times New Roman" w:hAnsi="Times New Roman" w:cs="Times New Roman"/>
          <w:color w:val="222222"/>
          <w:sz w:val="24"/>
          <w:szCs w:val="24"/>
          <w:shd w:val="clear" w:color="auto" w:fill="FFFFFF"/>
        </w:rPr>
        <w:t>.  Several risk factors influence the progression of ARMD. It is primarily a disease of ageing, mostly affecting the older population. With the age above 50 years, the risk of ARMD increases significantly</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{"citationID":"EiGfQzAY","properties":{"formattedCitation":"(Kulkarni et al., 2013)","plainCitation":"(Kulkarni et al., 2013)","noteIndex":0},"citationItems":[{"id":"URioxLtk/AnsMe46j","uris":["http://zotero.org/users/17126151/items/MMLLSQDK"],"itemData":{"id":49,"type":"article-journal","abstract":"Background:\nWe present the magnitude and determinants of age-related macular degeneration (ARMD) among the 50 year and older population that visited our hospital.\n\nMaterials and Methods:\nThis was a cohort of eye patients with ARMD, seen from 2006 to 2009. Optometrist noted the best-corrected vision. Ophthalmologists examined eyes using a slit-lamp bio-microscope. The ARMD was confirmed by fluoresceine angiography and optical coherent tomography. The age, sex, history of smoking, sun exposure, family history of ARMD, diet, body mass index (BMI), hypertension, and diabetes were associated with ARMD.\n\nResult:\nOf the 19,140 persons of ≥ 50 years of age-attending eye clinic in our hospital, 302 persons had ARMD in at least one eye. The proportion of overall ARMD was 1.38% (95% CI 1.21--1.55). The proportion of age-related maculopathy (ARM) and late ARMD was 1.14% (95% CI 0.99--1.29) and 0.24% (95% CI 0.21–0.24) respectively. ARM was unilateral and bilateral in 64 (29.2%) and 155 (70.8%) persons respectively. Dry ARMD was found in 47.8%. On regression analysis, old age (OR = 1.05), male (OR = 0.54), and history of smoking (OR = 2.32) were significant risk factors of ARMD. A total of 4.2% of persons with ARMD were blind (vision &lt;3/60). Only 43% of persons with ARMD had J6 grade of the best-corrected near vision.\n\nConclusion:\nARMD does not seem to be of public health magnitude in the study area. Early stages of ARMD were common among patients. ge, being male, and history of smoking were significant risk factors for ARMD.","container-title":"Indian Journal of Ophthalmology","DOI":"10.4103/0301-4738.99870","ISSN":"0301-4738","issue":"5","journalAbbreviation":"Indian J Ophthalmol","note":"PMID: 23571245\nPMCID: PMC3730501","page":"196-201","source":"PubMed Central","title":"Prevalence and determinants of age-related macular degeneration in the 50 years and older population: A hospital based study in Maharashtra, India","title-short":"Prevalence and determinants of age-related macular degeneration in the 50 years and older population","volume":"61","author":[{"family":"Kulkarni","given":"Sucheta R"},{"family":"Aghashe","given":"Supriya R"},{"family":"Khandekar","given":"Rajiv B"},{"family":"Deshpande","given":"Madan D"}],"issued":{"date-parts":[["2013",5]]}}}],"schema":"https://github.com/citation-style-language/schema/raw/master/csl-citation.json"}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(Kulkarni et al., 2013)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Environmental and genetic variables are important in determining an individual's risk of ARMD. Those with a family history of ARMD are at a higher risk</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{"citationID":"cguX3Y5w","properties":{"formattedCitation":"(Mousavi &amp; Armstrong, 2013)","plainCitation":"(Mousavi &amp; Armstrong, 2013)","noteIndex":0},"citationItems":[{"id":"URioxLtk/V9r3PWA8","uris":["http://zotero.org/users/17126151/items/PXNBN9MJ"],"itemData":{"id":52,"type":"article-journal","abstract":"Age related macular degeneration (AMD) is the leading cause of blindness in individuals older than 65 years of age. It is a multifactorial disorder and identification of risk factors enables individuals to make lifestyle choices that may reduce the risk of disease. Collaboration between geneticists, ophthalmologists, and optometrists suggests that genetic risk factors play a more significant role in AMD than previously thought. The most important genes are associated with immune system modulation and the complement system, e.g., complement factor H (CFH), factor B (CFB), factor C3, and serpin peptidase inhibitor (SERPING1). Genes associated with membrane transport, e.g., ATP-binding cassette protein (ABCR) and voltage-dependent calcium channel gamma 3 (CACNG3), the vascular system, e.g., fibroblast growth factor 2 (FGF2), fibulin-5, lysyl oxidase-like gene (LOXL1) and selectin-P (SELP), and with lipid metabolism, e.g., apolipoprotein E (APOE) and hepatic lipase (LIPC) have also been implicated. In addition, several other genes exhibit some statistical association with AMD, e.g., age-related maculopathy susceptibility protein 2 (ARMS2) and DNA excision repair protein gene (ERCC6) but more research is needed to establish their significance. Modifiable risk factors for AMD should be discussed with patients whose lifestyle and/or family history place them in an increased risk category. Furthermore, calculation of AMD risk using current models should be recommended as a tool for patient education. It is likely that AMD management in future will be increasingly influenced by assessment of genetic risk as such screening methods become more widely available.","container-title":"Journal of Optometry","DOI":"10.1016/j.optom.2013.07.002","ISSN":"1888-4296","issue":"4","journalAbbreviation":"J Optom","note":"PMID: null\nPMCID: PMC3880448","page":"176-184","source":"PubMed Central","title":"Genetic risk factors and age-related macular degeneration (AMD)","volume":"6","author":[{"family":"Mousavi","given":"Maryam"},{"family":"Armstrong","given":"Richard A."}],"issued":{"date-parts":[["2013",10]]}}}],"schema":"https://github.com/citation-style-language/schema/raw/master/csl-citation.json"}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(Mousavi &amp; Armstrong, 2013)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Certain systemic diseases, such as hypertension and cardiovascular diseases, can also influence the risk of ARMD. Sedentary lifestyle, smoking, and obesity might play an important part in increasing the risk of ARMD</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{"citationID":"GiVu6sdp","properties":{"formattedCitation":"(Saigal et al., 2025)","plainCitation":"(Saigal et al., 2025)","noteIndex":0},"citationItems":[{"id":1207,"uris":["http://zotero.org/users/15401920/items/NE89ABFJ"],"itemData":{"id":1207,"type":"article-journal","abstract":"Age-related macular degeneration (AMD) is a multifactorial disorder influenced by genetic, lifestyle, nutritional, and systemic health factors that contribute to increased oxidative stress and chronic inflammation in the retina. This article reviews the recent literature on modifiable lifestyle risk factors for the development and progression of AMD. Smoking (current and former), physical inactivity, prolonged sunlight exposure, as well as conditions such as diabetes, hypertension, cardiovascular disease, and obesity have all been associated with an increased risk of early AMD and its progression. The Age-Related Eye Disease Studies (AREDS and AREDS2) have shown that a specific combination of vitamins E and C, zinc, copper, lutein, and zeaxanthin can significantly reduce the risk of AMD progressing from dry to wet form. Additionally, adherence to a Mediterranean diet, rich in vegetables, fruits, legumes, whole grains, and nuts, has been linked to a lower risk of both early and late AMD. Emerging evidence suggests that these benefits may be influenced by the gut microbiota, as well as genetic and epigenetic factors. Further research into the interactions between these risk factors could pave the way for targeted therapies aimed at preventing or slowing AMD progression.","container-title":"Vision","DOI":"10.3390/vision9010016","ISSN":"2411-5150","issue":"1","journalAbbreviation":"Vision (Basel)","note":"PMID: 40137928\nPMCID: PMC11946629","page":"16","source":"PubMed Central","title":"Modifiable Lifestyle Risk Factors and Strategies for Slowing the Progression of Age-Related Macular Degeneration","volume":"9","author":[{"family":"Saigal","given":"Khushi"},{"family":"Salama","given":"Joshua E."},{"family":"Pardo","given":"Alfredo A."},{"family":"Lopez","given":"Sebastian E."},{"family":"Gregori","given":"Ninel Z."}],"issued":{"date-parts":[["2025",2,23]]}}}],"schema":"https://github.com/citation-style-language/schema/raw/master/csl-citation.json"}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(Saigal et al., 2025)</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041C3EB6" w14:textId="77777777" w:rsidR="00CF5882" w:rsidRPr="005770EC" w:rsidRDefault="00F042AE" w:rsidP="005770E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3.</w:t>
      </w:r>
      <w:r w:rsidR="008B35EA">
        <w:rPr>
          <w:rFonts w:ascii="Times New Roman" w:hAnsi="Times New Roman" w:cs="Times New Roman"/>
          <w:b/>
          <w:bCs/>
          <w:sz w:val="24"/>
          <w:szCs w:val="24"/>
        </w:rPr>
        <w:t xml:space="preserve"> </w:t>
      </w:r>
      <w:r w:rsidR="00CF5882" w:rsidRPr="00D017CD">
        <w:rPr>
          <w:rFonts w:ascii="Times New Roman" w:hAnsi="Times New Roman" w:cs="Times New Roman"/>
          <w:b/>
          <w:bCs/>
          <w:sz w:val="24"/>
          <w:szCs w:val="24"/>
        </w:rPr>
        <w:t>Gene Therapy Techniques</w:t>
      </w:r>
    </w:p>
    <w:p w14:paraId="4A9E837D" w14:textId="0EF88A48" w:rsidR="004A455E" w:rsidRDefault="005770EC" w:rsidP="005770EC">
      <w:pPr>
        <w:spacing w:after="0" w:line="360" w:lineRule="auto"/>
        <w:jc w:val="both"/>
        <w:rPr>
          <w:rFonts w:ascii="Times New Roman" w:hAnsi="Times New Roman" w:cs="Times New Roman"/>
          <w:sz w:val="24"/>
          <w:szCs w:val="24"/>
        </w:rPr>
      </w:pPr>
      <w:r w:rsidRPr="005770EC">
        <w:rPr>
          <w:rFonts w:ascii="Times New Roman" w:eastAsia="Times New Roman" w:hAnsi="Times New Roman" w:cs="Times New Roman"/>
          <w:color w:val="222222"/>
          <w:kern w:val="0"/>
          <w:sz w:val="24"/>
          <w:szCs w:val="24"/>
        </w:rPr>
        <w:t>The traditional method of therapy includes an anti-VEGF drug, which is injected into the affected eye. Patients need shots every four to six weeks to maintain the effect of the medicine. Vascular Endothelial Growth Factor (VEGF) is essential for vascular endothelial growth</w:t>
      </w:r>
      <w:r w:rsidR="00F9271E">
        <w:rPr>
          <w:rFonts w:ascii="Times New Roman" w:hAnsi="Times New Roman" w:cs="Times New Roman"/>
          <w:sz w:val="24"/>
          <w:szCs w:val="24"/>
        </w:rPr>
        <w:t xml:space="preserve"> </w:t>
      </w:r>
      <w:r w:rsidR="003A0F1D" w:rsidRPr="005770EC">
        <w:rPr>
          <w:rFonts w:ascii="Times New Roman" w:hAnsi="Times New Roman" w:cs="Times New Roman"/>
          <w:sz w:val="24"/>
          <w:szCs w:val="24"/>
        </w:rPr>
        <w:lastRenderedPageBreak/>
        <w:fldChar w:fldCharType="begin"/>
      </w:r>
      <w:r w:rsidR="00371F19">
        <w:rPr>
          <w:rFonts w:ascii="Times New Roman" w:hAnsi="Times New Roman" w:cs="Times New Roman"/>
          <w:sz w:val="24"/>
          <w:szCs w:val="24"/>
        </w:rPr>
        <w:instrText xml:space="preserve"> ADDIN ZOTERO_ITEM CSL_CITATION {"citationID":"TY9vbqea","properties":{"formattedCitation":"(P\\uc0\\u233{}rez-Guti\\uc0\\u233{}rrez &amp; Ferrara, 2023)","plainCitation":"(Pérez-Gutiérrez &amp; Ferrara, 2023)","noteIndex":0},"citationItems":[{"id":1223,"uris":["http://zotero.org/users/15401920/items/TESVSK3R"],"itemData":{"id":1223,"type":"article-journal","abstract":"The formation of new blood vessels, called angiogenesis, is an essential pathophysiological process in which several families of regulators have been implicated. Among these, vascular endothelial growth factor A (VEGFA; also known as VEGF) and its two tyrosine kinase receptors, VEGFR1 and VEGFR2, represent a key signalling pathway mediating physiological angiogenesis and are also major therapeutic targets. VEGFA is a member of the gene family that includes VEGFB, VEGFC, VEGFD and placental growth factor (PLGF). Three decades after its initial isolation and cloning, VEGFA is arguably the most extensively investigated signalling system in angiogenesis. Although many mediators of angiogenesis have been identified, including members of the FGF family, angiopoietins, TGFβ and sphingosine 1-phosphate, all current FDA-approved anti-angiogenic drugs target the VEGF pathway. Anti-VEGF agents are widely used in oncology and, in combination with chemotherapy or immunotherapy, are now the standard of care in multiple malignancies. Anti-VEGF drugs have also revolutionized the treatment of neovascular eye disorders such as age-related macular degeneration and ischaemic retinal disorders. In this Review, we emphasize the molecular, structural and cellular basis of VEGFA action as well as recent findings illustrating unexpected interactions with other pathways and provocative reports on the role of VEGFA in regenerative medicine. We also discuss clinical and translational aspects of VEGFA. Given the crucial role that VEGFA plays in regulating angiogenesis in health and disease, this molecule is largely the focus of this Review.","container-title":"Nature Reviews Molecular Cell Biology","DOI":"10.1038/s41580-023-00631-w","ISSN":"1471-0080","issue":"11","journalAbbreviation":"Nat Rev Mol Cell Biol","language":"en","license":"2023 Springer Nature Limited","note":"publisher: Nature Publishing Group","page":"816-834","source":"www.nature.com","title":"Biology and therapeutic targeting of vascular endothelial growth factor A","volume":"24","author":[{"family":"Pérez-Gutiérrez","given":"Lorena"},{"family":"Ferrara","given":"Napoleone"}],"issued":{"date-parts":[["2023",11]]}}}],"schema":"https://github.com/citation-style-language/schema/raw/master/csl-citation.json"}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kern w:val="0"/>
          <w:sz w:val="24"/>
        </w:rPr>
        <w:t>(Pérez-Gutiérrez &amp; Ferrara, 2023)</w:t>
      </w:r>
      <w:r w:rsidR="003A0F1D" w:rsidRPr="005770EC">
        <w:rPr>
          <w:rFonts w:ascii="Times New Roman" w:hAnsi="Times New Roman" w:cs="Times New Roman"/>
          <w:sz w:val="24"/>
          <w:szCs w:val="24"/>
        </w:rPr>
        <w:fldChar w:fldCharType="end"/>
      </w:r>
      <w:r w:rsidR="00F9271E" w:rsidRPr="00E95BC4">
        <w:rPr>
          <w:rFonts w:ascii="Times New Roman" w:hAnsi="Times New Roman" w:cs="Times New Roman"/>
          <w:sz w:val="24"/>
          <w:szCs w:val="24"/>
          <w:highlight w:val="yellow"/>
        </w:rPr>
        <w:t>.</w:t>
      </w:r>
      <w:r w:rsidR="008B35EA">
        <w:rPr>
          <w:rFonts w:ascii="Times New Roman" w:hAnsi="Times New Roman" w:cs="Times New Roman"/>
          <w:sz w:val="24"/>
          <w:szCs w:val="24"/>
        </w:rPr>
        <w:t xml:space="preserve"> </w:t>
      </w:r>
      <w:r w:rsidRPr="005770EC">
        <w:rPr>
          <w:rFonts w:ascii="Times New Roman" w:hAnsi="Times New Roman" w:cs="Times New Roman"/>
          <w:color w:val="222222"/>
          <w:sz w:val="24"/>
          <w:szCs w:val="24"/>
          <w:shd w:val="clear" w:color="auto" w:fill="FFFFFF"/>
        </w:rPr>
        <w:t>Anti-Vascular Endothelial Growth Factor (Anti-VEGF) therapy is given to block vascular endothelial growth factors, which include antibodies such as bevacizumab, and also reduces the growth of abnormal blood vessels and reduces swelling. There is a necessity for the development of several innovative technologies and long-lasting therapies for treating Wet ARMD</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{"citationID":"VtafT2dK","properties":{"formattedCitation":"(Amarakoon et al., 2019)","plainCitation":"(Amarakoon et al., 2019)","noteIndex":0},"citationItems":[{"id":"URioxLtk/5fDl9a4F","uris":["http://zotero.org/users/17126151/items/J38SHUHA"],"itemData":{"id":58,"type":"article-journal","abstract":"PURPOSE: Intravitreal anti-vascular endothelial growth factor (VEGF) injections are an effective treatment for neovascular age-related macular degeneration (nARMD). Bevacizumab appears to be a cost-effective off-label anti-VEGF alternative to ranibizumab, but an optimal injection schedule has not yet been determined. In this study, we investigate whether on-demand bevacizumab treatment every 8 weeks is non-inferior to on-demand bevacizumab every 4 weeks in treating nARMD.\nMETHODS: A total of 120 nARMD patients were randomly assigned to an on-demand regimen of intravitreal bevacizumab (IVB) every 4 (n = 60) or 8 weeks (n = 60). The primary outcome was visual acuity (VA) change after 1 year of treatment.\nRESULTS: Visual acuity (VA) improved between baseline and 1 year in both treatment groups. The mean change in the VA score at 1 year was not significantly different between bevacizumab administration on-demand every 4 weeks [5.6 ± 10.2 Early Treatment Diabetic Retinopathy Study (ETDRS) letter] or 8 weeks (4.6 ± 12.0 ETDRS letters). A reduction in the central retinal thickness was observed in both groups. At 1 year, the mean decrease in central foveal thickness ranged from 61 ± 90 μm in the 4-week group to 91 ± 83 μm in the 8-week group (p = 0.07). The mean number of IVB treatments during the study period was 8.7 ± 2.3 in the 4-week group and 5.9 ± 1.0 in the 8-week group.\nCONCLUSION: At 1 year, bevacizumab administration on-demand every 8 weeks was non-inferior to administration every 4 weeks. The results strongly suggest that bevacizumab acts longer than 4 weeks in ARMD, reducing the burden of injections for patients.","container-title":"Acta Ophthalmologica","DOI":"10.1111/aos.13774","ISSN":"1755-3768","issue":"1","journalAbbreviation":"Acta Ophthalmol","language":"eng","note":"PMID: 30369062","page":"107-112","source":"PubMed","title":"Bevacizumab in age-related macular degeneration: a randomized controlled trial on the effect of on-demand therapy every 4 or 8 weeks","title-short":"Bevacizumab in age-related macular degeneration","volume":"97","author":[{"family":"Amarakoon","given":"Sankha"},{"family":"Martinez-Ciriano","given":"José P."},{"family":"Born","given":"L. Ingeborgh","non-dropping-particle":"van den"},{"family":"Baarsma","given":"Seerp"},{"family":"Missotten","given":"Tom"}],"issued":{"date-parts":[["2019",2]]}}}],"schema":"https://github.com/citation-style-language/schema/raw/master/csl-citation.json"}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(Amarakoon et al., 2019)</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0F233BFD" w14:textId="77777777" w:rsidR="00F9271E" w:rsidRDefault="00F9271E" w:rsidP="005770EC">
      <w:pPr>
        <w:spacing w:after="0" w:line="360" w:lineRule="auto"/>
        <w:jc w:val="both"/>
        <w:rPr>
          <w:rFonts w:ascii="Times New Roman" w:hAnsi="Times New Roman" w:cs="Times New Roman"/>
          <w:sz w:val="24"/>
          <w:szCs w:val="24"/>
        </w:rPr>
      </w:pPr>
    </w:p>
    <w:p w14:paraId="7E61701D" w14:textId="3729047D" w:rsidR="00F9271E" w:rsidRPr="00F9271E" w:rsidRDefault="00F9271E" w:rsidP="00F9271E">
      <w:pPr>
        <w:spacing w:after="0" w:line="360" w:lineRule="auto"/>
        <w:jc w:val="center"/>
        <w:rPr>
          <w:rFonts w:ascii="Arial" w:eastAsia="Times New Roman" w:hAnsi="Arial" w:cs="Arial"/>
          <w:color w:val="222222"/>
          <w:kern w:val="0"/>
          <w:sz w:val="24"/>
          <w:szCs w:val="24"/>
          <w:lang w:val="en-US"/>
        </w:rPr>
      </w:pPr>
      <w:r>
        <w:rPr>
          <w:rFonts w:ascii="Times New Roman" w:eastAsia="Times New Roman" w:hAnsi="Times New Roman" w:cs="Times New Roman"/>
          <w:noProof/>
          <w:kern w:val="0"/>
          <w:sz w:val="24"/>
          <w:szCs w:val="24"/>
        </w:rPr>
        <w:drawing>
          <wp:inline distT="0" distB="0" distL="0" distR="0" wp14:anchorId="1DB9FCEE" wp14:editId="774C87ED">
            <wp:extent cx="5038158" cy="4430195"/>
            <wp:effectExtent l="0" t="0" r="0" b="0"/>
            <wp:docPr id="88251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15477" name="Picture 882515477"/>
                    <pic:cNvPicPr/>
                  </pic:nvPicPr>
                  <pic:blipFill>
                    <a:blip r:embed="rId9">
                      <a:extLst>
                        <a:ext uri="{28A0092B-C50C-407E-A947-70E740481C1C}">
                          <a14:useLocalDpi xmlns:a14="http://schemas.microsoft.com/office/drawing/2010/main" val="0"/>
                        </a:ext>
                      </a:extLst>
                    </a:blip>
                    <a:stretch>
                      <a:fillRect/>
                    </a:stretch>
                  </pic:blipFill>
                  <pic:spPr>
                    <a:xfrm>
                      <a:off x="0" y="0"/>
                      <a:ext cx="5056475" cy="4446302"/>
                    </a:xfrm>
                    <a:prstGeom prst="rect">
                      <a:avLst/>
                    </a:prstGeom>
                  </pic:spPr>
                </pic:pic>
              </a:graphicData>
            </a:graphic>
          </wp:inline>
        </w:drawing>
      </w:r>
    </w:p>
    <w:p w14:paraId="012F7589" w14:textId="12C84AC8" w:rsidR="005770EC" w:rsidRPr="005770EC" w:rsidRDefault="005770EC" w:rsidP="005770EC">
      <w:pPr>
        <w:spacing w:line="360" w:lineRule="auto"/>
        <w:jc w:val="both"/>
        <w:rPr>
          <w:rFonts w:ascii="Times New Roman" w:eastAsia="Times New Roman" w:hAnsi="Times New Roman" w:cs="Times New Roman"/>
          <w:kern w:val="0"/>
          <w:sz w:val="24"/>
          <w:szCs w:val="24"/>
          <w:lang w:val="en-US"/>
        </w:rPr>
      </w:pPr>
      <w:r w:rsidRPr="005770EC">
        <w:rPr>
          <w:rFonts w:ascii="Times New Roman" w:eastAsia="Times New Roman" w:hAnsi="Times New Roman" w:cs="Times New Roman"/>
          <w:b/>
          <w:bCs/>
          <w:kern w:val="0"/>
          <w:sz w:val="24"/>
          <w:szCs w:val="24"/>
        </w:rPr>
        <w:t>Fig</w:t>
      </w:r>
      <w:r w:rsidR="00F10C78">
        <w:rPr>
          <w:rFonts w:ascii="Times New Roman" w:eastAsia="Times New Roman" w:hAnsi="Times New Roman" w:cs="Times New Roman"/>
          <w:b/>
          <w:bCs/>
          <w:kern w:val="0"/>
          <w:sz w:val="24"/>
          <w:szCs w:val="24"/>
        </w:rPr>
        <w:t>. 2.</w:t>
      </w:r>
      <w:r w:rsidRPr="005770EC">
        <w:rPr>
          <w:rFonts w:ascii="Times New Roman" w:eastAsia="Times New Roman" w:hAnsi="Times New Roman" w:cs="Times New Roman"/>
          <w:kern w:val="0"/>
          <w:sz w:val="24"/>
          <w:szCs w:val="24"/>
        </w:rPr>
        <w:t xml:space="preserve"> The pathophysiology of age-related macular degeneration involves degeneration of the RPE and drusen accumulation, leading to geographic atrophy and choroidal neovascularisation and causing central vision loss.</w:t>
      </w:r>
    </w:p>
    <w:p w14:paraId="14BCC41E" w14:textId="2A6D9638" w:rsidR="00CF5882" w:rsidRPr="005770EC" w:rsidRDefault="00CF5882" w:rsidP="005770EC">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5770EC">
        <w:rPr>
          <w:rFonts w:ascii="Times New Roman" w:hAnsi="Times New Roman" w:cs="Times New Roman"/>
          <w:sz w:val="24"/>
          <w:szCs w:val="24"/>
        </w:rPr>
        <w:t xml:space="preserve">Gene therapy itself is capable of continuously producing anti-VEGF proteins, without frequent invasive intravitreal injections. </w:t>
      </w:r>
      <w:r w:rsidR="00F9271E">
        <w:rPr>
          <w:rFonts w:ascii="Times New Roman" w:hAnsi="Times New Roman" w:cs="Times New Roman"/>
          <w:sz w:val="24"/>
          <w:szCs w:val="24"/>
        </w:rPr>
        <w:t xml:space="preserve">It </w:t>
      </w:r>
      <w:r w:rsidRPr="005770EC">
        <w:rPr>
          <w:rFonts w:ascii="Times New Roman" w:hAnsi="Times New Roman" w:cs="Times New Roman"/>
          <w:sz w:val="24"/>
          <w:szCs w:val="24"/>
        </w:rPr>
        <w:t xml:space="preserve">is leading the way to a drastic change in the treatment of ARMD. </w:t>
      </w:r>
      <w:r w:rsidR="00904898" w:rsidRPr="00904898">
        <w:rPr>
          <w:rFonts w:ascii="Times New Roman" w:hAnsi="Times New Roman" w:cs="Times New Roman"/>
          <w:sz w:val="24"/>
          <w:szCs w:val="24"/>
          <w:highlight w:val="yellow"/>
        </w:rPr>
        <w:t>The basic concept of gene therapy is to introduce healthy genes into genetically mutated cells that have faulty genes</w:t>
      </w:r>
      <w:r w:rsidR="00904898">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{"citationID":"880gukz8","properties":{"formattedCitation":"(Chung et al., 2021)","plainCitation":"(Chung et al., 2021)","noteIndex":0},"citationItems":[{"id":"URioxLtk/boPU117L","uris":["http://zotero.org/users/17126151/items/B3MF49MT"],"itemData":{"id":60,"type":"article-journal","abstract":"Pharmacotherapies targeting vascular endothelial growth factor (VEGF) have revolutionized the management for neovascular retinal disorders including diabetic retinopathy and neovascular age-related macular degeneration. However, the burden of frequent injections, high cost, and treatment resistance in some patients remain unresolved. To overcome these challenges, newer generations of anti-angiogenic biological therapies, engineered proteins, implantable delivery systems, and biopolymers are currently being developed to enable more sustained, longer-lasting treatments. The use of gene therapies for pathologic angiogenesis has garnered renewed interests since the first FDA-approval of a gene therapy to treat inherited retinal diseases associated with biallelic RPE65 mutations. Newer generations of viral vectors and novel methods of intraocular injections helped overcome ocular barriers, improving the efficiency of transduction as well as safety profile. In addition, unlike current anti-VEGF gene therapy strategies which employ a biofactory approach to mimic existing pharmacotherapies, novel genome editing strategies that target pro-angiogenic factors at the DNA level offer a unique and distinct mechanistic approach that can potentially be more precise and lead to a permanent cure. Here, we review current anti-VEGF therapies and newer pharmacologic agents under development, examine technologies and progress in adapting anti-VEGF gene therapies, and explore the future application of CRISPR-Cas9 technology to suppress ocular angiogenesis.","container-title":"Annals of Translational Medicine","DOI":"10.21037/atm-20-4417","ISSN":"2305-5839","issue":"15","journalAbbreviation":"Ann Transl Med","language":"eng","note":"PMID: 34532414\nPMCID: PMC8421957","page":"1277","source":"PubMed","title":"Targeting vascular endothelial growth factor using retinal gene therapy","volume":"9","author":[{"family":"Chung","given":"Sook H."},{"family":"Frick","given":"Sonia L."},{"family":"Yiu","given":"Glenn"}],"issued":{"date-parts":[["2021",8]]}}}],"schema":"https://github.com/citation-style-language/schema/raw/master/csl-citation.json"}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(Chung et al., 2021)</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w:t>
      </w:r>
      <w:r w:rsidR="005770EC" w:rsidRPr="005770EC">
        <w:rPr>
          <w:rFonts w:ascii="Times New Roman" w:eastAsia="Times New Roman" w:hAnsi="Times New Roman" w:cs="Times New Roman"/>
          <w:color w:val="222222"/>
          <w:kern w:val="0"/>
          <w:sz w:val="24"/>
          <w:szCs w:val="24"/>
        </w:rPr>
        <w:t xml:space="preserve">The normal genes either replace the diseased cells/tissue physically or function severally at another point in the host genome, performing the normal gene-related activity of the cell. An altered DNA termed Recombinant DNA is formed by the process of Genetic Engineering; this process involves substituting a </w:t>
      </w:r>
      <w:r w:rsidR="005770EC" w:rsidRPr="005770EC">
        <w:rPr>
          <w:rFonts w:ascii="Times New Roman" w:eastAsia="Times New Roman" w:hAnsi="Times New Roman" w:cs="Times New Roman"/>
          <w:color w:val="222222"/>
          <w:kern w:val="0"/>
          <w:sz w:val="24"/>
          <w:szCs w:val="24"/>
        </w:rPr>
        <w:lastRenderedPageBreak/>
        <w:t>segment of the DNA of the virus with a therapeutic gene, integrated into the DNA strand of the virus, which is associated with proliferation/replication in the host cell</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{"citationID":"yj7SSq2I","properties":{"formattedCitation":"(Rampersad &amp; Tennant, 2018)","plainCitation":"(Rampersad &amp; Tennant, 2018)","noteIndex":0},"citationItems":[{"id":1182,"uris":["http://zotero.org/users/15401920/items/HNEFMFDC"],"itemData":{"id":1182,"type":"article-journal","abstract":"Regardless of their genetic constitution, viral genomes are replicated, expressed, and assembled in association with living host cells. These entities do not undergo division, but rather generate new particles through the assembly of preformed components. Some viruses go further by modifying cellular metabolism to create a more favorable environment for viral gene expression. In a few instances, these clever strategies also facilitate escape from the host’s defense responses. The process of replication is typically divided into the phases of attachment, entry, uncoating, genome replication and expression, assembly, maturation, and finally, egress or release from the host cell. In this chapter, we address genome replication and expression, including the multiple strategies that serve to control gene expression and ensure preferential propagation of the virus.","container-title":"Viruses","DOI":"10.1016/B978-0-12-811257-1.00003-6","journalAbbreviation":"Viruses","note":"PMID: null\nPMCID: PMC7158166","page":"55-82","source":"PubMed Central","title":"Replication and Expression Strategies of Viruses","author":[{"family":"Rampersad","given":"Sephra"},{"family":"Tennant","given":"Paula"}],"issued":{"date-parts":[["2018"]]}}}],"schema":"https://github.com/citation-style-language/schema/raw/master/csl-citation.json"}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(Rampersad &amp; Tennant, 2018)</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When this Recombinant virus is delivered to diseased tissue</w:t>
      </w:r>
      <w:r w:rsidR="00E95BC4">
        <w:rPr>
          <w:rFonts w:ascii="Times New Roman" w:hAnsi="Times New Roman" w:cs="Times New Roman"/>
          <w:sz w:val="24"/>
          <w:szCs w:val="24"/>
        </w:rPr>
        <w:t xml:space="preserve"> </w:t>
      </w:r>
      <w:r w:rsidRPr="005770EC">
        <w:rPr>
          <w:rFonts w:ascii="Times New Roman" w:hAnsi="Times New Roman" w:cs="Times New Roman"/>
          <w:sz w:val="24"/>
          <w:szCs w:val="24"/>
        </w:rPr>
        <w:t>then the proliferation of the therapeutic gene gets incorporated into host DNA, leading to the production of normal protein by the process of DNA expression</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{"citationID":"N5nKUSTq","properties":{"formattedCitation":"(Gupta et al., 2016)","plainCitation":"(Gupta et al., 2016)","noteIndex":0},"citationItems":[{"id":"URioxLtk/q3d5MNi1","uris":["http://zotero.org/users/17126151/items/Y9529JQN"],"itemData":{"id":183,"type":"article-journal","abstract":"The proteins produced in the body control and mediate the metabolic processes and help in its routine functioning. Any kind of impairment in protein production, such as production of mutated protein, or misfolded protein, leads to disruption of the pathway controlled by that protein. This may manifest in the form of the disease. However, these diseases can be treated, by supplying the protein from outside or exogenously. The supply of active exogenous protein requires its production on large scale to fulfill the growing demand. The process is complex, requiring higher protein expression, purification, and processing. Each product needs unique settings or standardizations for large-scale production and purification. As only large-scale production can fulfill the growing demand, thus it needs to be cost-effective. The tools of genetic engineering are utilized to produce the proteins of human origin in bacteria, fungi, insect, or mammalian host. Usage of recombinant DNA technology for large-scale production of proteins requires ample amount of time, labor, and resources, but it also offers many opportunities for economic growth. After reading this chapter, readers would be able to understand the basics about production of recombinant proteins in various hosts along with the advantages and limitations of each host system and properties and production of some of the important pharmaceutical compounds and growth factors.","container-title":"Basic and Applied Aspects of Biotechnology","DOI":"10.1007/978-981-10-0875-7_4","journalAbbreviation":"Basic and Applied Aspects of Biotechnology","note":"PMID: null\nPMCID: PMC7120688","page":"77-101","source":"PubMed Central","title":"Production of Recombinant Pharmaceutical Proteins","author":[{"family":"Gupta","given":"Varsha"},{"family":"Sengupta","given":"Manjistha"},{"family":"Prakash","given":"Jaya"},{"family":"Tripathy","given":"Baishnab Charan"}],"issued":{"date-parts":[["2016",10,23]]}}}],"schema":"https://github.com/citation-style-language/schema/raw/master/csl-citation.json"}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(Gupta et al., 2016)</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28BC60FB" w14:textId="77777777" w:rsidR="00CF5882" w:rsidRPr="005770EC" w:rsidRDefault="00F042AE" w:rsidP="005770EC">
      <w:pPr>
        <w:spacing w:line="360" w:lineRule="auto"/>
        <w:jc w:val="both"/>
        <w:rPr>
          <w:rFonts w:ascii="Times New Roman" w:hAnsi="Times New Roman" w:cs="Times New Roman"/>
          <w:b/>
          <w:bCs/>
          <w:sz w:val="24"/>
          <w:szCs w:val="24"/>
        </w:rPr>
      </w:pPr>
      <w:r w:rsidRPr="005770EC">
        <w:rPr>
          <w:rFonts w:ascii="Times New Roman" w:hAnsi="Times New Roman" w:cs="Times New Roman"/>
          <w:b/>
          <w:bCs/>
          <w:sz w:val="24"/>
          <w:szCs w:val="24"/>
        </w:rPr>
        <w:t xml:space="preserve">4. </w:t>
      </w:r>
      <w:r w:rsidR="00CF5882" w:rsidRPr="005770EC">
        <w:rPr>
          <w:rFonts w:ascii="Times New Roman" w:hAnsi="Times New Roman" w:cs="Times New Roman"/>
          <w:b/>
          <w:bCs/>
          <w:sz w:val="24"/>
          <w:szCs w:val="24"/>
        </w:rPr>
        <w:t>The Viral Vector and the Eye</w:t>
      </w:r>
    </w:p>
    <w:p w14:paraId="5DE1575C" w14:textId="1969EEFB" w:rsidR="00CF5882" w:rsidRPr="005770EC" w:rsidRDefault="00A105FC" w:rsidP="005770EC">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A105FC">
        <w:rPr>
          <w:rFonts w:ascii="Times New Roman" w:hAnsi="Times New Roman" w:cs="Times New Roman"/>
          <w:sz w:val="24"/>
          <w:szCs w:val="24"/>
          <w:highlight w:val="yellow"/>
        </w:rPr>
        <w:t>The recombinant AAV vector is ideal f</w:t>
      </w:r>
      <w:r w:rsidR="00CF5882" w:rsidRPr="00A105FC">
        <w:rPr>
          <w:rFonts w:ascii="Times New Roman" w:hAnsi="Times New Roman" w:cs="Times New Roman"/>
          <w:sz w:val="24"/>
          <w:szCs w:val="24"/>
          <w:highlight w:val="yellow"/>
        </w:rPr>
        <w:t xml:space="preserve">or retinal gene replacement </w:t>
      </w:r>
      <w:r w:rsidRPr="00A105FC">
        <w:rPr>
          <w:rFonts w:ascii="Times New Roman" w:hAnsi="Times New Roman" w:cs="Times New Roman"/>
          <w:sz w:val="24"/>
          <w:szCs w:val="24"/>
          <w:highlight w:val="yellow"/>
        </w:rPr>
        <w:t>b</w:t>
      </w:r>
      <w:r w:rsidR="00CF5882" w:rsidRPr="00A105FC">
        <w:rPr>
          <w:rFonts w:ascii="Times New Roman" w:hAnsi="Times New Roman" w:cs="Times New Roman"/>
          <w:sz w:val="24"/>
          <w:szCs w:val="24"/>
          <w:highlight w:val="yellow"/>
        </w:rPr>
        <w:t>ecause of its several significant characteristics</w:t>
      </w:r>
      <w:r>
        <w:rPr>
          <w:rFonts w:ascii="Times New Roman" w:hAnsi="Times New Roman" w:cs="Times New Roman"/>
          <w:sz w:val="24"/>
          <w:szCs w:val="24"/>
        </w:rPr>
        <w:t xml:space="preserve">. </w:t>
      </w:r>
      <w:r w:rsidRPr="00A105FC">
        <w:rPr>
          <w:rFonts w:ascii="Times New Roman" w:hAnsi="Times New Roman" w:cs="Times New Roman"/>
          <w:sz w:val="24"/>
          <w:szCs w:val="24"/>
          <w:highlight w:val="yellow"/>
        </w:rPr>
        <w:t>It</w:t>
      </w:r>
      <w:r w:rsidR="00CF5882" w:rsidRPr="00A105FC">
        <w:rPr>
          <w:rFonts w:ascii="Times New Roman" w:hAnsi="Times New Roman" w:cs="Times New Roman"/>
          <w:sz w:val="24"/>
          <w:szCs w:val="24"/>
          <w:highlight w:val="yellow"/>
        </w:rPr>
        <w:t xml:space="preserve"> is a non-integrating type of vector</w:t>
      </w:r>
      <w:r w:rsidRPr="00A105FC">
        <w:rPr>
          <w:rFonts w:ascii="Times New Roman" w:hAnsi="Times New Roman" w:cs="Times New Roman"/>
          <w:sz w:val="24"/>
          <w:szCs w:val="24"/>
          <w:highlight w:val="yellow"/>
        </w:rPr>
        <w:t xml:space="preserve"> and is used for ocular gene therapy</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{"citationID":"uWCtWJtO","properties":{"formattedCitation":"(He et al., 2023)","plainCitation":"(He et al., 2023)","noteIndex":0},"citationItems":[{"id":"URioxLtk/XOzZwrMs","uris":["http://zotero.org/users/17126151/items/VTBZLJ3V"],"itemData":{"id":65,"type":"article-journal","abstract":"Owing to the promising therapeutic effect and one-time treatment advantage, gene therapy may completely change the management of eye diseases, especially retinal diseases. Adeno-associated virus (AAV) is considered one of the most promising viral gene delivery tools because it can infect various types of tissues and is considered as a relatively safe gene delivery vector. The eye is one of the most popular organs for gene therapy, since its limited volume is suitable for small doses of AAV stably transduction. Recently, an increasing number of clinical trials of AAV-mediated gene therapy are underway. This review summarizes the biological functions of AAV and its application in the treatment of various ocular diseases, as well as the characteristics of different AAV delivery routes in clinical applications. Here, the latest research progresses in AAV-mediated gene editing and silencing strategies to modify that the genetic ocular diseases are systematically outlined, especially by base editing and prime editing. We discuss the progress of AAV in ocular optogenetic therapy. We also summarize the application of AAV-mediated gene therapy in animal models and the difficulties in its clinical transformation.","container-title":"Research (Washington, D.C.)","DOI":"10.34133/research.0291","ISSN":"2639-5274","journalAbbreviation":"Research (Wash D C)","language":"eng","note":"PMID: 38188726\nPMCID: PMC10768554","page":"0291","source":"PubMed","title":"AAV for Gene Therapy in Ocular Diseases: Progress and Prospects","title-short":"AAV for Gene Therapy in Ocular Diseases","volume":"6","author":[{"family":"He","given":"Xiaoyu"},{"family":"Fu","given":"Yidian"},{"family":"Ma","given":"Liang"},{"family":"Yao","given":"Yizheng"},{"family":"Ge","given":"Shengfang"},{"family":"Yang","given":"Zhi"},{"family":"Fan","given":"Xianqun"}],"issued":{"date-parts":[["2023"]]}}}],"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(He et al., 2023)</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5770EC">
        <w:rPr>
          <w:rFonts w:ascii="Times New Roman" w:hAnsi="Times New Roman" w:cs="Times New Roman"/>
          <w:sz w:val="24"/>
          <w:szCs w:val="24"/>
        </w:rPr>
        <w:t xml:space="preserve"> Due to risks involved while delivering the transgene in gene therapy, non-integrating vectors have been chosen in the present techniques and will be implemented soon.</w:t>
      </w:r>
      <w:r>
        <w:rPr>
          <w:rFonts w:ascii="Times New Roman" w:hAnsi="Times New Roman" w:cs="Times New Roman"/>
          <w:sz w:val="24"/>
          <w:szCs w:val="24"/>
        </w:rPr>
        <w:t xml:space="preserve"> It</w:t>
      </w:r>
      <w:r w:rsidR="00CF5882" w:rsidRPr="005770EC">
        <w:rPr>
          <w:rFonts w:ascii="Times New Roman" w:hAnsi="Times New Roman" w:cs="Times New Roman"/>
          <w:sz w:val="24"/>
          <w:szCs w:val="24"/>
        </w:rPr>
        <w:t xml:space="preserve"> is a small, single-stranded DNA genome. An icosahedral protein capsid and a single-stranded DNA (ssDNA) genome form an AAV.</w:t>
      </w:r>
      <w:r w:rsidR="00221516" w:rsidRPr="005770EC">
        <w:rPr>
          <w:rFonts w:ascii="Times New Roman" w:hAnsi="Times New Roman" w:cs="Times New Roman"/>
          <w:sz w:val="24"/>
          <w:szCs w:val="24"/>
        </w:rPr>
        <w:t xml:space="preserve"> It</w:t>
      </w:r>
      <w:r w:rsidR="00CF5882" w:rsidRPr="005770EC">
        <w:rPr>
          <w:rFonts w:ascii="Times New Roman" w:hAnsi="Times New Roman" w:cs="Times New Roman"/>
          <w:sz w:val="24"/>
          <w:szCs w:val="24"/>
        </w:rPr>
        <w:t xml:space="preserve"> comprises two inverted terminal repeats (ITRs) on either end of the genome that are T-shaped</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{"citationID":"5uYWYmYO","properties":{"formattedCitation":"(Xiang &amp; Hao, 2023)","plainCitation":"(Xiang &amp; Hao, 2023)","noteIndex":0},"citationItems":[{"id":"URioxLtk/FGagDsPX","uris":["http://zotero.org/users/17126151/items/TUXVA7EI"],"itemData":{"id":68,"type":"article-journal","abstract":"Adeno-associated virus (AAV) vectors have emerged as the leading delivery platforms for gene therapy. Throughout the life cycle of the virions, the capsid vector carries out diverse functions, ranging from cell surface receptor engagement, cellular entry, endosomal escape, nuclear import to new particle packaging, and assembly. Each of these steps is mediated by exquisite structure features of the viral capsid and its interaction with viral genome, Rep proteins, and cellular organelle and apparatus. In this brief review, we provide an overview of results from over a decade of extensive biophysical studies of the capsid employing various techniques. The remaining unaddressed questions and perspective are also discussed. The detailed understanding of the structure and function interplay would provide insight to the strategy for improving the efficacy and safety of the viral vectors.","container-title":"Journal of Genetic Engineering &amp; Biotechnology","DOI":"10.1186/s43141-023-00518-5","ISSN":"1687-157X","journalAbbreviation":"J Genet Eng Biotechnol","note":"PMID: 37195476\nPMCID: PMC10192463","page":"62","source":"PubMed Central","title":"Biophysical characterization of adeno-associated virus capsid through the viral transduction life cycle","volume":"21","author":[{"family":"Xiang","given":"Yanqiao Shawn"},{"family":"Hao","given":"Gang Gary"}],"issued":{"date-parts":[["2023",5,17]]}}}],"schema":"https://github.com/citation-style-language/schema/raw/master/csl-citation.json"}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(Xiang &amp; Hao, 2023)</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5770EC">
        <w:rPr>
          <w:rFonts w:ascii="Times New Roman" w:hAnsi="Times New Roman" w:cs="Times New Roman"/>
          <w:sz w:val="24"/>
          <w:szCs w:val="24"/>
        </w:rPr>
        <w:t xml:space="preserve"> Although numerous other AAV serotypes have been discovered, AAV2, AAV5, and AAV8 have been the most extensively studied in ocular gene treatments</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{"citationID":"8ZegCyb2","properties":{"formattedCitation":"(Issa et al., 2023)","plainCitation":"(Issa et al., 2023)","noteIndex":0},"citationItems":[{"id":"URioxLtk/gpp7WLGL","uris":["http://zotero.org/users/17126151/items/C9HGTUZQ"],"itemData":{"id":71,"type":"article-journal","abstract":"Despite scientific discoveries in the field of gene and cell therapy, some diseases still have no effective treatment. Advances in genetic engineering methods have enabled the development of effective gene therapy methods for various diseases based on adeno-associated viruses (AAVs). Today, many AAV-based gene therapy medications are being investigated in preclinical and clinical trials, and new ones are appearing on the market. In this article, we present a review of AAV discovery, properties, different serotypes, and tropism, and a following detailed explanation of their uses in gene therapy for disease of different organs and systems.","container-title":"Cells","DOI":"10.3390/cells12050785","ISSN":"2073-4409","issue":"5","journalAbbreviation":"Cells","note":"PMID: 36899921\nPMCID: PMC10000783","page":"785","source":"PubMed Central","title":"Various AAV Serotypes and Their Applications in Gene Therapy: An Overview","title-short":"Various AAV Serotypes and Their Applications in Gene Therapy","volume":"12","author":[{"family":"Issa","given":"Shaza S."},{"family":"Shaimardanova","given":"Alisa A."},{"family":"Solovyeva","given":"Valeriya V."},{"family":"Rizvanov","given":"Albert A."}],"issued":{"date-parts":[["2023",3,1]]}}}],"schema":"https://github.com/citation-style-language/schema/raw/master/csl-citation.json"}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(Issa et al., 2023)</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5770EC">
        <w:rPr>
          <w:rFonts w:ascii="Times New Roman" w:hAnsi="Times New Roman" w:cs="Times New Roman"/>
          <w:sz w:val="24"/>
          <w:szCs w:val="24"/>
        </w:rPr>
        <w:t xml:space="preserve"> When humans are injected with AAV vectors, their antigen-specific T cells become activated. The reduced capacity of the parent virus to infect antigen-presenting cells results in a limited immune response</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{"citationID":"PXItSA70","properties":{"formattedCitation":"(Ronzitti et al., 2020)","plainCitation":"(Ronzitti et al., 2020)","noteIndex":0},"citationItems":[{"id":"URioxLtk/sXUZLmil","uris":["http://zotero.org/users/17126151/items/RUKK39LE"],"itemData":{"id":74,"type":"article-journal","abstract":"Recombinant adeno-associated virus (rAAV) vectors are one of the most promising in vivo gene delivery tools. Several features make rAAV vectors an ideal platform for gene transfer. However, the high homology with the parental wild-type virus, which often infects humans, poses limitations in terms of immune responses associated with this vector platform. Both humoral and cell-mediated immunity to wild-type AAV have been documented in healthy donors, and, at least in the case of anti-AAV antibodies, have been shown to have a potentially high impact on the outcome of gene transfer. While several factors can contribute to the overall immunogenicity of rAAV vectors, vector design and the total vector dose appear to be responsible of immune-mediated toxicities. While preclinical models have been less than ideal in predicting the outcome of gene transfer in humans, the current preclinical body of evidence clearly demonstrates that rAAV vectors can trigger both innate and adaptive immune responses. Data gathered from clinical trials offers key learnings on the immunogenicity of AAV vectors, highlighting challenges as well as the potential strategies that could help unlock the full therapeutic potential of in vivo gene transfer.","container-title":"Frontiers in Immunology","DOI":"10.3389/fimmu.2020.00670","ISSN":"1664-3224","journalAbbreviation":"Front Immunol","note":"PMID: 32362898\nPMCID: PMC7181373","page":"670","source":"PubMed Central","title":"Human Immune Responses to Adeno-Associated Virus (AAV) Vectors","volume":"11","author":[{"family":"Ronzitti","given":"Giuseppe"},{"family":"Gross","given":"David-Alexandre"},{"family":"Mingozzi","given":"Federico"}],"issued":{"date-parts":[["2020",4,17]]}}}],"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(Ronzitti et al., 2020)</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5770EC">
        <w:rPr>
          <w:rFonts w:ascii="Times New Roman" w:hAnsi="Times New Roman" w:cs="Times New Roman"/>
          <w:sz w:val="24"/>
          <w:szCs w:val="24"/>
        </w:rPr>
        <w:t xml:space="preserve"> </w:t>
      </w:r>
      <w:r w:rsidR="005770EC" w:rsidRPr="005770EC">
        <w:rPr>
          <w:rFonts w:ascii="Times New Roman" w:eastAsia="Times New Roman" w:hAnsi="Times New Roman" w:cs="Times New Roman"/>
          <w:color w:val="222222"/>
          <w:kern w:val="0"/>
          <w:sz w:val="24"/>
          <w:szCs w:val="24"/>
        </w:rPr>
        <w:t>Post-operation, a Broad range of immunosuppressants is prescribed to the patient as the body is at high risk. Recent strategies of gene therapy with AAV vectors have created the possibility of therapeutic gene manipulations with minimal concerns for inflammatory and immune reactions and with maximal efficacy. The limitation of AAV is that it cannot package a 4.8 kb longer DNA fragment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{"citationID":"4JHAxm1t","properties":{"formattedCitation":"(Naso et al., 2017; {\\i{}Packaging Capacity of Adeno-Associated Virus Serotypes: Impact of Larger Genomes on Infectivity and Postentry Steps | Journal of Virology}, n.d.)","plainCitation":"(Naso et al., 2017; Packaging Capacity of Adeno-Associated Virus Serotypes: Impact of Larger Genomes on Infectivity and Postentry Steps | Journal of Virology, n.d.)","noteIndex":0},"citationItems":[{"id":"URioxLtk/kx31vm59","uris":["http://zotero.org/users/17126151/items/KTK4JISM"],"itemData":{"id":185,"type":"article-journal","abstract":"There has been a resurgence in gene therapy efforts that is partly fueled by the identification and understanding of new gene delivery vectors. Adeno-associated virus (AAV) is a non-enveloped virus that can be engineered to deliver DNA to target cells, and has attracted a significant amount of attention in the field, especially in clinical-stage experimental therapeutic strategies. The ability to generate recombinant AAV particles lacking any viral genes and containing DNA sequences of interest for various therapeutic applications has thus far proven to be one of the safest strategies for gene therapies. This review will provide an overview of some important factors to consider in the use of AAV as a vector for gene therapy.","container-title":"Biodrugs","DOI":"10.1007/s40259-017-0234-5","ISSN":"1173-8804","issue":"4","journalAbbreviation":"BioDrugs","note":"PMID: 28669112\nPMCID: PMC5548848","page":"317-334","source":"PubMed Central","title":"Adeno-Associated Virus (AAV) as a Vector for Gene Therapy","volume":"31","author":[{"family":"Naso","given":"Michael F."},{"family":"Tomkowicz","given":"Brian"},{"family":"Perry","given":"William L."},{"family":"Strohl","given":"William R."}],"issued":{"date-parts":[["2017"]]}}},{"id":1179,"uris":["http://zotero.org/users/15401920/items/DDS9ETJI"],"itemData":{"id":1179,"type":"webpage","title":"Packaging Capacity of Adeno-Associated Virus Serotypes: Impact of Larger Genomes on Infectivity and Postentry Steps | Journal of Virology","URL":"https://journals.asm.org/doi/10.1128/jvi.79.15.9933-9944.2005"}}],"schema":"https://github.com/citation-style-language/schema/raw/master/csl-citation.json"}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kern w:val="0"/>
          <w:sz w:val="24"/>
        </w:rPr>
        <w:t xml:space="preserve">(Naso et al., 2017; </w:t>
      </w:r>
      <w:r w:rsidR="00B3699E" w:rsidRPr="00B3699E">
        <w:rPr>
          <w:rFonts w:ascii="Times New Roman" w:hAnsi="Times New Roman" w:cs="Times New Roman"/>
          <w:i/>
          <w:iCs/>
          <w:kern w:val="0"/>
          <w:sz w:val="24"/>
        </w:rPr>
        <w:t>Packaging Capacity of Adeno-Associated Virus Serotypes: Impact of Larger Genomes on Infectivity and Postentry Steps | Journal of Virology</w:t>
      </w:r>
      <w:r w:rsidR="00B3699E" w:rsidRPr="00B3699E">
        <w:rPr>
          <w:rFonts w:ascii="Times New Roman" w:hAnsi="Times New Roman" w:cs="Times New Roman"/>
          <w:kern w:val="0"/>
          <w:sz w:val="24"/>
        </w:rPr>
        <w:t>, n.d.)</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28E14245" w14:textId="72563C10" w:rsidR="00CF5882" w:rsidRPr="00D017CD" w:rsidRDefault="00CF5882" w:rsidP="00C30F5C">
      <w:pPr>
        <w:spacing w:line="360" w:lineRule="auto"/>
        <w:jc w:val="both"/>
        <w:rPr>
          <w:rFonts w:ascii="Times New Roman" w:hAnsi="Times New Roman" w:cs="Times New Roman"/>
          <w:sz w:val="24"/>
          <w:szCs w:val="24"/>
        </w:rPr>
      </w:pPr>
      <w:r w:rsidRPr="006F3FA0">
        <w:rPr>
          <w:rFonts w:ascii="Times New Roman" w:hAnsi="Times New Roman" w:cs="Times New Roman"/>
          <w:sz w:val="24"/>
          <w:szCs w:val="24"/>
        </w:rPr>
        <w:t>Dr Kiss helped design RGX-314 and ADVM-022, a Vector</w:t>
      </w:r>
      <w:r w:rsidRPr="00D017CD">
        <w:rPr>
          <w:rFonts w:ascii="Times New Roman" w:hAnsi="Times New Roman" w:cs="Times New Roman"/>
          <w:sz w:val="24"/>
          <w:szCs w:val="24"/>
        </w:rPr>
        <w:t xml:space="preserve"> that works as a carrier for protein-coding genetic sequences. Sequences that allow the genetic material to take over the cellular machinery of the targeted cell, which is being transduced to make the desired protein, are the promoter, enhancer, and ITRs</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{"citationID":"PdHUxqJt","properties":{"formattedCitation":"(Blasiak et al., 2024)","plainCitation":"(Blasiak et al., 2024)","noteIndex":0},"citationItems":[{"id":"URioxLtk/r01JH2TB","uris":["http://zotero.org/users/17126151/items/5Y74RY8X"],"itemData":{"id":205,"type":"article-journal","abstract":"Age-related macular degeneration (AMD) is an eye disease and the most common cause of vision loss in the Western World. In its advanced stage, AMD occurs in two clinically distinguished forms, dry and wet, but only wet AMD is treatable. However, the treatment based on repeated injections with vascular endothelial growth factor A (VEGFA) antagonists may at best stop the disease progression and prevent or delay vision loss but without an improvement of visual dysfunction. Moreover, it is a serious mental and financial burden for patients and may be linked with some complications. The recent first success of intravitreal gene therapy with ADVM-022, which transformed retinal cells to continuous production of aflibercept, a VEGF antagonist, after a single injection, has opened a revolutionary perspective in wet AMD treatment. Promising results obtained so far in other ongoing clinical trials support this perspective. In this narrative/hypothesis review, we present basic information on wet AMD pathogenesis and treatment, the concept of gene therapy in retinal diseases, update evidence on completed and ongoing clinical trials with gene therapy for wet AMD, and perspectives on the progress to the clinic of “one and done” therapy for wet AMD to replace a lifetime of injections. Gene editing targeting the VEGFA gene is also presented as another gene therapy strategy to improve wet AMD management.","container-title":"International Journal of Molecular Sciences","DOI":"10.3390/ijms25042386","ISSN":"1422-0067","issue":"4","journalAbbreviation":"Int J Mol Sci","note":"PMID: 38397064\nPMCID: PMC10888617","page":"2386","source":"PubMed Central","title":"A New Generation of Gene Therapies as the Future of Wet AMD Treatment","volume":"25","author":[{"family":"Blasiak","given":"Janusz"},{"family":"Pawlowska","given":"Elzbieta"},{"family":"Ciupińska","given":"Justyna"},{"family":"Derwich","given":"Marcin"},{"family":"Szczepanska","given":"Joanna"},{"family":"Kaarniranta","given":"Kai"}],"issued":{"date-parts":[["2024",2,17]]}}}],"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(Blasiak et al.,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The vector, also known as the capsid, is the shell of a virus; it binds to the receptors on the target cell and then injects its genetic content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{"citationID":"xDARKtEh","properties":{"formattedCitation":"(Drouin &amp; Agbandje-McKenna, 2013)","plainCitation":"(Drouin &amp; Agbandje-McKenna, 2013)","noteIndex":0},"citationItems":[{"id":"URioxLtk/EaotNe7J","uris":["http://zotero.org/users/17126151/items/ZAQX4TKU"],"itemData":{"id":86,"type":"article-journal","abstract":"Adeno-associated viruses (AAVs) have become important therapeutic gene delivery vectors in recent years. However, there are challenges, including intractable tissues/cell types and pre-existing immune responses, which need to be overcome for full ...","container-title":"Future virology","DOI":"10.2217/fvl.13.112","issue":"12","language":"en","note":"PMID: 24533032","page":"1183","source":"pmc.ncbi.nlm.nih.gov","title":"Adeno-associated virus structural biology as a tool in vector development","volume":"8","author":[{"family":"Drouin","given":"Lauren M."},{"family":"Agbandje-McKenna","given":"Mavis"}],"issued":{"date-parts":[["2013",12]]}}}],"schema":"https://github.com/citation-style-language/schema/raw/master/csl-citation.json"}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(Drouin &amp; Agbandje-McKenna, 2013)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Genetic material coding DNA – RGX-314 and ADVM-022 022, called cDNA, which enables precise gene delivery and expression</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{"citationID":"UsKe0sa0","properties":{"formattedCitation":"(Hushmandi et al., 2025)","plainCitation":"(Hushmandi et al., 2025)","noteIndex":0},"citationItems":[{"id":1225,"uris":["http://zotero.org/users/15401920/items/6SDL525G"],"itemData":{"id":1225,"type":"article-journal","abstract":"Age-related macular degeneration (AMD) is a leading cause of central vision loss, progressively impairing the retina and affecting millions worldwide. By 2040, global cases of AMD are projected to reach 300 million, posing a significant public health challenge. While early AMD may only cause mild visual impairment, advanced stages, particularly neovascular (wet) and non-neovascular (dry) AMD, can lead to severe vision loss or legal blindness, substantially affecting daily life. The introduction of anti-angiogenic therapies has revolutionized wet AMD treatment, offering a high probability of preserving or improving vision. However, these therapies do not halt AMD progression, and no definitive treatments exist for dry AMD. The limitations of current therapies, such as frequent injections and treatment resistance, underscore the urgent need for novel strategies. Gene therapy, which has shown success in treating other hereditary retinal diseases, offers a promising long-term solution for AMD by targeting retinal cells to produce therapeutic proteins. This review explores the potential of gene therapy for AMD, examining recent clinical trials and future treatment directions.","container-title":"Cell Communication and Signaling : CCS","DOI":"10.1186/s12964-025-02246-4","ISSN":"1478-811X","journalAbbreviation":"Cell Commun Signal","note":"PMID: 40394614\nPMCID: PMC12090701","page":"233","source":"PubMed Central","title":"Gene therapy for age-related macular degeneration: a promising frontier in vision preservation","title-short":"Gene therapy for age-related macular degeneration","volume":"23","author":[{"family":"Hushmandi","given":"Kiavash"},{"family":"Lam","given":"Hiu Yan"},{"family":"Wong","given":"Wendy Meihua"},{"family":"Tan","given":"Wency"},{"family":"Daryabari","given":"Seyed-Hashem"},{"family":"Reiter","given":"Russel J."},{"family":"Farahani","given":"Najma"},{"family":"Kumar","given":"Alan Prem"}],"issued":{"date-parts":[["2025",5,20]]}}}],"schema":"https://github.com/citation-style-language/schema/raw/master/csl-citation.json"}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(Hushmandi et al., 2025)</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w:t>
      </w:r>
      <w:r w:rsidR="000758B1" w:rsidRPr="000758B1">
        <w:rPr>
          <w:rFonts w:ascii="Times New Roman" w:hAnsi="Times New Roman" w:cs="Times New Roman"/>
          <w:sz w:val="24"/>
          <w:szCs w:val="24"/>
          <w:highlight w:val="yellow"/>
        </w:rPr>
        <w:t xml:space="preserve">The integration of therapeutic genes into the host cell's genome is facilitated by ITRs on </w:t>
      </w:r>
      <w:r w:rsidR="000758B1" w:rsidRPr="000758B1">
        <w:rPr>
          <w:rFonts w:ascii="Times New Roman" w:hAnsi="Times New Roman" w:cs="Times New Roman"/>
          <w:sz w:val="24"/>
          <w:szCs w:val="24"/>
          <w:highlight w:val="yellow"/>
        </w:rPr>
        <w:lastRenderedPageBreak/>
        <w:t>both ends.</w:t>
      </w:r>
      <w:r w:rsidR="000758B1">
        <w:rPr>
          <w:rFonts w:ascii="Times New Roman" w:hAnsi="Times New Roman" w:cs="Times New Roman"/>
          <w:sz w:val="24"/>
          <w:szCs w:val="24"/>
        </w:rPr>
        <w:t xml:space="preserve"> </w:t>
      </w:r>
      <w:r w:rsidRPr="00D017CD">
        <w:rPr>
          <w:rFonts w:ascii="Times New Roman" w:hAnsi="Times New Roman" w:cs="Times New Roman"/>
          <w:sz w:val="24"/>
          <w:szCs w:val="24"/>
        </w:rPr>
        <w:t xml:space="preserve">A promoter that defines the transcription start site determines the level of gene expression, and an </w:t>
      </w:r>
      <w:r w:rsidR="006F3FA0">
        <w:rPr>
          <w:rFonts w:ascii="Times New Roman" w:hAnsi="Times New Roman" w:cs="Times New Roman"/>
          <w:sz w:val="24"/>
          <w:szCs w:val="24"/>
        </w:rPr>
        <w:t>e</w:t>
      </w:r>
      <w:r w:rsidRPr="00D017CD">
        <w:rPr>
          <w:rFonts w:ascii="Times New Roman" w:hAnsi="Times New Roman" w:cs="Times New Roman"/>
          <w:sz w:val="24"/>
          <w:szCs w:val="24"/>
        </w:rPr>
        <w:t>nhancer increases promoter activity. Transgene is the protein itself, which we are trying to make in the case of RGX-314 and ADVM-022; these are anti-VEGF</w:t>
      </w:r>
      <w:r w:rsidR="006F3FA0">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{"citationID":"EntoAWnb","properties":{"formattedCitation":"(Buck &amp; Wijnholds, 2020)","plainCitation":"(Buck &amp; Wijnholds, 2020)","noteIndex":0},"citationItems":[{"id":1227,"uris":["http://zotero.org/users/15401920/items/AZSDEWX9"],"itemData":{"id":1227,"type":"article-journal","abstract":"Inherited retinal dystrophies and optic neuropathies cause chronic disabling loss of visual function. The development of recombinant adeno-associated viral vectors (rAAV) gene therapies in all disease fields have been promising, but the translation to the clinic has been slow. The safety and efficacy profiles of rAAV are linked to the dose of applied vectors. DNA changes in the rAAV gene cassette affect potency, the expression pattern (cell-specificity), and the production yield. Here, we present a library of rAAV vectors and elements that provide a workflow to design novel vectors. We first performed a meta-analysis on recombinant rAAV elements in clinical trials (2007–2020) for ocular gene therapies. We analyzed 33 unique rAAV gene cassettes used in 57 ocular clinical trials. The rAAV gene therapy vectors used six unique capsid variants, 16 different promoters, and six unique polyadenylation sequences. Further, we compiled a list of promoters, enhancers, and other sequences used in current rAAV gene cassettes in preclinical studies. Then, we give an update on pro-viral plasmid backbones used to produce the gene therapy vectors, inverted terminal repeats, production yield, and rAAV safety considerations. Finally, we assess rAAV transgene and bioactivity assays applied to cells or organoids in vitro, explants ex vivo, and clinical studies.","container-title":"International Journal of Molecular Sciences","DOI":"10.3390/ijms21124197","ISSN":"1422-0067","issue":"12","journalAbbreviation":"Int J Mol Sci","note":"PMID: 32545533\nPMCID: PMC7352801","page":"4197","source":"PubMed Central","title":"Recombinant Adeno-Associated Viral Vectors (rAAV)-Vector Elements in Ocular Gene Therapy Clinical Trials and Transgene Expression and Bioactivity Assays","volume":"21","author":[{"family":"Buck","given":"Thilo M."},{"family":"Wijnholds","given":"Jan"}],"issued":{"date-parts":[["2020",6,12]]}}}],"schema":"https://github.com/citation-style-language/schema/raw/master/csl-citation.json"}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(Buck &amp; Wijnholds, 2020)</w:t>
      </w:r>
      <w:r w:rsidR="003A0F1D" w:rsidRPr="00D017CD">
        <w:rPr>
          <w:rFonts w:ascii="Times New Roman" w:hAnsi="Times New Roman" w:cs="Times New Roman"/>
          <w:sz w:val="24"/>
          <w:szCs w:val="24"/>
        </w:rPr>
        <w:fldChar w:fldCharType="end"/>
      </w:r>
      <w:r w:rsidR="00532249">
        <w:rPr>
          <w:rFonts w:ascii="Times New Roman" w:hAnsi="Times New Roman" w:cs="Times New Roman"/>
          <w:sz w:val="24"/>
          <w:szCs w:val="24"/>
        </w:rPr>
        <w:t xml:space="preserve">, </w:t>
      </w:r>
      <w:r w:rsidR="00DD1175" w:rsidRPr="00D017CD">
        <w:rPr>
          <w:rFonts w:ascii="Times New Roman" w:hAnsi="Times New Roman" w:cs="Times New Roman"/>
          <w:sz w:val="24"/>
          <w:szCs w:val="24"/>
        </w:rPr>
        <w:t xml:space="preserve">as shown in </w:t>
      </w:r>
      <w:r w:rsidR="003831F8">
        <w:rPr>
          <w:rFonts w:ascii="Times New Roman" w:hAnsi="Times New Roman" w:cs="Times New Roman"/>
          <w:b/>
          <w:bCs/>
          <w:sz w:val="24"/>
          <w:szCs w:val="24"/>
        </w:rPr>
        <w:t>Fig. 3</w:t>
      </w:r>
      <w:r w:rsidRPr="00D017CD">
        <w:rPr>
          <w:rFonts w:ascii="Times New Roman" w:hAnsi="Times New Roman" w:cs="Times New Roman"/>
          <w:sz w:val="24"/>
          <w:szCs w:val="24"/>
        </w:rPr>
        <w:t>. AVV vectors are small in size, having a broad cell type range, high cloning capacity, transduction capacity, low immunogenicity with long long-term expression. These are classified as first, second, and third generation viral vectors. First-generation viral vectors have limited use because they activate inflammatory responses, while the second generation of viral vectors is less immunogenic, and third-generation viral vectors are safest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{"citationID":"pkeZW8Ip","properties":{"formattedCitation":"(Bulcha et al., 2021)","plainCitation":"(Bulcha et al., 2021)","noteIndex":0},"citationItems":[{"id":1217,"uris":["http://zotero.org/users/15401920/items/5Z283R2V"],"itemData":{"id":1217,"type":"article-journal","abstract":"Throughout its 40-year history, the field of gene therapy has been marked by many transitions. It has seen great strides in combating human disease, has given hope to patients and families with limited treatment options, but has also been subject to many setbacks. Treatment of patients with this class of investigational drugs has resulted in severe adverse effects and, even in rare cases, death. At the heart of this dichotomous field are the viral-based vectors, the delivery vehicles that have allowed researchers and clinicians to develop powerful drug platforms, and have radically changed the face of medicine. Within the past 5 years, the gene therapy field has seen a wave of drugs based on viral vectors that have gained regulatory approval that come in a variety of designs and purposes. These modalities range from vector-based cancer therapies, to treating monogenic diseases with life-altering outcomes. At present, the three key vector strategies are based on adenoviruses, adeno-associated viruses, and lentiviruses. They have led the way in preclinical and clinical successes in the past two decades. However, despite these successes, many challenges still limit these approaches from attaining their full potential. To review the viral vector-based gene therapy landscape, we focus on these three highly regarded vector platforms and describe mechanisms of action and their roles in treating human disease.","container-title":"Signal Transduction and Targeted Therapy","DOI":"10.1038/s41392-021-00487-6","ISSN":"2059-3635","issue":"1","journalAbbreviation":"Sig Transduct Target Ther","language":"en","license":"2021 The Author(s)","note":"publisher: Nature Publishing Group","page":"1-24","source":"www.nature.com","title":"Viral vector platforms within the gene therapy landscape","volume":"6","author":[{"family":"Bulcha","given":"Jote T."},{"family":"Wang","given":"Yi"},{"family":"Ma","given":"Hong"},{"family":"Tai","given":"Phillip W. L."},{"family":"Gao","given":"Guangping"}],"issued":{"date-parts":[["2021",2,8]]}}}],"schema":"https://github.com/citation-style-language/schema/raw/master/csl-citation.json"}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(Bulcha et al., 2021)</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64B82B21" w14:textId="77777777" w:rsidR="00CF5882" w:rsidRPr="00D017CD" w:rsidRDefault="00F10C78" w:rsidP="00F10C78">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3BD3C0" wp14:editId="303742EC">
            <wp:extent cx="5938102" cy="3340100"/>
            <wp:effectExtent l="0" t="0" r="0" b="0"/>
            <wp:docPr id="179792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3891" name="Picture 17979238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253" cy="3340747"/>
                    </a:xfrm>
                    <a:prstGeom prst="rect">
                      <a:avLst/>
                    </a:prstGeom>
                  </pic:spPr>
                </pic:pic>
              </a:graphicData>
            </a:graphic>
          </wp:inline>
        </w:drawing>
      </w:r>
    </w:p>
    <w:p w14:paraId="085B7792" w14:textId="77777777"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b/>
          <w:bCs/>
          <w:sz w:val="24"/>
          <w:szCs w:val="24"/>
        </w:rPr>
        <w:t>Fig</w:t>
      </w:r>
      <w:r w:rsidR="00F10C78">
        <w:rPr>
          <w:rFonts w:ascii="Times New Roman" w:hAnsi="Times New Roman" w:cs="Times New Roman"/>
          <w:b/>
          <w:bCs/>
          <w:sz w:val="24"/>
          <w:szCs w:val="24"/>
        </w:rPr>
        <w:t>. 3.</w:t>
      </w:r>
      <w:r w:rsidR="00532249">
        <w:rPr>
          <w:rFonts w:ascii="Times New Roman" w:hAnsi="Times New Roman" w:cs="Times New Roman"/>
          <w:b/>
          <w:bCs/>
          <w:sz w:val="24"/>
          <w:szCs w:val="24"/>
        </w:rPr>
        <w:t xml:space="preserve"> </w:t>
      </w:r>
      <w:r w:rsidRPr="00D017CD">
        <w:rPr>
          <w:rFonts w:ascii="Times New Roman" w:hAnsi="Times New Roman" w:cs="Times New Roman"/>
          <w:sz w:val="24"/>
          <w:szCs w:val="24"/>
        </w:rPr>
        <w:t xml:space="preserve">Representing the genetic coding of adeno-associated virus. Cloning with the wild-type AAV genome. To insert a therapeutic gene, it deletes the original viral gene. Add promoter and enhancer, which control gene expression in a target cell as a regulatory element. Transfecting packaging cells involves introducing DNA into retinal cells that are packaged with </w:t>
      </w:r>
      <w:proofErr w:type="spellStart"/>
      <w:r w:rsidRPr="00D017CD">
        <w:rPr>
          <w:rFonts w:ascii="Times New Roman" w:hAnsi="Times New Roman" w:cs="Times New Roman"/>
          <w:sz w:val="24"/>
          <w:szCs w:val="24"/>
        </w:rPr>
        <w:t>rAAV</w:t>
      </w:r>
      <w:proofErr w:type="spellEnd"/>
      <w:r w:rsidRPr="00D017CD">
        <w:rPr>
          <w:rFonts w:ascii="Times New Roman" w:hAnsi="Times New Roman" w:cs="Times New Roman"/>
          <w:sz w:val="24"/>
          <w:szCs w:val="24"/>
        </w:rPr>
        <w:t xml:space="preserve"> Vector and purifying </w:t>
      </w:r>
      <w:proofErr w:type="spellStart"/>
      <w:r w:rsidRPr="00D017CD">
        <w:rPr>
          <w:rFonts w:ascii="Times New Roman" w:hAnsi="Times New Roman" w:cs="Times New Roman"/>
          <w:sz w:val="24"/>
          <w:szCs w:val="24"/>
        </w:rPr>
        <w:t>rAAV</w:t>
      </w:r>
      <w:proofErr w:type="spellEnd"/>
      <w:r w:rsidRPr="00D017CD">
        <w:rPr>
          <w:rFonts w:ascii="Times New Roman" w:hAnsi="Times New Roman" w:cs="Times New Roman"/>
          <w:sz w:val="24"/>
          <w:szCs w:val="24"/>
        </w:rPr>
        <w:t xml:space="preserve"> Vector.</w:t>
      </w:r>
    </w:p>
    <w:p w14:paraId="3806C2B4"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4.1 Genetic Background</w:t>
      </w:r>
    </w:p>
    <w:p w14:paraId="766842BD" w14:textId="662475C5" w:rsidR="00CF5882" w:rsidRDefault="00D75E1D" w:rsidP="008B35EA">
      <w:pPr>
        <w:spacing w:line="360" w:lineRule="auto"/>
        <w:jc w:val="both"/>
        <w:rPr>
          <w:rFonts w:ascii="Times New Roman" w:hAnsi="Times New Roman" w:cs="Times New Roman"/>
          <w:sz w:val="24"/>
          <w:szCs w:val="24"/>
        </w:rPr>
      </w:pPr>
      <w:r>
        <w:rPr>
          <w:rFonts w:ascii="Times New Roman" w:hAnsi="Times New Roman" w:cs="Times New Roman"/>
          <w:sz w:val="24"/>
          <w:szCs w:val="24"/>
        </w:rPr>
        <w:t>Complement</w:t>
      </w:r>
      <w:r w:rsidRPr="00D75E1D">
        <w:rPr>
          <w:rFonts w:ascii="Times New Roman" w:hAnsi="Times New Roman" w:cs="Times New Roman"/>
          <w:sz w:val="24"/>
          <w:szCs w:val="24"/>
        </w:rPr>
        <w:t xml:space="preserve"> </w:t>
      </w:r>
      <w:r>
        <w:rPr>
          <w:rFonts w:ascii="Times New Roman" w:hAnsi="Times New Roman" w:cs="Times New Roman"/>
          <w:sz w:val="24"/>
          <w:szCs w:val="24"/>
        </w:rPr>
        <w:t>F</w:t>
      </w:r>
      <w:r w:rsidRPr="00D75E1D">
        <w:rPr>
          <w:rFonts w:ascii="Times New Roman" w:hAnsi="Times New Roman" w:cs="Times New Roman"/>
          <w:sz w:val="24"/>
          <w:szCs w:val="24"/>
        </w:rPr>
        <w:t>actor</w:t>
      </w:r>
      <w:r>
        <w:rPr>
          <w:rFonts w:ascii="Times New Roman" w:hAnsi="Times New Roman" w:cs="Times New Roman"/>
          <w:sz w:val="24"/>
          <w:szCs w:val="24"/>
        </w:rPr>
        <w:t>-H (</w:t>
      </w:r>
      <w:r w:rsidR="00CF5882" w:rsidRPr="00D75E1D">
        <w:rPr>
          <w:rFonts w:ascii="Times New Roman" w:hAnsi="Times New Roman" w:cs="Times New Roman"/>
          <w:sz w:val="24"/>
          <w:szCs w:val="24"/>
        </w:rPr>
        <w:t>CFH</w:t>
      </w:r>
      <w:r>
        <w:rPr>
          <w:rFonts w:ascii="Times New Roman" w:hAnsi="Times New Roman" w:cs="Times New Roman"/>
          <w:sz w:val="24"/>
          <w:szCs w:val="24"/>
        </w:rPr>
        <w:t>)</w:t>
      </w:r>
      <w:r w:rsidR="00CF5882" w:rsidRPr="00D017CD">
        <w:rPr>
          <w:rFonts w:ascii="Times New Roman" w:hAnsi="Times New Roman" w:cs="Times New Roman"/>
          <w:sz w:val="24"/>
          <w:szCs w:val="24"/>
        </w:rPr>
        <w:t xml:space="preserve"> is located on chromosome 1, while ARMS2 and HTRA1 are both on chromosome 10. The </w:t>
      </w:r>
      <w:r w:rsidR="00CF5882" w:rsidRPr="00D75E1D">
        <w:rPr>
          <w:rFonts w:ascii="Times New Roman" w:hAnsi="Times New Roman" w:cs="Times New Roman"/>
          <w:sz w:val="24"/>
          <w:szCs w:val="24"/>
          <w:highlight w:val="yellow"/>
        </w:rPr>
        <w:t>C</w:t>
      </w:r>
      <w:r w:rsidRPr="00D75E1D">
        <w:rPr>
          <w:rFonts w:ascii="Times New Roman" w:hAnsi="Times New Roman" w:cs="Times New Roman"/>
          <w:sz w:val="24"/>
          <w:szCs w:val="24"/>
          <w:highlight w:val="yellow"/>
        </w:rPr>
        <w:t>FH</w:t>
      </w:r>
      <w:r w:rsidR="00CF5882" w:rsidRPr="00D017CD">
        <w:rPr>
          <w:rFonts w:ascii="Times New Roman" w:hAnsi="Times New Roman" w:cs="Times New Roman"/>
          <w:sz w:val="24"/>
          <w:szCs w:val="24"/>
        </w:rPr>
        <w:t xml:space="preserve"> version is primarily connected to the presence of drusen in the retina</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{"citationID":"Oy12lmJA","properties":{"formattedCitation":"(Schmitz-Valckenberg et al., 2022)","plainCitation":"(Schmitz-Valckenberg et al., 2022)","noteIndex":0},"citationItems":[{"id":"URioxLtk/73JG09U9","uris":["http://zotero.org/users/17126151/items/2HFYH3XM"],"itemData":{"id":93,"type":"article-journal","abstract":"IMPORTANCE: Age-related macular degeneration (AMD) is a common cause of irreversible vision loss among individuals older than 50 years. Although considerable advances have been made in our understanding of AMD genetics, the differential effects of major associated loci on disease manifestation and progression may not be well characterized.\nOBJECTIVE: To elucidate the specific associations of the 2 most common genetic risk loci for AMD, the CFH-CFHR5 locus on chromosome 1q32 (Chr1) and the ARMS2/HTRA1 locus on chromosome 10q26 (Chr10)-independent of one another and in combination-with time to conversion to late-stage disease and to visual acuity loss.\nDESIGN, SETTING, AND PARTICIPANTS: This case series study included 502 individuals who were homozygous for risk variants at both Chr1 and Chr10 (termed Chr1&amp;10-risk) or at either Chr1 (Chr1-risk) or Chr10 (Chr10-risk) and who had enrolled in Genetic and Molecular Studies of Eye Diseases at the Sharon Eccles Steele Center for Translational Medicine between September 2009 and March 2020. Multimodal imaging data were reviewed for AMD staging, including grading of incomplete and complete retinal pigment epithelium and outer retinal atrophy.\nMAIN OUTCOMES AND MEASURES: Hazard ratios and survival times for conversion to any late-stage AMD, atrophic or neovascular, and associated vision loss of 2 or more lines.\nRESULTS: In total, 317 participants in the Chr1-risk group (median [IQR] age at first visit, 75.6 [69.5-81.7] years; 193 women [60.9%]), 93 participants in the Chr10-risk group (median [IQR] age at first visit, 77.5 [72.2-84.2] years; 62 women [66.7%]), and 92 participants in the Chr1&amp;10-risk group (median [IQR] age at first visit, 71.7 [68.0-76.3] years; 62 women [67.4%]) were included in the analyses. After adjusting for age and AMD grade at first visit, compared with 257 participants in the Chr1-risk group, 56 participants in the Chr1&amp;10-risk group (factor of 3.3 [95% CI, 1.6-6.8]; P &lt; .001) and 58 participants in the Chr10-risk group (factor of 2.6 [95% CI, 1.3-5.2]; P = .007) were more likely to convert to a late-stage phenotype during follow-up. This difference was mostly associated with conversion to macular neovascularization, which occurred earlier in participants with Chr1&amp;10-risk and Chr10-risk. Eyes in the Chr1&amp;10-risk group (median [IQR] survival, 5.7 [2.1-11.1] years) were 2.1 (95% CI, 1.1-3.9; P = .03) times as likely and eyes in the Chr10-risk group (median [IQR] survival, 6.3 [2.7-11.3] years) were 1.8 (95% CI, 1.0-3.1; P = .05) times as likely to experience a visual acuity loss of 2 or more lines compared with eyes of the Chr1-risk group (median [IQR] survival, 9.4 [4.1-* (asterisk indicates event rate did not reach 75%)] years).\nCONCLUSIONS AND RELEVANCE: These findings suggest differential associations of the 2 major AMD-related risk loci with structural and functional disease progression and suggest distinct underlying biological mechanisms associated with these 2 loci. These genotype-phenotype associations may warrant consideration when designing and interpreting AMD research studies and clinical trials.","container-title":"JAMA ophthalmology","DOI":"10.1001/jamaophthalmol.2021.6072","ISSN":"2168-6173","issue":"3","journalAbbreviation":"JAMA Ophthalmol","language":"eng","note":"PMID: 35113155\nPMCID: PMC8814975","page":"252-260","source":"PubMed","title":"Progression of Age-Related Macular Degeneration Among Individuals Homozygous for Risk Alleles on Chromosome 1 (CFH-CFHR5) or Chromosome 10 (ARMS2/HTRA1) or Both","volume":"140","author":[{"family":"Schmitz-Valckenberg","given":"Steffen"},{"family":"Fleckenstein","given":"Monika"},{"family":"Zouache","given":"Moussa A."},{"family":"Pfau","given":"Maximilian"},{"family":"Pappas","given":"Christian"},{"family":"Hageman","given":"Jill L."},{"family":"Agrón","given":"Elvira"},{"family":"Malley","given":"Claire"},{"family":"Keenan","given":"Tiarnan D. L."},{"family":"Chew","given":"Emily Y."},{"family":"Hageman","given":"Gregory S."}],"issued":{"date-parts":[["2022",3,1]]}}}],"schema":"https://github.com/citation-style-language/schema/raw/master/csl-citation.json"}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(Schmitz-Valckenberg et al., 2022)</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The </w:t>
      </w:r>
      <w:r w:rsidR="00E95BC4" w:rsidRPr="00E95BC4">
        <w:rPr>
          <w:rFonts w:ascii="Times New Roman" w:hAnsi="Times New Roman" w:cs="Times New Roman"/>
          <w:sz w:val="24"/>
          <w:szCs w:val="24"/>
          <w:highlight w:val="yellow"/>
        </w:rPr>
        <w:t>ARMS2-HTRA1</w:t>
      </w:r>
      <w:r w:rsidR="00CF5882" w:rsidRPr="00D017CD">
        <w:rPr>
          <w:rFonts w:ascii="Times New Roman" w:hAnsi="Times New Roman" w:cs="Times New Roman"/>
          <w:sz w:val="24"/>
          <w:szCs w:val="24"/>
        </w:rPr>
        <w:t xml:space="preserve"> variant correlates with the occurrence of subretinal or sub-RPE </w:t>
      </w:r>
      <w:r w:rsidR="00FF3789" w:rsidRPr="00D017CD">
        <w:rPr>
          <w:rFonts w:ascii="Times New Roman" w:hAnsi="Times New Roman" w:cs="Times New Roman"/>
          <w:sz w:val="24"/>
          <w:szCs w:val="24"/>
        </w:rPr>
        <w:t>haemorrhages</w:t>
      </w:r>
      <w:r w:rsidR="00CF5882" w:rsidRPr="00D017CD">
        <w:rPr>
          <w:rFonts w:ascii="Times New Roman" w:hAnsi="Times New Roman" w:cs="Times New Roman"/>
          <w:sz w:val="24"/>
          <w:szCs w:val="24"/>
        </w:rPr>
        <w:t xml:space="preserve"> in the retina. Meanwhile, other genes, </w:t>
      </w:r>
      <w:r w:rsidR="00CF5882" w:rsidRPr="00D017CD">
        <w:rPr>
          <w:rFonts w:ascii="Times New Roman" w:hAnsi="Times New Roman" w:cs="Times New Roman"/>
          <w:sz w:val="24"/>
          <w:szCs w:val="24"/>
        </w:rPr>
        <w:lastRenderedPageBreak/>
        <w:t xml:space="preserve">including MMP9, CETP, and TIMP3, have been linked to </w:t>
      </w:r>
      <w:proofErr w:type="spellStart"/>
      <w:r w:rsidR="00CF5882" w:rsidRPr="00D017CD">
        <w:rPr>
          <w:rFonts w:ascii="Times New Roman" w:hAnsi="Times New Roman" w:cs="Times New Roman"/>
          <w:sz w:val="24"/>
          <w:szCs w:val="24"/>
        </w:rPr>
        <w:t>nAMD</w:t>
      </w:r>
      <w:proofErr w:type="spellEnd"/>
      <w:r w:rsidR="00CF5882" w:rsidRPr="00D017CD">
        <w:rPr>
          <w:rFonts w:ascii="Times New Roman" w:hAnsi="Times New Roman" w:cs="Times New Roman"/>
          <w:sz w:val="24"/>
          <w:szCs w:val="24"/>
        </w:rPr>
        <w:t xml:space="preserve"> due to their roles in regulating extracellular matrix remodelling</w:t>
      </w:r>
      <w:r w:rsidR="00CE503F">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{"citationID":"LOJ7UEz3","properties":{"formattedCitation":"(Pan &amp; Iwata, 2024)","plainCitation":"(Pan &amp; Iwata, 2024)","noteIndex":0},"citationItems":[{"id":"URioxLtk/pdGbYe8B","uris":["http://zotero.org/users/17126151/items/CN7X7NJ3"],"itemData":{"id":96,"type":"article-journal","abstract":"Age-related macular degeneration (AMD) is one of the leading causes of severe irreversible blindness worldwide in the elderly population. AMD is a multifactorial disease mainly caused by advanced age, environmental factors, and genetic variations. Genome-wide association studies (GWAS) have strongly supported the link between ARMS2/HTRA1 locus on chromosome 10q26 and AMD development, encompassing multiple variants, rs10490924 (c.205G &gt; T, p.A69S in ARMS2), insertion/deletion (del443/ins54 in ARMS2), and rs11200638 (in HTRA1 promoter region). In this comprehensive review, we provide an overview of the role played by ARMS2/HTRA1 risk alleles in neovascular AMD pathogenesis, covering GWAS, in vitro studies, and animal models, shedding light on their underlying molecular genetic mechanisms. Further extensive research is also imperative, including confirmation of these findings, identifying novel treatment targets, and advancing primary and secondary prevention strategies for AMD.","container-title":"Taiwan Journal of Ophthalmology","DOI":"10.4103/tjo.TJO-D-23-00152","ISSN":"2211-5056","issue":"4","journalAbbreviation":"Taiwan J Ophthalmol","note":"PMID: 39803407\nPMCID: PMC11717327","page":"531-539","source":"PubMed Central","title":"Role of ARMS2/HTRA1 risk alleles in the pathogenesis of neovascular age-related macular degeneration","volume":"14","author":[{"family":"Pan","given":"Yang"},{"family":"Iwata","given":"Takeshi"}],"issued":{"date-parts":[["2024",1,29]]}}}],"schema":"https://github.com/citation-style-language/schema/raw/master/csl-citation.json"}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(Pan &amp; Iwata, 2024)</w:t>
      </w:r>
      <w:r w:rsidR="003A0F1D" w:rsidRPr="00D017CD">
        <w:rPr>
          <w:rFonts w:ascii="Times New Roman" w:hAnsi="Times New Roman" w:cs="Times New Roman"/>
          <w:sz w:val="24"/>
          <w:szCs w:val="24"/>
        </w:rPr>
        <w:fldChar w:fldCharType="end"/>
      </w:r>
      <w:r w:rsidR="00CE503F">
        <w:rPr>
          <w:rFonts w:ascii="Times New Roman" w:hAnsi="Times New Roman" w:cs="Times New Roman"/>
          <w:sz w:val="24"/>
          <w:szCs w:val="24"/>
        </w:rPr>
        <w:t xml:space="preserve">. </w:t>
      </w:r>
      <w:r w:rsidR="00CF5882" w:rsidRPr="00D017CD">
        <w:rPr>
          <w:rFonts w:ascii="Times New Roman" w:hAnsi="Times New Roman" w:cs="Times New Roman"/>
          <w:sz w:val="24"/>
          <w:szCs w:val="24"/>
        </w:rPr>
        <w:t xml:space="preserve">FGD6, HTRA1, and CFH respond to oxidative stress and inflammation, contributing to the progression of </w:t>
      </w:r>
      <w:proofErr w:type="spellStart"/>
      <w:r w:rsidR="00CF5882" w:rsidRPr="00D017CD">
        <w:rPr>
          <w:rFonts w:ascii="Times New Roman" w:hAnsi="Times New Roman" w:cs="Times New Roman"/>
          <w:sz w:val="24"/>
          <w:szCs w:val="24"/>
        </w:rPr>
        <w:t>nAMD</w:t>
      </w:r>
      <w:proofErr w:type="spellEnd"/>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{"citationID":"s5sPVDT3","properties":{"formattedCitation":"(Asten et al., 2018)","plainCitation":"(Asten et al., 2018)","noteIndex":0},"citationItems":[{"id":"URioxLtk/D0fKqdmm","uris":["http://zotero.org/users/17126151/items/WGX6WUA2"],"itemData":{"id":98,"type":"article-journal","container-title":"Ophthalmology","DOI":"10.1016/j.ophtha.2017.09.023","ISSN":"0161-6420, 1549-4713","issue":"4","journalAbbreviation":"Ophthalmology","language":"English","note":"publisher: Elsevier\nPMID: 29096998","page":"559-568","source":"www.aaojournal.org","title":"A Deep Phenotype Association Study Reveals Specific Phenotype Associations with Genetic Variants in Age-related Macular Degeneration: Age-Related Eye Disease Study 2 (AREDS2) Report No. 14","title-short":"A Deep Phenotype Association Study Reveals Specific Phenotype Associations with Genetic Variants in Age-related Macular Degeneration","volume":"125","author":[{"family":"Asten","given":"Freekje","dropping-particle":"van"},{"family":"Simmons","given":"Michael"},{"family":"Singhal","given":"Ayush"},{"family":"Keenan","given":"Tiarnan D."},{"family":"Ratnapriya","given":"Rinki"},{"family":"Agrón","given":"Elvira"},{"family":"Clemons","given":"Traci E."},{"family":"Swaroop","given":"Anand"},{"family":"Lu","given":"Zhiyong"},{"family":"Chew","given":"Emily Y."}],"issued":{"date-parts":[["2018",4,1]]}}}],"schema":"https://github.com/citation-style-language/schema/raw/master/csl-citation.json"}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(Asten et al., 2018)</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Hypoxia-inducible factor alpha</w:t>
      </w:r>
      <w:r w:rsidR="00CE503F">
        <w:rPr>
          <w:rFonts w:ascii="Times New Roman" w:hAnsi="Times New Roman" w:cs="Times New Roman"/>
          <w:sz w:val="24"/>
          <w:szCs w:val="24"/>
        </w:rPr>
        <w:t xml:space="preserve"> (</w:t>
      </w:r>
      <w:r w:rsidR="00CE503F" w:rsidRPr="00D017CD">
        <w:rPr>
          <w:rFonts w:ascii="Times New Roman" w:hAnsi="Times New Roman" w:cs="Times New Roman"/>
          <w:sz w:val="24"/>
          <w:szCs w:val="24"/>
        </w:rPr>
        <w:t>HIF-α</w:t>
      </w:r>
      <w:r w:rsidR="00CE503F">
        <w:rPr>
          <w:rFonts w:ascii="Times New Roman" w:hAnsi="Times New Roman" w:cs="Times New Roman"/>
          <w:sz w:val="24"/>
          <w:szCs w:val="24"/>
        </w:rPr>
        <w:t>)</w:t>
      </w:r>
      <w:r w:rsidR="00CF5882" w:rsidRPr="00D017CD">
        <w:rPr>
          <w:rFonts w:ascii="Times New Roman" w:hAnsi="Times New Roman" w:cs="Times New Roman"/>
          <w:sz w:val="24"/>
          <w:szCs w:val="24"/>
        </w:rPr>
        <w:t xml:space="preserve"> and VEGF-A produced by RPE cells lead to the degeneration of the RPE cells themselves and Bruch’s membrane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{"citationID":"Qx0ZlWLy","properties":{"formattedCitation":"(Botto et al., 2022)","plainCitation":"(Botto et al., 2022)","noteIndex":0},"citationItems":[{"id":"URioxLtk/ytahz29f","uris":["http://zotero.org/users/17126151/items/B5MRFE2L"],"itemData":{"id":101,"type":"article-journal","abstract":"Inherited and age-related retinal degeneration is the hallmark of a large group of heterogeneous diseases and is the main cause of untreatable blindness today. Genetic factors play a major pathogenic role in retinal degenerations for both monogenic diseases (such as retinitis pigmentosa) and complex diseases with established genetic risk factors (such as age-related macular degeneration). Progress in genotyping techniques and back of the eye imaging are completing our understanding of these diseases and their manifestations in patient populations suffering from retinal degenerations. It is clear that whatever the genetic cause, the majority of vision loss in retinal diseases results from the loss of photoreceptor function. The timing and circumstances surrounding the loss of photoreceptor function determine the adequate therapeutic approach to use for each patient. Among such approaches, gene therapy is rapidly becoming a therapeutic reality applicable in the clinic. This massive move from laboratory work towards clinical application has been propelled by the advances in our understanding of disease genetics and mechanisms, gene delivery vectors, gene editing systems, and compensatory strategies for loss of photoreceptor function. Here, we provide an overview of existing modalities of retinal gene therapy and their relevance based on the needs of patient populations suffering from inherited retinal degenerations.","container-title":"Progress in Retinal and Eye Research","DOI":"10.1016/j.preteyeres.2021.100975","ISSN":"1873-1635","journalAbbreviation":"Prog Retin Eye Res","language":"eng","note":"PMID: 34058340","page":"100975","source":"PubMed","title":"Early and late stage gene therapy interventions for inherited retinal degenerations","volume":"86","author":[{"family":"Botto","given":"Catherine"},{"family":"Rucli","given":"Marco"},{"family":"Tekinsoy","given":"Müge Defne"},{"family":"Pulman","given":"Juliette"},{"family":"Sahel","given":"José-Alain"},{"family":"Dalkara","given":"Deniz"}],"issued":{"date-parts":[["2022",1]]}}}],"schema":"https://github.com/citation-style-language/schema/raw/master/csl-citation.json"}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(Botto et al., 2022)</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VEGF, VEGFR, </w:t>
      </w:r>
      <w:r w:rsidR="00E95BC4" w:rsidRPr="00E95BC4">
        <w:rPr>
          <w:rFonts w:ascii="Times New Roman" w:hAnsi="Times New Roman" w:cs="Times New Roman"/>
          <w:sz w:val="24"/>
          <w:szCs w:val="24"/>
          <w:highlight w:val="yellow"/>
        </w:rPr>
        <w:t>Pigment epithelium growth factor (</w:t>
      </w:r>
      <w:r w:rsidR="00CF5882" w:rsidRPr="00E95BC4">
        <w:rPr>
          <w:rFonts w:ascii="Times New Roman" w:hAnsi="Times New Roman" w:cs="Times New Roman"/>
          <w:sz w:val="24"/>
          <w:szCs w:val="24"/>
          <w:highlight w:val="yellow"/>
        </w:rPr>
        <w:t>PDGF</w:t>
      </w:r>
      <w:r w:rsidR="00E95BC4" w:rsidRPr="00E95BC4">
        <w:rPr>
          <w:rFonts w:ascii="Times New Roman" w:hAnsi="Times New Roman" w:cs="Times New Roman"/>
          <w:sz w:val="24"/>
          <w:szCs w:val="24"/>
          <w:highlight w:val="yellow"/>
        </w:rPr>
        <w:t>)</w:t>
      </w:r>
      <w:r w:rsidR="00CF5882" w:rsidRPr="00E95BC4">
        <w:rPr>
          <w:rFonts w:ascii="Times New Roman" w:hAnsi="Times New Roman" w:cs="Times New Roman"/>
          <w:sz w:val="24"/>
          <w:szCs w:val="24"/>
          <w:highlight w:val="yellow"/>
        </w:rPr>
        <w:t xml:space="preserve">, and </w:t>
      </w:r>
      <w:r w:rsidR="00E95BC4" w:rsidRPr="00E95BC4">
        <w:rPr>
          <w:rFonts w:ascii="Times New Roman" w:hAnsi="Times New Roman" w:cs="Times New Roman"/>
          <w:sz w:val="24"/>
          <w:szCs w:val="24"/>
          <w:highlight w:val="yellow"/>
        </w:rPr>
        <w:t>Platelet-derived growth factor (</w:t>
      </w:r>
      <w:r w:rsidR="00CF5882" w:rsidRPr="00E95BC4">
        <w:rPr>
          <w:rFonts w:ascii="Times New Roman" w:hAnsi="Times New Roman" w:cs="Times New Roman"/>
          <w:sz w:val="24"/>
          <w:szCs w:val="24"/>
          <w:highlight w:val="yellow"/>
        </w:rPr>
        <w:t>PEGF</w:t>
      </w:r>
      <w:r w:rsidR="00E95BC4" w:rsidRPr="00E95BC4">
        <w:rPr>
          <w:rFonts w:ascii="Times New Roman" w:hAnsi="Times New Roman" w:cs="Times New Roman"/>
          <w:sz w:val="24"/>
          <w:szCs w:val="24"/>
          <w:highlight w:val="yellow"/>
        </w:rPr>
        <w:t>)</w:t>
      </w:r>
      <w:r w:rsidR="00CF5882" w:rsidRPr="00D017CD">
        <w:rPr>
          <w:rFonts w:ascii="Times New Roman" w:hAnsi="Times New Roman" w:cs="Times New Roman"/>
          <w:sz w:val="24"/>
          <w:szCs w:val="24"/>
        </w:rPr>
        <w:t xml:space="preserve"> are the primary targets for </w:t>
      </w:r>
      <w:r>
        <w:rPr>
          <w:rFonts w:ascii="Times New Roman" w:hAnsi="Times New Roman" w:cs="Times New Roman"/>
          <w:sz w:val="24"/>
          <w:szCs w:val="24"/>
        </w:rPr>
        <w:t xml:space="preserve">the </w:t>
      </w:r>
      <w:r w:rsidR="00CF5882" w:rsidRPr="00D017CD">
        <w:rPr>
          <w:rFonts w:ascii="Times New Roman" w:hAnsi="Times New Roman" w:cs="Times New Roman"/>
          <w:sz w:val="24"/>
          <w:szCs w:val="24"/>
        </w:rPr>
        <w:t>present gene therapy</w:t>
      </w:r>
      <w:r w:rsidR="00CE503F">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{"citationID":"aWpUaZM2","properties":{"formattedCitation":"(Guimaraes et al., 2021)","plainCitation":"(Guimaraes et al., 2021)","noteIndex":0},"citationItems":[{"id":"URioxLtk/ohxx7mRZ","uris":["http://zotero.org/users/17126151/items/XLJS4CTB"],"itemData":{"id":104,"type":"article-journal","abstract":"Age-related macular degeneration (AMD) is one of the leading causes of irreversible blindness in the developed world. Antivascular endothelial growth factor therapy has transformed the management and outcome of neovascular AMD (nAMD), although the need for repeated intravitreal injections-even lifelong-and the related complications, high drug costs, frequent clinic visits and repeated imaging have resulted in an enormous burden both to healthcare systems and patients. The application of gene therapy approaches for sustained delivery of a range of antiangiogenic proteins has the promise of helping to address these aforementioned challenges. A number of early phase clinical trials of gene therapy in nAMD have provided encouraging results, with many more ongoing or anticipated. There remain significant areas of controversy, including regarding the optimal treatment targets, routes of administration and potential safety concerns. In this review we aim to provide an update of the current status of gene therapy for nAMD and briefly discuss future prospects.","container-title":"The British Journal of Ophthalmology","DOI":"10.1136/bjophthalmol-2020-316195","ISSN":"1468-2079","issue":"2","journalAbbreviation":"Br J Ophthalmol","language":"eng","note":"PMID: 32269060\nPMCID: PMC7848059","page":"151-157","source":"PubMed","title":"Gene therapy for neovascular age-related macular degeneration: rationale, clinical trials and future directions","title-short":"Gene therapy for neovascular age-related macular degeneration","volume":"105","author":[{"family":"Guimaraes","given":"Thales Antonio Cabral","dropping-particle":"de"},{"family":"Georgiou","given":"Michalis"},{"family":"Bainbridge","given":"James W. B."},{"family":"Michaelides","given":"Michel"}],"issued":{"date-parts":[["2021",2]]}}}],"schema":"https://github.com/citation-style-language/schema/raw/master/csl-citation.json"}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(Guimaraes et al., 2021)</w:t>
      </w:r>
      <w:r w:rsidR="003A0F1D" w:rsidRPr="00D017CD">
        <w:rPr>
          <w:rFonts w:ascii="Times New Roman" w:hAnsi="Times New Roman" w:cs="Times New Roman"/>
          <w:sz w:val="24"/>
          <w:szCs w:val="24"/>
        </w:rPr>
        <w:fldChar w:fldCharType="end"/>
      </w:r>
      <w:r w:rsidR="00CE503F">
        <w:rPr>
          <w:rFonts w:ascii="Times New Roman" w:hAnsi="Times New Roman" w:cs="Times New Roman"/>
          <w:sz w:val="24"/>
          <w:szCs w:val="24"/>
        </w:rPr>
        <w:t xml:space="preserve">. </w:t>
      </w:r>
      <w:r w:rsidR="00CF5882" w:rsidRPr="00D017CD">
        <w:rPr>
          <w:rFonts w:ascii="Times New Roman" w:hAnsi="Times New Roman" w:cs="Times New Roman"/>
          <w:sz w:val="24"/>
          <w:szCs w:val="24"/>
        </w:rPr>
        <w:t>Genetic modifications include single-nucleotide polymorphisms (SNPs), mitochondrial DNA mutations, and microRNA modifications. Gene editing techniques, such as gene splicing, allow for specific DNA alterations through gene cutting and nucleotide addition. The CRISPR-Cas9 technique enables efficient alteration and adjustment, including the insertion, replacement, or deletion of DNA within a living organism's genome, serving as a distinguished method for nuclear genome editing, with promising applications for mitochondrial genome editing as well</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{"citationID":"sg2rBH5u","properties":{"formattedCitation":"(J. Y. Wang &amp; Doudna, 2023)","plainCitation":"(J. Y. Wang &amp; Doudna, 2023)","noteIndex":0},"citationItems":[{"id":"URioxLtk/XUFEx14T","uris":["http://zotero.org/users/17126151/items/J5IRKG2T"],"itemData":{"id":107,"type":"article-journal","abstract":"The advent of clustered regularly interspaced short palindromic repeat (CRISPR) genome editing, coupled with advances in computing and imaging capabilities, has initiated a new era in which genetic diseases and individual disease susceptibilities are both predictable and actionable. Likewise, genes responsible for plant traits can be identified and altered quickly, transforming the pace of agricultural research and plant breeding. In this Review, we discuss the current state of CRISPR-mediated genetic manipulation in human cells, animals, and plants along with relevant successes and challenges and present a roadmap for the future of this technology.","container-title":"Science (New York, N.Y.)","DOI":"10.1126/science.add8643","ISSN":"1095-9203","issue":"6629","journalAbbreviation":"Science","language":"eng","note":"PMID: 36656942","page":"eadd8643","source":"PubMed","title":"CRISPR technology: A decade of genome editing is only the beginning","title-short":"CRISPR technology","volume":"379","author":[{"family":"Wang","given":"Joy Y."},{"family":"Doudna","given":"Jennifer A."}],"issued":{"date-parts":[["2023",1,20]]}}}],"schema":"https://github.com/citation-style-language/schema/raw/master/csl-citation.json"}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(J. Y. Wang &amp; Doudna, 2023)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One limitation of gene editing is that it can cause </w:t>
      </w:r>
      <w:r w:rsidR="00CF5882" w:rsidRPr="008B35EA">
        <w:rPr>
          <w:rFonts w:ascii="Times New Roman" w:hAnsi="Times New Roman" w:cs="Times New Roman"/>
          <w:sz w:val="24"/>
          <w:szCs w:val="24"/>
        </w:rPr>
        <w:t>genotoxicity, or damage to the genetic material itself, which may lead to coincidental and potentially harmful outcomes. Gene editing targets specific mutations that cause inherited diseases, aiming to make targeted changes to the genome to correct the underlying genetic defects, such as ARMD</w:t>
      </w:r>
      <w:r w:rsidR="002D39FE">
        <w:rPr>
          <w:rFonts w:ascii="Times New Roman" w:hAnsi="Times New Roman" w:cs="Times New Roman"/>
          <w:sz w:val="24"/>
          <w:szCs w:val="24"/>
        </w:rPr>
        <w:t xml:space="preserve"> </w:t>
      </w:r>
      <w:r w:rsidR="003A0F1D" w:rsidRPr="008B35EA">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{"citationID":"wNyFwq0E","properties":{"formattedCitation":"(Blattner et al., 2020)","plainCitation":"(Blattner et al., 2020)","noteIndex":0},"citationItems":[{"id":"URioxLtk/oWg4e8el","uris":["http://zotero.org/users/17126151/items/6QAERT9D"],"itemData":{"id":190,"type":"article-journal","abstract":"Gene editing technologies show great promise for application to human disease as a result of rapid developments in targeting tools notably based on ZFN, TALEN, and CRISPR-Cas systems. Precise modification of a DNA sequence is now possible in mature human somatic cells including stem and progenitor cells with increasing degrees of efficiency. At the same time new technologies are required to evaluate their safety and genotoxicity before widespread clinical application can be confidently implemented. A number of methodologies have now been developed in an attempt to predict expected and unexpected modifications occurring during gene editing. This review surveys the techniques currently available as state of the art, highlighting benefits and limitations, and discusses approaches that may achieve sufficient accuracy and predictability for application in clinical settings.","container-title":"Frontiers in Genome Editing","DOI":"10.3389/fgeed.2020.613252","ISSN":"2673-3439","journalAbbreviation":"Front Genome Ed","note":"PMID: 34713236\nPMCID: PMC8525370","page":"613252","source":"PubMed Central","title":"Gene Editing and Genotoxicity: Targeting the Off-Targets","title-short":"Gene Editing and Genotoxicity","volume":"2","author":[{"family":"Blattner","given":"Georges"},{"family":"Cavazza","given":"Alessia"},{"family":"Thrasher","given":"Adrian J."},{"family":"Turchiano","given":"Giandomenico"}],"issued":{"date-parts":[["2020",12,10]]}}}],"schema":"https://github.com/citation-style-language/schema/raw/master/csl-citation.json"} </w:instrText>
      </w:r>
      <w:r w:rsidR="003A0F1D" w:rsidRPr="008B35EA">
        <w:rPr>
          <w:rFonts w:ascii="Times New Roman" w:hAnsi="Times New Roman" w:cs="Times New Roman"/>
          <w:sz w:val="24"/>
          <w:szCs w:val="24"/>
        </w:rPr>
        <w:fldChar w:fldCharType="separate"/>
      </w:r>
      <w:r w:rsidR="00B3699E" w:rsidRPr="00B3699E">
        <w:rPr>
          <w:rFonts w:ascii="Times New Roman" w:hAnsi="Times New Roman" w:cs="Times New Roman"/>
          <w:sz w:val="24"/>
        </w:rPr>
        <w:t>(Blattner et al., 2020)</w:t>
      </w:r>
      <w:r w:rsidR="003A0F1D" w:rsidRPr="008B35EA">
        <w:rPr>
          <w:rFonts w:ascii="Times New Roman" w:hAnsi="Times New Roman" w:cs="Times New Roman"/>
          <w:sz w:val="24"/>
          <w:szCs w:val="24"/>
        </w:rPr>
        <w:fldChar w:fldCharType="end"/>
      </w:r>
      <w:r w:rsidR="000453C5" w:rsidRPr="008B35EA">
        <w:rPr>
          <w:rFonts w:ascii="Times New Roman" w:hAnsi="Times New Roman" w:cs="Times New Roman"/>
          <w:sz w:val="24"/>
          <w:szCs w:val="24"/>
          <w:vertAlign w:val="superscript"/>
        </w:rPr>
        <w:t>,</w:t>
      </w:r>
      <w:r w:rsidR="003A0F1D" w:rsidRPr="008B35EA">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{"citationID":"DOivX4xb","properties":{"formattedCitation":"(Eghbalsaied et al., 2024)","plainCitation":"(Eghbalsaied et al., 2024)","noteIndex":0},"citationItems":[{"id":"URioxLtk/QnnyIdtL","uris":["http://zotero.org/users/17126151/items/ZWCDE6RI"],"itemData":{"id":111,"type":"article-journal","abstract":"Base editors are a type of double-stranded break (DSB)-free gene editing technology that has opened up new possibilities for precise manipulation of mitochondrial DNA (mtDNA). This includes cytosine and adenosine base editors and more recently guanosine base editors. Because of having low off-target and indel rates, there is a growing interest in developing and evolving this research field. Here, we provide a detailed update on DNA base editors. While base editing has widely been used for nuclear genome engineering, the growing interest in applying this technology to mitochondrial DNA has been faced with several challenges. While Cas9 protein has been shown to enter mitochondria, use of smaller Cas proteins, such as Cas12a, has higher import efficiency. However, sgRNA transfer into mitochondria is the most challenging step. sgRNA structure and ratio of Cas protein to sgRNA are both important factors for efficient sgRNA entry into mitochondria. In conclusion, while there are still several challenges to be addressed, ongoing research in this field holds the potential for new treatments and therapies for mitochondrial disorders.","container-title":"Gene Therapy","DOI":"10.1038/s41434-023-00434-w","ISSN":"1476-5462","issue":"5-6","journalAbbreviation":"Gene Ther","language":"eng","note":"PMID: 38177342","page":"209-223","source":"PubMed","title":"CRISPR/Cas9-mediated base editors and their prospects for mitochondrial genome engineering","volume":"31","author":[{"family":"Eghbalsaied","given":"Shahin"},{"family":"Lawler","given":"Clancy"},{"family":"Petersen","given":"Björn"},{"family":"Hajiyev","given":"Raul A."},{"family":"Bischoff","given":"Steve R."},{"family":"Frankenberg","given":"Stephen"}],"issued":{"date-parts":[["2024",5]]}}}],"schema":"https://github.com/citation-style-language/schema/raw/master/csl-citation.json"} </w:instrText>
      </w:r>
      <w:r w:rsidR="003A0F1D" w:rsidRPr="008B35EA">
        <w:rPr>
          <w:rFonts w:ascii="Times New Roman" w:hAnsi="Times New Roman" w:cs="Times New Roman"/>
          <w:sz w:val="24"/>
          <w:szCs w:val="24"/>
        </w:rPr>
        <w:fldChar w:fldCharType="separate"/>
      </w:r>
      <w:r w:rsidR="00B3699E" w:rsidRPr="00B3699E">
        <w:rPr>
          <w:rFonts w:ascii="Times New Roman" w:hAnsi="Times New Roman" w:cs="Times New Roman"/>
          <w:sz w:val="24"/>
        </w:rPr>
        <w:t>(Eghbalsaied et al., 2024)</w:t>
      </w:r>
      <w:r w:rsidR="003A0F1D" w:rsidRPr="008B35EA">
        <w:rPr>
          <w:rFonts w:ascii="Times New Roman" w:hAnsi="Times New Roman" w:cs="Times New Roman"/>
          <w:sz w:val="24"/>
          <w:szCs w:val="24"/>
        </w:rPr>
        <w:fldChar w:fldCharType="end"/>
      </w:r>
      <w:r w:rsidR="002D39FE">
        <w:rPr>
          <w:rFonts w:ascii="Times New Roman" w:hAnsi="Times New Roman" w:cs="Times New Roman"/>
          <w:sz w:val="24"/>
          <w:szCs w:val="24"/>
        </w:rPr>
        <w:t>.</w:t>
      </w:r>
      <w:r w:rsidR="00E36ECC">
        <w:rPr>
          <w:rFonts w:ascii="Times New Roman" w:hAnsi="Times New Roman" w:cs="Times New Roman"/>
          <w:sz w:val="24"/>
          <w:szCs w:val="24"/>
        </w:rPr>
        <w:t xml:space="preserve"> </w:t>
      </w:r>
    </w:p>
    <w:p w14:paraId="32FA0573" w14:textId="4E2271CA" w:rsidR="009E5B29" w:rsidRDefault="00E36ECC" w:rsidP="008B35EA">
      <w:pPr>
        <w:spacing w:line="360" w:lineRule="auto"/>
        <w:jc w:val="both"/>
        <w:rPr>
          <w:rFonts w:ascii="Times New Roman" w:hAnsi="Times New Roman" w:cs="Times New Roman"/>
          <w:sz w:val="24"/>
          <w:szCs w:val="24"/>
        </w:rPr>
      </w:pPr>
      <w:r w:rsidRPr="00157813">
        <w:rPr>
          <w:rFonts w:ascii="Times New Roman" w:hAnsi="Times New Roman" w:cs="Times New Roman"/>
          <w:sz w:val="24"/>
          <w:szCs w:val="24"/>
          <w:highlight w:val="yellow"/>
        </w:rPr>
        <w:t>The earliest pathogenic changes in age-related macular degeneration (AMD) are marked by the presence of basal laminar deposits (</w:t>
      </w:r>
      <w:proofErr w:type="spellStart"/>
      <w:r w:rsidRPr="00157813">
        <w:rPr>
          <w:rFonts w:ascii="Times New Roman" w:hAnsi="Times New Roman" w:cs="Times New Roman"/>
          <w:sz w:val="24"/>
          <w:szCs w:val="24"/>
          <w:highlight w:val="yellow"/>
        </w:rPr>
        <w:t>BlamD</w:t>
      </w:r>
      <w:proofErr w:type="spellEnd"/>
      <w:r w:rsidRPr="00157813">
        <w:rPr>
          <w:rFonts w:ascii="Times New Roman" w:hAnsi="Times New Roman" w:cs="Times New Roman"/>
          <w:sz w:val="24"/>
          <w:szCs w:val="24"/>
          <w:highlight w:val="yellow"/>
        </w:rPr>
        <w:t>) and basal linear deposits (</w:t>
      </w:r>
      <w:proofErr w:type="spellStart"/>
      <w:r w:rsidRPr="00157813">
        <w:rPr>
          <w:rFonts w:ascii="Times New Roman" w:hAnsi="Times New Roman" w:cs="Times New Roman"/>
          <w:sz w:val="24"/>
          <w:szCs w:val="24"/>
          <w:highlight w:val="yellow"/>
        </w:rPr>
        <w:t>BlinD</w:t>
      </w:r>
      <w:proofErr w:type="spellEnd"/>
      <w:r w:rsidRPr="00157813">
        <w:rPr>
          <w:rFonts w:ascii="Times New Roman" w:hAnsi="Times New Roman" w:cs="Times New Roman"/>
          <w:sz w:val="24"/>
          <w:szCs w:val="24"/>
          <w:highlight w:val="yellow"/>
        </w:rPr>
        <w:t xml:space="preserve">). Notably, </w:t>
      </w:r>
      <w:proofErr w:type="spellStart"/>
      <w:r w:rsidRPr="00157813">
        <w:rPr>
          <w:rFonts w:ascii="Times New Roman" w:hAnsi="Times New Roman" w:cs="Times New Roman"/>
          <w:sz w:val="24"/>
          <w:szCs w:val="24"/>
          <w:highlight w:val="yellow"/>
        </w:rPr>
        <w:t>BlamD</w:t>
      </w:r>
      <w:proofErr w:type="spellEnd"/>
      <w:r w:rsidRPr="00157813">
        <w:rPr>
          <w:rFonts w:ascii="Times New Roman" w:hAnsi="Times New Roman" w:cs="Times New Roman"/>
          <w:sz w:val="24"/>
          <w:szCs w:val="24"/>
          <w:highlight w:val="yellow"/>
        </w:rPr>
        <w:t xml:space="preserve"> is characterized by the accumulation of long-spacing collagen and basement membrane proteins between the retinal pigment epithelium's (RPE) basement membrane and its plasma membrane</w:t>
      </w:r>
      <w:r w:rsidR="00157813">
        <w:rPr>
          <w:rFonts w:ascii="Times New Roman" w:hAnsi="Times New Roman" w:cs="Times New Roman"/>
          <w:sz w:val="24"/>
          <w:szCs w:val="24"/>
          <w:highlight w:val="yellow"/>
        </w:rPr>
        <w:t xml:space="preserve"> </w:t>
      </w:r>
      <w:r w:rsidR="00157813">
        <w:rPr>
          <w:rFonts w:ascii="Times New Roman" w:hAnsi="Times New Roman" w:cs="Times New Roman"/>
          <w:sz w:val="24"/>
          <w:szCs w:val="24"/>
          <w:highlight w:val="yellow"/>
        </w:rPr>
        <w:fldChar w:fldCharType="begin"/>
      </w:r>
      <w:r w:rsidR="00157813">
        <w:rPr>
          <w:rFonts w:ascii="Times New Roman" w:hAnsi="Times New Roman" w:cs="Times New Roman"/>
          <w:sz w:val="24"/>
          <w:szCs w:val="24"/>
          <w:highlight w:val="yellow"/>
        </w:rPr>
        <w:instrText xml:space="preserve"> ADDIN ZOTERO_ITEM CSL_CITATION {"citationID":"lMxGltzL","properties":{"formattedCitation":"({\\i{}Basal Linear Deposit: Normal Physiological Ageing or a Defining Lesion of Age-Related Macular Degeneration?}, n.d.)","plainCitation":"(Basal Linear Deposit: Normal Physiological Ageing or a Defining Lesion of Age-Related Macular Degeneration?, n.d.)","noteIndex":0},"citationItems":[{"id":1251,"uris":["http://zotero.org/users/15401920/items/DXW35APW"],"itemData":{"id":1251,"type":"webpage","title":"Basal Linear Deposit: Normal Physiological Ageing or a Defining Lesion of Age-Related Macular Degeneration?","URL":"https://www.mdpi.com/2077-0383/13/16/4611","accessed":{"date-parts":[["2025",6,16]]}}}],"schema":"https://github.com/citation-style-language/schema/raw/master/csl-citation.json"} </w:instrText>
      </w:r>
      <w:r w:rsidR="00157813">
        <w:rPr>
          <w:rFonts w:ascii="Times New Roman" w:hAnsi="Times New Roman" w:cs="Times New Roman"/>
          <w:sz w:val="24"/>
          <w:szCs w:val="24"/>
          <w:highlight w:val="yellow"/>
        </w:rPr>
        <w:fldChar w:fldCharType="separate"/>
      </w:r>
      <w:r w:rsidR="00157813" w:rsidRPr="00157813">
        <w:rPr>
          <w:rFonts w:ascii="Times New Roman" w:hAnsi="Times New Roman" w:cs="Times New Roman"/>
          <w:kern w:val="0"/>
          <w:sz w:val="24"/>
          <w:szCs w:val="24"/>
          <w:highlight w:val="yellow"/>
        </w:rPr>
        <w:t>(</w:t>
      </w:r>
      <w:r w:rsidR="00157813" w:rsidRPr="00157813">
        <w:rPr>
          <w:rFonts w:ascii="Times New Roman" w:hAnsi="Times New Roman" w:cs="Times New Roman"/>
          <w:i/>
          <w:iCs/>
          <w:kern w:val="0"/>
          <w:sz w:val="24"/>
          <w:szCs w:val="24"/>
          <w:highlight w:val="yellow"/>
        </w:rPr>
        <w:t>Basal Linear Deposit: Normal Physiological Ageing or a Defining Lesion of Age-Related Macular Degeneration?</w:t>
      </w:r>
      <w:r w:rsidR="00157813" w:rsidRPr="00157813">
        <w:rPr>
          <w:rFonts w:ascii="Times New Roman" w:hAnsi="Times New Roman" w:cs="Times New Roman"/>
          <w:kern w:val="0"/>
          <w:sz w:val="24"/>
          <w:szCs w:val="24"/>
          <w:highlight w:val="yellow"/>
        </w:rPr>
        <w:t>, n.d.)</w:t>
      </w:r>
      <w:r w:rsidR="00157813">
        <w:rPr>
          <w:rFonts w:ascii="Times New Roman" w:hAnsi="Times New Roman" w:cs="Times New Roman"/>
          <w:sz w:val="24"/>
          <w:szCs w:val="24"/>
          <w:highlight w:val="yellow"/>
        </w:rPr>
        <w:fldChar w:fldCharType="end"/>
      </w:r>
      <w:r w:rsidRPr="00157813">
        <w:rPr>
          <w:rFonts w:ascii="Times New Roman" w:hAnsi="Times New Roman" w:cs="Times New Roman"/>
          <w:sz w:val="24"/>
          <w:szCs w:val="24"/>
          <w:highlight w:val="yellow"/>
        </w:rPr>
        <w:t xml:space="preserve">. Many research studies suggest hallmark of early ARMD </w:t>
      </w:r>
      <w:r w:rsidR="00157813" w:rsidRPr="00157813">
        <w:rPr>
          <w:rFonts w:ascii="Times New Roman" w:hAnsi="Times New Roman" w:cs="Times New Roman"/>
          <w:sz w:val="24"/>
          <w:szCs w:val="24"/>
          <w:highlight w:val="yellow"/>
        </w:rPr>
        <w:t>is</w:t>
      </w:r>
      <w:r w:rsidRPr="00157813">
        <w:rPr>
          <w:rFonts w:ascii="Times New Roman" w:hAnsi="Times New Roman" w:cs="Times New Roman"/>
          <w:sz w:val="24"/>
          <w:szCs w:val="24"/>
          <w:highlight w:val="yellow"/>
        </w:rPr>
        <w:t xml:space="preserve"> degeneration of retinal pigment epithelium, loss </w:t>
      </w:r>
      <w:r w:rsidR="00157813" w:rsidRPr="00157813">
        <w:rPr>
          <w:rFonts w:ascii="Times New Roman" w:hAnsi="Times New Roman" w:cs="Times New Roman"/>
          <w:sz w:val="24"/>
          <w:szCs w:val="24"/>
          <w:highlight w:val="yellow"/>
        </w:rPr>
        <w:t>of</w:t>
      </w:r>
      <w:r w:rsidRPr="00157813">
        <w:rPr>
          <w:rFonts w:ascii="Times New Roman" w:hAnsi="Times New Roman" w:cs="Times New Roman"/>
          <w:sz w:val="24"/>
          <w:szCs w:val="24"/>
          <w:highlight w:val="yellow"/>
        </w:rPr>
        <w:t xml:space="preserve"> </w:t>
      </w:r>
      <w:r w:rsidR="00157813" w:rsidRPr="00157813">
        <w:rPr>
          <w:rFonts w:ascii="Times New Roman" w:hAnsi="Times New Roman" w:cs="Times New Roman"/>
          <w:sz w:val="24"/>
          <w:szCs w:val="24"/>
          <w:highlight w:val="yellow"/>
        </w:rPr>
        <w:t>photoreceptors</w:t>
      </w:r>
      <w:r w:rsidRPr="00157813">
        <w:rPr>
          <w:rFonts w:ascii="Times New Roman" w:hAnsi="Times New Roman" w:cs="Times New Roman"/>
          <w:sz w:val="24"/>
          <w:szCs w:val="24"/>
          <w:highlight w:val="yellow"/>
        </w:rPr>
        <w:t xml:space="preserve"> of </w:t>
      </w:r>
      <w:r w:rsidR="00157813" w:rsidRPr="00157813">
        <w:rPr>
          <w:rFonts w:ascii="Times New Roman" w:hAnsi="Times New Roman" w:cs="Times New Roman"/>
          <w:sz w:val="24"/>
          <w:szCs w:val="24"/>
          <w:highlight w:val="yellow"/>
        </w:rPr>
        <w:t xml:space="preserve">the </w:t>
      </w:r>
      <w:r w:rsidRPr="00157813">
        <w:rPr>
          <w:rFonts w:ascii="Times New Roman" w:hAnsi="Times New Roman" w:cs="Times New Roman"/>
          <w:sz w:val="24"/>
          <w:szCs w:val="24"/>
          <w:highlight w:val="yellow"/>
        </w:rPr>
        <w:t>retina</w:t>
      </w:r>
      <w:r w:rsidR="00157813" w:rsidRPr="00157813">
        <w:rPr>
          <w:rFonts w:ascii="Times New Roman" w:hAnsi="Times New Roman" w:cs="Times New Roman"/>
          <w:sz w:val="24"/>
          <w:szCs w:val="24"/>
          <w:highlight w:val="yellow"/>
        </w:rPr>
        <w:t>,</w:t>
      </w:r>
      <w:r w:rsidRPr="00157813">
        <w:rPr>
          <w:rFonts w:ascii="Times New Roman" w:hAnsi="Times New Roman" w:cs="Times New Roman"/>
          <w:sz w:val="24"/>
          <w:szCs w:val="24"/>
          <w:highlight w:val="yellow"/>
        </w:rPr>
        <w:t xml:space="preserve"> and vision impairment. In early stages</w:t>
      </w:r>
      <w:r w:rsidR="00157813" w:rsidRPr="00157813">
        <w:rPr>
          <w:rFonts w:ascii="Times New Roman" w:hAnsi="Times New Roman" w:cs="Times New Roman"/>
          <w:sz w:val="24"/>
          <w:szCs w:val="24"/>
          <w:highlight w:val="yellow"/>
        </w:rPr>
        <w:t>,</w:t>
      </w:r>
      <w:r w:rsidRPr="00157813">
        <w:rPr>
          <w:rFonts w:ascii="Times New Roman" w:hAnsi="Times New Roman" w:cs="Times New Roman"/>
          <w:sz w:val="24"/>
          <w:szCs w:val="24"/>
          <w:highlight w:val="yellow"/>
        </w:rPr>
        <w:t xml:space="preserve"> normal fundus is seen while in late stages</w:t>
      </w:r>
      <w:r w:rsidR="00157813" w:rsidRPr="00157813">
        <w:rPr>
          <w:rFonts w:ascii="Times New Roman" w:hAnsi="Times New Roman" w:cs="Times New Roman"/>
          <w:sz w:val="24"/>
          <w:szCs w:val="24"/>
          <w:highlight w:val="yellow"/>
        </w:rPr>
        <w:t>,</w:t>
      </w:r>
      <w:r w:rsidRPr="00157813">
        <w:rPr>
          <w:rFonts w:ascii="Times New Roman" w:hAnsi="Times New Roman" w:cs="Times New Roman"/>
          <w:sz w:val="24"/>
          <w:szCs w:val="24"/>
          <w:highlight w:val="yellow"/>
        </w:rPr>
        <w:t xml:space="preserve"> abnormalities of pigmentations are seen in clinical manifestations of </w:t>
      </w:r>
      <w:proofErr w:type="spellStart"/>
      <w:r w:rsidRPr="00157813">
        <w:rPr>
          <w:rFonts w:ascii="Times New Roman" w:hAnsi="Times New Roman" w:cs="Times New Roman"/>
          <w:sz w:val="24"/>
          <w:szCs w:val="24"/>
          <w:highlight w:val="yellow"/>
        </w:rPr>
        <w:t>BlamD</w:t>
      </w:r>
      <w:proofErr w:type="spellEnd"/>
      <w:r w:rsidR="00055F33">
        <w:rPr>
          <w:rFonts w:ascii="Times New Roman" w:hAnsi="Times New Roman" w:cs="Times New Roman"/>
          <w:sz w:val="24"/>
          <w:szCs w:val="24"/>
          <w:highlight w:val="yellow"/>
        </w:rPr>
        <w:t xml:space="preserve"> </w:t>
      </w:r>
      <w:r w:rsidR="00055F33" w:rsidRPr="00055F33">
        <w:rPr>
          <w:rFonts w:ascii="Times New Roman" w:hAnsi="Times New Roman" w:cs="Times New Roman"/>
          <w:sz w:val="24"/>
          <w:szCs w:val="24"/>
          <w:highlight w:val="yellow"/>
        </w:rPr>
        <w:fldChar w:fldCharType="begin"/>
      </w:r>
      <w:r w:rsidR="00055F33" w:rsidRPr="00055F33">
        <w:rPr>
          <w:rFonts w:ascii="Times New Roman" w:hAnsi="Times New Roman" w:cs="Times New Roman"/>
          <w:sz w:val="24"/>
          <w:szCs w:val="24"/>
          <w:highlight w:val="yellow"/>
        </w:rPr>
        <w:instrText xml:space="preserve"> ADDIN ZOTERO_ITEM CSL_CITATION {"citationID":"7NhlMivH","properties":{"formattedCitation":"(\\uc0\\u354{}urca\\uc0\\u351{} &amp; Nicoar\\uc0\\u259{}, 2025)","plainCitation":"(Ţurcaş &amp; Nicoară, 2025)","noteIndex":0},"citationItems":[{"id":1253,"uris":["http://zotero.org/users/15401920/items/95NL8M7D"],"itemData":{"id":1253,"type":"article-journal","abstract":"Age-related macular degeneration (AMD) is a leading cause of visual impairment and irreversible blindness worldwide. High-resolution imaging techniques have been pivotal in characterizing the morphological alterations in the retina and in identifying structural biomarkers with prognostic significance. In clinical practice, visual function is primarily assessed through visual acuity testing, which, however, does not completely reflect the functional deficits experienced by patients. Microperimetry provides a more comprehensive evaluation of macular function, enabling a direct correlation with retinal structure. We examine the current literature on the correlation between morphological biomarkers – identified via optical coherence tomography, optical coherence tomography angiography, and fundus autofluorescence – and retinal sensitivity, as assessed by microperimetry. By encompassing all stages of AMD, we explore the association between retinal sensitivity and a broad spectrum of structural parameters, including distinct drusen phenotypes, hyperreflective foci, the integrity and thickness of various retinal layers, the junctional zone of geographic atrophy, exudative features of neovascular AMD, choriocapillaris flow deficits, and diverse patterns of autofluorescence, among numerous other relevant structural markers. By offering a deeper understanding of the structure-function correlations in disease progression, we provide critical up-to-date insights into the underlying mechanisms of AMD. Moreover, as novel therapeutic strategies continue to emerge, these correlations may serve as more robust endpoints for future clinical trials.","container-title":"Survey of Ophthalmology","DOI":"10.1016/j.survophthal.2025.01.009","ISSN":"0039-6257","issue":"3","journalAbbreviation":"Survey of Ophthalmology","page":"426-450","source":"ScienceDirect","title":"A comprehensive review of structure-function correlations in age-related macular degeneration: Contributions of microperimetry","title-short":"A comprehensive review of structure-function correlations in age-related macular degeneration","volume":"70","author":[{"family":"Ţurcaş","given":"Cristina"},{"family":"Nicoară","given":"Simona Delia"}],"issued":{"date-parts":[["2025",5,1]]}}}],"schema":"https://github.com/citation-style-language/schema/raw/master/csl-citation.json"} </w:instrText>
      </w:r>
      <w:r w:rsidR="00055F33" w:rsidRPr="00055F33">
        <w:rPr>
          <w:rFonts w:ascii="Times New Roman" w:hAnsi="Times New Roman" w:cs="Times New Roman"/>
          <w:sz w:val="24"/>
          <w:szCs w:val="24"/>
          <w:highlight w:val="yellow"/>
        </w:rPr>
        <w:fldChar w:fldCharType="separate"/>
      </w:r>
      <w:r w:rsidR="00055F33" w:rsidRPr="00055F33">
        <w:rPr>
          <w:rFonts w:ascii="Times New Roman" w:hAnsi="Times New Roman" w:cs="Times New Roman"/>
          <w:kern w:val="0"/>
          <w:sz w:val="24"/>
          <w:szCs w:val="24"/>
          <w:highlight w:val="yellow"/>
        </w:rPr>
        <w:t>(Ţurcaş &amp; Nicoară, 2025)</w:t>
      </w:r>
      <w:r w:rsidR="00055F33" w:rsidRPr="00055F33">
        <w:rPr>
          <w:rFonts w:ascii="Times New Roman" w:hAnsi="Times New Roman" w:cs="Times New Roman"/>
          <w:sz w:val="24"/>
          <w:szCs w:val="24"/>
          <w:highlight w:val="yellow"/>
        </w:rPr>
        <w:fldChar w:fldCharType="end"/>
      </w:r>
      <w:r w:rsidRPr="00157813">
        <w:rPr>
          <w:rFonts w:ascii="Times New Roman" w:hAnsi="Times New Roman" w:cs="Times New Roman"/>
          <w:sz w:val="24"/>
          <w:szCs w:val="24"/>
          <w:highlight w:val="yellow"/>
        </w:rPr>
        <w:t xml:space="preserve">. Furthermore, the accumulation of membranous debris appears to influence the disease's progression, either through pigmentary changes or the formation of soft drusen, which increases the risk of choroidal neovascularization (CNV). Within the inner collagen layer of Bruch's membrane lies the </w:t>
      </w:r>
      <w:proofErr w:type="spellStart"/>
      <w:r w:rsidRPr="00157813">
        <w:rPr>
          <w:rFonts w:ascii="Times New Roman" w:hAnsi="Times New Roman" w:cs="Times New Roman"/>
          <w:sz w:val="24"/>
          <w:szCs w:val="24"/>
          <w:highlight w:val="yellow"/>
        </w:rPr>
        <w:t>BlinD</w:t>
      </w:r>
      <w:proofErr w:type="spellEnd"/>
      <w:r w:rsidRPr="00157813">
        <w:rPr>
          <w:rFonts w:ascii="Times New Roman" w:hAnsi="Times New Roman" w:cs="Times New Roman"/>
          <w:sz w:val="24"/>
          <w:szCs w:val="24"/>
          <w:highlight w:val="yellow"/>
        </w:rPr>
        <w:t xml:space="preserve">, composed of vesicular material. </w:t>
      </w:r>
      <w:proofErr w:type="spellStart"/>
      <w:r w:rsidRPr="00157813">
        <w:rPr>
          <w:rFonts w:ascii="Times New Roman" w:hAnsi="Times New Roman" w:cs="Times New Roman"/>
          <w:sz w:val="24"/>
          <w:szCs w:val="24"/>
          <w:highlight w:val="yellow"/>
        </w:rPr>
        <w:t>BlinD</w:t>
      </w:r>
      <w:proofErr w:type="spellEnd"/>
      <w:r w:rsidRPr="00157813">
        <w:rPr>
          <w:rFonts w:ascii="Times New Roman" w:hAnsi="Times New Roman" w:cs="Times New Roman"/>
          <w:sz w:val="24"/>
          <w:szCs w:val="24"/>
          <w:highlight w:val="yellow"/>
        </w:rPr>
        <w:t xml:space="preserve"> and </w:t>
      </w:r>
      <w:proofErr w:type="spellStart"/>
      <w:r w:rsidRPr="00157813">
        <w:rPr>
          <w:rFonts w:ascii="Times New Roman" w:hAnsi="Times New Roman" w:cs="Times New Roman"/>
          <w:sz w:val="24"/>
          <w:szCs w:val="24"/>
          <w:highlight w:val="yellow"/>
        </w:rPr>
        <w:t>BlamD</w:t>
      </w:r>
      <w:proofErr w:type="spellEnd"/>
      <w:r w:rsidRPr="00157813">
        <w:rPr>
          <w:rFonts w:ascii="Times New Roman" w:hAnsi="Times New Roman" w:cs="Times New Roman"/>
          <w:sz w:val="24"/>
          <w:szCs w:val="24"/>
          <w:highlight w:val="yellow"/>
        </w:rPr>
        <w:t xml:space="preserve"> are associated with CNV, disciform scarring, and vision loss, accentuating the significance in the pathogenesis and progression of </w:t>
      </w:r>
      <w:r w:rsidRPr="009E5B29">
        <w:rPr>
          <w:rFonts w:ascii="Times New Roman" w:hAnsi="Times New Roman" w:cs="Times New Roman"/>
          <w:sz w:val="24"/>
          <w:szCs w:val="24"/>
          <w:highlight w:val="yellow"/>
        </w:rPr>
        <w:t>AMD</w:t>
      </w:r>
      <w:r w:rsidR="009E5B29" w:rsidRPr="009E5B29">
        <w:rPr>
          <w:rFonts w:ascii="Times New Roman" w:hAnsi="Times New Roman" w:cs="Times New Roman"/>
          <w:sz w:val="24"/>
          <w:szCs w:val="24"/>
          <w:highlight w:val="yellow"/>
        </w:rPr>
        <w:t xml:space="preserve"> </w:t>
      </w:r>
      <w:r w:rsidR="009E5B29" w:rsidRPr="009E5B29">
        <w:rPr>
          <w:rFonts w:ascii="Times New Roman" w:hAnsi="Times New Roman" w:cs="Times New Roman"/>
          <w:sz w:val="24"/>
          <w:szCs w:val="24"/>
          <w:highlight w:val="yellow"/>
        </w:rPr>
        <w:fldChar w:fldCharType="begin"/>
      </w:r>
      <w:r w:rsidR="00B042F0">
        <w:rPr>
          <w:rFonts w:ascii="Times New Roman" w:hAnsi="Times New Roman" w:cs="Times New Roman"/>
          <w:sz w:val="24"/>
          <w:szCs w:val="24"/>
          <w:highlight w:val="yellow"/>
        </w:rPr>
        <w:instrText xml:space="preserve"> ADDIN ZOTERO_ITEM CSL_CITATION {"citationID":"5JY4VZIw","properties":{"formattedCitation":"(Heesterbeek et al., 2020)","plainCitation":"(Heesterbeek et al., 2020)","noteIndex":0},"citationItems":[{"id":1257,"uris":["http://zotero.org/users/15401920/items/W3CD35SQ"],"itemData":{"id":1257,"type":"article-journal","abstract":"Purpose\nAge‐related macular degeneration (AMD) is a degenerative disease of the macula, often leading to progressive vision loss. The rate of disease progression can vary among individuals and has been associated with multiple risk factors. In this review, we provide an overview of the current literature investigating phenotypic, demographic, environmental, genetic, and molecular risk factors, and propose the most consistently identified risk factors for disease progression in AMD based on these studies. Finally, we describe the potential use of these risk factors for personalised healthcare.\n\nRecent findings\nWhile phenotypic risk factors such as drusen and pigment abnormalities become more important to predict disease progression during the course of the disease, demographic, environmental, genetic and molecular risk factors are more valuable at earlier disease stages. Demographic and environmental risk factors such as age and smoking are consistently reported to be related to disease progression, while other factors such as sex, body mass index (BMI) and education are less often associated. Of all known AMD variants, variants that are most consistently reported with disease progression are rs10922109 and rs570618 in CFH, rs116503776 in C2/CFB/SKIV2L, rs3750846 in ARMS2/HTRA1 and rs2230199 in C3. However, it seems likely that other AMD variants also contribute to disease progression but to a lesser extent. Rare variants have probably a large effect on disease progression in highly affected families. Furthermore, current prediction models do not include molecular risk factors, while these factors can be measured accurately in the blood. Possible promising molecular risk factors are High‐Density Lipoprotein Cholesterol (HDL‐C), Docosahexaenoic acid (DHA), eicosapentaenoic acid (EPA), zeaxanthin and lutein.\n\nSummary\nPhenotypic, demographic, environmental, genetic and molecular risk factors can be combined in prediction models to predict disease progression, but the selection of the proper risk factors for personalised risk prediction will differ among individuals and is dependent on their current disease stage. Future prediction models should include a wider set of genetic variants to determine the genetic risk more accurately, and rare variants should be taken into account in highly affected families. In addition, adding molecular factors in prediction models may lead to preventive strategies and personalised advice.","container-title":"Ophthalmic &amp; Physiological Optics","DOI":"10.1111/opo.12675","ISSN":"0275-5408","issue":"2","journalAbbreviation":"Ophthalmic Physiol Opt","note":"PMID: 32100327\nPMCID: PMC7155063","page":"140-170","source":"PubMed Central","title":"Risk factors for progression of age‐related macular degeneration","volume":"40","author":[{"family":"Heesterbeek","given":"Thomas J"},{"family":"Lorés‐Motta","given":"Laura"},{"family":"Hoyng","given":"Carel B"},{"family":"Lechanteur","given":"Yara T E"},{"family":"Hollander","given":"Anneke I","non-dropping-particle":"den"}],"issued":{"date-parts":[["2020",3]]}}}],"schema":"https://github.com/citation-style-language/schema/raw/master/csl-citation.json"} </w:instrText>
      </w:r>
      <w:r w:rsidR="009E5B29" w:rsidRPr="009E5B29">
        <w:rPr>
          <w:rFonts w:ascii="Times New Roman" w:hAnsi="Times New Roman" w:cs="Times New Roman"/>
          <w:sz w:val="24"/>
          <w:szCs w:val="24"/>
          <w:highlight w:val="yellow"/>
        </w:rPr>
        <w:fldChar w:fldCharType="separate"/>
      </w:r>
      <w:r w:rsidR="00B042F0" w:rsidRPr="00B042F0">
        <w:rPr>
          <w:rFonts w:ascii="Times New Roman" w:hAnsi="Times New Roman" w:cs="Times New Roman"/>
          <w:sz w:val="24"/>
          <w:highlight w:val="yellow"/>
        </w:rPr>
        <w:t>(Heesterbeek et al., 2020)</w:t>
      </w:r>
      <w:r w:rsidR="009E5B29" w:rsidRPr="009E5B29">
        <w:rPr>
          <w:rFonts w:ascii="Times New Roman" w:hAnsi="Times New Roman" w:cs="Times New Roman"/>
          <w:sz w:val="24"/>
          <w:szCs w:val="24"/>
          <w:highlight w:val="yellow"/>
        </w:rPr>
        <w:fldChar w:fldCharType="end"/>
      </w:r>
    </w:p>
    <w:p w14:paraId="18D53437" w14:textId="6B04D205" w:rsidR="00CF5882" w:rsidRPr="008B35EA" w:rsidRDefault="00F042AE" w:rsidP="008B35EA">
      <w:pPr>
        <w:spacing w:line="360" w:lineRule="auto"/>
        <w:jc w:val="both"/>
        <w:rPr>
          <w:rFonts w:ascii="Times New Roman" w:hAnsi="Times New Roman" w:cs="Times New Roman"/>
          <w:b/>
          <w:bCs/>
          <w:sz w:val="24"/>
          <w:szCs w:val="24"/>
        </w:rPr>
      </w:pPr>
      <w:r w:rsidRPr="008B35EA">
        <w:rPr>
          <w:rFonts w:ascii="Times New Roman" w:hAnsi="Times New Roman" w:cs="Times New Roman"/>
          <w:b/>
          <w:bCs/>
          <w:sz w:val="24"/>
          <w:szCs w:val="24"/>
        </w:rPr>
        <w:lastRenderedPageBreak/>
        <w:t xml:space="preserve">5. </w:t>
      </w:r>
      <w:r w:rsidR="00CF5882" w:rsidRPr="008B35EA">
        <w:rPr>
          <w:rFonts w:ascii="Times New Roman" w:hAnsi="Times New Roman" w:cs="Times New Roman"/>
          <w:b/>
          <w:bCs/>
          <w:sz w:val="24"/>
          <w:szCs w:val="24"/>
        </w:rPr>
        <w:t xml:space="preserve">Routes of administration of ocular vector gene into the eye </w:t>
      </w:r>
    </w:p>
    <w:p w14:paraId="4640D6A8" w14:textId="608F5ADA" w:rsidR="001A4E66" w:rsidRDefault="008B35EA" w:rsidP="008B35EA">
      <w:pPr>
        <w:spacing w:after="0" w:line="360" w:lineRule="auto"/>
        <w:jc w:val="both"/>
        <w:rPr>
          <w:rFonts w:ascii="Times New Roman" w:hAnsi="Times New Roman" w:cs="Times New Roman"/>
          <w:sz w:val="24"/>
          <w:szCs w:val="24"/>
        </w:rPr>
      </w:pPr>
      <w:r w:rsidRPr="008B35EA">
        <w:rPr>
          <w:rFonts w:ascii="Times New Roman" w:eastAsia="Times New Roman" w:hAnsi="Times New Roman" w:cs="Times New Roman"/>
          <w:color w:val="222222"/>
          <w:kern w:val="0"/>
          <w:sz w:val="24"/>
          <w:szCs w:val="24"/>
        </w:rPr>
        <w:t>A crucial step in gene therapy is the delivery method of the vector, which can be administered via three routes: subretinal, intravitreal, or suprachoroidal, as given in </w:t>
      </w:r>
      <w:r w:rsidRPr="008B35EA">
        <w:rPr>
          <w:rFonts w:ascii="Times New Roman" w:eastAsia="Times New Roman" w:hAnsi="Times New Roman" w:cs="Times New Roman"/>
          <w:b/>
          <w:bCs/>
          <w:color w:val="222222"/>
          <w:kern w:val="0"/>
          <w:sz w:val="24"/>
          <w:szCs w:val="24"/>
        </w:rPr>
        <w:t>Fig</w:t>
      </w:r>
      <w:r w:rsidR="00F10C78">
        <w:rPr>
          <w:rFonts w:ascii="Times New Roman" w:eastAsia="Times New Roman" w:hAnsi="Times New Roman" w:cs="Times New Roman"/>
          <w:b/>
          <w:bCs/>
          <w:color w:val="222222"/>
          <w:kern w:val="0"/>
          <w:sz w:val="24"/>
          <w:szCs w:val="24"/>
        </w:rPr>
        <w:t>.</w:t>
      </w:r>
      <w:r w:rsidRPr="008B35EA">
        <w:rPr>
          <w:rFonts w:ascii="Times New Roman" w:eastAsia="Times New Roman" w:hAnsi="Times New Roman" w:cs="Times New Roman"/>
          <w:b/>
          <w:bCs/>
          <w:color w:val="222222"/>
          <w:kern w:val="0"/>
          <w:sz w:val="24"/>
          <w:szCs w:val="24"/>
        </w:rPr>
        <w:t xml:space="preserve"> 4</w:t>
      </w:r>
      <w:r w:rsidRPr="008B35EA">
        <w:rPr>
          <w:rFonts w:ascii="Times New Roman" w:eastAsia="Times New Roman" w:hAnsi="Times New Roman" w:cs="Times New Roman"/>
          <w:color w:val="222222"/>
          <w:kern w:val="0"/>
          <w:sz w:val="24"/>
          <w:szCs w:val="24"/>
        </w:rPr>
        <w:t>. Subretinal administration is the standard and safest approach for ocular gene therapy, offering a little risk of immune response and less swelling in the patient's body</w:t>
      </w:r>
      <w:r w:rsidR="002D39FE">
        <w:rPr>
          <w:rFonts w:ascii="Times New Roman" w:hAnsi="Times New Roman" w:cs="Times New Roman"/>
          <w:sz w:val="24"/>
          <w:szCs w:val="24"/>
        </w:rPr>
        <w:t xml:space="preserve"> </w:t>
      </w:r>
      <w:r w:rsidR="003A0F1D" w:rsidRPr="008B35EA">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{"citationID":"kHJgsxrX","properties":{"formattedCitation":"(Kansara et al., 2020)","plainCitation":"(Kansara et al., 2020)","noteIndex":0},"citationItems":[{"id":1209,"uris":["http://zotero.org/users/15401920/items/TYP4QXCV"],"itemData":{"id":1209,"type":"article-journal","abstract":"Retinal gene therapy is a rapidly growing field with numerous clinical trials underway, and route of delivery is a critical contributor to its success. Subretinal administration, which involves pars plana vitrectomy in the operating room, offers targeted delivery to retinal-pigment epithelium cells and photoreceptors. Due to the immune-privileged nature of the subretinal space, the risk of an immune reaction against viral capsid antigens is minimized, an advantage of subretinal administration in patients with preexisting neutralizing antibodies. Intravitreal administration, with fewer procedure-related complications, is challenged by potential immune response and incomplete vector penetration through the internal limiting membrane. However, novel vectors, optimized by “directed evolution” may address these issues. Nonsurgical in-office suprachoroidal gene delivery offers the potential for greater surface-area coverage of the posterior segment compared to focal subretinal injection, and is not hindered by the internal limiting membrane. However, the vector must pass through multiple layers to reach the targeted retinal layers, and there is a risk of immune response. This review highlights recent developments, challenges, and future opportunities associated with viral and nonviral suprachoroidal gene delivery for the treatment of chorioretinal diseases. While ocular tolerability and short-term effectiveness of suprachoroidal gene delivery have been demonstrated in preclinical models, durability of gene expression, long-term safety, potential systemic exposure, and effective delivery to the macula require further exploration. Although the safety and efficacy of suprachoroidal gene delivery are yet to be proven in clinical trials, further optimization could facilitate nonsurgical in-office suprachoroidal gene therapy.","container-title":"Journal of Ocular Pharmacology and Therapeutics","DOI":"10.1089/jop.2019.0126","ISSN":"1080-7683","issue":"6","journalAbbreviation":"J Ocul Pharmacol Ther","note":"PMID: 32255727\nPMCID: PMC7404827","page":"384-392","source":"PubMed Central","title":"Suprachoroidal Delivery of Viral and Nonviral Gene Therapy for Retinal Diseases","volume":"36","author":[{"family":"Kansara","given":"Viral"},{"family":"Muya","given":"Leroy"},{"family":"Wan","given":"Chen-rei"},{"family":"Ciulla","given":"Thomas A."}],"issued":{"date-parts":[["2020",7,1]]}}}],"schema":"https://github.com/citation-style-language/schema/raw/master/csl-citation.json"} </w:instrText>
      </w:r>
      <w:r w:rsidR="003A0F1D" w:rsidRPr="008B35EA">
        <w:rPr>
          <w:rFonts w:ascii="Times New Roman" w:hAnsi="Times New Roman" w:cs="Times New Roman"/>
          <w:sz w:val="24"/>
          <w:szCs w:val="24"/>
        </w:rPr>
        <w:fldChar w:fldCharType="separate"/>
      </w:r>
      <w:r w:rsidR="00B3699E" w:rsidRPr="00B3699E">
        <w:rPr>
          <w:rFonts w:ascii="Times New Roman" w:hAnsi="Times New Roman" w:cs="Times New Roman"/>
          <w:sz w:val="24"/>
        </w:rPr>
        <w:t>(Kansara et al., 2020)</w:t>
      </w:r>
      <w:r w:rsidR="003A0F1D" w:rsidRPr="008B35EA">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8B35EA">
        <w:rPr>
          <w:rFonts w:ascii="Times New Roman" w:hAnsi="Times New Roman" w:cs="Times New Roman"/>
          <w:sz w:val="24"/>
          <w:szCs w:val="24"/>
        </w:rPr>
        <w:t xml:space="preserve"> According to </w:t>
      </w:r>
      <w:r w:rsidR="00CF5882" w:rsidRPr="00D75E1D">
        <w:rPr>
          <w:rFonts w:ascii="Times New Roman" w:hAnsi="Times New Roman" w:cs="Times New Roman"/>
          <w:sz w:val="24"/>
          <w:szCs w:val="24"/>
        </w:rPr>
        <w:t xml:space="preserve">Dr. </w:t>
      </w:r>
      <w:proofErr w:type="spellStart"/>
      <w:r w:rsidR="00CF5882" w:rsidRPr="00D75E1D">
        <w:rPr>
          <w:rFonts w:ascii="Times New Roman" w:hAnsi="Times New Roman" w:cs="Times New Roman"/>
          <w:sz w:val="24"/>
          <w:szCs w:val="24"/>
        </w:rPr>
        <w:t>Kokame</w:t>
      </w:r>
      <w:proofErr w:type="spellEnd"/>
      <w:r w:rsidR="00CF5882" w:rsidRPr="00A42E4F">
        <w:rPr>
          <w:rFonts w:ascii="Times New Roman" w:hAnsi="Times New Roman" w:cs="Times New Roman"/>
          <w:sz w:val="24"/>
          <w:szCs w:val="24"/>
        </w:rPr>
        <w:t>,</w:t>
      </w:r>
      <w:r w:rsidR="00CF5882" w:rsidRPr="008B35EA">
        <w:rPr>
          <w:rFonts w:ascii="Times New Roman" w:hAnsi="Times New Roman" w:cs="Times New Roman"/>
          <w:sz w:val="24"/>
          <w:szCs w:val="24"/>
        </w:rPr>
        <w:t xml:space="preserve"> subretinal delivery of RGX-314 allows retinal cells to manufacture their anti-VEGF protein for a long time, effectively treating the state of ARMD lifelong. The subretinal delivery method involves a surgical vitrectomy, where the vitreous gel is removed from the eye, and RGX-314 is directly injected beneath the retina of a patient in a saline solution, forming a regional and concentrated bleb on the surface</w:t>
      </w:r>
      <w:r w:rsidR="002D39FE">
        <w:rPr>
          <w:rFonts w:ascii="Times New Roman" w:hAnsi="Times New Roman" w:cs="Times New Roman"/>
          <w:sz w:val="24"/>
          <w:szCs w:val="24"/>
        </w:rPr>
        <w:t xml:space="preserve"> </w:t>
      </w:r>
      <w:r w:rsidR="003A0F1D" w:rsidRPr="00D75E1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{"citationID":"7Nz8ztbe","properties":{"formattedCitation":"(Tripepi et al., 2023)","plainCitation":"(Tripepi et al., 2023)","noteIndex":0},"citationItems":[{"id":"URioxLtk/ypRr9iaM","uris":["http://zotero.org/users/17126151/items/TI2L34HQ"],"itemData":{"id":116,"type":"article-journal","abstract":"Subretinal injection is performed in vitreoretinal surgery with two main aims, namely, the subretinal delivery of therapeutic agents and subretinal injection of fluid to induce a controlled and localized macular detachment. The growing interest in this technique is mainly related to its suitability to deliver gene therapy in direct contact with target tissues. However, subretinal injection has been also used for the surgical management of submacular hemorrhage through the subretinal delivery of tissue plasminogen activator, and for the repair of full-thickness macular holes, in particular refractory ones. In the light of the increasing importance of this maneuver in vitreoretinal surgery as well as of the lack of a standardized surgical approach, we conducted a comprehensive overview on the current indications for subretinal injection, surgical technique with the available variations, and the potential complications.","container-title":"International Journal of Molecular Sciences","DOI":"10.3390/ijms241310535","ISSN":"1422-0067","issue":"13","journalAbbreviation":"Int J Mol Sci","note":"PMID: 37445711\nPMCID: PMC10342145","page":"10535","source":"PubMed Central","title":"The Role of Subretinal Injection in Ophthalmic Surgery: Therapeutic Agent Delivery and Other Indications","title-short":"The Role of Subretinal Injection in Ophthalmic Surgery","volume":"24","author":[{"family":"Tripepi","given":"Domenico"},{"family":"Jalil","given":"Assad"},{"family":"Ally","given":"Naseer"},{"family":"Buzzi","given":"Matilde"},{"family":"Moussa","given":"George"},{"family":"Rothschild","given":"Pierre-Raphaël"},{"family":"Rossi","given":"Tommaso"},{"family":"Ferrara","given":"Mariantonia"},{"family":"Romano","given":"Mario R."}],"issued":{"date-parts":[["2023",6,23]]}}}],"schema":"https://github.com/citation-style-language/schema/raw/master/csl-citation.json"} </w:instrText>
      </w:r>
      <w:r w:rsidR="003A0F1D" w:rsidRPr="00D75E1D">
        <w:rPr>
          <w:rFonts w:ascii="Times New Roman" w:hAnsi="Times New Roman" w:cs="Times New Roman"/>
          <w:sz w:val="24"/>
          <w:szCs w:val="24"/>
        </w:rPr>
        <w:fldChar w:fldCharType="separate"/>
      </w:r>
      <w:r w:rsidR="00B3699E" w:rsidRPr="00D75E1D">
        <w:rPr>
          <w:rFonts w:ascii="Times New Roman" w:hAnsi="Times New Roman" w:cs="Times New Roman"/>
          <w:sz w:val="24"/>
        </w:rPr>
        <w:t>(Tripepi et al., 2023)</w:t>
      </w:r>
      <w:r w:rsidR="003A0F1D" w:rsidRPr="00D75E1D">
        <w:rPr>
          <w:rFonts w:ascii="Times New Roman" w:hAnsi="Times New Roman" w:cs="Times New Roman"/>
          <w:sz w:val="24"/>
          <w:szCs w:val="24"/>
        </w:rPr>
        <w:fldChar w:fldCharType="end"/>
      </w:r>
      <w:r w:rsidR="002D39FE">
        <w:rPr>
          <w:rFonts w:ascii="Times New Roman" w:hAnsi="Times New Roman" w:cs="Times New Roman"/>
          <w:sz w:val="24"/>
          <w:szCs w:val="24"/>
        </w:rPr>
        <w:t>.</w:t>
      </w:r>
      <w:r>
        <w:rPr>
          <w:rFonts w:ascii="Times New Roman" w:hAnsi="Times New Roman" w:cs="Times New Roman"/>
          <w:sz w:val="24"/>
          <w:szCs w:val="24"/>
        </w:rPr>
        <w:t xml:space="preserve"> </w:t>
      </w:r>
      <w:r w:rsidR="00CF5882" w:rsidRPr="00D017CD">
        <w:rPr>
          <w:rFonts w:ascii="Times New Roman" w:hAnsi="Times New Roman" w:cs="Times New Roman"/>
          <w:sz w:val="24"/>
          <w:szCs w:val="24"/>
        </w:rPr>
        <w:t>Suprachoroidal delivery involves a slightly invasive procedure; in-office injection of the viral vector is given into the space behind the retina. It can effectively target specific cell types that are causing ARMD. Research has revealed this approach to be secure and well-tolerated, allowing for precise delivery of vectors to preferred tissues through different routes of administration</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{"citationID":"yVwhOfQo","properties":{"formattedCitation":"(Planul &amp; Dalkara, 2017)","plainCitation":"(Planul &amp; Dalkara, 2017)","noteIndex":0},"citationItems":[{"id":"URioxLtk/gNgfI4s8","uris":["http://zotero.org/users/17126151/items/MZDQZ5B6"],"itemData":{"id":120,"type":"article-journal","abstract":"One of the great advantages of the retina as a target tissue for gene delivery is the wide array of genetic tools that have been developed in the past decade. This includes a variety of vectors for therapeutic gene delivery to most types of retinal neurons and glia, as well as cell type-specific promoters for restricted gene expression in distinct neuronal subtypes. Within the scope of neuroscience applications and for gene therapy, it is now routine to express reporter genes, replacement genes, neuronal activity indicators, and microbial opsins in specific neuronal types in the mouse retina. However, there are considerable anatomical, physiological, immunological, and behavioral differences between the mouse and the human that limit the usefulness of these tools in humans and nonhuman primates. Several advances are now being made toward the goal of applying viral targeting tools to understand the primate retina. Here, we describe these advances, consider their potential to advance our understanding of the primate retina, and describe what will be needed to move forward.","container-title":"Annual Review of Vision Science","DOI":"10.1146/annurev-vision-102016-061413","ISSN":"2374-4650","journalAbbreviation":"Annu Rev Vis Sci","language":"eng","note":"PMID: 28937950","page":"121-140","source":"PubMed","title":"Vectors and Gene Delivery to the Retina","volume":"3","author":[{"family":"Planul","given":"Arthur"},{"family":"Dalkara","given":"Deniz"}],"issued":{"date-parts":[["2017",9,15]]}}}],"schema":"https://github.com/citation-style-language/schema/raw/master/csl-citation.json"}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(Planul &amp; Dalkara, 2017)</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Protein production typically starts within a few weeks after injection. Bleb creation can lead to various complications like photoreceptor damage, cataracts, macular holes, retinal detachment, and increased intraocular pressure. To decrease these risks, intravitreal delivery via pars plana has been found as a less invasive alternative method for delivery. Suprachoroidal delivery offers a safer approach to delivering the gene by targeting the choroid and retinal pigment epithelium, consequently avoiding the surgical complications associated with vitrectomy</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{"citationID":"21Jjftxu","properties":{"formattedCitation":"(D. Wang et al., 2019)","plainCitation":"(D. Wang et al., 2019)","noteIndex":0},"citationItems":[{"id":"URioxLtk/8BkrvGPu","uris":["http://zotero.org/users/17126151/items/X8DSVWNE"],"itemData":{"id":123,"type":"article-journal","abstract":"Adeno-associated virus (AAV) vectors are the leading platform for gene delivery for the treatment of a variety of human diseases. Recent advances in developing clinically desirable AAV capsids, optimizing genome designs and harnessing revolutionary biotechnologies have contributed substantially to the growth of the gene therapy field. Preclinical and clinical successes in AAV-mediated gene replacement, gene silencing and gene editing have helped AAV gain popularity as the ideal therapeutic vector, with two AAV-based therapeutics gaining regulatory approval in Europe or the United States. Continued study of AAV biology and increased understanding of the associated therapeutic challenges and limitations will build the foundation for future clinical success.","container-title":"Nature Reviews. Drug Discovery","DOI":"10.1038/s41573-019-0012-9","ISSN":"1474-1784","issue":"5","journalAbbreviation":"Nat Rev Drug Discov","language":"eng","note":"PMID: 30710128\nPMCID: PMC6927556","page":"358-378","source":"PubMed","title":"Adeno-associated virus vector as a platform for gene therapy delivery","volume":"18","author":[{"family":"Wang","given":"Dan"},{"family":"Tai","given":"Phillip W. L."},{"family":"Gao","given":"Guangping"}],"issued":{"date-parts":[["2019",5]]}}}],"schema":"https://github.com/citation-style-language/schema/raw/master/csl-citation.json"}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(D. Wang et al., 2019)</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62FD7EA1" w14:textId="77777777" w:rsidR="00A42E4F" w:rsidRPr="008B35EA" w:rsidRDefault="00A42E4F" w:rsidP="008B35EA">
      <w:pPr>
        <w:spacing w:after="0" w:line="360" w:lineRule="auto"/>
        <w:jc w:val="both"/>
        <w:rPr>
          <w:rFonts w:ascii="Times New Roman" w:eastAsia="Times New Roman" w:hAnsi="Times New Roman" w:cs="Times New Roman"/>
          <w:color w:val="222222"/>
          <w:kern w:val="0"/>
          <w:sz w:val="24"/>
          <w:szCs w:val="24"/>
          <w:lang w:val="en-US"/>
        </w:rPr>
      </w:pPr>
    </w:p>
    <w:p w14:paraId="7C68D220" w14:textId="77777777" w:rsidR="00CF5882" w:rsidRPr="00D017CD" w:rsidRDefault="008023C4" w:rsidP="00C30F5C">
      <w:pPr>
        <w:spacing w:line="360" w:lineRule="auto"/>
        <w:jc w:val="center"/>
        <w:rPr>
          <w:rFonts w:ascii="Times New Roman" w:hAnsi="Times New Roman" w:cs="Times New Roman"/>
          <w:sz w:val="24"/>
          <w:szCs w:val="24"/>
        </w:rPr>
      </w:pPr>
      <w:r w:rsidRPr="00D017CD">
        <w:rPr>
          <w:rFonts w:ascii="Times New Roman" w:hAnsi="Times New Roman" w:cs="Times New Roman"/>
          <w:noProof/>
          <w:sz w:val="24"/>
          <w:szCs w:val="24"/>
          <w:lang w:val="en-US"/>
        </w:rPr>
        <w:lastRenderedPageBreak/>
        <w:drawing>
          <wp:inline distT="0" distB="0" distL="0" distR="0" wp14:anchorId="530F1540" wp14:editId="04AF16F7">
            <wp:extent cx="3816350" cy="3549650"/>
            <wp:effectExtent l="0" t="0" r="0" b="0"/>
            <wp:docPr id="1185858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0" cy="3549650"/>
                    </a:xfrm>
                    <a:prstGeom prst="rect">
                      <a:avLst/>
                    </a:prstGeom>
                    <a:noFill/>
                  </pic:spPr>
                </pic:pic>
              </a:graphicData>
            </a:graphic>
          </wp:inline>
        </w:drawing>
      </w:r>
    </w:p>
    <w:p w14:paraId="5C521C1F" w14:textId="77777777" w:rsid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b/>
          <w:bCs/>
          <w:sz w:val="24"/>
          <w:szCs w:val="24"/>
        </w:rPr>
        <w:t>Fig</w:t>
      </w:r>
      <w:r w:rsidR="00F10C78">
        <w:rPr>
          <w:rFonts w:ascii="Times New Roman" w:hAnsi="Times New Roman" w:cs="Times New Roman"/>
          <w:b/>
          <w:bCs/>
          <w:sz w:val="24"/>
          <w:szCs w:val="24"/>
        </w:rPr>
        <w:t>. 4.</w:t>
      </w:r>
      <w:r w:rsidR="008B35EA">
        <w:rPr>
          <w:rFonts w:ascii="Times New Roman" w:hAnsi="Times New Roman" w:cs="Times New Roman"/>
          <w:b/>
          <w:bCs/>
          <w:sz w:val="24"/>
          <w:szCs w:val="24"/>
        </w:rPr>
        <w:t xml:space="preserve"> </w:t>
      </w:r>
      <w:r w:rsidR="00D017CD" w:rsidRPr="00D017CD">
        <w:rPr>
          <w:rFonts w:ascii="Times New Roman" w:hAnsi="Times New Roman" w:cs="Times New Roman"/>
          <w:sz w:val="24"/>
          <w:szCs w:val="24"/>
        </w:rPr>
        <w:t xml:space="preserve">Schematic representation of various ocular gene delivery routes, including intravitreal (injection into the vitreous </w:t>
      </w:r>
      <w:proofErr w:type="spellStart"/>
      <w:r w:rsidR="00D017CD" w:rsidRPr="00D017CD">
        <w:rPr>
          <w:rFonts w:ascii="Times New Roman" w:hAnsi="Times New Roman" w:cs="Times New Roman"/>
          <w:sz w:val="24"/>
          <w:szCs w:val="24"/>
        </w:rPr>
        <w:t>humor</w:t>
      </w:r>
      <w:proofErr w:type="spellEnd"/>
      <w:r w:rsidR="00D017CD" w:rsidRPr="00D017CD">
        <w:rPr>
          <w:rFonts w:ascii="Times New Roman" w:hAnsi="Times New Roman" w:cs="Times New Roman"/>
          <w:sz w:val="24"/>
          <w:szCs w:val="24"/>
        </w:rPr>
        <w:t>), suprachoroidal (injection between the sclera and choroid), and subretinal (injection beneath the retina) administration.</w:t>
      </w:r>
    </w:p>
    <w:p w14:paraId="0FB0AE39" w14:textId="77777777" w:rsidR="00A42E4F" w:rsidRPr="00D017CD" w:rsidRDefault="00A42E4F" w:rsidP="00A42E4F">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5.1</w:t>
      </w:r>
      <w:r>
        <w:rPr>
          <w:rFonts w:ascii="Times New Roman" w:hAnsi="Times New Roman" w:cs="Times New Roman"/>
          <w:b/>
          <w:bCs/>
          <w:sz w:val="24"/>
          <w:szCs w:val="24"/>
        </w:rPr>
        <w:t xml:space="preserve"> </w:t>
      </w:r>
      <w:r w:rsidRPr="00D017CD">
        <w:rPr>
          <w:rFonts w:ascii="Times New Roman" w:hAnsi="Times New Roman" w:cs="Times New Roman"/>
          <w:b/>
          <w:bCs/>
          <w:sz w:val="24"/>
          <w:szCs w:val="24"/>
        </w:rPr>
        <w:t xml:space="preserve">Mechanism of ocular gene therapy  </w:t>
      </w:r>
    </w:p>
    <w:p w14:paraId="08186952" w14:textId="5AA7AC96" w:rsidR="00A42E4F" w:rsidRPr="00D017CD" w:rsidRDefault="00A42E4F" w:rsidP="00A42E4F">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Gene therapy for retinal diseases can be administered via subretinal or intravitreal injections, with nanoparticles emerging as a promising delivery method for genome editing</w:t>
      </w:r>
      <w:r>
        <w:rPr>
          <w:rFonts w:ascii="Times New Roman" w:hAnsi="Times New Roman" w:cs="Times New Roman"/>
          <w:sz w:val="24"/>
          <w:szCs w:val="24"/>
        </w:rPr>
        <w:t xml:space="preserve"> </w:t>
      </w:r>
      <w:r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{"citationID":"DC9Sdkvr","properties":{"formattedCitation":"(Ross &amp; Ofri, 2021)","plainCitation":"(Ross &amp; Ofri, 2021)","noteIndex":0},"citationItems":[{"id":1184,"uris":["http://zotero.org/users/15401920/items/958TPIL4"],"itemData":{"id":1184,"type":"article-journal","abstract":"Inherited retinal degenerations are a leading and untreatbale cause of blindness, and as such they are targets for gene therapy. Numerous gene therapy treatments have progressed from laboratory research to clinical trails, and a pioneering gene therapy received the first ever FDA approval for treating patients. However, currently retinal gene therapy mostly involves subretinal injection of the therapeutic agent, which treats a limited area, entails retinal detachment and other potential complications, and requires general anesthesia with consequent risks, costs and prolonged recovery. Therefore there is great impetus to develop safer, less invasive and cheapter methods of gene delivery. A promising method is intravitreal injection, that does not cause retinal detachment, can lead to pan-retinal transduction and can be performed under local anesthesia in out-patient clinics. Intravitreally-injected vectors face several obstacles. First, the vector is diluted by the vitreous and has to overcome a long diffusion distance to the target cells. Second, the vector is exposed to the host’s immune response, risking neutralization by pre-existing antibodies and triggering a stronger immune response to the injection. Third, the vector has to cross the inner limiting membrane which is both a physical and a biological barrier as it contains binding sites that could cause the vector’s sequestration. Finally, in the target cell the vector is prone to proteasome degradation before delivering the transgene to the nucleus. Strategies to overcome these obstacles include modifications of the viral capsid, through rational design or directed evolution, which allow resistance to the immune system, enhancement of penetration through the inner limiting membrane or reduced degradation by intracellular proteasomes. Furthermore, physical and chemical manipulations of the inner limiting membrane and vitreous aim to improve vector penetration. Finally, compact non-viral vectors that can overcome the immunological, physical and anatomical and barriers have been developed. This paper reviews ongoing efforts to develop novel, safe and efficacious methods for intravitreal delivery of therapeutic genes for inherited retinal degenerations. To date, the most promising results are achieved in rodents with robust, pan-retinal transduction following intravitreal delivery. Trials in larger animal models demonstrate transduction mostly of inner retinal layers. Despite ongoing efforts, currently no intravitreally-injected vector has demonstrated outer retinal transduction efficacy comparable to that of subretinal delivery. Further work is warranted to test promising new viral and non-viral vectors on large animal models of inherited retinal degenerations. Positive results will pave the way to development of the next generation of treatments for inherited retinal degeneration.","container-title":"Neural Regeneration Research","DOI":"10.4103/1673-5374.306063","ISSN":"1673-5374","issue":"9","journalAbbreviation":"Neural Regen Res","note":"PMID: 33510064\nPMCID: PMC8328774","page":"1751-1759","source":"PubMed Central","title":"The future of retinal gene therapy: evolving from subretinal to intravitreal vector delivery","title-short":"The future of retinal gene therapy","volume":"16","author":[{"family":"Ross","given":"Maya"},{"family":"Ofri","given":"Ron"}],"issued":{"date-parts":[["2021",1,25]]}}}],"schema":"https://github.com/citation-style-language/schema/raw/master/csl-citation.json"} </w:instrText>
      </w:r>
      <w:r w:rsidRPr="00D017CD">
        <w:rPr>
          <w:rFonts w:ascii="Times New Roman" w:hAnsi="Times New Roman" w:cs="Times New Roman"/>
          <w:sz w:val="24"/>
          <w:szCs w:val="24"/>
        </w:rPr>
        <w:fldChar w:fldCharType="separate"/>
      </w:r>
      <w:r w:rsidRPr="00B3699E">
        <w:rPr>
          <w:rFonts w:ascii="Times New Roman" w:hAnsi="Times New Roman" w:cs="Times New Roman"/>
          <w:sz w:val="24"/>
        </w:rPr>
        <w:t>(Ross &amp; Ofri, 2021)</w:t>
      </w:r>
      <w:r w:rsidRPr="00D017CD">
        <w:rPr>
          <w:rFonts w:ascii="Times New Roman" w:hAnsi="Times New Roman" w:cs="Times New Roman"/>
          <w:sz w:val="24"/>
          <w:szCs w:val="24"/>
        </w:rPr>
        <w:fldChar w:fldCharType="end"/>
      </w:r>
      <w:r>
        <w:rPr>
          <w:rFonts w:ascii="Times New Roman" w:hAnsi="Times New Roman" w:cs="Times New Roman"/>
          <w:sz w:val="24"/>
          <w:szCs w:val="24"/>
        </w:rPr>
        <w:t>.</w:t>
      </w:r>
      <w:r w:rsidRPr="00D017CD">
        <w:rPr>
          <w:rFonts w:ascii="Times New Roman" w:hAnsi="Times New Roman" w:cs="Times New Roman"/>
          <w:sz w:val="24"/>
          <w:szCs w:val="24"/>
        </w:rPr>
        <w:t xml:space="preserve"> These nanoparticles are designed to evade an individual’s immune system and diffuse through the ocular barrier to target</w:t>
      </w:r>
      <w:r>
        <w:rPr>
          <w:rFonts w:ascii="Times New Roman" w:hAnsi="Times New Roman" w:cs="Times New Roman"/>
          <w:sz w:val="24"/>
          <w:szCs w:val="24"/>
        </w:rPr>
        <w:t xml:space="preserve"> </w:t>
      </w:r>
      <w:r w:rsidRPr="00A42E4F">
        <w:rPr>
          <w:rFonts w:ascii="Times New Roman" w:hAnsi="Times New Roman" w:cs="Times New Roman"/>
          <w:sz w:val="24"/>
          <w:szCs w:val="24"/>
          <w:highlight w:val="yellow"/>
        </w:rPr>
        <w:t>RPE</w:t>
      </w:r>
      <w:r w:rsidRPr="00D017CD">
        <w:rPr>
          <w:rFonts w:ascii="Times New Roman" w:hAnsi="Times New Roman" w:cs="Times New Roman"/>
          <w:sz w:val="24"/>
          <w:szCs w:val="24"/>
        </w:rPr>
        <w:t xml:space="preserve"> cells. Endocytosis occurs when the plasma membrane invaginates to surround the nanoparticle</w:t>
      </w:r>
      <w:r>
        <w:rPr>
          <w:rFonts w:ascii="Times New Roman" w:hAnsi="Times New Roman" w:cs="Times New Roman"/>
          <w:sz w:val="24"/>
          <w:szCs w:val="24"/>
        </w:rPr>
        <w:t xml:space="preserve"> </w:t>
      </w:r>
      <w:r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{"citationID":"uMYWChy1","properties":{"formattedCitation":"(N. J. Mehta &amp; Mehta, 2024)","plainCitation":"(N. J. Mehta &amp; Mehta, 2024)","noteIndex":0},"citationItems":[{"id":1186,"uris":["http://zotero.org/users/15401920/items/LBMW2GAV"],"itemData":{"id":1186,"type":"article-journal","abstract":"The retina is one of the most complex and extraordinary human organs affected by genetic, metabolic, and degenerative diseases, resulting in blindness for </w:instrText>
      </w:r>
      <w:r w:rsidR="00371F19">
        <w:rPr>
          <w:rFonts w:ascii="Cambria Math" w:hAnsi="Cambria Math" w:cs="Cambria Math"/>
          <w:sz w:val="24"/>
          <w:szCs w:val="24"/>
        </w:rPr>
        <w:instrText>∼</w:instrText>
      </w:r>
      <w:r w:rsidR="00371F19">
        <w:rPr>
          <w:rFonts w:ascii="Times New Roman" w:hAnsi="Times New Roman" w:cs="Times New Roman"/>
          <w:sz w:val="24"/>
          <w:szCs w:val="24"/>
        </w:rPr>
        <w:instrText xml:space="preserve">1.3 million people in the United States and over 40 million people worldwide. This translates into a huge loss of productivity, especially among younger patients with inherited retinal diseases (IRDs) and diabetic retinopathy. Age-related macular degeneration accounts for 90% of all blindness cases worldwide. The prevalence of this condition is projected to reach over 5 million individuals over the next 3 decades. There are also &gt;20 IRD phenotypes, affecting &gt;2 million people worldwide. Nanobiotechnology uses nanotechnology for biological applications, making use of biological materials either conceptually or directly in the fabrication of new materials. Bionanotechnology, on the other hand, uses molecular biology for the purpose of creating nanostructures (ie, structures with at least 1 dimension &lt;100 nm). Retinal applications of these technologies are developing at a rapid pace. This review includes the most current nanotechnological applications in retinal diagnostics, theranostics, drug delivery, and targeting, including the potential for nonviral vehicles such as liposomes, micelles, and dendrimers, which pose advantages over viral vectors in retinal drug delivery. Furthermore, we discuss current and future applications as surgical adjuncts and in regenerative medicine as they pertain to retinal disease. Structure and function of nanoparticles such as carbon nanotubules, quantum dots, and magnetic nanoparticles, as well as diagnostic technologies such as next-generation DNA sequencing and single-molecule bionanosensing, will also be discussed.","container-title":"Journal of Ocular Pharmacology and Therapeutics","DOI":"10.1089/jop.2023.0083","ISSN":"1080-7683","issue":"1","journalAbbreviation":"J Ocul Pharmacol Ther","note":"PMID: 38052063\nPMCID: PMC10890960","page":"3-12","source":"PubMed Central","title":"Nanotechnology in Retinal Disease: Current Concepts and Future Directions","title-short":"Nanotechnology in Retinal Disease","volume":"40","author":[{"family":"Mehta","given":"Nalin J."},{"family":"Mehta","given":"Sachin N."}],"issued":{"date-parts":[["2024",2,1]]}}}],"schema":"https://github.com/citation-style-language/schema/raw/master/csl-citation.json"} </w:instrText>
      </w:r>
      <w:r w:rsidRPr="00D017CD">
        <w:rPr>
          <w:rFonts w:ascii="Times New Roman" w:hAnsi="Times New Roman" w:cs="Times New Roman"/>
          <w:sz w:val="24"/>
          <w:szCs w:val="24"/>
        </w:rPr>
        <w:fldChar w:fldCharType="separate"/>
      </w:r>
      <w:r w:rsidRPr="00B3699E">
        <w:rPr>
          <w:rFonts w:ascii="Times New Roman" w:hAnsi="Times New Roman" w:cs="Times New Roman"/>
          <w:sz w:val="24"/>
        </w:rPr>
        <w:t>(N. J. Mehta &amp; Mehta, 2024)</w:t>
      </w:r>
      <w:r w:rsidRPr="00D017CD">
        <w:rPr>
          <w:rFonts w:ascii="Times New Roman" w:hAnsi="Times New Roman" w:cs="Times New Roman"/>
          <w:sz w:val="24"/>
          <w:szCs w:val="24"/>
        </w:rPr>
        <w:fldChar w:fldCharType="end"/>
      </w:r>
      <w:r>
        <w:rPr>
          <w:rFonts w:ascii="Times New Roman" w:hAnsi="Times New Roman" w:cs="Times New Roman"/>
          <w:sz w:val="24"/>
          <w:szCs w:val="24"/>
        </w:rPr>
        <w:t>.</w:t>
      </w:r>
    </w:p>
    <w:p w14:paraId="550DACE6" w14:textId="775E7812" w:rsidR="003F1C4A" w:rsidRPr="00D017CD" w:rsidRDefault="005D5158"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 xml:space="preserve">Once inside the cell, the nanoparticles must escape the endosome and release their content, which can include mRNA, RNP, and </w:t>
      </w:r>
      <w:proofErr w:type="spellStart"/>
      <w:r w:rsidRPr="00D017CD">
        <w:rPr>
          <w:rFonts w:ascii="Times New Roman" w:hAnsi="Times New Roman" w:cs="Times New Roman"/>
          <w:sz w:val="24"/>
          <w:szCs w:val="24"/>
        </w:rPr>
        <w:t>pDNA</w:t>
      </w:r>
      <w:proofErr w:type="spellEnd"/>
      <w:r w:rsidRPr="00D017CD">
        <w:rPr>
          <w:rFonts w:ascii="Times New Roman" w:hAnsi="Times New Roman" w:cs="Times New Roman"/>
          <w:sz w:val="24"/>
          <w:szCs w:val="24"/>
        </w:rPr>
        <w:t>, into the cytosol, referred to as Cargo Release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{"citationID":"urCoZjjz","properties":{"formattedCitation":"(Brock et al., 2019)","plainCitation":"(Brock et al., 2019)","noteIndex":0},"citationItems":[{"id":1188,"uris":["http://zotero.org/users/15401920/items/SRRYG78C"],"itemData":{"id":1188,"type":"article-journal","abstract":"Cell delivery reagents often exploit the endocytic pathway as a route of cell entry. Once endocytosed, these reagents must overcome endosomal entrapment to insure the release of their macromolecular cargos into the cytosol of cells. In this review, we describe several examples of prototypical synthetic reagents that are capable of endosomal escape and examine their mechanisms of action, their efficiencies, and effects on cells. Although these delivery systems are chemically distinct, some commonalities in how they interact with cellular membranes can be inferred. This, in turn, sheds some light on the process of endosomal escape, and may help guide the development and optimization of next-generation delivery tools.,","container-title":"Bioconjugate chemistry","DOI":"10.1021/acs.bioconjchem.8b00799","ISSN":"1043-1802","issue":"2","journalAbbreviation":"Bioconjug Chem","note":"PMID: 30462487\nPMCID: PMC6561124","page":"293-304","source":"PubMed Central","title":"Endosomal escape and cytosolic penetration of macromolecules mediated by synthetic delivery agents","volume":"30","author":[{"family":"Brock","given":"Dakota J."},{"family":"Kondow-McConaghy","given":"Helena M."},{"family":"Hager","given":"Elizabeth C."},{"family":"Pellois","given":"Jean-Philippe"}],"issued":{"date-parts":[["2019",2,20]]}}}],"schema":"https://github.com/citation-style-language/schema/raw/master/csl-citation.json"}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(Brock et al., 2019)</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mRNA, RNP, and </w:t>
      </w:r>
      <w:proofErr w:type="spellStart"/>
      <w:r w:rsidRPr="00D017CD">
        <w:rPr>
          <w:rFonts w:ascii="Times New Roman" w:hAnsi="Times New Roman" w:cs="Times New Roman"/>
          <w:sz w:val="24"/>
          <w:szCs w:val="24"/>
        </w:rPr>
        <w:t>pDNA</w:t>
      </w:r>
      <w:proofErr w:type="spellEnd"/>
      <w:r w:rsidRPr="00D017CD">
        <w:rPr>
          <w:rFonts w:ascii="Times New Roman" w:hAnsi="Times New Roman" w:cs="Times New Roman"/>
          <w:sz w:val="24"/>
          <w:szCs w:val="24"/>
        </w:rPr>
        <w:t xml:space="preserve"> are transported into the nucleus, enabling further genome editing in the retinal nuclei and allowing for endogenous expression of a desired protein. Additionally, adenovirus-mediated delivery is used to introduce recombinant genetic material to host cells. The AAV virus binds with receptors present on the cell surface, followed by endocytosis, during which the nucleus releases the recombinant DNA. </w:t>
      </w:r>
      <w:r w:rsidR="00B85634" w:rsidRPr="00B85634">
        <w:rPr>
          <w:rFonts w:ascii="Times New Roman" w:hAnsi="Times New Roman" w:cs="Times New Roman"/>
          <w:sz w:val="24"/>
          <w:szCs w:val="24"/>
          <w:highlight w:val="yellow"/>
        </w:rPr>
        <w:t>The transcription</w:t>
      </w:r>
      <w:r w:rsidRPr="00B85634">
        <w:rPr>
          <w:rFonts w:ascii="Times New Roman" w:hAnsi="Times New Roman" w:cs="Times New Roman"/>
          <w:sz w:val="24"/>
          <w:szCs w:val="24"/>
          <w:highlight w:val="yellow"/>
        </w:rPr>
        <w:t xml:space="preserve"> </w:t>
      </w:r>
      <w:r w:rsidR="00B85634" w:rsidRPr="00B85634">
        <w:rPr>
          <w:rFonts w:ascii="Times New Roman" w:hAnsi="Times New Roman" w:cs="Times New Roman"/>
          <w:sz w:val="24"/>
          <w:szCs w:val="24"/>
          <w:highlight w:val="yellow"/>
        </w:rPr>
        <w:t xml:space="preserve">results in the formation of </w:t>
      </w:r>
      <w:r w:rsidRPr="00B85634">
        <w:rPr>
          <w:rFonts w:ascii="Times New Roman" w:hAnsi="Times New Roman" w:cs="Times New Roman"/>
          <w:sz w:val="24"/>
          <w:szCs w:val="24"/>
          <w:highlight w:val="yellow"/>
        </w:rPr>
        <w:t>mRNA</w:t>
      </w:r>
      <w:r w:rsidR="00B85634">
        <w:rPr>
          <w:rFonts w:ascii="Times New Roman" w:hAnsi="Times New Roman" w:cs="Times New Roman"/>
          <w:sz w:val="24"/>
          <w:szCs w:val="24"/>
        </w:rPr>
        <w:t>,</w:t>
      </w:r>
      <w:r w:rsidRPr="00D017CD">
        <w:rPr>
          <w:rFonts w:ascii="Times New Roman" w:hAnsi="Times New Roman" w:cs="Times New Roman"/>
          <w:sz w:val="24"/>
          <w:szCs w:val="24"/>
        </w:rPr>
        <w:t xml:space="preserve"> and </w:t>
      </w:r>
      <w:r w:rsidRPr="00B85634">
        <w:rPr>
          <w:rFonts w:ascii="Times New Roman" w:hAnsi="Times New Roman" w:cs="Times New Roman"/>
          <w:sz w:val="24"/>
          <w:szCs w:val="24"/>
          <w:highlight w:val="yellow"/>
        </w:rPr>
        <w:t>mRNA</w:t>
      </w:r>
      <w:r w:rsidR="00B85634" w:rsidRPr="00B85634">
        <w:rPr>
          <w:rFonts w:ascii="Times New Roman" w:hAnsi="Times New Roman" w:cs="Times New Roman"/>
          <w:sz w:val="24"/>
          <w:szCs w:val="24"/>
          <w:highlight w:val="yellow"/>
        </w:rPr>
        <w:t xml:space="preserve"> undergoes translation to</w:t>
      </w:r>
      <w:r w:rsidRPr="00B85634">
        <w:rPr>
          <w:rFonts w:ascii="Times New Roman" w:hAnsi="Times New Roman" w:cs="Times New Roman"/>
          <w:sz w:val="24"/>
          <w:szCs w:val="24"/>
          <w:highlight w:val="yellow"/>
        </w:rPr>
        <w:t xml:space="preserve"> </w:t>
      </w:r>
      <w:r w:rsidR="00B85634" w:rsidRPr="00B85634">
        <w:rPr>
          <w:rFonts w:ascii="Times New Roman" w:hAnsi="Times New Roman" w:cs="Times New Roman"/>
          <w:sz w:val="24"/>
          <w:szCs w:val="24"/>
          <w:highlight w:val="yellow"/>
        </w:rPr>
        <w:t>begin</w:t>
      </w:r>
      <w:r w:rsidRPr="00B85634">
        <w:rPr>
          <w:rFonts w:ascii="Times New Roman" w:hAnsi="Times New Roman" w:cs="Times New Roman"/>
          <w:sz w:val="24"/>
          <w:szCs w:val="24"/>
          <w:highlight w:val="yellow"/>
        </w:rPr>
        <w:t xml:space="preserve"> </w:t>
      </w:r>
      <w:r w:rsidR="00B85634" w:rsidRPr="00B85634">
        <w:rPr>
          <w:rFonts w:ascii="Times New Roman" w:hAnsi="Times New Roman" w:cs="Times New Roman"/>
          <w:sz w:val="24"/>
          <w:szCs w:val="24"/>
          <w:highlight w:val="yellow"/>
        </w:rPr>
        <w:t>the formation of</w:t>
      </w:r>
      <w:r w:rsidRPr="00B85634">
        <w:rPr>
          <w:rFonts w:ascii="Times New Roman" w:hAnsi="Times New Roman" w:cs="Times New Roman"/>
          <w:sz w:val="24"/>
          <w:szCs w:val="24"/>
          <w:highlight w:val="yellow"/>
        </w:rPr>
        <w:t xml:space="preserve"> therapeutic proteins</w:t>
      </w:r>
      <w:r w:rsidR="00825984">
        <w:rPr>
          <w:rFonts w:ascii="Times New Roman" w:hAnsi="Times New Roman" w:cs="Times New Roman"/>
          <w:b/>
          <w:bCs/>
          <w:sz w:val="24"/>
          <w:szCs w:val="24"/>
        </w:rPr>
        <w:t xml:space="preserve"> </w:t>
      </w:r>
      <w:r w:rsidR="001A4E66" w:rsidRPr="00D017CD">
        <w:rPr>
          <w:rFonts w:ascii="Times New Roman" w:hAnsi="Times New Roman" w:cs="Times New Roman"/>
          <w:b/>
          <w:bCs/>
          <w:sz w:val="24"/>
          <w:szCs w:val="24"/>
        </w:rPr>
        <w:t>Fig</w:t>
      </w:r>
      <w:r w:rsidR="00F10C78">
        <w:rPr>
          <w:rFonts w:ascii="Times New Roman" w:hAnsi="Times New Roman" w:cs="Times New Roman"/>
          <w:b/>
          <w:bCs/>
          <w:sz w:val="24"/>
          <w:szCs w:val="24"/>
        </w:rPr>
        <w:t>.</w:t>
      </w:r>
      <w:r w:rsidR="001A4E66" w:rsidRPr="00D017CD">
        <w:rPr>
          <w:rFonts w:ascii="Times New Roman" w:hAnsi="Times New Roman" w:cs="Times New Roman"/>
          <w:b/>
          <w:bCs/>
          <w:sz w:val="24"/>
          <w:szCs w:val="24"/>
        </w:rPr>
        <w:t xml:space="preserve"> 5</w:t>
      </w:r>
      <w:r w:rsidR="001D2A9D">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{"citationID":"omMaGBNW","properties":{"formattedCitation":"(Carvalho et al., 2023)","plainCitation":"(Carvalho et al., 2023)","noteIndex":0},"citationItems":[{"id":"URioxLtk/wCslCDLj","uris":["http://zotero.org/users/17126151/items/4CI5YNP4"],"itemData":{"id":125,"type":"article-journal","abstract":"Inherited retinal diseases (IRDs) encompass a diverse group of genetic disorders that lead to progressive visual impairment and blindness. Over the years, considerable strides have been made in understanding the underlying molecular mechanisms of IRDs, laying the foundation for novel therapeutic interventions. Gene therapy has emerged as a compelling approach for treating IRDs, with notable advancements achieved through targeted gene augmentation. However, several setbacks and limitations persist, hindering the widespread clinical success of gene therapy for IRDs. One promising avenue of research is the development of new genome editing tools. Cutting-edge technologies such as CRISPR-Cas9 nucleases, base editing and prime editing provide unprecedented precision and efficiency in targeted gene manipulation, offering the potential to overcome existing challenges in gene therapy for IRDs. Furthermore, traditional gene therapy encounters a significant challenge due to immune responses to viral vectors, which remain crucial obstacles in achieving long-lasting therapeutic effects. Nanotechnology has emerged as a valuable ally in the quest to optimize gene therapy outcomes for ocular diseases. Nanoparticles engineered with nanoscale precision offer improved gene delivery to specific retinal cells, allowing for enhanced targeting and reduced immunogenicity. In this review, we discuss recent advancements in gene therapy for IRDs and explore the setbacks that have been encountered in clinical trials. We highlight the technological advances in genome editing for the treatment of IRDs and how integrating nanotechnology into gene delivery strategies could enhance the safety and efficacy of gene therapy, ultimately offering hope for patients with IRDs and potentially paving the way for similar advancements in other ocular disorders.","container-title":"Frontiers in Ophthalmology","DOI":"10.3389/fopht.2023.1270561","ISSN":"2674-0826","journalAbbreviation":"Front Ophthalmol (Lausanne)","language":"eng","note":"PMID: 38983081\nPMCID: PMC11182192","page":"1270561","source":"PubMed","title":"Gene therapy for inherited retinal diseases: exploiting new tools in genome editing and nanotechnology","title-short":"Gene therapy for inherited retinal diseases","volume":"3","author":[{"family":"Carvalho","given":"Cláudia"},{"family":"Lemos","given":"Luísa"},{"family":"Antas","given":"Pedro"},{"family":"Seabra","given":"Miguel C."}],"issued":{"date-parts":[["2023"]]}}}],"schema":"https://github.com/citation-style-language/schema/raw/master/csl-citation.json"}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(Carvalho et al., 2023)</w:t>
      </w:r>
      <w:r w:rsidR="003A0F1D" w:rsidRPr="00D017CD">
        <w:rPr>
          <w:rFonts w:ascii="Times New Roman" w:hAnsi="Times New Roman" w:cs="Times New Roman"/>
          <w:sz w:val="24"/>
          <w:szCs w:val="24"/>
        </w:rPr>
        <w:fldChar w:fldCharType="end"/>
      </w:r>
      <w:r w:rsidR="001A4E66" w:rsidRPr="00D017CD">
        <w:rPr>
          <w:rFonts w:ascii="Times New Roman" w:hAnsi="Times New Roman" w:cs="Times New Roman"/>
          <w:sz w:val="24"/>
          <w:szCs w:val="24"/>
          <w:vertAlign w:val="superscript"/>
        </w:rPr>
        <w:t>,</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{"citationID":"GUTJKWBb","properties":{"formattedCitation":"(Rowe &amp; Ciulla, 2024)","plainCitation":"(Rowe &amp; Ciulla, 2024)","noteIndex":0},"citationItems":[{"id":"URioxLtk/mX2Ea5OH","uris":["http://zotero.org/users/17126151/items/4IL5JN2S"],"itemData":{"id":128,"type":"article-journal","abstract":"Gene therapy holds promise as a transformative approach in the treatment landscape of age-related macular degeneration (AMD), diabetic retinopathy (DR), and diabetic macular edema (DME), aiming to address the challenges of frequent intravitreal anti-vascular endothelial growth factor (VEGF) injections. This manuscript reviews ongoing gene therapy clinical trials for these disorders, including ABBV-RGX-314, ixoberogene soroparvovec (ixo-vec), and 4D-150. ABBV-RGX-314 utilizes an adeno-associated virus (AAV) vector to deliver a transgene encoding a ranibizumab-like anti-VEGF antibody fragment, demonstrating promising results in Phase 1/2a and ongoing Phase 2b/3 trials. Ixo-vec employs an AAV2.7m8 capsid for intravitreal delivery of a transgene expressing aflibercept, showing encouraging outcomes in Phase 1 and ongoing Phase 2 trials. 4D-150 utilizes an evolved vector to express both aflibercept and a VEGF-C inhibitory RNAi, exhibiting positive interim results in Phase 1/2 studies. Other therapies reviewed include EXG102-031, FT-003, KH631, OLX10212, JNJ-1887, 4D-175, and OCU410. These therapies offer potential advantages of reduced treatment frequency and enhanced safety profiles, representing a paradigm shift in management towards durable and efficacious cellular-based biofactories. These advancements in gene therapy hold promise for improving outcomes in AMD and addressing the complex challenges of DME and DR, providing new avenues for the treatment of diabetic eye diseases.","container-title":"Genes","DOI":"10.3390/genes15060720","ISSN":"2073-4425","issue":"6","journalAbbreviation":"Genes (Basel)","language":"eng","note":"PMID: 38927656\nPMCID: PMC11203163","page":"720","source":"PubMed","title":"Gene Therapy for Non-Hereditary Retinal Disease: Age-Related Macular Degeneration, Diabetic Retinopathy, and Beyond","title-short":"Gene Therapy for Non-Hereditary Retinal Disease","volume":"15","author":[{"family":"Rowe","given":"Lucas W."},{"family":"Ciulla","given":"Thomas A."}],"issued":{"date-parts":[["2024",6,1]]}}}],"schema":"https://github.com/citation-style-language/schema/raw/master/csl-citation.json"}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(Rowe &amp; Ciulla,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08AED304" w14:textId="77777777" w:rsidR="003F1C4A" w:rsidRPr="00D017CD" w:rsidRDefault="003F1C4A" w:rsidP="00C30F5C">
      <w:pPr>
        <w:spacing w:line="360" w:lineRule="auto"/>
        <w:jc w:val="center"/>
        <w:rPr>
          <w:rFonts w:ascii="Times New Roman" w:hAnsi="Times New Roman" w:cs="Times New Roman"/>
          <w:sz w:val="24"/>
          <w:szCs w:val="24"/>
        </w:rPr>
      </w:pPr>
      <w:r w:rsidRPr="00D017CD">
        <w:rPr>
          <w:rFonts w:ascii="Times New Roman" w:hAnsi="Times New Roman" w:cs="Times New Roman"/>
          <w:noProof/>
          <w:sz w:val="24"/>
          <w:szCs w:val="24"/>
          <w:lang w:val="en-US"/>
        </w:rPr>
        <w:lastRenderedPageBreak/>
        <w:drawing>
          <wp:inline distT="0" distB="0" distL="0" distR="0" wp14:anchorId="4C10A59F" wp14:editId="01AB60D6">
            <wp:extent cx="4734855" cy="5344160"/>
            <wp:effectExtent l="38100" t="38100" r="85090" b="85090"/>
            <wp:docPr id="75507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72257" name="Picture 755072257"/>
                    <pic:cNvPicPr/>
                  </pic:nvPicPr>
                  <pic:blipFill rotWithShape="1">
                    <a:blip r:embed="rId12" cstate="print">
                      <a:extLst>
                        <a:ext uri="{28A0092B-C50C-407E-A947-70E740481C1C}">
                          <a14:useLocalDpi xmlns:a14="http://schemas.microsoft.com/office/drawing/2010/main" val="0"/>
                        </a:ext>
                      </a:extLst>
                    </a:blip>
                    <a:srcRect b="27118"/>
                    <a:stretch/>
                  </pic:blipFill>
                  <pic:spPr bwMode="auto">
                    <a:xfrm>
                      <a:off x="0" y="0"/>
                      <a:ext cx="4734855" cy="5344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E203AA" w14:textId="77777777" w:rsidR="00603CF8" w:rsidRPr="00603CF8" w:rsidRDefault="00603CF8" w:rsidP="00603CF8">
      <w:pPr>
        <w:shd w:val="clear" w:color="auto" w:fill="FFFFFF"/>
        <w:spacing w:line="360" w:lineRule="auto"/>
        <w:jc w:val="both"/>
        <w:rPr>
          <w:rFonts w:ascii="Calibri" w:eastAsia="Times New Roman" w:hAnsi="Calibri" w:cs="Calibri"/>
          <w:color w:val="222222"/>
          <w:kern w:val="0"/>
          <w:lang w:val="en-US"/>
        </w:rPr>
      </w:pPr>
      <w:r w:rsidRPr="00603CF8">
        <w:rPr>
          <w:rFonts w:ascii="Times New Roman" w:eastAsia="Times New Roman" w:hAnsi="Times New Roman" w:cs="Times New Roman"/>
          <w:b/>
          <w:bCs/>
          <w:color w:val="222222"/>
          <w:kern w:val="0"/>
          <w:sz w:val="24"/>
          <w:szCs w:val="24"/>
        </w:rPr>
        <w:t>Fig</w:t>
      </w:r>
      <w:r w:rsidR="00825984">
        <w:rPr>
          <w:rFonts w:ascii="Times New Roman" w:eastAsia="Times New Roman" w:hAnsi="Times New Roman" w:cs="Times New Roman"/>
          <w:b/>
          <w:bCs/>
          <w:color w:val="222222"/>
          <w:kern w:val="0"/>
          <w:sz w:val="24"/>
          <w:szCs w:val="24"/>
        </w:rPr>
        <w:t xml:space="preserve">. 5. </w:t>
      </w:r>
      <w:r w:rsidRPr="00603CF8">
        <w:rPr>
          <w:rFonts w:ascii="Times New Roman" w:eastAsia="Times New Roman" w:hAnsi="Times New Roman" w:cs="Times New Roman"/>
          <w:b/>
          <w:bCs/>
          <w:color w:val="222222"/>
          <w:kern w:val="0"/>
          <w:sz w:val="24"/>
          <w:szCs w:val="24"/>
        </w:rPr>
        <w:t> </w:t>
      </w:r>
      <w:r w:rsidRPr="00603CF8">
        <w:rPr>
          <w:rFonts w:ascii="Times New Roman" w:eastAsia="Times New Roman" w:hAnsi="Times New Roman" w:cs="Times New Roman"/>
          <w:color w:val="222222"/>
          <w:kern w:val="0"/>
          <w:sz w:val="24"/>
          <w:szCs w:val="24"/>
        </w:rPr>
        <w:t>Mechanism of ocular gene therapy via subretinal administration. The recombinant DNA can be delivered using nanoparticle-mediated or adeno-associated viral vectors.</w:t>
      </w:r>
    </w:p>
    <w:p w14:paraId="3AB367FA" w14:textId="77777777" w:rsidR="00CF5882" w:rsidRPr="00D017CD" w:rsidRDefault="00CF5882" w:rsidP="00603CF8">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6.</w:t>
      </w:r>
      <w:r w:rsidR="00603CF8">
        <w:rPr>
          <w:rFonts w:ascii="Times New Roman" w:hAnsi="Times New Roman" w:cs="Times New Roman"/>
          <w:b/>
          <w:bCs/>
          <w:sz w:val="24"/>
          <w:szCs w:val="24"/>
        </w:rPr>
        <w:t xml:space="preserve"> </w:t>
      </w:r>
      <w:r w:rsidRPr="00D017CD">
        <w:rPr>
          <w:rFonts w:ascii="Times New Roman" w:hAnsi="Times New Roman" w:cs="Times New Roman"/>
          <w:b/>
          <w:bCs/>
          <w:sz w:val="24"/>
          <w:szCs w:val="24"/>
        </w:rPr>
        <w:t>Gene Therapy: ARMD clinical trials</w:t>
      </w:r>
    </w:p>
    <w:p w14:paraId="0FA8A5C9" w14:textId="77777777" w:rsidR="00CF5882" w:rsidRPr="00D017CD" w:rsidRDefault="00CF5882" w:rsidP="00603CF8">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 xml:space="preserve">6.1. PEDF- Pigment epithelial-derived growth factor </w:t>
      </w:r>
    </w:p>
    <w:p w14:paraId="53ECB9D4" w14:textId="60A2F469" w:rsidR="00CF5882" w:rsidRPr="00603CF8" w:rsidRDefault="00603CF8" w:rsidP="00603CF8">
      <w:pPr>
        <w:spacing w:line="360" w:lineRule="auto"/>
        <w:jc w:val="both"/>
        <w:rPr>
          <w:rFonts w:ascii="Calibri" w:eastAsia="Times New Roman" w:hAnsi="Calibri" w:cs="Calibri"/>
          <w:kern w:val="0"/>
          <w:lang w:val="en-US"/>
        </w:rPr>
      </w:pPr>
      <w:r w:rsidRPr="00603CF8">
        <w:rPr>
          <w:rFonts w:ascii="Times New Roman" w:eastAsia="Times New Roman" w:hAnsi="Times New Roman" w:cs="Times New Roman"/>
          <w:kern w:val="0"/>
          <w:sz w:val="24"/>
          <w:szCs w:val="24"/>
        </w:rPr>
        <w:t>Serpin F1 is a glycoprotein that inhibits neovascularisation and promotes neuronal survival by blocking angiogenesis. In a study of 2006 Phase 1 trial explored the delivery of PEDF via a single intravitreal injection of gene therapy of AAV in 28 patients with neovascular age-related macular degeneration (</w:t>
      </w:r>
      <w:proofErr w:type="spellStart"/>
      <w:r w:rsidRPr="00603CF8">
        <w:rPr>
          <w:rFonts w:ascii="Times New Roman" w:eastAsia="Times New Roman" w:hAnsi="Times New Roman" w:cs="Times New Roman"/>
          <w:kern w:val="0"/>
          <w:sz w:val="24"/>
          <w:szCs w:val="24"/>
        </w:rPr>
        <w:t>nAMD</w:t>
      </w:r>
      <w:proofErr w:type="spellEnd"/>
      <w:r w:rsidRPr="00603CF8">
        <w:rPr>
          <w:rFonts w:ascii="Times New Roman" w:eastAsia="Times New Roman" w:hAnsi="Times New Roman" w:cs="Times New Roman"/>
          <w:kern w:val="0"/>
          <w:sz w:val="24"/>
          <w:szCs w:val="24"/>
        </w:rPr>
        <w:t>) was explored</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{"citationID":"WAp3vD7X","properties":{"formattedCitation":"(Campochiaro et al., 2006)","plainCitation":"(Campochiaro et al., 2006)","noteIndex":0},"citationItems":[{"id":"URioxLtk/NE9ZQaXs","uris":["http://zotero.org/users/17126151/items/Z9XJ5T5Z"],"itemData":{"id":214,"type":"article-journal","abstract":"Twenty-eight patients with advanced neovascular age-related macular degeneration (AMD) were given a single intravitreous injection of an E1-, partial E3-, E4-deleted adenoviral vector expressing human pigment epithelium- derived factor (AdPEDF.11). Doses ranging from 10(6) to 10(9.5) particle units (PU) were investigated. There were no serious adverse events related to AdPEDF.11 and no dose-limiting toxicities. Signs of mild, transient intraocular inflammation occurred in 25% of patients, but there was no severe inflammation. Six patients experienced increased intraocular pressure that was easily controlled by topical medication. All adenoviral cultures were negative. At 3 and 6 months after injection, 55 and 50%, respectively, of patients treated with 10(6)-10(7.5) PU and 94 and 71% of patients treated with 10(8)-10(9.5) PU had no change or improvement in lesion size from baseline. The median increase in lesion size at 6 and 12 months was 0.5 and 1.0 disk areas in the low-dose group compared with 0 and 0 disk areas in the high-dose group. These data suggest the possibility of antiangiogenic activity that may last for several months after a single intravitreous injection of doses greater than 10(8) PU of AdPEDF.11. This study provides evidence that adenoviral vector-mediated ocular gene transfer is a viable approach for the treatment of ocular disorders and that further studies investigating the efficacy of AdPEDF.11 in patients with neovascular AMD should be performed.","container-title":"Human Gene Therapy","DOI":"10.1089/hum.2006.17.167","ISSN":"1043-0342","issue":"2","journalAbbreviation":"Hum Gene Ther","language":"eng","note":"PMID: 16454650","page":"167-176","source":"PubMed","title":"Adenoviral vector-delivered pigment epithelium-derived factor for neovascular age-related macular degeneration: results of a phase I clinical trial","title-short":"Adenoviral vector-delivered pigment epithelium-derived factor for neovascular age-related macular degeneration","volume":"17","author":[{"family":"Campochiaro","given":"Peter A."},{"family":"Nguyen","given":"Quan Dong"},{"family":"Shah","given":"Syed Mahmood"},{"family":"Klein","given":"Michael L."},{"family":"Holz","given":"Eric"},{"family":"Frank","given":"Robert N."},{"family":"Saperstein","given":"David A."},{"family":"Gupta","given":"Anurag"},{"family":"Stout","given":"J. Timothy"},{"family":"Macko","given":"Jennifer"},{"family":"DiBartolomeo","given":"Robert"},{"family":"Wei","given":"Lisa L."}],"issued":{"date-parts":[["2006",2]]}}}],"schema":"https://github.com/citation-style-language/schema/raw/master/csl-citation.json"}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(Campochiaro et al., 2006)</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The consequences of the study showed that patients who received a lower dose (&lt; </w:t>
      </w:r>
      <w:r w:rsidR="00CF5882" w:rsidRPr="00371F19">
        <w:rPr>
          <w:rFonts w:ascii="Times New Roman" w:hAnsi="Times New Roman" w:cs="Times New Roman"/>
          <w:sz w:val="24"/>
          <w:szCs w:val="24"/>
          <w:highlight w:val="yellow"/>
        </w:rPr>
        <w:t>10</w:t>
      </w:r>
      <w:r w:rsidR="00B85634" w:rsidRPr="00371F19">
        <w:rPr>
          <w:rFonts w:ascii="Times New Roman" w:hAnsi="Times New Roman" w:cs="Times New Roman"/>
          <w:sz w:val="24"/>
          <w:szCs w:val="24"/>
          <w:highlight w:val="yellow"/>
          <w:vertAlign w:val="superscript"/>
        </w:rPr>
        <w:t>8</w:t>
      </w:r>
      <w:r w:rsidR="00CF5882" w:rsidRPr="00D017CD">
        <w:rPr>
          <w:rFonts w:ascii="Times New Roman" w:hAnsi="Times New Roman" w:cs="Times New Roman"/>
          <w:sz w:val="24"/>
          <w:szCs w:val="24"/>
        </w:rPr>
        <w:t xml:space="preserve"> particle units) encountered reduced visual acuity and increased size of lesion, whereas those who received a higher dose </w:t>
      </w:r>
      <w:r w:rsidR="00CF5882" w:rsidRPr="00D017CD">
        <w:rPr>
          <w:rFonts w:ascii="Times New Roman" w:hAnsi="Times New Roman" w:cs="Times New Roman"/>
          <w:sz w:val="24"/>
          <w:szCs w:val="24"/>
        </w:rPr>
        <w:lastRenderedPageBreak/>
        <w:t xml:space="preserve">(at least </w:t>
      </w:r>
      <w:r w:rsidR="00CF5882" w:rsidRPr="00371F19">
        <w:rPr>
          <w:rFonts w:ascii="Times New Roman" w:hAnsi="Times New Roman" w:cs="Times New Roman"/>
          <w:sz w:val="24"/>
          <w:szCs w:val="24"/>
          <w:highlight w:val="yellow"/>
        </w:rPr>
        <w:t>10</w:t>
      </w:r>
      <w:r w:rsidR="00371F19" w:rsidRPr="00371F19">
        <w:rPr>
          <w:rFonts w:ascii="Times New Roman" w:hAnsi="Times New Roman" w:cs="Times New Roman"/>
          <w:sz w:val="24"/>
          <w:szCs w:val="24"/>
          <w:highlight w:val="yellow"/>
          <w:vertAlign w:val="superscript"/>
        </w:rPr>
        <w:t>8</w:t>
      </w:r>
      <w:r w:rsidR="00CF5882" w:rsidRPr="00D017CD">
        <w:rPr>
          <w:rFonts w:ascii="Times New Roman" w:hAnsi="Times New Roman" w:cs="Times New Roman"/>
          <w:sz w:val="24"/>
          <w:szCs w:val="24"/>
        </w:rPr>
        <w:t xml:space="preserve"> particle units) remained stable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{"citationID":"283UYr7J","properties":{"formattedCitation":"(Gehlbach et al., 2003)","plainCitation":"(Gehlbach et al., 2003)","noteIndex":0},"citationItems":[{"id":"URioxLtk/hA78j3n4","uris":["http://zotero.org/users/17126151/items/SRAQ6K5R"],"itemData":{"id":216,"type":"article-journal","abstract":"Gene transfer provides an exciting new approach for the treatment of retinal and choroidal diseases. Two areas of concern are the potential for vector-related toxicity and uncertainties associated with prolonged transgene expression. One way to address these concerns for transfer of genes encoding secreted proteins is to transduce cells on the outside of the eye, provided the gene product can gain access to the eye and have the desired effect. In this study, we investigated the feasibility of this approach. Periocular injection of an adenoviral vector encoding beta-galactosidase (AdLacZ.10) resulted in LacZ-stained cells throughout the orbit and around the eye. Compared to periocular injection of 5 x 10(9) particles of control vector, periocular injection of 5 x 10(9) or 1 x 10(9) particles of an adenoviral vector expressing pigment epithelium-derived factor (PEDF) regulated by a CMV promoter (AdPEDF.11) resulted in significantly elevated intraocular levels of PEDF and suppression of choroidal neovascularization. Periocularly injected recombinant PEDF was also found to diffuse through the sclera into the eye. Although similar experiments are needed in an animal with a human-sized eye, these data suggest that periocular gene transfer deserves consideration for the treatment of choroidal diseases.","container-title":"Gene Therapy","DOI":"10.1038/sj.gt.3301931","ISSN":"0969-7128","issue":"8","journalAbbreviation":"Gene Ther","language":"eng","note":"PMID: 12692592","page":"637-646","source":"PubMed","title":"Periocular injection of an adenoviral vector encoding pigment epithelium-derived factor inhibits choroidal neovascularization","volume":"10","author":[{"family":"Gehlbach","given":"P."},{"family":"Demetriades","given":"A. M."},{"family":"Yamamoto","given":"S."},{"family":"Deering","given":"T."},{"family":"Duh","given":"E. J."},{"family":"Yang","given":"H. S."},{"family":"Cingolani","given":"C."},{"family":"Lai","given":"H."},{"family":"Wei","given":"L."},{"family":"Campochiaro","given":"P. A."}],"issued":{"date-parts":[["2003",4]]}}}],"schema":"https://github.com/citation-style-language/schema/raw/master/csl-citation.json"}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(Gehlbach et al., 2003)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This study aimed to determine the optimal dosage rather than evaluating therapeutic efficacy</w:t>
      </w:r>
      <w:r w:rsidR="00AF1310" w:rsidRPr="00D017CD">
        <w:rPr>
          <w:rFonts w:ascii="Times New Roman" w:hAnsi="Times New Roman" w:cs="Times New Roman"/>
          <w:sz w:val="24"/>
          <w:szCs w:val="24"/>
        </w:rPr>
        <w:t>.</w:t>
      </w:r>
    </w:p>
    <w:p w14:paraId="3BA1E17E"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6.2. ADVM -022</w:t>
      </w:r>
    </w:p>
    <w:p w14:paraId="4C5472B1" w14:textId="325EFC7D"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The p</w:t>
      </w:r>
      <w:r w:rsidRPr="00603CF8">
        <w:rPr>
          <w:rFonts w:ascii="Times New Roman" w:hAnsi="Times New Roman" w:cs="Times New Roman"/>
          <w:sz w:val="24"/>
          <w:szCs w:val="24"/>
        </w:rPr>
        <w:t>hase 1 OPTIC is an open-label clinical trial. This trial assessed the safety, efficacy, and dose-finding of an office-based procedure for intravitreal gene therapy for treating ARMD</w:t>
      </w:r>
      <w:r w:rsidR="002D39FE">
        <w:rPr>
          <w:rFonts w:ascii="Times New Roman" w:hAnsi="Times New Roman" w:cs="Times New Roman"/>
          <w:sz w:val="24"/>
          <w:szCs w:val="24"/>
        </w:rPr>
        <w:t xml:space="preserve"> </w:t>
      </w:r>
      <w:r w:rsidR="003A0F1D" w:rsidRPr="00603CF8">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{"citationID":"5UZ1VMWV","properties":{"formattedCitation":"(Khanani et al., 2020)","plainCitation":"(Khanani et al., 2020)","noteIndex":0},"citationItems":[{"id":1230,"uris":["http://zotero.org/users/15401920/items/DBWFFKS4"],"itemData":{"id":1230,"type":"article-journal","abstract":"Intravitreal gene therapy has the potential to significantly reduce anti-vascular endothelial growth factor (VEGF) treatment burden and improve real-world vision outcomes in neovascular AMD (nAMD). OPTIC (NCT03748784) assessed the safety, tolerability and efficacy of a single intravitreal injection of ADVM-022 (AAV.7m8-aflibercept gene therapy) in patients with nAMD.    OPTIC is an ongoing open-label, multicenter, dose-ranging study in treatment experienced patients with a confirmed response to anti-VEGF therapy. Patients were administered a single intravitreal injection of ADVM-022 at 6x10^11 vg/eye for cohort 1 (n=6) and at 2x10^11 vg/eye for cohort 2 (n=6). Incidence and severity of adverse events, change in visual acuity (BCVA), anatomical outcomes on OCT, and number of aflibercept rescue injections were evaluated.    Patients in cohort 1 previously received frequent anti-VEGF injections (mean 6.2 injections in the prior 8 months) to maintain relatively good baseline BCVA (mean 65.8 ETDRS letters) prior to enrollment in OPTIC. Through October 1, 2019, with a median of 34 weeks follow-up (range 24, 44 weeks), there were no serious adverse events, no dose limiting toxicities and no non-ocular adverse events related to ADVM-022. Ocular inflammation occurred mainly in the anterior segment, and was generally mild and manageable with topical steroids. BCVA was maintained with a mean change of -1.5 (range -9,+5) ETDRS letters. On OCT, retinal anatomy improved with signs of exudation resolved or stabilized in all patients. No rescue injections were required for any patient. New data from the ongoing, open-label OPTIC study will be presented, including 52-week data from cohort 1. Baseline characteristics and October 1, 2019 data are in the table below.    ADVM-022 is designed to provide sustained therapeutic levels of aflibercept following a single intravitreal injection. Patients with nAMD treated with a single injection of ADVM-022 were able to maintain vision and improve anatomical outcomes without requiring any rescue anti-VEGF injections through a median of 34 weeks.  This is a 2020 ARVO Annual Meeting abstract.","container-title":"Investigative Ophthalmology &amp; Visual Science","ISSN":"1552-5783","issue":"7","journalAbbreviation":"Investigative Ophthalmology &amp; Visual Science","page":"1154","source":"Silverchair","title":"Phase 1 Study of Intravitreal Gene Therapy ADVM-022 for neovascular AMD (OPTIC Trial)","volume":"61","author":[{"family":"Khanani","given":"Arshad M."},{"family":"Kiss","given":"Szilard"},{"family":"Turpcu","given":"Adam"},{"family":"Hoang","given":"Carol"},{"family":"Osborne","given":"Aaron"}],"issued":{"date-parts":[["2020",6,10]]}}}],"schema":"https://github.com/citation-style-language/schema/raw/master/csl-citation.json"} </w:instrText>
      </w:r>
      <w:r w:rsidR="003A0F1D" w:rsidRPr="00603CF8">
        <w:rPr>
          <w:rFonts w:ascii="Times New Roman" w:hAnsi="Times New Roman" w:cs="Times New Roman"/>
          <w:sz w:val="24"/>
          <w:szCs w:val="24"/>
        </w:rPr>
        <w:fldChar w:fldCharType="separate"/>
      </w:r>
      <w:r w:rsidR="00B3699E" w:rsidRPr="00B3699E">
        <w:rPr>
          <w:rFonts w:ascii="Times New Roman" w:hAnsi="Times New Roman" w:cs="Times New Roman"/>
          <w:sz w:val="24"/>
        </w:rPr>
        <w:t>(Khanani et al., 2020)</w:t>
      </w:r>
      <w:r w:rsidR="003A0F1D" w:rsidRPr="00603CF8">
        <w:rPr>
          <w:rFonts w:ascii="Times New Roman" w:hAnsi="Times New Roman" w:cs="Times New Roman"/>
          <w:sz w:val="24"/>
          <w:szCs w:val="24"/>
        </w:rPr>
        <w:fldChar w:fldCharType="end"/>
      </w:r>
      <w:r w:rsidR="002D39FE">
        <w:rPr>
          <w:rFonts w:ascii="Times New Roman" w:hAnsi="Times New Roman" w:cs="Times New Roman"/>
          <w:sz w:val="24"/>
          <w:szCs w:val="24"/>
        </w:rPr>
        <w:t>.</w:t>
      </w:r>
      <w:r w:rsidRPr="00603CF8">
        <w:rPr>
          <w:rFonts w:ascii="Times New Roman" w:hAnsi="Times New Roman" w:cs="Times New Roman"/>
          <w:sz w:val="24"/>
          <w:szCs w:val="24"/>
        </w:rPr>
        <w:t xml:space="preserve"> </w:t>
      </w:r>
      <w:r w:rsidR="00603CF8" w:rsidRPr="00603CF8">
        <w:rPr>
          <w:rFonts w:ascii="Times New Roman" w:hAnsi="Times New Roman" w:cs="Times New Roman"/>
          <w:color w:val="222222"/>
          <w:sz w:val="24"/>
          <w:szCs w:val="24"/>
          <w:shd w:val="clear" w:color="auto" w:fill="FFFFFF"/>
        </w:rPr>
        <w:t>This study utilised the AAV2.7 m8 capsid, an engineered form of capsid from AAV2, which encodes the cDNA for a protein similar to aflibercept, an anti-vascular endothelial growth factor (VEGF) agent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{"citationID":"5IRbORsv","properties":{"formattedCitation":"(Cui et al., 2024)","plainCitation":"(Cui et al., 2024)","noteIndex":0},"citationItems":[{"id":1232,"uris":["http://zotero.org/users/15401920/items/IWFFB43M"],"itemData":{"id":1232,"type":"article-journal","abstract":"Recombinant adeno-associated virus (rAAV) vectors are currently the only proven vehicles for treating ophthalmological diseases through gene therapy. A wide range of gene therapy programs that target ocular diseases are currently being pursued. Nearly 20 years of research have gone into enhancing the efficacy of targeting retinal tissues and improving transgene delivery to specific cell types. The engineered AAV capsid, AAV2.7m8 is currently among the best capsids for transducing the retina following intravitreal (IVT) injection. However, adverse effects, including intraocular inflammation, have been reported following retinal administration of AAV2.7m8 vectors in clinical trials. Furthermore, we have consistently observed that AAV2.7m8 exhibits low packaging titers irrespective of the vector construct design. In this report, we found that AAV2.7m8 packages vector genomes with a higher degree of heterogeneity than AAV2. We also found that genome-loaded AAV2.7m8 stimulated the infiltration of microglia in mouse retinas following IVT administration, while the response to genome-loaded AAV2 and empty AAV2.7m8 capsids produced much milder responses. This finding suggests that IVT administration of AAV2.7m8 vectors may stimulate retinal immune responses in part because of its penchant to package and deliver non-unit length genomes.","container-title":"Gene therapy","DOI":"10.1038/s41434-024-00477-7","ISSN":"0969-7128","issue":"9-10","journalAbbreviation":"Gene Ther","note":"PMID: 39134629\nPMCID: PMC11600122","page":"489-498","source":"PubMed Central","title":"The AAV2.7m8 capsid packages a higher degree of heterogeneous vector genomes than AAV2","volume":"31","author":[{"family":"Cui","given":"Mengtian"},{"family":"Su","given":"Qin"},{"family":"Yip","given":"Mitchell"},{"family":"McGowan","given":"Jackson"},{"family":"Punzo","given":"Claudio"},{"family":"Gao","given":"Guangping"},{"family":"Tai","given":"Phillip W. L."}],"issued":{"date-parts":[["2024",9]]}}}],"schema":"https://github.com/citation-style-language/schema/raw/master/csl-citation.json"}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(Cui et al.,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603CF8">
        <w:rPr>
          <w:rFonts w:ascii="Times New Roman" w:hAnsi="Times New Roman" w:cs="Times New Roman"/>
          <w:sz w:val="24"/>
          <w:szCs w:val="24"/>
        </w:rPr>
        <w:t xml:space="preserve"> </w:t>
      </w:r>
      <w:proofErr w:type="spellStart"/>
      <w:r w:rsidRPr="00D017CD">
        <w:rPr>
          <w:rFonts w:ascii="Times New Roman" w:hAnsi="Times New Roman" w:cs="Times New Roman"/>
          <w:sz w:val="24"/>
          <w:szCs w:val="24"/>
        </w:rPr>
        <w:t>Adverum</w:t>
      </w:r>
      <w:proofErr w:type="spellEnd"/>
      <w:r w:rsidRPr="00D017CD">
        <w:rPr>
          <w:rFonts w:ascii="Times New Roman" w:hAnsi="Times New Roman" w:cs="Times New Roman"/>
          <w:sz w:val="24"/>
          <w:szCs w:val="24"/>
        </w:rPr>
        <w:t xml:space="preserve"> Biotechnology designed and started a Phase 1 trial study profile of intravitreal ADM-022. Trials were conducted on ARMD patients, previously controlled by frequent anti-VEGF injections, and who received high or low doses of ADVM-022 (</w:t>
      </w:r>
      <w:proofErr w:type="spellStart"/>
      <w:r w:rsidRPr="00D017CD">
        <w:rPr>
          <w:rFonts w:ascii="Times New Roman" w:hAnsi="Times New Roman" w:cs="Times New Roman"/>
          <w:sz w:val="24"/>
          <w:szCs w:val="24"/>
        </w:rPr>
        <w:t>ixoberogenesoroparvovec</w:t>
      </w:r>
      <w:proofErr w:type="spellEnd"/>
      <w:r w:rsidRPr="00D017CD">
        <w:rPr>
          <w:rFonts w:ascii="Times New Roman" w:hAnsi="Times New Roman" w:cs="Times New Roman"/>
          <w:sz w:val="24"/>
          <w:szCs w:val="24"/>
        </w:rPr>
        <w:t xml:space="preserve">). The number of anti-VEGF injections was reduced by up to 98% in the high-dose population and 80% in the low-dose group. OPTIC study trial showed, injecting </w:t>
      </w:r>
      <w:proofErr w:type="spellStart"/>
      <w:r w:rsidRPr="00D017CD">
        <w:rPr>
          <w:rFonts w:ascii="Times New Roman" w:hAnsi="Times New Roman" w:cs="Times New Roman"/>
          <w:sz w:val="24"/>
          <w:szCs w:val="24"/>
        </w:rPr>
        <w:t>Ixo-vec</w:t>
      </w:r>
      <w:proofErr w:type="spellEnd"/>
      <w:r w:rsidRPr="00D017CD">
        <w:rPr>
          <w:rFonts w:ascii="Times New Roman" w:hAnsi="Times New Roman" w:cs="Times New Roman"/>
          <w:sz w:val="24"/>
          <w:szCs w:val="24"/>
        </w:rPr>
        <w:t xml:space="preserve"> encouraged steady points of intraocular aflibercept, best corrected visual acuity remained constant, and a remarkable decrease in anti-VEGF injections, replaced by a solo injection of the </w:t>
      </w:r>
      <w:proofErr w:type="spellStart"/>
      <w:r w:rsidRPr="00D017CD">
        <w:rPr>
          <w:rFonts w:ascii="Times New Roman" w:hAnsi="Times New Roman" w:cs="Times New Roman"/>
          <w:sz w:val="24"/>
          <w:szCs w:val="24"/>
        </w:rPr>
        <w:t>ixoberogene</w:t>
      </w:r>
      <w:proofErr w:type="spellEnd"/>
      <w:r w:rsidRPr="00D017CD">
        <w:rPr>
          <w:rFonts w:ascii="Times New Roman" w:hAnsi="Times New Roman" w:cs="Times New Roman"/>
          <w:sz w:val="24"/>
          <w:szCs w:val="24"/>
        </w:rPr>
        <w:t xml:space="preserve"> </w:t>
      </w:r>
      <w:proofErr w:type="spellStart"/>
      <w:r w:rsidRPr="00D017CD">
        <w:rPr>
          <w:rFonts w:ascii="Times New Roman" w:hAnsi="Times New Roman" w:cs="Times New Roman"/>
          <w:sz w:val="24"/>
          <w:szCs w:val="24"/>
        </w:rPr>
        <w:t>soroparvovec</w:t>
      </w:r>
      <w:proofErr w:type="spellEnd"/>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{"citationID":"r85GAQZu","properties":{"formattedCitation":"(Wojciechowski et al., 2025)","plainCitation":"(Wojciechowski et al., 2025)","noteIndex":0},"citationItems":[{"id":1214,"uris":["http://zotero.org/users/15401920/items/NDGT9QTZ"],"itemData":{"id":1214,"type":"article-journal","abstract":"Aflibercept 8 mg administered in extended dosing intervals has shown non-inferior visual gains and comparable safety profile to aflibercept 2 mg in the PULSAR pivotal randomized clinical trial and has the potential to reduce the treatment burden of ...","container-title":"Ophthalmology and Therapy","DOI":"10.1007/s40123-025-01098-y","issue":"4","language":"en","note":"PMID: 39994103","page":"733","source":"pmc.ncbi.nlm.nih.gov","title":"Efficacy, Safety, and Injection Frequency with Novel Aflibercept 8 mg in Neovascular Age-Related Macular Degeneration: A Comparison with Existing Anti-VEGF Regimens Using a Bayesian Network Meta-Analysis","title-short":"Efficacy, Safety, and Injection Frequency with Novel Aflibercept 8 mg in Neovascular Age-Related Macular Degeneration","volume":"14","author":[{"family":"Wojciechowski","given":"Piotr"},{"family":"Wdowiak","given":"Marlena"},{"family":"Panek","given":"Malgorzata"},{"family":"Lunk","given":"Izabella"},{"family":"Carrasco","given":"Joao"},{"family":"Zhang","given":"Xin"},{"family":"Wu","given":"Olivia"},{"family":"Korobelnik","given":"Jean-François"},{"family":"Lanzetta","given":"Paolo"}],"issued":{"date-parts":[["2025",2,24]]}}}],"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(Wojciechowski et al., 2025)</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The results revealed a significant yearly drop in anti-VEGF injections for ARMD, with a 94% decrease for the higher dose (2×10</w:t>
      </w:r>
      <w:r w:rsidRPr="007416ED">
        <w:rPr>
          <w:rFonts w:ascii="Times New Roman" w:hAnsi="Times New Roman" w:cs="Times New Roman"/>
          <w:sz w:val="24"/>
          <w:szCs w:val="24"/>
          <w:vertAlign w:val="superscript"/>
        </w:rPr>
        <w:t>11</w:t>
      </w:r>
      <w:r w:rsidRPr="00D017CD">
        <w:rPr>
          <w:rFonts w:ascii="Times New Roman" w:hAnsi="Times New Roman" w:cs="Times New Roman"/>
          <w:sz w:val="24"/>
          <w:szCs w:val="24"/>
        </w:rPr>
        <w:t xml:space="preserve"> vg/eye) and a 90% decrease for the lower dose (6×10</w:t>
      </w:r>
      <w:r w:rsidRPr="007416ED">
        <w:rPr>
          <w:rFonts w:ascii="Times New Roman" w:hAnsi="Times New Roman" w:cs="Times New Roman"/>
          <w:sz w:val="24"/>
          <w:szCs w:val="24"/>
          <w:vertAlign w:val="superscript"/>
        </w:rPr>
        <w:t>10</w:t>
      </w:r>
      <w:r w:rsidRPr="00D017CD">
        <w:rPr>
          <w:rFonts w:ascii="Times New Roman" w:hAnsi="Times New Roman" w:cs="Times New Roman"/>
          <w:sz w:val="24"/>
          <w:szCs w:val="24"/>
        </w:rPr>
        <w:t xml:space="preserve"> vg/eye), respectively, to an injection-free period of 85% and 68%</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{"citationID":"7W0K9v7R","properties":{"formattedCitation":"(Dalkara et al., 2013)","plainCitation":"(Dalkara et al., 2013)","noteIndex":0},"citationItems":[{"id":"URioxLtk/IWAFdo0j","uris":["http://zotero.org/users/17126151/items/YEM7G8GQ"],"itemData":{"id":140,"type":"article-journal","abstract":"Inherited retinal degenerative diseases are a clinically promising focus of adeno-associated virus (AAV)-mediated gene therapy. These diseases arise from pathogenic mutations in mRNA transcripts expressed in the eye's photoreceptor cells or retinal pigment epithelium (RPE), leading to cell death and structural deterioration. Because current gene delivery methods require an injurious subretinal injection to reach the photoreceptors or RPE and transduce just a fraction of the retina, they are suitable only for the treatment of rare degenerative diseases in which retinal structures remain intact. To address the need for broadly applicable gene delivery approaches, we implemented in vivo-directed evolution to engineer AAV variants that deliver the gene cargo to the outer retina after injection into the eye's easily accessible vitreous humor. This approach has general implications for situations in which dense tissue penetration poses a barrier for gene delivery. A resulting AAV variant mediated widespread delivery to the outer retina and rescued the disease phenotypes of X-linked retinoschisis and Leber's congenital amaurosis in corresponding mouse models. Furthermore, it enabled transduction of primate photoreceptors from the vitreous, expanding its therapeutic promise.","container-title":"Science Translational Medicine","DOI":"10.1126/scitranslmed.3005708","ISSN":"1946-6242","issue":"189","journalAbbreviation":"Sci Transl Med","language":"eng","note":"PMID: 23761039","page":"189ra76","source":"PubMed","title":"In vivo-directed evolution of a new adeno-associated virus for therapeutic outer retinal gene delivery from the vitreous","volume":"5","author":[{"family":"Dalkara","given":"Deniz"},{"family":"Byrne","given":"Leah C."},{"family":"Klimczak","given":"Ryan R."},{"family":"Visel","given":"Meike"},{"family":"Yin","given":"Lu"},{"family":"Merigan","given":"William H."},{"family":"Flannery","given":"John G."},{"family":"Schaffer","given":"David V."}],"issued":{"date-parts":[["2013",6,12]]}}}],"schema":"https://github.com/citation-style-language/schema/raw/master/csl-citation.json"}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(Dalkara et al., 2013)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5EC0DAEC"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 xml:space="preserve">6.3. Endostatins and Angiostatins </w:t>
      </w:r>
    </w:p>
    <w:p w14:paraId="279B7BC8" w14:textId="4274B267" w:rsidR="00CF5882" w:rsidRPr="00BD0CAB" w:rsidRDefault="00CF5882" w:rsidP="00BD0CAB">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A lentiviral vector that encodes endostatin and Angiostatin, both are inhibitors of angiogenesis, helps to stop the formation of new blood vessels and is investigated as a therapeutic agent</w:t>
      </w:r>
      <w:r w:rsidR="00371F19">
        <w:rPr>
          <w:rFonts w:ascii="Times New Roman" w:hAnsi="Times New Roman" w:cs="Times New Roman"/>
          <w:sz w:val="24"/>
          <w:szCs w:val="24"/>
        </w:rPr>
        <w:t xml:space="preserve"> </w:t>
      </w:r>
      <w:r w:rsidR="00371F19" w:rsidRPr="00371F19">
        <w:rPr>
          <w:rFonts w:ascii="Times New Roman" w:hAnsi="Times New Roman" w:cs="Times New Roman"/>
          <w:sz w:val="24"/>
          <w:szCs w:val="24"/>
          <w:highlight w:val="yellow"/>
        </w:rPr>
        <w:fldChar w:fldCharType="begin"/>
      </w:r>
      <w:r w:rsidR="00371F19" w:rsidRPr="00371F19">
        <w:rPr>
          <w:rFonts w:ascii="Times New Roman" w:hAnsi="Times New Roman" w:cs="Times New Roman"/>
          <w:sz w:val="24"/>
          <w:szCs w:val="24"/>
          <w:highlight w:val="yellow"/>
        </w:rPr>
        <w:instrText xml:space="preserve"> ADDIN ZOTERO_ITEM CSL_CITATION {"citationID":"64qAoI6S","properties":{"formattedCitation":"(Li et al., 2018)","plainCitation":"(Li et al., 2018)","noteIndex":0},"citationItems":[{"id":1246,"uris":["http://zotero.org/users/15401920/items/8JAI7KBF"],"itemData":{"id":1246,"type":"article-journal","abstract":"When Folkman first suggested a theory about the association between angiogenesis and tumor growth in 1971, the hypothesis of targeting angiogenesis to treat cancer was formed. Since then, various studies conducted across the world have additionally confirmed the theory of Folkman, and numerous efforts have been made to explore the possibilities of curing cancer by targeting angiogenesis. Among them, anti-angiogenic gene therapy has received attention due to its apparent advantages. Although specific problems remain prior to cancer being fully curable using anti-angiogenic gene therapy, several methods have been explored, and progress has been made in pre-clinical and clinical settings over previous decades. The present review aimed to provide up-to-date information concerning tumor angiogenesis and gene delivery systems in anti-angiogenic gene therapy, with a focus on recent developments in the study and application of the most commonly studied and newly identified anti-angiogenic candidates for anti-angiogenesis gene therapy, including interleukin-12, angiostatin, endostatin, tumstatin, anti-angiogenic metargidin peptide and endoglin silencing.","container-title":"Oncology Letters","DOI":"10.3892/ol.2018.8733","ISSN":"1792-1074","issue":"1","journalAbbreviation":"Oncol Lett","note":"PMID: 29963134\nPMCID: PMC6019900","page":"687-702","source":"PubMed Central","title":"Tumor angiogenesis and anti-angiogenic gene therapy for cancer","volume":"16","author":[{"family":"Li","given":"Tinglu"},{"family":"Kang","given":"Guangbo"},{"family":"Wang","given":"Tingyue"},{"family":"Huang","given":"He"}],"issued":{"date-parts":[["2018",7]]}}}],"schema":"https://github.com/citation-style-language/schema/raw/master/csl-citation.json"} </w:instrText>
      </w:r>
      <w:r w:rsidR="00371F19" w:rsidRPr="00371F19">
        <w:rPr>
          <w:rFonts w:ascii="Times New Roman" w:hAnsi="Times New Roman" w:cs="Times New Roman"/>
          <w:sz w:val="24"/>
          <w:szCs w:val="24"/>
          <w:highlight w:val="yellow"/>
        </w:rPr>
        <w:fldChar w:fldCharType="separate"/>
      </w:r>
      <w:r w:rsidR="00371F19" w:rsidRPr="00371F19">
        <w:rPr>
          <w:rFonts w:ascii="Times New Roman" w:hAnsi="Times New Roman" w:cs="Times New Roman"/>
          <w:sz w:val="24"/>
          <w:highlight w:val="yellow"/>
        </w:rPr>
        <w:t>(Li et al., 2018)</w:t>
      </w:r>
      <w:r w:rsidR="00371F19" w:rsidRPr="00371F19">
        <w:rPr>
          <w:rFonts w:ascii="Times New Roman" w:hAnsi="Times New Roman" w:cs="Times New Roman"/>
          <w:sz w:val="24"/>
          <w:szCs w:val="24"/>
          <w:highlight w:val="yellow"/>
        </w:rPr>
        <w:fldChar w:fldCharType="end"/>
      </w:r>
      <w:r w:rsidR="00401824">
        <w:rPr>
          <w:rFonts w:ascii="Times New Roman" w:hAnsi="Times New Roman" w:cs="Times New Roman"/>
          <w:sz w:val="24"/>
          <w:szCs w:val="24"/>
        </w:rPr>
        <w:t>.</w:t>
      </w:r>
      <w:r w:rsidR="007416ED">
        <w:rPr>
          <w:rFonts w:ascii="Times New Roman" w:hAnsi="Times New Roman" w:cs="Times New Roman"/>
          <w:sz w:val="24"/>
          <w:szCs w:val="24"/>
        </w:rPr>
        <w:t xml:space="preserve"> </w:t>
      </w:r>
      <w:proofErr w:type="spellStart"/>
      <w:r w:rsidRPr="00D017CD">
        <w:rPr>
          <w:rFonts w:ascii="Times New Roman" w:hAnsi="Times New Roman" w:cs="Times New Roman"/>
          <w:sz w:val="24"/>
          <w:szCs w:val="24"/>
        </w:rPr>
        <w:t>Retinostat</w:t>
      </w:r>
      <w:proofErr w:type="spellEnd"/>
      <w:r w:rsidRPr="00D017CD">
        <w:rPr>
          <w:rFonts w:ascii="Times New Roman" w:hAnsi="Times New Roman" w:cs="Times New Roman"/>
          <w:sz w:val="24"/>
          <w:szCs w:val="24"/>
        </w:rPr>
        <w:t xml:space="preserve"> (Oxford </w:t>
      </w:r>
      <w:proofErr w:type="spellStart"/>
      <w:r w:rsidRPr="00D017CD">
        <w:rPr>
          <w:rFonts w:ascii="Times New Roman" w:hAnsi="Times New Roman" w:cs="Times New Roman"/>
          <w:sz w:val="24"/>
          <w:szCs w:val="24"/>
        </w:rPr>
        <w:t>Biomedia</w:t>
      </w:r>
      <w:proofErr w:type="spellEnd"/>
      <w:r w:rsidRPr="00D017CD">
        <w:rPr>
          <w:rFonts w:ascii="Times New Roman" w:hAnsi="Times New Roman" w:cs="Times New Roman"/>
          <w:sz w:val="24"/>
          <w:szCs w:val="24"/>
        </w:rPr>
        <w:t xml:space="preserve">) is an equine infectious </w:t>
      </w:r>
      <w:r w:rsidR="007416ED" w:rsidRPr="00D017CD">
        <w:rPr>
          <w:rFonts w:ascii="Times New Roman" w:hAnsi="Times New Roman" w:cs="Times New Roman"/>
          <w:sz w:val="24"/>
          <w:szCs w:val="24"/>
        </w:rPr>
        <w:t>vector;</w:t>
      </w:r>
      <w:r w:rsidRPr="00D017CD">
        <w:rPr>
          <w:rFonts w:ascii="Times New Roman" w:hAnsi="Times New Roman" w:cs="Times New Roman"/>
          <w:sz w:val="24"/>
          <w:szCs w:val="24"/>
        </w:rPr>
        <w:t xml:space="preserve"> it showed good preclinical results on mice. Endostatin inhibits endothelial cell proliferation and </w:t>
      </w:r>
      <w:r w:rsidRPr="00BD0CAB">
        <w:rPr>
          <w:rFonts w:ascii="Times New Roman" w:hAnsi="Times New Roman" w:cs="Times New Roman"/>
          <w:sz w:val="24"/>
          <w:szCs w:val="24"/>
        </w:rPr>
        <w:t>migration, while angiostatin blocks endothelial cell proliferation and induces apoptosis</w:t>
      </w:r>
      <w:r w:rsidR="00401824">
        <w:rPr>
          <w:rFonts w:ascii="Times New Roman" w:hAnsi="Times New Roman" w:cs="Times New Roman"/>
          <w:sz w:val="24"/>
          <w:szCs w:val="24"/>
        </w:rPr>
        <w:t xml:space="preserve"> </w:t>
      </w:r>
      <w:r w:rsidR="003A0F1D" w:rsidRPr="00BD0CAB">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{"citationID":"nigHJdCm","properties":{"formattedCitation":"(Campochiaro et al., 2017)","plainCitation":"(Campochiaro et al., 2017)","noteIndex":0},"citationItems":[{"id":"URioxLtk/mpU9NDh5","uris":["http://zotero.org/users/17126151/items/69ZHT4FA"],"itemData":{"id":144,"type":"article-journal","abstract":"Neovascular age-related macular degeneration (NVAMD) is a prevalent cause of vision loss. Intraocular injections of VEGF-neutralizing proteins provide benefit, but many patients require frequent injections for a prolonged period. Benefits are often lost over time due to lapses in treatment. New treatments that sustain anti-angiogenic activity are needed. This study tested the safety and expression profile of a lentiviral Equine Infectious Anemia Virus (EIAV) vector expressing endostatin and angiostatin (RetinoStat®). Patients with advanced NVAMD were enrolled at three centers in the United States, and the study eye received a subretinal injection of 2.4 × 104 (n = 3), 2.4 × 105 (n = 3), or 8.0 × 105 transduction units (TU; n = 15). Each of the doses was well-tolerated with no dose-limiting toxicities. There was little or no ocular inflammation. There was one procedure-related serious adverse event (AE), a macular hole, which was managed without difficulty and resolved. There was a vector dose-related increase in aqueous humor levels of endostatin and angiostatin with high reproducibility among subjects within cohorts. Mean levels of endostatin and angiostatin peaked between 12 and 24 weeks after injection of 2.4 × 105 TU or 8.0 × 105 TU at 57-81 ng/mL for endostatin and 15-27 ng/mL for angiostatin, and remained stable through the last measurement at week 48. Long-term follow-up demonstrated expression was maintained at last measurement (2.5 years in eight subjects and &gt;4 years in two subjects). Despite an apparent reduction in fluorescein angiographic leakage that broadly correlated with the expression levels in the majority of patients, only one subject showed convincing evidence of anti-permeability activity in these late-stage patients. There was no significant change in mean lesion size in subjects injected with 8.0 × 105 TU. These data demonstrate that EIAV vectors provide a safe platform with robust and sustained transgene expression for ocular gene therapy.","container-title":"Human Gene Therapy","DOI":"10.1089/hum.2016.117","ISSN":"1557-7422","issue":"1","journalAbbreviation":"Hum Gene Ther","language":"eng","note":"PMID: 27710144\nPMCID: PMC5278797","page":"99-111","source":"PubMed","title":"Lentiviral Vector Gene Transfer of Endostatin/Angiostatin for Macular Degeneration (GEM) Study","volume":"28","author":[{"family":"Campochiaro","given":"Peter A."},{"family":"Lauer","given":"Andreas K."},{"family":"Sohn","given":"Elliott H."},{"family":"Mir","given":"Tahreem A."},{"family":"Naylor","given":"Stuart"},{"family":"Anderton","given":"Matthew C."},{"family":"Kelleher","given":"Michelle"},{"family":"Harrop","given":"Richard"},{"family":"Ellis","given":"Scott"},{"family":"Mitrophanous","given":"Kyriacos A."}],"issued":{"date-parts":[["2017",1]]}}}],"schema":"https://github.com/citation-style-language/schema/raw/master/csl-citation.json"} </w:instrText>
      </w:r>
      <w:r w:rsidR="003A0F1D" w:rsidRPr="00BD0CAB">
        <w:rPr>
          <w:rFonts w:ascii="Times New Roman" w:hAnsi="Times New Roman" w:cs="Times New Roman"/>
          <w:sz w:val="24"/>
          <w:szCs w:val="24"/>
        </w:rPr>
        <w:fldChar w:fldCharType="separate"/>
      </w:r>
      <w:r w:rsidR="00B3699E" w:rsidRPr="00B3699E">
        <w:rPr>
          <w:rFonts w:ascii="Times New Roman" w:hAnsi="Times New Roman" w:cs="Times New Roman"/>
          <w:sz w:val="24"/>
        </w:rPr>
        <w:t>(Campochiaro et al., 2017)</w:t>
      </w:r>
      <w:r w:rsidR="003A0F1D" w:rsidRPr="00BD0CAB">
        <w:rPr>
          <w:rFonts w:ascii="Times New Roman" w:hAnsi="Times New Roman" w:cs="Times New Roman"/>
          <w:sz w:val="24"/>
          <w:szCs w:val="24"/>
        </w:rPr>
        <w:fldChar w:fldCharType="end"/>
      </w:r>
      <w:r w:rsidR="00401824">
        <w:rPr>
          <w:rFonts w:ascii="Times New Roman" w:hAnsi="Times New Roman" w:cs="Times New Roman"/>
          <w:sz w:val="24"/>
          <w:szCs w:val="24"/>
        </w:rPr>
        <w:t>.</w:t>
      </w:r>
      <w:r w:rsidRPr="00BD0CAB">
        <w:rPr>
          <w:rFonts w:ascii="Times New Roman" w:hAnsi="Times New Roman" w:cs="Times New Roman"/>
          <w:sz w:val="24"/>
          <w:szCs w:val="24"/>
        </w:rPr>
        <w:t xml:space="preserve"> The Phase 1 clinical trial enrolled 21 patients with advanced ARMD into 3 cohorts. Resulted in Gene therapy, which was safe, well tolerated, and generated a sustained expression of VEGF-neutralising protein. Ongoing Study and long-term effects are still not evaluated</w:t>
      </w:r>
      <w:r w:rsidR="00401824">
        <w:rPr>
          <w:rFonts w:ascii="Times New Roman" w:hAnsi="Times New Roman" w:cs="Times New Roman"/>
          <w:sz w:val="24"/>
          <w:szCs w:val="24"/>
        </w:rPr>
        <w:t xml:space="preserve"> </w:t>
      </w:r>
      <w:r w:rsidR="003A0F1D" w:rsidRPr="00BD0CAB">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{"citationID":"9oZRFWLQ","properties":{"formattedCitation":"(Binley et al., 2012)","plainCitation":"(Binley et al., 2012)","noteIndex":0},"citationItems":[{"id":"URioxLtk/KLwi6LpK","uris":["http://zotero.org/users/17126151/items/JL7D55CU"],"itemData":{"id":147,"type":"article-journal","abstract":"RetinoStat(®) is an equine infectious anemia virus-based lentiviral gene therapy vector that expresses the angiostatic proteins endostatin and angiostatin that is delivered via a subretinal injection for the treatment of the wet form of age-related macular degeneration. We initiated 6-month safety and biodistribution studies in two species; rhesus macaques and Dutch belted rabbits. After subretinal administration of RetinoStat the level of human endostatin and angiostatin proteins in the vitreous of treated rabbit eyes peaked at </w:instrText>
      </w:r>
      <w:r w:rsidR="00D111A2">
        <w:rPr>
          <w:rFonts w:ascii="Cambria Math" w:hAnsi="Cambria Math" w:cs="Cambria Math"/>
          <w:sz w:val="24"/>
          <w:szCs w:val="24"/>
        </w:rPr>
        <w:instrText>∼</w:instrText>
      </w:r>
      <w:r w:rsidR="00D111A2">
        <w:rPr>
          <w:rFonts w:ascii="Times New Roman" w:hAnsi="Times New Roman" w:cs="Times New Roman"/>
          <w:sz w:val="24"/>
          <w:szCs w:val="24"/>
        </w:rPr>
        <w:instrText xml:space="preserve">1 month after dosing and remained elevated for the duration of the study. Regular ocular examinations revealed a mild to moderate transient ocular inflammation that resolved within 1 month of dosing in both species. There were no significant long-term changes in the electroretinograms or intraocular pressure measurements in either rabbits or macaques postdosing compared with the baseline reading in RetinoStat-treated eyes. Histological evaluation did not reveal any structural changes in the eye although there was an infiltration of mononuclear cells in the vitreous, retina, and choroid. No antibodies to any of the RetinoStat vector components or the transgenes could be detected in the serum from either species, and biodistribution analysis demonstrated that the RetinoStat vector was maintained within the ocular compartment. In summary, these studies found RetinoStat to be well tolerated, localized, and capable of persistent expression after subretinal delivery.","container-title":"Human Gene Therapy","DOI":"10.1089/hum.2012.008","ISSN":"1557-7422","issue":"9","journalAbbreviation":"Hum Gene Ther","language":"eng","note":"PMID: 22716662","page":"980-991","source":"PubMed","title":"Safety and biodistribution of an equine infectious anemia virus-based gene therapy, RetinoStat(®), for age-related macular degeneration","volume":"23","author":[{"family":"Binley","given":"Katie"},{"family":"Widdowson","given":"Peter S."},{"family":"Kelleher","given":"Michelle"},{"family":"Belin","given":"Jackie","non-dropping-particle":"de"},{"family":"Loader","given":"Julie"},{"family":"Ferrige","given":"Georgina"},{"family":"Carlucci","given":"Marie"},{"family":"Esapa","given":"Margaret"},{"family":"Chipchase","given":"Daniel"},{"family":"Angell-Manning","given":"Diana"},{"family":"Ellis","given":"Scott"},{"family":"Mitrophanous","given":"Kyriacos"},{"family":"Miskin","given":"James"},{"family":"Bantseev","given":"Vlad"},{"family":"Nork","given":"T. Michael"},{"family":"Miller","given":"Paul"},{"family":"Naylor","given":"Stuart"}],"issued":{"date-parts":[["2012",9]]}}}],"schema":"https://github.com/citation-style-language/schema/raw/master/csl-citation.json"} </w:instrText>
      </w:r>
      <w:r w:rsidR="003A0F1D" w:rsidRPr="00BD0CAB">
        <w:rPr>
          <w:rFonts w:ascii="Times New Roman" w:hAnsi="Times New Roman" w:cs="Times New Roman"/>
          <w:sz w:val="24"/>
          <w:szCs w:val="24"/>
        </w:rPr>
        <w:fldChar w:fldCharType="separate"/>
      </w:r>
      <w:r w:rsidR="00B3699E" w:rsidRPr="00B3699E">
        <w:rPr>
          <w:rFonts w:ascii="Times New Roman" w:hAnsi="Times New Roman" w:cs="Times New Roman"/>
          <w:sz w:val="24"/>
        </w:rPr>
        <w:t>(Binley et al., 2012)</w:t>
      </w:r>
      <w:r w:rsidR="003A0F1D" w:rsidRPr="00BD0CAB">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12E87EA7" w14:textId="77777777" w:rsidR="00CF5882" w:rsidRPr="00BD0CAB" w:rsidRDefault="00CF5882" w:rsidP="00BD0CAB">
      <w:pPr>
        <w:spacing w:line="360" w:lineRule="auto"/>
        <w:jc w:val="both"/>
        <w:rPr>
          <w:rFonts w:ascii="Times New Roman" w:hAnsi="Times New Roman" w:cs="Times New Roman"/>
          <w:b/>
          <w:bCs/>
          <w:sz w:val="24"/>
          <w:szCs w:val="24"/>
        </w:rPr>
      </w:pPr>
      <w:r w:rsidRPr="00BD0CAB">
        <w:rPr>
          <w:rFonts w:ascii="Times New Roman" w:hAnsi="Times New Roman" w:cs="Times New Roman"/>
          <w:b/>
          <w:bCs/>
          <w:sz w:val="24"/>
          <w:szCs w:val="24"/>
        </w:rPr>
        <w:t>6.4. RGX-314</w:t>
      </w:r>
    </w:p>
    <w:p w14:paraId="7C4F7BB8" w14:textId="3561101A" w:rsidR="00CF5882" w:rsidRPr="00BD0CAB" w:rsidRDefault="00BD0CAB" w:rsidP="00BD0CAB">
      <w:pPr>
        <w:spacing w:line="360" w:lineRule="auto"/>
        <w:jc w:val="both"/>
        <w:rPr>
          <w:rFonts w:ascii="Times New Roman" w:eastAsia="Times New Roman" w:hAnsi="Times New Roman" w:cs="Times New Roman"/>
          <w:kern w:val="0"/>
          <w:sz w:val="24"/>
          <w:szCs w:val="24"/>
          <w:lang w:val="en-US"/>
        </w:rPr>
      </w:pPr>
      <w:r w:rsidRPr="00BD0CAB">
        <w:rPr>
          <w:rFonts w:ascii="Times New Roman" w:eastAsia="Times New Roman" w:hAnsi="Times New Roman" w:cs="Times New Roman"/>
          <w:kern w:val="0"/>
          <w:sz w:val="24"/>
          <w:szCs w:val="24"/>
        </w:rPr>
        <w:lastRenderedPageBreak/>
        <w:t xml:space="preserve">REGENXBIO, in collaboration with AbbVie, has developed a gene therapy, RGX-314, which utilises AAV8 to suppress neovascularisation by expressing a single clonal antibody fragment structure that binds to VEGF-A receptor. The gene is administered via subretinal and suprachoroidal routes, and RGX-314 has shown promise in treating </w:t>
      </w:r>
      <w:r w:rsidRPr="00E95BC4">
        <w:rPr>
          <w:rFonts w:ascii="Times New Roman" w:eastAsia="Times New Roman" w:hAnsi="Times New Roman" w:cs="Times New Roman"/>
          <w:kern w:val="0"/>
          <w:sz w:val="24"/>
          <w:szCs w:val="24"/>
          <w:highlight w:val="yellow"/>
        </w:rPr>
        <w:t>A</w:t>
      </w:r>
      <w:r w:rsidR="00E95BC4" w:rsidRPr="00E95BC4">
        <w:rPr>
          <w:rFonts w:ascii="Times New Roman" w:eastAsia="Times New Roman" w:hAnsi="Times New Roman" w:cs="Times New Roman"/>
          <w:kern w:val="0"/>
          <w:sz w:val="24"/>
          <w:szCs w:val="24"/>
          <w:highlight w:val="yellow"/>
        </w:rPr>
        <w:t>R</w:t>
      </w:r>
      <w:r w:rsidRPr="00E95BC4">
        <w:rPr>
          <w:rFonts w:ascii="Times New Roman" w:eastAsia="Times New Roman" w:hAnsi="Times New Roman" w:cs="Times New Roman"/>
          <w:kern w:val="0"/>
          <w:sz w:val="24"/>
          <w:szCs w:val="24"/>
          <w:highlight w:val="yellow"/>
        </w:rPr>
        <w:t>MD</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{"citationID":"O6NfFqJd","properties":{"formattedCitation":"(Liao et al., 2023)","plainCitation":"(Liao et al., 2023)","noteIndex":0},"citationItems":[{"id":1129,"uris":["http://zotero.org/users/15401920/items/6XBC9ALJ"],"itemData":{"id":1129,"type":"article-journal","abstract":"Background\nA radiology report communicates the imaging findings to the referring clinicians. The rising number of referrals has created a bottleneck in healthcare. Writing a report takes disproportionally more time than the imaging itself. Therefore, Automatic Radiology Report Generation (ARRG) has a great potential to unclog this bottleneck.\nObjectives\nThis study aims to provide a systematic review of Deep Learning (DL) approaches to ARRG. Specifically, it aims to answer the following research questions. What data have been used to train and evaluate DL approaches to ARRG? How are DL approaches to ARRG evaluated? How is DL used to generate the reports from radiology images?\nMaterials and methods\nWe followed the PRISMA guidelines. We retrieved 1443 records from PubMed and Web of Science on November 3, 2021. Relevant studies were categorized and compared from multiple perspectives. The corresponding findings were reported narratively.\nResults\nA total of 41 studies were included. We identified 14 radiology datasets. In terms of evaluation, we identified four commonly used natural language generation metrics, six clinical efficacy metrics, and other qualitative methods. We compared DL approaches with respect to the underlying neural network architecture, the method of text generation, problem representation, training strategy, interpretability, and intermediate processing.\nDiscussion and conclusion\nData imbalance (normal versus abnormal cases) and the inner complexity of reports pose major difficulties in ARRG. More appropriate evaluation metrics are required as well as datasets on a much larger scale. Leveraging structured representation of radiology reports and pre-trained language models warrant further research.","container-title":"Informatics in Medicine Unlocked","DOI":"10.1016/j.imu.2023.101273","ISSN":"2352-9148","journalAbbreviation":"Informatics in Medicine Unlocked","page":"101273","source":"ScienceDirect","title":"Deep learning approaches to automatic radiology report generation: A systematic review","title-short":"Deep learning approaches to automatic radiology report generation","volume":"39","author":[{"family":"Liao","given":"Yuxiang"},{"family":"Liu","given":"Hantao"},{"family":"Spasić","given":"Irena"}],"issued":{"date-parts":[["2023",1,1]]}}}],"schema":"https://github.com/citation-style-language/schema/raw/master/csl-citation.json"}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(Liao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00CF5882" w:rsidRPr="00D017CD">
        <w:rPr>
          <w:rFonts w:ascii="Times New Roman" w:hAnsi="Times New Roman" w:cs="Times New Roman"/>
          <w:sz w:val="24"/>
          <w:szCs w:val="24"/>
        </w:rPr>
        <w:t xml:space="preserve"> Presently, seven clinical trials have been registered to evaluate its safety and efficacy. This study involved around 46 patients; RGX-314 was well-tolerated, with minimal adverse effects, including inflammation, conjunctival haemorrhage, and retinal pigmentary changes have been seen. Patients who were treated with RGX-314 experienced a significant reduction in anti-VEGF treatment burden, with constant or enhanced best-corrected visual acuity and improved thickness of the central retina</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{"citationID":"DVNQuYh4","properties":{"formattedCitation":"(Khanani et al., 2022)","plainCitation":"(Khanani et al., 2022)","noteIndex":0},"citationItems":[{"id":"URioxLtk/bpqlqDNr","uris":["http://zotero.org/users/17126151/items/SCLZDK4U"],"itemData":{"id":151,"type":"article-journal","abstract":"Gene therapies aim to deliver a therapeutic payload to specified tissues with underlying protein deficiency. Since the 1990s, gene therapies have been explored as potential treatments for chronic conditions requiring lifetime care and medical management. Ocular gene therapies target a range of ocular disorders, but retinal diseases are of particular importance due to the prevalence of retinal disease and the current treatment burden of such diseases on affected patients, as well as the challenge of properly delivering these therapies to the target tissue. The purpose of this review is to provide an update on the most current data available for five different retinal gene therapies currently undergoing clinical trials for use against age-related macular degeneration (AMD) and the development of novel delivery routes for the administration of such therapies. Research has been performed and compiled from PubMed and the select authors of this manuscript on the treatment and effectiveness of five current retinal gene therapies: Luxturna, ADVM-022, RGX-314, GT-005, and HMR59. We present the available data of current clinical trials for the treatment of neovascular and dry age-related macular degeneration with different AAV-based gene therapies. We also present current research on the progress of developing novel routes of administration for ocular gene therapies. Retinal gene therapies offer the potential for life-changing treatment for chronic conditions like age-related macular degeneration with a single administration. In doing so, gene therapies change the landscape of treatment options for these chronic conditions for both patient and provider.","container-title":"Eye (London, England)","DOI":"10.1038/s41433-021-01842-1","ISSN":"1476-5454","issue":"2","journalAbbreviation":"Eye (Lond)","language":"eng","note":"PMID: 35017696\nPMCID: PMC8807824","page":"303-311","source":"PubMed","title":"Review of gene therapies for age-related macular degeneration","volume":"36","author":[{"family":"Khanani","given":"Arshad M."},{"family":"Thomas","given":"Mathew J."},{"family":"Aziz","given":"Aamir A."},{"family":"Weng","given":"Christina Y."},{"family":"Danzig","given":"Carl J."},{"family":"Yiu","given":"Glenn"},{"family":"Kiss","given":"Szilárd"},{"family":"Waheed","given":"Nadia K."},{"family":"Kaiser","given":"Peter K."}],"issued":{"date-parts":[["2022",2]]}}}],"schema":"https://github.com/citation-style-language/schema/raw/master/csl-citation.json"}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(Khanani et al., 2022)</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104A44BF" w14:textId="77777777" w:rsidR="00CF5882" w:rsidRPr="00BD0CAB" w:rsidRDefault="00CF5882" w:rsidP="00BD0CAB">
      <w:pPr>
        <w:spacing w:line="360" w:lineRule="auto"/>
        <w:jc w:val="both"/>
        <w:rPr>
          <w:rFonts w:ascii="Times New Roman" w:hAnsi="Times New Roman" w:cs="Times New Roman"/>
          <w:b/>
          <w:bCs/>
          <w:sz w:val="24"/>
          <w:szCs w:val="24"/>
        </w:rPr>
      </w:pPr>
      <w:r w:rsidRPr="00BD0CAB">
        <w:rPr>
          <w:rFonts w:ascii="Times New Roman" w:hAnsi="Times New Roman" w:cs="Times New Roman"/>
          <w:b/>
          <w:bCs/>
          <w:sz w:val="24"/>
          <w:szCs w:val="24"/>
        </w:rPr>
        <w:t xml:space="preserve">6.5. LUNA phase II trial </w:t>
      </w:r>
    </w:p>
    <w:p w14:paraId="0C3C1374" w14:textId="283079B9" w:rsidR="00CF5882" w:rsidRPr="00D017CD" w:rsidRDefault="00CF5882" w:rsidP="00BD0CAB">
      <w:pPr>
        <w:spacing w:line="360" w:lineRule="auto"/>
        <w:jc w:val="both"/>
        <w:rPr>
          <w:rFonts w:ascii="Times New Roman" w:hAnsi="Times New Roman" w:cs="Times New Roman"/>
          <w:sz w:val="24"/>
          <w:szCs w:val="24"/>
        </w:rPr>
      </w:pPr>
      <w:r w:rsidRPr="00BD0CAB">
        <w:rPr>
          <w:rFonts w:ascii="Times New Roman" w:hAnsi="Times New Roman" w:cs="Times New Roman"/>
          <w:sz w:val="24"/>
          <w:szCs w:val="24"/>
        </w:rPr>
        <w:t xml:space="preserve">This study evaluates the safety of </w:t>
      </w:r>
      <w:proofErr w:type="spellStart"/>
      <w:r w:rsidRPr="00BD0CAB">
        <w:rPr>
          <w:rFonts w:ascii="Times New Roman" w:hAnsi="Times New Roman" w:cs="Times New Roman"/>
          <w:sz w:val="24"/>
          <w:szCs w:val="24"/>
        </w:rPr>
        <w:t>Ixo-vec</w:t>
      </w:r>
      <w:proofErr w:type="spellEnd"/>
      <w:r w:rsidRPr="00BD0CAB">
        <w:rPr>
          <w:rFonts w:ascii="Times New Roman" w:hAnsi="Times New Roman" w:cs="Times New Roman"/>
          <w:sz w:val="24"/>
          <w:szCs w:val="24"/>
        </w:rPr>
        <w:t xml:space="preserve"> at two different dosag</w:t>
      </w:r>
      <w:r w:rsidR="00BD0CAB" w:rsidRPr="00BD0CAB">
        <w:rPr>
          <w:rFonts w:ascii="Times New Roman" w:hAnsi="Times New Roman" w:cs="Times New Roman"/>
          <w:sz w:val="24"/>
          <w:szCs w:val="24"/>
        </w:rPr>
        <w:t>es: 2× 10</w:t>
      </w:r>
      <w:r w:rsidRPr="00BD0CAB">
        <w:rPr>
          <w:rFonts w:ascii="Times New Roman" w:hAnsi="Times New Roman" w:cs="Times New Roman"/>
          <w:sz w:val="24"/>
          <w:szCs w:val="24"/>
          <w:vertAlign w:val="superscript"/>
        </w:rPr>
        <w:t>11</w:t>
      </w:r>
      <w:r w:rsidRPr="00BD0CAB">
        <w:rPr>
          <w:rFonts w:ascii="Times New Roman" w:hAnsi="Times New Roman" w:cs="Times New Roman"/>
          <w:sz w:val="24"/>
          <w:szCs w:val="24"/>
        </w:rPr>
        <w:t xml:space="preserve"> vg/ey</w:t>
      </w:r>
      <w:r w:rsidR="00BD0CAB" w:rsidRPr="00BD0CAB">
        <w:rPr>
          <w:rFonts w:ascii="Times New Roman" w:hAnsi="Times New Roman" w:cs="Times New Roman"/>
          <w:sz w:val="24"/>
          <w:szCs w:val="24"/>
        </w:rPr>
        <w:t>e and 6×10</w:t>
      </w:r>
      <w:r w:rsidRPr="00BD0CAB">
        <w:rPr>
          <w:rFonts w:ascii="Times New Roman" w:hAnsi="Times New Roman" w:cs="Times New Roman"/>
          <w:sz w:val="24"/>
          <w:szCs w:val="24"/>
          <w:vertAlign w:val="superscript"/>
        </w:rPr>
        <w:t>10</w:t>
      </w:r>
      <w:r w:rsidRPr="00BD0CAB">
        <w:rPr>
          <w:rFonts w:ascii="Times New Roman" w:hAnsi="Times New Roman" w:cs="Times New Roman"/>
          <w:sz w:val="24"/>
          <w:szCs w:val="24"/>
        </w:rPr>
        <w:t xml:space="preserve"> vg/eye. LUNA is an ongoing clinical trial. The result of this study revealed improved visual acuity and the anatomy of the fundus</w:t>
      </w:r>
      <w:r w:rsidR="00401824">
        <w:rPr>
          <w:rFonts w:ascii="Times New Roman" w:hAnsi="Times New Roman" w:cs="Times New Roman"/>
          <w:sz w:val="24"/>
          <w:szCs w:val="24"/>
        </w:rPr>
        <w:t xml:space="preserve"> </w:t>
      </w:r>
      <w:r w:rsidR="003A0F1D" w:rsidRPr="00BD0CAB">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{"citationID":"gfKXzBLH","properties":{"formattedCitation":"(Poulsen et al., 2025)","plainCitation":"(Poulsen et al., 2025)","noteIndex":0},"citationItems":[{"id":1200,"uris":["http://zotero.org/users/15401920/items/M8QZ8L8Q"],"itemData":{"id":1200,"type":"article-journal","abstract":"Ixoberogene soroparvovec (ixo-vec), formerly ADVM-022, is an adeno-associated virus (AAV) gene therapy using the AAV.7m8 capsid for intravitreal delivery (IVT) to transduce retinal tissue and produce sustained intraocular aflibercept for treating neovascular age-related macular degeneration (nAMD). Non-clinical studies show that aflibercept production by ixo-vec is less than dose proportional, while intraocular inflammation (IOI) increases with dose, suggesting that lower doses could yield effective aflibercept levels with reduced IOI risk. Our evaluation confirmed that doses as low as 3E10 vg (vector genome)/eye (6E10 vg/eye human equivalent) maintained effective aflibercept production. The concept behind ADVM-022 is supported by clinical studies OPTIC (NCT03748784) and LUNA (NCT05536973), where a single IVT administration eliminated or significantly reduced the need for additional anti-VEGF injections in patients. Moreover, LUNA confirmed the clinical efficacy of a 6E10-vg/eye dose, demonstrating robust and sustained aflibercept levels. Additionally, we evaluated staggered dosing in contralateral eyes to treat asynchronous disease development. Staggered dosing, administered 2 months apart, did not exacerbate IOI, and both eyes maintained therapeutic aflibercept levels. These findings support the tolerability and efficacy of staggered dosing, indicating the potential for bilaterally relevant aflibercept levels with ixo-vec, due to immune response confinement to the dosed eye., Poulsen and colleagues report that a lower IVT dose of ixo-vec (6E10 vg/eye) can achieve clinically relevant levels of aflibercept in nAMD patients, with equivalent efficacy and improved safety compared to higher doses. Data also support the safety and efficacy of staggered dosing of fellow eyes in patients with bilateral AMD.","container-title":"Molecular Therapy. Methods &amp; Clinical Development","DOI":"10.1016/j.omtm.2025.101430","ISSN":"2329-0501","issue":"1","journalAbbreviation":"Mol Ther Methods Clin Dev","note":"PMID: 40092639\nPMCID: PMC11910100","page":"101430","source":"PubMed Central","title":"Nonclinical study of ixo-vec gene therapy for nAMD supports efficacy for a human dose of 6E10 vg/eye and staggered dosing of fellow eyes","volume":"33","author":[{"family":"Poulsen","given":"Kris"},{"family":"Hanna","given":"Kelly"},{"family":"Nieves","given":"Julio"},{"family":"Nguyen","given":"Ngoc"},{"family":"Sharma","given":"Pallavi"},{"family":"Grishanin","given":"Ruslan"},{"family":"Corbau","given":"Romu"},{"family":"Kiss","given":"Szilárd"}],"issued":{"date-parts":[["2025",2,10]]}}}],"schema":"https://github.com/citation-style-language/schema/raw/master/csl-citation.json"} </w:instrText>
      </w:r>
      <w:r w:rsidR="003A0F1D" w:rsidRPr="00BD0CAB">
        <w:rPr>
          <w:rFonts w:ascii="Times New Roman" w:hAnsi="Times New Roman" w:cs="Times New Roman"/>
          <w:sz w:val="24"/>
          <w:szCs w:val="24"/>
        </w:rPr>
        <w:fldChar w:fldCharType="separate"/>
      </w:r>
      <w:r w:rsidR="00B3699E" w:rsidRPr="00B3699E">
        <w:rPr>
          <w:rFonts w:ascii="Times New Roman" w:hAnsi="Times New Roman" w:cs="Times New Roman"/>
          <w:sz w:val="24"/>
        </w:rPr>
        <w:t>(Poulsen et al., 2025)</w:t>
      </w:r>
      <w:r w:rsidR="003A0F1D" w:rsidRPr="00BD0CAB">
        <w:rPr>
          <w:rFonts w:ascii="Times New Roman" w:hAnsi="Times New Roman" w:cs="Times New Roman"/>
          <w:sz w:val="24"/>
          <w:szCs w:val="24"/>
        </w:rPr>
        <w:fldChar w:fldCharType="end"/>
      </w:r>
      <w:r w:rsidR="00401824">
        <w:rPr>
          <w:rFonts w:ascii="Times New Roman" w:hAnsi="Times New Roman" w:cs="Times New Roman"/>
          <w:sz w:val="24"/>
          <w:szCs w:val="24"/>
        </w:rPr>
        <w:t>.</w:t>
      </w:r>
      <w:r w:rsidRPr="00BD0CAB">
        <w:rPr>
          <w:rFonts w:ascii="Times New Roman" w:hAnsi="Times New Roman" w:cs="Times New Roman"/>
          <w:sz w:val="24"/>
          <w:szCs w:val="24"/>
        </w:rPr>
        <w:t xml:space="preserve"> </w:t>
      </w:r>
      <w:r w:rsidR="00BD0CAB" w:rsidRPr="00BD0CAB">
        <w:rPr>
          <w:rFonts w:ascii="Times New Roman" w:hAnsi="Times New Roman" w:cs="Times New Roman"/>
          <w:color w:val="222222"/>
          <w:sz w:val="24"/>
          <w:szCs w:val="24"/>
          <w:shd w:val="clear" w:color="auto" w:fill="FFFFFF"/>
        </w:rPr>
        <w:t xml:space="preserve">Furthermore, the inflammatory profile was boosted with corticosteroid prophylaxis, compared to the previous OPTIC study. Findings of LUNA TRIAL-2 promote the potential for in-office intravitreal injections to revolutionise the treatment of </w:t>
      </w:r>
      <w:proofErr w:type="spellStart"/>
      <w:r w:rsidR="00BD0CAB" w:rsidRPr="00BD0CAB">
        <w:rPr>
          <w:rFonts w:ascii="Times New Roman" w:hAnsi="Times New Roman" w:cs="Times New Roman"/>
          <w:color w:val="222222"/>
          <w:sz w:val="24"/>
          <w:szCs w:val="24"/>
          <w:shd w:val="clear" w:color="auto" w:fill="FFFFFF"/>
        </w:rPr>
        <w:t>nAMD</w:t>
      </w:r>
      <w:proofErr w:type="spellEnd"/>
      <w:r w:rsidR="00BD0CAB" w:rsidRPr="00BD0CAB">
        <w:rPr>
          <w:rFonts w:ascii="Times New Roman" w:hAnsi="Times New Roman" w:cs="Times New Roman"/>
          <w:color w:val="222222"/>
          <w:sz w:val="24"/>
          <w:szCs w:val="24"/>
          <w:shd w:val="clear" w:color="auto" w:fill="FFFFFF"/>
        </w:rPr>
        <w:t xml:space="preserve"> (neovascular age-related macular degeneration). The clinical study revealed that </w:t>
      </w:r>
      <w:proofErr w:type="spellStart"/>
      <w:r w:rsidR="00BD0CAB" w:rsidRPr="00BD0CAB">
        <w:rPr>
          <w:rFonts w:ascii="Times New Roman" w:hAnsi="Times New Roman" w:cs="Times New Roman"/>
          <w:color w:val="222222"/>
          <w:sz w:val="24"/>
          <w:szCs w:val="24"/>
          <w:shd w:val="clear" w:color="auto" w:fill="FFFFFF"/>
        </w:rPr>
        <w:t>Ixo-vec</w:t>
      </w:r>
      <w:proofErr w:type="spellEnd"/>
      <w:r w:rsidR="00BD0CAB" w:rsidRPr="00BD0CAB">
        <w:rPr>
          <w:rFonts w:ascii="Times New Roman" w:hAnsi="Times New Roman" w:cs="Times New Roman"/>
          <w:color w:val="222222"/>
          <w:sz w:val="24"/>
          <w:szCs w:val="24"/>
          <w:shd w:val="clear" w:color="auto" w:fill="FFFFFF"/>
        </w:rPr>
        <w:t xml:space="preserve"> can provide sturdy, resilient, and effective cellular-based factories, reducing the rate of anti-VEGF injections</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{"citationID":"y49VczyS","properties":{"formattedCitation":"(Khanani et al., 2023)","plainCitation":"(Khanani et al., 2023)","noteIndex":0},"citationItems":[{"id":1234,"uris":["http://zotero.org/users/15401920/items/7NVTE9JG"],"itemData":{"id":1234,"type":"article-journal","abstract":"Background\nGene therapy, successfully used in rare, monogenetic disorders, may prove to be a durable management approach for common, polygenetic conditions, including neovascular age-related macular degeneration (nAMD). Repeated injections, oftentimes monthly, and possibly for decades, of vascular endothelial growth factor antagonists (anti-VEGF), is the standard for nAMD. We hypothesised that an in-office, intravitreal administration of ixoberogene soroparvovec (ixo-vec, formerly ADVM-022), a single-dose gene therapy encoding for the proven anti-VEGF protein, aflibercept, would transform retinal cells to continually produce aflibercept to minimise treatment burden in nAMD.\n\nMethods\nIn this two-year, open-label, prospective, multicentre phase 1 study, patients with nAMD responding to anti-VEGF were assigned to four cohorts differing by ixo-vec dose (2 × 1011 vs 6 × 1011 vector genomes (vg/eye)) and prophylactic steroids (oral prednisone vs topical difluprednate). The primary outcome was the type, severity, and incidence of ocular and systemic adverse events (AEs); secondary endpoints included vision, central subfield thickness (CST), and the number of supplemental injections. This study was registered with ClinicalTrials.gov, NCT03748784.\n\nFindings\nThirty patients with nAMD were enrolled between November 14, 2018 and June 30, 2020 at nine study sites in the United States. No systemic ixo-vec related AEs were noted. Across both dose groups the most common adverse event was anterior chamber cell, which was reported in 11 participants in the 6 × 1011 dose group and in 7 participants in the 2 × 1011 dose group; intraocular inflammation was responsive to topical corticosteroids, with no anterior chamber cells or vitreous cells observed in 2 × 1011 vg/eye patients at the end of the study. Vision and CST remained stable throughout two years with annualised anti-VEGF injections reduced by 80% (10.0 mean annualised anti-VEGF injections to 1.9) in 2 × 1011 vg/eye and 98% (9.8 mean annualised anti-VEGF injections to 0.2) in 6 × 1011 vg/eye cohorts.\n\nInterpretation\nIxo-vec was generally well-tolerated, maintained vision, and improved anatomical outcomes in nAMD, with a substantial reduction in anti-VEGF injections. A single administration of an in-office gene therapy, with vectorised protein with an already established clinical benefit, has the potential to revolutionise the management of common ocular disorders requiring ongoing, frequent therapeutic interventions.\n\nFunding\nAdverum Biotechnologies.","container-title":"eClinicalMedicine","DOI":"10.1016/j.eclinm.2023.102394","ISSN":"2589-5370","journalAbbreviation":"eClinicalMedicine","note":"PMID: 38152412\nPMCID: PMC10751837","page":"102394","source":"PubMed Central","title":"Safety and efficacy of ixoberogene soroparvovec in neovascular age-related macular degeneration in the United States (OPTIC): a prospective, two-year, multicentre phase 1 study","title-short":"Safety and efficacy of ixoberogene soroparvovec in neovascular age-related macular degeneration in the United States (OPTIC)","volume":"67","author":[{"family":"Khanani","given":"Arshad M."},{"family":"Boyer","given":"David S."},{"family":"Wykoff","given":"Charles C."},{"family":"Regillo","given":"Carl D."},{"family":"Busbee","given":"Brandon G."},{"family":"Pieramici","given":"Dante"},{"family":"Danzig","given":"Carl J."},{"family":"Joondeph","given":"Brian C."},{"family":"Major","given":"James C."},{"family":"Turpcu","given":"Adam"},{"family":"Kiss","given":"Szilárd"}],"issued":{"date-parts":[["2023",12,22]]}}}],"schema":"https://github.com/citation-style-language/schema/raw/master/csl-citation.json"}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(Khanani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77C3083A"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7. Challenges and risk considerations</w:t>
      </w:r>
    </w:p>
    <w:p w14:paraId="101F9707" w14:textId="72C54F87" w:rsidR="00CF5882" w:rsidRPr="00A16DFE" w:rsidRDefault="00CF5882" w:rsidP="00C30F5C">
      <w:pPr>
        <w:spacing w:line="360" w:lineRule="auto"/>
        <w:jc w:val="both"/>
        <w:rPr>
          <w:rFonts w:ascii="Times New Roman" w:hAnsi="Times New Roman" w:cs="Times New Roman"/>
          <w:color w:val="222222"/>
          <w:sz w:val="24"/>
          <w:szCs w:val="24"/>
          <w:shd w:val="clear" w:color="auto" w:fill="FFFFFF"/>
        </w:rPr>
      </w:pPr>
      <w:r w:rsidRPr="00A16DFE">
        <w:rPr>
          <w:rFonts w:ascii="Times New Roman" w:hAnsi="Times New Roman" w:cs="Times New Roman"/>
          <w:sz w:val="24"/>
          <w:szCs w:val="24"/>
        </w:rPr>
        <w:t>Several risks and limitations are associated with Gene Therapy for ARMD; data on potential safety is unavailable. Optimal treatment targets remain controversial, as one route of delivery may consistently reach the target cell in the retina</w:t>
      </w:r>
      <w:r w:rsidR="00401824">
        <w:rPr>
          <w:rFonts w:ascii="Times New Roman" w:hAnsi="Times New Roman" w:cs="Times New Roman"/>
          <w:sz w:val="24"/>
          <w:szCs w:val="24"/>
        </w:rPr>
        <w:t xml:space="preserve"> </w:t>
      </w:r>
      <w:r w:rsidR="003A0F1D" w:rsidRPr="00A16DFE">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{"citationID":"bvwoCGBt","properties":{"formattedCitation":"(Trinc\\uc0\\u227{}o-Marques et al., 2024)","plainCitation":"(Trincão-Marques et al., 2024)","noteIndex":0},"citationItems":[{"id":"URioxLtk/GvCpc39D","uris":["http://zotero.org/users/17126151/items/BN28ZIWB"],"itemData":{"id":221,"type":"article-journal","abstract":"Age-related macular degeneration (AMD) is the most common cause of irreversible vision loss among the elderly in Western communities, with an estimated global prevalence of 10 - 20% in people older than 65 years. AMD leads to central vision loss due to degeneration of the photoreceptors, retinal pigment epithelium and the choriocapillaris. Beckman's classification for AMD, based upon color fundus photographs, divides the disease into early, intermediate, and late forms. The late, vision-threatening stage includes both neovascular AMD and geographic atrophy. Despite its high prevalence and impact on patients' quality of life, treatment options for AMD are limited. While neovascular AMD can be medically managed with anti-VEGF intravitreal injections, until very recently there has been no approved treatment options for atrophic AMD; however, in February 2023 the first treatment for geographic atrophy - pegcetacoplan - was approved by the US FDA. We describe the current landscape of potential gene and cell therapeutic strategies for late-stage AMD, with an emphasis on the therapeutic options that might become available in the next few years.","container-title":"Survey of Ophthalmology","DOI":"10.1016/j.survophthal.2024.05.002","ISSN":"1879-3304","issue":"5","journalAbbreviation":"Surv Ophthalmol","language":"eng","note":"PMID: 38735629","page":"665-676","source":"PubMed","title":"Gene and cell therapy for age-related macular degeneration: A review","title-short":"Gene and cell therapy for age-related macular degeneration","volume":"69","author":[{"family":"Trincão-Marques","given":"José"},{"family":"Ayton","given":"Lauren N."},{"family":"Hickey","given":"Doron G."},{"family":"Marques-Neves","given":"Carlos"},{"family":"Guymer","given":"Robyn H."},{"family":"Edwards","given":"Thomas L."},{"family":"Sousa","given":"David Cordeiro"}],"issued":{"date-parts":[["2024"]]}}}],"schema":"https://github.com/citation-style-language/schema/raw/master/csl-citation.json"} </w:instrText>
      </w:r>
      <w:r w:rsidR="003A0F1D" w:rsidRPr="00A16DFE">
        <w:rPr>
          <w:rFonts w:ascii="Times New Roman" w:hAnsi="Times New Roman" w:cs="Times New Roman"/>
          <w:sz w:val="24"/>
          <w:szCs w:val="24"/>
        </w:rPr>
        <w:fldChar w:fldCharType="separate"/>
      </w:r>
      <w:r w:rsidR="00B3699E" w:rsidRPr="00B3699E">
        <w:rPr>
          <w:rFonts w:ascii="Times New Roman" w:hAnsi="Times New Roman" w:cs="Times New Roman"/>
          <w:kern w:val="0"/>
          <w:sz w:val="24"/>
        </w:rPr>
        <w:t>(Trincão-Marques et al., 2024)</w:t>
      </w:r>
      <w:r w:rsidR="003A0F1D" w:rsidRPr="00A16DFE">
        <w:rPr>
          <w:rFonts w:ascii="Times New Roman" w:hAnsi="Times New Roman" w:cs="Times New Roman"/>
          <w:sz w:val="24"/>
          <w:szCs w:val="24"/>
        </w:rPr>
        <w:fldChar w:fldCharType="end"/>
      </w:r>
      <w:r w:rsidR="00401824">
        <w:rPr>
          <w:rFonts w:ascii="Times New Roman" w:hAnsi="Times New Roman" w:cs="Times New Roman"/>
          <w:sz w:val="24"/>
          <w:szCs w:val="24"/>
        </w:rPr>
        <w:t>.</w:t>
      </w:r>
      <w:r w:rsidRPr="00A16DFE">
        <w:rPr>
          <w:rFonts w:ascii="Times New Roman" w:hAnsi="Times New Roman" w:cs="Times New Roman"/>
          <w:sz w:val="24"/>
          <w:szCs w:val="24"/>
        </w:rPr>
        <w:t xml:space="preserve"> </w:t>
      </w:r>
      <w:r w:rsidR="00A16DFE" w:rsidRPr="00A16DFE">
        <w:rPr>
          <w:rFonts w:ascii="Times New Roman" w:hAnsi="Times New Roman" w:cs="Times New Roman"/>
          <w:color w:val="222222"/>
          <w:sz w:val="24"/>
          <w:szCs w:val="24"/>
          <w:shd w:val="clear" w:color="auto" w:fill="FFFFFF"/>
        </w:rPr>
        <w:t>Each of these has its merits and demerits. The human body recognises a viral vector as a foreign entity, which poses a high risk for post-operative patients. Gene therapy can cause ocular inflammation by reacting to promoters and transgenes, as older cells may be less responsive. Fibrosis can diminish the effectiveness of gene therapy</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371F19">
        <w:rPr>
          <w:rFonts w:ascii="Times New Roman" w:hAnsi="Times New Roman" w:cs="Times New Roman"/>
          <w:sz w:val="24"/>
          <w:szCs w:val="24"/>
        </w:rPr>
        <w:instrText xml:space="preserve"> ADDIN ZOTERO_ITEM CSL_CITATION {"citationID":"v3gFOXAB","properties":{"formattedCitation":"(Mallone et al., 2021)","plainCitation":"(Mallone et al., 2021)","noteIndex":0},"citationItems":[{"id":1237,"uris":["http://zotero.org/users/15401920/items/Q257RTM5"],"itemData":{"id":1237,"type":"article-journal","abstract":"Ocular fibrosis leads to severe visual impairment and blindness worldwide, being a major area of unmet need in ophthalmology and medicine. To date, the only available treatments are antimetabolite drugs that have significant potentially blinding side effects, such as tissue damage and infection. There is thus an urgent need to identify novel targets to prevent/treat scarring and postsurgical fibrosis in the eye. In this review, the latest progress in biological mechanisms underlying ocular fibrosis are discussed. We also summarize the current knowledge on preclinical studies based on viral and non-viral gene therapy, as well as chemical inhibitors, for targeting TGFβ or downstream effectors in fibrotic disorders of the eye. Moreover, the role of angiogenetic and biomechanical factors in ocular fibrosis is discussed, focusing on related preclinical treatment approaches. Moreover, we describe available evidence on clinical studies investigating the use of therapies targeting TGFβ-dependent pathways, angiogenetic factors, and biomechanical factors, alone or in combination with other strategies, in ocular tissue fibrosis. Finally, the recent progress in cell-based therapies for treating fibrotic eye disorders is discussed. The increasing knowledge of these disorders in the eye and the promising results from testing of novel targeted therapies could offer viable perspectives for translation into clinical use.","container-title":"International Journal of Molecular Sciences","DOI":"10.3390/ijms222111748","ISSN":"1422-0067","issue":"21","journalAbbreviation":"Int J Mol Sci","note":"PMID: 34769176\nPMCID: PMC8584003","page":"11748","source":"PubMed Central","title":"Understanding Drivers of Ocular Fibrosis: Current and Future Therapeutic Perspectives","title-short":"Understanding Drivers of Ocular Fibrosis","volume":"22","author":[{"family":"Mallone","given":"Fabiana"},{"family":"Costi","given":"Roberta"},{"family":"Marenco","given":"Marco"},{"family":"Plateroti","given":"Rocco"},{"family":"Minni","given":"Antonio"},{"family":"Attanasio","given":"Giuseppe"},{"family":"Artico","given":"Marco"},{"family":"Lambiase","given":"Alessandro"}],"issued":{"date-parts":[["2021",10,29]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(Mallone et al., 2021)</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Older adults have compromised immune systems, which increases the risk of adverse reactions. Long waiting times for treatment and trials pose problems for older people, who have limited access due to high cost, limited awareness, and education</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{"citationID":"40TzjqmS","properties":{"formattedCitation":"(N. Mehta et al., 2021)","plainCitation":"(N. Mehta et al., 2021)","noteIndex":0},"citationItems":[{"id":"URioxLtk/B9jbdZEg","uris":["http://zotero.org/users/17126151/items/HIM5MVJ6"],"itemData":{"id":161,"type":"article-journal","container-title":"International Ophthalmology Clinics","DOI":"10.1097/IIO.0000000000000366","ISSN":"1536-9617","issue":"3","journalAbbreviation":"Int Ophthalmol Clin","language":"eng","note":"PMID: 34196322\nPMCID: PMC8259781","page":"151-177","source":"PubMed","title":"Ocular Inflammation and Treatment Emergent Adverse Events in Retinal Gene Therapy","volume":"61","author":[{"family":"Mehta","given":"Neesurg"},{"family":"Robbins","given":"Deborah A."},{"family":"Yiu","given":"Glenn"}],"issued":{"date-parts":[["2021",7,1]]}}}],"schema":"https://github.com/citation-style-language/schema/raw/master/csl-citation.json"}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(N. Mehta et al., 2021)</w:t>
      </w:r>
      <w:r w:rsidR="003A0F1D" w:rsidRPr="00D017CD">
        <w:rPr>
          <w:rFonts w:ascii="Times New Roman" w:hAnsi="Times New Roman" w:cs="Times New Roman"/>
          <w:sz w:val="24"/>
          <w:szCs w:val="24"/>
        </w:rPr>
        <w:fldChar w:fldCharType="end"/>
      </w:r>
      <w:r w:rsidR="001846DC" w:rsidRPr="00D017CD">
        <w:rPr>
          <w:rFonts w:ascii="Times New Roman" w:hAnsi="Times New Roman" w:cs="Times New Roman"/>
          <w:sz w:val="24"/>
          <w:szCs w:val="24"/>
          <w:vertAlign w:val="superscript"/>
        </w:rPr>
        <w:t>,</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{"citationID":"CglC3mrK","properties":{"formattedCitation":"(Zaiss et al., 2002)","plainCitation":"(Zaiss et al., 2002)","noteIndex":0},"citationItems":[{"id":"URioxLtk/Haq2JHGs","uris":["http://zotero.org/users/17126151/items/7NU4V3CR"],"itemData":{"id":165,"type":"article-journal","abstract":"Adenovirus vectors induce acute inflammation of infected tissues due to activation of the innate immune system and expression of numerous chemokines and cytokines in transduced target cells. In contrast, adeno-associated virus (AAV) vectors are not associated with significant inflammation experimentally or clinically. We tested the ability of AAV vectors to induce the expression of chemokines in vitro and to activate the innate immune system in vivo. In human HeLa cells and murine renal epithelium-derived cells (REC cells) the adenovirus vector AdlacZ induced the expression of multiple inflammatory chemokines including RANTES, interferon-inducible protein 10 (IP-10), interleukin-8 (IL-8), MIP-1beta, and MIP-2 in a dose-dependent manner. The use of AAVlacZ did not induce the expression of these chemokines above baseline levels despite 40-fold-greater titers than AdlacZ and greater amounts of intracellular AAVlacZ genomes according to Southern and slot blot analysis. This finding confirmed that the lack of AAVlacZ induction of chemokine was not due to reduced transduction. In DBA/2 mice, the intravenous administration of 2.5 x 10(11) particles of AAVlacZ resulted in the rapid induction of liver tumor necrosis factor alpha (TNF-alpha), RANTES, IP-10, MIP-1beta, MCP-1, and MIP-2 mRNAs. However, 6 h following injection, chemokine mRNA levels returned to baseline. As expected, administration of 10-fold less AdlacZ caused an induction of liver TNF-alpha and chemokine mRNAs that persisted for more than 24 h posttransduction. Whereas intravenous administration of 2.5 x 10(11) particles of AAVlacZ triggered a transient infiltration of neutrophils and CD11b(+) cells into liver, this response stood in contrast to widespread inflammation and toxicity induced by AdlacZ. Kupffer cell depletion abolished AAVlacZ but not AdlacZ-induced chemokine expression and neutrophil infiltration. In summary, these results show that AAV vectors activate the innate immune system to a lesser extent than do adenovirus vectors and offer a possible explanation for the reduced inflammatory properties of AAV compared to adenovirus vectors.","container-title":"Journal of Virology","DOI":"10.1128/jvi.76.9.4580-4590.2002","ISSN":"0022-538X","issue":"9","journalAbbreviation":"J Virol","language":"eng","note":"PMID: 11932423\nPMCID: PMC155101","page":"4580-4590","source":"PubMed","title":"Differential activation of innate immune responses by adenovirus and adeno-associated virus vectors","volume":"76","author":[{"family":"Zaiss","given":"Anne-Kathrin"},{"family":"Liu","given":"Qiang"},{"family":"Bowen","given":"Gloria P."},{"family":"Wong","given":"Norman C. W."},{"family":"Bartlett","given":"Jeffrey S."},{"family":"Muruve","given":"Daniel A."}],"issued":{"date-parts":[["2002",5]]}}}],"schema":"https://github.com/citation-style-language/schema/raw/master/csl-citation.json"}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(Zaiss et al., 2002)</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26F1A80F"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8.</w:t>
      </w:r>
      <w:r w:rsidR="003831F8">
        <w:rPr>
          <w:rFonts w:ascii="Times New Roman" w:hAnsi="Times New Roman" w:cs="Times New Roman"/>
          <w:b/>
          <w:bCs/>
          <w:sz w:val="24"/>
          <w:szCs w:val="24"/>
        </w:rPr>
        <w:t xml:space="preserve"> </w:t>
      </w:r>
      <w:r w:rsidRPr="00D017CD">
        <w:rPr>
          <w:rFonts w:ascii="Times New Roman" w:hAnsi="Times New Roman" w:cs="Times New Roman"/>
          <w:b/>
          <w:bCs/>
          <w:sz w:val="24"/>
          <w:szCs w:val="24"/>
        </w:rPr>
        <w:t xml:space="preserve">Future perspectives in precision gene therapy </w:t>
      </w:r>
    </w:p>
    <w:p w14:paraId="5F76CF41" w14:textId="3840E6E2" w:rsidR="009C78E5" w:rsidRDefault="00CF5882" w:rsidP="00C30F5C">
      <w:pPr>
        <w:spacing w:line="360" w:lineRule="auto"/>
        <w:jc w:val="both"/>
        <w:rPr>
          <w:rFonts w:ascii="Times New Roman" w:hAnsi="Times New Roman" w:cs="Times New Roman"/>
          <w:sz w:val="24"/>
          <w:szCs w:val="24"/>
          <w:vertAlign w:val="superscript"/>
        </w:rPr>
      </w:pPr>
      <w:r w:rsidRPr="00D017CD">
        <w:rPr>
          <w:rFonts w:ascii="Times New Roman" w:hAnsi="Times New Roman" w:cs="Times New Roman"/>
          <w:sz w:val="24"/>
          <w:szCs w:val="24"/>
        </w:rPr>
        <w:lastRenderedPageBreak/>
        <w:t>A new generation of precision gene therapy for ARMD, with editing of the DNA genome, unlocks the perception of a momentous enhancement in the lifetime comfort of patients</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{"citationID":"hCLSdaFy","properties":{"formattedCitation":"(Schambach et al., 2024)","plainCitation":"(Schambach et al., 2024)","noteIndex":0},"citationItems":[{"id":"URioxLtk/LNCt6aSc","uris":["http://zotero.org/users/17126151/items/8BSLXZJ6"],"itemData":{"id":168,"type":"article-journal","abstract":"Gene therapy has become a clinical reality as market-approved advanced therapy medicinal products for the treatment of distinct monogenetic diseases and B-cell malignancies. This Therapeutic Review aims to explain how progress in genome editing technologies offers the possibility to expand both therapeutic options and the types of diseases that will become treatable. To frame these impressive advances in the context of modern medicine, we incorporate examples from human clinical trials into our discussion on how genome editing will complement currently available strategies in gene therapy, which still mainly rely on gene addition strategies. Furthermore, safety considerations and ethical implications, including the issue of accessibility, are addressed as these crucial parameters will define the impact that gene therapy in general and genome editing in particular will have on how we treat patients in the near future.","container-title":"The Lancet","DOI":"10.1016/S0140-6736(23)01952-9","ISSN":"0140-6736","issue":"10426","journalAbbreviation":"The Lancet","page":"568-582","source":"ScienceDirect","title":"A new age of precision gene therapy","volume":"403","author":[{"family":"Schambach","given":"Axel"},{"family":"Buchholz","given":"Christian J"},{"family":"Torres-Ruiz","given":"Raul"},{"family":"Cichutek","given":"Klaus"},{"family":"Morgan","given":"Michael"},{"family":"Trapani","given":"Ivana"},{"family":"Büning","given":"Hildegard"}],"issued":{"date-parts":[["2024",2,10]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(Schambach et al., 2024)</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Future research directions are likely to involve integrating and consolidating gene therapy with pharmacotherapy and CRISPR/Cas9 gene editing</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{"citationID":"gfRX3BYV","properties":{"formattedCitation":"(Uddin et al., 2020)","plainCitation":"(Uddin et al., 2020)","noteIndex":0},"citationItems":[{"id":"URioxLtk/i7DbyLIl","uris":["http://zotero.org/users/17126151/items/G8GTU7TC"],"itemData":{"id":170,"type":"article-journal","abstract":"A series of recent discoveries harnessing the adaptive immune system of prokaryotes to perform targeted genome editing is having a transformative influence across the biological sciences. The discovery of Clustered Regularly Interspaced Short Palindromic Repeats (CRISPR) and CRISPR-associated (Cas) proteins has expanded the applications of genetic research in thousands of laboratories across the globe and is redefining our approach to gene therapy. Traditional gene therapy has raised some concerns, as its reliance on viral vector delivery of therapeutic transgenes can cause both insertional oncogenesis and immunogenic toxicity. While viral vectors remain a key delivery vehicle, CRISPR technology provides a relatively simple and efficient alternative for site-specific gene editing, obliviating some concerns raised by traditional gene therapy. Although it has apparent advantages, CRISPR/Cas9 brings its own set of limitations which must be addressed for safe and efficient clinical translation. This review focuses on the evolution of gene therapy and the role of CRISPR in shifting the gene therapy paradigm. We review the emerging data of recent gene therapy trials and consider the best strategy to move forward with this powerful but still relatively new technology.","container-title":"Frontiers in Oncology","DOI":"10.3389/fonc.2020.01387","ISSN":"2234-943X","journalAbbreviation":"Front Oncol","note":"PMID: 32850447\nPMCID: PMC7427626","page":"1387","source":"PubMed Central","title":"CRISPR Gene Therapy: Applications, Limitations, and Implications for the Future","title-short":"CRISPR Gene Therapy","volume":"10","author":[{"family":"Uddin","given":"Fathema"},{"family":"Rudin","given":"Charles M."},{"family":"Sen","given":"Triparna"}],"issued":{"date-parts":[["2020",8,7]]}}}],"schema":"https://github.com/citation-style-language/schema/raw/master/csl-citation.json"}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(Uddin et al., 2020)</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It permits precise modifications to DNA sequences with the possibility to prevent future vision loss, progress visual acuity, and improve patient quality of life</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D111A2">
        <w:rPr>
          <w:rFonts w:ascii="Times New Roman" w:hAnsi="Times New Roman" w:cs="Times New Roman"/>
          <w:sz w:val="24"/>
          <w:szCs w:val="24"/>
        </w:rPr>
        <w:instrText xml:space="preserve"> ADDIN ZOTERO_ITEM CSL_CITATION {"citationID":"SW7Rp8Ci","properties":{"formattedCitation":"(Ebrahimi et al., 2023)","plainCitation":"(Ebrahimi et al., 2023)","noteIndex":0},"citationItems":[{"id":"URioxLtk/UqfeC7nC","uris":["http://zotero.org/users/17126151/items/A9QBJN37"],"itemData":{"id":173,"type":"article-journal","abstract":"Programmable nucleases are powerful genomic tools for precise genome editing. These tools precisely recognize, remove, or change DNA at a defined site, thereby stimulating cellular DNA repair pathways that can cause mutations or accurate replacement or deletion/insertion of a sequence. The CRISPR-Cas9 system is the most potent and useful genome editing technique adapted from the immune system of certain bacteria and archaea against viruses and phages. In the past decade, this technology has made notable progress, and at present, it has largely been used in genome manipulation to make precise gene editing in plants, animals, and human cells. In this review, we aimed to explain the basic principles, mechanisms of action, and applications of this system in different areas of medicine, with an emphasize on the detection and treatment of parasitic diseases.","container-title":"Iranian Biomedical Journal","DOI":"10.61186/ibj.27.5.219","ISSN":"1028-852X","issue":"5","journalAbbreviation":"Iran Biomed J","note":"PMID: 37873636\nPMCID: PMC10707817","page":"219-246","source":"PubMed Central","title":"CRISPR-Cas Technology as a Revolutionary Genome Editing tool: Mechanisms and Biomedical Applications","title-short":"CRISPR-Cas Technology as a Revolutionary Genome Editing tool","volume":"27","author":[{"family":"Ebrahimi","given":"Sahar"},{"family":"Khosravi","given":"Mohammad Ali"},{"family":"Raz","given":"Abbasali"},{"family":"Karimipoor","given":"Morteza"},{"family":"Parvizi","given":"Parviz"}],"issued":{"date-parts":[["2023",9]]}}}],"schema":"https://github.com/citation-style-language/schema/raw/master/csl-citation.json"}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(Ebrahimi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Future studies coming up with aim to develop therapeutic gene expression, including VEGF factors, with promising results</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9C78E5">
        <w:rPr>
          <w:rFonts w:ascii="Times New Roman" w:hAnsi="Times New Roman" w:cs="Times New Roman"/>
          <w:sz w:val="24"/>
          <w:szCs w:val="24"/>
        </w:rPr>
        <w:instrText xml:space="preserve"> ADDIN ZOTERO_ITEM CSL_CITATION {"citationID":"ABx9WpFV","properties":{"formattedCitation":"(Finocchio et al., 2023)","plainCitation":"(Finocchio et al., 2023)","noteIndex":0},"citationItems":[{"id":"URioxLtk/wUAJHcmU","uris":["http://zotero.org/users/17126151/items/K6DKWYJC"],"itemData":{"id":208,"type":"article-journal","abstract":"Age-related macular degeneration (AMD) is a complex and multifactorial disease and a leading cause of irreversible blindness in the elderly population. The anti-vascular endothelial growth factor (anti-VEGF) therapy has revolutionized the management and prognosis of neovascular AMD (nAMD) and is currently the standard of care for this disease. However, patients are required to receive repeated injections, imposing substantial social and economic burdens. The implementation of gene therapy methods to achieve sustained delivery of various therapeutic proteins holds the promise of a single treatment that could ameliorate the treatment challenges associated with chronic intravitreal therapy, and potentially improve visual outcomes. Several early-phase trials are currently underway, evaluating the safety and efficacy of gene therapy for nAMD; however, areas of controversy persist, including the therapeutic target, route of administration, and potential safety issues. In this review, we assess the evolution of gene therapy for nAMD and summarize several preclinical and early-stage clinical trials, exploring challenges and future directions.","container-title":"Biomedicines","DOI":"10.3390/biomedicines11123221","ISSN":"2227-9059","issue":"12","journalAbbreviation":"Biomedicines","language":"eng","note":"PMID: 38137442\nPMCID: PMC10740940","page":"3221","source":"PubMed","title":"Recent Developments in Gene Therapy for Neovascular Age-Related Macular Degeneration: A Review","title-short":"Recent Developments in Gene Therapy for Neovascular Age-Related Macular Degeneration","volume":"11","author":[{"family":"Finocchio","given":"Lucia"},{"family":"Zeppieri","given":"Marco"},{"family":"Gabai","given":"Andrea"},{"family":"Toneatto","given":"Giacomo"},{"family":"Spadea","given":"Leopoldo"},{"family":"Salati","given":"Carlo"}],"issued":{"date-parts":[["2023",12,5]]}}}],"schema":"https://github.com/citation-style-language/schema/raw/master/csl-citation.json"} </w:instrText>
      </w:r>
      <w:r w:rsidR="003A0F1D" w:rsidRPr="00D017CD">
        <w:rPr>
          <w:rFonts w:ascii="Times New Roman" w:hAnsi="Times New Roman" w:cs="Times New Roman"/>
          <w:sz w:val="24"/>
          <w:szCs w:val="24"/>
        </w:rPr>
        <w:fldChar w:fldCharType="separate"/>
      </w:r>
      <w:r w:rsidR="009C78E5" w:rsidRPr="009C78E5">
        <w:rPr>
          <w:rFonts w:ascii="Times New Roman" w:hAnsi="Times New Roman" w:cs="Times New Roman"/>
          <w:sz w:val="24"/>
        </w:rPr>
        <w:t>(Finocchio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Several factors require a superior consideration of the fundamental mechanisms of inflammation in ocular gene therapy for ARMD, with prolonged studies of follow-up required to fully assess efficacy, safety, and the body's immune response to gene therapy. It is estimated that over three to five years, gene therapy may substitute several anti-VEGF injections with only a dose of office-based administration and will change the current archetype of ARMD treatment by improving the patient’s quality of life</w:t>
      </w:r>
      <w:r w:rsidR="00401824">
        <w:rPr>
          <w:rFonts w:ascii="Times New Roman" w:hAnsi="Times New Roman" w:cs="Times New Roman"/>
          <w:sz w:val="24"/>
          <w:szCs w:val="24"/>
        </w:rPr>
        <w:t xml:space="preserve"> </w:t>
      </w:r>
      <w:r w:rsidR="009C78E5" w:rsidRPr="009C78E5">
        <w:rPr>
          <w:rFonts w:ascii="Times New Roman" w:hAnsi="Times New Roman" w:cs="Times New Roman"/>
          <w:sz w:val="24"/>
          <w:szCs w:val="24"/>
          <w:highlight w:val="yellow"/>
        </w:rPr>
        <w:fldChar w:fldCharType="begin"/>
      </w:r>
      <w:r w:rsidR="009C78E5" w:rsidRPr="009C78E5">
        <w:rPr>
          <w:rFonts w:ascii="Times New Roman" w:hAnsi="Times New Roman" w:cs="Times New Roman"/>
          <w:sz w:val="24"/>
          <w:szCs w:val="24"/>
          <w:highlight w:val="yellow"/>
        </w:rPr>
        <w:instrText xml:space="preserve"> ADDIN ZOTERO_ITEM CSL_CITATION {"citationID":"xNhNuBFY","properties":{"formattedCitation":"(Stahl, 2020)","plainCitation":"(Stahl, 2020)","noteIndex":0},"citationItems":[{"id":1260,"uris":["http://zotero.org/users/15401920/items/EDJB3UY9"],"itemData":{"id":1260,"type":"article-journal","abstract":"BACKGROUND: Age-related macular degeneration (AMD) is thought to cause approximately 9% of all cases of blindness worldwide. In Germany, half of all cases of blindness and high-grade visual impairment are due to AMD. In this review, the main risk factors, clinical manifestations, and treatments of this disease are presented.\nMETHODS: This review is based on pertinent publications retrieved by a selective search in PubMed for original articles and reviews, as well as on current position statements by the relevant specialty societies.\nRESULTS: AMD is subdivided into early, intermediate, and late stages. The early stage is often asymptomatic; patients in the other two stages often have distorted vision or central visual field defects. The main risk factors are age, genetic predisposition, and nicotine consumption. The number of persons with early AMD in Germany rose from 5.7 million in 2002 to ca. 7 million in 2017. Late AMD is subdivided into the dry late form of the disease, for which there is no treatment at present, and the exudative late form, which can be treated with the intravitreal injection of VEGF inhibitors.\nCONCLUSION: More research is needed on the dry late form of AMD in particular, which is currently untreatable. The treatment of the exudative late form with VEGF inhibitors is labor-intensive and requires a close collaboration of the patient, the ophthalmologist, and the primary care physician.","container-title":"Deutsches Arzteblatt International","DOI":"10.3238/arztebl.2020.0513","ISSN":"1866-0452","issue":"29-30","journalAbbreviation":"Dtsch Arztebl Int","language":"eng","note":"PMID: 33087239\nPMCID: PMC7588619","page":"513-520","source":"PubMed","title":"The Diagnosis and Treatment of Age-Related Macular Degeneration","volume":"117","author":[{"family":"Stahl","given":"Andreas"}],"issued":{"date-parts":[["2020",7,20]]}}}],"schema":"https://github.com/citation-style-language/schema/raw/master/csl-citation.json"} </w:instrText>
      </w:r>
      <w:r w:rsidR="009C78E5" w:rsidRPr="009C78E5">
        <w:rPr>
          <w:rFonts w:ascii="Times New Roman" w:hAnsi="Times New Roman" w:cs="Times New Roman"/>
          <w:sz w:val="24"/>
          <w:szCs w:val="24"/>
          <w:highlight w:val="yellow"/>
        </w:rPr>
        <w:fldChar w:fldCharType="separate"/>
      </w:r>
      <w:r w:rsidR="009C78E5" w:rsidRPr="009C78E5">
        <w:rPr>
          <w:rFonts w:ascii="Times New Roman" w:hAnsi="Times New Roman" w:cs="Times New Roman"/>
          <w:sz w:val="24"/>
          <w:highlight w:val="yellow"/>
        </w:rPr>
        <w:t>(Stahl, 2020)</w:t>
      </w:r>
      <w:r w:rsidR="009C78E5" w:rsidRPr="009C78E5">
        <w:rPr>
          <w:rFonts w:ascii="Times New Roman" w:hAnsi="Times New Roman" w:cs="Times New Roman"/>
          <w:sz w:val="24"/>
          <w:szCs w:val="24"/>
          <w:highlight w:val="yellow"/>
        </w:rPr>
        <w:fldChar w:fldCharType="end"/>
      </w:r>
    </w:p>
    <w:p w14:paraId="7E90EDC6" w14:textId="3FCE1134"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Conclusion</w:t>
      </w:r>
    </w:p>
    <w:p w14:paraId="18FEADFB" w14:textId="01DFE03F"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Th</w:t>
      </w:r>
      <w:r w:rsidR="00CC2E34">
        <w:rPr>
          <w:rFonts w:ascii="Times New Roman" w:hAnsi="Times New Roman" w:cs="Times New Roman"/>
          <w:sz w:val="24"/>
          <w:szCs w:val="24"/>
        </w:rPr>
        <w:t>is</w:t>
      </w:r>
      <w:r w:rsidRPr="00D017CD">
        <w:rPr>
          <w:rFonts w:ascii="Times New Roman" w:hAnsi="Times New Roman" w:cs="Times New Roman"/>
          <w:sz w:val="24"/>
          <w:szCs w:val="24"/>
        </w:rPr>
        <w:t xml:space="preserve"> review highlights the potential of gene therapy to overcome the burden of recurrent injections, improve pa</w:t>
      </w:r>
      <w:r w:rsidR="00A16DFE">
        <w:rPr>
          <w:rFonts w:ascii="Times New Roman" w:hAnsi="Times New Roman" w:cs="Times New Roman"/>
          <w:sz w:val="24"/>
          <w:szCs w:val="24"/>
        </w:rPr>
        <w:t xml:space="preserve">tient outcomes, and </w:t>
      </w:r>
      <w:r w:rsidR="00A16DFE" w:rsidRPr="00CC2E34">
        <w:rPr>
          <w:rFonts w:ascii="Times New Roman" w:hAnsi="Times New Roman" w:cs="Times New Roman"/>
          <w:sz w:val="24"/>
          <w:szCs w:val="24"/>
          <w:highlight w:val="yellow"/>
        </w:rPr>
        <w:t>revolutioni</w:t>
      </w:r>
      <w:r w:rsidR="00CC2E34" w:rsidRPr="00CC2E34">
        <w:rPr>
          <w:rFonts w:ascii="Times New Roman" w:hAnsi="Times New Roman" w:cs="Times New Roman"/>
          <w:sz w:val="24"/>
          <w:szCs w:val="24"/>
          <w:highlight w:val="yellow"/>
        </w:rPr>
        <w:t>z</w:t>
      </w:r>
      <w:r w:rsidRPr="00CC2E34">
        <w:rPr>
          <w:rFonts w:ascii="Times New Roman" w:hAnsi="Times New Roman" w:cs="Times New Roman"/>
          <w:sz w:val="24"/>
          <w:szCs w:val="24"/>
          <w:highlight w:val="yellow"/>
        </w:rPr>
        <w:t>e</w:t>
      </w:r>
      <w:r w:rsidRPr="00D017CD">
        <w:rPr>
          <w:rFonts w:ascii="Times New Roman" w:hAnsi="Times New Roman" w:cs="Times New Roman"/>
          <w:sz w:val="24"/>
          <w:szCs w:val="24"/>
        </w:rPr>
        <w:t xml:space="preserve"> the management of </w:t>
      </w:r>
      <w:proofErr w:type="spellStart"/>
      <w:r w:rsidRPr="00D017CD">
        <w:rPr>
          <w:rFonts w:ascii="Times New Roman" w:hAnsi="Times New Roman" w:cs="Times New Roman"/>
          <w:sz w:val="24"/>
          <w:szCs w:val="24"/>
        </w:rPr>
        <w:t>nAMD</w:t>
      </w:r>
      <w:proofErr w:type="spellEnd"/>
      <w:r w:rsidRPr="00D017CD">
        <w:rPr>
          <w:rFonts w:ascii="Times New Roman" w:hAnsi="Times New Roman" w:cs="Times New Roman"/>
          <w:sz w:val="24"/>
          <w:szCs w:val="24"/>
        </w:rPr>
        <w:t>. New generation therapies open an innovative purpose of “one and done” office-based treatment for dry and wet ARMD. Gene therapy is showing output in animal trials and initial phases of clinical trials, capable of producing Anti-VEGF protein at the therapeutic level for at least up to three years. It is essential to acknowledge the challenges that come with the progression and application of gene therapies for ARMD and implementing them into practice. Ongoing research and clinical trials for gene therapy are shaping the approach for patients who require additional therapies. Ocular route of administration for delivery of viral vector and potential immune responses, are related complications of gene therapy, accentuate the need for continued investigation and poise in this field. Safety concerns, optimal dosing schedule, long-term effects, and approachability to these innovative treatments necessitate additional research, and attention is required.</w:t>
      </w:r>
    </w:p>
    <w:p w14:paraId="7D654322" w14:textId="6E621F77" w:rsidR="00CF5882"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 xml:space="preserve">Gene therapy revolutionary method, promises to restore </w:t>
      </w:r>
      <w:r w:rsidR="00CC2E34" w:rsidRPr="00CC2E34">
        <w:rPr>
          <w:rFonts w:ascii="Times New Roman" w:hAnsi="Times New Roman" w:cs="Times New Roman"/>
          <w:sz w:val="24"/>
          <w:szCs w:val="24"/>
        </w:rPr>
        <w:t>RPE</w:t>
      </w:r>
      <w:r w:rsidR="00CC2E34">
        <w:rPr>
          <w:rFonts w:ascii="Times New Roman" w:hAnsi="Times New Roman" w:cs="Times New Roman"/>
          <w:sz w:val="24"/>
          <w:szCs w:val="24"/>
        </w:rPr>
        <w:t xml:space="preserve"> </w:t>
      </w:r>
      <w:r w:rsidRPr="00D017CD">
        <w:rPr>
          <w:rFonts w:ascii="Times New Roman" w:hAnsi="Times New Roman" w:cs="Times New Roman"/>
          <w:sz w:val="24"/>
          <w:szCs w:val="24"/>
        </w:rPr>
        <w:t xml:space="preserve">function and improve visual acuity in both types of ARMD patients. </w:t>
      </w:r>
      <w:r w:rsidR="00E95BC4" w:rsidRPr="00E95BC4">
        <w:rPr>
          <w:rFonts w:ascii="Times New Roman" w:hAnsi="Times New Roman" w:cs="Times New Roman"/>
          <w:sz w:val="24"/>
          <w:szCs w:val="24"/>
          <w:highlight w:val="yellow"/>
        </w:rPr>
        <w:t xml:space="preserve">It </w:t>
      </w:r>
      <w:r w:rsidR="00E95BC4">
        <w:rPr>
          <w:rFonts w:ascii="Times New Roman" w:hAnsi="Times New Roman" w:cs="Times New Roman"/>
          <w:sz w:val="24"/>
          <w:szCs w:val="24"/>
          <w:highlight w:val="yellow"/>
        </w:rPr>
        <w:t>aims</w:t>
      </w:r>
      <w:r w:rsidR="00E95BC4" w:rsidRPr="00E95BC4">
        <w:rPr>
          <w:rFonts w:ascii="Times New Roman" w:hAnsi="Times New Roman" w:cs="Times New Roman"/>
          <w:sz w:val="24"/>
          <w:szCs w:val="24"/>
          <w:highlight w:val="yellow"/>
        </w:rPr>
        <w:t xml:space="preserve"> to slow the ARMD progression by replacing the faulty or mutated genes with healthy genes</w:t>
      </w:r>
      <w:r w:rsidRPr="00E95BC4">
        <w:rPr>
          <w:rFonts w:ascii="Times New Roman" w:hAnsi="Times New Roman" w:cs="Times New Roman"/>
          <w:sz w:val="24"/>
          <w:szCs w:val="24"/>
          <w:highlight w:val="yellow"/>
        </w:rPr>
        <w:t>.</w:t>
      </w:r>
      <w:r w:rsidRPr="00D017CD">
        <w:rPr>
          <w:rFonts w:ascii="Times New Roman" w:hAnsi="Times New Roman" w:cs="Times New Roman"/>
          <w:sz w:val="24"/>
          <w:szCs w:val="24"/>
        </w:rPr>
        <w:t xml:space="preserve"> The Phase 2 trial is carried out at Columbia University and New York-Presbyterian to test an investigational gene therapy for dry ARMD. </w:t>
      </w:r>
      <w:r w:rsidRPr="00D017CD">
        <w:rPr>
          <w:rFonts w:ascii="Times New Roman" w:hAnsi="Times New Roman" w:cs="Times New Roman"/>
          <w:sz w:val="24"/>
          <w:szCs w:val="24"/>
        </w:rPr>
        <w:lastRenderedPageBreak/>
        <w:t>In the United States, ARMD is a progressive, long-term eye disease without any cure and a leading cause of blindness. Phase 3 trial and regulatory approval (2025-2030) is ongoing research. In three to four years, gene therapy will be approved if this trial gives similar results to the Phase ½ trial. In the next 5 years, gene therapy trials will increase drastically, thus replacing injections of anti-VEGF with a solitary dose delivered office-based treatment. At present, several concerns need to be addressed in gene therapy. Future direction includes a combination of gene therapy and pharmacotherapy, and CRISPR/CAS9 gene editing.</w:t>
      </w:r>
    </w:p>
    <w:p w14:paraId="3F792DE9" w14:textId="77777777" w:rsidR="00825984" w:rsidRDefault="00825984" w:rsidP="00C30F5C">
      <w:pPr>
        <w:spacing w:line="360" w:lineRule="auto"/>
        <w:jc w:val="both"/>
        <w:rPr>
          <w:rFonts w:ascii="Times New Roman" w:hAnsi="Times New Roman" w:cs="Times New Roman"/>
          <w:sz w:val="24"/>
          <w:szCs w:val="24"/>
        </w:rPr>
      </w:pPr>
      <w:r w:rsidRPr="00825984">
        <w:rPr>
          <w:rFonts w:ascii="Times New Roman" w:hAnsi="Times New Roman" w:cs="Times New Roman"/>
          <w:b/>
          <w:bCs/>
          <w:sz w:val="24"/>
          <w:szCs w:val="24"/>
        </w:rPr>
        <w:t>DISCLAIMER (ARTIFICIAL INTELLIGENCE)</w:t>
      </w:r>
      <w:r w:rsidRPr="00825984">
        <w:rPr>
          <w:rFonts w:ascii="Times New Roman" w:hAnsi="Times New Roman" w:cs="Times New Roman"/>
          <w:sz w:val="24"/>
          <w:szCs w:val="24"/>
        </w:rPr>
        <w:t xml:space="preserve"> </w:t>
      </w:r>
    </w:p>
    <w:p w14:paraId="6C4ECF6C" w14:textId="455E1656" w:rsidR="00630661" w:rsidRPr="00D017CD" w:rsidRDefault="00825984" w:rsidP="00C30F5C">
      <w:pPr>
        <w:spacing w:line="360" w:lineRule="auto"/>
        <w:jc w:val="both"/>
        <w:rPr>
          <w:rFonts w:ascii="Times New Roman" w:hAnsi="Times New Roman" w:cs="Times New Roman"/>
          <w:sz w:val="24"/>
          <w:szCs w:val="24"/>
        </w:rPr>
      </w:pPr>
      <w:r w:rsidRPr="00825984">
        <w:rPr>
          <w:rFonts w:ascii="Times New Roman" w:hAnsi="Times New Roman" w:cs="Times New Roman"/>
          <w:sz w:val="24"/>
          <w:szCs w:val="24"/>
        </w:rPr>
        <w:t>Author</w:t>
      </w:r>
      <w:r>
        <w:rPr>
          <w:rFonts w:ascii="Times New Roman" w:hAnsi="Times New Roman" w:cs="Times New Roman"/>
          <w:sz w:val="24"/>
          <w:szCs w:val="24"/>
        </w:rPr>
        <w:t>s</w:t>
      </w:r>
      <w:r w:rsidRPr="00825984">
        <w:rPr>
          <w:rFonts w:ascii="Times New Roman" w:hAnsi="Times New Roman" w:cs="Times New Roman"/>
          <w:sz w:val="24"/>
          <w:szCs w:val="24"/>
        </w:rPr>
        <w:t xml:space="preserve"> hereby declare that NO generative AI technologies such as Large Language</w:t>
      </w:r>
      <w:r>
        <w:rPr>
          <w:rFonts w:ascii="Times New Roman" w:hAnsi="Times New Roman" w:cs="Times New Roman"/>
          <w:sz w:val="24"/>
          <w:szCs w:val="24"/>
        </w:rPr>
        <w:t xml:space="preserve"> </w:t>
      </w:r>
      <w:r w:rsidRPr="00825984">
        <w:rPr>
          <w:rFonts w:ascii="Times New Roman" w:hAnsi="Times New Roman" w:cs="Times New Roman"/>
          <w:sz w:val="24"/>
          <w:szCs w:val="24"/>
        </w:rPr>
        <w:t>Models (ChatGPT, COPILOT, etc) and text-to-image generators have</w:t>
      </w:r>
      <w:r w:rsidR="00501AC8">
        <w:rPr>
          <w:rFonts w:ascii="Times New Roman" w:hAnsi="Times New Roman" w:cs="Times New Roman"/>
          <w:sz w:val="24"/>
          <w:szCs w:val="24"/>
        </w:rPr>
        <w:t xml:space="preserve"> </w:t>
      </w:r>
      <w:r w:rsidRPr="00825984">
        <w:rPr>
          <w:rFonts w:ascii="Times New Roman" w:hAnsi="Times New Roman" w:cs="Times New Roman"/>
          <w:sz w:val="24"/>
          <w:szCs w:val="24"/>
        </w:rPr>
        <w:t>been used</w:t>
      </w:r>
      <w:r>
        <w:rPr>
          <w:rFonts w:ascii="Times New Roman" w:hAnsi="Times New Roman" w:cs="Times New Roman"/>
          <w:sz w:val="24"/>
          <w:szCs w:val="24"/>
        </w:rPr>
        <w:t xml:space="preserve"> </w:t>
      </w:r>
      <w:r w:rsidRPr="00825984">
        <w:rPr>
          <w:rFonts w:ascii="Times New Roman" w:hAnsi="Times New Roman" w:cs="Times New Roman"/>
          <w:sz w:val="24"/>
          <w:szCs w:val="24"/>
        </w:rPr>
        <w:t xml:space="preserve">during </w:t>
      </w:r>
      <w:r w:rsidR="00E95BC4" w:rsidRPr="00E95BC4">
        <w:rPr>
          <w:rFonts w:ascii="Times New Roman" w:hAnsi="Times New Roman" w:cs="Times New Roman"/>
          <w:sz w:val="24"/>
          <w:szCs w:val="24"/>
          <w:highlight w:val="yellow"/>
        </w:rPr>
        <w:t>the</w:t>
      </w:r>
      <w:r w:rsidR="00E95BC4">
        <w:rPr>
          <w:rFonts w:ascii="Times New Roman" w:hAnsi="Times New Roman" w:cs="Times New Roman"/>
          <w:sz w:val="24"/>
          <w:szCs w:val="24"/>
        </w:rPr>
        <w:t xml:space="preserve"> </w:t>
      </w:r>
      <w:r w:rsidRPr="00825984">
        <w:rPr>
          <w:rFonts w:ascii="Times New Roman" w:hAnsi="Times New Roman" w:cs="Times New Roman"/>
          <w:sz w:val="24"/>
          <w:szCs w:val="24"/>
        </w:rPr>
        <w:t>writing or</w:t>
      </w:r>
      <w:r w:rsidR="00501AC8">
        <w:rPr>
          <w:rFonts w:ascii="Times New Roman" w:hAnsi="Times New Roman" w:cs="Times New Roman"/>
          <w:sz w:val="24"/>
          <w:szCs w:val="24"/>
        </w:rPr>
        <w:t xml:space="preserve"> </w:t>
      </w:r>
      <w:r w:rsidRPr="00825984">
        <w:rPr>
          <w:rFonts w:ascii="Times New Roman" w:hAnsi="Times New Roman" w:cs="Times New Roman"/>
          <w:sz w:val="24"/>
          <w:szCs w:val="24"/>
        </w:rPr>
        <w:t>editing of manuscripts.</w:t>
      </w:r>
    </w:p>
    <w:p w14:paraId="54A05A94"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 xml:space="preserve">References: </w:t>
      </w:r>
    </w:p>
    <w:p w14:paraId="4DD01223" w14:textId="77777777" w:rsidR="00B042F0" w:rsidRDefault="003A0F1D" w:rsidP="00B042F0">
      <w:pPr>
        <w:pStyle w:val="Bibliography"/>
      </w:pPr>
      <w:r w:rsidRPr="00D27307">
        <w:rPr>
          <w:rFonts w:cs="Times New Roman"/>
          <w:sz w:val="24"/>
        </w:rPr>
        <w:fldChar w:fldCharType="begin"/>
      </w:r>
      <w:r w:rsidR="00B042F0">
        <w:rPr>
          <w:rFonts w:cs="Times New Roman"/>
          <w:sz w:val="24"/>
        </w:rPr>
        <w:instrText xml:space="preserve"> ADDIN ZOTERO_BIBL {"uncited":[],"omitted":[],"custom":[]} CSL_BIBLIOGRAPHY </w:instrText>
      </w:r>
      <w:r w:rsidRPr="00D27307">
        <w:rPr>
          <w:rFonts w:cs="Times New Roman"/>
          <w:sz w:val="24"/>
        </w:rPr>
        <w:fldChar w:fldCharType="separate"/>
      </w:r>
      <w:r w:rsidR="00B042F0">
        <w:t xml:space="preserve">Amarakoon, S., Martinez-Ciriano, J. P., van den Born, L. I., Baarsma, S., &amp; Missotten, T. (2019). Bevacizumab in age-related macular degeneration: A randomized controlled trial on the effect of on-demand therapy every 4 or 8 weeks. </w:t>
      </w:r>
      <w:r w:rsidR="00B042F0">
        <w:rPr>
          <w:i/>
          <w:iCs/>
        </w:rPr>
        <w:t>Acta Ophthalmologica</w:t>
      </w:r>
      <w:r w:rsidR="00B042F0">
        <w:t xml:space="preserve">, </w:t>
      </w:r>
      <w:r w:rsidR="00B042F0">
        <w:rPr>
          <w:i/>
          <w:iCs/>
        </w:rPr>
        <w:t>97</w:t>
      </w:r>
      <w:r w:rsidR="00B042F0">
        <w:t>(1), 107–112. https://doi.org/10.1111/aos.13774</w:t>
      </w:r>
    </w:p>
    <w:p w14:paraId="42549D9C" w14:textId="77777777" w:rsidR="00B042F0" w:rsidRDefault="00B042F0" w:rsidP="00B042F0">
      <w:pPr>
        <w:pStyle w:val="Bibliography"/>
      </w:pPr>
      <w:r>
        <w:t xml:space="preserve">Asten, F. van, Simmons, M., Singhal, A., Keenan, T. D., Ratnapriya, R., Agrón, E., Clemons, T. E., Swaroop, A., Lu, Z., &amp; Chew, E. Y. (2018). A Deep Phenotype Association Study Reveals Specific Phenotype Associations with Genetic Variants in Age-related Macular Degeneration: Age-Related Eye Disease Study 2 (AREDS2) Report No. 14. </w:t>
      </w:r>
      <w:r>
        <w:rPr>
          <w:i/>
          <w:iCs/>
        </w:rPr>
        <w:t>Ophthalmology</w:t>
      </w:r>
      <w:r>
        <w:t xml:space="preserve">, </w:t>
      </w:r>
      <w:r>
        <w:rPr>
          <w:i/>
          <w:iCs/>
        </w:rPr>
        <w:t>125</w:t>
      </w:r>
      <w:r>
        <w:t>(4), 559–568. https://doi.org/10.1016/j.ophtha.2017.09.023</w:t>
      </w:r>
    </w:p>
    <w:p w14:paraId="432F3BCB" w14:textId="77777777" w:rsidR="00B042F0" w:rsidRDefault="00B042F0" w:rsidP="00B042F0">
      <w:pPr>
        <w:pStyle w:val="Bibliography"/>
      </w:pPr>
      <w:r>
        <w:rPr>
          <w:i/>
          <w:iCs/>
        </w:rPr>
        <w:t>Basal Linear Deposit: Normal Physiological Ageing or a Defining Lesion of Age-Related Macular Degeneration?</w:t>
      </w:r>
      <w:r>
        <w:t xml:space="preserve"> (n.d.). Retrieved June 16, 2025, from https://www.mdpi.com/2077-0383/13/16/4611</w:t>
      </w:r>
    </w:p>
    <w:p w14:paraId="0615B796" w14:textId="77777777" w:rsidR="00B042F0" w:rsidRDefault="00B042F0" w:rsidP="00B042F0">
      <w:pPr>
        <w:pStyle w:val="Bibliography"/>
      </w:pPr>
      <w:r>
        <w:t xml:space="preserve">Bhutto, I., &amp; Lutty, G. (2012). Understanding age-related macular degeneration (AMD): Relationships between the photoreceptor/retinal pigment epithelium/Bruch’s membrane/choriocapillaris complex. </w:t>
      </w:r>
      <w:r>
        <w:rPr>
          <w:i/>
          <w:iCs/>
        </w:rPr>
        <w:t>Molecular Aspects of Medicine</w:t>
      </w:r>
      <w:r>
        <w:t xml:space="preserve">, </w:t>
      </w:r>
      <w:r>
        <w:rPr>
          <w:i/>
          <w:iCs/>
        </w:rPr>
        <w:t>33</w:t>
      </w:r>
      <w:r>
        <w:t>(4), 295–317. https://doi.org/10.1016/j.mam.2012.04.005</w:t>
      </w:r>
    </w:p>
    <w:p w14:paraId="0A30AAFF" w14:textId="77777777" w:rsidR="00B042F0" w:rsidRDefault="00B042F0" w:rsidP="00B042F0">
      <w:pPr>
        <w:pStyle w:val="Bibliography"/>
      </w:pPr>
      <w:r>
        <w:lastRenderedPageBreak/>
        <w:t xml:space="preserve">Binley, K., Widdowson, P. S., Kelleher, M., de Belin, J., Loader, J., Ferrige, G., Carlucci, M., Esapa, M., Chipchase, D., Angell-Manning, D., Ellis, S., Mitrophanous, K., Miskin, J., Bantseev, V., Nork, T. M., Miller, P., &amp; Naylor, S. (2012). Safety and biodistribution of an equine infectious anemia virus-based gene therapy, RetinoStat(®), for age-related macular degeneration. </w:t>
      </w:r>
      <w:r>
        <w:rPr>
          <w:i/>
          <w:iCs/>
        </w:rPr>
        <w:t>Human Gene Therapy</w:t>
      </w:r>
      <w:r>
        <w:t xml:space="preserve">, </w:t>
      </w:r>
      <w:r>
        <w:rPr>
          <w:i/>
          <w:iCs/>
        </w:rPr>
        <w:t>23</w:t>
      </w:r>
      <w:r>
        <w:t>(9), 980–991. https://doi.org/10.1089/hum.2012.008</w:t>
      </w:r>
    </w:p>
    <w:p w14:paraId="081CA047" w14:textId="77777777" w:rsidR="00B042F0" w:rsidRDefault="00B042F0" w:rsidP="00B042F0">
      <w:pPr>
        <w:pStyle w:val="Bibliography"/>
      </w:pPr>
      <w:r>
        <w:t xml:space="preserve">Blasiak, J., Pawlowska, E., Ciupińska, J., Derwich, M., Szczepanska, J., &amp; Kaarniranta, K. (2024). A New Generation of Gene Therapies as the Future of Wet AMD Treatment. </w:t>
      </w:r>
      <w:r>
        <w:rPr>
          <w:i/>
          <w:iCs/>
        </w:rPr>
        <w:t>International Journal of Molecular Sciences</w:t>
      </w:r>
      <w:r>
        <w:t xml:space="preserve">, </w:t>
      </w:r>
      <w:r>
        <w:rPr>
          <w:i/>
          <w:iCs/>
        </w:rPr>
        <w:t>25</w:t>
      </w:r>
      <w:r>
        <w:t>(4), 2386. https://doi.org/10.3390/ijms25042386</w:t>
      </w:r>
    </w:p>
    <w:p w14:paraId="4D3D7AA4" w14:textId="77777777" w:rsidR="00B042F0" w:rsidRDefault="00B042F0" w:rsidP="00B042F0">
      <w:pPr>
        <w:pStyle w:val="Bibliography"/>
      </w:pPr>
      <w:r>
        <w:t xml:space="preserve">Blattner, G., Cavazza, A., Thrasher, A. J., &amp; Turchiano, G. (2020). Gene Editing and Genotoxicity: Targeting the Off-Targets. </w:t>
      </w:r>
      <w:r>
        <w:rPr>
          <w:i/>
          <w:iCs/>
        </w:rPr>
        <w:t>Frontiers in Genome Editing</w:t>
      </w:r>
      <w:r>
        <w:t xml:space="preserve">, </w:t>
      </w:r>
      <w:r>
        <w:rPr>
          <w:i/>
          <w:iCs/>
        </w:rPr>
        <w:t>2</w:t>
      </w:r>
      <w:r>
        <w:t>, 613252. https://doi.org/10.3389/fgeed.2020.613252</w:t>
      </w:r>
    </w:p>
    <w:p w14:paraId="4A96BDEB" w14:textId="77777777" w:rsidR="00B042F0" w:rsidRDefault="00B042F0" w:rsidP="00B042F0">
      <w:pPr>
        <w:pStyle w:val="Bibliography"/>
      </w:pPr>
      <w:r>
        <w:t xml:space="preserve">Botto, C., Rucli, M., Tekinsoy, M. D., Pulman, J., Sahel, J.-A., &amp; Dalkara, D. (2022). Early and late stage gene therapy interventions for inherited retinal degenerations. </w:t>
      </w:r>
      <w:r>
        <w:rPr>
          <w:i/>
          <w:iCs/>
        </w:rPr>
        <w:t>Progress in Retinal and Eye Research</w:t>
      </w:r>
      <w:r>
        <w:t xml:space="preserve">, </w:t>
      </w:r>
      <w:r>
        <w:rPr>
          <w:i/>
          <w:iCs/>
        </w:rPr>
        <w:t>86</w:t>
      </w:r>
      <w:r>
        <w:t>, 100975. https://doi.org/10.1016/j.preteyeres.2021.100975</w:t>
      </w:r>
    </w:p>
    <w:p w14:paraId="1400C022" w14:textId="77777777" w:rsidR="00B042F0" w:rsidRDefault="00B042F0" w:rsidP="00B042F0">
      <w:pPr>
        <w:pStyle w:val="Bibliography"/>
      </w:pPr>
      <w:r>
        <w:t xml:space="preserve">Brock, D. J., Kondow-McConaghy, H. M., Hager, E. C., &amp; Pellois, J.-P. (2019). Endosomal escape and cytosolic penetration of macromolecules mediated by synthetic delivery agents. </w:t>
      </w:r>
      <w:r>
        <w:rPr>
          <w:i/>
          <w:iCs/>
        </w:rPr>
        <w:t>Bioconjugate Chemistry</w:t>
      </w:r>
      <w:r>
        <w:t xml:space="preserve">, </w:t>
      </w:r>
      <w:r>
        <w:rPr>
          <w:i/>
          <w:iCs/>
        </w:rPr>
        <w:t>30</w:t>
      </w:r>
      <w:r>
        <w:t>(2), 293–304. https://doi.org/10.1021/acs.bioconjchem.8b00799</w:t>
      </w:r>
    </w:p>
    <w:p w14:paraId="7BD79112" w14:textId="77777777" w:rsidR="00B042F0" w:rsidRDefault="00B042F0" w:rsidP="00B042F0">
      <w:pPr>
        <w:pStyle w:val="Bibliography"/>
      </w:pPr>
      <w:r>
        <w:t xml:space="preserve">Buck, T. M., &amp; Wijnholds, J. (2020). Recombinant Adeno-Associated Viral Vectors (rAAV)-Vector Elements in Ocular Gene Therapy Clinical Trials and Transgene Expression and Bioactivity Assays. </w:t>
      </w:r>
      <w:r>
        <w:rPr>
          <w:i/>
          <w:iCs/>
        </w:rPr>
        <w:t>International Journal of Molecular Sciences</w:t>
      </w:r>
      <w:r>
        <w:t xml:space="preserve">, </w:t>
      </w:r>
      <w:r>
        <w:rPr>
          <w:i/>
          <w:iCs/>
        </w:rPr>
        <w:t>21</w:t>
      </w:r>
      <w:r>
        <w:t>(12), 4197. https://doi.org/10.3390/ijms21124197</w:t>
      </w:r>
    </w:p>
    <w:p w14:paraId="17E54CA3" w14:textId="77777777" w:rsidR="00B042F0" w:rsidRDefault="00B042F0" w:rsidP="00B042F0">
      <w:pPr>
        <w:pStyle w:val="Bibliography"/>
      </w:pPr>
      <w:r>
        <w:t xml:space="preserve">Bulcha, J. T., Wang, Y., Ma, H., Tai, P. W. L., &amp; Gao, G. (2021). Viral vector platforms within the gene therapy landscape. </w:t>
      </w:r>
      <w:r>
        <w:rPr>
          <w:i/>
          <w:iCs/>
        </w:rPr>
        <w:t>Signal Transduction and Targeted Therapy</w:t>
      </w:r>
      <w:r>
        <w:t xml:space="preserve">, </w:t>
      </w:r>
      <w:r>
        <w:rPr>
          <w:i/>
          <w:iCs/>
        </w:rPr>
        <w:t>6</w:t>
      </w:r>
      <w:r>
        <w:t>(1), 1–24. https://doi.org/10.1038/s41392-021-00487-6</w:t>
      </w:r>
    </w:p>
    <w:p w14:paraId="52B9CEAC" w14:textId="77777777" w:rsidR="00B042F0" w:rsidRDefault="00B042F0" w:rsidP="00B042F0">
      <w:pPr>
        <w:pStyle w:val="Bibliography"/>
      </w:pPr>
      <w:r>
        <w:t xml:space="preserve">Campochiaro, P. A., Lauer, A. K., Sohn, E. H., Mir, T. A., Naylor, S., Anderton, M. C., Kelleher, M., Harrop, R., Ellis, S., &amp; Mitrophanous, K. A. (2017). Lentiviral Vector Gene Transfer of </w:t>
      </w:r>
      <w:r>
        <w:lastRenderedPageBreak/>
        <w:t xml:space="preserve">Endostatin/Angiostatin for Macular Degeneration (GEM) Study. </w:t>
      </w:r>
      <w:r>
        <w:rPr>
          <w:i/>
          <w:iCs/>
        </w:rPr>
        <w:t>Human Gene Therapy</w:t>
      </w:r>
      <w:r>
        <w:t xml:space="preserve">, </w:t>
      </w:r>
      <w:r>
        <w:rPr>
          <w:i/>
          <w:iCs/>
        </w:rPr>
        <w:t>28</w:t>
      </w:r>
      <w:r>
        <w:t>(1), 99–111. https://doi.org/10.1089/hum.2016.117</w:t>
      </w:r>
    </w:p>
    <w:p w14:paraId="3D3A84EF" w14:textId="77777777" w:rsidR="00B042F0" w:rsidRDefault="00B042F0" w:rsidP="00B042F0">
      <w:pPr>
        <w:pStyle w:val="Bibliography"/>
      </w:pPr>
      <w:r>
        <w:t xml:space="preserve">Campochiaro, P. A., Nguyen, Q. D., Shah, S. M., Klein, M. L., Holz, E., Frank, R. N., Saperstein, D. A., Gupta, A., Stout, J. T., Macko, J., DiBartolomeo, R., &amp; Wei, L. L. (2006). Adenoviral vector-delivered pigment epithelium-derived factor for neovascular age-related macular degeneration: Results of a phase I clinical trial. </w:t>
      </w:r>
      <w:r>
        <w:rPr>
          <w:i/>
          <w:iCs/>
        </w:rPr>
        <w:t>Human Gene Therapy</w:t>
      </w:r>
      <w:r>
        <w:t xml:space="preserve">, </w:t>
      </w:r>
      <w:r>
        <w:rPr>
          <w:i/>
          <w:iCs/>
        </w:rPr>
        <w:t>17</w:t>
      </w:r>
      <w:r>
        <w:t>(2), 167–176. https://doi.org/10.1089/hum.2006.17.167</w:t>
      </w:r>
    </w:p>
    <w:p w14:paraId="090AA69C" w14:textId="77777777" w:rsidR="00B042F0" w:rsidRDefault="00B042F0" w:rsidP="00B042F0">
      <w:pPr>
        <w:pStyle w:val="Bibliography"/>
      </w:pPr>
      <w:r>
        <w:t xml:space="preserve">Carvalho, C., Lemos, L., Antas, P., &amp; Seabra, M. C. (2023). Gene therapy for inherited retinal diseases: Exploiting new tools in genome editing and nanotechnology. </w:t>
      </w:r>
      <w:r>
        <w:rPr>
          <w:i/>
          <w:iCs/>
        </w:rPr>
        <w:t>Frontiers in Ophthalmology</w:t>
      </w:r>
      <w:r>
        <w:t xml:space="preserve">, </w:t>
      </w:r>
      <w:r>
        <w:rPr>
          <w:i/>
          <w:iCs/>
        </w:rPr>
        <w:t>3</w:t>
      </w:r>
      <w:r>
        <w:t>, 1270561. https://doi.org/10.3389/fopht.2023.1270561</w:t>
      </w:r>
    </w:p>
    <w:p w14:paraId="78A663B8" w14:textId="77777777" w:rsidR="00B042F0" w:rsidRDefault="00B042F0" w:rsidP="00B042F0">
      <w:pPr>
        <w:pStyle w:val="Bibliography"/>
      </w:pPr>
      <w:r>
        <w:t xml:space="preserve">Chaudhuri, M., Hassan, Y., Bakka Vemana, P. P. S., Bellary Pattanashetty, M. S., Abdin, Z. U., &amp; Siddiqui, H. F. (n.d.). Age-Related Macular Degeneration: An Exponentially Emerging Imminent Threat of Visual Impairment and Irreversible Blindness. </w:t>
      </w:r>
      <w:r>
        <w:rPr>
          <w:i/>
          <w:iCs/>
        </w:rPr>
        <w:t>Cureus</w:t>
      </w:r>
      <w:r>
        <w:t xml:space="preserve">, </w:t>
      </w:r>
      <w:r>
        <w:rPr>
          <w:i/>
          <w:iCs/>
        </w:rPr>
        <w:t>15</w:t>
      </w:r>
      <w:r>
        <w:t>(5), e39624. https://doi.org/10.7759/cureus.39624</w:t>
      </w:r>
    </w:p>
    <w:p w14:paraId="224C7AC3" w14:textId="77777777" w:rsidR="00B042F0" w:rsidRDefault="00B042F0" w:rsidP="00B042F0">
      <w:pPr>
        <w:pStyle w:val="Bibliography"/>
      </w:pPr>
      <w:r>
        <w:t xml:space="preserve">Chung, S. H., Frick, S. L., &amp; Yiu, G. (2021). Targeting vascular endothelial growth factor using retinal gene therapy. </w:t>
      </w:r>
      <w:r>
        <w:rPr>
          <w:i/>
          <w:iCs/>
        </w:rPr>
        <w:t>Annals of Translational Medicine</w:t>
      </w:r>
      <w:r>
        <w:t xml:space="preserve">, </w:t>
      </w:r>
      <w:r>
        <w:rPr>
          <w:i/>
          <w:iCs/>
        </w:rPr>
        <w:t>9</w:t>
      </w:r>
      <w:r>
        <w:t>(15), 1277. https://doi.org/10.21037/atm-20-4417</w:t>
      </w:r>
    </w:p>
    <w:p w14:paraId="6B0E5A7C" w14:textId="77777777" w:rsidR="00B042F0" w:rsidRDefault="00B042F0" w:rsidP="00B042F0">
      <w:pPr>
        <w:pStyle w:val="Bibliography"/>
      </w:pPr>
      <w:r>
        <w:t xml:space="preserve">Cui, M., Su, Q., Yip, M., McGowan, J., Punzo, C., Gao, G., &amp; Tai, P. W. L. (2024). The AAV2.7m8 capsid packages a higher degree of heterogeneous vector genomes than AAV2. </w:t>
      </w:r>
      <w:r>
        <w:rPr>
          <w:i/>
          <w:iCs/>
        </w:rPr>
        <w:t>Gene Therapy</w:t>
      </w:r>
      <w:r>
        <w:t xml:space="preserve">, </w:t>
      </w:r>
      <w:r>
        <w:rPr>
          <w:i/>
          <w:iCs/>
        </w:rPr>
        <w:t>31</w:t>
      </w:r>
      <w:r>
        <w:t>(9–10), 489–498. https://doi.org/10.1038/s41434-024-00477-7</w:t>
      </w:r>
    </w:p>
    <w:p w14:paraId="20B24A79" w14:textId="77777777" w:rsidR="00B042F0" w:rsidRDefault="00B042F0" w:rsidP="00B042F0">
      <w:pPr>
        <w:pStyle w:val="Bibliography"/>
      </w:pPr>
      <w:r>
        <w:t xml:space="preserve">Dalkara, D., Byrne, L. C., Klimczak, R. R., Visel, M., Yin, L., Merigan, W. H., Flannery, J. G., &amp; Schaffer, D. V. (2013). In vivo-directed evolution of a new adeno-associated virus for therapeutic outer retinal gene delivery from the vitreous. </w:t>
      </w:r>
      <w:r>
        <w:rPr>
          <w:i/>
          <w:iCs/>
        </w:rPr>
        <w:t>Science Translational Medicine</w:t>
      </w:r>
      <w:r>
        <w:t xml:space="preserve">, </w:t>
      </w:r>
      <w:r>
        <w:rPr>
          <w:i/>
          <w:iCs/>
        </w:rPr>
        <w:t>5</w:t>
      </w:r>
      <w:r>
        <w:t>(189), 189ra76. https://doi.org/10.1126/scitranslmed.3005708</w:t>
      </w:r>
    </w:p>
    <w:p w14:paraId="72DFCE82" w14:textId="77777777" w:rsidR="00B042F0" w:rsidRDefault="00B042F0" w:rsidP="00B042F0">
      <w:pPr>
        <w:pStyle w:val="Bibliography"/>
      </w:pPr>
      <w:r>
        <w:lastRenderedPageBreak/>
        <w:t xml:space="preserve">Di Staso, F., Di Pippo, M., &amp; Abdolrahimzadeh, S. (2023). Choroidal Neovascular Membranes in Retinal and Choroidal Tumors: Origins, Mechanisms, and Effects. </w:t>
      </w:r>
      <w:r>
        <w:rPr>
          <w:i/>
          <w:iCs/>
        </w:rPr>
        <w:t>International Journal of Molecular Sciences</w:t>
      </w:r>
      <w:r>
        <w:t xml:space="preserve">, </w:t>
      </w:r>
      <w:r>
        <w:rPr>
          <w:i/>
          <w:iCs/>
        </w:rPr>
        <w:t>24</w:t>
      </w:r>
      <w:r>
        <w:t>(2), 1064. https://doi.org/10.3390/ijms24021064</w:t>
      </w:r>
    </w:p>
    <w:p w14:paraId="0F02472B" w14:textId="77777777" w:rsidR="00B042F0" w:rsidRDefault="00B042F0" w:rsidP="00B042F0">
      <w:pPr>
        <w:pStyle w:val="Bibliography"/>
      </w:pPr>
      <w:r>
        <w:t xml:space="preserve">Drouin, L. M., &amp; Agbandje-McKenna, M. (2013). Adeno-associated virus structural biology as a tool in vector development. </w:t>
      </w:r>
      <w:r>
        <w:rPr>
          <w:i/>
          <w:iCs/>
        </w:rPr>
        <w:t>Future Virology</w:t>
      </w:r>
      <w:r>
        <w:t xml:space="preserve">, </w:t>
      </w:r>
      <w:r>
        <w:rPr>
          <w:i/>
          <w:iCs/>
        </w:rPr>
        <w:t>8</w:t>
      </w:r>
      <w:r>
        <w:t>(12), 1183. https://doi.org/10.2217/fvl.13.112</w:t>
      </w:r>
    </w:p>
    <w:p w14:paraId="6570EC80" w14:textId="77777777" w:rsidR="00B042F0" w:rsidRDefault="00B042F0" w:rsidP="00B042F0">
      <w:pPr>
        <w:pStyle w:val="Bibliography"/>
      </w:pPr>
      <w:r>
        <w:t xml:space="preserve">Ebrahimi, S., Khosravi, M. A., Raz, A., Karimipoor, M., &amp; Parvizi, P. (2023). CRISPR-Cas Technology as a Revolutionary Genome Editing tool: Mechanisms and Biomedical Applications. </w:t>
      </w:r>
      <w:r>
        <w:rPr>
          <w:i/>
          <w:iCs/>
        </w:rPr>
        <w:t>Iranian Biomedical Journal</w:t>
      </w:r>
      <w:r>
        <w:t xml:space="preserve">, </w:t>
      </w:r>
      <w:r>
        <w:rPr>
          <w:i/>
          <w:iCs/>
        </w:rPr>
        <w:t>27</w:t>
      </w:r>
      <w:r>
        <w:t>(5), 219–246. https://doi.org/10.61186/ibj.27.5.219</w:t>
      </w:r>
    </w:p>
    <w:p w14:paraId="382DC6F6" w14:textId="77777777" w:rsidR="00B042F0" w:rsidRDefault="00B042F0" w:rsidP="00B042F0">
      <w:pPr>
        <w:pStyle w:val="Bibliography"/>
      </w:pPr>
      <w:r>
        <w:t xml:space="preserve">Eghbalsaied, S., Lawler, C., Petersen, B., Hajiyev, R. A., Bischoff, S. R., &amp; Frankenberg, S. (2024). CRISPR/Cas9-mediated base editors and their prospects for mitochondrial genome engineering. </w:t>
      </w:r>
      <w:r>
        <w:rPr>
          <w:i/>
          <w:iCs/>
        </w:rPr>
        <w:t>Gene Therapy</w:t>
      </w:r>
      <w:r>
        <w:t xml:space="preserve">, </w:t>
      </w:r>
      <w:r>
        <w:rPr>
          <w:i/>
          <w:iCs/>
        </w:rPr>
        <w:t>31</w:t>
      </w:r>
      <w:r>
        <w:t>(5–6), 209–223. https://doi.org/10.1038/s41434-023-00434-w</w:t>
      </w:r>
    </w:p>
    <w:p w14:paraId="4F36AAC0" w14:textId="77777777" w:rsidR="00B042F0" w:rsidRDefault="00B042F0" w:rsidP="00B042F0">
      <w:pPr>
        <w:pStyle w:val="Bibliography"/>
      </w:pPr>
      <w:r>
        <w:t xml:space="preserve">Fernandes, A. R., Zielińska, A., Sanchez-Lopez, E., dos Santos, T., Garcia, M. L., Silva, A. M., Karczewski, J., &amp; Souto, E. B. (2022). Exudative versus Nonexudative Age-Related Macular Degeneration: Physiopathology and Treatment Options. </w:t>
      </w:r>
      <w:r>
        <w:rPr>
          <w:i/>
          <w:iCs/>
        </w:rPr>
        <w:t>International Journal of Molecular Sciences</w:t>
      </w:r>
      <w:r>
        <w:t xml:space="preserve">, </w:t>
      </w:r>
      <w:r>
        <w:rPr>
          <w:i/>
          <w:iCs/>
        </w:rPr>
        <w:t>23</w:t>
      </w:r>
      <w:r>
        <w:t>(5), 2592. https://doi.org/10.3390/ijms23052592</w:t>
      </w:r>
    </w:p>
    <w:p w14:paraId="7F416A5A" w14:textId="77777777" w:rsidR="00B042F0" w:rsidRDefault="00B042F0" w:rsidP="00B042F0">
      <w:pPr>
        <w:pStyle w:val="Bibliography"/>
      </w:pPr>
      <w:r>
        <w:t xml:space="preserve">Finocchio, L., Zeppieri, M., Gabai, A., Toneatto, G., Spadea, L., &amp; Salati, C. (2023). Recent Developments in Gene Therapy for Neovascular Age-Related Macular Degeneration: A Review. </w:t>
      </w:r>
      <w:r>
        <w:rPr>
          <w:i/>
          <w:iCs/>
        </w:rPr>
        <w:t>Biomedicines</w:t>
      </w:r>
      <w:r>
        <w:t xml:space="preserve">, </w:t>
      </w:r>
      <w:r>
        <w:rPr>
          <w:i/>
          <w:iCs/>
        </w:rPr>
        <w:t>11</w:t>
      </w:r>
      <w:r>
        <w:t>(12), 3221. https://doi.org/10.3390/biomedicines11123221</w:t>
      </w:r>
    </w:p>
    <w:p w14:paraId="0B9A0066" w14:textId="77777777" w:rsidR="00B042F0" w:rsidRDefault="00B042F0" w:rsidP="00B042F0">
      <w:pPr>
        <w:pStyle w:val="Bibliography"/>
      </w:pPr>
      <w:r>
        <w:t xml:space="preserve">Gehlbach, P., Demetriades, A. M., Yamamoto, S., Deering, T., Duh, E. J., Yang, H. S., Cingolani, C., Lai, H., Wei, L., &amp; Campochiaro, P. A. (2003). Periocular injection of an adenoviral vector encoding pigment epithelium-derived factor inhibits choroidal neovascularization. </w:t>
      </w:r>
      <w:r>
        <w:rPr>
          <w:i/>
          <w:iCs/>
        </w:rPr>
        <w:t>Gene Therapy</w:t>
      </w:r>
      <w:r>
        <w:t xml:space="preserve">, </w:t>
      </w:r>
      <w:r>
        <w:rPr>
          <w:i/>
          <w:iCs/>
        </w:rPr>
        <w:t>10</w:t>
      </w:r>
      <w:r>
        <w:t>(8), 637–646. https://doi.org/10.1038/sj.gt.3301931</w:t>
      </w:r>
    </w:p>
    <w:p w14:paraId="2E0E0CB7" w14:textId="77777777" w:rsidR="00B042F0" w:rsidRDefault="00B042F0" w:rsidP="00B042F0">
      <w:pPr>
        <w:pStyle w:val="Bibliography"/>
      </w:pPr>
      <w:r>
        <w:t xml:space="preserve">Guimaraes, T. A. C. de, Georgiou, M., Bainbridge, J. W. B., &amp; Michaelides, M. (2021). Gene therapy for neovascular age-related macular degeneration: Rationale, clinical trials and future directions. </w:t>
      </w:r>
      <w:r>
        <w:rPr>
          <w:i/>
          <w:iCs/>
        </w:rPr>
        <w:t>The British Journal of Ophthalmology</w:t>
      </w:r>
      <w:r>
        <w:t xml:space="preserve">, </w:t>
      </w:r>
      <w:r>
        <w:rPr>
          <w:i/>
          <w:iCs/>
        </w:rPr>
        <w:t>105</w:t>
      </w:r>
      <w:r>
        <w:t>(2), 151–157. https://doi.org/10.1136/bjophthalmol-2020-316195</w:t>
      </w:r>
    </w:p>
    <w:p w14:paraId="6C0AA324" w14:textId="77777777" w:rsidR="00B042F0" w:rsidRDefault="00B042F0" w:rsidP="00B042F0">
      <w:pPr>
        <w:pStyle w:val="Bibliography"/>
      </w:pPr>
      <w:r>
        <w:lastRenderedPageBreak/>
        <w:t xml:space="preserve">Gupta, V., Sengupta, M., Prakash, J., &amp; Tripathy, B. C. (2016). Production of Recombinant Pharmaceutical Proteins. </w:t>
      </w:r>
      <w:r>
        <w:rPr>
          <w:i/>
          <w:iCs/>
        </w:rPr>
        <w:t>Basic and Applied Aspects of Biotechnology</w:t>
      </w:r>
      <w:r>
        <w:t>, 77–101. https://doi.org/10.1007/978-981-10-0875-7_4</w:t>
      </w:r>
    </w:p>
    <w:p w14:paraId="6F219409" w14:textId="77777777" w:rsidR="00B042F0" w:rsidRDefault="00B042F0" w:rsidP="00B042F0">
      <w:pPr>
        <w:pStyle w:val="Bibliography"/>
      </w:pPr>
      <w:r>
        <w:t xml:space="preserve">He, X., Fu, Y., Ma, L., Yao, Y., Ge, S., Yang, Z., &amp; Fan, X. (2023). AAV for Gene Therapy in Ocular Diseases: Progress and Prospects. </w:t>
      </w:r>
      <w:r>
        <w:rPr>
          <w:i/>
          <w:iCs/>
        </w:rPr>
        <w:t>Research (Washington, D.C.)</w:t>
      </w:r>
      <w:r>
        <w:t xml:space="preserve">, </w:t>
      </w:r>
      <w:r>
        <w:rPr>
          <w:i/>
          <w:iCs/>
        </w:rPr>
        <w:t>6</w:t>
      </w:r>
      <w:r>
        <w:t>, 0291. https://doi.org/10.34133/research.0291</w:t>
      </w:r>
    </w:p>
    <w:p w14:paraId="76391620" w14:textId="77777777" w:rsidR="00B042F0" w:rsidRDefault="00B042F0" w:rsidP="00B042F0">
      <w:pPr>
        <w:pStyle w:val="Bibliography"/>
      </w:pPr>
      <w:r>
        <w:t xml:space="preserve">Heesterbeek, T. J., Lorés‐Motta, L., Hoyng, C. B., Lechanteur, Y. T. E., &amp; den Hollander, A. I. (2020). Risk factors for progression of age‐related macular degeneration. </w:t>
      </w:r>
      <w:r>
        <w:rPr>
          <w:i/>
          <w:iCs/>
        </w:rPr>
        <w:t>Ophthalmic &amp; Physiological Optics</w:t>
      </w:r>
      <w:r>
        <w:t xml:space="preserve">, </w:t>
      </w:r>
      <w:r>
        <w:rPr>
          <w:i/>
          <w:iCs/>
        </w:rPr>
        <w:t>40</w:t>
      </w:r>
      <w:r>
        <w:t>(2), 140–170. https://doi.org/10.1111/opo.12675</w:t>
      </w:r>
    </w:p>
    <w:p w14:paraId="0712C962" w14:textId="77777777" w:rsidR="00B042F0" w:rsidRDefault="00B042F0" w:rsidP="00B042F0">
      <w:pPr>
        <w:pStyle w:val="Bibliography"/>
      </w:pPr>
      <w:r>
        <w:t xml:space="preserve">Hushmandi, K., Lam, H. Y., Wong, W. M., Tan, W., Daryabari, S.-H., Reiter, R. J., Farahani, N., &amp; Kumar, A. P. (2025). Gene therapy for age-related macular degeneration: A promising frontier in vision preservation. </w:t>
      </w:r>
      <w:r>
        <w:rPr>
          <w:i/>
          <w:iCs/>
        </w:rPr>
        <w:t>Cell Communication and Signaling : CCS</w:t>
      </w:r>
      <w:r>
        <w:t xml:space="preserve">, </w:t>
      </w:r>
      <w:r>
        <w:rPr>
          <w:i/>
          <w:iCs/>
        </w:rPr>
        <w:t>23</w:t>
      </w:r>
      <w:r>
        <w:t>, 233. https://doi.org/10.1186/s12964-025-02246-4</w:t>
      </w:r>
    </w:p>
    <w:p w14:paraId="76C45C89" w14:textId="77777777" w:rsidR="00B042F0" w:rsidRDefault="00B042F0" w:rsidP="00B042F0">
      <w:pPr>
        <w:pStyle w:val="Bibliography"/>
      </w:pPr>
      <w:r>
        <w:t xml:space="preserve">Issa, S. S., Shaimardanova, A. A., Solovyeva, V. V., &amp; Rizvanov, A. A. (2023). Various AAV Serotypes and Their Applications in Gene Therapy: An Overview. </w:t>
      </w:r>
      <w:r>
        <w:rPr>
          <w:i/>
          <w:iCs/>
        </w:rPr>
        <w:t>Cells</w:t>
      </w:r>
      <w:r>
        <w:t xml:space="preserve">, </w:t>
      </w:r>
      <w:r>
        <w:rPr>
          <w:i/>
          <w:iCs/>
        </w:rPr>
        <w:t>12</w:t>
      </w:r>
      <w:r>
        <w:t>(5), 785. https://doi.org/10.3390/cells12050785</w:t>
      </w:r>
    </w:p>
    <w:p w14:paraId="661EECDA" w14:textId="77777777" w:rsidR="00B042F0" w:rsidRDefault="00B042F0" w:rsidP="00B042F0">
      <w:pPr>
        <w:pStyle w:val="Bibliography"/>
      </w:pPr>
      <w:r>
        <w:t xml:space="preserve">Kansara, V., Muya, L., Wan, C., &amp; Ciulla, T. A. (2020). Suprachoroidal Delivery of Viral and Nonviral Gene Therapy for Retinal Diseases. </w:t>
      </w:r>
      <w:r>
        <w:rPr>
          <w:i/>
          <w:iCs/>
        </w:rPr>
        <w:t>Journal of Ocular Pharmacology and Therapeutics</w:t>
      </w:r>
      <w:r>
        <w:t xml:space="preserve">, </w:t>
      </w:r>
      <w:r>
        <w:rPr>
          <w:i/>
          <w:iCs/>
        </w:rPr>
        <w:t>36</w:t>
      </w:r>
      <w:r>
        <w:t>(6), 384–392. https://doi.org/10.1089/jop.2019.0126</w:t>
      </w:r>
    </w:p>
    <w:p w14:paraId="4B71556A" w14:textId="77777777" w:rsidR="00B042F0" w:rsidRDefault="00B042F0" w:rsidP="00B042F0">
      <w:pPr>
        <w:pStyle w:val="Bibliography"/>
      </w:pPr>
      <w:r>
        <w:t xml:space="preserve">Khanani, A. M., Boyer, D. S., Wykoff, C. C., Regillo, C. D., Busbee, B. G., Pieramici, D., Danzig, C. J., Joondeph, B. C., Major, J. C., Turpcu, A., &amp; Kiss, S. (2023). Safety and efficacy of ixoberogene soroparvovec in neovascular age-related macular degeneration in the United States (OPTIC): A prospective, two-year, multicentre phase 1 study. </w:t>
      </w:r>
      <w:r>
        <w:rPr>
          <w:i/>
          <w:iCs/>
        </w:rPr>
        <w:t>eClinicalMedicine</w:t>
      </w:r>
      <w:r>
        <w:t xml:space="preserve">, </w:t>
      </w:r>
      <w:r>
        <w:rPr>
          <w:i/>
          <w:iCs/>
        </w:rPr>
        <w:t>67</w:t>
      </w:r>
      <w:r>
        <w:t>, 102394. https://doi.org/10.1016/j.eclinm.2023.102394</w:t>
      </w:r>
    </w:p>
    <w:p w14:paraId="55E6A4C4" w14:textId="77777777" w:rsidR="00B042F0" w:rsidRDefault="00B042F0" w:rsidP="00B042F0">
      <w:pPr>
        <w:pStyle w:val="Bibliography"/>
      </w:pPr>
      <w:r>
        <w:lastRenderedPageBreak/>
        <w:t xml:space="preserve">Khanani, A. M., Kiss, S., Turpcu, A., Hoang, C., &amp; Osborne, A. (2020). Phase 1 Study of Intravitreal Gene Therapy ADVM-022 for neovascular AMD (OPTIC Trial). </w:t>
      </w:r>
      <w:r>
        <w:rPr>
          <w:i/>
          <w:iCs/>
        </w:rPr>
        <w:t>Investigative Ophthalmology &amp; Visual Science</w:t>
      </w:r>
      <w:r>
        <w:t xml:space="preserve">, </w:t>
      </w:r>
      <w:r>
        <w:rPr>
          <w:i/>
          <w:iCs/>
        </w:rPr>
        <w:t>61</w:t>
      </w:r>
      <w:r>
        <w:t>(7), 1154.</w:t>
      </w:r>
    </w:p>
    <w:p w14:paraId="0C4BC434" w14:textId="77777777" w:rsidR="00B042F0" w:rsidRDefault="00B042F0" w:rsidP="00B042F0">
      <w:pPr>
        <w:pStyle w:val="Bibliography"/>
      </w:pPr>
      <w:r>
        <w:t xml:space="preserve">Khanani, A. M., Thomas, M. J., Aziz, A. A., Weng, C. Y., Danzig, C. J., Yiu, G., Kiss, S., Waheed, N. K., &amp; Kaiser, P. K. (2022). Review of gene therapies for age-related macular degeneration. </w:t>
      </w:r>
      <w:r>
        <w:rPr>
          <w:i/>
          <w:iCs/>
        </w:rPr>
        <w:t>Eye (London, England)</w:t>
      </w:r>
      <w:r>
        <w:t xml:space="preserve">, </w:t>
      </w:r>
      <w:r>
        <w:rPr>
          <w:i/>
          <w:iCs/>
        </w:rPr>
        <w:t>36</w:t>
      </w:r>
      <w:r>
        <w:t>(2), 303–311. https://doi.org/10.1038/s41433-021-01842-1</w:t>
      </w:r>
    </w:p>
    <w:p w14:paraId="51B2BFED" w14:textId="77777777" w:rsidR="00B042F0" w:rsidRDefault="00B042F0" w:rsidP="00B042F0">
      <w:pPr>
        <w:pStyle w:val="Bibliography"/>
      </w:pPr>
      <w:r>
        <w:t xml:space="preserve">Kulkarni, S. R., Aghashe, S. R., Khandekar, R. B., &amp; Deshpande, M. D. (2013). Prevalence and determinants of age-related macular degeneration in the 50 years and older population: A hospital based study in Maharashtra, India. </w:t>
      </w:r>
      <w:r>
        <w:rPr>
          <w:i/>
          <w:iCs/>
        </w:rPr>
        <w:t>Indian Journal of Ophthalmology</w:t>
      </w:r>
      <w:r>
        <w:t xml:space="preserve">, </w:t>
      </w:r>
      <w:r>
        <w:rPr>
          <w:i/>
          <w:iCs/>
        </w:rPr>
        <w:t>61</w:t>
      </w:r>
      <w:r>
        <w:t>(5), 196–201. https://doi.org/10.4103/0301-4738.99870</w:t>
      </w:r>
    </w:p>
    <w:p w14:paraId="5179DA69" w14:textId="77777777" w:rsidR="00B042F0" w:rsidRDefault="00B042F0" w:rsidP="00B042F0">
      <w:pPr>
        <w:pStyle w:val="Bibliography"/>
      </w:pPr>
      <w:r>
        <w:t xml:space="preserve">Kushwah, N., Bora, K., Maurya, M., Pavlovich, M. C., &amp; Chen, J. (2023). Oxidative Stress and Antioxidants in Age-Related Macular Degeneration. </w:t>
      </w:r>
      <w:r>
        <w:rPr>
          <w:i/>
          <w:iCs/>
        </w:rPr>
        <w:t>Antioxidants</w:t>
      </w:r>
      <w:r>
        <w:t xml:space="preserve">, </w:t>
      </w:r>
      <w:r>
        <w:rPr>
          <w:i/>
          <w:iCs/>
        </w:rPr>
        <w:t>12</w:t>
      </w:r>
      <w:r>
        <w:t>(7), 1379. https://doi.org/10.3390/antiox12071379</w:t>
      </w:r>
    </w:p>
    <w:p w14:paraId="4ABCDCE3" w14:textId="77777777" w:rsidR="00B042F0" w:rsidRDefault="00B042F0" w:rsidP="00B042F0">
      <w:pPr>
        <w:pStyle w:val="Bibliography"/>
      </w:pPr>
      <w:r>
        <w:t xml:space="preserve">Li, T., Kang, G., Wang, T., &amp; Huang, H. (2018). Tumor angiogenesis and anti-angiogenic gene therapy for cancer. </w:t>
      </w:r>
      <w:r>
        <w:rPr>
          <w:i/>
          <w:iCs/>
        </w:rPr>
        <w:t>Oncology Letters</w:t>
      </w:r>
      <w:r>
        <w:t xml:space="preserve">, </w:t>
      </w:r>
      <w:r>
        <w:rPr>
          <w:i/>
          <w:iCs/>
        </w:rPr>
        <w:t>16</w:t>
      </w:r>
      <w:r>
        <w:t>(1), 687–702. https://doi.org/10.3892/ol.2018.8733</w:t>
      </w:r>
    </w:p>
    <w:p w14:paraId="4A72DC23" w14:textId="77777777" w:rsidR="00B042F0" w:rsidRDefault="00B042F0" w:rsidP="00B042F0">
      <w:pPr>
        <w:pStyle w:val="Bibliography"/>
      </w:pPr>
      <w:r>
        <w:t xml:space="preserve">Liao, Y., Liu, H., &amp; Spasić, I. (2023). Deep learning approaches to automatic radiology report generation: A systematic review. </w:t>
      </w:r>
      <w:r>
        <w:rPr>
          <w:i/>
          <w:iCs/>
        </w:rPr>
        <w:t>Informatics in Medicine Unlocked</w:t>
      </w:r>
      <w:r>
        <w:t xml:space="preserve">, </w:t>
      </w:r>
      <w:r>
        <w:rPr>
          <w:i/>
          <w:iCs/>
        </w:rPr>
        <w:t>39</w:t>
      </w:r>
      <w:r>
        <w:t>, 101273. https://doi.org/10.1016/j.imu.2023.101273</w:t>
      </w:r>
    </w:p>
    <w:p w14:paraId="3374053B" w14:textId="77777777" w:rsidR="00B042F0" w:rsidRDefault="00B042F0" w:rsidP="00B042F0">
      <w:pPr>
        <w:pStyle w:val="Bibliography"/>
      </w:pPr>
      <w:r>
        <w:t xml:space="preserve">Mallone, F., Costi, R., Marenco, M., Plateroti, R., Minni, A., Attanasio, G., Artico, M., &amp; Lambiase, A. (2021). Understanding Drivers of Ocular Fibrosis: Current and Future Therapeutic Perspectives. </w:t>
      </w:r>
      <w:r>
        <w:rPr>
          <w:i/>
          <w:iCs/>
        </w:rPr>
        <w:t>International Journal of Molecular Sciences</w:t>
      </w:r>
      <w:r>
        <w:t xml:space="preserve">, </w:t>
      </w:r>
      <w:r>
        <w:rPr>
          <w:i/>
          <w:iCs/>
        </w:rPr>
        <w:t>22</w:t>
      </w:r>
      <w:r>
        <w:t>(21), 11748. https://doi.org/10.3390/ijms222111748</w:t>
      </w:r>
    </w:p>
    <w:p w14:paraId="04F96C19" w14:textId="77777777" w:rsidR="00B042F0" w:rsidRDefault="00B042F0" w:rsidP="00B042F0">
      <w:pPr>
        <w:pStyle w:val="Bibliography"/>
      </w:pPr>
      <w:r>
        <w:t xml:space="preserve">Mazzitello, K. I., Arizmendi, C. M., Family, F., &amp; Grossniklaus, H. E. (2009). Formation and growth of lipofuscin in the retinal pigment epithelium cells. </w:t>
      </w:r>
      <w:r>
        <w:rPr>
          <w:i/>
          <w:iCs/>
        </w:rPr>
        <w:t>Physical Review. E, Statistical, Nonlinear, and Soft Matter Physics</w:t>
      </w:r>
      <w:r>
        <w:t xml:space="preserve">, </w:t>
      </w:r>
      <w:r>
        <w:rPr>
          <w:i/>
          <w:iCs/>
        </w:rPr>
        <w:t>80</w:t>
      </w:r>
      <w:r>
        <w:t>(5 Pt 1), 051908. https://doi.org/10.1103/PhysRevE.80.051908</w:t>
      </w:r>
    </w:p>
    <w:p w14:paraId="6FB4AF61" w14:textId="77777777" w:rsidR="00B042F0" w:rsidRDefault="00B042F0" w:rsidP="00B042F0">
      <w:pPr>
        <w:pStyle w:val="Bibliography"/>
      </w:pPr>
      <w:r>
        <w:lastRenderedPageBreak/>
        <w:t xml:space="preserve">Mehta, N. J., &amp; Mehta, S. N. (2024). Nanotechnology in Retinal Disease: Current Concepts and Future Directions. </w:t>
      </w:r>
      <w:r>
        <w:rPr>
          <w:i/>
          <w:iCs/>
        </w:rPr>
        <w:t>Journal of Ocular Pharmacology and Therapeutics</w:t>
      </w:r>
      <w:r>
        <w:t xml:space="preserve">, </w:t>
      </w:r>
      <w:r>
        <w:rPr>
          <w:i/>
          <w:iCs/>
        </w:rPr>
        <w:t>40</w:t>
      </w:r>
      <w:r>
        <w:t>(1), 3–12. https://doi.org/10.1089/jop.2023.0083</w:t>
      </w:r>
    </w:p>
    <w:p w14:paraId="01B91434" w14:textId="77777777" w:rsidR="00B042F0" w:rsidRDefault="00B042F0" w:rsidP="00B042F0">
      <w:pPr>
        <w:pStyle w:val="Bibliography"/>
      </w:pPr>
      <w:r>
        <w:t xml:space="preserve">Mehta, N., Robbins, D. A., &amp; Yiu, G. (2021). Ocular Inflammation and Treatment Emergent Adverse Events in Retinal Gene Therapy. </w:t>
      </w:r>
      <w:r>
        <w:rPr>
          <w:i/>
          <w:iCs/>
        </w:rPr>
        <w:t>International Ophthalmology Clinics</w:t>
      </w:r>
      <w:r>
        <w:t xml:space="preserve">, </w:t>
      </w:r>
      <w:r>
        <w:rPr>
          <w:i/>
          <w:iCs/>
        </w:rPr>
        <w:t>61</w:t>
      </w:r>
      <w:r>
        <w:t>(3), 151–177. https://doi.org/10.1097/IIO.0000000000000366</w:t>
      </w:r>
    </w:p>
    <w:p w14:paraId="3448BB06" w14:textId="77777777" w:rsidR="00B042F0" w:rsidRDefault="00B042F0" w:rsidP="00B042F0">
      <w:pPr>
        <w:pStyle w:val="Bibliography"/>
      </w:pPr>
      <w:r>
        <w:t xml:space="preserve">Mousavi, M., &amp; Armstrong, R. A. (2013). Genetic risk factors and age-related macular degeneration (AMD). </w:t>
      </w:r>
      <w:r>
        <w:rPr>
          <w:i/>
          <w:iCs/>
        </w:rPr>
        <w:t>Journal of Optometry</w:t>
      </w:r>
      <w:r>
        <w:t xml:space="preserve">, </w:t>
      </w:r>
      <w:r>
        <w:rPr>
          <w:i/>
          <w:iCs/>
        </w:rPr>
        <w:t>6</w:t>
      </w:r>
      <w:r>
        <w:t>(4), 176–184. https://doi.org/10.1016/j.optom.2013.07.002</w:t>
      </w:r>
    </w:p>
    <w:p w14:paraId="653BAE7F" w14:textId="77777777" w:rsidR="00B042F0" w:rsidRDefault="00B042F0" w:rsidP="00B042F0">
      <w:pPr>
        <w:pStyle w:val="Bibliography"/>
      </w:pPr>
      <w:r>
        <w:t xml:space="preserve">Naso, M. F., Tomkowicz, B., Perry, W. L., &amp; Strohl, W. R. (2017). Adeno-Associated Virus (AAV) as a Vector for Gene Therapy. </w:t>
      </w:r>
      <w:r>
        <w:rPr>
          <w:i/>
          <w:iCs/>
        </w:rPr>
        <w:t>Biodrugs</w:t>
      </w:r>
      <w:r>
        <w:t xml:space="preserve">, </w:t>
      </w:r>
      <w:r>
        <w:rPr>
          <w:i/>
          <w:iCs/>
        </w:rPr>
        <w:t>31</w:t>
      </w:r>
      <w:r>
        <w:t>(4), 317–334. https://doi.org/10.1007/s40259-017-0234-5</w:t>
      </w:r>
    </w:p>
    <w:p w14:paraId="3DA21C66" w14:textId="77777777" w:rsidR="00B042F0" w:rsidRDefault="00B042F0" w:rsidP="00B042F0">
      <w:pPr>
        <w:pStyle w:val="Bibliography"/>
      </w:pPr>
      <w:r>
        <w:rPr>
          <w:i/>
          <w:iCs/>
        </w:rPr>
        <w:t>Packaging Capacity of Adeno-Associated Virus Serotypes: Impact of Larger Genomes on Infectivity and Postentry Steps | Journal of Virology</w:t>
      </w:r>
      <w:r>
        <w:t>. (n.d.). https://journals.asm.org/doi/10.1128/jvi.79.15.9933-9944.2005</w:t>
      </w:r>
    </w:p>
    <w:p w14:paraId="0F283BDD" w14:textId="77777777" w:rsidR="00B042F0" w:rsidRDefault="00B042F0" w:rsidP="00B042F0">
      <w:pPr>
        <w:pStyle w:val="Bibliography"/>
      </w:pPr>
      <w:r>
        <w:t xml:space="preserve">Pan, Y., &amp; Iwata, T. (2024). Role of ARMS2/HTRA1 risk alleles in the pathogenesis of neovascular age-related macular degeneration. </w:t>
      </w:r>
      <w:r>
        <w:rPr>
          <w:i/>
          <w:iCs/>
        </w:rPr>
        <w:t>Taiwan Journal of Ophthalmology</w:t>
      </w:r>
      <w:r>
        <w:t xml:space="preserve">, </w:t>
      </w:r>
      <w:r>
        <w:rPr>
          <w:i/>
          <w:iCs/>
        </w:rPr>
        <w:t>14</w:t>
      </w:r>
      <w:r>
        <w:t>(4), 531–539. https://doi.org/10.4103/tjo.TJO-D-23-00152</w:t>
      </w:r>
    </w:p>
    <w:p w14:paraId="158D59B7" w14:textId="77777777" w:rsidR="00B042F0" w:rsidRDefault="00B042F0" w:rsidP="00B042F0">
      <w:pPr>
        <w:pStyle w:val="Bibliography"/>
      </w:pPr>
      <w:r>
        <w:t xml:space="preserve">Pérez-Gutiérrez, L., &amp; Ferrara, N. (2023). Biology and therapeutic targeting of vascular endothelial growth factor A. </w:t>
      </w:r>
      <w:r>
        <w:rPr>
          <w:i/>
          <w:iCs/>
        </w:rPr>
        <w:t>Nature Reviews Molecular Cell Biology</w:t>
      </w:r>
      <w:r>
        <w:t xml:space="preserve">, </w:t>
      </w:r>
      <w:r>
        <w:rPr>
          <w:i/>
          <w:iCs/>
        </w:rPr>
        <w:t>24</w:t>
      </w:r>
      <w:r>
        <w:t>(11), 816–834. https://doi.org/10.1038/s41580-023-00631-w</w:t>
      </w:r>
    </w:p>
    <w:p w14:paraId="6AB77F72" w14:textId="77777777" w:rsidR="00B042F0" w:rsidRDefault="00B042F0" w:rsidP="00B042F0">
      <w:pPr>
        <w:pStyle w:val="Bibliography"/>
      </w:pPr>
      <w:r>
        <w:t xml:space="preserve">Planul, A., &amp; Dalkara, D. (2017). Vectors and Gene Delivery to the Retina. </w:t>
      </w:r>
      <w:r>
        <w:rPr>
          <w:i/>
          <w:iCs/>
        </w:rPr>
        <w:t>Annual Review of Vision Science</w:t>
      </w:r>
      <w:r>
        <w:t xml:space="preserve">, </w:t>
      </w:r>
      <w:r>
        <w:rPr>
          <w:i/>
          <w:iCs/>
        </w:rPr>
        <w:t>3</w:t>
      </w:r>
      <w:r>
        <w:t>, 121–140. https://doi.org/10.1146/annurev-vision-102016-061413</w:t>
      </w:r>
    </w:p>
    <w:p w14:paraId="1CA11A93" w14:textId="77777777" w:rsidR="00B042F0" w:rsidRDefault="00B042F0" w:rsidP="00B042F0">
      <w:pPr>
        <w:pStyle w:val="Bibliography"/>
      </w:pPr>
      <w:r>
        <w:t xml:space="preserve">Poulsen, K., Hanna, K., Nieves, J., Nguyen, N., Sharma, P., Grishanin, R., Corbau, R., &amp; Kiss, S. (2025). Nonclinical study of ixo-vec gene therapy for nAMD supports efficacy for a human dose of 6E10 vg/eye and staggered dosing of fellow eyes. </w:t>
      </w:r>
      <w:r>
        <w:rPr>
          <w:i/>
          <w:iCs/>
        </w:rPr>
        <w:t>Molecular Therapy. Methods &amp; Clinical Development</w:t>
      </w:r>
      <w:r>
        <w:t xml:space="preserve">, </w:t>
      </w:r>
      <w:r>
        <w:rPr>
          <w:i/>
          <w:iCs/>
        </w:rPr>
        <w:t>33</w:t>
      </w:r>
      <w:r>
        <w:t>(1), 101430. https://doi.org/10.1016/j.omtm.2025.101430</w:t>
      </w:r>
    </w:p>
    <w:p w14:paraId="6B852AED" w14:textId="77777777" w:rsidR="00B042F0" w:rsidRDefault="00B042F0" w:rsidP="00B042F0">
      <w:pPr>
        <w:pStyle w:val="Bibliography"/>
      </w:pPr>
      <w:r>
        <w:lastRenderedPageBreak/>
        <w:t xml:space="preserve">Rampersad, S., &amp; Tennant, P. (2018). Replication and Expression Strategies of Viruses. </w:t>
      </w:r>
      <w:r>
        <w:rPr>
          <w:i/>
          <w:iCs/>
        </w:rPr>
        <w:t>Viruses</w:t>
      </w:r>
      <w:r>
        <w:t>, 55–82. https://doi.org/10.1016/B978-0-12-811257-1.00003-6</w:t>
      </w:r>
    </w:p>
    <w:p w14:paraId="6ECCC8C5" w14:textId="77777777" w:rsidR="00B042F0" w:rsidRDefault="00B042F0" w:rsidP="00B042F0">
      <w:pPr>
        <w:pStyle w:val="Bibliography"/>
      </w:pPr>
      <w:r>
        <w:t xml:space="preserve">Richer, S., Ii, L. U., Bhandari, A., &amp; Popenko, N. (2017). Longevinex ® Improves Human Atrophic Aged-related Macular Degeneration (AMD) Photoreceptor / Retinal Pigment Epithelium Mediated Dark Adaptation*. </w:t>
      </w:r>
      <w:r>
        <w:rPr>
          <w:i/>
          <w:iCs/>
        </w:rPr>
        <w:t>Journal of Advances in Medicine and Medical Research</w:t>
      </w:r>
      <w:r>
        <w:t>, 1–19. https://doi.org/10.9734/BJMMR/2017/33820</w:t>
      </w:r>
    </w:p>
    <w:p w14:paraId="413F2561" w14:textId="77777777" w:rsidR="00B042F0" w:rsidRDefault="00B042F0" w:rsidP="00B042F0">
      <w:pPr>
        <w:pStyle w:val="Bibliography"/>
      </w:pPr>
      <w:r>
        <w:t xml:space="preserve">Ronzitti, G., Gross, D.-A., &amp; Mingozzi, F. (2020). Human Immune Responses to Adeno-Associated Virus (AAV) Vectors. </w:t>
      </w:r>
      <w:r>
        <w:rPr>
          <w:i/>
          <w:iCs/>
        </w:rPr>
        <w:t>Frontiers in Immunology</w:t>
      </w:r>
      <w:r>
        <w:t xml:space="preserve">, </w:t>
      </w:r>
      <w:r>
        <w:rPr>
          <w:i/>
          <w:iCs/>
        </w:rPr>
        <w:t>11</w:t>
      </w:r>
      <w:r>
        <w:t>, 670. https://doi.org/10.3389/fimmu.2020.00670</w:t>
      </w:r>
    </w:p>
    <w:p w14:paraId="2E89BECD" w14:textId="77777777" w:rsidR="00B042F0" w:rsidRDefault="00B042F0" w:rsidP="00B042F0">
      <w:pPr>
        <w:pStyle w:val="Bibliography"/>
      </w:pPr>
      <w:r>
        <w:t xml:space="preserve">Ross, M., &amp; Ofri, R. (2021). The future of retinal gene therapy: Evolving from subretinal to intravitreal vector delivery. </w:t>
      </w:r>
      <w:r>
        <w:rPr>
          <w:i/>
          <w:iCs/>
        </w:rPr>
        <w:t>Neural Regeneration Research</w:t>
      </w:r>
      <w:r>
        <w:t xml:space="preserve">, </w:t>
      </w:r>
      <w:r>
        <w:rPr>
          <w:i/>
          <w:iCs/>
        </w:rPr>
        <w:t>16</w:t>
      </w:r>
      <w:r>
        <w:t>(9), 1751–1759. https://doi.org/10.4103/1673-5374.306063</w:t>
      </w:r>
    </w:p>
    <w:p w14:paraId="756979AA" w14:textId="77777777" w:rsidR="00B042F0" w:rsidRDefault="00B042F0" w:rsidP="00B042F0">
      <w:pPr>
        <w:pStyle w:val="Bibliography"/>
      </w:pPr>
      <w:r>
        <w:t xml:space="preserve">Rowe, L. W., &amp; Ciulla, T. A. (2024). Gene Therapy for Non-Hereditary Retinal Disease: Age-Related Macular Degeneration, Diabetic Retinopathy, and Beyond. </w:t>
      </w:r>
      <w:r>
        <w:rPr>
          <w:i/>
          <w:iCs/>
        </w:rPr>
        <w:t>Genes</w:t>
      </w:r>
      <w:r>
        <w:t xml:space="preserve">, </w:t>
      </w:r>
      <w:r>
        <w:rPr>
          <w:i/>
          <w:iCs/>
        </w:rPr>
        <w:t>15</w:t>
      </w:r>
      <w:r>
        <w:t>(6), 720. https://doi.org/10.3390/genes15060720</w:t>
      </w:r>
    </w:p>
    <w:p w14:paraId="6A6D5BA0" w14:textId="77777777" w:rsidR="00B042F0" w:rsidRDefault="00B042F0" w:rsidP="00B042F0">
      <w:pPr>
        <w:pStyle w:val="Bibliography"/>
      </w:pPr>
      <w:r>
        <w:t xml:space="preserve">Saigal, K., Salama, J. E., Pardo, A. A., Lopez, S. E., &amp; Gregori, N. Z. (2025). Modifiable Lifestyle Risk Factors and Strategies for Slowing the Progression of Age-Related Macular Degeneration. </w:t>
      </w:r>
      <w:r>
        <w:rPr>
          <w:i/>
          <w:iCs/>
        </w:rPr>
        <w:t>Vision</w:t>
      </w:r>
      <w:r>
        <w:t xml:space="preserve">, </w:t>
      </w:r>
      <w:r>
        <w:rPr>
          <w:i/>
          <w:iCs/>
        </w:rPr>
        <w:t>9</w:t>
      </w:r>
      <w:r>
        <w:t>(1), 16. https://doi.org/10.3390/vision9010016</w:t>
      </w:r>
    </w:p>
    <w:p w14:paraId="0061067C" w14:textId="77777777" w:rsidR="00B042F0" w:rsidRDefault="00B042F0" w:rsidP="00B042F0">
      <w:pPr>
        <w:pStyle w:val="Bibliography"/>
      </w:pPr>
      <w:r>
        <w:t xml:space="preserve">Schambach, A., Buchholz, C. J., Torres-Ruiz, R., Cichutek, K., Morgan, M., Trapani, I., &amp; Büning, H. (2024). A new age of precision gene therapy. </w:t>
      </w:r>
      <w:r>
        <w:rPr>
          <w:i/>
          <w:iCs/>
        </w:rPr>
        <w:t>The Lancet</w:t>
      </w:r>
      <w:r>
        <w:t xml:space="preserve">, </w:t>
      </w:r>
      <w:r>
        <w:rPr>
          <w:i/>
          <w:iCs/>
        </w:rPr>
        <w:t>403</w:t>
      </w:r>
      <w:r>
        <w:t>(10426), 568–582. https://doi.org/10.1016/S0140-6736(23)01952-9</w:t>
      </w:r>
    </w:p>
    <w:p w14:paraId="2542721B" w14:textId="77777777" w:rsidR="00B042F0" w:rsidRDefault="00B042F0" w:rsidP="00B042F0">
      <w:pPr>
        <w:pStyle w:val="Bibliography"/>
      </w:pPr>
      <w:r>
        <w:t xml:space="preserve">Schmitz-Valckenberg, S., Fleckenstein, M., Zouache, M. A., Pfau, M., Pappas, C., Hageman, J. L., Agrón, E., Malley, C., Keenan, T. D. L., Chew, E. Y., &amp; Hageman, G. S. (2022). Progression of Age-Related Macular Degeneration Among Individuals Homozygous for Risk Alleles on Chromosome 1 (CFH-CFHR5) or Chromosome 10 (ARMS2/HTRA1) or Both. </w:t>
      </w:r>
      <w:r>
        <w:rPr>
          <w:i/>
          <w:iCs/>
        </w:rPr>
        <w:t>JAMA Ophthalmology</w:t>
      </w:r>
      <w:r>
        <w:t xml:space="preserve">, </w:t>
      </w:r>
      <w:r>
        <w:rPr>
          <w:i/>
          <w:iCs/>
        </w:rPr>
        <w:t>140</w:t>
      </w:r>
      <w:r>
        <w:t>(3), 252–260. https://doi.org/10.1001/jamaophthalmol.2021.6072</w:t>
      </w:r>
    </w:p>
    <w:p w14:paraId="01202BFD" w14:textId="77777777" w:rsidR="00B042F0" w:rsidRDefault="00B042F0" w:rsidP="00B042F0">
      <w:pPr>
        <w:pStyle w:val="Bibliography"/>
      </w:pPr>
      <w:r>
        <w:lastRenderedPageBreak/>
        <w:t xml:space="preserve">Somasundaran, S., Constable, I. J., Mellough, C. B., &amp; Carvalho, L. S. (2020). Retinal pigment epithelium and age‐related macular degeneration: A review of major disease mechanisms. </w:t>
      </w:r>
      <w:r>
        <w:rPr>
          <w:i/>
          <w:iCs/>
        </w:rPr>
        <w:t>Clinical &amp; Experimental Ophthalmology</w:t>
      </w:r>
      <w:r>
        <w:t xml:space="preserve">, </w:t>
      </w:r>
      <w:r>
        <w:rPr>
          <w:i/>
          <w:iCs/>
        </w:rPr>
        <w:t>48</w:t>
      </w:r>
      <w:r>
        <w:t>(8), 1043–1056. https://doi.org/10.1111/ceo.13834</w:t>
      </w:r>
    </w:p>
    <w:p w14:paraId="4A4430EC" w14:textId="77777777" w:rsidR="00B042F0" w:rsidRDefault="00B042F0" w:rsidP="00B042F0">
      <w:pPr>
        <w:pStyle w:val="Bibliography"/>
      </w:pPr>
      <w:r>
        <w:t xml:space="preserve">Stahl, A. (2020). The Diagnosis and Treatment of Age-Related Macular Degeneration. </w:t>
      </w:r>
      <w:r>
        <w:rPr>
          <w:i/>
          <w:iCs/>
        </w:rPr>
        <w:t>Deutsches Arzteblatt International</w:t>
      </w:r>
      <w:r>
        <w:t xml:space="preserve">, </w:t>
      </w:r>
      <w:r>
        <w:rPr>
          <w:i/>
          <w:iCs/>
        </w:rPr>
        <w:t>117</w:t>
      </w:r>
      <w:r>
        <w:t>(29–30), 513–520. https://doi.org/10.3238/arztebl.2020.0513</w:t>
      </w:r>
    </w:p>
    <w:p w14:paraId="3515A76D" w14:textId="77777777" w:rsidR="00B042F0" w:rsidRDefault="00B042F0" w:rsidP="00B042F0">
      <w:pPr>
        <w:pStyle w:val="Bibliography"/>
      </w:pPr>
      <w:r>
        <w:t xml:space="preserve">Trincão-Marques, J., Ayton, L. N., Hickey, D. G., Marques-Neves, C., Guymer, R. H., Edwards, T. L., &amp; Sousa, D. C. (2024). Gene and cell therapy for age-related macular degeneration: A review. </w:t>
      </w:r>
      <w:r>
        <w:rPr>
          <w:i/>
          <w:iCs/>
        </w:rPr>
        <w:t>Survey of Ophthalmology</w:t>
      </w:r>
      <w:r>
        <w:t xml:space="preserve">, </w:t>
      </w:r>
      <w:r>
        <w:rPr>
          <w:i/>
          <w:iCs/>
        </w:rPr>
        <w:t>69</w:t>
      </w:r>
      <w:r>
        <w:t>(5), 665–676. https://doi.org/10.1016/j.survophthal.2024.05.002</w:t>
      </w:r>
    </w:p>
    <w:p w14:paraId="1AC4CFCD" w14:textId="77777777" w:rsidR="00B042F0" w:rsidRDefault="00B042F0" w:rsidP="00B042F0">
      <w:pPr>
        <w:pStyle w:val="Bibliography"/>
      </w:pPr>
      <w:r>
        <w:t xml:space="preserve">Tripepi, D., Jalil, A., Ally, N., Buzzi, M., Moussa, G., Rothschild, P.-R., Rossi, T., Ferrara, M., &amp; Romano, M. R. (2023). The Role of Subretinal Injection in Ophthalmic Surgery: Therapeutic Agent Delivery and Other Indications. </w:t>
      </w:r>
      <w:r>
        <w:rPr>
          <w:i/>
          <w:iCs/>
        </w:rPr>
        <w:t>International Journal of Molecular Sciences</w:t>
      </w:r>
      <w:r>
        <w:t xml:space="preserve">, </w:t>
      </w:r>
      <w:r>
        <w:rPr>
          <w:i/>
          <w:iCs/>
        </w:rPr>
        <w:t>24</w:t>
      </w:r>
      <w:r>
        <w:t>(13), 10535. https://doi.org/10.3390/ijms241310535</w:t>
      </w:r>
    </w:p>
    <w:p w14:paraId="0B649EBA" w14:textId="77777777" w:rsidR="00B042F0" w:rsidRDefault="00B042F0" w:rsidP="00B042F0">
      <w:pPr>
        <w:pStyle w:val="Bibliography"/>
      </w:pPr>
      <w:r>
        <w:t xml:space="preserve">Ţurcaş, C., &amp; Nicoară, S. D. (2025). A comprehensive review of structure-function correlations in age-related macular degeneration: Contributions of microperimetry. </w:t>
      </w:r>
      <w:r>
        <w:rPr>
          <w:i/>
          <w:iCs/>
        </w:rPr>
        <w:t>Survey of Ophthalmology</w:t>
      </w:r>
      <w:r>
        <w:t xml:space="preserve">, </w:t>
      </w:r>
      <w:r>
        <w:rPr>
          <w:i/>
          <w:iCs/>
        </w:rPr>
        <w:t>70</w:t>
      </w:r>
      <w:r>
        <w:t>(3), 426–450. https://doi.org/10.1016/j.survophthal.2025.01.009</w:t>
      </w:r>
    </w:p>
    <w:p w14:paraId="2E2A0257" w14:textId="77777777" w:rsidR="00B042F0" w:rsidRDefault="00B042F0" w:rsidP="00B042F0">
      <w:pPr>
        <w:pStyle w:val="Bibliography"/>
      </w:pPr>
      <w:r>
        <w:t xml:space="preserve">Uddin, F., Rudin, C. M., &amp; Sen, T. (2020). CRISPR Gene Therapy: Applications, Limitations, and Implications for the Future. </w:t>
      </w:r>
      <w:r>
        <w:rPr>
          <w:i/>
          <w:iCs/>
        </w:rPr>
        <w:t>Frontiers in Oncology</w:t>
      </w:r>
      <w:r>
        <w:t xml:space="preserve">, </w:t>
      </w:r>
      <w:r>
        <w:rPr>
          <w:i/>
          <w:iCs/>
        </w:rPr>
        <w:t>10</w:t>
      </w:r>
      <w:r>
        <w:t>, 1387. https://doi.org/10.3389/fonc.2020.01387</w:t>
      </w:r>
    </w:p>
    <w:p w14:paraId="1CA882FF" w14:textId="77777777" w:rsidR="00B042F0" w:rsidRDefault="00B042F0" w:rsidP="00B042F0">
      <w:pPr>
        <w:pStyle w:val="Bibliography"/>
      </w:pPr>
      <w:r>
        <w:t xml:space="preserve">Voelker, R. (2024). What Is Age-Related Macular Degeneration? </w:t>
      </w:r>
      <w:r>
        <w:rPr>
          <w:i/>
          <w:iCs/>
        </w:rPr>
        <w:t>JAMA</w:t>
      </w:r>
      <w:r>
        <w:t xml:space="preserve">, </w:t>
      </w:r>
      <w:r>
        <w:rPr>
          <w:i/>
          <w:iCs/>
        </w:rPr>
        <w:t>331</w:t>
      </w:r>
      <w:r>
        <w:t>(24), 2142. https://doi.org/10.1001/jama.2024.4281</w:t>
      </w:r>
    </w:p>
    <w:p w14:paraId="07B63DBE" w14:textId="77777777" w:rsidR="00B042F0" w:rsidRDefault="00B042F0" w:rsidP="00B042F0">
      <w:pPr>
        <w:pStyle w:val="Bibliography"/>
      </w:pPr>
      <w:r>
        <w:t xml:space="preserve">Vyawahare, H., &amp; Shinde, P. (n.d.). Age-Related Macular Degeneration: Epidemiology, Pathophysiology, Diagnosis, and Treatment. </w:t>
      </w:r>
      <w:r>
        <w:rPr>
          <w:i/>
          <w:iCs/>
        </w:rPr>
        <w:t>Cureus</w:t>
      </w:r>
      <w:r>
        <w:t xml:space="preserve">, </w:t>
      </w:r>
      <w:r>
        <w:rPr>
          <w:i/>
          <w:iCs/>
        </w:rPr>
        <w:t>14</w:t>
      </w:r>
      <w:r>
        <w:t>(9), e29583. https://doi.org/10.7759/cureus.29583</w:t>
      </w:r>
    </w:p>
    <w:p w14:paraId="756B51FA" w14:textId="77777777" w:rsidR="00B042F0" w:rsidRDefault="00B042F0" w:rsidP="00B042F0">
      <w:pPr>
        <w:pStyle w:val="Bibliography"/>
      </w:pPr>
      <w:r>
        <w:lastRenderedPageBreak/>
        <w:t xml:space="preserve">Wang, D., Tai, P. W. L., &amp; Gao, G. (2019). Adeno-associated virus vector as a platform for gene therapy delivery. </w:t>
      </w:r>
      <w:r>
        <w:rPr>
          <w:i/>
          <w:iCs/>
        </w:rPr>
        <w:t>Nature Reviews. Drug Discovery</w:t>
      </w:r>
      <w:r>
        <w:t xml:space="preserve">, </w:t>
      </w:r>
      <w:r>
        <w:rPr>
          <w:i/>
          <w:iCs/>
        </w:rPr>
        <w:t>18</w:t>
      </w:r>
      <w:r>
        <w:t>(5), 358–378. https://doi.org/10.1038/s41573-019-0012-9</w:t>
      </w:r>
    </w:p>
    <w:p w14:paraId="3134C740" w14:textId="77777777" w:rsidR="00B042F0" w:rsidRDefault="00B042F0" w:rsidP="00B042F0">
      <w:pPr>
        <w:pStyle w:val="Bibliography"/>
      </w:pPr>
      <w:r>
        <w:t xml:space="preserve">Wang, J. Y., &amp; Doudna, J. A. (2023). CRISPR technology: A decade of genome editing is only the beginning. </w:t>
      </w:r>
      <w:r>
        <w:rPr>
          <w:i/>
          <w:iCs/>
        </w:rPr>
        <w:t>Science (New York, N.Y.)</w:t>
      </w:r>
      <w:r>
        <w:t xml:space="preserve">, </w:t>
      </w:r>
      <w:r>
        <w:rPr>
          <w:i/>
          <w:iCs/>
        </w:rPr>
        <w:t>379</w:t>
      </w:r>
      <w:r>
        <w:t>(6629), eadd8643. https://doi.org/10.1126/science.add8643</w:t>
      </w:r>
    </w:p>
    <w:p w14:paraId="50CCBD96" w14:textId="77777777" w:rsidR="00B042F0" w:rsidRDefault="00B042F0" w:rsidP="00B042F0">
      <w:pPr>
        <w:pStyle w:val="Bibliography"/>
      </w:pPr>
      <w:r>
        <w:t>Wojciechowski, P., Wdowiak, M., Panek, M., Lunk, I., Carrasco, J., Zhang, X., Wu, O., Korobelnik, J.-F., &amp; Lanzetta, P. (2025). Efficacy, Safety, and Injection Frequency with Novel Aflibercept 8 mg in Neovascular Age-Related Macular Degeneration: A Comparison with Existing Anti-VEGF Regimens Using a Bayesian Network Meta</w:t>
      </w:r>
      <w:bookmarkStart w:id="2" w:name="_GoBack"/>
      <w:bookmarkEnd w:id="2"/>
      <w:r>
        <w:t xml:space="preserve">-Analysis. </w:t>
      </w:r>
      <w:r>
        <w:rPr>
          <w:i/>
          <w:iCs/>
        </w:rPr>
        <w:t>Ophthalmology and Therapy</w:t>
      </w:r>
      <w:r>
        <w:t xml:space="preserve">, </w:t>
      </w:r>
      <w:r>
        <w:rPr>
          <w:i/>
          <w:iCs/>
        </w:rPr>
        <w:t>14</w:t>
      </w:r>
      <w:r>
        <w:t>(4), 733. https://doi.org/10.1007/s40123-025-01098-y</w:t>
      </w:r>
    </w:p>
    <w:p w14:paraId="59920D71" w14:textId="77777777" w:rsidR="00B042F0" w:rsidRDefault="00B042F0" w:rsidP="00B042F0">
      <w:pPr>
        <w:pStyle w:val="Bibliography"/>
      </w:pPr>
      <w:r>
        <w:t xml:space="preserve">Xiang, Y. S., &amp; Hao, G. G. (2023). Biophysical characterization of adeno-associated virus capsid through the viral transduction life cycle. </w:t>
      </w:r>
      <w:r>
        <w:rPr>
          <w:i/>
          <w:iCs/>
        </w:rPr>
        <w:t>Journal of Genetic Engineering &amp; Biotechnology</w:t>
      </w:r>
      <w:r>
        <w:t xml:space="preserve">, </w:t>
      </w:r>
      <w:r>
        <w:rPr>
          <w:i/>
          <w:iCs/>
        </w:rPr>
        <w:t>21</w:t>
      </w:r>
      <w:r>
        <w:t>, 62. https://doi.org/10.1186/s43141-023-00518-5</w:t>
      </w:r>
    </w:p>
    <w:p w14:paraId="531A7BBF" w14:textId="77777777" w:rsidR="00B042F0" w:rsidRDefault="00B042F0" w:rsidP="00B042F0">
      <w:pPr>
        <w:pStyle w:val="Bibliography"/>
      </w:pPr>
      <w:r>
        <w:t xml:space="preserve">Xu, M., Fan, R., Fan, X., Shao, Y., &amp; Li, X. (2022). Progress and Challenges of Anti-VEGF Agents and Their Sustained-Release Strategies for Retinal Angiogenesis. </w:t>
      </w:r>
      <w:r>
        <w:rPr>
          <w:i/>
          <w:iCs/>
        </w:rPr>
        <w:t>Drug Design, Development and Therapy</w:t>
      </w:r>
      <w:r>
        <w:t xml:space="preserve">, </w:t>
      </w:r>
      <w:r>
        <w:rPr>
          <w:i/>
          <w:iCs/>
        </w:rPr>
        <w:t>16</w:t>
      </w:r>
      <w:r>
        <w:t>, 3241–3262. https://doi.org/10.2147/DDDT.S383101</w:t>
      </w:r>
    </w:p>
    <w:p w14:paraId="3A0A241B" w14:textId="77777777" w:rsidR="00B042F0" w:rsidRDefault="00B042F0" w:rsidP="00B042F0">
      <w:pPr>
        <w:pStyle w:val="Bibliography"/>
      </w:pPr>
      <w:r>
        <w:t xml:space="preserve">Zaiss, A.-K., Liu, Q., Bowen, G. P., Wong, N. C. W., Bartlett, J. S., &amp; Muruve, D. A. (2002). Differential activation of innate immune responses by adenovirus and adeno-associated virus vectors. </w:t>
      </w:r>
      <w:r>
        <w:rPr>
          <w:i/>
          <w:iCs/>
        </w:rPr>
        <w:t>Journal of Virology</w:t>
      </w:r>
      <w:r>
        <w:t xml:space="preserve">, </w:t>
      </w:r>
      <w:r>
        <w:rPr>
          <w:i/>
          <w:iCs/>
        </w:rPr>
        <w:t>76</w:t>
      </w:r>
      <w:r>
        <w:t>(9), 4580–4590. https://doi.org/10.1128/jvi.76.9.4580-4590.2002</w:t>
      </w:r>
    </w:p>
    <w:p w14:paraId="2C7F831B" w14:textId="5BA6346D" w:rsidR="004C7C0C" w:rsidRPr="00D27307" w:rsidRDefault="003A0F1D" w:rsidP="00C30F5C">
      <w:pPr>
        <w:spacing w:line="360" w:lineRule="auto"/>
        <w:jc w:val="both"/>
        <w:rPr>
          <w:rFonts w:ascii="Times New Roman" w:hAnsi="Times New Roman" w:cs="Times New Roman"/>
          <w:sz w:val="24"/>
          <w:szCs w:val="24"/>
        </w:rPr>
      </w:pPr>
      <w:r w:rsidRPr="00D27307">
        <w:rPr>
          <w:rFonts w:ascii="Times New Roman" w:hAnsi="Times New Roman" w:cs="Times New Roman"/>
          <w:sz w:val="24"/>
          <w:szCs w:val="24"/>
        </w:rPr>
        <w:fldChar w:fldCharType="end"/>
      </w:r>
    </w:p>
    <w:sectPr w:rsidR="004C7C0C" w:rsidRPr="00D27307" w:rsidSect="00036AB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CD42D" w14:textId="77777777" w:rsidR="00454544" w:rsidRDefault="00454544" w:rsidP="005348DB">
      <w:pPr>
        <w:spacing w:after="0" w:line="240" w:lineRule="auto"/>
      </w:pPr>
      <w:r>
        <w:separator/>
      </w:r>
    </w:p>
  </w:endnote>
  <w:endnote w:type="continuationSeparator" w:id="0">
    <w:p w14:paraId="08A54876" w14:textId="77777777" w:rsidR="00454544" w:rsidRDefault="00454544" w:rsidP="00534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921F" w14:textId="77777777" w:rsidR="005348DB" w:rsidRDefault="00534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856E" w14:textId="77777777" w:rsidR="005348DB" w:rsidRDefault="00534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28E4" w14:textId="77777777" w:rsidR="005348DB" w:rsidRDefault="00534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51273" w14:textId="77777777" w:rsidR="00454544" w:rsidRDefault="00454544" w:rsidP="005348DB">
      <w:pPr>
        <w:spacing w:after="0" w:line="240" w:lineRule="auto"/>
      </w:pPr>
      <w:r>
        <w:separator/>
      </w:r>
    </w:p>
  </w:footnote>
  <w:footnote w:type="continuationSeparator" w:id="0">
    <w:p w14:paraId="695179FE" w14:textId="77777777" w:rsidR="00454544" w:rsidRDefault="00454544" w:rsidP="00534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4F18" w14:textId="2ABE65BF" w:rsidR="005348DB" w:rsidRDefault="00454544">
    <w:pPr>
      <w:pStyle w:val="Header"/>
    </w:pPr>
    <w:r>
      <w:rPr>
        <w:noProof/>
      </w:rPr>
      <w:pict w14:anchorId="1CF2D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53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6C1C" w14:textId="63F3A689" w:rsidR="005348DB" w:rsidRDefault="00454544">
    <w:pPr>
      <w:pStyle w:val="Header"/>
    </w:pPr>
    <w:r>
      <w:rPr>
        <w:noProof/>
      </w:rPr>
      <w:pict w14:anchorId="0DC89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53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AA81" w14:textId="4833DD01" w:rsidR="005348DB" w:rsidRDefault="00454544">
    <w:pPr>
      <w:pStyle w:val="Header"/>
    </w:pPr>
    <w:r>
      <w:rPr>
        <w:noProof/>
      </w:rPr>
      <w:pict w14:anchorId="68FC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53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536"/>
    <w:multiLevelType w:val="hybridMultilevel"/>
    <w:tmpl w:val="D58043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D160BD2"/>
    <w:multiLevelType w:val="hybridMultilevel"/>
    <w:tmpl w:val="8438C870"/>
    <w:lvl w:ilvl="0" w:tplc="FCA87E6E">
      <w:start w:val="1"/>
      <w:numFmt w:val="decimal"/>
      <w:lvlText w:val="%1."/>
      <w:lvlJc w:val="left"/>
      <w:pPr>
        <w:ind w:left="360" w:hanging="360"/>
      </w:pPr>
      <w:rPr>
        <w:rFonts w:hint="default"/>
        <w:b/>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91856DA"/>
    <w:multiLevelType w:val="hybridMultilevel"/>
    <w:tmpl w:val="4ADA21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882"/>
    <w:rsid w:val="00005A3F"/>
    <w:rsid w:val="000111CF"/>
    <w:rsid w:val="000166A8"/>
    <w:rsid w:val="000239BD"/>
    <w:rsid w:val="000261B8"/>
    <w:rsid w:val="00026E1A"/>
    <w:rsid w:val="00027D06"/>
    <w:rsid w:val="00034668"/>
    <w:rsid w:val="00036AB0"/>
    <w:rsid w:val="000453C5"/>
    <w:rsid w:val="00055F33"/>
    <w:rsid w:val="00067F17"/>
    <w:rsid w:val="00072C30"/>
    <w:rsid w:val="000758B1"/>
    <w:rsid w:val="00080EC2"/>
    <w:rsid w:val="00083157"/>
    <w:rsid w:val="00097E2D"/>
    <w:rsid w:val="000C2E6C"/>
    <w:rsid w:val="000D3209"/>
    <w:rsid w:val="000E337C"/>
    <w:rsid w:val="000E4230"/>
    <w:rsid w:val="000E575E"/>
    <w:rsid w:val="0011345F"/>
    <w:rsid w:val="001558F5"/>
    <w:rsid w:val="00157813"/>
    <w:rsid w:val="00181327"/>
    <w:rsid w:val="001846DC"/>
    <w:rsid w:val="001928AD"/>
    <w:rsid w:val="001A4E66"/>
    <w:rsid w:val="001A5639"/>
    <w:rsid w:val="001C3F16"/>
    <w:rsid w:val="001D2A9D"/>
    <w:rsid w:val="001E1216"/>
    <w:rsid w:val="001F5266"/>
    <w:rsid w:val="00211275"/>
    <w:rsid w:val="00221516"/>
    <w:rsid w:val="002306D0"/>
    <w:rsid w:val="00233234"/>
    <w:rsid w:val="002436FF"/>
    <w:rsid w:val="00253005"/>
    <w:rsid w:val="00254499"/>
    <w:rsid w:val="0028567E"/>
    <w:rsid w:val="002874E0"/>
    <w:rsid w:val="00296F0C"/>
    <w:rsid w:val="002B3C09"/>
    <w:rsid w:val="002C3160"/>
    <w:rsid w:val="002C3830"/>
    <w:rsid w:val="002D39FE"/>
    <w:rsid w:val="002D61AE"/>
    <w:rsid w:val="002E76CC"/>
    <w:rsid w:val="002F6077"/>
    <w:rsid w:val="00305F38"/>
    <w:rsid w:val="00311F74"/>
    <w:rsid w:val="0031427B"/>
    <w:rsid w:val="003212B6"/>
    <w:rsid w:val="00323062"/>
    <w:rsid w:val="00326A08"/>
    <w:rsid w:val="0033300E"/>
    <w:rsid w:val="00342397"/>
    <w:rsid w:val="0034672C"/>
    <w:rsid w:val="00357258"/>
    <w:rsid w:val="00370CE5"/>
    <w:rsid w:val="00371F19"/>
    <w:rsid w:val="003778A8"/>
    <w:rsid w:val="003808E4"/>
    <w:rsid w:val="003813D2"/>
    <w:rsid w:val="003831F8"/>
    <w:rsid w:val="00383ABB"/>
    <w:rsid w:val="00384409"/>
    <w:rsid w:val="003971B2"/>
    <w:rsid w:val="003A0F1D"/>
    <w:rsid w:val="003C02CA"/>
    <w:rsid w:val="003D2BEB"/>
    <w:rsid w:val="003D3708"/>
    <w:rsid w:val="003E42AD"/>
    <w:rsid w:val="003F0DDF"/>
    <w:rsid w:val="003F1C4A"/>
    <w:rsid w:val="003F1F71"/>
    <w:rsid w:val="003F245C"/>
    <w:rsid w:val="003F43A8"/>
    <w:rsid w:val="00401824"/>
    <w:rsid w:val="00406D05"/>
    <w:rsid w:val="004453FC"/>
    <w:rsid w:val="00451C36"/>
    <w:rsid w:val="00454544"/>
    <w:rsid w:val="00462BB6"/>
    <w:rsid w:val="00466B2D"/>
    <w:rsid w:val="00477620"/>
    <w:rsid w:val="004A455E"/>
    <w:rsid w:val="004C45EF"/>
    <w:rsid w:val="004C7C0C"/>
    <w:rsid w:val="004D6FAE"/>
    <w:rsid w:val="004F301B"/>
    <w:rsid w:val="00500B8C"/>
    <w:rsid w:val="00501AC8"/>
    <w:rsid w:val="00510422"/>
    <w:rsid w:val="00513BFC"/>
    <w:rsid w:val="00532249"/>
    <w:rsid w:val="005348DB"/>
    <w:rsid w:val="00536352"/>
    <w:rsid w:val="00573D4E"/>
    <w:rsid w:val="00576D0C"/>
    <w:rsid w:val="005770EC"/>
    <w:rsid w:val="005A00BD"/>
    <w:rsid w:val="005D5158"/>
    <w:rsid w:val="005E3463"/>
    <w:rsid w:val="005F1C59"/>
    <w:rsid w:val="005F3554"/>
    <w:rsid w:val="00603CF8"/>
    <w:rsid w:val="00630661"/>
    <w:rsid w:val="00633E2E"/>
    <w:rsid w:val="00640953"/>
    <w:rsid w:val="00663E5E"/>
    <w:rsid w:val="0066465A"/>
    <w:rsid w:val="006811F8"/>
    <w:rsid w:val="00687678"/>
    <w:rsid w:val="006B0C81"/>
    <w:rsid w:val="006B3F79"/>
    <w:rsid w:val="006C1F40"/>
    <w:rsid w:val="006C7BF8"/>
    <w:rsid w:val="006F3507"/>
    <w:rsid w:val="006F3FA0"/>
    <w:rsid w:val="00710FB1"/>
    <w:rsid w:val="0072004E"/>
    <w:rsid w:val="007307BD"/>
    <w:rsid w:val="00735382"/>
    <w:rsid w:val="007416ED"/>
    <w:rsid w:val="0075463F"/>
    <w:rsid w:val="007726E4"/>
    <w:rsid w:val="00777751"/>
    <w:rsid w:val="007A656D"/>
    <w:rsid w:val="007B1C9C"/>
    <w:rsid w:val="007C7DC0"/>
    <w:rsid w:val="007D7016"/>
    <w:rsid w:val="007E6A4C"/>
    <w:rsid w:val="007F00D2"/>
    <w:rsid w:val="007F0684"/>
    <w:rsid w:val="007F446C"/>
    <w:rsid w:val="008023C4"/>
    <w:rsid w:val="008163B5"/>
    <w:rsid w:val="0082015E"/>
    <w:rsid w:val="0082044D"/>
    <w:rsid w:val="00821316"/>
    <w:rsid w:val="008229D3"/>
    <w:rsid w:val="00825984"/>
    <w:rsid w:val="00835A9E"/>
    <w:rsid w:val="008366DC"/>
    <w:rsid w:val="008416A6"/>
    <w:rsid w:val="0086289A"/>
    <w:rsid w:val="0089498F"/>
    <w:rsid w:val="008979A3"/>
    <w:rsid w:val="008B1F1F"/>
    <w:rsid w:val="008B35EA"/>
    <w:rsid w:val="008C323F"/>
    <w:rsid w:val="008D0A22"/>
    <w:rsid w:val="008D7C05"/>
    <w:rsid w:val="008F1CD4"/>
    <w:rsid w:val="00904898"/>
    <w:rsid w:val="009155AF"/>
    <w:rsid w:val="009527A3"/>
    <w:rsid w:val="00957B6A"/>
    <w:rsid w:val="009A0329"/>
    <w:rsid w:val="009A3861"/>
    <w:rsid w:val="009A74CB"/>
    <w:rsid w:val="009C0002"/>
    <w:rsid w:val="009C78E5"/>
    <w:rsid w:val="009E444D"/>
    <w:rsid w:val="009E5B29"/>
    <w:rsid w:val="009F4E43"/>
    <w:rsid w:val="00A03EB8"/>
    <w:rsid w:val="00A0702F"/>
    <w:rsid w:val="00A07280"/>
    <w:rsid w:val="00A105FC"/>
    <w:rsid w:val="00A110B7"/>
    <w:rsid w:val="00A147C0"/>
    <w:rsid w:val="00A16DFE"/>
    <w:rsid w:val="00A37D7A"/>
    <w:rsid w:val="00A41048"/>
    <w:rsid w:val="00A42E4F"/>
    <w:rsid w:val="00A62905"/>
    <w:rsid w:val="00AA3A04"/>
    <w:rsid w:val="00AB56F4"/>
    <w:rsid w:val="00AD7B37"/>
    <w:rsid w:val="00AE1250"/>
    <w:rsid w:val="00AF1310"/>
    <w:rsid w:val="00B042F0"/>
    <w:rsid w:val="00B05FFD"/>
    <w:rsid w:val="00B06583"/>
    <w:rsid w:val="00B10DE5"/>
    <w:rsid w:val="00B149C8"/>
    <w:rsid w:val="00B30580"/>
    <w:rsid w:val="00B3699E"/>
    <w:rsid w:val="00B52557"/>
    <w:rsid w:val="00B62653"/>
    <w:rsid w:val="00B64AC6"/>
    <w:rsid w:val="00B73750"/>
    <w:rsid w:val="00B84B92"/>
    <w:rsid w:val="00B85634"/>
    <w:rsid w:val="00BA5778"/>
    <w:rsid w:val="00BA6AFC"/>
    <w:rsid w:val="00BB7578"/>
    <w:rsid w:val="00BD0CAB"/>
    <w:rsid w:val="00BE0428"/>
    <w:rsid w:val="00BF4C55"/>
    <w:rsid w:val="00BF7484"/>
    <w:rsid w:val="00C12662"/>
    <w:rsid w:val="00C13410"/>
    <w:rsid w:val="00C30F5C"/>
    <w:rsid w:val="00C31186"/>
    <w:rsid w:val="00C47F42"/>
    <w:rsid w:val="00C64522"/>
    <w:rsid w:val="00C82D0A"/>
    <w:rsid w:val="00C85373"/>
    <w:rsid w:val="00CC2E34"/>
    <w:rsid w:val="00CD2A56"/>
    <w:rsid w:val="00CE2146"/>
    <w:rsid w:val="00CE503F"/>
    <w:rsid w:val="00CF5882"/>
    <w:rsid w:val="00D017CD"/>
    <w:rsid w:val="00D05DAC"/>
    <w:rsid w:val="00D111A2"/>
    <w:rsid w:val="00D16DE6"/>
    <w:rsid w:val="00D2390A"/>
    <w:rsid w:val="00D27307"/>
    <w:rsid w:val="00D42494"/>
    <w:rsid w:val="00D522CE"/>
    <w:rsid w:val="00D75E1D"/>
    <w:rsid w:val="00DA02BC"/>
    <w:rsid w:val="00DC0D63"/>
    <w:rsid w:val="00DC2CCF"/>
    <w:rsid w:val="00DD1175"/>
    <w:rsid w:val="00DD6F28"/>
    <w:rsid w:val="00DD7D6E"/>
    <w:rsid w:val="00DE3B3E"/>
    <w:rsid w:val="00DE4385"/>
    <w:rsid w:val="00DF4D62"/>
    <w:rsid w:val="00E039A6"/>
    <w:rsid w:val="00E0778F"/>
    <w:rsid w:val="00E137C5"/>
    <w:rsid w:val="00E36ECC"/>
    <w:rsid w:val="00E41857"/>
    <w:rsid w:val="00E46155"/>
    <w:rsid w:val="00E56253"/>
    <w:rsid w:val="00E57407"/>
    <w:rsid w:val="00E61952"/>
    <w:rsid w:val="00E656E4"/>
    <w:rsid w:val="00E832B6"/>
    <w:rsid w:val="00E92B74"/>
    <w:rsid w:val="00E95BC4"/>
    <w:rsid w:val="00EB3BCF"/>
    <w:rsid w:val="00EC216E"/>
    <w:rsid w:val="00EC2EF5"/>
    <w:rsid w:val="00EE6762"/>
    <w:rsid w:val="00F0205B"/>
    <w:rsid w:val="00F042AE"/>
    <w:rsid w:val="00F06D13"/>
    <w:rsid w:val="00F10C78"/>
    <w:rsid w:val="00F11B1F"/>
    <w:rsid w:val="00F159A3"/>
    <w:rsid w:val="00F2597A"/>
    <w:rsid w:val="00F26AB7"/>
    <w:rsid w:val="00F360A2"/>
    <w:rsid w:val="00F45F82"/>
    <w:rsid w:val="00F5053D"/>
    <w:rsid w:val="00F64C1A"/>
    <w:rsid w:val="00F6728F"/>
    <w:rsid w:val="00F80E85"/>
    <w:rsid w:val="00F858D4"/>
    <w:rsid w:val="00F9271E"/>
    <w:rsid w:val="00F95710"/>
    <w:rsid w:val="00FA7301"/>
    <w:rsid w:val="00FB0607"/>
    <w:rsid w:val="00FC5F42"/>
    <w:rsid w:val="00FC6593"/>
    <w:rsid w:val="00FE01DE"/>
    <w:rsid w:val="00FE2251"/>
    <w:rsid w:val="00FE5448"/>
    <w:rsid w:val="00FE7272"/>
    <w:rsid w:val="00FF378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519537"/>
  <w15:docId w15:val="{A612EC13-3E21-4CED-A6F3-AB58CD50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AB0"/>
  </w:style>
  <w:style w:type="paragraph" w:styleId="Heading1">
    <w:name w:val="heading 1"/>
    <w:basedOn w:val="Normal"/>
    <w:next w:val="Normal"/>
    <w:link w:val="Heading1Char"/>
    <w:uiPriority w:val="9"/>
    <w:qFormat/>
    <w:rsid w:val="00CF58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58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58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58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58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58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8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8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8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8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58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58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58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58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58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8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8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882"/>
    <w:rPr>
      <w:rFonts w:eastAsiaTheme="majorEastAsia" w:cstheme="majorBidi"/>
      <w:color w:val="272727" w:themeColor="text1" w:themeTint="D8"/>
    </w:rPr>
  </w:style>
  <w:style w:type="paragraph" w:styleId="Title">
    <w:name w:val="Title"/>
    <w:basedOn w:val="Normal"/>
    <w:next w:val="Normal"/>
    <w:link w:val="TitleChar"/>
    <w:uiPriority w:val="10"/>
    <w:qFormat/>
    <w:rsid w:val="00CF58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8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8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8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882"/>
    <w:pPr>
      <w:spacing w:before="160"/>
      <w:jc w:val="center"/>
    </w:pPr>
    <w:rPr>
      <w:i/>
      <w:iCs/>
      <w:color w:val="404040" w:themeColor="text1" w:themeTint="BF"/>
    </w:rPr>
  </w:style>
  <w:style w:type="character" w:customStyle="1" w:styleId="QuoteChar">
    <w:name w:val="Quote Char"/>
    <w:basedOn w:val="DefaultParagraphFont"/>
    <w:link w:val="Quote"/>
    <w:uiPriority w:val="29"/>
    <w:rsid w:val="00CF5882"/>
    <w:rPr>
      <w:i/>
      <w:iCs/>
      <w:color w:val="404040" w:themeColor="text1" w:themeTint="BF"/>
    </w:rPr>
  </w:style>
  <w:style w:type="paragraph" w:styleId="ListParagraph">
    <w:name w:val="List Paragraph"/>
    <w:basedOn w:val="Normal"/>
    <w:uiPriority w:val="34"/>
    <w:qFormat/>
    <w:rsid w:val="00CF5882"/>
    <w:pPr>
      <w:ind w:left="720"/>
      <w:contextualSpacing/>
    </w:pPr>
  </w:style>
  <w:style w:type="character" w:styleId="IntenseEmphasis">
    <w:name w:val="Intense Emphasis"/>
    <w:basedOn w:val="DefaultParagraphFont"/>
    <w:uiPriority w:val="21"/>
    <w:qFormat/>
    <w:rsid w:val="00CF5882"/>
    <w:rPr>
      <w:i/>
      <w:iCs/>
      <w:color w:val="2F5496" w:themeColor="accent1" w:themeShade="BF"/>
    </w:rPr>
  </w:style>
  <w:style w:type="paragraph" w:styleId="IntenseQuote">
    <w:name w:val="Intense Quote"/>
    <w:basedOn w:val="Normal"/>
    <w:next w:val="Normal"/>
    <w:link w:val="IntenseQuoteChar"/>
    <w:uiPriority w:val="30"/>
    <w:qFormat/>
    <w:rsid w:val="00CF58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5882"/>
    <w:rPr>
      <w:i/>
      <w:iCs/>
      <w:color w:val="2F5496" w:themeColor="accent1" w:themeShade="BF"/>
    </w:rPr>
  </w:style>
  <w:style w:type="character" w:styleId="IntenseReference">
    <w:name w:val="Intense Reference"/>
    <w:basedOn w:val="DefaultParagraphFont"/>
    <w:uiPriority w:val="32"/>
    <w:qFormat/>
    <w:rsid w:val="00CF5882"/>
    <w:rPr>
      <w:b/>
      <w:bCs/>
      <w:smallCaps/>
      <w:color w:val="2F5496" w:themeColor="accent1" w:themeShade="BF"/>
      <w:spacing w:val="5"/>
    </w:rPr>
  </w:style>
  <w:style w:type="paragraph" w:styleId="Bibliography">
    <w:name w:val="Bibliography"/>
    <w:basedOn w:val="Normal"/>
    <w:next w:val="Normal"/>
    <w:uiPriority w:val="37"/>
    <w:unhideWhenUsed/>
    <w:rsid w:val="002436FF"/>
    <w:pPr>
      <w:spacing w:after="0" w:line="480" w:lineRule="auto"/>
      <w:ind w:left="720" w:hanging="720"/>
    </w:pPr>
  </w:style>
  <w:style w:type="paragraph" w:styleId="BalloonText">
    <w:name w:val="Balloon Text"/>
    <w:basedOn w:val="Normal"/>
    <w:link w:val="BalloonTextChar"/>
    <w:uiPriority w:val="99"/>
    <w:semiHidden/>
    <w:unhideWhenUsed/>
    <w:rsid w:val="009C0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002"/>
    <w:rPr>
      <w:rFonts w:ascii="Tahoma" w:hAnsi="Tahoma" w:cs="Tahoma"/>
      <w:sz w:val="16"/>
      <w:szCs w:val="16"/>
    </w:rPr>
  </w:style>
  <w:style w:type="paragraph" w:customStyle="1" w:styleId="AcknHead">
    <w:name w:val="Ackn Head"/>
    <w:basedOn w:val="Normal"/>
    <w:rsid w:val="00501AC8"/>
    <w:pPr>
      <w:keepNext/>
      <w:spacing w:after="240" w:line="240" w:lineRule="auto"/>
    </w:pPr>
    <w:rPr>
      <w:rFonts w:ascii="Helvetica" w:eastAsia="Times New Roman" w:hAnsi="Helvetica" w:cs="Times New Roman"/>
      <w:b/>
      <w:caps/>
      <w:kern w:val="0"/>
      <w:szCs w:val="20"/>
      <w:lang w:val="en-US"/>
    </w:rPr>
  </w:style>
  <w:style w:type="paragraph" w:styleId="BodyText">
    <w:name w:val="Body Text"/>
    <w:link w:val="BodyTextChar"/>
    <w:rsid w:val="00FE2251"/>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kern w:val="0"/>
      <w:sz w:val="24"/>
      <w:szCs w:val="24"/>
      <w:u w:color="000000"/>
      <w:bdr w:val="nil"/>
      <w:lang w:val="en-US" w:eastAsia="en-IN"/>
    </w:rPr>
  </w:style>
  <w:style w:type="character" w:customStyle="1" w:styleId="BodyTextChar">
    <w:name w:val="Body Text Char"/>
    <w:basedOn w:val="DefaultParagraphFont"/>
    <w:link w:val="BodyText"/>
    <w:rsid w:val="00FE2251"/>
    <w:rPr>
      <w:rFonts w:ascii="Times New Roman" w:eastAsia="Times New Roman" w:hAnsi="Times New Roman" w:cs="Times New Roman"/>
      <w:color w:val="000000"/>
      <w:kern w:val="0"/>
      <w:sz w:val="24"/>
      <w:szCs w:val="24"/>
      <w:u w:color="000000"/>
      <w:bdr w:val="nil"/>
      <w:lang w:val="en-US" w:eastAsia="en-IN"/>
    </w:rPr>
  </w:style>
  <w:style w:type="character" w:customStyle="1" w:styleId="NoneA">
    <w:name w:val="None A"/>
    <w:rsid w:val="00FE2251"/>
    <w:rPr>
      <w:lang w:val="en-US"/>
    </w:rPr>
  </w:style>
  <w:style w:type="character" w:styleId="Hyperlink">
    <w:name w:val="Hyperlink"/>
    <w:basedOn w:val="DefaultParagraphFont"/>
    <w:uiPriority w:val="99"/>
    <w:unhideWhenUsed/>
    <w:rsid w:val="00FE2251"/>
    <w:rPr>
      <w:color w:val="0563C1" w:themeColor="hyperlink"/>
      <w:u w:val="single"/>
    </w:rPr>
  </w:style>
  <w:style w:type="character" w:styleId="UnresolvedMention">
    <w:name w:val="Unresolved Mention"/>
    <w:basedOn w:val="DefaultParagraphFont"/>
    <w:uiPriority w:val="99"/>
    <w:semiHidden/>
    <w:unhideWhenUsed/>
    <w:rsid w:val="007307BD"/>
    <w:rPr>
      <w:color w:val="605E5C"/>
      <w:shd w:val="clear" w:color="auto" w:fill="E1DFDD"/>
    </w:rPr>
  </w:style>
  <w:style w:type="paragraph" w:styleId="Header">
    <w:name w:val="header"/>
    <w:basedOn w:val="Normal"/>
    <w:link w:val="HeaderChar"/>
    <w:uiPriority w:val="99"/>
    <w:unhideWhenUsed/>
    <w:rsid w:val="00534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DB"/>
  </w:style>
  <w:style w:type="paragraph" w:styleId="Footer">
    <w:name w:val="footer"/>
    <w:basedOn w:val="Normal"/>
    <w:link w:val="FooterChar"/>
    <w:uiPriority w:val="99"/>
    <w:unhideWhenUsed/>
    <w:rsid w:val="00534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01509">
      <w:bodyDiv w:val="1"/>
      <w:marLeft w:val="0"/>
      <w:marRight w:val="0"/>
      <w:marTop w:val="0"/>
      <w:marBottom w:val="0"/>
      <w:divBdr>
        <w:top w:val="none" w:sz="0" w:space="0" w:color="auto"/>
        <w:left w:val="none" w:sz="0" w:space="0" w:color="auto"/>
        <w:bottom w:val="none" w:sz="0" w:space="0" w:color="auto"/>
        <w:right w:val="none" w:sz="0" w:space="0" w:color="auto"/>
      </w:divBdr>
    </w:div>
    <w:div w:id="156196687">
      <w:bodyDiv w:val="1"/>
      <w:marLeft w:val="0"/>
      <w:marRight w:val="0"/>
      <w:marTop w:val="0"/>
      <w:marBottom w:val="0"/>
      <w:divBdr>
        <w:top w:val="none" w:sz="0" w:space="0" w:color="auto"/>
        <w:left w:val="none" w:sz="0" w:space="0" w:color="auto"/>
        <w:bottom w:val="none" w:sz="0" w:space="0" w:color="auto"/>
        <w:right w:val="none" w:sz="0" w:space="0" w:color="auto"/>
      </w:divBdr>
    </w:div>
    <w:div w:id="203710720">
      <w:bodyDiv w:val="1"/>
      <w:marLeft w:val="0"/>
      <w:marRight w:val="0"/>
      <w:marTop w:val="0"/>
      <w:marBottom w:val="0"/>
      <w:divBdr>
        <w:top w:val="none" w:sz="0" w:space="0" w:color="auto"/>
        <w:left w:val="none" w:sz="0" w:space="0" w:color="auto"/>
        <w:bottom w:val="none" w:sz="0" w:space="0" w:color="auto"/>
        <w:right w:val="none" w:sz="0" w:space="0" w:color="auto"/>
      </w:divBdr>
    </w:div>
    <w:div w:id="370232376">
      <w:bodyDiv w:val="1"/>
      <w:marLeft w:val="0"/>
      <w:marRight w:val="0"/>
      <w:marTop w:val="0"/>
      <w:marBottom w:val="0"/>
      <w:divBdr>
        <w:top w:val="none" w:sz="0" w:space="0" w:color="auto"/>
        <w:left w:val="none" w:sz="0" w:space="0" w:color="auto"/>
        <w:bottom w:val="none" w:sz="0" w:space="0" w:color="auto"/>
        <w:right w:val="none" w:sz="0" w:space="0" w:color="auto"/>
      </w:divBdr>
    </w:div>
    <w:div w:id="374044278">
      <w:bodyDiv w:val="1"/>
      <w:marLeft w:val="0"/>
      <w:marRight w:val="0"/>
      <w:marTop w:val="0"/>
      <w:marBottom w:val="0"/>
      <w:divBdr>
        <w:top w:val="none" w:sz="0" w:space="0" w:color="auto"/>
        <w:left w:val="none" w:sz="0" w:space="0" w:color="auto"/>
        <w:bottom w:val="none" w:sz="0" w:space="0" w:color="auto"/>
        <w:right w:val="none" w:sz="0" w:space="0" w:color="auto"/>
      </w:divBdr>
    </w:div>
    <w:div w:id="397899216">
      <w:bodyDiv w:val="1"/>
      <w:marLeft w:val="0"/>
      <w:marRight w:val="0"/>
      <w:marTop w:val="0"/>
      <w:marBottom w:val="0"/>
      <w:divBdr>
        <w:top w:val="none" w:sz="0" w:space="0" w:color="auto"/>
        <w:left w:val="none" w:sz="0" w:space="0" w:color="auto"/>
        <w:bottom w:val="none" w:sz="0" w:space="0" w:color="auto"/>
        <w:right w:val="none" w:sz="0" w:space="0" w:color="auto"/>
      </w:divBdr>
    </w:div>
    <w:div w:id="453135029">
      <w:bodyDiv w:val="1"/>
      <w:marLeft w:val="0"/>
      <w:marRight w:val="0"/>
      <w:marTop w:val="0"/>
      <w:marBottom w:val="0"/>
      <w:divBdr>
        <w:top w:val="none" w:sz="0" w:space="0" w:color="auto"/>
        <w:left w:val="none" w:sz="0" w:space="0" w:color="auto"/>
        <w:bottom w:val="none" w:sz="0" w:space="0" w:color="auto"/>
        <w:right w:val="none" w:sz="0" w:space="0" w:color="auto"/>
      </w:divBdr>
    </w:div>
    <w:div w:id="512914626">
      <w:bodyDiv w:val="1"/>
      <w:marLeft w:val="0"/>
      <w:marRight w:val="0"/>
      <w:marTop w:val="0"/>
      <w:marBottom w:val="0"/>
      <w:divBdr>
        <w:top w:val="none" w:sz="0" w:space="0" w:color="auto"/>
        <w:left w:val="none" w:sz="0" w:space="0" w:color="auto"/>
        <w:bottom w:val="none" w:sz="0" w:space="0" w:color="auto"/>
        <w:right w:val="none" w:sz="0" w:space="0" w:color="auto"/>
      </w:divBdr>
    </w:div>
    <w:div w:id="679963713">
      <w:bodyDiv w:val="1"/>
      <w:marLeft w:val="0"/>
      <w:marRight w:val="0"/>
      <w:marTop w:val="0"/>
      <w:marBottom w:val="0"/>
      <w:divBdr>
        <w:top w:val="none" w:sz="0" w:space="0" w:color="auto"/>
        <w:left w:val="none" w:sz="0" w:space="0" w:color="auto"/>
        <w:bottom w:val="none" w:sz="0" w:space="0" w:color="auto"/>
        <w:right w:val="none" w:sz="0" w:space="0" w:color="auto"/>
      </w:divBdr>
    </w:div>
    <w:div w:id="697048569">
      <w:bodyDiv w:val="1"/>
      <w:marLeft w:val="0"/>
      <w:marRight w:val="0"/>
      <w:marTop w:val="0"/>
      <w:marBottom w:val="0"/>
      <w:divBdr>
        <w:top w:val="none" w:sz="0" w:space="0" w:color="auto"/>
        <w:left w:val="none" w:sz="0" w:space="0" w:color="auto"/>
        <w:bottom w:val="none" w:sz="0" w:space="0" w:color="auto"/>
        <w:right w:val="none" w:sz="0" w:space="0" w:color="auto"/>
      </w:divBdr>
    </w:div>
    <w:div w:id="760639370">
      <w:bodyDiv w:val="1"/>
      <w:marLeft w:val="0"/>
      <w:marRight w:val="0"/>
      <w:marTop w:val="0"/>
      <w:marBottom w:val="0"/>
      <w:divBdr>
        <w:top w:val="none" w:sz="0" w:space="0" w:color="auto"/>
        <w:left w:val="none" w:sz="0" w:space="0" w:color="auto"/>
        <w:bottom w:val="none" w:sz="0" w:space="0" w:color="auto"/>
        <w:right w:val="none" w:sz="0" w:space="0" w:color="auto"/>
      </w:divBdr>
    </w:div>
    <w:div w:id="761799758">
      <w:bodyDiv w:val="1"/>
      <w:marLeft w:val="0"/>
      <w:marRight w:val="0"/>
      <w:marTop w:val="0"/>
      <w:marBottom w:val="0"/>
      <w:divBdr>
        <w:top w:val="none" w:sz="0" w:space="0" w:color="auto"/>
        <w:left w:val="none" w:sz="0" w:space="0" w:color="auto"/>
        <w:bottom w:val="none" w:sz="0" w:space="0" w:color="auto"/>
        <w:right w:val="none" w:sz="0" w:space="0" w:color="auto"/>
      </w:divBdr>
    </w:div>
    <w:div w:id="905652905">
      <w:bodyDiv w:val="1"/>
      <w:marLeft w:val="0"/>
      <w:marRight w:val="0"/>
      <w:marTop w:val="0"/>
      <w:marBottom w:val="0"/>
      <w:divBdr>
        <w:top w:val="none" w:sz="0" w:space="0" w:color="auto"/>
        <w:left w:val="none" w:sz="0" w:space="0" w:color="auto"/>
        <w:bottom w:val="none" w:sz="0" w:space="0" w:color="auto"/>
        <w:right w:val="none" w:sz="0" w:space="0" w:color="auto"/>
      </w:divBdr>
    </w:div>
    <w:div w:id="1007440843">
      <w:bodyDiv w:val="1"/>
      <w:marLeft w:val="0"/>
      <w:marRight w:val="0"/>
      <w:marTop w:val="0"/>
      <w:marBottom w:val="0"/>
      <w:divBdr>
        <w:top w:val="none" w:sz="0" w:space="0" w:color="auto"/>
        <w:left w:val="none" w:sz="0" w:space="0" w:color="auto"/>
        <w:bottom w:val="none" w:sz="0" w:space="0" w:color="auto"/>
        <w:right w:val="none" w:sz="0" w:space="0" w:color="auto"/>
      </w:divBdr>
    </w:div>
    <w:div w:id="1007633477">
      <w:bodyDiv w:val="1"/>
      <w:marLeft w:val="0"/>
      <w:marRight w:val="0"/>
      <w:marTop w:val="0"/>
      <w:marBottom w:val="0"/>
      <w:divBdr>
        <w:top w:val="none" w:sz="0" w:space="0" w:color="auto"/>
        <w:left w:val="none" w:sz="0" w:space="0" w:color="auto"/>
        <w:bottom w:val="none" w:sz="0" w:space="0" w:color="auto"/>
        <w:right w:val="none" w:sz="0" w:space="0" w:color="auto"/>
      </w:divBdr>
    </w:div>
    <w:div w:id="1015957253">
      <w:bodyDiv w:val="1"/>
      <w:marLeft w:val="0"/>
      <w:marRight w:val="0"/>
      <w:marTop w:val="0"/>
      <w:marBottom w:val="0"/>
      <w:divBdr>
        <w:top w:val="none" w:sz="0" w:space="0" w:color="auto"/>
        <w:left w:val="none" w:sz="0" w:space="0" w:color="auto"/>
        <w:bottom w:val="none" w:sz="0" w:space="0" w:color="auto"/>
        <w:right w:val="none" w:sz="0" w:space="0" w:color="auto"/>
      </w:divBdr>
    </w:div>
    <w:div w:id="1153638715">
      <w:bodyDiv w:val="1"/>
      <w:marLeft w:val="0"/>
      <w:marRight w:val="0"/>
      <w:marTop w:val="0"/>
      <w:marBottom w:val="0"/>
      <w:divBdr>
        <w:top w:val="none" w:sz="0" w:space="0" w:color="auto"/>
        <w:left w:val="none" w:sz="0" w:space="0" w:color="auto"/>
        <w:bottom w:val="none" w:sz="0" w:space="0" w:color="auto"/>
        <w:right w:val="none" w:sz="0" w:space="0" w:color="auto"/>
      </w:divBdr>
    </w:div>
    <w:div w:id="1184201428">
      <w:bodyDiv w:val="1"/>
      <w:marLeft w:val="0"/>
      <w:marRight w:val="0"/>
      <w:marTop w:val="0"/>
      <w:marBottom w:val="0"/>
      <w:divBdr>
        <w:top w:val="none" w:sz="0" w:space="0" w:color="auto"/>
        <w:left w:val="none" w:sz="0" w:space="0" w:color="auto"/>
        <w:bottom w:val="none" w:sz="0" w:space="0" w:color="auto"/>
        <w:right w:val="none" w:sz="0" w:space="0" w:color="auto"/>
      </w:divBdr>
    </w:div>
    <w:div w:id="1214270886">
      <w:bodyDiv w:val="1"/>
      <w:marLeft w:val="0"/>
      <w:marRight w:val="0"/>
      <w:marTop w:val="0"/>
      <w:marBottom w:val="0"/>
      <w:divBdr>
        <w:top w:val="none" w:sz="0" w:space="0" w:color="auto"/>
        <w:left w:val="none" w:sz="0" w:space="0" w:color="auto"/>
        <w:bottom w:val="none" w:sz="0" w:space="0" w:color="auto"/>
        <w:right w:val="none" w:sz="0" w:space="0" w:color="auto"/>
      </w:divBdr>
      <w:divsChild>
        <w:div w:id="1478256352">
          <w:marLeft w:val="0"/>
          <w:marRight w:val="0"/>
          <w:marTop w:val="0"/>
          <w:marBottom w:val="0"/>
          <w:divBdr>
            <w:top w:val="none" w:sz="0" w:space="0" w:color="auto"/>
            <w:left w:val="none" w:sz="0" w:space="0" w:color="auto"/>
            <w:bottom w:val="none" w:sz="0" w:space="0" w:color="auto"/>
            <w:right w:val="none" w:sz="0" w:space="0" w:color="auto"/>
          </w:divBdr>
        </w:div>
      </w:divsChild>
    </w:div>
    <w:div w:id="1342705247">
      <w:bodyDiv w:val="1"/>
      <w:marLeft w:val="0"/>
      <w:marRight w:val="0"/>
      <w:marTop w:val="0"/>
      <w:marBottom w:val="0"/>
      <w:divBdr>
        <w:top w:val="none" w:sz="0" w:space="0" w:color="auto"/>
        <w:left w:val="none" w:sz="0" w:space="0" w:color="auto"/>
        <w:bottom w:val="none" w:sz="0" w:space="0" w:color="auto"/>
        <w:right w:val="none" w:sz="0" w:space="0" w:color="auto"/>
      </w:divBdr>
    </w:div>
    <w:div w:id="1510367176">
      <w:bodyDiv w:val="1"/>
      <w:marLeft w:val="0"/>
      <w:marRight w:val="0"/>
      <w:marTop w:val="0"/>
      <w:marBottom w:val="0"/>
      <w:divBdr>
        <w:top w:val="none" w:sz="0" w:space="0" w:color="auto"/>
        <w:left w:val="none" w:sz="0" w:space="0" w:color="auto"/>
        <w:bottom w:val="none" w:sz="0" w:space="0" w:color="auto"/>
        <w:right w:val="none" w:sz="0" w:space="0" w:color="auto"/>
      </w:divBdr>
    </w:div>
    <w:div w:id="1741054683">
      <w:bodyDiv w:val="1"/>
      <w:marLeft w:val="0"/>
      <w:marRight w:val="0"/>
      <w:marTop w:val="0"/>
      <w:marBottom w:val="0"/>
      <w:divBdr>
        <w:top w:val="none" w:sz="0" w:space="0" w:color="auto"/>
        <w:left w:val="none" w:sz="0" w:space="0" w:color="auto"/>
        <w:bottom w:val="none" w:sz="0" w:space="0" w:color="auto"/>
        <w:right w:val="none" w:sz="0" w:space="0" w:color="auto"/>
      </w:divBdr>
    </w:div>
    <w:div w:id="1822305810">
      <w:bodyDiv w:val="1"/>
      <w:marLeft w:val="0"/>
      <w:marRight w:val="0"/>
      <w:marTop w:val="0"/>
      <w:marBottom w:val="0"/>
      <w:divBdr>
        <w:top w:val="none" w:sz="0" w:space="0" w:color="auto"/>
        <w:left w:val="none" w:sz="0" w:space="0" w:color="auto"/>
        <w:bottom w:val="none" w:sz="0" w:space="0" w:color="auto"/>
        <w:right w:val="none" w:sz="0" w:space="0" w:color="auto"/>
      </w:divBdr>
    </w:div>
    <w:div w:id="1832133684">
      <w:bodyDiv w:val="1"/>
      <w:marLeft w:val="0"/>
      <w:marRight w:val="0"/>
      <w:marTop w:val="0"/>
      <w:marBottom w:val="0"/>
      <w:divBdr>
        <w:top w:val="none" w:sz="0" w:space="0" w:color="auto"/>
        <w:left w:val="none" w:sz="0" w:space="0" w:color="auto"/>
        <w:bottom w:val="none" w:sz="0" w:space="0" w:color="auto"/>
        <w:right w:val="none" w:sz="0" w:space="0" w:color="auto"/>
      </w:divBdr>
    </w:div>
    <w:div w:id="1849129068">
      <w:bodyDiv w:val="1"/>
      <w:marLeft w:val="0"/>
      <w:marRight w:val="0"/>
      <w:marTop w:val="0"/>
      <w:marBottom w:val="0"/>
      <w:divBdr>
        <w:top w:val="none" w:sz="0" w:space="0" w:color="auto"/>
        <w:left w:val="none" w:sz="0" w:space="0" w:color="auto"/>
        <w:bottom w:val="none" w:sz="0" w:space="0" w:color="auto"/>
        <w:right w:val="none" w:sz="0" w:space="0" w:color="auto"/>
      </w:divBdr>
    </w:div>
    <w:div w:id="1912543937">
      <w:bodyDiv w:val="1"/>
      <w:marLeft w:val="0"/>
      <w:marRight w:val="0"/>
      <w:marTop w:val="0"/>
      <w:marBottom w:val="0"/>
      <w:divBdr>
        <w:top w:val="none" w:sz="0" w:space="0" w:color="auto"/>
        <w:left w:val="none" w:sz="0" w:space="0" w:color="auto"/>
        <w:bottom w:val="none" w:sz="0" w:space="0" w:color="auto"/>
        <w:right w:val="none" w:sz="0" w:space="0" w:color="auto"/>
      </w:divBdr>
      <w:divsChild>
        <w:div w:id="1252197186">
          <w:marLeft w:val="0"/>
          <w:marRight w:val="0"/>
          <w:marTop w:val="0"/>
          <w:marBottom w:val="0"/>
          <w:divBdr>
            <w:top w:val="none" w:sz="0" w:space="0" w:color="auto"/>
            <w:left w:val="none" w:sz="0" w:space="0" w:color="auto"/>
            <w:bottom w:val="none" w:sz="0" w:space="0" w:color="auto"/>
            <w:right w:val="none" w:sz="0" w:space="0" w:color="auto"/>
          </w:divBdr>
        </w:div>
      </w:divsChild>
    </w:div>
    <w:div w:id="213825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F7675-6208-4E2A-819C-052D2DAF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32293</Words>
  <Characters>184074</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3</cp:revision>
  <dcterms:created xsi:type="dcterms:W3CDTF">2025-06-16T05:21:00Z</dcterms:created>
  <dcterms:modified xsi:type="dcterms:W3CDTF">2025-06-18T06:21:00Z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952525c2-1816-480e-b873-6bf0ca34e8e9</vt:lpwstr>
  </property>
  <property fmtid="{D5CDD505-2E9C-101B-9397-08002B2CF9AE}" pid="3" name="ZOTERO_PREF_1">
    <vt:lpwstr>&lt;data data-version="3" zotero-version="7.0.15"&gt;&lt;session id="URioxLtk"/&gt;&lt;style id="http://www.zotero.org/styles/apa" locale="en-US" hasBibliography="1" bibliographyStyleHasBeenSet="1"/&gt;&lt;prefs&gt;&lt;pref name="fieldType" value="Field"/&gt;&lt;/prefs&gt;&lt;/data&gt;</vt:lpwstr>
  </property>
</Properties>
</file>