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A29F" w14:textId="7E907518"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b/>
          <w:bCs/>
          <w:noProof w:val="0"/>
          <w:sz w:val="24"/>
          <w:szCs w:val="24"/>
          <w:lang w:eastAsia="fr-FR"/>
        </w:rPr>
      </w:pPr>
      <w:r w:rsidRPr="00B818D9">
        <w:rPr>
          <w:rFonts w:ascii="Times New Roman" w:eastAsia="Times New Roman" w:hAnsi="Times New Roman" w:cs="Times New Roman"/>
          <w:b/>
          <w:bCs/>
          <w:noProof w:val="0"/>
          <w:sz w:val="24"/>
          <w:szCs w:val="24"/>
          <w:lang w:eastAsia="fr-FR"/>
        </w:rPr>
        <w:t xml:space="preserve">Prevalence of </w:t>
      </w:r>
      <w:r w:rsidR="006234B4" w:rsidRPr="00113791">
        <w:rPr>
          <w:rFonts w:ascii="Times New Roman" w:eastAsia="Times New Roman" w:hAnsi="Times New Roman" w:cs="Times New Roman"/>
          <w:b/>
          <w:bCs/>
          <w:noProof w:val="0"/>
          <w:sz w:val="24"/>
          <w:szCs w:val="24"/>
          <w:highlight w:val="yellow"/>
          <w:lang w:eastAsia="fr-FR"/>
        </w:rPr>
        <w:t>Sexually Transmitted Infection</w:t>
      </w:r>
      <w:r w:rsidR="006234B4" w:rsidRPr="00B818D9">
        <w:rPr>
          <w:rFonts w:ascii="Times New Roman" w:eastAsia="Times New Roman" w:hAnsi="Times New Roman" w:cs="Times New Roman"/>
          <w:b/>
          <w:bCs/>
          <w:noProof w:val="0"/>
          <w:sz w:val="24"/>
          <w:szCs w:val="24"/>
          <w:lang w:eastAsia="fr-FR"/>
        </w:rPr>
        <w:t xml:space="preserve"> </w:t>
      </w:r>
      <w:r w:rsidRPr="00B818D9">
        <w:rPr>
          <w:rFonts w:ascii="Times New Roman" w:eastAsia="Times New Roman" w:hAnsi="Times New Roman" w:cs="Times New Roman"/>
          <w:b/>
          <w:bCs/>
          <w:noProof w:val="0"/>
          <w:sz w:val="24"/>
          <w:szCs w:val="24"/>
          <w:lang w:eastAsia="fr-FR"/>
        </w:rPr>
        <w:t>(STI) history among sexually active youth during Papillomavirus infection in the Republic of Congo</w:t>
      </w:r>
    </w:p>
    <w:p w14:paraId="307DB53E" w14:textId="77777777" w:rsidR="00E02AFA" w:rsidRDefault="00E02AFA" w:rsidP="00B818D9">
      <w:pPr>
        <w:spacing w:before="100" w:beforeAutospacing="1" w:after="100" w:afterAutospacing="1" w:line="360" w:lineRule="auto"/>
        <w:jc w:val="both"/>
        <w:rPr>
          <w:rFonts w:ascii="Times New Roman" w:eastAsia="Times New Roman" w:hAnsi="Times New Roman" w:cs="Times New Roman"/>
          <w:b/>
          <w:bCs/>
          <w:noProof w:val="0"/>
          <w:sz w:val="24"/>
          <w:szCs w:val="24"/>
          <w:lang w:eastAsia="fr-FR"/>
        </w:rPr>
      </w:pPr>
    </w:p>
    <w:p w14:paraId="3AB1AABF" w14:textId="5F789875"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b/>
          <w:bCs/>
          <w:noProof w:val="0"/>
          <w:sz w:val="24"/>
          <w:szCs w:val="24"/>
          <w:lang w:eastAsia="fr-FR"/>
        </w:rPr>
      </w:pPr>
      <w:r w:rsidRPr="00B818D9">
        <w:rPr>
          <w:rFonts w:ascii="Times New Roman" w:eastAsia="Times New Roman" w:hAnsi="Times New Roman" w:cs="Times New Roman"/>
          <w:b/>
          <w:bCs/>
          <w:noProof w:val="0"/>
          <w:sz w:val="24"/>
          <w:szCs w:val="24"/>
          <w:lang w:eastAsia="fr-FR"/>
        </w:rPr>
        <w:t>Abstract</w:t>
      </w:r>
    </w:p>
    <w:p w14:paraId="34D292D0" w14:textId="2F968B60" w:rsidR="00FB6ACF" w:rsidRPr="00B818D9" w:rsidRDefault="008F5902" w:rsidP="00B818D9">
      <w:pPr>
        <w:pStyle w:val="NormalWeb"/>
        <w:spacing w:line="360" w:lineRule="auto"/>
        <w:jc w:val="both"/>
      </w:pPr>
      <w:r w:rsidRPr="00113791">
        <w:rPr>
          <w:highlight w:val="yellow"/>
        </w:rPr>
        <w:t>The present study was conduct a</w:t>
      </w:r>
      <w:bookmarkStart w:id="0" w:name="_GoBack"/>
      <w:bookmarkEnd w:id="0"/>
      <w:r w:rsidRPr="00113791">
        <w:rPr>
          <w:highlight w:val="yellow"/>
        </w:rPr>
        <w:t xml:space="preserve"> study to correlate </w:t>
      </w:r>
      <w:r w:rsidR="00CB5817" w:rsidRPr="00CB5817">
        <w:rPr>
          <w:highlight w:val="yellow"/>
        </w:rPr>
        <w:t xml:space="preserve">Sexually Transmitted Infections </w:t>
      </w:r>
      <w:r w:rsidRPr="00113791">
        <w:rPr>
          <w:highlight w:val="yellow"/>
        </w:rPr>
        <w:t>(STIs), which are caused by bacteria, viruses and parasites, with exposure to HPV infection</w:t>
      </w:r>
      <w:r>
        <w:t xml:space="preserve">. </w:t>
      </w:r>
      <w:r w:rsidR="00FB6ACF" w:rsidRPr="00B818D9">
        <w:t xml:space="preserve">Papillomavirus infection is the most </w:t>
      </w:r>
      <w:r w:rsidR="00FB6ACF" w:rsidRPr="008F5902">
        <w:rPr>
          <w:highlight w:val="yellow"/>
        </w:rPr>
        <w:t>wide</w:t>
      </w:r>
      <w:r>
        <w:rPr>
          <w:highlight w:val="yellow"/>
        </w:rPr>
        <w:t xml:space="preserve"> </w:t>
      </w:r>
      <w:r w:rsidR="00FB6ACF" w:rsidRPr="008F5902">
        <w:rPr>
          <w:highlight w:val="yellow"/>
        </w:rPr>
        <w:t xml:space="preserve">spread </w:t>
      </w:r>
      <w:r w:rsidR="00A92662" w:rsidRPr="008F5902">
        <w:rPr>
          <w:color w:val="EE0000"/>
          <w:highlight w:val="yellow"/>
        </w:rPr>
        <w:t>S</w:t>
      </w:r>
      <w:r w:rsidR="00FB6ACF" w:rsidRPr="008F5902">
        <w:rPr>
          <w:highlight w:val="yellow"/>
        </w:rPr>
        <w:t xml:space="preserve">exually </w:t>
      </w:r>
      <w:r w:rsidR="00A92662" w:rsidRPr="008F5902">
        <w:rPr>
          <w:color w:val="EE0000"/>
          <w:highlight w:val="yellow"/>
        </w:rPr>
        <w:t>T</w:t>
      </w:r>
      <w:r w:rsidR="00FB6ACF" w:rsidRPr="008F5902">
        <w:rPr>
          <w:highlight w:val="yellow"/>
        </w:rPr>
        <w:t xml:space="preserve">ransmitted </w:t>
      </w:r>
      <w:r w:rsidR="00A92662" w:rsidRPr="008F5902">
        <w:rPr>
          <w:color w:val="EE0000"/>
          <w:highlight w:val="yellow"/>
        </w:rPr>
        <w:t>I</w:t>
      </w:r>
      <w:r w:rsidR="00FB6ACF" w:rsidRPr="008F5902">
        <w:rPr>
          <w:highlight w:val="yellow"/>
        </w:rPr>
        <w:t>nfection</w:t>
      </w:r>
      <w:r w:rsidR="00A92662">
        <w:t xml:space="preserve"> </w:t>
      </w:r>
      <w:r w:rsidR="00A92662" w:rsidRPr="00A92662">
        <w:rPr>
          <w:color w:val="EE0000"/>
        </w:rPr>
        <w:t>(STI)</w:t>
      </w:r>
      <w:r w:rsidR="00FB6ACF" w:rsidRPr="00A92662">
        <w:rPr>
          <w:color w:val="EE0000"/>
        </w:rPr>
        <w:t xml:space="preserve"> </w:t>
      </w:r>
      <w:r w:rsidR="00FB6ACF" w:rsidRPr="00B818D9">
        <w:t xml:space="preserve">in </w:t>
      </w:r>
      <w:r w:rsidR="006234B4" w:rsidRPr="00113791">
        <w:rPr>
          <w:highlight w:val="yellow"/>
        </w:rPr>
        <w:t>young women</w:t>
      </w:r>
      <w:r w:rsidR="00FB6ACF" w:rsidRPr="00113791">
        <w:rPr>
          <w:highlight w:val="yellow"/>
        </w:rPr>
        <w:t>. The literature</w:t>
      </w:r>
      <w:r w:rsidR="00FB6ACF" w:rsidRPr="00B818D9">
        <w:t xml:space="preserve"> reports that in 80% of cases, this STI is eliminated naturally by the body: this is known as viral clearance. However, in the remaining 20% of cases, the infection persists and can lead to cervical cancer 10 or even 30 years after primary infection. This persistence is due to </w:t>
      </w:r>
      <w:r w:rsidR="00815269" w:rsidRPr="00113791">
        <w:rPr>
          <w:highlight w:val="yellow"/>
        </w:rPr>
        <w:t>several</w:t>
      </w:r>
      <w:r w:rsidR="00FB6ACF" w:rsidRPr="00113791">
        <w:rPr>
          <w:highlight w:val="yellow"/>
        </w:rPr>
        <w:t xml:space="preserve"> risk factors, including other sexually-transmitted infections (STIs) such as chlamydia, mycoses and so on. So, in the absence of data on HPV, STIs and young people, and </w:t>
      </w:r>
      <w:r w:rsidR="00815269" w:rsidRPr="00113791">
        <w:rPr>
          <w:highlight w:val="yellow"/>
        </w:rPr>
        <w:t>to develop</w:t>
      </w:r>
      <w:r w:rsidR="00FB6ACF" w:rsidRPr="00B818D9">
        <w:t xml:space="preserve"> a sound policy to combat human </w:t>
      </w:r>
      <w:r w:rsidR="00FB6ACF" w:rsidRPr="00113791">
        <w:rPr>
          <w:highlight w:val="yellow"/>
        </w:rPr>
        <w:t xml:space="preserve">papillomavirus infection, we conducted a prospective, analytical study of sexually active </w:t>
      </w:r>
      <w:r w:rsidR="006234B4" w:rsidRPr="00113791">
        <w:rPr>
          <w:highlight w:val="yellow"/>
        </w:rPr>
        <w:t>young women</w:t>
      </w:r>
      <w:r w:rsidR="00FB6ACF" w:rsidRPr="00113791">
        <w:rPr>
          <w:highlight w:val="yellow"/>
        </w:rPr>
        <w:t xml:space="preserve"> living</w:t>
      </w:r>
      <w:r w:rsidR="00FB6ACF" w:rsidRPr="00B818D9">
        <w:t xml:space="preserve"> in the Republic of Congo, in general</w:t>
      </w:r>
      <w:r w:rsidR="00815269">
        <w:t>,</w:t>
      </w:r>
      <w:r w:rsidR="00FB6ACF" w:rsidRPr="00B818D9">
        <w:t xml:space="preserve"> secondary schools in the cities of Pointe-Noire and Brazzaville. Of the 260 girls surveyed, only 198 aged between 15 and 25 had given their approval for the study. The average age of our study was reported to be 19 years. We observed that 64.14% of our study population had early sexual intercourse, with only 33.3% using contraceptive methods. The prevalence of previous STIs was estimated at 64.6%, with mycoses predominating (73.4%), followed by chlamydia (15.6%). There was an association between contraceptive use and STIs (p=0.003). Girls with single or cohabiting parents were 3 to 4 times more likely to contract an STI than those with married parents. Molecular analysis reported a 45.45% prevalence of HPV carriage. We noted that girls whose parents were cohabiting were 3 times more likely to carry HPV than those whose parents were married. There was no association between STI history and HPV carriage. These results underline the importance of practicing IEC with sexually active </w:t>
      </w:r>
      <w:r w:rsidR="006234B4" w:rsidRPr="00113791">
        <w:rPr>
          <w:highlight w:val="yellow"/>
        </w:rPr>
        <w:t>young women</w:t>
      </w:r>
      <w:r w:rsidR="00FB6ACF" w:rsidRPr="00113791">
        <w:rPr>
          <w:highlight w:val="yellow"/>
        </w:rPr>
        <w:t xml:space="preserve"> in</w:t>
      </w:r>
      <w:r w:rsidR="00FB6ACF" w:rsidRPr="00B818D9">
        <w:t xml:space="preserve"> order to prevent the risk of exposure to STIs and minimize the contraction of STIs in general and HPV in particular.</w:t>
      </w:r>
    </w:p>
    <w:p w14:paraId="4CF02B1E" w14:textId="1E0C1CAC"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003F3B">
        <w:rPr>
          <w:rFonts w:ascii="Times New Roman" w:eastAsia="Times New Roman" w:hAnsi="Times New Roman" w:cs="Times New Roman"/>
          <w:b/>
          <w:bCs/>
          <w:noProof w:val="0"/>
          <w:sz w:val="24"/>
          <w:szCs w:val="24"/>
          <w:lang w:eastAsia="fr-FR"/>
        </w:rPr>
        <w:t>Keywords:</w:t>
      </w:r>
      <w:r w:rsidRPr="00B818D9">
        <w:rPr>
          <w:rFonts w:ascii="Times New Roman" w:eastAsia="Times New Roman" w:hAnsi="Times New Roman" w:cs="Times New Roman"/>
          <w:noProof w:val="0"/>
          <w:sz w:val="24"/>
          <w:szCs w:val="24"/>
          <w:lang w:eastAsia="fr-FR"/>
        </w:rPr>
        <w:t xml:space="preserve"> prevalence, STI history, sexually active young people, HPV infection, Republic of Congo</w:t>
      </w:r>
    </w:p>
    <w:p w14:paraId="258B10CC" w14:textId="56F19AA7" w:rsidR="003E5DCD" w:rsidRPr="00B818D9" w:rsidRDefault="003E5DCD" w:rsidP="00B818D9">
      <w:pPr>
        <w:pStyle w:val="ListParagraph"/>
        <w:numPr>
          <w:ilvl w:val="0"/>
          <w:numId w:val="1"/>
        </w:numPr>
        <w:spacing w:before="100" w:beforeAutospacing="1" w:after="100" w:afterAutospacing="1" w:line="360" w:lineRule="auto"/>
        <w:jc w:val="both"/>
        <w:rPr>
          <w:rFonts w:ascii="Times New Roman" w:eastAsia="Times New Roman" w:hAnsi="Times New Roman" w:cs="Times New Roman"/>
          <w:b/>
          <w:bCs/>
          <w:noProof w:val="0"/>
          <w:sz w:val="24"/>
          <w:szCs w:val="24"/>
          <w:lang w:eastAsia="fr-FR"/>
        </w:rPr>
      </w:pPr>
      <w:r w:rsidRPr="00B818D9">
        <w:rPr>
          <w:rFonts w:ascii="Times New Roman" w:eastAsia="Times New Roman" w:hAnsi="Times New Roman" w:cs="Times New Roman"/>
          <w:b/>
          <w:bCs/>
          <w:noProof w:val="0"/>
          <w:sz w:val="24"/>
          <w:szCs w:val="24"/>
          <w:lang w:eastAsia="fr-FR"/>
        </w:rPr>
        <w:t>Introduction</w:t>
      </w:r>
    </w:p>
    <w:p w14:paraId="6310179B" w14:textId="2C76742A" w:rsidR="003E5DCD" w:rsidRPr="00B818D9" w:rsidRDefault="006234B4"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113791">
        <w:rPr>
          <w:rFonts w:ascii="Arial" w:hAnsi="Arial" w:cs="Arial"/>
          <w:color w:val="001D35"/>
          <w:szCs w:val="27"/>
          <w:highlight w:val="yellow"/>
          <w:shd w:val="clear" w:color="auto" w:fill="FFFFFF"/>
        </w:rPr>
        <w:lastRenderedPageBreak/>
        <w:t xml:space="preserve">Human Papillomavirus </w:t>
      </w:r>
      <w:r w:rsidRPr="00113791">
        <w:rPr>
          <w:rFonts w:ascii="Arial" w:hAnsi="Arial" w:cs="Arial"/>
          <w:color w:val="001D35"/>
          <w:sz w:val="27"/>
          <w:szCs w:val="27"/>
          <w:highlight w:val="yellow"/>
          <w:shd w:val="clear" w:color="auto" w:fill="FFFFFF"/>
        </w:rPr>
        <w:t>(</w:t>
      </w:r>
      <w:r w:rsidR="003E5DCD" w:rsidRPr="00113791">
        <w:rPr>
          <w:rFonts w:ascii="Times New Roman" w:eastAsia="Times New Roman" w:hAnsi="Times New Roman" w:cs="Times New Roman"/>
          <w:noProof w:val="0"/>
          <w:sz w:val="24"/>
          <w:szCs w:val="24"/>
          <w:highlight w:val="yellow"/>
          <w:lang w:eastAsia="fr-FR"/>
        </w:rPr>
        <w:t>HPV</w:t>
      </w:r>
      <w:r>
        <w:rPr>
          <w:rFonts w:ascii="Times New Roman" w:eastAsia="Times New Roman" w:hAnsi="Times New Roman" w:cs="Times New Roman"/>
          <w:noProof w:val="0"/>
          <w:sz w:val="24"/>
          <w:szCs w:val="24"/>
          <w:lang w:eastAsia="fr-FR"/>
        </w:rPr>
        <w:t>)</w:t>
      </w:r>
      <w:r w:rsidR="003E5DCD" w:rsidRPr="00B818D9">
        <w:rPr>
          <w:rFonts w:ascii="Times New Roman" w:eastAsia="Times New Roman" w:hAnsi="Times New Roman" w:cs="Times New Roman"/>
          <w:noProof w:val="0"/>
          <w:sz w:val="24"/>
          <w:szCs w:val="24"/>
          <w:lang w:eastAsia="fr-FR"/>
        </w:rPr>
        <w:t xml:space="preserve"> is a small, non-enveloped, double-stranded circular DNA virus belonging to the Papillomaviridae family. More than 200 types have been identified, classified according to their tropism and pathogenicity [1,2].</w:t>
      </w:r>
      <w:r w:rsidR="00B10FBC" w:rsidRPr="00B10FBC">
        <w:rPr>
          <w:rFonts w:ascii="Georgia" w:hAnsi="Georgia"/>
          <w:color w:val="1F1F1F"/>
        </w:rPr>
        <w:t xml:space="preserve"> </w:t>
      </w:r>
      <w:r w:rsidR="00B10FBC" w:rsidRPr="00113791">
        <w:rPr>
          <w:rFonts w:ascii="Georgia" w:hAnsi="Georgia"/>
          <w:color w:val="1F1F1F"/>
          <w:highlight w:val="yellow"/>
        </w:rPr>
        <w:t>Sexually transmitted infections (STIs) are the most common infectious diseases worldwide.</w:t>
      </w:r>
      <w:r w:rsidR="00B10FBC">
        <w:rPr>
          <w:rFonts w:ascii="Georgia" w:hAnsi="Georgia"/>
          <w:color w:val="1F1F1F"/>
        </w:rPr>
        <w:t> </w:t>
      </w:r>
      <w:r w:rsidR="003E5DCD" w:rsidRPr="00B818D9">
        <w:rPr>
          <w:rFonts w:ascii="Times New Roman" w:eastAsia="Times New Roman" w:hAnsi="Times New Roman" w:cs="Times New Roman"/>
          <w:noProof w:val="0"/>
          <w:sz w:val="24"/>
          <w:szCs w:val="24"/>
          <w:lang w:eastAsia="fr-FR"/>
        </w:rPr>
        <w:t xml:space="preserve"> </w:t>
      </w:r>
      <w:r w:rsidR="00B10FBC" w:rsidRPr="00113791">
        <w:rPr>
          <w:rFonts w:ascii="Georgia" w:hAnsi="Georgia"/>
          <w:color w:val="1F1F1F"/>
          <w:highlight w:val="yellow"/>
        </w:rPr>
        <w:t>STIs are associated with serious reproductive tract health complications, such as </w:t>
      </w:r>
      <w:hyperlink r:id="rId7" w:tooltip="Learn more about ectopic pregnancy from ScienceDirect's AI-generated Topic Pages" w:history="1">
        <w:r w:rsidR="00B10FBC" w:rsidRPr="00113791">
          <w:rPr>
            <w:rStyle w:val="Hyperlink"/>
            <w:rFonts w:ascii="Georgia" w:hAnsi="Georgia"/>
            <w:color w:val="1F1F1F"/>
            <w:highlight w:val="yellow"/>
          </w:rPr>
          <w:t>ectopic pregnancy</w:t>
        </w:r>
      </w:hyperlink>
      <w:r w:rsidR="00B10FBC" w:rsidRPr="00113791">
        <w:rPr>
          <w:rFonts w:ascii="Georgia" w:hAnsi="Georgia"/>
          <w:color w:val="1F1F1F"/>
          <w:highlight w:val="yellow"/>
        </w:rPr>
        <w:t>, </w:t>
      </w:r>
      <w:hyperlink r:id="rId8" w:tooltip="Learn more about pelvic inflammatory diseases from ScienceDirect's AI-generated Topic Pages" w:history="1">
        <w:r w:rsidR="00B10FBC" w:rsidRPr="00113791">
          <w:rPr>
            <w:rStyle w:val="Hyperlink"/>
            <w:rFonts w:ascii="Georgia" w:hAnsi="Georgia"/>
            <w:color w:val="1F1F1F"/>
            <w:highlight w:val="yellow"/>
          </w:rPr>
          <w:t>pelvic inflammatory diseases</w:t>
        </w:r>
      </w:hyperlink>
      <w:r w:rsidR="00B10FBC" w:rsidRPr="00113791">
        <w:rPr>
          <w:rFonts w:ascii="Georgia" w:hAnsi="Georgia"/>
          <w:color w:val="1F1F1F"/>
          <w:highlight w:val="yellow"/>
        </w:rPr>
        <w:t>, and infertility</w:t>
      </w:r>
      <w:r w:rsidR="000E5D9A">
        <w:rPr>
          <w:rFonts w:ascii="Georgia" w:hAnsi="Georgia"/>
          <w:color w:val="1F1F1F"/>
          <w:highlight w:val="yellow"/>
        </w:rPr>
        <w:t xml:space="preserve"> (</w:t>
      </w:r>
      <w:r w:rsidR="000E5D9A" w:rsidRPr="00E76E2B">
        <w:rPr>
          <w:rFonts w:ascii="Arial" w:hAnsi="Arial" w:cs="Arial"/>
          <w:color w:val="222222"/>
          <w:sz w:val="20"/>
          <w:szCs w:val="20"/>
          <w:highlight w:val="yellow"/>
          <w:shd w:val="clear" w:color="auto" w:fill="FFFFFF"/>
        </w:rPr>
        <w:t>Bi</w:t>
      </w:r>
      <w:r w:rsidR="000E5D9A">
        <w:rPr>
          <w:rFonts w:ascii="Arial" w:hAnsi="Arial" w:cs="Arial"/>
          <w:color w:val="222222"/>
          <w:sz w:val="20"/>
          <w:szCs w:val="20"/>
          <w:highlight w:val="yellow"/>
          <w:shd w:val="clear" w:color="auto" w:fill="FFFFFF"/>
        </w:rPr>
        <w:t xml:space="preserve"> et al., 2023</w:t>
      </w:r>
      <w:r w:rsidR="000E5D9A">
        <w:rPr>
          <w:rFonts w:ascii="Georgia" w:hAnsi="Georgia"/>
          <w:color w:val="1F1F1F"/>
          <w:highlight w:val="yellow"/>
        </w:rPr>
        <w:t>)</w:t>
      </w:r>
      <w:r w:rsidR="00B10FBC" w:rsidRPr="00113791">
        <w:rPr>
          <w:rFonts w:ascii="Georgia" w:hAnsi="Georgia"/>
          <w:color w:val="1F1F1F"/>
          <w:highlight w:val="yellow"/>
        </w:rPr>
        <w:t>. They are also linked to several types of cancers, including cervical, anal, and </w:t>
      </w:r>
      <w:hyperlink r:id="rId9" w:tooltip="Learn more about oropharyngeal cancers from ScienceDirect's AI-generated Topic Pages" w:history="1">
        <w:r w:rsidR="00B10FBC" w:rsidRPr="00113791">
          <w:rPr>
            <w:rStyle w:val="Hyperlink"/>
            <w:rFonts w:ascii="Georgia" w:hAnsi="Georgia"/>
            <w:color w:val="1F1F1F"/>
            <w:highlight w:val="yellow"/>
          </w:rPr>
          <w:t>oropharyngeal cancers</w:t>
        </w:r>
      </w:hyperlink>
      <w:r w:rsidR="00B10FBC">
        <w:rPr>
          <w:rFonts w:ascii="Georgia" w:hAnsi="Georgia"/>
          <w:color w:val="1F1F1F"/>
          <w:highlight w:val="yellow"/>
        </w:rPr>
        <w:t xml:space="preserve">. </w:t>
      </w:r>
      <w:r w:rsidR="00B10FBC" w:rsidRPr="00113791">
        <w:rPr>
          <w:rFonts w:ascii="Georgia" w:hAnsi="Georgia"/>
          <w:color w:val="1F1F1F"/>
          <w:highlight w:val="yellow"/>
        </w:rPr>
        <w:t>There are many co-factors that help the virus become a persistent infection, and included in this list is infection with one or more other sexually transmitted disease that may increase the risk of having cervical neoplasia. An STI may facilitate the entry of multiple HR-HPVs as well as decrease the host’s ability to resolve the </w:t>
      </w:r>
      <w:hyperlink r:id="rId10" w:tooltip="Learn more about HPV infection from ScienceDirect's AI-generated Topic Pages" w:history="1">
        <w:r w:rsidR="00B10FBC" w:rsidRPr="00113791">
          <w:rPr>
            <w:rStyle w:val="Hyperlink"/>
            <w:rFonts w:ascii="Georgia" w:hAnsi="Georgia"/>
            <w:color w:val="1F1F1F"/>
            <w:highlight w:val="yellow"/>
          </w:rPr>
          <w:t>HPV infection</w:t>
        </w:r>
      </w:hyperlink>
      <w:r w:rsidR="00E04813">
        <w:rPr>
          <w:highlight w:val="yellow"/>
        </w:rPr>
        <w:t xml:space="preserve"> (</w:t>
      </w:r>
      <w:r w:rsidR="00E3218A" w:rsidRPr="00E76E2B">
        <w:rPr>
          <w:rFonts w:ascii="Arial" w:hAnsi="Arial" w:cs="Arial"/>
          <w:color w:val="222222"/>
          <w:sz w:val="20"/>
          <w:szCs w:val="20"/>
          <w:highlight w:val="yellow"/>
          <w:shd w:val="clear" w:color="auto" w:fill="FFFFFF"/>
        </w:rPr>
        <w:t>Shannon</w:t>
      </w:r>
      <w:r w:rsidR="00E3218A">
        <w:rPr>
          <w:rFonts w:ascii="Arial" w:hAnsi="Arial" w:cs="Arial"/>
          <w:color w:val="222222"/>
          <w:sz w:val="20"/>
          <w:szCs w:val="20"/>
          <w:highlight w:val="yellow"/>
          <w:shd w:val="clear" w:color="auto" w:fill="FFFFFF"/>
        </w:rPr>
        <w:t xml:space="preserve"> </w:t>
      </w:r>
      <w:r w:rsidR="00E3218A" w:rsidRPr="00E76E2B">
        <w:rPr>
          <w:rFonts w:ascii="Arial" w:hAnsi="Arial" w:cs="Arial"/>
          <w:color w:val="222222"/>
          <w:sz w:val="20"/>
          <w:szCs w:val="20"/>
          <w:highlight w:val="yellow"/>
          <w:shd w:val="clear" w:color="auto" w:fill="FFFFFF"/>
        </w:rPr>
        <w:t>&amp; Klausner</w:t>
      </w:r>
      <w:r w:rsidR="00E3218A">
        <w:rPr>
          <w:rFonts w:ascii="Arial" w:hAnsi="Arial" w:cs="Arial"/>
          <w:color w:val="222222"/>
          <w:sz w:val="20"/>
          <w:szCs w:val="20"/>
          <w:highlight w:val="yellow"/>
          <w:shd w:val="clear" w:color="auto" w:fill="FFFFFF"/>
        </w:rPr>
        <w:t xml:space="preserve">, 2018 ; </w:t>
      </w:r>
      <w:r w:rsidR="00E04813" w:rsidRPr="00E76E2B">
        <w:rPr>
          <w:rFonts w:ascii="Arial" w:hAnsi="Arial" w:cs="Arial"/>
          <w:color w:val="222222"/>
          <w:sz w:val="20"/>
          <w:szCs w:val="20"/>
          <w:highlight w:val="yellow"/>
          <w:shd w:val="clear" w:color="auto" w:fill="FFFFFF"/>
        </w:rPr>
        <w:t>Alotaibi</w:t>
      </w:r>
      <w:r w:rsidR="00E04813">
        <w:rPr>
          <w:rFonts w:ascii="Arial" w:hAnsi="Arial" w:cs="Arial"/>
          <w:color w:val="222222"/>
          <w:sz w:val="20"/>
          <w:szCs w:val="20"/>
          <w:highlight w:val="yellow"/>
          <w:shd w:val="clear" w:color="auto" w:fill="FFFFFF"/>
        </w:rPr>
        <w:t xml:space="preserve"> et al., 2020</w:t>
      </w:r>
      <w:r w:rsidR="00E04813">
        <w:rPr>
          <w:highlight w:val="yellow"/>
        </w:rPr>
        <w:t>)</w:t>
      </w:r>
      <w:r w:rsidR="00B10FBC" w:rsidRPr="00113791">
        <w:rPr>
          <w:rFonts w:ascii="Times New Roman" w:eastAsia="Times New Roman" w:hAnsi="Times New Roman" w:cs="Times New Roman"/>
          <w:noProof w:val="0"/>
          <w:sz w:val="24"/>
          <w:szCs w:val="24"/>
          <w:highlight w:val="yellow"/>
          <w:lang w:eastAsia="fr-FR"/>
        </w:rPr>
        <w:t>.</w:t>
      </w:r>
      <w:r w:rsidR="00B10FBC">
        <w:rPr>
          <w:rFonts w:ascii="Times New Roman" w:eastAsia="Times New Roman" w:hAnsi="Times New Roman" w:cs="Times New Roman"/>
          <w:noProof w:val="0"/>
          <w:sz w:val="24"/>
          <w:szCs w:val="24"/>
          <w:lang w:eastAsia="fr-FR"/>
        </w:rPr>
        <w:t xml:space="preserve"> </w:t>
      </w:r>
      <w:r w:rsidR="003E5DCD" w:rsidRPr="00B818D9">
        <w:rPr>
          <w:rFonts w:ascii="Times New Roman" w:eastAsia="Times New Roman" w:hAnsi="Times New Roman" w:cs="Times New Roman"/>
          <w:noProof w:val="0"/>
          <w:sz w:val="24"/>
          <w:szCs w:val="24"/>
          <w:lang w:eastAsia="fr-FR"/>
        </w:rPr>
        <w:t>HPV infection is common since 80% of women and men are exposed to it during their lifetime. Most of the time, infection is symptom-free and transient. Indeed, in 80% of cases, the immune system eliminates the virus in less than two years, a process known as viral clearance [3,4]. However, in around 20% of cases of high-risk HPV infection, pre-</w:t>
      </w:r>
      <w:r w:rsidR="003E5DCD" w:rsidRPr="00113791">
        <w:rPr>
          <w:rFonts w:ascii="Times New Roman" w:eastAsia="Times New Roman" w:hAnsi="Times New Roman" w:cs="Times New Roman"/>
          <w:noProof w:val="0"/>
          <w:sz w:val="24"/>
          <w:szCs w:val="24"/>
          <w:highlight w:val="yellow"/>
          <w:lang w:eastAsia="fr-FR"/>
        </w:rPr>
        <w:t xml:space="preserve">cancerous lesions may develop, which may </w:t>
      </w:r>
      <w:r w:rsidR="00B10FBC" w:rsidRPr="00113791">
        <w:rPr>
          <w:highlight w:val="yellow"/>
        </w:rPr>
        <w:t xml:space="preserve">may regress or progress to cancer over time. </w:t>
      </w:r>
      <w:r w:rsidR="003E5DCD" w:rsidRPr="00B818D9">
        <w:rPr>
          <w:rFonts w:ascii="Times New Roman" w:eastAsia="Times New Roman" w:hAnsi="Times New Roman" w:cs="Times New Roman"/>
          <w:noProof w:val="0"/>
          <w:sz w:val="24"/>
          <w:szCs w:val="24"/>
          <w:lang w:eastAsia="fr-FR"/>
        </w:rPr>
        <w:t xml:space="preserve"> Of the 14 high-risk HPV genotypes (HPV 16, 18, 31, 33, 35, 39, 45, 51, 52, 56, 58, 59, 66 and 68), the two most common (HPV 16 and 18) are responsible for 71% of cervical cancers worldwide [5-7]. These different types of oncogenic HPV are responsible for over 582,000 new cases of cervical cancer (UCC), causing around 266,000 deaths worldwide every year [8]. In countries with limited resources, cervical cancer is a real public health problem due to a number of risk factors: (i) early sexual debut, (ii) lack of screening policy, (iii) high frequency of sexually transmitted infections, (iv) multiple sexual partners and (v) lack of vaccination policy against oncogenic HPV in young people. It is in these conditions </w:t>
      </w:r>
      <w:r w:rsidR="003E5DCD" w:rsidRPr="00113791">
        <w:rPr>
          <w:rFonts w:ascii="Times New Roman" w:eastAsia="Times New Roman" w:hAnsi="Times New Roman" w:cs="Times New Roman"/>
          <w:noProof w:val="0"/>
          <w:sz w:val="24"/>
          <w:szCs w:val="24"/>
          <w:highlight w:val="yellow"/>
          <w:lang w:eastAsia="fr-FR"/>
        </w:rPr>
        <w:t xml:space="preserve">that </w:t>
      </w:r>
      <w:r w:rsidR="00B10FBC" w:rsidRPr="00113791">
        <w:rPr>
          <w:highlight w:val="yellow"/>
        </w:rPr>
        <w:t xml:space="preserve">infection typically occurs within 3–4 years after sexual debut. </w:t>
      </w:r>
      <w:r w:rsidR="00292A2B">
        <w:rPr>
          <w:rFonts w:ascii="Times New Roman" w:eastAsia="Times New Roman" w:hAnsi="Times New Roman" w:cs="Times New Roman"/>
          <w:noProof w:val="0"/>
          <w:sz w:val="24"/>
          <w:szCs w:val="24"/>
          <w:highlight w:val="yellow"/>
          <w:lang w:eastAsia="fr-FR"/>
        </w:rPr>
        <w:t xml:space="preserve"> </w:t>
      </w:r>
      <w:r w:rsidR="00292A2B" w:rsidRPr="00113791">
        <w:rPr>
          <w:rFonts w:ascii="Arial" w:hAnsi="Arial" w:cs="Arial"/>
          <w:sz w:val="24"/>
          <w:szCs w:val="25"/>
          <w:highlight w:val="yellow"/>
          <w:shd w:val="clear" w:color="auto" w:fill="FFFFFF"/>
        </w:rPr>
        <w:t>The STIs are all the more worrying in that they mainly  affect  young  people,  due  to  certain  high-risk  behaviors  (non-use  of  condoms,  oral  sexual practices,   multiple   sexual   partnerships),   and amplify  the  transmission  and  spread  of  other infections  with  serious  consequences,  such  as HIV   and  viral  hepatitis   B  and   C,  within  this segment of the populatio</w:t>
      </w:r>
      <w:r w:rsidR="00961430" w:rsidRPr="00113791">
        <w:rPr>
          <w:rFonts w:ascii="Arial" w:hAnsi="Arial" w:cs="Arial"/>
          <w:sz w:val="24"/>
          <w:szCs w:val="25"/>
          <w:highlight w:val="yellow"/>
          <w:shd w:val="clear" w:color="auto" w:fill="FFFFFF"/>
        </w:rPr>
        <w:t>n (</w:t>
      </w:r>
      <w:r w:rsidR="00961430" w:rsidRPr="00113791">
        <w:rPr>
          <w:rFonts w:ascii="Arial" w:eastAsia="Times New Roman" w:hAnsi="Arial" w:cs="Arial"/>
          <w:noProof w:val="0"/>
          <w:color w:val="333333"/>
          <w:sz w:val="24"/>
          <w:szCs w:val="27"/>
          <w:highlight w:val="yellow"/>
          <w:lang w:val="en-US"/>
        </w:rPr>
        <w:t xml:space="preserve">Attinsounon et al., 2022; </w:t>
      </w:r>
      <w:r w:rsidR="00961430" w:rsidRPr="00113791">
        <w:rPr>
          <w:rFonts w:ascii="Arial" w:eastAsia="Times New Roman" w:hAnsi="Arial" w:cs="Arial"/>
          <w:noProof w:val="0"/>
          <w:color w:val="333333"/>
          <w:sz w:val="20"/>
          <w:szCs w:val="27"/>
          <w:highlight w:val="yellow"/>
          <w:lang w:val="en-US"/>
        </w:rPr>
        <w:t>Ikokwu et al., 2023</w:t>
      </w:r>
      <w:r w:rsidR="00961430" w:rsidRPr="00113791">
        <w:rPr>
          <w:rFonts w:ascii="Arial" w:hAnsi="Arial" w:cs="Arial"/>
          <w:sz w:val="24"/>
          <w:szCs w:val="25"/>
          <w:highlight w:val="yellow"/>
          <w:shd w:val="clear" w:color="auto" w:fill="FFFFFF"/>
        </w:rPr>
        <w:t>).</w:t>
      </w:r>
    </w:p>
    <w:p w14:paraId="7B6689AB"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 xml:space="preserve">In Africa, the prevalence of HPV is high among young people, with carriage between the ages of 20 and 25 [9-11]. In the Republic of Congo, numerous studies show that genotypes 16 and 33 are the most frequently reported, while genotype 18 comes third. However, young people are often exposed to STIs, partly because of the blatant lack of awareness-raising policies, and partly because of the lack of sexual health education programs in educational establishments. </w:t>
      </w:r>
    </w:p>
    <w:p w14:paraId="27BC68B2" w14:textId="0208F96E"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lastRenderedPageBreak/>
        <w:t xml:space="preserve">Knowing the impact of </w:t>
      </w:r>
      <w:r w:rsidRPr="00113791">
        <w:rPr>
          <w:rFonts w:ascii="Times New Roman" w:eastAsia="Times New Roman" w:hAnsi="Times New Roman" w:cs="Times New Roman"/>
          <w:noProof w:val="0"/>
          <w:sz w:val="24"/>
          <w:szCs w:val="24"/>
          <w:highlight w:val="yellow"/>
          <w:lang w:eastAsia="fr-FR"/>
        </w:rPr>
        <w:t xml:space="preserve">STIs </w:t>
      </w:r>
      <w:r w:rsidR="007B4321" w:rsidRPr="00113791">
        <w:rPr>
          <w:rFonts w:ascii="Times New Roman" w:eastAsia="Times New Roman" w:hAnsi="Times New Roman" w:cs="Times New Roman"/>
          <w:noProof w:val="0"/>
          <w:sz w:val="24"/>
          <w:szCs w:val="24"/>
          <w:highlight w:val="yellow"/>
          <w:lang w:eastAsia="fr-FR"/>
        </w:rPr>
        <w:t>o</w:t>
      </w:r>
      <w:r w:rsidR="007B4321" w:rsidRPr="00113791">
        <w:rPr>
          <w:rFonts w:ascii="Times New Roman" w:eastAsia="Times New Roman" w:hAnsi="Times New Roman" w:cs="Times New Roman"/>
          <w:noProof w:val="0"/>
          <w:sz w:val="24"/>
          <w:szCs w:val="24"/>
          <w:highlight w:val="yellow"/>
          <w:lang w:eastAsia="fr-FR"/>
        </w:rPr>
        <w:t xml:space="preserve">n </w:t>
      </w:r>
      <w:r w:rsidRPr="00113791">
        <w:rPr>
          <w:rFonts w:ascii="Times New Roman" w:eastAsia="Times New Roman" w:hAnsi="Times New Roman" w:cs="Times New Roman"/>
          <w:noProof w:val="0"/>
          <w:sz w:val="24"/>
          <w:szCs w:val="24"/>
          <w:highlight w:val="yellow"/>
          <w:lang w:eastAsia="fr-FR"/>
        </w:rPr>
        <w:t>the pers</w:t>
      </w:r>
      <w:r w:rsidRPr="00B818D9">
        <w:rPr>
          <w:rFonts w:ascii="Times New Roman" w:eastAsia="Times New Roman" w:hAnsi="Times New Roman" w:cs="Times New Roman"/>
          <w:noProof w:val="0"/>
          <w:sz w:val="24"/>
          <w:szCs w:val="24"/>
          <w:lang w:eastAsia="fr-FR"/>
        </w:rPr>
        <w:t xml:space="preserve">istence of HPV infection, we wanted to conduct a study to correlate sexually transmitted infections (STIs), which are caused by bacteria, viruses and parasites, with exposure to HPV infection, </w:t>
      </w:r>
      <w:r w:rsidRPr="00113791">
        <w:rPr>
          <w:rFonts w:ascii="Times New Roman" w:eastAsia="Times New Roman" w:hAnsi="Times New Roman" w:cs="Times New Roman"/>
          <w:noProof w:val="0"/>
          <w:sz w:val="24"/>
          <w:szCs w:val="24"/>
          <w:highlight w:val="yellow"/>
          <w:lang w:eastAsia="fr-FR"/>
        </w:rPr>
        <w:t>to prevent e</w:t>
      </w:r>
      <w:r w:rsidRPr="00B818D9">
        <w:rPr>
          <w:rFonts w:ascii="Times New Roman" w:eastAsia="Times New Roman" w:hAnsi="Times New Roman" w:cs="Times New Roman"/>
          <w:noProof w:val="0"/>
          <w:sz w:val="24"/>
          <w:szCs w:val="24"/>
          <w:lang w:eastAsia="fr-FR"/>
        </w:rPr>
        <w:t xml:space="preserve">xposure to STIs by studying risk factors such as early sexual intercourse, the use of contraceptive methods and many other aspects that may be linked to the sexual health of </w:t>
      </w:r>
      <w:r w:rsidR="006234B4" w:rsidRPr="00113791">
        <w:rPr>
          <w:rFonts w:ascii="Times New Roman" w:eastAsia="Times New Roman" w:hAnsi="Times New Roman" w:cs="Times New Roman"/>
          <w:noProof w:val="0"/>
          <w:sz w:val="24"/>
          <w:szCs w:val="24"/>
          <w:highlight w:val="yellow"/>
          <w:lang w:eastAsia="fr-FR"/>
        </w:rPr>
        <w:t>young women</w:t>
      </w:r>
      <w:r w:rsidRPr="00113791">
        <w:rPr>
          <w:rFonts w:ascii="Times New Roman" w:eastAsia="Times New Roman" w:hAnsi="Times New Roman" w:cs="Times New Roman"/>
          <w:noProof w:val="0"/>
          <w:sz w:val="24"/>
          <w:szCs w:val="24"/>
          <w:highlight w:val="yellow"/>
          <w:lang w:eastAsia="fr-FR"/>
        </w:rPr>
        <w:t xml:space="preserve"> and their </w:t>
      </w:r>
      <w:r w:rsidRPr="00B818D9">
        <w:rPr>
          <w:rFonts w:ascii="Times New Roman" w:eastAsia="Times New Roman" w:hAnsi="Times New Roman" w:cs="Times New Roman"/>
          <w:noProof w:val="0"/>
          <w:sz w:val="24"/>
          <w:szCs w:val="24"/>
          <w:lang w:eastAsia="fr-FR"/>
        </w:rPr>
        <w:t>exposure to sexually transmitted infections such as chlamydia, herpes, condyloma and mycosis in a population made up of adolescent girls in secondary school in the Republic of Congo, more specifically in the cities of Brazzaville and Pointe-Noire.</w:t>
      </w:r>
    </w:p>
    <w:p w14:paraId="26E0DC27" w14:textId="1A17FDF7" w:rsidR="003E5DCD" w:rsidRPr="00B818D9" w:rsidRDefault="003E5DCD" w:rsidP="00B818D9">
      <w:pPr>
        <w:pStyle w:val="ListParagraph"/>
        <w:numPr>
          <w:ilvl w:val="0"/>
          <w:numId w:val="1"/>
        </w:numPr>
        <w:spacing w:before="100" w:beforeAutospacing="1" w:after="100" w:afterAutospacing="1" w:line="360" w:lineRule="auto"/>
        <w:jc w:val="both"/>
        <w:rPr>
          <w:rFonts w:ascii="Times New Roman" w:eastAsia="Times New Roman" w:hAnsi="Times New Roman" w:cs="Times New Roman"/>
          <w:b/>
          <w:bCs/>
          <w:noProof w:val="0"/>
          <w:sz w:val="24"/>
          <w:szCs w:val="24"/>
          <w:lang w:eastAsia="fr-FR"/>
        </w:rPr>
      </w:pPr>
      <w:r w:rsidRPr="00B818D9">
        <w:rPr>
          <w:rFonts w:ascii="Times New Roman" w:eastAsia="Times New Roman" w:hAnsi="Times New Roman" w:cs="Times New Roman"/>
          <w:b/>
          <w:bCs/>
          <w:noProof w:val="0"/>
          <w:sz w:val="24"/>
          <w:szCs w:val="24"/>
          <w:lang w:eastAsia="fr-FR"/>
        </w:rPr>
        <w:t>Materials and methods</w:t>
      </w:r>
    </w:p>
    <w:p w14:paraId="1B6A9DB6" w14:textId="350B1C66" w:rsidR="003E5DCD" w:rsidRPr="00B818D9" w:rsidRDefault="003E5DCD" w:rsidP="00B818D9">
      <w:pPr>
        <w:pStyle w:val="ListParagraph"/>
        <w:numPr>
          <w:ilvl w:val="1"/>
          <w:numId w:val="1"/>
        </w:numPr>
        <w:spacing w:before="100" w:beforeAutospacing="1" w:after="100" w:afterAutospacing="1" w:line="360" w:lineRule="auto"/>
        <w:jc w:val="both"/>
        <w:rPr>
          <w:rFonts w:ascii="Times New Roman" w:eastAsia="Times New Roman" w:hAnsi="Times New Roman" w:cs="Times New Roman"/>
          <w:b/>
          <w:bCs/>
          <w:noProof w:val="0"/>
          <w:sz w:val="24"/>
          <w:szCs w:val="24"/>
          <w:lang w:eastAsia="fr-FR"/>
        </w:rPr>
      </w:pPr>
      <w:r w:rsidRPr="00B818D9">
        <w:rPr>
          <w:rFonts w:ascii="Times New Roman" w:eastAsia="Times New Roman" w:hAnsi="Times New Roman" w:cs="Times New Roman"/>
          <w:b/>
          <w:bCs/>
          <w:noProof w:val="0"/>
          <w:sz w:val="24"/>
          <w:szCs w:val="24"/>
          <w:lang w:eastAsia="fr-FR"/>
        </w:rPr>
        <w:t>Procedure and study population</w:t>
      </w:r>
    </w:p>
    <w:p w14:paraId="643104EA"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 xml:space="preserve">This was a cross-sectional, prospective, analytical study carried out on a population of Congolese girls and women aged between 15 and 24. This population consisted of young high school girls. It was conducted in the Republic of Congo, more specifically in the departments of Brazzaville and Pointe-Noire over a period from December 07, 2019 to September 20, 2021. </w:t>
      </w:r>
    </w:p>
    <w:p w14:paraId="47966EE2" w14:textId="3EA246FB" w:rsidR="003E5DCD" w:rsidRPr="00B818D9" w:rsidRDefault="003E5DCD" w:rsidP="00B818D9">
      <w:pPr>
        <w:pStyle w:val="ListParagraph"/>
        <w:numPr>
          <w:ilvl w:val="1"/>
          <w:numId w:val="1"/>
        </w:numPr>
        <w:spacing w:before="100" w:beforeAutospacing="1" w:after="100" w:afterAutospacing="1" w:line="360" w:lineRule="auto"/>
        <w:jc w:val="both"/>
        <w:rPr>
          <w:rFonts w:ascii="Times New Roman" w:eastAsia="Times New Roman" w:hAnsi="Times New Roman" w:cs="Times New Roman"/>
          <w:b/>
          <w:bCs/>
          <w:noProof w:val="0"/>
          <w:sz w:val="24"/>
          <w:szCs w:val="24"/>
          <w:lang w:eastAsia="fr-FR"/>
        </w:rPr>
      </w:pPr>
      <w:r w:rsidRPr="00B818D9">
        <w:rPr>
          <w:rFonts w:ascii="Times New Roman" w:eastAsia="Times New Roman" w:hAnsi="Times New Roman" w:cs="Times New Roman"/>
          <w:b/>
          <w:bCs/>
          <w:noProof w:val="0"/>
          <w:sz w:val="24"/>
          <w:szCs w:val="24"/>
          <w:lang w:eastAsia="fr-FR"/>
        </w:rPr>
        <w:t>Data collection</w:t>
      </w:r>
    </w:p>
    <w:p w14:paraId="7128A0D3" w14:textId="0C11E3EE"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 xml:space="preserve">Participants were interviewed by healthcare professionals consisting of nurses and psychologists, with in-depth knowledge of STIs, cervical cancer, its screening and human papillomaviruses (HPV). Interviews were conducted in French and the country's national languages (Lingala or Kituba). </w:t>
      </w:r>
      <w:r w:rsidRPr="00113791">
        <w:rPr>
          <w:rFonts w:ascii="Times New Roman" w:eastAsia="Times New Roman" w:hAnsi="Times New Roman" w:cs="Times New Roman"/>
          <w:noProof w:val="0"/>
          <w:sz w:val="24"/>
          <w:szCs w:val="24"/>
          <w:highlight w:val="yellow"/>
          <w:lang w:eastAsia="fr-FR"/>
        </w:rPr>
        <w:t xml:space="preserve">At </w:t>
      </w:r>
      <w:r w:rsidR="007B4321" w:rsidRPr="00113791">
        <w:rPr>
          <w:rFonts w:ascii="Times New Roman" w:eastAsia="Times New Roman" w:hAnsi="Times New Roman" w:cs="Times New Roman"/>
          <w:noProof w:val="0"/>
          <w:sz w:val="24"/>
          <w:szCs w:val="24"/>
          <w:highlight w:val="yellow"/>
          <w:lang w:eastAsia="fr-FR"/>
        </w:rPr>
        <w:t xml:space="preserve">the </w:t>
      </w:r>
      <w:r w:rsidRPr="00113791">
        <w:rPr>
          <w:rFonts w:ascii="Times New Roman" w:eastAsia="Times New Roman" w:hAnsi="Times New Roman" w:cs="Times New Roman"/>
          <w:noProof w:val="0"/>
          <w:sz w:val="24"/>
          <w:szCs w:val="24"/>
          <w:highlight w:val="yellow"/>
          <w:lang w:eastAsia="fr-FR"/>
        </w:rPr>
        <w:t>high scho</w:t>
      </w:r>
      <w:r w:rsidRPr="00B818D9">
        <w:rPr>
          <w:rFonts w:ascii="Times New Roman" w:eastAsia="Times New Roman" w:hAnsi="Times New Roman" w:cs="Times New Roman"/>
          <w:noProof w:val="0"/>
          <w:sz w:val="24"/>
          <w:szCs w:val="24"/>
          <w:lang w:eastAsia="fr-FR"/>
        </w:rPr>
        <w:t xml:space="preserve">ol level, teachers were made aware of the need for these health professionals to visit. Girls interested in taking part in the study discussed the objectives with the health professionals. The objectives were well explained to the participants. </w:t>
      </w:r>
    </w:p>
    <w:p w14:paraId="3EAEBEDB"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The questionnaire was divided into three sections:</w:t>
      </w:r>
    </w:p>
    <w:p w14:paraId="50DCA94E" w14:textId="2561DB15"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 xml:space="preserve">1. Socio-demographic characteristics and sexual </w:t>
      </w:r>
      <w:r w:rsidRPr="00113791">
        <w:rPr>
          <w:rFonts w:ascii="Times New Roman" w:eastAsia="Times New Roman" w:hAnsi="Times New Roman" w:cs="Times New Roman"/>
          <w:noProof w:val="0"/>
          <w:sz w:val="24"/>
          <w:szCs w:val="24"/>
          <w:highlight w:val="yellow"/>
          <w:lang w:eastAsia="fr-FR"/>
        </w:rPr>
        <w:t>behavio</w:t>
      </w:r>
      <w:r w:rsidR="007B4321" w:rsidRPr="00113791">
        <w:rPr>
          <w:rFonts w:ascii="Times New Roman" w:eastAsia="Times New Roman" w:hAnsi="Times New Roman" w:cs="Times New Roman"/>
          <w:noProof w:val="0"/>
          <w:sz w:val="24"/>
          <w:szCs w:val="24"/>
          <w:highlight w:val="yellow"/>
          <w:lang w:eastAsia="fr-FR"/>
        </w:rPr>
        <w:t>u</w:t>
      </w:r>
      <w:r w:rsidRPr="00113791">
        <w:rPr>
          <w:rFonts w:ascii="Times New Roman" w:eastAsia="Times New Roman" w:hAnsi="Times New Roman" w:cs="Times New Roman"/>
          <w:noProof w:val="0"/>
          <w:sz w:val="24"/>
          <w:szCs w:val="24"/>
          <w:highlight w:val="yellow"/>
          <w:lang w:eastAsia="fr-FR"/>
        </w:rPr>
        <w:t>r of the girls</w:t>
      </w:r>
      <w:r w:rsidRPr="00B818D9">
        <w:rPr>
          <w:rFonts w:ascii="Times New Roman" w:eastAsia="Times New Roman" w:hAnsi="Times New Roman" w:cs="Times New Roman"/>
          <w:noProof w:val="0"/>
          <w:sz w:val="24"/>
          <w:szCs w:val="24"/>
          <w:lang w:eastAsia="fr-FR"/>
        </w:rPr>
        <w:t>;</w:t>
      </w:r>
    </w:p>
    <w:p w14:paraId="3C57F5B2"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2. Level of knowledge about HPV;</w:t>
      </w:r>
    </w:p>
    <w:p w14:paraId="157977C5"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3. STI-based clinical history of young women.</w:t>
      </w:r>
    </w:p>
    <w:p w14:paraId="6FF48CB1"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Information on age, level of education, age of first sexual intercourse, condom use, number of sexual partners and use of contraceptive methods was also collected.</w:t>
      </w:r>
    </w:p>
    <w:p w14:paraId="3A22DE9D" w14:textId="0A3D464B" w:rsidR="003E5DCD" w:rsidRPr="00B818D9" w:rsidRDefault="003E5DCD" w:rsidP="00B818D9">
      <w:pPr>
        <w:pStyle w:val="ListParagraph"/>
        <w:numPr>
          <w:ilvl w:val="1"/>
          <w:numId w:val="1"/>
        </w:numPr>
        <w:spacing w:before="100" w:beforeAutospacing="1" w:after="100" w:afterAutospacing="1" w:line="360" w:lineRule="auto"/>
        <w:jc w:val="both"/>
        <w:rPr>
          <w:rFonts w:ascii="Times New Roman" w:eastAsia="Times New Roman" w:hAnsi="Times New Roman" w:cs="Times New Roman"/>
          <w:b/>
          <w:bCs/>
          <w:noProof w:val="0"/>
          <w:sz w:val="24"/>
          <w:szCs w:val="24"/>
          <w:lang w:eastAsia="fr-FR"/>
        </w:rPr>
      </w:pPr>
      <w:r w:rsidRPr="00B818D9">
        <w:rPr>
          <w:rFonts w:ascii="Times New Roman" w:eastAsia="Times New Roman" w:hAnsi="Times New Roman" w:cs="Times New Roman"/>
          <w:b/>
          <w:bCs/>
          <w:noProof w:val="0"/>
          <w:sz w:val="24"/>
          <w:szCs w:val="24"/>
          <w:lang w:eastAsia="fr-FR"/>
        </w:rPr>
        <w:t>Types of sample for molecular analysis</w:t>
      </w:r>
    </w:p>
    <w:p w14:paraId="66C30A65" w14:textId="2D55984D"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lastRenderedPageBreak/>
        <w:t xml:space="preserve">We collected vaginal samples. A naked-eye inspection of the </w:t>
      </w:r>
      <w:r w:rsidRPr="00113791">
        <w:rPr>
          <w:rFonts w:ascii="Times New Roman" w:eastAsia="Times New Roman" w:hAnsi="Times New Roman" w:cs="Times New Roman"/>
          <w:noProof w:val="0"/>
          <w:sz w:val="24"/>
          <w:szCs w:val="24"/>
          <w:highlight w:val="yellow"/>
          <w:lang w:eastAsia="fr-FR"/>
        </w:rPr>
        <w:t>anogenital region</w:t>
      </w:r>
      <w:r w:rsidRPr="00B818D9">
        <w:rPr>
          <w:rFonts w:ascii="Times New Roman" w:eastAsia="Times New Roman" w:hAnsi="Times New Roman" w:cs="Times New Roman"/>
          <w:noProof w:val="0"/>
          <w:sz w:val="24"/>
          <w:szCs w:val="24"/>
          <w:lang w:eastAsia="fr-FR"/>
        </w:rPr>
        <w:t xml:space="preserve"> was performed on the participant in the gynaecological position, using a single-use speculum to appreciate the various aspects of the cervix. Samples were taken by cytobrushing the endocervical canal, </w:t>
      </w:r>
      <w:r w:rsidR="007B4321">
        <w:rPr>
          <w:rFonts w:ascii="Times New Roman" w:eastAsia="Times New Roman" w:hAnsi="Times New Roman" w:cs="Times New Roman"/>
          <w:noProof w:val="0"/>
          <w:sz w:val="24"/>
          <w:szCs w:val="24"/>
          <w:lang w:eastAsia="fr-FR"/>
        </w:rPr>
        <w:t xml:space="preserve">and </w:t>
      </w:r>
      <w:r w:rsidRPr="00B818D9">
        <w:rPr>
          <w:rFonts w:ascii="Times New Roman" w:eastAsia="Times New Roman" w:hAnsi="Times New Roman" w:cs="Times New Roman"/>
          <w:noProof w:val="0"/>
          <w:sz w:val="24"/>
          <w:szCs w:val="24"/>
          <w:lang w:eastAsia="fr-FR"/>
        </w:rPr>
        <w:t>turning the cytobrush 3 times to collect the endocervical cells. Samples were stored in a jar containing BD SurePath™ transport solution (Benex Limited, Dun Laoghaire, Ireland) and frozen at 20°C in the refrigerator pending analysis.</w:t>
      </w:r>
    </w:p>
    <w:p w14:paraId="7A95E877" w14:textId="5FC6A9CD" w:rsidR="003E5DCD" w:rsidRPr="00B818D9" w:rsidRDefault="003E5DCD" w:rsidP="00B818D9">
      <w:pPr>
        <w:pStyle w:val="NormalWeb"/>
        <w:numPr>
          <w:ilvl w:val="1"/>
          <w:numId w:val="1"/>
        </w:numPr>
        <w:spacing w:line="360" w:lineRule="auto"/>
        <w:jc w:val="both"/>
        <w:rPr>
          <w:b/>
          <w:bCs/>
        </w:rPr>
      </w:pPr>
      <w:r w:rsidRPr="00B818D9">
        <w:rPr>
          <w:b/>
          <w:bCs/>
        </w:rPr>
        <w:t>Molecular analysis</w:t>
      </w:r>
    </w:p>
    <w:p w14:paraId="6404089A" w14:textId="77777777" w:rsidR="003E5DCD" w:rsidRPr="00B818D9" w:rsidRDefault="003E5DCD" w:rsidP="00B818D9">
      <w:pPr>
        <w:pStyle w:val="NormalWeb"/>
        <w:spacing w:line="360" w:lineRule="auto"/>
        <w:jc w:val="both"/>
      </w:pPr>
      <w:r w:rsidRPr="00B818D9">
        <w:t>After returning the samples to room temperature and resuspending them with a vortex, a volume of 1000µl of the suspension was dispensed into ready-to-use cartridges (lot no. 15402 from the manufacturer Céphéid) for each sample. The cartridges were then placed in the GeneXpert 4-module automaton for 60 minutes, in accordance with the manufacturer's instructions, to detect genotypes 16, 18, 31, 33, 35, 39, 45, 51, 52, 56, 58, 59, 66 and 68.</w:t>
      </w:r>
    </w:p>
    <w:p w14:paraId="6AEA7519" w14:textId="77777777" w:rsidR="00B03A84" w:rsidRPr="00B818D9" w:rsidRDefault="00B03A84" w:rsidP="00B818D9">
      <w:pPr>
        <w:pStyle w:val="NormalWeb"/>
        <w:spacing w:line="360" w:lineRule="auto"/>
        <w:jc w:val="both"/>
        <w:rPr>
          <w:b/>
          <w:bCs/>
        </w:rPr>
      </w:pPr>
    </w:p>
    <w:p w14:paraId="47277E4B" w14:textId="701E12AB" w:rsidR="003E5DCD" w:rsidRPr="00B818D9" w:rsidRDefault="003E5DCD" w:rsidP="00B818D9">
      <w:pPr>
        <w:pStyle w:val="NormalWeb"/>
        <w:numPr>
          <w:ilvl w:val="1"/>
          <w:numId w:val="1"/>
        </w:numPr>
        <w:spacing w:line="360" w:lineRule="auto"/>
        <w:jc w:val="both"/>
        <w:rPr>
          <w:b/>
          <w:bCs/>
        </w:rPr>
      </w:pPr>
      <w:r w:rsidRPr="00B818D9">
        <w:rPr>
          <w:b/>
          <w:bCs/>
        </w:rPr>
        <w:t>Statistical analysis</w:t>
      </w:r>
    </w:p>
    <w:p w14:paraId="5124D84A" w14:textId="77777777" w:rsidR="003E5DCD" w:rsidRPr="00B818D9" w:rsidRDefault="003E5DCD" w:rsidP="00B818D9">
      <w:pPr>
        <w:pStyle w:val="NormalWeb"/>
        <w:spacing w:line="360" w:lineRule="auto"/>
        <w:jc w:val="both"/>
      </w:pPr>
      <w:r w:rsidRPr="00B818D9">
        <w:t xml:space="preserve">Statistical analysis was carried out using Excel spreadsheets and Stata13 software. Logistic regression analysis was performed to identify the effect of demographic characteristics on the level of knowledge about HPV. The concordance between tests was determined by summing the positives and negatives of the two tests divided by the total number of participants, and multiplying by 100. We assessed the risk (order ratio: OR) with the association of each explanatory variable together with virus carriage and STI history, using a logistic regression model to account for independently associated risk factors. </w:t>
      </w:r>
    </w:p>
    <w:p w14:paraId="0D8A6EF2" w14:textId="77777777" w:rsidR="003E5DCD" w:rsidRDefault="003E5DCD" w:rsidP="00B818D9">
      <w:pPr>
        <w:pStyle w:val="NormalWeb"/>
        <w:spacing w:line="360" w:lineRule="auto"/>
        <w:jc w:val="both"/>
      </w:pPr>
      <w:r w:rsidRPr="00B818D9">
        <w:t xml:space="preserve">Associations were considered statistically significant for p &lt; 0.05. </w:t>
      </w:r>
    </w:p>
    <w:p w14:paraId="1E04878D" w14:textId="77777777" w:rsidR="00887324" w:rsidRDefault="00887324" w:rsidP="00B818D9">
      <w:pPr>
        <w:pStyle w:val="NormalWeb"/>
        <w:spacing w:line="360" w:lineRule="auto"/>
        <w:jc w:val="both"/>
      </w:pPr>
    </w:p>
    <w:p w14:paraId="334E0C13" w14:textId="77777777" w:rsidR="00003F3B" w:rsidRPr="00B818D9" w:rsidRDefault="00003F3B" w:rsidP="00B818D9">
      <w:pPr>
        <w:pStyle w:val="NormalWeb"/>
        <w:spacing w:line="360" w:lineRule="auto"/>
        <w:jc w:val="both"/>
      </w:pPr>
    </w:p>
    <w:p w14:paraId="26ACB00E" w14:textId="185A4253" w:rsidR="003E5DCD" w:rsidRPr="00B818D9" w:rsidRDefault="003E5DCD" w:rsidP="00B818D9">
      <w:pPr>
        <w:pStyle w:val="NormalWeb"/>
        <w:numPr>
          <w:ilvl w:val="1"/>
          <w:numId w:val="1"/>
        </w:numPr>
        <w:spacing w:line="360" w:lineRule="auto"/>
        <w:jc w:val="both"/>
        <w:rPr>
          <w:b/>
          <w:bCs/>
        </w:rPr>
      </w:pPr>
      <w:r w:rsidRPr="00B818D9">
        <w:rPr>
          <w:b/>
          <w:bCs/>
        </w:rPr>
        <w:t>Ethical considerations</w:t>
      </w:r>
    </w:p>
    <w:p w14:paraId="49EAD00B" w14:textId="085212E2" w:rsidR="003E5DCD" w:rsidRPr="00D53E35" w:rsidRDefault="003E5DCD" w:rsidP="00B975D4">
      <w:pPr>
        <w:pStyle w:val="NormalWeb"/>
        <w:spacing w:line="360" w:lineRule="auto"/>
        <w:jc w:val="both"/>
      </w:pPr>
      <w:r w:rsidRPr="00B818D9">
        <w:t xml:space="preserve">This study was conducted in accordance with the ethical guidelines for human research in the Republic of Congo and following the 1964 Declaration of Helsinki and its subsequent amendments. Accordingly, the study received the approval of the </w:t>
      </w:r>
      <w:r w:rsidR="00B975D4" w:rsidRPr="00B975D4">
        <w:t xml:space="preserve">Health Sciences Research </w:t>
      </w:r>
      <w:r w:rsidR="00B975D4" w:rsidRPr="00B975D4">
        <w:lastRenderedPageBreak/>
        <w:t>Ethics Committee of the Republic of Congo</w:t>
      </w:r>
      <w:r w:rsidR="00B975D4">
        <w:t xml:space="preserve"> </w:t>
      </w:r>
      <w:r w:rsidRPr="00B818D9">
        <w:t>(n°033-40MESRSIT/DGRST/CERSSA/-23) and administrative agreements at the level of the Ministry of Primary, Secondary and Literacy Education (n°216/MEPSA-CAB of August 14, 2020). For girls under 18, an ethical clearance has been obtained from parents through the</w:t>
      </w:r>
      <w:r w:rsidR="00D53E35">
        <w:t xml:space="preserve"> </w:t>
      </w:r>
      <w:r w:rsidR="00D53E35" w:rsidRPr="00D53E35">
        <w:t>Congo Pupils' and Students' Parents' Association</w:t>
      </w:r>
      <w:r w:rsidRPr="00B818D9">
        <w:t>. Confidentiality and anonymity of the information provided were guaranteed. Only the medical staff were authorized to have access to information that could identify the participant. All participants gave their consent by means of a signed consent form.</w:t>
      </w:r>
    </w:p>
    <w:p w14:paraId="5E05CDA4" w14:textId="686BBF81" w:rsidR="003E5DCD" w:rsidRPr="00B818D9" w:rsidRDefault="0055270B" w:rsidP="00B818D9">
      <w:pPr>
        <w:pStyle w:val="NormalWeb"/>
        <w:numPr>
          <w:ilvl w:val="0"/>
          <w:numId w:val="1"/>
        </w:numPr>
        <w:spacing w:line="360" w:lineRule="auto"/>
        <w:jc w:val="both"/>
        <w:rPr>
          <w:b/>
          <w:bCs/>
        </w:rPr>
      </w:pPr>
      <w:r w:rsidRPr="00B818D9">
        <w:rPr>
          <w:b/>
          <w:bCs/>
        </w:rPr>
        <w:t>R</w:t>
      </w:r>
      <w:r w:rsidR="003E5DCD" w:rsidRPr="00B818D9">
        <w:rPr>
          <w:b/>
          <w:bCs/>
        </w:rPr>
        <w:t>esults</w:t>
      </w:r>
    </w:p>
    <w:p w14:paraId="1FAEF555" w14:textId="77777777" w:rsidR="003E5DCD" w:rsidRPr="00B818D9" w:rsidRDefault="003E5DCD" w:rsidP="00B818D9">
      <w:pPr>
        <w:pStyle w:val="NormalWeb"/>
        <w:spacing w:line="360" w:lineRule="auto"/>
        <w:jc w:val="both"/>
      </w:pPr>
      <w:r w:rsidRPr="00B818D9">
        <w:t>A total of 260 young women were approached during the study. Only 198 had given their consent to participate in this study. Thus, 198 participants constituted the sample for the present study.</w:t>
      </w:r>
    </w:p>
    <w:p w14:paraId="16066ECF" w14:textId="14E7FAEA" w:rsidR="003E5DCD" w:rsidRPr="00B818D9" w:rsidRDefault="003E5DCD" w:rsidP="00B818D9">
      <w:pPr>
        <w:pStyle w:val="NormalWeb"/>
        <w:numPr>
          <w:ilvl w:val="1"/>
          <w:numId w:val="1"/>
        </w:numPr>
        <w:spacing w:line="360" w:lineRule="auto"/>
        <w:jc w:val="both"/>
        <w:rPr>
          <w:b/>
          <w:bCs/>
        </w:rPr>
      </w:pPr>
      <w:r w:rsidRPr="00B818D9">
        <w:rPr>
          <w:b/>
          <w:bCs/>
        </w:rPr>
        <w:t>Socio-demographic characteristics</w:t>
      </w:r>
    </w:p>
    <w:p w14:paraId="0FD5C621" w14:textId="77777777" w:rsidR="003E5DCD" w:rsidRPr="00B818D9" w:rsidRDefault="003E5DCD" w:rsidP="00B818D9">
      <w:pPr>
        <w:pStyle w:val="NormalWeb"/>
        <w:spacing w:line="360" w:lineRule="auto"/>
        <w:jc w:val="both"/>
      </w:pPr>
      <w:r w:rsidRPr="00B818D9">
        <w:t>Table I below presents the socio-demographic characteristics of the study participants, divided between the cities of Brazzaville and Pointe-Noire. The majority of participants were aged between 18 and 24. The majority of participants' parents were married (53.03%). Cohabitation was also fairly common (30.81%), while parents were less likely to be single (16.16%). The majority of families had between 2 and 5 children (63.2%). The range of the number of children in the siblings most represented is that of [3 to 6[ with a percentage of 59.09%. This simply means that the majority of girls surveyed lived in families with 3, 4 or 5 children. This first part was the subject of an article [6].</w:t>
      </w:r>
    </w:p>
    <w:p w14:paraId="4DB15A99" w14:textId="77777777" w:rsidR="00194DAB" w:rsidRDefault="00194DAB" w:rsidP="00B818D9">
      <w:pPr>
        <w:pStyle w:val="NormalWeb"/>
        <w:spacing w:line="360" w:lineRule="auto"/>
        <w:jc w:val="both"/>
        <w:rPr>
          <w:b/>
          <w:bCs/>
        </w:rPr>
      </w:pPr>
    </w:p>
    <w:p w14:paraId="5C97330F" w14:textId="77777777" w:rsidR="00194DAB" w:rsidRDefault="00194DAB" w:rsidP="00B818D9">
      <w:pPr>
        <w:pStyle w:val="NormalWeb"/>
        <w:spacing w:line="360" w:lineRule="auto"/>
        <w:jc w:val="both"/>
        <w:rPr>
          <w:b/>
          <w:bCs/>
        </w:rPr>
      </w:pPr>
    </w:p>
    <w:p w14:paraId="113FDF2C" w14:textId="77777777" w:rsidR="00194DAB" w:rsidRDefault="00194DAB" w:rsidP="00B818D9">
      <w:pPr>
        <w:pStyle w:val="NormalWeb"/>
        <w:spacing w:line="360" w:lineRule="auto"/>
        <w:jc w:val="both"/>
        <w:rPr>
          <w:b/>
          <w:bCs/>
        </w:rPr>
      </w:pPr>
    </w:p>
    <w:p w14:paraId="65926DEE" w14:textId="77777777" w:rsidR="00194DAB" w:rsidRDefault="00194DAB" w:rsidP="00B818D9">
      <w:pPr>
        <w:pStyle w:val="NormalWeb"/>
        <w:spacing w:line="360" w:lineRule="auto"/>
        <w:jc w:val="both"/>
        <w:rPr>
          <w:b/>
          <w:bCs/>
        </w:rPr>
      </w:pPr>
    </w:p>
    <w:tbl>
      <w:tblPr>
        <w:tblpPr w:leftFromText="141" w:rightFromText="141" w:vertAnchor="page" w:horzAnchor="margin" w:tblpY="1391"/>
        <w:tblW w:w="5000" w:type="pct"/>
        <w:tblBorders>
          <w:top w:val="single" w:sz="4" w:space="0" w:color="auto"/>
          <w:bottom w:val="single" w:sz="4" w:space="0" w:color="auto"/>
        </w:tblBorders>
        <w:tblLook w:val="04A0" w:firstRow="1" w:lastRow="0" w:firstColumn="1" w:lastColumn="0" w:noHBand="0" w:noVBand="1"/>
      </w:tblPr>
      <w:tblGrid>
        <w:gridCol w:w="366"/>
        <w:gridCol w:w="3444"/>
        <w:gridCol w:w="2152"/>
        <w:gridCol w:w="1510"/>
        <w:gridCol w:w="1600"/>
      </w:tblGrid>
      <w:tr w:rsidR="00D55F0D" w:rsidRPr="00B818D9" w14:paraId="2CCE0C0C" w14:textId="77777777" w:rsidTr="00AF05B7">
        <w:trPr>
          <w:trHeight w:hRule="exact" w:val="465"/>
        </w:trPr>
        <w:tc>
          <w:tcPr>
            <w:tcW w:w="202" w:type="pct"/>
            <w:vMerge w:val="restart"/>
            <w:tcBorders>
              <w:top w:val="single" w:sz="4" w:space="0" w:color="auto"/>
              <w:left w:val="nil"/>
              <w:bottom w:val="single" w:sz="4" w:space="0" w:color="auto"/>
              <w:right w:val="nil"/>
            </w:tcBorders>
          </w:tcPr>
          <w:p w14:paraId="47F5E03F" w14:textId="77777777" w:rsidR="00D55F0D" w:rsidRPr="00B818D9" w:rsidRDefault="00D55F0D" w:rsidP="00D55F0D">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p>
        </w:tc>
        <w:tc>
          <w:tcPr>
            <w:tcW w:w="1898" w:type="pct"/>
            <w:vMerge w:val="restart"/>
            <w:tcBorders>
              <w:top w:val="single" w:sz="4" w:space="0" w:color="auto"/>
              <w:left w:val="nil"/>
              <w:bottom w:val="single" w:sz="4" w:space="0" w:color="auto"/>
              <w:right w:val="nil"/>
            </w:tcBorders>
            <w:vAlign w:val="center"/>
            <w:hideMark/>
          </w:tcPr>
          <w:p w14:paraId="3EA89DB0" w14:textId="77777777" w:rsidR="00D55F0D" w:rsidRPr="00B818D9" w:rsidRDefault="00D55F0D" w:rsidP="00D55F0D">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Times New Roman" w:hAnsi="Times New Roman" w:cs="Times New Roman"/>
                <w:b/>
                <w:bCs/>
                <w:noProof w:val="0"/>
                <w:color w:val="000000"/>
                <w:kern w:val="2"/>
                <w:sz w:val="24"/>
                <w:szCs w:val="24"/>
                <w:lang w:eastAsia="fr-FR"/>
                <w14:ligatures w14:val="standardContextual"/>
              </w:rPr>
              <w:t>Features</w:t>
            </w:r>
          </w:p>
        </w:tc>
        <w:tc>
          <w:tcPr>
            <w:tcW w:w="1186" w:type="pct"/>
            <w:tcBorders>
              <w:top w:val="single" w:sz="4" w:space="0" w:color="auto"/>
              <w:left w:val="nil"/>
              <w:bottom w:val="single" w:sz="4" w:space="0" w:color="auto"/>
              <w:right w:val="nil"/>
            </w:tcBorders>
            <w:vAlign w:val="center"/>
          </w:tcPr>
          <w:p w14:paraId="65B649BE"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r w:rsidRPr="00B818D9">
              <w:rPr>
                <w:rFonts w:ascii="Times New Roman" w:eastAsia="Times New Roman" w:hAnsi="Times New Roman" w:cs="Times New Roman"/>
                <w:b/>
                <w:noProof w:val="0"/>
                <w:color w:val="000000"/>
                <w:kern w:val="2"/>
                <w:sz w:val="24"/>
                <w:szCs w:val="24"/>
                <w:lang w:eastAsia="fr-FR"/>
                <w14:ligatures w14:val="standardContextual"/>
              </w:rPr>
              <w:t>Population (N=198)</w:t>
            </w:r>
          </w:p>
          <w:p w14:paraId="1D37F1F1"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
          <w:p w14:paraId="06495DF5"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
          <w:p w14:paraId="47A62458"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r w:rsidRPr="00B818D9">
              <w:rPr>
                <w:rFonts w:ascii="Times New Roman" w:eastAsia="Times New Roman" w:hAnsi="Times New Roman" w:cs="Times New Roman"/>
                <w:b/>
                <w:noProof w:val="0"/>
                <w:color w:val="000000"/>
                <w:kern w:val="2"/>
                <w:sz w:val="24"/>
                <w:szCs w:val="24"/>
                <w:lang w:eastAsia="fr-FR"/>
                <w14:ligatures w14:val="standardContextual"/>
              </w:rPr>
              <w:t>enquêtée</w:t>
            </w:r>
          </w:p>
          <w:p w14:paraId="4BCD217B"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r w:rsidRPr="00B818D9">
              <w:rPr>
                <w:rFonts w:ascii="Times New Roman" w:eastAsia="Times New Roman" w:hAnsi="Times New Roman" w:cs="Times New Roman"/>
                <w:b/>
                <w:noProof w:val="0"/>
                <w:color w:val="000000"/>
                <w:kern w:val="2"/>
                <w:sz w:val="24"/>
                <w:szCs w:val="24"/>
                <w:lang w:eastAsia="fr-FR"/>
                <w14:ligatures w14:val="standardContextual"/>
              </w:rPr>
              <w:t>N=360</w:t>
            </w:r>
          </w:p>
        </w:tc>
        <w:tc>
          <w:tcPr>
            <w:tcW w:w="1714" w:type="pct"/>
            <w:gridSpan w:val="2"/>
            <w:tcBorders>
              <w:top w:val="single" w:sz="4" w:space="0" w:color="auto"/>
              <w:left w:val="nil"/>
              <w:bottom w:val="single" w:sz="4" w:space="0" w:color="auto"/>
              <w:right w:val="nil"/>
            </w:tcBorders>
            <w:vAlign w:val="center"/>
            <w:hideMark/>
          </w:tcPr>
          <w:p w14:paraId="178A3989"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r w:rsidRPr="00B818D9">
              <w:rPr>
                <w:rFonts w:ascii="Times New Roman" w:eastAsia="Times New Roman" w:hAnsi="Times New Roman" w:cs="Times New Roman"/>
                <w:b/>
                <w:noProof w:val="0"/>
                <w:color w:val="000000"/>
                <w:kern w:val="2"/>
                <w:sz w:val="24"/>
                <w:szCs w:val="24"/>
                <w:lang w:eastAsia="fr-FR"/>
                <w14:ligatures w14:val="standardContextual"/>
              </w:rPr>
              <w:t>Proportions (%)</w:t>
            </w:r>
          </w:p>
        </w:tc>
      </w:tr>
      <w:tr w:rsidR="00D55F0D" w:rsidRPr="00B818D9" w14:paraId="42F027B4" w14:textId="77777777" w:rsidTr="00AF05B7">
        <w:trPr>
          <w:trHeight w:hRule="exact" w:val="429"/>
        </w:trPr>
        <w:tc>
          <w:tcPr>
            <w:tcW w:w="202" w:type="pct"/>
            <w:vMerge/>
            <w:tcBorders>
              <w:top w:val="nil"/>
              <w:left w:val="nil"/>
              <w:bottom w:val="single" w:sz="4" w:space="0" w:color="auto"/>
              <w:right w:val="nil"/>
            </w:tcBorders>
            <w:vAlign w:val="center"/>
            <w:hideMark/>
          </w:tcPr>
          <w:p w14:paraId="77B0E293" w14:textId="77777777" w:rsidR="00D55F0D" w:rsidRPr="00B818D9" w:rsidRDefault="00D55F0D" w:rsidP="00D55F0D">
            <w:pPr>
              <w:spacing w:after="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p>
        </w:tc>
        <w:tc>
          <w:tcPr>
            <w:tcW w:w="1898" w:type="pct"/>
            <w:vMerge/>
            <w:tcBorders>
              <w:top w:val="nil"/>
              <w:left w:val="nil"/>
              <w:bottom w:val="single" w:sz="4" w:space="0" w:color="auto"/>
              <w:right w:val="nil"/>
            </w:tcBorders>
            <w:vAlign w:val="center"/>
            <w:hideMark/>
          </w:tcPr>
          <w:p w14:paraId="57F126C6" w14:textId="77777777" w:rsidR="00D55F0D" w:rsidRPr="00B818D9" w:rsidRDefault="00D55F0D" w:rsidP="00D55F0D">
            <w:pPr>
              <w:spacing w:after="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p>
        </w:tc>
        <w:tc>
          <w:tcPr>
            <w:tcW w:w="1186" w:type="pct"/>
            <w:tcBorders>
              <w:top w:val="single" w:sz="4" w:space="0" w:color="auto"/>
              <w:left w:val="nil"/>
              <w:bottom w:val="single" w:sz="4" w:space="0" w:color="auto"/>
              <w:right w:val="nil"/>
            </w:tcBorders>
            <w:vAlign w:val="center"/>
            <w:hideMark/>
          </w:tcPr>
          <w:p w14:paraId="5969600E"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r w:rsidRPr="00B818D9">
              <w:rPr>
                <w:rFonts w:ascii="Times New Roman" w:eastAsia="Times New Roman" w:hAnsi="Times New Roman" w:cs="Times New Roman"/>
                <w:b/>
                <w:noProof w:val="0"/>
                <w:color w:val="000000"/>
                <w:kern w:val="2"/>
                <w:sz w:val="24"/>
                <w:szCs w:val="24"/>
                <w:lang w:eastAsia="fr-FR"/>
                <w14:ligatures w14:val="standardContextual"/>
              </w:rPr>
              <w:t>N</w:t>
            </w:r>
          </w:p>
        </w:tc>
        <w:tc>
          <w:tcPr>
            <w:tcW w:w="832" w:type="pct"/>
            <w:tcBorders>
              <w:top w:val="single" w:sz="4" w:space="0" w:color="auto"/>
              <w:left w:val="nil"/>
              <w:bottom w:val="single" w:sz="4" w:space="0" w:color="auto"/>
              <w:right w:val="nil"/>
            </w:tcBorders>
            <w:vAlign w:val="center"/>
            <w:hideMark/>
          </w:tcPr>
          <w:p w14:paraId="3A96E908"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r w:rsidRPr="00B818D9">
              <w:rPr>
                <w:rFonts w:ascii="Times New Roman" w:eastAsia="Times New Roman" w:hAnsi="Times New Roman" w:cs="Times New Roman"/>
                <w:b/>
                <w:noProof w:val="0"/>
                <w:color w:val="000000"/>
                <w:kern w:val="2"/>
                <w:sz w:val="24"/>
                <w:szCs w:val="24"/>
                <w:lang w:eastAsia="fr-FR"/>
                <w14:ligatures w14:val="standardContextual"/>
              </w:rPr>
              <w:t xml:space="preserve">         %</w:t>
            </w:r>
          </w:p>
        </w:tc>
        <w:tc>
          <w:tcPr>
            <w:tcW w:w="882" w:type="pct"/>
            <w:tcBorders>
              <w:top w:val="single" w:sz="4" w:space="0" w:color="auto"/>
              <w:left w:val="nil"/>
              <w:bottom w:val="single" w:sz="4" w:space="0" w:color="auto"/>
              <w:right w:val="nil"/>
            </w:tcBorders>
            <w:hideMark/>
          </w:tcPr>
          <w:p w14:paraId="4A76999E"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r w:rsidRPr="00B818D9">
              <w:rPr>
                <w:rFonts w:ascii="Times New Roman" w:eastAsia="Times New Roman" w:hAnsi="Times New Roman" w:cs="Times New Roman"/>
                <w:b/>
                <w:noProof w:val="0"/>
                <w:color w:val="000000"/>
                <w:kern w:val="2"/>
                <w:sz w:val="24"/>
                <w:szCs w:val="24"/>
                <w:lang w:eastAsia="fr-FR"/>
                <w14:ligatures w14:val="standardContextual"/>
              </w:rPr>
              <w:t>95% IC</w:t>
            </w:r>
          </w:p>
        </w:tc>
      </w:tr>
      <w:tr w:rsidR="00D55F0D" w:rsidRPr="00B818D9" w14:paraId="1DF6E22A" w14:textId="77777777" w:rsidTr="00AF05B7">
        <w:trPr>
          <w:trHeight w:hRule="exact" w:val="570"/>
        </w:trPr>
        <w:tc>
          <w:tcPr>
            <w:tcW w:w="2100" w:type="pct"/>
            <w:gridSpan w:val="2"/>
            <w:tcBorders>
              <w:top w:val="single" w:sz="4" w:space="0" w:color="auto"/>
              <w:left w:val="nil"/>
              <w:bottom w:val="nil"/>
              <w:right w:val="nil"/>
            </w:tcBorders>
            <w:hideMark/>
          </w:tcPr>
          <w:p w14:paraId="122FEE0C"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r w:rsidRPr="00B818D9">
              <w:rPr>
                <w:rFonts w:ascii="Times New Roman" w:eastAsia="Times New Roman" w:hAnsi="Times New Roman" w:cs="Times New Roman"/>
                <w:noProof w:val="0"/>
                <w:color w:val="000000"/>
                <w:kern w:val="2"/>
                <w:sz w:val="24"/>
                <w:szCs w:val="24"/>
                <w:lang w:eastAsia="fr-FR"/>
                <w14:ligatures w14:val="standardContextual"/>
              </w:rPr>
              <w:t>Age, extreme (min, max) in years</w:t>
            </w:r>
          </w:p>
        </w:tc>
        <w:tc>
          <w:tcPr>
            <w:tcW w:w="1186" w:type="pct"/>
            <w:tcBorders>
              <w:top w:val="single" w:sz="4" w:space="0" w:color="auto"/>
              <w:left w:val="nil"/>
              <w:bottom w:val="nil"/>
              <w:right w:val="nil"/>
            </w:tcBorders>
            <w:vAlign w:val="center"/>
          </w:tcPr>
          <w:p w14:paraId="53CC0B0A"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r w:rsidRPr="00B818D9">
              <w:rPr>
                <w:rFonts w:ascii="Times New Roman" w:eastAsia="Times New Roman" w:hAnsi="Times New Roman" w:cs="Times New Roman"/>
                <w:noProof w:val="0"/>
                <w:color w:val="000000"/>
                <w:kern w:val="2"/>
                <w:sz w:val="24"/>
                <w:szCs w:val="24"/>
                <w:lang w:eastAsia="fr-FR"/>
                <w14:ligatures w14:val="standardContextual"/>
              </w:rPr>
              <w:t>15 ; 24</w:t>
            </w:r>
          </w:p>
        </w:tc>
        <w:tc>
          <w:tcPr>
            <w:tcW w:w="832" w:type="pct"/>
            <w:tcBorders>
              <w:top w:val="single" w:sz="4" w:space="0" w:color="auto"/>
              <w:left w:val="nil"/>
              <w:bottom w:val="nil"/>
              <w:right w:val="nil"/>
            </w:tcBorders>
            <w:vAlign w:val="center"/>
          </w:tcPr>
          <w:p w14:paraId="55D05FD0"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
        </w:tc>
        <w:tc>
          <w:tcPr>
            <w:tcW w:w="882" w:type="pct"/>
            <w:tcBorders>
              <w:top w:val="single" w:sz="4" w:space="0" w:color="auto"/>
              <w:left w:val="nil"/>
              <w:bottom w:val="nil"/>
              <w:right w:val="nil"/>
            </w:tcBorders>
            <w:vAlign w:val="center"/>
          </w:tcPr>
          <w:p w14:paraId="35F89EF5"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
        </w:tc>
      </w:tr>
      <w:tr w:rsidR="00D55F0D" w:rsidRPr="00B818D9" w14:paraId="08D4F8CD" w14:textId="77777777" w:rsidTr="00AF05B7">
        <w:trPr>
          <w:trHeight w:hRule="exact" w:val="451"/>
        </w:trPr>
        <w:tc>
          <w:tcPr>
            <w:tcW w:w="2100" w:type="pct"/>
            <w:gridSpan w:val="2"/>
            <w:tcBorders>
              <w:top w:val="nil"/>
              <w:left w:val="nil"/>
              <w:bottom w:val="nil"/>
              <w:right w:val="nil"/>
            </w:tcBorders>
            <w:hideMark/>
          </w:tcPr>
          <w:p w14:paraId="234F31D6"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r w:rsidRPr="00B818D9">
              <w:rPr>
                <w:rFonts w:ascii="Times New Roman" w:eastAsia="Times New Roman" w:hAnsi="Times New Roman" w:cs="Times New Roman"/>
                <w:noProof w:val="0"/>
                <w:color w:val="000000"/>
                <w:kern w:val="2"/>
                <w:sz w:val="24"/>
                <w:szCs w:val="24"/>
                <w:lang w:eastAsia="fr-FR"/>
                <w14:ligatures w14:val="standardContextual"/>
              </w:rPr>
              <w:t>Age, Mean (standard deviation)</w:t>
            </w:r>
          </w:p>
        </w:tc>
        <w:tc>
          <w:tcPr>
            <w:tcW w:w="1186" w:type="pct"/>
            <w:tcBorders>
              <w:top w:val="nil"/>
              <w:left w:val="nil"/>
              <w:bottom w:val="nil"/>
              <w:right w:val="nil"/>
            </w:tcBorders>
            <w:vAlign w:val="center"/>
          </w:tcPr>
          <w:p w14:paraId="3037AAA5"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r w:rsidRPr="00B818D9">
              <w:rPr>
                <w:rFonts w:ascii="Times New Roman" w:eastAsia="Times New Roman" w:hAnsi="Times New Roman" w:cs="Times New Roman"/>
                <w:noProof w:val="0"/>
                <w:color w:val="000000"/>
                <w:kern w:val="2"/>
                <w:sz w:val="24"/>
                <w:szCs w:val="24"/>
                <w:lang w:eastAsia="fr-FR"/>
                <w14:ligatures w14:val="standardContextual"/>
              </w:rPr>
              <w:t>19 (+/-1,87)</w:t>
            </w:r>
          </w:p>
        </w:tc>
        <w:tc>
          <w:tcPr>
            <w:tcW w:w="832" w:type="pct"/>
            <w:tcBorders>
              <w:top w:val="nil"/>
              <w:left w:val="nil"/>
              <w:bottom w:val="nil"/>
              <w:right w:val="nil"/>
            </w:tcBorders>
            <w:vAlign w:val="center"/>
          </w:tcPr>
          <w:p w14:paraId="629A55DB"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
        </w:tc>
        <w:tc>
          <w:tcPr>
            <w:tcW w:w="882" w:type="pct"/>
            <w:tcBorders>
              <w:top w:val="nil"/>
              <w:left w:val="nil"/>
              <w:bottom w:val="nil"/>
              <w:right w:val="nil"/>
            </w:tcBorders>
            <w:vAlign w:val="center"/>
          </w:tcPr>
          <w:p w14:paraId="55DC8B33"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
        </w:tc>
      </w:tr>
      <w:tr w:rsidR="00D55F0D" w:rsidRPr="00B818D9" w14:paraId="48219BBC" w14:textId="77777777" w:rsidTr="00AF05B7">
        <w:trPr>
          <w:trHeight w:hRule="exact" w:val="504"/>
        </w:trPr>
        <w:tc>
          <w:tcPr>
            <w:tcW w:w="2100" w:type="pct"/>
            <w:gridSpan w:val="2"/>
            <w:tcBorders>
              <w:top w:val="nil"/>
              <w:left w:val="nil"/>
              <w:bottom w:val="nil"/>
              <w:right w:val="nil"/>
            </w:tcBorders>
            <w:hideMark/>
          </w:tcPr>
          <w:p w14:paraId="6D5978B5" w14:textId="77777777" w:rsidR="00D55F0D" w:rsidRPr="00B818D9" w:rsidRDefault="00D55F0D" w:rsidP="00D55F0D">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Times New Roman" w:hAnsi="Times New Roman" w:cs="Times New Roman"/>
                <w:b/>
                <w:bCs/>
                <w:noProof w:val="0"/>
                <w:color w:val="000000"/>
                <w:kern w:val="2"/>
                <w:sz w:val="24"/>
                <w:szCs w:val="24"/>
                <w:lang w:eastAsia="fr-FR"/>
                <w14:ligatures w14:val="standardContextual"/>
              </w:rPr>
              <w:t>Median age (q1 ; q3)</w:t>
            </w:r>
          </w:p>
        </w:tc>
        <w:tc>
          <w:tcPr>
            <w:tcW w:w="1186" w:type="pct"/>
            <w:tcBorders>
              <w:top w:val="nil"/>
              <w:left w:val="nil"/>
              <w:bottom w:val="nil"/>
              <w:right w:val="nil"/>
            </w:tcBorders>
            <w:vAlign w:val="center"/>
          </w:tcPr>
          <w:p w14:paraId="1C78A65A"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r w:rsidRPr="00B818D9">
              <w:rPr>
                <w:rFonts w:ascii="Times New Roman" w:eastAsia="Times New Roman" w:hAnsi="Times New Roman" w:cs="Times New Roman"/>
                <w:noProof w:val="0"/>
                <w:color w:val="000000"/>
                <w:kern w:val="2"/>
                <w:sz w:val="24"/>
                <w:szCs w:val="24"/>
                <w:lang w:eastAsia="fr-FR"/>
                <w14:ligatures w14:val="standardContextual"/>
              </w:rPr>
              <w:t>19(18 ; 20)</w:t>
            </w:r>
          </w:p>
        </w:tc>
        <w:tc>
          <w:tcPr>
            <w:tcW w:w="832" w:type="pct"/>
            <w:tcBorders>
              <w:top w:val="nil"/>
              <w:left w:val="nil"/>
              <w:bottom w:val="nil"/>
              <w:right w:val="nil"/>
            </w:tcBorders>
            <w:vAlign w:val="center"/>
          </w:tcPr>
          <w:p w14:paraId="5B928211"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
        </w:tc>
        <w:tc>
          <w:tcPr>
            <w:tcW w:w="882" w:type="pct"/>
            <w:tcBorders>
              <w:top w:val="nil"/>
              <w:left w:val="nil"/>
              <w:bottom w:val="nil"/>
              <w:right w:val="nil"/>
            </w:tcBorders>
            <w:vAlign w:val="center"/>
          </w:tcPr>
          <w:p w14:paraId="1E94A8EF"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
        </w:tc>
      </w:tr>
      <w:tr w:rsidR="00D55F0D" w:rsidRPr="00B818D9" w14:paraId="73133B04" w14:textId="77777777" w:rsidTr="00AF05B7">
        <w:trPr>
          <w:trHeight w:hRule="exact" w:val="361"/>
        </w:trPr>
        <w:tc>
          <w:tcPr>
            <w:tcW w:w="2100" w:type="pct"/>
            <w:gridSpan w:val="2"/>
            <w:tcBorders>
              <w:top w:val="nil"/>
              <w:left w:val="nil"/>
              <w:bottom w:val="nil"/>
              <w:right w:val="nil"/>
            </w:tcBorders>
            <w:hideMark/>
          </w:tcPr>
          <w:p w14:paraId="4C605D01" w14:textId="77777777" w:rsidR="00D55F0D" w:rsidRPr="00B818D9" w:rsidRDefault="00D55F0D" w:rsidP="00D55F0D">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Times New Roman" w:hAnsi="Times New Roman" w:cs="Times New Roman"/>
                <w:b/>
                <w:bCs/>
                <w:noProof w:val="0"/>
                <w:color w:val="000000"/>
                <w:kern w:val="2"/>
                <w:sz w:val="24"/>
                <w:szCs w:val="24"/>
                <w:lang w:eastAsia="fr-FR"/>
                <w14:ligatures w14:val="standardContextual"/>
              </w:rPr>
              <w:t>Age groups (classes)</w:t>
            </w:r>
          </w:p>
        </w:tc>
        <w:tc>
          <w:tcPr>
            <w:tcW w:w="1186" w:type="pct"/>
            <w:tcBorders>
              <w:top w:val="nil"/>
              <w:left w:val="nil"/>
              <w:bottom w:val="nil"/>
              <w:right w:val="nil"/>
            </w:tcBorders>
            <w:vAlign w:val="center"/>
          </w:tcPr>
          <w:p w14:paraId="27DCC3CF"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p>
        </w:tc>
        <w:tc>
          <w:tcPr>
            <w:tcW w:w="832" w:type="pct"/>
            <w:tcBorders>
              <w:top w:val="nil"/>
              <w:left w:val="nil"/>
              <w:bottom w:val="nil"/>
              <w:right w:val="nil"/>
            </w:tcBorders>
            <w:vAlign w:val="center"/>
          </w:tcPr>
          <w:p w14:paraId="5B50AADF"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
        </w:tc>
        <w:tc>
          <w:tcPr>
            <w:tcW w:w="882" w:type="pct"/>
            <w:tcBorders>
              <w:top w:val="nil"/>
              <w:left w:val="nil"/>
              <w:bottom w:val="nil"/>
              <w:right w:val="nil"/>
            </w:tcBorders>
            <w:vAlign w:val="center"/>
          </w:tcPr>
          <w:p w14:paraId="40B82293" w14:textId="77777777" w:rsidR="00D55F0D" w:rsidRPr="00B818D9" w:rsidRDefault="00D55F0D" w:rsidP="00D55F0D">
            <w:pPr>
              <w:spacing w:after="200" w:line="360" w:lineRule="auto"/>
              <w:jc w:val="both"/>
              <w:rPr>
                <w:rFonts w:ascii="Times New Roman" w:eastAsia="Times New Roman" w:hAnsi="Times New Roman" w:cs="Times New Roman"/>
                <w:b/>
                <w:noProof w:val="0"/>
                <w:color w:val="000000"/>
                <w:kern w:val="2"/>
                <w:sz w:val="24"/>
                <w:szCs w:val="24"/>
                <w:lang w:eastAsia="fr-FR"/>
                <w14:ligatures w14:val="standardContextual"/>
              </w:rPr>
            </w:pPr>
          </w:p>
        </w:tc>
      </w:tr>
      <w:tr w:rsidR="00D55F0D" w:rsidRPr="00B818D9" w14:paraId="4F26946B" w14:textId="77777777" w:rsidTr="00AF05B7">
        <w:trPr>
          <w:trHeight w:hRule="exact" w:val="432"/>
        </w:trPr>
        <w:tc>
          <w:tcPr>
            <w:tcW w:w="202" w:type="pct"/>
            <w:tcBorders>
              <w:top w:val="nil"/>
              <w:left w:val="nil"/>
              <w:bottom w:val="nil"/>
              <w:right w:val="nil"/>
            </w:tcBorders>
          </w:tcPr>
          <w:p w14:paraId="43CBEB95" w14:textId="77777777" w:rsidR="00D55F0D" w:rsidRPr="00B818D9" w:rsidRDefault="00D55F0D" w:rsidP="00D55F0D">
            <w:pPr>
              <w:spacing w:after="200" w:line="360" w:lineRule="auto"/>
              <w:jc w:val="both"/>
              <w:rPr>
                <w:rFonts w:ascii="Times New Roman" w:eastAsia="Calibri" w:hAnsi="Times New Roman" w:cs="Times New Roman"/>
                <w:noProof w:val="0"/>
                <w:color w:val="000000"/>
                <w:kern w:val="2"/>
                <w:sz w:val="24"/>
                <w:szCs w:val="24"/>
                <w14:ligatures w14:val="standardContextual"/>
              </w:rPr>
            </w:pPr>
          </w:p>
        </w:tc>
        <w:tc>
          <w:tcPr>
            <w:tcW w:w="1898" w:type="pct"/>
            <w:tcBorders>
              <w:top w:val="nil"/>
              <w:left w:val="nil"/>
              <w:bottom w:val="nil"/>
              <w:right w:val="nil"/>
            </w:tcBorders>
            <w:hideMark/>
          </w:tcPr>
          <w:p w14:paraId="011998F6"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Under 18s</w:t>
            </w:r>
          </w:p>
        </w:tc>
        <w:tc>
          <w:tcPr>
            <w:tcW w:w="1186" w:type="pct"/>
            <w:tcBorders>
              <w:top w:val="nil"/>
              <w:left w:val="nil"/>
              <w:bottom w:val="nil"/>
              <w:right w:val="nil"/>
            </w:tcBorders>
            <w:vAlign w:val="center"/>
          </w:tcPr>
          <w:p w14:paraId="4E0DC313"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35</w:t>
            </w:r>
          </w:p>
        </w:tc>
        <w:tc>
          <w:tcPr>
            <w:tcW w:w="832" w:type="pct"/>
            <w:tcBorders>
              <w:top w:val="nil"/>
              <w:left w:val="nil"/>
              <w:bottom w:val="nil"/>
              <w:right w:val="nil"/>
            </w:tcBorders>
            <w:vAlign w:val="center"/>
          </w:tcPr>
          <w:p w14:paraId="0101821B"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17,68</w:t>
            </w:r>
          </w:p>
        </w:tc>
        <w:tc>
          <w:tcPr>
            <w:tcW w:w="882" w:type="pct"/>
            <w:tcBorders>
              <w:top w:val="nil"/>
              <w:left w:val="nil"/>
              <w:bottom w:val="nil"/>
              <w:right w:val="nil"/>
            </w:tcBorders>
            <w:vAlign w:val="center"/>
          </w:tcPr>
          <w:p w14:paraId="31E8E85A"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12,63 - 23,72</w:t>
            </w:r>
          </w:p>
        </w:tc>
      </w:tr>
      <w:tr w:rsidR="00D55F0D" w:rsidRPr="00B818D9" w14:paraId="55450898" w14:textId="77777777" w:rsidTr="00AF05B7">
        <w:trPr>
          <w:trHeight w:hRule="exact" w:val="418"/>
        </w:trPr>
        <w:tc>
          <w:tcPr>
            <w:tcW w:w="202" w:type="pct"/>
            <w:tcBorders>
              <w:top w:val="nil"/>
              <w:left w:val="nil"/>
              <w:bottom w:val="nil"/>
              <w:right w:val="nil"/>
            </w:tcBorders>
          </w:tcPr>
          <w:p w14:paraId="1618BC68" w14:textId="77777777" w:rsidR="00D55F0D" w:rsidRPr="00B818D9" w:rsidRDefault="00D55F0D" w:rsidP="00D55F0D">
            <w:pPr>
              <w:spacing w:after="200" w:line="360" w:lineRule="auto"/>
              <w:jc w:val="both"/>
              <w:rPr>
                <w:rFonts w:ascii="Times New Roman" w:eastAsia="Calibri" w:hAnsi="Times New Roman" w:cs="Times New Roman"/>
                <w:noProof w:val="0"/>
                <w:color w:val="000000"/>
                <w:kern w:val="2"/>
                <w:sz w:val="24"/>
                <w:szCs w:val="24"/>
                <w14:ligatures w14:val="standardContextual"/>
              </w:rPr>
            </w:pPr>
          </w:p>
        </w:tc>
        <w:tc>
          <w:tcPr>
            <w:tcW w:w="1898" w:type="pct"/>
            <w:tcBorders>
              <w:top w:val="nil"/>
              <w:left w:val="nil"/>
              <w:bottom w:val="nil"/>
              <w:right w:val="nil"/>
            </w:tcBorders>
          </w:tcPr>
          <w:p w14:paraId="4E009063"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18 years and over</w:t>
            </w:r>
          </w:p>
        </w:tc>
        <w:tc>
          <w:tcPr>
            <w:tcW w:w="1186" w:type="pct"/>
            <w:tcBorders>
              <w:top w:val="nil"/>
              <w:left w:val="nil"/>
              <w:bottom w:val="nil"/>
              <w:right w:val="nil"/>
            </w:tcBorders>
            <w:vAlign w:val="center"/>
          </w:tcPr>
          <w:p w14:paraId="06AFFF0F"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163</w:t>
            </w:r>
          </w:p>
        </w:tc>
        <w:tc>
          <w:tcPr>
            <w:tcW w:w="832" w:type="pct"/>
            <w:tcBorders>
              <w:top w:val="nil"/>
              <w:left w:val="nil"/>
              <w:bottom w:val="nil"/>
              <w:right w:val="nil"/>
            </w:tcBorders>
            <w:vAlign w:val="center"/>
          </w:tcPr>
          <w:p w14:paraId="28D894CE"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82,32</w:t>
            </w:r>
          </w:p>
        </w:tc>
        <w:tc>
          <w:tcPr>
            <w:tcW w:w="882" w:type="pct"/>
            <w:tcBorders>
              <w:top w:val="nil"/>
              <w:left w:val="nil"/>
              <w:bottom w:val="nil"/>
              <w:right w:val="nil"/>
            </w:tcBorders>
            <w:vAlign w:val="center"/>
          </w:tcPr>
          <w:p w14:paraId="17D158B6"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76,28 - 87,37</w:t>
            </w:r>
          </w:p>
        </w:tc>
      </w:tr>
      <w:tr w:rsidR="00D55F0D" w:rsidRPr="00B818D9" w14:paraId="0F8D7B01" w14:textId="77777777" w:rsidTr="00AF05B7">
        <w:trPr>
          <w:trHeight w:hRule="exact" w:val="443"/>
        </w:trPr>
        <w:tc>
          <w:tcPr>
            <w:tcW w:w="2100" w:type="pct"/>
            <w:gridSpan w:val="2"/>
            <w:tcBorders>
              <w:top w:val="nil"/>
              <w:left w:val="nil"/>
              <w:bottom w:val="nil"/>
              <w:right w:val="nil"/>
            </w:tcBorders>
            <w:hideMark/>
          </w:tcPr>
          <w:p w14:paraId="54679E30" w14:textId="77777777" w:rsidR="00D55F0D" w:rsidRPr="00B818D9" w:rsidRDefault="00D55F0D" w:rsidP="00D55F0D">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Times New Roman" w:hAnsi="Times New Roman" w:cs="Times New Roman"/>
                <w:b/>
                <w:bCs/>
                <w:noProof w:val="0"/>
                <w:color w:val="000000"/>
                <w:kern w:val="2"/>
                <w:sz w:val="24"/>
                <w:szCs w:val="24"/>
                <w:lang w:eastAsia="fr-FR"/>
                <w14:ligatures w14:val="standardContextual"/>
              </w:rPr>
              <w:t>Parents’marital status</w:t>
            </w:r>
          </w:p>
        </w:tc>
        <w:tc>
          <w:tcPr>
            <w:tcW w:w="1186" w:type="pct"/>
            <w:tcBorders>
              <w:top w:val="nil"/>
              <w:left w:val="nil"/>
              <w:bottom w:val="nil"/>
              <w:right w:val="nil"/>
            </w:tcBorders>
            <w:vAlign w:val="center"/>
          </w:tcPr>
          <w:p w14:paraId="262C71A7"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p>
        </w:tc>
        <w:tc>
          <w:tcPr>
            <w:tcW w:w="832" w:type="pct"/>
            <w:tcBorders>
              <w:top w:val="nil"/>
              <w:left w:val="nil"/>
              <w:bottom w:val="nil"/>
              <w:right w:val="nil"/>
            </w:tcBorders>
            <w:vAlign w:val="center"/>
          </w:tcPr>
          <w:p w14:paraId="1210E1D2"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p>
        </w:tc>
        <w:tc>
          <w:tcPr>
            <w:tcW w:w="882" w:type="pct"/>
            <w:tcBorders>
              <w:top w:val="nil"/>
              <w:left w:val="nil"/>
              <w:bottom w:val="nil"/>
              <w:right w:val="nil"/>
            </w:tcBorders>
            <w:vAlign w:val="center"/>
          </w:tcPr>
          <w:p w14:paraId="2CB3FA13"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p>
        </w:tc>
      </w:tr>
      <w:tr w:rsidR="00D55F0D" w:rsidRPr="00B818D9" w14:paraId="0AABCAB9" w14:textId="77777777" w:rsidTr="00AF05B7">
        <w:trPr>
          <w:trHeight w:hRule="exact" w:val="426"/>
        </w:trPr>
        <w:tc>
          <w:tcPr>
            <w:tcW w:w="202" w:type="pct"/>
            <w:tcBorders>
              <w:top w:val="nil"/>
              <w:left w:val="nil"/>
              <w:bottom w:val="nil"/>
              <w:right w:val="nil"/>
            </w:tcBorders>
          </w:tcPr>
          <w:p w14:paraId="41B48F82" w14:textId="77777777" w:rsidR="00D55F0D" w:rsidRPr="00B818D9" w:rsidRDefault="00D55F0D" w:rsidP="00D55F0D">
            <w:pPr>
              <w:spacing w:after="200" w:line="360" w:lineRule="auto"/>
              <w:jc w:val="both"/>
              <w:rPr>
                <w:rFonts w:ascii="Times New Roman" w:eastAsia="Calibri" w:hAnsi="Times New Roman" w:cs="Times New Roman"/>
                <w:noProof w:val="0"/>
                <w:color w:val="000000"/>
                <w:kern w:val="2"/>
                <w:sz w:val="24"/>
                <w:szCs w:val="24"/>
                <w14:ligatures w14:val="standardContextual"/>
              </w:rPr>
            </w:pPr>
          </w:p>
        </w:tc>
        <w:tc>
          <w:tcPr>
            <w:tcW w:w="1898" w:type="pct"/>
            <w:tcBorders>
              <w:top w:val="nil"/>
              <w:left w:val="nil"/>
              <w:bottom w:val="nil"/>
              <w:right w:val="nil"/>
            </w:tcBorders>
            <w:vAlign w:val="center"/>
            <w:hideMark/>
          </w:tcPr>
          <w:p w14:paraId="46F24644" w14:textId="77777777" w:rsidR="00D55F0D" w:rsidRPr="00B818D9" w:rsidRDefault="00D55F0D" w:rsidP="00D55F0D">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Single</w:t>
            </w:r>
          </w:p>
        </w:tc>
        <w:tc>
          <w:tcPr>
            <w:tcW w:w="1186" w:type="pct"/>
            <w:tcBorders>
              <w:top w:val="nil"/>
              <w:left w:val="nil"/>
              <w:bottom w:val="nil"/>
              <w:right w:val="nil"/>
            </w:tcBorders>
            <w:vAlign w:val="center"/>
          </w:tcPr>
          <w:p w14:paraId="577E88F3"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32</w:t>
            </w:r>
          </w:p>
        </w:tc>
        <w:tc>
          <w:tcPr>
            <w:tcW w:w="832" w:type="pct"/>
            <w:tcBorders>
              <w:top w:val="nil"/>
              <w:left w:val="nil"/>
              <w:bottom w:val="nil"/>
              <w:right w:val="nil"/>
            </w:tcBorders>
            <w:vAlign w:val="center"/>
          </w:tcPr>
          <w:p w14:paraId="2C58C1D9"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16,16</w:t>
            </w:r>
          </w:p>
        </w:tc>
        <w:tc>
          <w:tcPr>
            <w:tcW w:w="882" w:type="pct"/>
            <w:tcBorders>
              <w:top w:val="nil"/>
              <w:left w:val="nil"/>
              <w:bottom w:val="nil"/>
              <w:right w:val="nil"/>
            </w:tcBorders>
            <w:vAlign w:val="center"/>
          </w:tcPr>
          <w:p w14:paraId="64116710"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11,32 - 22,04%</w:t>
            </w:r>
          </w:p>
        </w:tc>
      </w:tr>
      <w:tr w:rsidR="00D55F0D" w:rsidRPr="00B818D9" w14:paraId="37FEF4DE" w14:textId="77777777" w:rsidTr="00AF05B7">
        <w:trPr>
          <w:trHeight w:hRule="exact" w:val="412"/>
        </w:trPr>
        <w:tc>
          <w:tcPr>
            <w:tcW w:w="202" w:type="pct"/>
            <w:tcBorders>
              <w:top w:val="nil"/>
              <w:left w:val="nil"/>
              <w:bottom w:val="nil"/>
              <w:right w:val="nil"/>
            </w:tcBorders>
          </w:tcPr>
          <w:p w14:paraId="7B8CE2FC" w14:textId="77777777" w:rsidR="00D55F0D" w:rsidRPr="00B818D9" w:rsidRDefault="00D55F0D" w:rsidP="00D55F0D">
            <w:pPr>
              <w:spacing w:after="200" w:line="360" w:lineRule="auto"/>
              <w:jc w:val="both"/>
              <w:rPr>
                <w:rFonts w:ascii="Times New Roman" w:eastAsia="Calibri" w:hAnsi="Times New Roman" w:cs="Times New Roman"/>
                <w:noProof w:val="0"/>
                <w:color w:val="000000"/>
                <w:kern w:val="2"/>
                <w:sz w:val="24"/>
                <w:szCs w:val="24"/>
                <w14:ligatures w14:val="standardContextual"/>
              </w:rPr>
            </w:pPr>
          </w:p>
        </w:tc>
        <w:tc>
          <w:tcPr>
            <w:tcW w:w="1898" w:type="pct"/>
            <w:tcBorders>
              <w:top w:val="nil"/>
              <w:left w:val="nil"/>
              <w:bottom w:val="nil"/>
              <w:right w:val="nil"/>
            </w:tcBorders>
            <w:vAlign w:val="center"/>
            <w:hideMark/>
          </w:tcPr>
          <w:p w14:paraId="66ECDE32" w14:textId="77777777" w:rsidR="00D55F0D" w:rsidRPr="00B818D9" w:rsidRDefault="00D55F0D" w:rsidP="00D55F0D">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Cohabitation</w:t>
            </w:r>
          </w:p>
        </w:tc>
        <w:tc>
          <w:tcPr>
            <w:tcW w:w="1186" w:type="pct"/>
            <w:tcBorders>
              <w:top w:val="nil"/>
              <w:left w:val="nil"/>
              <w:bottom w:val="nil"/>
              <w:right w:val="nil"/>
            </w:tcBorders>
            <w:vAlign w:val="center"/>
          </w:tcPr>
          <w:p w14:paraId="28151FB9"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61</w:t>
            </w:r>
          </w:p>
        </w:tc>
        <w:tc>
          <w:tcPr>
            <w:tcW w:w="832" w:type="pct"/>
            <w:tcBorders>
              <w:top w:val="nil"/>
              <w:left w:val="nil"/>
              <w:bottom w:val="nil"/>
              <w:right w:val="nil"/>
            </w:tcBorders>
            <w:vAlign w:val="center"/>
          </w:tcPr>
          <w:p w14:paraId="4D6EC3D7"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30,81</w:t>
            </w:r>
          </w:p>
        </w:tc>
        <w:tc>
          <w:tcPr>
            <w:tcW w:w="882" w:type="pct"/>
            <w:tcBorders>
              <w:top w:val="nil"/>
              <w:left w:val="nil"/>
              <w:bottom w:val="nil"/>
              <w:right w:val="nil"/>
            </w:tcBorders>
            <w:vAlign w:val="center"/>
          </w:tcPr>
          <w:p w14:paraId="2D5BDB75"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24,46 - 37,74</w:t>
            </w:r>
          </w:p>
        </w:tc>
      </w:tr>
      <w:tr w:rsidR="00D55F0D" w:rsidRPr="00B818D9" w14:paraId="63576119" w14:textId="77777777" w:rsidTr="00AF05B7">
        <w:trPr>
          <w:trHeight w:hRule="exact" w:val="438"/>
        </w:trPr>
        <w:tc>
          <w:tcPr>
            <w:tcW w:w="202" w:type="pct"/>
            <w:tcBorders>
              <w:top w:val="nil"/>
              <w:left w:val="nil"/>
              <w:bottom w:val="nil"/>
              <w:right w:val="nil"/>
            </w:tcBorders>
          </w:tcPr>
          <w:p w14:paraId="4B04A890" w14:textId="77777777" w:rsidR="00D55F0D" w:rsidRPr="00B818D9" w:rsidRDefault="00D55F0D" w:rsidP="00D55F0D">
            <w:pPr>
              <w:spacing w:after="200" w:line="360" w:lineRule="auto"/>
              <w:jc w:val="both"/>
              <w:rPr>
                <w:rFonts w:ascii="Times New Roman" w:eastAsia="Calibri" w:hAnsi="Times New Roman" w:cs="Times New Roman"/>
                <w:noProof w:val="0"/>
                <w:color w:val="000000"/>
                <w:kern w:val="2"/>
                <w:sz w:val="24"/>
                <w:szCs w:val="24"/>
                <w14:ligatures w14:val="standardContextual"/>
              </w:rPr>
            </w:pPr>
          </w:p>
        </w:tc>
        <w:tc>
          <w:tcPr>
            <w:tcW w:w="1898" w:type="pct"/>
            <w:tcBorders>
              <w:top w:val="nil"/>
              <w:left w:val="nil"/>
              <w:bottom w:val="nil"/>
              <w:right w:val="nil"/>
            </w:tcBorders>
            <w:vAlign w:val="center"/>
            <w:hideMark/>
          </w:tcPr>
          <w:p w14:paraId="0CC373D5" w14:textId="77777777" w:rsidR="00D55F0D" w:rsidRPr="00B818D9" w:rsidRDefault="00D55F0D" w:rsidP="00D55F0D">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Married</w:t>
            </w:r>
          </w:p>
        </w:tc>
        <w:tc>
          <w:tcPr>
            <w:tcW w:w="1186" w:type="pct"/>
            <w:tcBorders>
              <w:top w:val="nil"/>
              <w:left w:val="nil"/>
              <w:bottom w:val="nil"/>
              <w:right w:val="nil"/>
            </w:tcBorders>
            <w:vAlign w:val="center"/>
          </w:tcPr>
          <w:p w14:paraId="413F6BD9"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105</w:t>
            </w:r>
          </w:p>
        </w:tc>
        <w:tc>
          <w:tcPr>
            <w:tcW w:w="832" w:type="pct"/>
            <w:tcBorders>
              <w:top w:val="nil"/>
              <w:left w:val="nil"/>
              <w:bottom w:val="nil"/>
              <w:right w:val="nil"/>
            </w:tcBorders>
            <w:vAlign w:val="center"/>
          </w:tcPr>
          <w:p w14:paraId="391949E3"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53,03</w:t>
            </w:r>
          </w:p>
        </w:tc>
        <w:tc>
          <w:tcPr>
            <w:tcW w:w="882" w:type="pct"/>
            <w:tcBorders>
              <w:top w:val="nil"/>
              <w:left w:val="nil"/>
              <w:bottom w:val="nil"/>
              <w:right w:val="nil"/>
            </w:tcBorders>
            <w:vAlign w:val="center"/>
          </w:tcPr>
          <w:p w14:paraId="1A344C14" w14:textId="77777777" w:rsidR="00D55F0D" w:rsidRPr="00B818D9" w:rsidRDefault="00D55F0D" w:rsidP="00D55F0D">
            <w:pPr>
              <w:spacing w:after="200" w:line="360" w:lineRule="auto"/>
              <w:jc w:val="both"/>
              <w:rPr>
                <w:rFonts w:ascii="Times New Roman" w:eastAsia="Calibri" w:hAnsi="Times New Roman" w:cs="Times New Roman"/>
                <w:noProof w:val="0"/>
                <w:sz w:val="24"/>
                <w:szCs w:val="24"/>
              </w:rPr>
            </w:pPr>
            <w:r w:rsidRPr="00B818D9">
              <w:rPr>
                <w:rFonts w:ascii="Times New Roman" w:eastAsia="Calibri" w:hAnsi="Times New Roman" w:cs="Times New Roman"/>
                <w:noProof w:val="0"/>
                <w:sz w:val="24"/>
                <w:szCs w:val="24"/>
              </w:rPr>
              <w:t>45,83 - 60,14</w:t>
            </w:r>
          </w:p>
        </w:tc>
      </w:tr>
      <w:tr w:rsidR="00D55F0D" w:rsidRPr="00B818D9" w14:paraId="00056AFC" w14:textId="77777777" w:rsidTr="00AF05B7">
        <w:trPr>
          <w:trHeight w:hRule="exact" w:val="408"/>
        </w:trPr>
        <w:tc>
          <w:tcPr>
            <w:tcW w:w="2100" w:type="pct"/>
            <w:gridSpan w:val="2"/>
            <w:tcBorders>
              <w:top w:val="nil"/>
              <w:left w:val="nil"/>
              <w:bottom w:val="nil"/>
              <w:right w:val="nil"/>
            </w:tcBorders>
            <w:hideMark/>
          </w:tcPr>
          <w:p w14:paraId="2A34E103" w14:textId="77777777" w:rsidR="00D55F0D" w:rsidRPr="00B818D9" w:rsidRDefault="00D55F0D" w:rsidP="00D55F0D">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Times New Roman" w:hAnsi="Times New Roman" w:cs="Times New Roman"/>
                <w:b/>
                <w:bCs/>
                <w:noProof w:val="0"/>
                <w:color w:val="000000"/>
                <w:kern w:val="2"/>
                <w:sz w:val="24"/>
                <w:szCs w:val="24"/>
                <w:lang w:eastAsia="fr-FR"/>
                <w14:ligatures w14:val="standardContextual"/>
              </w:rPr>
              <w:t>Number of siblings</w:t>
            </w:r>
          </w:p>
        </w:tc>
        <w:tc>
          <w:tcPr>
            <w:tcW w:w="1186" w:type="pct"/>
            <w:tcBorders>
              <w:top w:val="nil"/>
              <w:left w:val="nil"/>
              <w:bottom w:val="nil"/>
              <w:right w:val="nil"/>
            </w:tcBorders>
            <w:vAlign w:val="center"/>
          </w:tcPr>
          <w:p w14:paraId="49A8FD44"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p>
        </w:tc>
        <w:tc>
          <w:tcPr>
            <w:tcW w:w="832" w:type="pct"/>
            <w:tcBorders>
              <w:top w:val="nil"/>
              <w:left w:val="nil"/>
              <w:bottom w:val="nil"/>
              <w:right w:val="nil"/>
            </w:tcBorders>
            <w:vAlign w:val="center"/>
          </w:tcPr>
          <w:p w14:paraId="7308F6FC"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p>
        </w:tc>
        <w:tc>
          <w:tcPr>
            <w:tcW w:w="882" w:type="pct"/>
            <w:tcBorders>
              <w:top w:val="nil"/>
              <w:left w:val="nil"/>
              <w:bottom w:val="nil"/>
              <w:right w:val="nil"/>
            </w:tcBorders>
            <w:vAlign w:val="center"/>
          </w:tcPr>
          <w:p w14:paraId="39F82738" w14:textId="77777777" w:rsidR="00D55F0D" w:rsidRPr="00B818D9" w:rsidRDefault="00D55F0D" w:rsidP="00D55F0D">
            <w:pPr>
              <w:spacing w:after="200" w:line="360" w:lineRule="auto"/>
              <w:jc w:val="both"/>
              <w:rPr>
                <w:rFonts w:ascii="Times New Roman" w:eastAsia="Times New Roman" w:hAnsi="Times New Roman" w:cs="Times New Roman"/>
                <w:noProof w:val="0"/>
                <w:color w:val="000000"/>
                <w:kern w:val="2"/>
                <w:sz w:val="24"/>
                <w:szCs w:val="24"/>
                <w:lang w:eastAsia="fr-FR"/>
                <w14:ligatures w14:val="standardContextual"/>
              </w:rPr>
            </w:pPr>
          </w:p>
        </w:tc>
      </w:tr>
      <w:tr w:rsidR="00D55F0D" w:rsidRPr="00B818D9" w14:paraId="1753770F" w14:textId="77777777" w:rsidTr="00AF05B7">
        <w:trPr>
          <w:trHeight w:hRule="exact" w:val="437"/>
        </w:trPr>
        <w:tc>
          <w:tcPr>
            <w:tcW w:w="202" w:type="pct"/>
            <w:tcBorders>
              <w:top w:val="nil"/>
              <w:left w:val="nil"/>
              <w:bottom w:val="nil"/>
              <w:right w:val="nil"/>
            </w:tcBorders>
          </w:tcPr>
          <w:p w14:paraId="6AE5FEA4" w14:textId="77777777" w:rsidR="00D55F0D" w:rsidRPr="00B818D9" w:rsidRDefault="00D55F0D" w:rsidP="00D55F0D">
            <w:pPr>
              <w:spacing w:after="200" w:line="360" w:lineRule="auto"/>
              <w:jc w:val="both"/>
              <w:rPr>
                <w:rFonts w:ascii="Times New Roman" w:eastAsia="Calibri" w:hAnsi="Times New Roman" w:cs="Times New Roman"/>
                <w:noProof w:val="0"/>
                <w:color w:val="000000"/>
                <w:kern w:val="2"/>
                <w:sz w:val="24"/>
                <w:szCs w:val="24"/>
                <w14:ligatures w14:val="standardContextual"/>
              </w:rPr>
            </w:pPr>
          </w:p>
        </w:tc>
        <w:tc>
          <w:tcPr>
            <w:tcW w:w="1898" w:type="pct"/>
            <w:tcBorders>
              <w:top w:val="nil"/>
              <w:left w:val="nil"/>
              <w:bottom w:val="nil"/>
              <w:right w:val="nil"/>
            </w:tcBorders>
            <w:vAlign w:val="center"/>
          </w:tcPr>
          <w:p w14:paraId="1466C328"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[1 à 3[</w:t>
            </w:r>
          </w:p>
        </w:tc>
        <w:tc>
          <w:tcPr>
            <w:tcW w:w="1186" w:type="pct"/>
            <w:tcBorders>
              <w:top w:val="nil"/>
              <w:left w:val="nil"/>
              <w:bottom w:val="nil"/>
              <w:right w:val="nil"/>
            </w:tcBorders>
            <w:vAlign w:val="center"/>
          </w:tcPr>
          <w:p w14:paraId="4559943F"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66</w:t>
            </w:r>
          </w:p>
        </w:tc>
        <w:tc>
          <w:tcPr>
            <w:tcW w:w="832" w:type="pct"/>
            <w:tcBorders>
              <w:top w:val="nil"/>
              <w:left w:val="nil"/>
              <w:bottom w:val="nil"/>
              <w:right w:val="nil"/>
            </w:tcBorders>
            <w:vAlign w:val="center"/>
          </w:tcPr>
          <w:p w14:paraId="18991001"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33,33</w:t>
            </w:r>
          </w:p>
        </w:tc>
        <w:tc>
          <w:tcPr>
            <w:tcW w:w="882" w:type="pct"/>
            <w:tcBorders>
              <w:top w:val="nil"/>
              <w:left w:val="nil"/>
              <w:bottom w:val="nil"/>
              <w:right w:val="nil"/>
            </w:tcBorders>
            <w:vAlign w:val="center"/>
          </w:tcPr>
          <w:p w14:paraId="4307A50B"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26,81 - 40,36</w:t>
            </w:r>
          </w:p>
        </w:tc>
      </w:tr>
      <w:tr w:rsidR="00D55F0D" w:rsidRPr="00B818D9" w14:paraId="4D8F3A0A" w14:textId="77777777" w:rsidTr="00AF05B7">
        <w:trPr>
          <w:trHeight w:hRule="exact" w:val="421"/>
        </w:trPr>
        <w:tc>
          <w:tcPr>
            <w:tcW w:w="202" w:type="pct"/>
            <w:tcBorders>
              <w:top w:val="nil"/>
              <w:left w:val="nil"/>
              <w:bottom w:val="nil"/>
              <w:right w:val="nil"/>
            </w:tcBorders>
          </w:tcPr>
          <w:p w14:paraId="780B28AD" w14:textId="77777777" w:rsidR="00D55F0D" w:rsidRPr="00B818D9" w:rsidRDefault="00D55F0D" w:rsidP="00D55F0D">
            <w:pPr>
              <w:spacing w:after="200" w:line="360" w:lineRule="auto"/>
              <w:jc w:val="both"/>
              <w:rPr>
                <w:rFonts w:ascii="Times New Roman" w:eastAsia="Calibri" w:hAnsi="Times New Roman" w:cs="Times New Roman"/>
                <w:noProof w:val="0"/>
                <w:color w:val="000000"/>
                <w:kern w:val="2"/>
                <w:sz w:val="24"/>
                <w:szCs w:val="24"/>
                <w14:ligatures w14:val="standardContextual"/>
              </w:rPr>
            </w:pPr>
          </w:p>
        </w:tc>
        <w:tc>
          <w:tcPr>
            <w:tcW w:w="1898" w:type="pct"/>
            <w:tcBorders>
              <w:top w:val="nil"/>
              <w:left w:val="nil"/>
              <w:bottom w:val="nil"/>
              <w:right w:val="nil"/>
            </w:tcBorders>
            <w:vAlign w:val="center"/>
          </w:tcPr>
          <w:p w14:paraId="5F2477D2"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[3 à 6[</w:t>
            </w:r>
          </w:p>
        </w:tc>
        <w:tc>
          <w:tcPr>
            <w:tcW w:w="1186" w:type="pct"/>
            <w:tcBorders>
              <w:top w:val="nil"/>
              <w:left w:val="nil"/>
              <w:bottom w:val="nil"/>
              <w:right w:val="nil"/>
            </w:tcBorders>
            <w:vAlign w:val="center"/>
          </w:tcPr>
          <w:p w14:paraId="1515A09D"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117</w:t>
            </w:r>
          </w:p>
        </w:tc>
        <w:tc>
          <w:tcPr>
            <w:tcW w:w="832" w:type="pct"/>
            <w:tcBorders>
              <w:top w:val="nil"/>
              <w:left w:val="nil"/>
              <w:bottom w:val="nil"/>
              <w:right w:val="nil"/>
            </w:tcBorders>
            <w:vAlign w:val="center"/>
          </w:tcPr>
          <w:p w14:paraId="79BF5B08"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59,09</w:t>
            </w:r>
          </w:p>
        </w:tc>
        <w:tc>
          <w:tcPr>
            <w:tcW w:w="882" w:type="pct"/>
            <w:tcBorders>
              <w:top w:val="nil"/>
              <w:left w:val="nil"/>
              <w:bottom w:val="nil"/>
              <w:right w:val="nil"/>
            </w:tcBorders>
            <w:vAlign w:val="center"/>
          </w:tcPr>
          <w:p w14:paraId="3D14445B"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51,90 - 66,01</w:t>
            </w:r>
          </w:p>
        </w:tc>
      </w:tr>
      <w:tr w:rsidR="00D55F0D" w:rsidRPr="00B818D9" w14:paraId="4A781555" w14:textId="77777777" w:rsidTr="00AF05B7">
        <w:trPr>
          <w:trHeight w:hRule="exact" w:val="397"/>
        </w:trPr>
        <w:tc>
          <w:tcPr>
            <w:tcW w:w="202" w:type="pct"/>
            <w:tcBorders>
              <w:top w:val="nil"/>
              <w:left w:val="nil"/>
              <w:bottom w:val="single" w:sz="4" w:space="0" w:color="auto"/>
              <w:right w:val="nil"/>
            </w:tcBorders>
          </w:tcPr>
          <w:p w14:paraId="0AB26974" w14:textId="77777777" w:rsidR="00D55F0D" w:rsidRPr="00B818D9" w:rsidRDefault="00D55F0D" w:rsidP="00D55F0D">
            <w:pPr>
              <w:spacing w:after="200" w:line="360" w:lineRule="auto"/>
              <w:jc w:val="both"/>
              <w:rPr>
                <w:rFonts w:ascii="Times New Roman" w:eastAsia="Calibri" w:hAnsi="Times New Roman" w:cs="Times New Roman"/>
                <w:noProof w:val="0"/>
                <w:color w:val="000000"/>
                <w:kern w:val="2"/>
                <w:sz w:val="24"/>
                <w:szCs w:val="24"/>
                <w14:ligatures w14:val="standardContextual"/>
              </w:rPr>
            </w:pPr>
          </w:p>
        </w:tc>
        <w:tc>
          <w:tcPr>
            <w:tcW w:w="1898" w:type="pct"/>
            <w:tcBorders>
              <w:top w:val="nil"/>
              <w:left w:val="nil"/>
              <w:bottom w:val="single" w:sz="4" w:space="0" w:color="auto"/>
              <w:right w:val="nil"/>
            </w:tcBorders>
            <w:vAlign w:val="center"/>
          </w:tcPr>
          <w:p w14:paraId="7984361E"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[6 à 10]</w:t>
            </w:r>
          </w:p>
        </w:tc>
        <w:tc>
          <w:tcPr>
            <w:tcW w:w="1186" w:type="pct"/>
            <w:tcBorders>
              <w:top w:val="nil"/>
              <w:left w:val="nil"/>
              <w:bottom w:val="single" w:sz="4" w:space="0" w:color="auto"/>
              <w:right w:val="nil"/>
            </w:tcBorders>
            <w:vAlign w:val="center"/>
          </w:tcPr>
          <w:p w14:paraId="601D18D4"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15</w:t>
            </w:r>
          </w:p>
        </w:tc>
        <w:tc>
          <w:tcPr>
            <w:tcW w:w="832" w:type="pct"/>
            <w:tcBorders>
              <w:top w:val="nil"/>
              <w:left w:val="nil"/>
              <w:bottom w:val="single" w:sz="4" w:space="0" w:color="auto"/>
              <w:right w:val="nil"/>
            </w:tcBorders>
            <w:vAlign w:val="center"/>
          </w:tcPr>
          <w:p w14:paraId="574E67A3"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7,58</w:t>
            </w:r>
          </w:p>
        </w:tc>
        <w:tc>
          <w:tcPr>
            <w:tcW w:w="882" w:type="pct"/>
            <w:tcBorders>
              <w:top w:val="nil"/>
              <w:left w:val="nil"/>
              <w:bottom w:val="single" w:sz="4" w:space="0" w:color="auto"/>
              <w:right w:val="nil"/>
            </w:tcBorders>
            <w:vAlign w:val="center"/>
          </w:tcPr>
          <w:p w14:paraId="75EAC442" w14:textId="77777777" w:rsidR="00D55F0D" w:rsidRPr="00B818D9" w:rsidRDefault="00D55F0D" w:rsidP="00D55F0D">
            <w:pPr>
              <w:spacing w:after="0" w:line="360" w:lineRule="auto"/>
              <w:jc w:val="both"/>
              <w:rPr>
                <w:rFonts w:ascii="Times New Roman" w:eastAsia="Times New Roman" w:hAnsi="Times New Roman" w:cs="Times New Roman"/>
                <w:noProof w:val="0"/>
                <w:sz w:val="24"/>
                <w:szCs w:val="24"/>
                <w:lang w:eastAsia="fr-FR"/>
              </w:rPr>
            </w:pPr>
            <w:r w:rsidRPr="00B818D9">
              <w:rPr>
                <w:rFonts w:ascii="Times New Roman" w:eastAsia="Times New Roman" w:hAnsi="Times New Roman" w:cs="Times New Roman"/>
                <w:noProof w:val="0"/>
                <w:sz w:val="24"/>
                <w:szCs w:val="24"/>
                <w:lang w:eastAsia="fr-FR"/>
              </w:rPr>
              <w:t>4,30 - 12,19</w:t>
            </w:r>
          </w:p>
        </w:tc>
      </w:tr>
    </w:tbl>
    <w:p w14:paraId="430C51B3" w14:textId="6089D667" w:rsidR="003E5DCD" w:rsidRPr="00B818D9" w:rsidRDefault="003E5DCD" w:rsidP="00B818D9">
      <w:pPr>
        <w:pStyle w:val="NormalWeb"/>
        <w:spacing w:line="360" w:lineRule="auto"/>
        <w:jc w:val="both"/>
        <w:rPr>
          <w:b/>
          <w:bCs/>
        </w:rPr>
      </w:pPr>
      <w:r w:rsidRPr="00B818D9">
        <w:rPr>
          <w:b/>
          <w:bCs/>
        </w:rPr>
        <w:t>Table I</w:t>
      </w:r>
      <w:r w:rsidR="00B0568F" w:rsidRPr="00B818D9">
        <w:rPr>
          <w:b/>
          <w:bCs/>
        </w:rPr>
        <w:t>.</w:t>
      </w:r>
      <w:r w:rsidR="001B53CA" w:rsidRPr="00B818D9">
        <w:rPr>
          <w:b/>
          <w:bCs/>
        </w:rPr>
        <w:t xml:space="preserve"> </w:t>
      </w:r>
      <w:r w:rsidR="001B53CA" w:rsidRPr="00887324">
        <w:t>Socio-demographic characterisrics of the study population</w:t>
      </w:r>
    </w:p>
    <w:p w14:paraId="662967BE" w14:textId="77777777" w:rsidR="002A3058" w:rsidRPr="00B818D9" w:rsidRDefault="002A3058" w:rsidP="00B818D9">
      <w:pPr>
        <w:pStyle w:val="NormalWeb"/>
        <w:spacing w:line="360" w:lineRule="auto"/>
        <w:jc w:val="both"/>
      </w:pPr>
    </w:p>
    <w:p w14:paraId="3C5C93C9" w14:textId="77777777" w:rsidR="002A3058" w:rsidRPr="00B818D9" w:rsidRDefault="002A3058" w:rsidP="00B818D9">
      <w:pPr>
        <w:pStyle w:val="NormalWeb"/>
        <w:spacing w:line="360" w:lineRule="auto"/>
        <w:jc w:val="both"/>
      </w:pPr>
    </w:p>
    <w:p w14:paraId="565F0028" w14:textId="5F42297F" w:rsidR="003E5DCD" w:rsidRPr="00B818D9" w:rsidRDefault="003E5DCD" w:rsidP="00B818D9">
      <w:pPr>
        <w:pStyle w:val="NormalWeb"/>
        <w:numPr>
          <w:ilvl w:val="1"/>
          <w:numId w:val="1"/>
        </w:numPr>
        <w:spacing w:line="360" w:lineRule="auto"/>
        <w:jc w:val="both"/>
        <w:rPr>
          <w:b/>
          <w:bCs/>
        </w:rPr>
      </w:pPr>
      <w:r w:rsidRPr="00B818D9">
        <w:rPr>
          <w:b/>
          <w:bCs/>
        </w:rPr>
        <w:t>Attitudes, practices and HPV carriage in the study population</w:t>
      </w:r>
    </w:p>
    <w:p w14:paraId="1595EEB4" w14:textId="6AC7E76B" w:rsidR="003E5DCD" w:rsidRPr="00B818D9" w:rsidRDefault="003E5DCD" w:rsidP="00B818D9">
      <w:pPr>
        <w:pStyle w:val="NormalWeb"/>
        <w:spacing w:line="360" w:lineRule="auto"/>
        <w:jc w:val="both"/>
      </w:pPr>
      <w:r w:rsidRPr="00B818D9">
        <w:t>Table II shows a breakdown of the various characteristics of our study population. The prevalence of STIs was 64.65% (128 cases), with a 95% CI ranging from 57.55% to 71.29%. Among STIs, we observed a predominance of mycoses (73.44% or 94/128) and condylomas were the least represented with a prevalence of 1.56% (2/128). The prevalence of HPV carriage was reported at 45.5% (90/198). Only 33.3% of our study population used contraception.</w:t>
      </w:r>
    </w:p>
    <w:p w14:paraId="1B8D33EC" w14:textId="77777777" w:rsidR="00194DAB" w:rsidRDefault="00194DAB" w:rsidP="00B818D9">
      <w:pPr>
        <w:pStyle w:val="NormalWeb"/>
        <w:spacing w:line="360" w:lineRule="auto"/>
        <w:jc w:val="both"/>
        <w:rPr>
          <w:b/>
          <w:bCs/>
        </w:rPr>
      </w:pPr>
    </w:p>
    <w:p w14:paraId="0C10BBBB" w14:textId="77777777" w:rsidR="00194DAB" w:rsidRDefault="00194DAB" w:rsidP="00B818D9">
      <w:pPr>
        <w:pStyle w:val="NormalWeb"/>
        <w:spacing w:line="360" w:lineRule="auto"/>
        <w:jc w:val="both"/>
        <w:rPr>
          <w:b/>
          <w:bCs/>
        </w:rPr>
      </w:pPr>
    </w:p>
    <w:p w14:paraId="5EAEDD5F" w14:textId="77777777" w:rsidR="00194DAB" w:rsidRDefault="00194DAB" w:rsidP="00B818D9">
      <w:pPr>
        <w:pStyle w:val="NormalWeb"/>
        <w:spacing w:line="360" w:lineRule="auto"/>
        <w:jc w:val="both"/>
        <w:rPr>
          <w:b/>
          <w:bCs/>
        </w:rPr>
      </w:pPr>
    </w:p>
    <w:p w14:paraId="3774AC2F" w14:textId="77777777" w:rsidR="00921BDD" w:rsidRDefault="00921BDD" w:rsidP="00B818D9">
      <w:pPr>
        <w:pStyle w:val="NormalWeb"/>
        <w:spacing w:line="360" w:lineRule="auto"/>
        <w:jc w:val="both"/>
        <w:rPr>
          <w:b/>
          <w:bCs/>
        </w:rPr>
      </w:pPr>
    </w:p>
    <w:tbl>
      <w:tblPr>
        <w:tblStyle w:val="TableGrid"/>
        <w:tblpPr w:leftFromText="141" w:rightFromText="141" w:vertAnchor="page" w:horzAnchor="margin" w:tblpXSpec="center" w:tblpY="1491"/>
        <w:tblW w:w="1020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4138"/>
        <w:gridCol w:w="1414"/>
        <w:gridCol w:w="4137"/>
      </w:tblGrid>
      <w:tr w:rsidR="00921BDD" w:rsidRPr="00B818D9" w14:paraId="1B2A96A3" w14:textId="77777777" w:rsidTr="00921BDD">
        <w:trPr>
          <w:trHeight w:val="796"/>
        </w:trPr>
        <w:tc>
          <w:tcPr>
            <w:tcW w:w="4649" w:type="dxa"/>
            <w:gridSpan w:val="2"/>
            <w:tcBorders>
              <w:top w:val="single" w:sz="4" w:space="0" w:color="auto"/>
              <w:bottom w:val="single" w:sz="4" w:space="0" w:color="auto"/>
            </w:tcBorders>
            <w:vAlign w:val="center"/>
          </w:tcPr>
          <w:p w14:paraId="3204D734" w14:textId="77777777" w:rsidR="00921BDD" w:rsidRPr="00B818D9" w:rsidRDefault="00921BDD" w:rsidP="00921BDD">
            <w:pPr>
              <w:pStyle w:val="NormalWeb"/>
              <w:spacing w:line="360" w:lineRule="auto"/>
              <w:jc w:val="both"/>
              <w:rPr>
                <w:b/>
                <w:bCs/>
                <w:lang w:val="en-US"/>
              </w:rPr>
            </w:pPr>
            <w:bookmarkStart w:id="1" w:name="_Hlk194311043"/>
            <w:r w:rsidRPr="00B818D9">
              <w:rPr>
                <w:b/>
                <w:bCs/>
                <w:lang w:val="en-US"/>
              </w:rPr>
              <w:lastRenderedPageBreak/>
              <w:t>Features</w:t>
            </w:r>
          </w:p>
        </w:tc>
        <w:tc>
          <w:tcPr>
            <w:tcW w:w="1414" w:type="dxa"/>
            <w:tcBorders>
              <w:top w:val="single" w:sz="4" w:space="0" w:color="auto"/>
              <w:bottom w:val="single" w:sz="4" w:space="0" w:color="auto"/>
            </w:tcBorders>
            <w:vAlign w:val="center"/>
          </w:tcPr>
          <w:p w14:paraId="7EC0C33F" w14:textId="77777777" w:rsidR="00921BDD" w:rsidRPr="00B818D9" w:rsidRDefault="00921BDD" w:rsidP="00921BDD">
            <w:pPr>
              <w:pStyle w:val="NormalWeb"/>
              <w:spacing w:line="360" w:lineRule="auto"/>
              <w:jc w:val="both"/>
              <w:rPr>
                <w:b/>
                <w:bCs/>
                <w:lang w:val="en-US"/>
              </w:rPr>
            </w:pPr>
            <w:r w:rsidRPr="00B818D9">
              <w:rPr>
                <w:b/>
                <w:bCs/>
                <w:lang w:val="en-US"/>
              </w:rPr>
              <w:t>Workforce</w:t>
            </w:r>
          </w:p>
        </w:tc>
        <w:tc>
          <w:tcPr>
            <w:tcW w:w="4137" w:type="dxa"/>
            <w:tcBorders>
              <w:top w:val="single" w:sz="4" w:space="0" w:color="auto"/>
              <w:bottom w:val="single" w:sz="4" w:space="0" w:color="auto"/>
            </w:tcBorders>
            <w:vAlign w:val="center"/>
          </w:tcPr>
          <w:p w14:paraId="440F5487" w14:textId="77777777" w:rsidR="00921BDD" w:rsidRPr="00B818D9" w:rsidRDefault="00921BDD" w:rsidP="00921BDD">
            <w:pPr>
              <w:pStyle w:val="NormalWeb"/>
              <w:spacing w:line="360" w:lineRule="auto"/>
              <w:jc w:val="both"/>
              <w:rPr>
                <w:b/>
                <w:bCs/>
                <w:lang w:val="en-US"/>
              </w:rPr>
            </w:pPr>
            <w:r w:rsidRPr="00B818D9">
              <w:rPr>
                <w:b/>
                <w:bCs/>
                <w:lang w:val="en-US"/>
              </w:rPr>
              <w:t>Proportions in % (95% CI)</w:t>
            </w:r>
          </w:p>
        </w:tc>
      </w:tr>
      <w:tr w:rsidR="00921BDD" w:rsidRPr="00B818D9" w14:paraId="6804D022" w14:textId="77777777" w:rsidTr="00921BDD">
        <w:trPr>
          <w:trHeight w:val="397"/>
        </w:trPr>
        <w:tc>
          <w:tcPr>
            <w:tcW w:w="4649" w:type="dxa"/>
            <w:gridSpan w:val="2"/>
            <w:tcBorders>
              <w:top w:val="single" w:sz="4" w:space="0" w:color="auto"/>
            </w:tcBorders>
            <w:vAlign w:val="center"/>
          </w:tcPr>
          <w:p w14:paraId="4BE1ABA7" w14:textId="77777777" w:rsidR="00921BDD" w:rsidRPr="00B818D9" w:rsidRDefault="00921BDD" w:rsidP="00921BDD">
            <w:pPr>
              <w:pStyle w:val="NormalWeb"/>
              <w:spacing w:line="360" w:lineRule="auto"/>
              <w:jc w:val="both"/>
              <w:rPr>
                <w:b/>
                <w:bCs/>
                <w:lang w:val="en-US"/>
              </w:rPr>
            </w:pPr>
            <w:r w:rsidRPr="00B818D9">
              <w:rPr>
                <w:b/>
                <w:bCs/>
                <w:lang w:val="en-US"/>
              </w:rPr>
              <w:t>STI</w:t>
            </w:r>
          </w:p>
        </w:tc>
        <w:tc>
          <w:tcPr>
            <w:tcW w:w="1414" w:type="dxa"/>
            <w:tcBorders>
              <w:top w:val="single" w:sz="4" w:space="0" w:color="auto"/>
            </w:tcBorders>
            <w:vAlign w:val="center"/>
          </w:tcPr>
          <w:p w14:paraId="2B83079A" w14:textId="77777777" w:rsidR="00921BDD" w:rsidRPr="00B818D9" w:rsidRDefault="00921BDD" w:rsidP="00921BDD">
            <w:pPr>
              <w:pStyle w:val="NormalWeb"/>
              <w:spacing w:line="360" w:lineRule="auto"/>
              <w:jc w:val="both"/>
              <w:rPr>
                <w:b/>
                <w:bCs/>
                <w:lang w:val="en-US"/>
              </w:rPr>
            </w:pPr>
            <w:r w:rsidRPr="00B818D9">
              <w:rPr>
                <w:b/>
                <w:bCs/>
                <w:lang w:val="en-US"/>
              </w:rPr>
              <w:t>N=198</w:t>
            </w:r>
          </w:p>
        </w:tc>
        <w:tc>
          <w:tcPr>
            <w:tcW w:w="4137" w:type="dxa"/>
            <w:tcBorders>
              <w:top w:val="single" w:sz="4" w:space="0" w:color="auto"/>
            </w:tcBorders>
            <w:vAlign w:val="center"/>
          </w:tcPr>
          <w:p w14:paraId="5CC761EE" w14:textId="77777777" w:rsidR="00921BDD" w:rsidRPr="00B818D9" w:rsidRDefault="00921BDD" w:rsidP="00921BDD">
            <w:pPr>
              <w:pStyle w:val="NormalWeb"/>
              <w:spacing w:line="360" w:lineRule="auto"/>
              <w:jc w:val="both"/>
              <w:rPr>
                <w:b/>
                <w:bCs/>
                <w:lang w:val="en-US"/>
              </w:rPr>
            </w:pPr>
          </w:p>
        </w:tc>
      </w:tr>
      <w:tr w:rsidR="00921BDD" w:rsidRPr="00B818D9" w14:paraId="162534C5" w14:textId="77777777" w:rsidTr="00921BDD">
        <w:trPr>
          <w:trHeight w:val="380"/>
        </w:trPr>
        <w:tc>
          <w:tcPr>
            <w:tcW w:w="511" w:type="dxa"/>
            <w:vAlign w:val="center"/>
          </w:tcPr>
          <w:p w14:paraId="1BB19F0A" w14:textId="77777777" w:rsidR="00921BDD" w:rsidRPr="00B818D9" w:rsidRDefault="00921BDD" w:rsidP="00921BDD">
            <w:pPr>
              <w:pStyle w:val="NormalWeb"/>
              <w:spacing w:line="360" w:lineRule="auto"/>
              <w:jc w:val="both"/>
              <w:rPr>
                <w:lang w:val="en-US"/>
              </w:rPr>
            </w:pPr>
          </w:p>
        </w:tc>
        <w:tc>
          <w:tcPr>
            <w:tcW w:w="4138" w:type="dxa"/>
            <w:vAlign w:val="center"/>
          </w:tcPr>
          <w:p w14:paraId="082F11B0" w14:textId="77777777" w:rsidR="00921BDD" w:rsidRPr="00B818D9" w:rsidRDefault="00921BDD" w:rsidP="00921BDD">
            <w:pPr>
              <w:pStyle w:val="NormalWeb"/>
              <w:spacing w:line="360" w:lineRule="auto"/>
              <w:jc w:val="both"/>
              <w:rPr>
                <w:lang w:val="en-US"/>
              </w:rPr>
            </w:pPr>
            <w:r w:rsidRPr="00B818D9">
              <w:rPr>
                <w:lang w:val="en-US"/>
              </w:rPr>
              <w:t>Positive</w:t>
            </w:r>
          </w:p>
        </w:tc>
        <w:tc>
          <w:tcPr>
            <w:tcW w:w="1414" w:type="dxa"/>
            <w:vAlign w:val="center"/>
          </w:tcPr>
          <w:p w14:paraId="10C63241" w14:textId="77777777" w:rsidR="00921BDD" w:rsidRPr="00B818D9" w:rsidRDefault="00921BDD" w:rsidP="00921BDD">
            <w:pPr>
              <w:pStyle w:val="NormalWeb"/>
              <w:spacing w:line="360" w:lineRule="auto"/>
              <w:jc w:val="both"/>
              <w:rPr>
                <w:lang w:val="en-US"/>
              </w:rPr>
            </w:pPr>
            <w:r w:rsidRPr="00B818D9">
              <w:rPr>
                <w:lang w:val="en-US"/>
              </w:rPr>
              <w:t>128</w:t>
            </w:r>
          </w:p>
        </w:tc>
        <w:tc>
          <w:tcPr>
            <w:tcW w:w="4137" w:type="dxa"/>
            <w:vAlign w:val="center"/>
          </w:tcPr>
          <w:p w14:paraId="1E82ACA0" w14:textId="77777777" w:rsidR="00921BDD" w:rsidRPr="00B818D9" w:rsidRDefault="00921BDD" w:rsidP="00921BDD">
            <w:pPr>
              <w:pStyle w:val="NormalWeb"/>
              <w:spacing w:line="360" w:lineRule="auto"/>
              <w:jc w:val="both"/>
              <w:rPr>
                <w:lang w:val="en-US"/>
              </w:rPr>
            </w:pPr>
            <w:r w:rsidRPr="00B818D9">
              <w:rPr>
                <w:lang w:val="en-US"/>
              </w:rPr>
              <w:t>64,65(57,55 – 71,29)</w:t>
            </w:r>
          </w:p>
        </w:tc>
      </w:tr>
      <w:tr w:rsidR="00921BDD" w:rsidRPr="00B818D9" w14:paraId="2C8181A3" w14:textId="77777777" w:rsidTr="00921BDD">
        <w:trPr>
          <w:trHeight w:val="397"/>
        </w:trPr>
        <w:tc>
          <w:tcPr>
            <w:tcW w:w="511" w:type="dxa"/>
            <w:vAlign w:val="center"/>
          </w:tcPr>
          <w:p w14:paraId="2C661759" w14:textId="77777777" w:rsidR="00921BDD" w:rsidRPr="00B818D9" w:rsidRDefault="00921BDD" w:rsidP="00921BDD">
            <w:pPr>
              <w:pStyle w:val="NormalWeb"/>
              <w:spacing w:line="360" w:lineRule="auto"/>
              <w:jc w:val="both"/>
              <w:rPr>
                <w:lang w:val="en-US"/>
              </w:rPr>
            </w:pPr>
          </w:p>
        </w:tc>
        <w:tc>
          <w:tcPr>
            <w:tcW w:w="4138" w:type="dxa"/>
            <w:vAlign w:val="center"/>
          </w:tcPr>
          <w:p w14:paraId="639A8A7F" w14:textId="77777777" w:rsidR="00921BDD" w:rsidRPr="00B818D9" w:rsidRDefault="00921BDD" w:rsidP="00921BDD">
            <w:pPr>
              <w:pStyle w:val="NormalWeb"/>
              <w:spacing w:line="360" w:lineRule="auto"/>
              <w:jc w:val="both"/>
              <w:rPr>
                <w:lang w:val="en-US"/>
              </w:rPr>
            </w:pPr>
            <w:r w:rsidRPr="00B818D9">
              <w:rPr>
                <w:lang w:val="en-US"/>
              </w:rPr>
              <w:t>Negative</w:t>
            </w:r>
          </w:p>
        </w:tc>
        <w:tc>
          <w:tcPr>
            <w:tcW w:w="1414" w:type="dxa"/>
            <w:vAlign w:val="center"/>
          </w:tcPr>
          <w:p w14:paraId="3AC009D2" w14:textId="77777777" w:rsidR="00921BDD" w:rsidRPr="00B818D9" w:rsidRDefault="00921BDD" w:rsidP="00921BDD">
            <w:pPr>
              <w:pStyle w:val="NormalWeb"/>
              <w:spacing w:line="360" w:lineRule="auto"/>
              <w:jc w:val="both"/>
              <w:rPr>
                <w:lang w:val="en-US"/>
              </w:rPr>
            </w:pPr>
            <w:r w:rsidRPr="00B818D9">
              <w:rPr>
                <w:lang w:val="en-US"/>
              </w:rPr>
              <w:t>70</w:t>
            </w:r>
          </w:p>
        </w:tc>
        <w:tc>
          <w:tcPr>
            <w:tcW w:w="4137" w:type="dxa"/>
            <w:vAlign w:val="center"/>
          </w:tcPr>
          <w:p w14:paraId="74459567" w14:textId="77777777" w:rsidR="00921BDD" w:rsidRPr="00B818D9" w:rsidRDefault="00921BDD" w:rsidP="00921BDD">
            <w:pPr>
              <w:pStyle w:val="NormalWeb"/>
              <w:spacing w:line="360" w:lineRule="auto"/>
              <w:jc w:val="both"/>
              <w:rPr>
                <w:lang w:val="en-US"/>
              </w:rPr>
            </w:pPr>
            <w:r w:rsidRPr="00B818D9">
              <w:rPr>
                <w:lang w:val="en-US"/>
              </w:rPr>
              <w:t>35,35(28,71 – 42,45)</w:t>
            </w:r>
          </w:p>
        </w:tc>
      </w:tr>
      <w:tr w:rsidR="00921BDD" w:rsidRPr="00B818D9" w14:paraId="385527A7" w14:textId="77777777" w:rsidTr="00921BDD">
        <w:trPr>
          <w:trHeight w:val="397"/>
        </w:trPr>
        <w:tc>
          <w:tcPr>
            <w:tcW w:w="4649" w:type="dxa"/>
            <w:gridSpan w:val="2"/>
            <w:vAlign w:val="center"/>
          </w:tcPr>
          <w:p w14:paraId="7F570F5F" w14:textId="77777777" w:rsidR="00921BDD" w:rsidRPr="00B818D9" w:rsidRDefault="00921BDD" w:rsidP="00921BDD">
            <w:pPr>
              <w:pStyle w:val="NormalWeb"/>
              <w:spacing w:line="360" w:lineRule="auto"/>
              <w:jc w:val="both"/>
              <w:rPr>
                <w:b/>
                <w:bCs/>
                <w:lang w:val="en-US"/>
              </w:rPr>
            </w:pPr>
            <w:r w:rsidRPr="00B818D9">
              <w:rPr>
                <w:b/>
                <w:bCs/>
                <w:lang w:val="en-US"/>
              </w:rPr>
              <w:t>HPV</w:t>
            </w:r>
          </w:p>
        </w:tc>
        <w:tc>
          <w:tcPr>
            <w:tcW w:w="1414" w:type="dxa"/>
            <w:vAlign w:val="center"/>
          </w:tcPr>
          <w:p w14:paraId="49F5A274" w14:textId="77777777" w:rsidR="00921BDD" w:rsidRPr="00B818D9" w:rsidRDefault="00921BDD" w:rsidP="00921BDD">
            <w:pPr>
              <w:pStyle w:val="NormalWeb"/>
              <w:spacing w:line="360" w:lineRule="auto"/>
              <w:jc w:val="both"/>
              <w:rPr>
                <w:b/>
                <w:bCs/>
                <w:lang w:val="en-US"/>
              </w:rPr>
            </w:pPr>
            <w:r w:rsidRPr="00B818D9">
              <w:rPr>
                <w:b/>
                <w:bCs/>
                <w:lang w:val="en-US"/>
              </w:rPr>
              <w:t>N=198</w:t>
            </w:r>
          </w:p>
        </w:tc>
        <w:tc>
          <w:tcPr>
            <w:tcW w:w="4137" w:type="dxa"/>
            <w:vAlign w:val="center"/>
          </w:tcPr>
          <w:p w14:paraId="6F660831" w14:textId="77777777" w:rsidR="00921BDD" w:rsidRPr="00B818D9" w:rsidRDefault="00921BDD" w:rsidP="00921BDD">
            <w:pPr>
              <w:pStyle w:val="NormalWeb"/>
              <w:spacing w:line="360" w:lineRule="auto"/>
              <w:jc w:val="both"/>
              <w:rPr>
                <w:b/>
                <w:bCs/>
                <w:lang w:val="en-US"/>
              </w:rPr>
            </w:pPr>
          </w:p>
        </w:tc>
      </w:tr>
      <w:tr w:rsidR="00921BDD" w:rsidRPr="00B818D9" w14:paraId="0465B014" w14:textId="77777777" w:rsidTr="00921BDD">
        <w:trPr>
          <w:trHeight w:val="397"/>
        </w:trPr>
        <w:tc>
          <w:tcPr>
            <w:tcW w:w="511" w:type="dxa"/>
            <w:vAlign w:val="center"/>
          </w:tcPr>
          <w:p w14:paraId="35DF0238" w14:textId="77777777" w:rsidR="00921BDD" w:rsidRPr="00B818D9" w:rsidRDefault="00921BDD" w:rsidP="00921BDD">
            <w:pPr>
              <w:pStyle w:val="NormalWeb"/>
              <w:spacing w:line="360" w:lineRule="auto"/>
              <w:jc w:val="both"/>
              <w:rPr>
                <w:lang w:val="en-US"/>
              </w:rPr>
            </w:pPr>
          </w:p>
        </w:tc>
        <w:tc>
          <w:tcPr>
            <w:tcW w:w="4138" w:type="dxa"/>
            <w:vAlign w:val="center"/>
          </w:tcPr>
          <w:p w14:paraId="4764DBEF" w14:textId="77777777" w:rsidR="00921BDD" w:rsidRPr="00B818D9" w:rsidRDefault="00921BDD" w:rsidP="00921BDD">
            <w:pPr>
              <w:pStyle w:val="NormalWeb"/>
              <w:spacing w:line="360" w:lineRule="auto"/>
              <w:jc w:val="both"/>
              <w:rPr>
                <w:lang w:val="en-US"/>
              </w:rPr>
            </w:pPr>
            <w:r w:rsidRPr="00B818D9">
              <w:rPr>
                <w:lang w:val="en-US"/>
              </w:rPr>
              <w:t>Positive</w:t>
            </w:r>
          </w:p>
        </w:tc>
        <w:tc>
          <w:tcPr>
            <w:tcW w:w="1414" w:type="dxa"/>
            <w:vAlign w:val="center"/>
          </w:tcPr>
          <w:p w14:paraId="03564582" w14:textId="77777777" w:rsidR="00921BDD" w:rsidRPr="00B818D9" w:rsidRDefault="00921BDD" w:rsidP="00921BDD">
            <w:pPr>
              <w:pStyle w:val="NormalWeb"/>
              <w:spacing w:line="360" w:lineRule="auto"/>
              <w:jc w:val="both"/>
              <w:rPr>
                <w:lang w:val="en-US"/>
              </w:rPr>
            </w:pPr>
            <w:r w:rsidRPr="00B818D9">
              <w:rPr>
                <w:lang w:val="en-US"/>
              </w:rPr>
              <w:t>90</w:t>
            </w:r>
          </w:p>
        </w:tc>
        <w:tc>
          <w:tcPr>
            <w:tcW w:w="4137" w:type="dxa"/>
            <w:vAlign w:val="center"/>
          </w:tcPr>
          <w:p w14:paraId="1FB52C00" w14:textId="77777777" w:rsidR="00921BDD" w:rsidRPr="00B818D9" w:rsidRDefault="00921BDD" w:rsidP="00921BDD">
            <w:pPr>
              <w:pStyle w:val="NormalWeb"/>
              <w:spacing w:line="360" w:lineRule="auto"/>
              <w:jc w:val="both"/>
              <w:rPr>
                <w:lang w:val="en-US"/>
              </w:rPr>
            </w:pPr>
            <w:r w:rsidRPr="00B818D9">
              <w:rPr>
                <w:lang w:val="en-US"/>
              </w:rPr>
              <w:t>45,45(38,38 – 52,67)</w:t>
            </w:r>
          </w:p>
        </w:tc>
      </w:tr>
      <w:tr w:rsidR="00921BDD" w:rsidRPr="00B818D9" w14:paraId="1E7B1834" w14:textId="77777777" w:rsidTr="00921BDD">
        <w:trPr>
          <w:trHeight w:val="397"/>
        </w:trPr>
        <w:tc>
          <w:tcPr>
            <w:tcW w:w="511" w:type="dxa"/>
            <w:vAlign w:val="center"/>
          </w:tcPr>
          <w:p w14:paraId="4C20ABF5" w14:textId="77777777" w:rsidR="00921BDD" w:rsidRPr="00B818D9" w:rsidRDefault="00921BDD" w:rsidP="00921BDD">
            <w:pPr>
              <w:pStyle w:val="NormalWeb"/>
              <w:spacing w:line="360" w:lineRule="auto"/>
              <w:jc w:val="both"/>
              <w:rPr>
                <w:lang w:val="en-US"/>
              </w:rPr>
            </w:pPr>
          </w:p>
        </w:tc>
        <w:tc>
          <w:tcPr>
            <w:tcW w:w="4138" w:type="dxa"/>
            <w:vAlign w:val="center"/>
          </w:tcPr>
          <w:p w14:paraId="1C71B4CA" w14:textId="77777777" w:rsidR="00921BDD" w:rsidRPr="00B818D9" w:rsidRDefault="00921BDD" w:rsidP="00921BDD">
            <w:pPr>
              <w:pStyle w:val="NormalWeb"/>
              <w:spacing w:line="360" w:lineRule="auto"/>
              <w:jc w:val="both"/>
              <w:rPr>
                <w:lang w:val="en-US"/>
              </w:rPr>
            </w:pPr>
            <w:r w:rsidRPr="00B818D9">
              <w:rPr>
                <w:lang w:val="en-US"/>
              </w:rPr>
              <w:t>Negative</w:t>
            </w:r>
          </w:p>
        </w:tc>
        <w:tc>
          <w:tcPr>
            <w:tcW w:w="1414" w:type="dxa"/>
            <w:vAlign w:val="center"/>
          </w:tcPr>
          <w:p w14:paraId="51317A9B" w14:textId="77777777" w:rsidR="00921BDD" w:rsidRPr="00B818D9" w:rsidRDefault="00921BDD" w:rsidP="00921BDD">
            <w:pPr>
              <w:pStyle w:val="NormalWeb"/>
              <w:spacing w:line="360" w:lineRule="auto"/>
              <w:jc w:val="both"/>
              <w:rPr>
                <w:lang w:val="en-US"/>
              </w:rPr>
            </w:pPr>
            <w:r w:rsidRPr="00B818D9">
              <w:rPr>
                <w:lang w:val="en-US"/>
              </w:rPr>
              <w:t>108</w:t>
            </w:r>
          </w:p>
        </w:tc>
        <w:tc>
          <w:tcPr>
            <w:tcW w:w="4137" w:type="dxa"/>
            <w:vAlign w:val="center"/>
          </w:tcPr>
          <w:p w14:paraId="72396240" w14:textId="77777777" w:rsidR="00921BDD" w:rsidRPr="00B818D9" w:rsidRDefault="00921BDD" w:rsidP="00921BDD">
            <w:pPr>
              <w:pStyle w:val="NormalWeb"/>
              <w:spacing w:line="360" w:lineRule="auto"/>
              <w:jc w:val="both"/>
              <w:rPr>
                <w:lang w:val="en-US"/>
              </w:rPr>
            </w:pPr>
            <w:r w:rsidRPr="00B818D9">
              <w:rPr>
                <w:lang w:val="en-US"/>
              </w:rPr>
              <w:t>54,55(47,33 – 61,62)</w:t>
            </w:r>
          </w:p>
        </w:tc>
      </w:tr>
      <w:tr w:rsidR="00921BDD" w:rsidRPr="00B818D9" w14:paraId="29303733" w14:textId="77777777" w:rsidTr="00921BDD">
        <w:trPr>
          <w:trHeight w:val="397"/>
        </w:trPr>
        <w:tc>
          <w:tcPr>
            <w:tcW w:w="4649" w:type="dxa"/>
            <w:gridSpan w:val="2"/>
            <w:vAlign w:val="center"/>
          </w:tcPr>
          <w:p w14:paraId="735C4C8B" w14:textId="77777777" w:rsidR="00921BDD" w:rsidRPr="00B818D9" w:rsidRDefault="00921BDD" w:rsidP="00921BDD">
            <w:pPr>
              <w:pStyle w:val="NormalWeb"/>
              <w:spacing w:line="360" w:lineRule="auto"/>
              <w:jc w:val="both"/>
              <w:rPr>
                <w:b/>
                <w:bCs/>
                <w:lang w:val="en-US"/>
              </w:rPr>
            </w:pPr>
            <w:r w:rsidRPr="00B818D9">
              <w:rPr>
                <w:b/>
                <w:bCs/>
                <w:lang w:val="en-US"/>
              </w:rPr>
              <w:t>STI category</w:t>
            </w:r>
          </w:p>
        </w:tc>
        <w:tc>
          <w:tcPr>
            <w:tcW w:w="1414" w:type="dxa"/>
            <w:vAlign w:val="center"/>
          </w:tcPr>
          <w:p w14:paraId="36F15F8A" w14:textId="77777777" w:rsidR="00921BDD" w:rsidRPr="00B818D9" w:rsidRDefault="00921BDD" w:rsidP="00921BDD">
            <w:pPr>
              <w:pStyle w:val="NormalWeb"/>
              <w:spacing w:line="360" w:lineRule="auto"/>
              <w:jc w:val="both"/>
              <w:rPr>
                <w:b/>
                <w:bCs/>
                <w:lang w:val="en-US"/>
              </w:rPr>
            </w:pPr>
            <w:r w:rsidRPr="00B818D9">
              <w:rPr>
                <w:b/>
                <w:bCs/>
                <w:lang w:val="en-US"/>
              </w:rPr>
              <w:t>N=128</w:t>
            </w:r>
          </w:p>
        </w:tc>
        <w:tc>
          <w:tcPr>
            <w:tcW w:w="4137" w:type="dxa"/>
            <w:vAlign w:val="center"/>
          </w:tcPr>
          <w:p w14:paraId="64EB1276" w14:textId="77777777" w:rsidR="00921BDD" w:rsidRPr="00B818D9" w:rsidRDefault="00921BDD" w:rsidP="00921BDD">
            <w:pPr>
              <w:pStyle w:val="NormalWeb"/>
              <w:spacing w:line="360" w:lineRule="auto"/>
              <w:jc w:val="both"/>
              <w:rPr>
                <w:b/>
                <w:bCs/>
                <w:lang w:val="en-US"/>
              </w:rPr>
            </w:pPr>
          </w:p>
        </w:tc>
      </w:tr>
      <w:tr w:rsidR="00921BDD" w:rsidRPr="00B818D9" w14:paraId="332C59E1" w14:textId="77777777" w:rsidTr="00921BDD">
        <w:trPr>
          <w:trHeight w:val="380"/>
        </w:trPr>
        <w:tc>
          <w:tcPr>
            <w:tcW w:w="511" w:type="dxa"/>
            <w:vAlign w:val="center"/>
          </w:tcPr>
          <w:p w14:paraId="39C25C72" w14:textId="77777777" w:rsidR="00921BDD" w:rsidRPr="00B818D9" w:rsidRDefault="00921BDD" w:rsidP="00921BDD">
            <w:pPr>
              <w:pStyle w:val="NormalWeb"/>
              <w:spacing w:line="360" w:lineRule="auto"/>
              <w:jc w:val="both"/>
              <w:rPr>
                <w:lang w:val="en-US"/>
              </w:rPr>
            </w:pPr>
          </w:p>
        </w:tc>
        <w:tc>
          <w:tcPr>
            <w:tcW w:w="4138" w:type="dxa"/>
            <w:vAlign w:val="center"/>
          </w:tcPr>
          <w:p w14:paraId="70614EBD" w14:textId="77777777" w:rsidR="00921BDD" w:rsidRPr="00B818D9" w:rsidRDefault="00921BDD" w:rsidP="00921BDD">
            <w:pPr>
              <w:pStyle w:val="NormalWeb"/>
              <w:spacing w:line="360" w:lineRule="auto"/>
              <w:jc w:val="both"/>
              <w:rPr>
                <w:lang w:val="en-US"/>
              </w:rPr>
            </w:pPr>
            <w:r w:rsidRPr="00B818D9">
              <w:rPr>
                <w:lang w:val="en-US"/>
              </w:rPr>
              <w:t>Chlamydiae</w:t>
            </w:r>
          </w:p>
        </w:tc>
        <w:tc>
          <w:tcPr>
            <w:tcW w:w="1414" w:type="dxa"/>
            <w:vAlign w:val="center"/>
          </w:tcPr>
          <w:p w14:paraId="601693E2" w14:textId="77777777" w:rsidR="00921BDD" w:rsidRPr="00B818D9" w:rsidRDefault="00921BDD" w:rsidP="00921BDD">
            <w:pPr>
              <w:pStyle w:val="NormalWeb"/>
              <w:spacing w:line="360" w:lineRule="auto"/>
              <w:jc w:val="both"/>
              <w:rPr>
                <w:lang w:val="en-US"/>
              </w:rPr>
            </w:pPr>
            <w:r w:rsidRPr="00B818D9">
              <w:rPr>
                <w:lang w:val="en-US"/>
              </w:rPr>
              <w:t>20</w:t>
            </w:r>
          </w:p>
        </w:tc>
        <w:tc>
          <w:tcPr>
            <w:tcW w:w="4137" w:type="dxa"/>
            <w:vAlign w:val="center"/>
          </w:tcPr>
          <w:p w14:paraId="5D341C3E" w14:textId="77777777" w:rsidR="00921BDD" w:rsidRPr="00B818D9" w:rsidRDefault="00921BDD" w:rsidP="00921BDD">
            <w:pPr>
              <w:pStyle w:val="NormalWeb"/>
              <w:spacing w:line="360" w:lineRule="auto"/>
              <w:jc w:val="both"/>
              <w:rPr>
                <w:lang w:val="en-US"/>
              </w:rPr>
            </w:pPr>
            <w:r w:rsidRPr="00B818D9">
              <w:rPr>
                <w:lang w:val="en-US"/>
              </w:rPr>
              <w:t>15,63(9,81 – 23,9)</w:t>
            </w:r>
          </w:p>
        </w:tc>
      </w:tr>
      <w:tr w:rsidR="00921BDD" w:rsidRPr="00B818D9" w14:paraId="6F57D838" w14:textId="77777777" w:rsidTr="00921BDD">
        <w:trPr>
          <w:trHeight w:val="397"/>
        </w:trPr>
        <w:tc>
          <w:tcPr>
            <w:tcW w:w="511" w:type="dxa"/>
            <w:vAlign w:val="center"/>
          </w:tcPr>
          <w:p w14:paraId="4780E108" w14:textId="77777777" w:rsidR="00921BDD" w:rsidRPr="00B818D9" w:rsidRDefault="00921BDD" w:rsidP="00921BDD">
            <w:pPr>
              <w:pStyle w:val="NormalWeb"/>
              <w:spacing w:line="360" w:lineRule="auto"/>
              <w:jc w:val="both"/>
              <w:rPr>
                <w:lang w:val="en-US"/>
              </w:rPr>
            </w:pPr>
          </w:p>
        </w:tc>
        <w:tc>
          <w:tcPr>
            <w:tcW w:w="4138" w:type="dxa"/>
            <w:vAlign w:val="center"/>
          </w:tcPr>
          <w:p w14:paraId="3645D702" w14:textId="77777777" w:rsidR="00921BDD" w:rsidRPr="00B818D9" w:rsidRDefault="00921BDD" w:rsidP="00921BDD">
            <w:pPr>
              <w:pStyle w:val="NormalWeb"/>
              <w:spacing w:line="360" w:lineRule="auto"/>
              <w:jc w:val="both"/>
              <w:rPr>
                <w:lang w:val="en-US"/>
              </w:rPr>
            </w:pPr>
            <w:r w:rsidRPr="00B818D9">
              <w:rPr>
                <w:lang w:val="en-US"/>
              </w:rPr>
              <w:t>Condylomes</w:t>
            </w:r>
          </w:p>
        </w:tc>
        <w:tc>
          <w:tcPr>
            <w:tcW w:w="1414" w:type="dxa"/>
            <w:vAlign w:val="center"/>
          </w:tcPr>
          <w:p w14:paraId="30563F2B" w14:textId="77777777" w:rsidR="00921BDD" w:rsidRPr="00B818D9" w:rsidRDefault="00921BDD" w:rsidP="00921BDD">
            <w:pPr>
              <w:pStyle w:val="NormalWeb"/>
              <w:spacing w:line="360" w:lineRule="auto"/>
              <w:jc w:val="both"/>
              <w:rPr>
                <w:lang w:val="en-US"/>
              </w:rPr>
            </w:pPr>
            <w:r w:rsidRPr="00B818D9">
              <w:rPr>
                <w:lang w:val="en-US"/>
              </w:rPr>
              <w:t>2</w:t>
            </w:r>
          </w:p>
        </w:tc>
        <w:tc>
          <w:tcPr>
            <w:tcW w:w="4137" w:type="dxa"/>
            <w:vAlign w:val="center"/>
          </w:tcPr>
          <w:p w14:paraId="77C22D7C" w14:textId="77777777" w:rsidR="00921BDD" w:rsidRPr="00B818D9" w:rsidRDefault="00921BDD" w:rsidP="00921BDD">
            <w:pPr>
              <w:pStyle w:val="NormalWeb"/>
              <w:spacing w:line="360" w:lineRule="auto"/>
              <w:jc w:val="both"/>
              <w:rPr>
                <w:lang w:val="en-US"/>
              </w:rPr>
            </w:pPr>
            <w:r w:rsidRPr="00B818D9">
              <w:rPr>
                <w:lang w:val="en-US"/>
              </w:rPr>
              <w:t>1,56(0,19 – 5,53)</w:t>
            </w:r>
          </w:p>
        </w:tc>
      </w:tr>
      <w:tr w:rsidR="00921BDD" w:rsidRPr="00B818D9" w14:paraId="18B6D756" w14:textId="77777777" w:rsidTr="00921BDD">
        <w:trPr>
          <w:trHeight w:val="397"/>
        </w:trPr>
        <w:tc>
          <w:tcPr>
            <w:tcW w:w="511" w:type="dxa"/>
            <w:vAlign w:val="center"/>
          </w:tcPr>
          <w:p w14:paraId="180EC505" w14:textId="77777777" w:rsidR="00921BDD" w:rsidRPr="00B818D9" w:rsidRDefault="00921BDD" w:rsidP="00921BDD">
            <w:pPr>
              <w:pStyle w:val="NormalWeb"/>
              <w:spacing w:line="360" w:lineRule="auto"/>
              <w:jc w:val="both"/>
              <w:rPr>
                <w:lang w:val="en-US"/>
              </w:rPr>
            </w:pPr>
          </w:p>
        </w:tc>
        <w:tc>
          <w:tcPr>
            <w:tcW w:w="4138" w:type="dxa"/>
            <w:vAlign w:val="center"/>
          </w:tcPr>
          <w:p w14:paraId="09A92138" w14:textId="77777777" w:rsidR="00921BDD" w:rsidRPr="00B818D9" w:rsidRDefault="00921BDD" w:rsidP="00921BDD">
            <w:pPr>
              <w:pStyle w:val="NormalWeb"/>
              <w:spacing w:line="360" w:lineRule="auto"/>
              <w:jc w:val="both"/>
              <w:rPr>
                <w:lang w:val="en-US"/>
              </w:rPr>
            </w:pPr>
            <w:r w:rsidRPr="00B818D9">
              <w:rPr>
                <w:lang w:val="en-US"/>
              </w:rPr>
              <w:t>Herpès</w:t>
            </w:r>
          </w:p>
        </w:tc>
        <w:tc>
          <w:tcPr>
            <w:tcW w:w="1414" w:type="dxa"/>
            <w:vAlign w:val="center"/>
          </w:tcPr>
          <w:p w14:paraId="386C1100" w14:textId="77777777" w:rsidR="00921BDD" w:rsidRPr="00B818D9" w:rsidRDefault="00921BDD" w:rsidP="00921BDD">
            <w:pPr>
              <w:pStyle w:val="NormalWeb"/>
              <w:spacing w:line="360" w:lineRule="auto"/>
              <w:jc w:val="both"/>
              <w:rPr>
                <w:lang w:val="en-US"/>
              </w:rPr>
            </w:pPr>
            <w:r w:rsidRPr="00B818D9">
              <w:rPr>
                <w:lang w:val="en-US"/>
              </w:rPr>
              <w:t>12</w:t>
            </w:r>
          </w:p>
        </w:tc>
        <w:tc>
          <w:tcPr>
            <w:tcW w:w="4137" w:type="dxa"/>
            <w:vAlign w:val="center"/>
          </w:tcPr>
          <w:p w14:paraId="24D4F48F" w14:textId="77777777" w:rsidR="00921BDD" w:rsidRPr="00B818D9" w:rsidRDefault="00921BDD" w:rsidP="00921BDD">
            <w:pPr>
              <w:pStyle w:val="NormalWeb"/>
              <w:spacing w:line="360" w:lineRule="auto"/>
              <w:jc w:val="both"/>
              <w:rPr>
                <w:lang w:val="en-US"/>
              </w:rPr>
            </w:pPr>
            <w:r w:rsidRPr="00B818D9">
              <w:rPr>
                <w:lang w:val="en-US"/>
              </w:rPr>
              <w:t>9,38(4,94 – 15,80)</w:t>
            </w:r>
          </w:p>
        </w:tc>
      </w:tr>
      <w:tr w:rsidR="00921BDD" w:rsidRPr="00B818D9" w14:paraId="6C1B3D8D" w14:textId="77777777" w:rsidTr="00921BDD">
        <w:trPr>
          <w:trHeight w:val="397"/>
        </w:trPr>
        <w:tc>
          <w:tcPr>
            <w:tcW w:w="511" w:type="dxa"/>
            <w:vAlign w:val="center"/>
          </w:tcPr>
          <w:p w14:paraId="396FB95D" w14:textId="77777777" w:rsidR="00921BDD" w:rsidRPr="00B818D9" w:rsidRDefault="00921BDD" w:rsidP="00921BDD">
            <w:pPr>
              <w:pStyle w:val="NormalWeb"/>
              <w:spacing w:line="360" w:lineRule="auto"/>
              <w:jc w:val="both"/>
              <w:rPr>
                <w:lang w:val="en-US"/>
              </w:rPr>
            </w:pPr>
          </w:p>
        </w:tc>
        <w:tc>
          <w:tcPr>
            <w:tcW w:w="4138" w:type="dxa"/>
            <w:vAlign w:val="center"/>
          </w:tcPr>
          <w:p w14:paraId="0E26E454" w14:textId="77777777" w:rsidR="00921BDD" w:rsidRPr="00B818D9" w:rsidRDefault="00921BDD" w:rsidP="00921BDD">
            <w:pPr>
              <w:pStyle w:val="NormalWeb"/>
              <w:spacing w:line="360" w:lineRule="auto"/>
              <w:jc w:val="both"/>
              <w:rPr>
                <w:lang w:val="en-US"/>
              </w:rPr>
            </w:pPr>
            <w:r w:rsidRPr="00B818D9">
              <w:rPr>
                <w:lang w:val="en-US"/>
              </w:rPr>
              <w:t>Mycoses</w:t>
            </w:r>
          </w:p>
        </w:tc>
        <w:tc>
          <w:tcPr>
            <w:tcW w:w="1414" w:type="dxa"/>
            <w:vAlign w:val="center"/>
          </w:tcPr>
          <w:p w14:paraId="05121F32" w14:textId="77777777" w:rsidR="00921BDD" w:rsidRPr="00B818D9" w:rsidRDefault="00921BDD" w:rsidP="00921BDD">
            <w:pPr>
              <w:pStyle w:val="NormalWeb"/>
              <w:spacing w:line="360" w:lineRule="auto"/>
              <w:jc w:val="both"/>
              <w:rPr>
                <w:lang w:val="en-US"/>
              </w:rPr>
            </w:pPr>
            <w:r w:rsidRPr="00B818D9">
              <w:rPr>
                <w:lang w:val="en-US"/>
              </w:rPr>
              <w:t>94</w:t>
            </w:r>
          </w:p>
        </w:tc>
        <w:tc>
          <w:tcPr>
            <w:tcW w:w="4137" w:type="dxa"/>
            <w:vAlign w:val="center"/>
          </w:tcPr>
          <w:p w14:paraId="234368E1" w14:textId="77777777" w:rsidR="00921BDD" w:rsidRPr="00B818D9" w:rsidRDefault="00921BDD" w:rsidP="00921BDD">
            <w:pPr>
              <w:pStyle w:val="NormalWeb"/>
              <w:spacing w:line="360" w:lineRule="auto"/>
              <w:jc w:val="both"/>
              <w:rPr>
                <w:lang w:val="en-US"/>
              </w:rPr>
            </w:pPr>
            <w:r w:rsidRPr="00B818D9">
              <w:rPr>
                <w:lang w:val="en-US"/>
              </w:rPr>
              <w:t>73,44(64,91 – 80,85)</w:t>
            </w:r>
          </w:p>
        </w:tc>
      </w:tr>
      <w:tr w:rsidR="00921BDD" w:rsidRPr="00B818D9" w14:paraId="113B3865" w14:textId="77777777" w:rsidTr="00921BDD">
        <w:trPr>
          <w:trHeight w:val="397"/>
        </w:trPr>
        <w:tc>
          <w:tcPr>
            <w:tcW w:w="4649" w:type="dxa"/>
            <w:gridSpan w:val="2"/>
            <w:vAlign w:val="center"/>
          </w:tcPr>
          <w:p w14:paraId="6C1544CE" w14:textId="77777777" w:rsidR="00921BDD" w:rsidRPr="00B818D9" w:rsidRDefault="00921BDD" w:rsidP="00921BDD">
            <w:pPr>
              <w:pStyle w:val="NormalWeb"/>
              <w:spacing w:line="360" w:lineRule="auto"/>
              <w:jc w:val="both"/>
              <w:rPr>
                <w:b/>
                <w:bCs/>
                <w:lang w:val="en-US"/>
              </w:rPr>
            </w:pPr>
            <w:r w:rsidRPr="00B818D9">
              <w:rPr>
                <w:b/>
                <w:bCs/>
                <w:lang w:val="en-US"/>
              </w:rPr>
              <w:t>Age of first sexual intercourse</w:t>
            </w:r>
          </w:p>
        </w:tc>
        <w:tc>
          <w:tcPr>
            <w:tcW w:w="1414" w:type="dxa"/>
            <w:vAlign w:val="center"/>
          </w:tcPr>
          <w:p w14:paraId="06FD72F9" w14:textId="77777777" w:rsidR="00921BDD" w:rsidRPr="00B818D9" w:rsidRDefault="00921BDD" w:rsidP="00921BDD">
            <w:pPr>
              <w:pStyle w:val="NormalWeb"/>
              <w:spacing w:line="360" w:lineRule="auto"/>
              <w:jc w:val="both"/>
              <w:rPr>
                <w:b/>
                <w:bCs/>
                <w:lang w:val="en-US"/>
              </w:rPr>
            </w:pPr>
            <w:r w:rsidRPr="00B818D9">
              <w:rPr>
                <w:b/>
                <w:bCs/>
                <w:lang w:val="en-US"/>
              </w:rPr>
              <w:t>N=198</w:t>
            </w:r>
          </w:p>
        </w:tc>
        <w:tc>
          <w:tcPr>
            <w:tcW w:w="4137" w:type="dxa"/>
            <w:vAlign w:val="center"/>
          </w:tcPr>
          <w:p w14:paraId="44306FBB" w14:textId="77777777" w:rsidR="00921BDD" w:rsidRPr="00B818D9" w:rsidRDefault="00921BDD" w:rsidP="00921BDD">
            <w:pPr>
              <w:pStyle w:val="NormalWeb"/>
              <w:spacing w:line="360" w:lineRule="auto"/>
              <w:jc w:val="both"/>
              <w:rPr>
                <w:b/>
                <w:bCs/>
                <w:lang w:val="en-US"/>
              </w:rPr>
            </w:pPr>
          </w:p>
        </w:tc>
      </w:tr>
      <w:tr w:rsidR="00921BDD" w:rsidRPr="00B818D9" w14:paraId="48FCF84B" w14:textId="77777777" w:rsidTr="00921BDD">
        <w:trPr>
          <w:trHeight w:val="380"/>
        </w:trPr>
        <w:tc>
          <w:tcPr>
            <w:tcW w:w="511" w:type="dxa"/>
            <w:vAlign w:val="center"/>
          </w:tcPr>
          <w:p w14:paraId="27EF3DE7" w14:textId="77777777" w:rsidR="00921BDD" w:rsidRPr="00B818D9" w:rsidRDefault="00921BDD" w:rsidP="00921BDD">
            <w:pPr>
              <w:pStyle w:val="NormalWeb"/>
              <w:spacing w:line="360" w:lineRule="auto"/>
              <w:jc w:val="both"/>
              <w:rPr>
                <w:lang w:val="en-US"/>
              </w:rPr>
            </w:pPr>
          </w:p>
        </w:tc>
        <w:tc>
          <w:tcPr>
            <w:tcW w:w="4138" w:type="dxa"/>
            <w:vAlign w:val="center"/>
          </w:tcPr>
          <w:p w14:paraId="20269E23" w14:textId="77777777" w:rsidR="00921BDD" w:rsidRPr="00B818D9" w:rsidRDefault="00921BDD" w:rsidP="00921BDD">
            <w:pPr>
              <w:pStyle w:val="NormalWeb"/>
              <w:spacing w:line="360" w:lineRule="auto"/>
              <w:jc w:val="both"/>
              <w:rPr>
                <w:lang w:val="en-US"/>
              </w:rPr>
            </w:pPr>
            <w:r w:rsidRPr="00B818D9">
              <w:rPr>
                <w:lang w:val="en-US"/>
              </w:rPr>
              <w:t>&lt; 18 ans</w:t>
            </w:r>
          </w:p>
        </w:tc>
        <w:tc>
          <w:tcPr>
            <w:tcW w:w="1414" w:type="dxa"/>
            <w:vAlign w:val="center"/>
          </w:tcPr>
          <w:p w14:paraId="048D68AE" w14:textId="77777777" w:rsidR="00921BDD" w:rsidRPr="00B818D9" w:rsidRDefault="00921BDD" w:rsidP="00921BDD">
            <w:pPr>
              <w:pStyle w:val="NormalWeb"/>
              <w:spacing w:line="360" w:lineRule="auto"/>
              <w:jc w:val="both"/>
              <w:rPr>
                <w:lang w:val="en-US"/>
              </w:rPr>
            </w:pPr>
            <w:r w:rsidRPr="00B818D9">
              <w:rPr>
                <w:lang w:val="en-US"/>
              </w:rPr>
              <w:t>127</w:t>
            </w:r>
          </w:p>
        </w:tc>
        <w:tc>
          <w:tcPr>
            <w:tcW w:w="4137" w:type="dxa"/>
            <w:vAlign w:val="center"/>
          </w:tcPr>
          <w:p w14:paraId="3FF58505" w14:textId="77777777" w:rsidR="00921BDD" w:rsidRPr="00B818D9" w:rsidRDefault="00921BDD" w:rsidP="00921BDD">
            <w:pPr>
              <w:pStyle w:val="NormalWeb"/>
              <w:spacing w:line="360" w:lineRule="auto"/>
              <w:jc w:val="both"/>
              <w:rPr>
                <w:lang w:val="en-US"/>
              </w:rPr>
            </w:pPr>
            <w:r w:rsidRPr="00B818D9">
              <w:rPr>
                <w:lang w:val="en-US"/>
              </w:rPr>
              <w:t>64,14(57,04 – 70,82)</w:t>
            </w:r>
          </w:p>
        </w:tc>
      </w:tr>
      <w:tr w:rsidR="00921BDD" w:rsidRPr="00B818D9" w14:paraId="4AB82395" w14:textId="77777777" w:rsidTr="00921BDD">
        <w:trPr>
          <w:trHeight w:val="380"/>
        </w:trPr>
        <w:tc>
          <w:tcPr>
            <w:tcW w:w="511" w:type="dxa"/>
            <w:vAlign w:val="center"/>
          </w:tcPr>
          <w:p w14:paraId="2BCE292B" w14:textId="77777777" w:rsidR="00921BDD" w:rsidRPr="00B818D9" w:rsidRDefault="00921BDD" w:rsidP="00921BDD">
            <w:pPr>
              <w:pStyle w:val="NormalWeb"/>
              <w:spacing w:line="360" w:lineRule="auto"/>
              <w:jc w:val="both"/>
              <w:rPr>
                <w:lang w:val="en-US"/>
              </w:rPr>
            </w:pPr>
          </w:p>
        </w:tc>
        <w:tc>
          <w:tcPr>
            <w:tcW w:w="4138" w:type="dxa"/>
            <w:vAlign w:val="center"/>
          </w:tcPr>
          <w:p w14:paraId="1F0E1AE2" w14:textId="77777777" w:rsidR="00921BDD" w:rsidRPr="00B818D9" w:rsidRDefault="00921BDD" w:rsidP="00921BDD">
            <w:pPr>
              <w:pStyle w:val="NormalWeb"/>
              <w:spacing w:line="360" w:lineRule="auto"/>
              <w:jc w:val="both"/>
              <w:rPr>
                <w:lang w:val="en-US"/>
              </w:rPr>
            </w:pPr>
            <w:r w:rsidRPr="00B818D9">
              <w:rPr>
                <w:lang w:val="en-US"/>
              </w:rPr>
              <w:t>≥18 ans</w:t>
            </w:r>
          </w:p>
        </w:tc>
        <w:tc>
          <w:tcPr>
            <w:tcW w:w="1414" w:type="dxa"/>
            <w:vAlign w:val="center"/>
          </w:tcPr>
          <w:p w14:paraId="7B2A15C8" w14:textId="77777777" w:rsidR="00921BDD" w:rsidRPr="00B818D9" w:rsidRDefault="00921BDD" w:rsidP="00921BDD">
            <w:pPr>
              <w:pStyle w:val="NormalWeb"/>
              <w:spacing w:line="360" w:lineRule="auto"/>
              <w:jc w:val="both"/>
              <w:rPr>
                <w:lang w:val="en-US"/>
              </w:rPr>
            </w:pPr>
            <w:r w:rsidRPr="00B818D9">
              <w:rPr>
                <w:lang w:val="en-US"/>
              </w:rPr>
              <w:t>71</w:t>
            </w:r>
          </w:p>
        </w:tc>
        <w:tc>
          <w:tcPr>
            <w:tcW w:w="4137" w:type="dxa"/>
            <w:vAlign w:val="center"/>
          </w:tcPr>
          <w:p w14:paraId="18929704" w14:textId="77777777" w:rsidR="00921BDD" w:rsidRPr="00B818D9" w:rsidRDefault="00921BDD" w:rsidP="00921BDD">
            <w:pPr>
              <w:pStyle w:val="NormalWeb"/>
              <w:spacing w:line="360" w:lineRule="auto"/>
              <w:jc w:val="both"/>
              <w:rPr>
                <w:lang w:val="en-US"/>
              </w:rPr>
            </w:pPr>
            <w:r w:rsidRPr="00B818D9">
              <w:rPr>
                <w:lang w:val="en-US"/>
              </w:rPr>
              <w:t>35,86(29,18 – 42,96)</w:t>
            </w:r>
          </w:p>
        </w:tc>
      </w:tr>
      <w:tr w:rsidR="00921BDD" w:rsidRPr="00B818D9" w14:paraId="7D0CDE99" w14:textId="77777777" w:rsidTr="00921BDD">
        <w:trPr>
          <w:trHeight w:val="397"/>
        </w:trPr>
        <w:tc>
          <w:tcPr>
            <w:tcW w:w="4649" w:type="dxa"/>
            <w:gridSpan w:val="2"/>
            <w:vAlign w:val="center"/>
          </w:tcPr>
          <w:p w14:paraId="1539EEA3" w14:textId="77777777" w:rsidR="00921BDD" w:rsidRPr="00B818D9" w:rsidRDefault="00921BDD" w:rsidP="00921BDD">
            <w:pPr>
              <w:pStyle w:val="NormalWeb"/>
              <w:spacing w:line="360" w:lineRule="auto"/>
              <w:jc w:val="both"/>
              <w:rPr>
                <w:b/>
                <w:bCs/>
                <w:lang w:val="en-US"/>
              </w:rPr>
            </w:pPr>
            <w:r w:rsidRPr="00B818D9">
              <w:rPr>
                <w:b/>
                <w:bCs/>
                <w:lang w:val="en-US"/>
              </w:rPr>
              <w:t>Use of contraceptives</w:t>
            </w:r>
          </w:p>
        </w:tc>
        <w:tc>
          <w:tcPr>
            <w:tcW w:w="1414" w:type="dxa"/>
            <w:vAlign w:val="center"/>
          </w:tcPr>
          <w:p w14:paraId="6A849F15" w14:textId="77777777" w:rsidR="00921BDD" w:rsidRPr="00B818D9" w:rsidRDefault="00921BDD" w:rsidP="00921BDD">
            <w:pPr>
              <w:pStyle w:val="NormalWeb"/>
              <w:spacing w:line="360" w:lineRule="auto"/>
              <w:jc w:val="both"/>
              <w:rPr>
                <w:b/>
                <w:bCs/>
                <w:lang w:val="en-US"/>
              </w:rPr>
            </w:pPr>
            <w:r w:rsidRPr="00B818D9">
              <w:rPr>
                <w:b/>
                <w:bCs/>
                <w:lang w:val="en-US"/>
              </w:rPr>
              <w:t>N=198</w:t>
            </w:r>
          </w:p>
        </w:tc>
        <w:tc>
          <w:tcPr>
            <w:tcW w:w="4137" w:type="dxa"/>
            <w:vAlign w:val="center"/>
          </w:tcPr>
          <w:p w14:paraId="7CD7C77C" w14:textId="77777777" w:rsidR="00921BDD" w:rsidRPr="00B818D9" w:rsidRDefault="00921BDD" w:rsidP="00921BDD">
            <w:pPr>
              <w:pStyle w:val="NormalWeb"/>
              <w:spacing w:line="360" w:lineRule="auto"/>
              <w:jc w:val="both"/>
              <w:rPr>
                <w:b/>
                <w:bCs/>
                <w:lang w:val="en-US"/>
              </w:rPr>
            </w:pPr>
          </w:p>
        </w:tc>
      </w:tr>
      <w:tr w:rsidR="00921BDD" w:rsidRPr="00B818D9" w14:paraId="01E061C8" w14:textId="77777777" w:rsidTr="00921BDD">
        <w:trPr>
          <w:trHeight w:val="397"/>
        </w:trPr>
        <w:tc>
          <w:tcPr>
            <w:tcW w:w="511" w:type="dxa"/>
            <w:vAlign w:val="center"/>
          </w:tcPr>
          <w:p w14:paraId="71C48BD7" w14:textId="77777777" w:rsidR="00921BDD" w:rsidRPr="00B818D9" w:rsidRDefault="00921BDD" w:rsidP="00921BDD">
            <w:pPr>
              <w:pStyle w:val="NormalWeb"/>
              <w:spacing w:line="360" w:lineRule="auto"/>
              <w:jc w:val="both"/>
              <w:rPr>
                <w:lang w:val="en-US"/>
              </w:rPr>
            </w:pPr>
          </w:p>
        </w:tc>
        <w:tc>
          <w:tcPr>
            <w:tcW w:w="4138" w:type="dxa"/>
            <w:vAlign w:val="center"/>
          </w:tcPr>
          <w:p w14:paraId="1C35A57A" w14:textId="77777777" w:rsidR="00921BDD" w:rsidRPr="00B818D9" w:rsidRDefault="00921BDD" w:rsidP="00921BDD">
            <w:pPr>
              <w:pStyle w:val="NormalWeb"/>
              <w:spacing w:line="360" w:lineRule="auto"/>
              <w:jc w:val="both"/>
              <w:rPr>
                <w:lang w:val="en-US"/>
              </w:rPr>
            </w:pPr>
            <w:r w:rsidRPr="00B818D9">
              <w:rPr>
                <w:lang w:val="en-US"/>
              </w:rPr>
              <w:t>Yes</w:t>
            </w:r>
          </w:p>
        </w:tc>
        <w:tc>
          <w:tcPr>
            <w:tcW w:w="1414" w:type="dxa"/>
            <w:vAlign w:val="center"/>
          </w:tcPr>
          <w:p w14:paraId="511A023A" w14:textId="77777777" w:rsidR="00921BDD" w:rsidRPr="00B818D9" w:rsidRDefault="00921BDD" w:rsidP="00921BDD">
            <w:pPr>
              <w:pStyle w:val="NormalWeb"/>
              <w:spacing w:line="360" w:lineRule="auto"/>
              <w:jc w:val="both"/>
              <w:rPr>
                <w:lang w:val="en-US"/>
              </w:rPr>
            </w:pPr>
            <w:r w:rsidRPr="00B818D9">
              <w:rPr>
                <w:lang w:val="en-US"/>
              </w:rPr>
              <w:t>66</w:t>
            </w:r>
          </w:p>
        </w:tc>
        <w:tc>
          <w:tcPr>
            <w:tcW w:w="4137" w:type="dxa"/>
            <w:vAlign w:val="center"/>
          </w:tcPr>
          <w:p w14:paraId="6DD43ACB" w14:textId="77777777" w:rsidR="00921BDD" w:rsidRPr="00B818D9" w:rsidRDefault="00921BDD" w:rsidP="00921BDD">
            <w:pPr>
              <w:pStyle w:val="NormalWeb"/>
              <w:spacing w:line="360" w:lineRule="auto"/>
              <w:jc w:val="both"/>
              <w:rPr>
                <w:lang w:val="en-US"/>
              </w:rPr>
            </w:pPr>
            <w:r w:rsidRPr="00B818D9">
              <w:rPr>
                <w:lang w:val="en-US"/>
              </w:rPr>
              <w:t>33,33(26,81 – 40,36)</w:t>
            </w:r>
          </w:p>
        </w:tc>
      </w:tr>
      <w:tr w:rsidR="00921BDD" w:rsidRPr="00B818D9" w14:paraId="33B891F4" w14:textId="77777777" w:rsidTr="00921BDD">
        <w:trPr>
          <w:trHeight w:val="397"/>
        </w:trPr>
        <w:tc>
          <w:tcPr>
            <w:tcW w:w="511" w:type="dxa"/>
            <w:vAlign w:val="center"/>
          </w:tcPr>
          <w:p w14:paraId="1813D5A7" w14:textId="77777777" w:rsidR="00921BDD" w:rsidRPr="00B818D9" w:rsidRDefault="00921BDD" w:rsidP="00921BDD">
            <w:pPr>
              <w:pStyle w:val="NormalWeb"/>
              <w:spacing w:line="360" w:lineRule="auto"/>
              <w:jc w:val="both"/>
              <w:rPr>
                <w:lang w:val="en-US"/>
              </w:rPr>
            </w:pPr>
          </w:p>
        </w:tc>
        <w:tc>
          <w:tcPr>
            <w:tcW w:w="4138" w:type="dxa"/>
            <w:vAlign w:val="center"/>
          </w:tcPr>
          <w:p w14:paraId="4BF830A6" w14:textId="77777777" w:rsidR="00921BDD" w:rsidRPr="00B818D9" w:rsidRDefault="00921BDD" w:rsidP="00921BDD">
            <w:pPr>
              <w:pStyle w:val="NormalWeb"/>
              <w:spacing w:line="360" w:lineRule="auto"/>
              <w:jc w:val="both"/>
              <w:rPr>
                <w:lang w:val="en-US"/>
              </w:rPr>
            </w:pPr>
            <w:r w:rsidRPr="00B818D9">
              <w:rPr>
                <w:lang w:val="en-US"/>
              </w:rPr>
              <w:t>No</w:t>
            </w:r>
          </w:p>
        </w:tc>
        <w:tc>
          <w:tcPr>
            <w:tcW w:w="1414" w:type="dxa"/>
            <w:vAlign w:val="center"/>
          </w:tcPr>
          <w:p w14:paraId="0B6F3E01" w14:textId="77777777" w:rsidR="00921BDD" w:rsidRPr="00B818D9" w:rsidRDefault="00921BDD" w:rsidP="00921BDD">
            <w:pPr>
              <w:pStyle w:val="NormalWeb"/>
              <w:spacing w:line="360" w:lineRule="auto"/>
              <w:jc w:val="both"/>
              <w:rPr>
                <w:lang w:val="en-US"/>
              </w:rPr>
            </w:pPr>
            <w:r w:rsidRPr="00B818D9">
              <w:rPr>
                <w:lang w:val="en-US"/>
              </w:rPr>
              <w:t>132</w:t>
            </w:r>
          </w:p>
        </w:tc>
        <w:tc>
          <w:tcPr>
            <w:tcW w:w="4137" w:type="dxa"/>
            <w:vAlign w:val="center"/>
          </w:tcPr>
          <w:p w14:paraId="45AA5CD8" w14:textId="77777777" w:rsidR="00921BDD" w:rsidRPr="00B818D9" w:rsidRDefault="00921BDD" w:rsidP="00921BDD">
            <w:pPr>
              <w:pStyle w:val="NormalWeb"/>
              <w:spacing w:line="360" w:lineRule="auto"/>
              <w:jc w:val="both"/>
              <w:rPr>
                <w:lang w:val="en-US"/>
              </w:rPr>
            </w:pPr>
            <w:r w:rsidRPr="00B818D9">
              <w:rPr>
                <w:lang w:val="en-US"/>
              </w:rPr>
              <w:t>66,67(59,64 – 73,19)</w:t>
            </w:r>
          </w:p>
        </w:tc>
      </w:tr>
    </w:tbl>
    <w:bookmarkEnd w:id="1"/>
    <w:p w14:paraId="3D0338B5" w14:textId="63F0D80A" w:rsidR="003E5DCD" w:rsidRPr="00B818D9" w:rsidRDefault="003E5DCD" w:rsidP="00B818D9">
      <w:pPr>
        <w:pStyle w:val="NormalWeb"/>
        <w:spacing w:line="360" w:lineRule="auto"/>
        <w:jc w:val="both"/>
        <w:rPr>
          <w:b/>
          <w:bCs/>
        </w:rPr>
      </w:pPr>
      <w:r w:rsidRPr="00B818D9">
        <w:rPr>
          <w:b/>
          <w:bCs/>
        </w:rPr>
        <w:t>Table II</w:t>
      </w:r>
      <w:r w:rsidR="00EE053B" w:rsidRPr="00B818D9">
        <w:rPr>
          <w:b/>
          <w:bCs/>
        </w:rPr>
        <w:t xml:space="preserve">. </w:t>
      </w:r>
      <w:r w:rsidR="00EE053B" w:rsidRPr="00887324">
        <w:t>Attitudes, practices and molecular of the study population</w:t>
      </w:r>
    </w:p>
    <w:p w14:paraId="4B3C58F7" w14:textId="77777777" w:rsidR="00DD5AE6" w:rsidRPr="00B818D9" w:rsidRDefault="00DD5AE6" w:rsidP="00B818D9">
      <w:pPr>
        <w:pStyle w:val="NormalWeb"/>
        <w:spacing w:line="360" w:lineRule="auto"/>
        <w:jc w:val="both"/>
      </w:pPr>
    </w:p>
    <w:p w14:paraId="3FA35B09" w14:textId="292AFCAC" w:rsidR="003E5DCD" w:rsidRPr="00B818D9" w:rsidRDefault="003E5DCD" w:rsidP="00B818D9">
      <w:pPr>
        <w:pStyle w:val="NormalWeb"/>
        <w:numPr>
          <w:ilvl w:val="1"/>
          <w:numId w:val="1"/>
        </w:numPr>
        <w:spacing w:line="360" w:lineRule="auto"/>
        <w:jc w:val="both"/>
        <w:rPr>
          <w:b/>
          <w:bCs/>
        </w:rPr>
      </w:pPr>
      <w:r w:rsidRPr="00B818D9">
        <w:rPr>
          <w:b/>
          <w:bCs/>
        </w:rPr>
        <w:t>Correlation between age group, marital status and STI history</w:t>
      </w:r>
    </w:p>
    <w:p w14:paraId="78E83598" w14:textId="77777777" w:rsidR="003E5DCD" w:rsidRPr="00B818D9" w:rsidRDefault="003E5DCD" w:rsidP="00B818D9">
      <w:pPr>
        <w:pStyle w:val="NormalWeb"/>
        <w:spacing w:line="360" w:lineRule="auto"/>
        <w:jc w:val="both"/>
      </w:pPr>
      <w:r w:rsidRPr="00B818D9">
        <w:t>We found that the marital status of the girls' parents was heterogeneously distributed in both STI modalities with high significance (p= 0.0002). This variable could have an influence on the occurrence of STIs in our study population. On the other hand, there was no significant association between girls' age and history of STIs. This means that age was not a risk factor in the occurrence of sexually transmitted infections (Table III).</w:t>
      </w:r>
    </w:p>
    <w:p w14:paraId="51EFF226" w14:textId="77777777" w:rsidR="005D187F" w:rsidRDefault="005D187F" w:rsidP="00B818D9">
      <w:pPr>
        <w:pStyle w:val="NormalWeb"/>
        <w:spacing w:line="360" w:lineRule="auto"/>
        <w:jc w:val="both"/>
        <w:rPr>
          <w:b/>
          <w:bCs/>
        </w:rPr>
      </w:pPr>
    </w:p>
    <w:p w14:paraId="5B197DBC" w14:textId="77777777" w:rsidR="00921BDD" w:rsidRDefault="00921BDD" w:rsidP="00B818D9">
      <w:pPr>
        <w:pStyle w:val="NormalWeb"/>
        <w:spacing w:line="360" w:lineRule="auto"/>
        <w:jc w:val="both"/>
        <w:rPr>
          <w:b/>
          <w:bCs/>
        </w:rPr>
      </w:pPr>
    </w:p>
    <w:p w14:paraId="0265B95A" w14:textId="77777777" w:rsidR="00921BDD" w:rsidRPr="00B818D9" w:rsidRDefault="00921BDD" w:rsidP="00B818D9">
      <w:pPr>
        <w:pStyle w:val="NormalWeb"/>
        <w:spacing w:line="360" w:lineRule="auto"/>
        <w:jc w:val="both"/>
        <w:rPr>
          <w:b/>
          <w:bCs/>
        </w:rPr>
      </w:pPr>
    </w:p>
    <w:tbl>
      <w:tblPr>
        <w:tblpPr w:leftFromText="141" w:rightFromText="141" w:bottomFromText="160" w:vertAnchor="text" w:horzAnchor="margin" w:tblpXSpec="center" w:tblpY="867"/>
        <w:tblOverlap w:val="never"/>
        <w:tblW w:w="9600" w:type="dxa"/>
        <w:tblBorders>
          <w:top w:val="single" w:sz="18" w:space="0" w:color="auto"/>
          <w:bottom w:val="single" w:sz="18" w:space="0" w:color="auto"/>
        </w:tblBorders>
        <w:tblLook w:val="04A0" w:firstRow="1" w:lastRow="0" w:firstColumn="1" w:lastColumn="0" w:noHBand="0" w:noVBand="1"/>
      </w:tblPr>
      <w:tblGrid>
        <w:gridCol w:w="593"/>
        <w:gridCol w:w="2896"/>
        <w:gridCol w:w="742"/>
        <w:gridCol w:w="377"/>
        <w:gridCol w:w="440"/>
        <w:gridCol w:w="849"/>
        <w:gridCol w:w="945"/>
        <w:gridCol w:w="769"/>
        <w:gridCol w:w="764"/>
        <w:gridCol w:w="93"/>
        <w:gridCol w:w="1132"/>
      </w:tblGrid>
      <w:tr w:rsidR="00887324" w:rsidRPr="00B818D9" w14:paraId="1A5A8B15" w14:textId="77777777" w:rsidTr="00887324">
        <w:trPr>
          <w:trHeight w:hRule="exact" w:val="321"/>
        </w:trPr>
        <w:tc>
          <w:tcPr>
            <w:tcW w:w="3489" w:type="dxa"/>
            <w:gridSpan w:val="2"/>
            <w:tcBorders>
              <w:top w:val="single" w:sz="4" w:space="0" w:color="auto"/>
              <w:left w:val="nil"/>
              <w:bottom w:val="nil"/>
              <w:right w:val="nil"/>
            </w:tcBorders>
            <w:hideMark/>
          </w:tcPr>
          <w:p w14:paraId="2A158333"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r w:rsidRPr="00B818D9">
              <w:rPr>
                <w:rFonts w:ascii="Times New Roman" w:eastAsia="Calibri" w:hAnsi="Times New Roman" w:cs="Times New Roman"/>
                <w:b/>
                <w:noProof w:val="0"/>
                <w:color w:val="000000"/>
                <w:sz w:val="24"/>
                <w:szCs w:val="24"/>
              </w:rPr>
              <w:lastRenderedPageBreak/>
              <w:t xml:space="preserve">         Features</w:t>
            </w:r>
          </w:p>
        </w:tc>
        <w:tc>
          <w:tcPr>
            <w:tcW w:w="3353" w:type="dxa"/>
            <w:gridSpan w:val="5"/>
            <w:tcBorders>
              <w:top w:val="single" w:sz="4" w:space="0" w:color="auto"/>
              <w:left w:val="nil"/>
              <w:bottom w:val="single" w:sz="4" w:space="0" w:color="auto"/>
              <w:right w:val="nil"/>
            </w:tcBorders>
            <w:vAlign w:val="center"/>
            <w:hideMark/>
          </w:tcPr>
          <w:p w14:paraId="1657112C"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r w:rsidRPr="00B818D9">
              <w:rPr>
                <w:rFonts w:ascii="Times New Roman" w:eastAsia="Calibri" w:hAnsi="Times New Roman" w:cs="Times New Roman"/>
                <w:b/>
                <w:noProof w:val="0"/>
                <w:color w:val="000000"/>
                <w:sz w:val="24"/>
                <w:szCs w:val="24"/>
              </w:rPr>
              <w:t>STI</w:t>
            </w:r>
          </w:p>
        </w:tc>
        <w:tc>
          <w:tcPr>
            <w:tcW w:w="1533" w:type="dxa"/>
            <w:gridSpan w:val="2"/>
            <w:tcBorders>
              <w:top w:val="single" w:sz="4" w:space="0" w:color="auto"/>
              <w:left w:val="nil"/>
              <w:bottom w:val="nil"/>
              <w:right w:val="nil"/>
            </w:tcBorders>
            <w:vAlign w:val="center"/>
          </w:tcPr>
          <w:p w14:paraId="253A9011"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p>
        </w:tc>
        <w:tc>
          <w:tcPr>
            <w:tcW w:w="1225" w:type="dxa"/>
            <w:gridSpan w:val="2"/>
            <w:tcBorders>
              <w:top w:val="single" w:sz="4" w:space="0" w:color="auto"/>
              <w:left w:val="nil"/>
              <w:bottom w:val="nil"/>
              <w:right w:val="nil"/>
            </w:tcBorders>
            <w:vAlign w:val="center"/>
          </w:tcPr>
          <w:p w14:paraId="52B58FCD"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p>
        </w:tc>
      </w:tr>
      <w:tr w:rsidR="00887324" w:rsidRPr="00B818D9" w14:paraId="52C8D8F3" w14:textId="77777777" w:rsidTr="00887324">
        <w:trPr>
          <w:trHeight w:hRule="exact" w:val="321"/>
        </w:trPr>
        <w:tc>
          <w:tcPr>
            <w:tcW w:w="3489" w:type="dxa"/>
            <w:gridSpan w:val="2"/>
            <w:tcBorders>
              <w:top w:val="nil"/>
              <w:left w:val="nil"/>
              <w:bottom w:val="nil"/>
              <w:right w:val="nil"/>
            </w:tcBorders>
          </w:tcPr>
          <w:p w14:paraId="1E9675C7"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p>
        </w:tc>
        <w:tc>
          <w:tcPr>
            <w:tcW w:w="1559" w:type="dxa"/>
            <w:gridSpan w:val="3"/>
            <w:tcBorders>
              <w:top w:val="single" w:sz="4" w:space="0" w:color="auto"/>
              <w:left w:val="nil"/>
              <w:bottom w:val="nil"/>
              <w:right w:val="nil"/>
            </w:tcBorders>
            <w:hideMark/>
          </w:tcPr>
          <w:p w14:paraId="0D312245"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r w:rsidRPr="00B818D9">
              <w:rPr>
                <w:rFonts w:ascii="Times New Roman" w:eastAsia="Calibri" w:hAnsi="Times New Roman" w:cs="Times New Roman"/>
                <w:b/>
                <w:noProof w:val="0"/>
                <w:color w:val="000000"/>
                <w:sz w:val="24"/>
                <w:szCs w:val="24"/>
              </w:rPr>
              <w:t>Positive</w:t>
            </w:r>
          </w:p>
        </w:tc>
        <w:tc>
          <w:tcPr>
            <w:tcW w:w="1794" w:type="dxa"/>
            <w:gridSpan w:val="2"/>
            <w:tcBorders>
              <w:top w:val="single" w:sz="4" w:space="0" w:color="auto"/>
              <w:left w:val="nil"/>
              <w:bottom w:val="nil"/>
              <w:right w:val="nil"/>
            </w:tcBorders>
            <w:vAlign w:val="center"/>
            <w:hideMark/>
          </w:tcPr>
          <w:p w14:paraId="30FC75C7"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r w:rsidRPr="00B818D9">
              <w:rPr>
                <w:rFonts w:ascii="Times New Roman" w:eastAsia="Calibri" w:hAnsi="Times New Roman" w:cs="Times New Roman"/>
                <w:b/>
                <w:noProof w:val="0"/>
                <w:color w:val="000000"/>
                <w:sz w:val="24"/>
                <w:szCs w:val="24"/>
              </w:rPr>
              <w:t>Negative</w:t>
            </w:r>
          </w:p>
        </w:tc>
        <w:tc>
          <w:tcPr>
            <w:tcW w:w="1626" w:type="dxa"/>
            <w:gridSpan w:val="3"/>
            <w:tcBorders>
              <w:top w:val="nil"/>
              <w:left w:val="nil"/>
              <w:bottom w:val="nil"/>
              <w:right w:val="nil"/>
            </w:tcBorders>
            <w:vAlign w:val="center"/>
          </w:tcPr>
          <w:p w14:paraId="603F1C6C"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p>
        </w:tc>
        <w:tc>
          <w:tcPr>
            <w:tcW w:w="1132" w:type="dxa"/>
            <w:tcBorders>
              <w:top w:val="nil"/>
              <w:left w:val="nil"/>
              <w:bottom w:val="nil"/>
              <w:right w:val="nil"/>
            </w:tcBorders>
            <w:vAlign w:val="center"/>
            <w:hideMark/>
          </w:tcPr>
          <w:p w14:paraId="70323FDC"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r w:rsidRPr="00B818D9">
              <w:rPr>
                <w:rFonts w:ascii="Times New Roman" w:eastAsia="Calibri" w:hAnsi="Times New Roman" w:cs="Times New Roman"/>
                <w:b/>
                <w:noProof w:val="0"/>
                <w:color w:val="000000"/>
                <w:sz w:val="24"/>
                <w:szCs w:val="24"/>
              </w:rPr>
              <w:t>P</w:t>
            </w:r>
          </w:p>
        </w:tc>
      </w:tr>
      <w:tr w:rsidR="00887324" w:rsidRPr="00B818D9" w14:paraId="62EE0406" w14:textId="77777777" w:rsidTr="00887324">
        <w:trPr>
          <w:trHeight w:hRule="exact" w:val="321"/>
        </w:trPr>
        <w:tc>
          <w:tcPr>
            <w:tcW w:w="3489" w:type="dxa"/>
            <w:gridSpan w:val="2"/>
            <w:tcBorders>
              <w:top w:val="nil"/>
              <w:left w:val="nil"/>
              <w:bottom w:val="single" w:sz="4" w:space="0" w:color="auto"/>
              <w:right w:val="nil"/>
            </w:tcBorders>
          </w:tcPr>
          <w:p w14:paraId="7E37D032"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p>
        </w:tc>
        <w:tc>
          <w:tcPr>
            <w:tcW w:w="742" w:type="dxa"/>
            <w:tcBorders>
              <w:top w:val="nil"/>
              <w:left w:val="nil"/>
              <w:bottom w:val="single" w:sz="4" w:space="0" w:color="auto"/>
              <w:right w:val="nil"/>
            </w:tcBorders>
            <w:hideMark/>
          </w:tcPr>
          <w:p w14:paraId="3E3AF9E9"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r w:rsidRPr="00B818D9">
              <w:rPr>
                <w:rFonts w:ascii="Times New Roman" w:eastAsia="Calibri" w:hAnsi="Times New Roman" w:cs="Times New Roman"/>
                <w:b/>
                <w:noProof w:val="0"/>
                <w:color w:val="000000"/>
                <w:sz w:val="24"/>
                <w:szCs w:val="24"/>
              </w:rPr>
              <w:t>n</w:t>
            </w:r>
          </w:p>
        </w:tc>
        <w:tc>
          <w:tcPr>
            <w:tcW w:w="817" w:type="dxa"/>
            <w:gridSpan w:val="2"/>
            <w:tcBorders>
              <w:top w:val="nil"/>
              <w:left w:val="nil"/>
              <w:bottom w:val="single" w:sz="4" w:space="0" w:color="auto"/>
              <w:right w:val="nil"/>
            </w:tcBorders>
            <w:hideMark/>
          </w:tcPr>
          <w:p w14:paraId="77924146"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r w:rsidRPr="00B818D9">
              <w:rPr>
                <w:rFonts w:ascii="Times New Roman" w:eastAsia="Calibri" w:hAnsi="Times New Roman" w:cs="Times New Roman"/>
                <w:b/>
                <w:noProof w:val="0"/>
                <w:color w:val="000000"/>
                <w:sz w:val="24"/>
                <w:szCs w:val="24"/>
              </w:rPr>
              <w:t>%</w:t>
            </w:r>
          </w:p>
        </w:tc>
        <w:tc>
          <w:tcPr>
            <w:tcW w:w="849" w:type="dxa"/>
            <w:tcBorders>
              <w:top w:val="nil"/>
              <w:left w:val="nil"/>
              <w:bottom w:val="single" w:sz="4" w:space="0" w:color="auto"/>
              <w:right w:val="nil"/>
            </w:tcBorders>
            <w:hideMark/>
          </w:tcPr>
          <w:p w14:paraId="40DF0E45"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r w:rsidRPr="00B818D9">
              <w:rPr>
                <w:rFonts w:ascii="Times New Roman" w:eastAsia="Calibri" w:hAnsi="Times New Roman" w:cs="Times New Roman"/>
                <w:b/>
                <w:noProof w:val="0"/>
                <w:color w:val="000000"/>
                <w:sz w:val="24"/>
                <w:szCs w:val="24"/>
              </w:rPr>
              <w:t>N</w:t>
            </w:r>
          </w:p>
        </w:tc>
        <w:tc>
          <w:tcPr>
            <w:tcW w:w="945" w:type="dxa"/>
            <w:tcBorders>
              <w:top w:val="nil"/>
              <w:left w:val="nil"/>
              <w:bottom w:val="single" w:sz="4" w:space="0" w:color="auto"/>
              <w:right w:val="nil"/>
            </w:tcBorders>
            <w:vAlign w:val="center"/>
            <w:hideMark/>
          </w:tcPr>
          <w:p w14:paraId="48334003"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r w:rsidRPr="00B818D9">
              <w:rPr>
                <w:rFonts w:ascii="Times New Roman" w:eastAsia="Calibri" w:hAnsi="Times New Roman" w:cs="Times New Roman"/>
                <w:b/>
                <w:noProof w:val="0"/>
                <w:color w:val="000000"/>
                <w:sz w:val="24"/>
                <w:szCs w:val="24"/>
              </w:rPr>
              <w:t>%</w:t>
            </w:r>
          </w:p>
        </w:tc>
        <w:tc>
          <w:tcPr>
            <w:tcW w:w="769" w:type="dxa"/>
            <w:tcBorders>
              <w:top w:val="nil"/>
              <w:left w:val="nil"/>
              <w:bottom w:val="single" w:sz="4" w:space="0" w:color="auto"/>
              <w:right w:val="nil"/>
            </w:tcBorders>
            <w:vAlign w:val="center"/>
            <w:hideMark/>
          </w:tcPr>
          <w:p w14:paraId="712B8FD9"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r w:rsidRPr="00B818D9">
              <w:rPr>
                <w:rFonts w:ascii="Times New Roman" w:eastAsia="Calibri" w:hAnsi="Times New Roman" w:cs="Times New Roman"/>
                <w:b/>
                <w:noProof w:val="0"/>
                <w:color w:val="000000"/>
                <w:sz w:val="24"/>
                <w:szCs w:val="24"/>
              </w:rPr>
              <w:t>N</w:t>
            </w:r>
          </w:p>
        </w:tc>
        <w:tc>
          <w:tcPr>
            <w:tcW w:w="857" w:type="dxa"/>
            <w:gridSpan w:val="2"/>
            <w:tcBorders>
              <w:top w:val="nil"/>
              <w:left w:val="nil"/>
              <w:bottom w:val="single" w:sz="4" w:space="0" w:color="auto"/>
              <w:right w:val="nil"/>
            </w:tcBorders>
            <w:vAlign w:val="center"/>
            <w:hideMark/>
          </w:tcPr>
          <w:p w14:paraId="2F3A7317"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r w:rsidRPr="00B818D9">
              <w:rPr>
                <w:rFonts w:ascii="Times New Roman" w:eastAsia="Calibri" w:hAnsi="Times New Roman" w:cs="Times New Roman"/>
                <w:b/>
                <w:noProof w:val="0"/>
                <w:color w:val="000000"/>
                <w:sz w:val="24"/>
                <w:szCs w:val="24"/>
              </w:rPr>
              <w:t>%</w:t>
            </w:r>
          </w:p>
        </w:tc>
        <w:tc>
          <w:tcPr>
            <w:tcW w:w="1132" w:type="dxa"/>
            <w:tcBorders>
              <w:top w:val="nil"/>
              <w:left w:val="nil"/>
              <w:bottom w:val="single" w:sz="4" w:space="0" w:color="auto"/>
              <w:right w:val="nil"/>
            </w:tcBorders>
            <w:vAlign w:val="center"/>
          </w:tcPr>
          <w:p w14:paraId="705E0B8D"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p>
        </w:tc>
      </w:tr>
      <w:tr w:rsidR="00887324" w:rsidRPr="00B818D9" w14:paraId="7885EB98" w14:textId="77777777" w:rsidTr="00887324">
        <w:trPr>
          <w:trHeight w:hRule="exact" w:val="321"/>
        </w:trPr>
        <w:tc>
          <w:tcPr>
            <w:tcW w:w="3489" w:type="dxa"/>
            <w:gridSpan w:val="2"/>
            <w:tcBorders>
              <w:top w:val="single" w:sz="4" w:space="0" w:color="auto"/>
              <w:left w:val="nil"/>
              <w:bottom w:val="nil"/>
              <w:right w:val="nil"/>
            </w:tcBorders>
            <w:hideMark/>
          </w:tcPr>
          <w:p w14:paraId="601D5848" w14:textId="77777777" w:rsidR="00887324" w:rsidRPr="00B818D9" w:rsidRDefault="00887324" w:rsidP="00887324">
            <w:pPr>
              <w:spacing w:line="360" w:lineRule="auto"/>
              <w:jc w:val="both"/>
              <w:rPr>
                <w:rFonts w:ascii="Times New Roman" w:eastAsia="Calibri" w:hAnsi="Times New Roman" w:cs="Times New Roman"/>
                <w:b/>
                <w:bCs/>
                <w:noProof w:val="0"/>
                <w:color w:val="000000"/>
                <w:sz w:val="24"/>
                <w:szCs w:val="24"/>
              </w:rPr>
            </w:pPr>
            <w:r w:rsidRPr="00B818D9">
              <w:rPr>
                <w:rFonts w:ascii="Times New Roman" w:eastAsia="Calibri" w:hAnsi="Times New Roman" w:cs="Times New Roman"/>
                <w:b/>
                <w:bCs/>
                <w:noProof w:val="0"/>
                <w:color w:val="000000"/>
                <w:sz w:val="24"/>
                <w:szCs w:val="24"/>
              </w:rPr>
              <w:t>Age group in year</w:t>
            </w:r>
          </w:p>
        </w:tc>
        <w:tc>
          <w:tcPr>
            <w:tcW w:w="1119" w:type="dxa"/>
            <w:gridSpan w:val="2"/>
            <w:tcBorders>
              <w:top w:val="single" w:sz="4" w:space="0" w:color="auto"/>
              <w:left w:val="nil"/>
              <w:bottom w:val="nil"/>
              <w:right w:val="nil"/>
            </w:tcBorders>
          </w:tcPr>
          <w:p w14:paraId="60D0B6E5"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440" w:type="dxa"/>
            <w:tcBorders>
              <w:top w:val="single" w:sz="4" w:space="0" w:color="auto"/>
              <w:left w:val="nil"/>
              <w:bottom w:val="nil"/>
              <w:right w:val="nil"/>
            </w:tcBorders>
          </w:tcPr>
          <w:p w14:paraId="420548E1"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1794" w:type="dxa"/>
            <w:gridSpan w:val="2"/>
            <w:tcBorders>
              <w:top w:val="single" w:sz="4" w:space="0" w:color="auto"/>
              <w:left w:val="nil"/>
              <w:bottom w:val="nil"/>
              <w:right w:val="nil"/>
            </w:tcBorders>
          </w:tcPr>
          <w:p w14:paraId="5FC9C9D6"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769" w:type="dxa"/>
            <w:tcBorders>
              <w:top w:val="single" w:sz="4" w:space="0" w:color="auto"/>
              <w:left w:val="nil"/>
              <w:bottom w:val="nil"/>
              <w:right w:val="nil"/>
            </w:tcBorders>
          </w:tcPr>
          <w:p w14:paraId="5B50F85F"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857" w:type="dxa"/>
            <w:gridSpan w:val="2"/>
            <w:tcBorders>
              <w:top w:val="single" w:sz="4" w:space="0" w:color="auto"/>
              <w:left w:val="nil"/>
              <w:bottom w:val="nil"/>
              <w:right w:val="nil"/>
            </w:tcBorders>
          </w:tcPr>
          <w:p w14:paraId="4C55485A"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1132" w:type="dxa"/>
            <w:tcBorders>
              <w:top w:val="single" w:sz="4" w:space="0" w:color="auto"/>
              <w:left w:val="nil"/>
              <w:bottom w:val="nil"/>
              <w:right w:val="nil"/>
            </w:tcBorders>
            <w:hideMark/>
          </w:tcPr>
          <w:p w14:paraId="7EC5777D"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r>
      <w:tr w:rsidR="00887324" w:rsidRPr="00B818D9" w14:paraId="32C54221" w14:textId="77777777" w:rsidTr="00887324">
        <w:trPr>
          <w:trHeight w:hRule="exact" w:val="448"/>
        </w:trPr>
        <w:tc>
          <w:tcPr>
            <w:tcW w:w="593" w:type="dxa"/>
            <w:tcBorders>
              <w:top w:val="nil"/>
              <w:left w:val="nil"/>
              <w:bottom w:val="nil"/>
              <w:right w:val="nil"/>
            </w:tcBorders>
          </w:tcPr>
          <w:p w14:paraId="44AC29B8"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2896" w:type="dxa"/>
            <w:tcBorders>
              <w:top w:val="nil"/>
              <w:left w:val="nil"/>
              <w:bottom w:val="nil"/>
              <w:right w:val="nil"/>
            </w:tcBorders>
            <w:hideMark/>
          </w:tcPr>
          <w:p w14:paraId="1BC9494B"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Under 18s</w:t>
            </w:r>
          </w:p>
        </w:tc>
        <w:tc>
          <w:tcPr>
            <w:tcW w:w="742" w:type="dxa"/>
            <w:tcBorders>
              <w:top w:val="nil"/>
              <w:left w:val="nil"/>
              <w:bottom w:val="nil"/>
              <w:right w:val="nil"/>
            </w:tcBorders>
            <w:vAlign w:val="center"/>
          </w:tcPr>
          <w:p w14:paraId="140D86BC"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23</w:t>
            </w:r>
          </w:p>
        </w:tc>
        <w:tc>
          <w:tcPr>
            <w:tcW w:w="817" w:type="dxa"/>
            <w:gridSpan w:val="2"/>
            <w:tcBorders>
              <w:top w:val="nil"/>
              <w:left w:val="nil"/>
              <w:bottom w:val="nil"/>
              <w:right w:val="nil"/>
            </w:tcBorders>
            <w:vAlign w:val="center"/>
          </w:tcPr>
          <w:p w14:paraId="65F68E85"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17,97</w:t>
            </w:r>
          </w:p>
        </w:tc>
        <w:tc>
          <w:tcPr>
            <w:tcW w:w="849" w:type="dxa"/>
            <w:tcBorders>
              <w:top w:val="nil"/>
              <w:left w:val="nil"/>
              <w:bottom w:val="nil"/>
              <w:right w:val="nil"/>
            </w:tcBorders>
            <w:vAlign w:val="center"/>
          </w:tcPr>
          <w:p w14:paraId="3EC6754F"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12</w:t>
            </w:r>
          </w:p>
        </w:tc>
        <w:tc>
          <w:tcPr>
            <w:tcW w:w="945" w:type="dxa"/>
            <w:tcBorders>
              <w:top w:val="nil"/>
              <w:left w:val="nil"/>
              <w:bottom w:val="nil"/>
              <w:right w:val="nil"/>
            </w:tcBorders>
            <w:vAlign w:val="center"/>
          </w:tcPr>
          <w:p w14:paraId="5E8F2E3D"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17,14</w:t>
            </w:r>
          </w:p>
        </w:tc>
        <w:tc>
          <w:tcPr>
            <w:tcW w:w="769" w:type="dxa"/>
            <w:tcBorders>
              <w:top w:val="nil"/>
              <w:left w:val="nil"/>
              <w:bottom w:val="nil"/>
              <w:right w:val="nil"/>
            </w:tcBorders>
            <w:vAlign w:val="center"/>
          </w:tcPr>
          <w:p w14:paraId="35EDD27F"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35</w:t>
            </w:r>
          </w:p>
        </w:tc>
        <w:tc>
          <w:tcPr>
            <w:tcW w:w="857" w:type="dxa"/>
            <w:gridSpan w:val="2"/>
            <w:tcBorders>
              <w:top w:val="nil"/>
              <w:left w:val="nil"/>
              <w:bottom w:val="nil"/>
              <w:right w:val="nil"/>
            </w:tcBorders>
            <w:vAlign w:val="center"/>
          </w:tcPr>
          <w:p w14:paraId="7FB12108"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17,68</w:t>
            </w:r>
          </w:p>
        </w:tc>
        <w:tc>
          <w:tcPr>
            <w:tcW w:w="1132" w:type="dxa"/>
            <w:vMerge w:val="restart"/>
            <w:tcBorders>
              <w:top w:val="nil"/>
              <w:left w:val="nil"/>
              <w:bottom w:val="nil"/>
              <w:right w:val="nil"/>
            </w:tcBorders>
            <w:vAlign w:val="center"/>
          </w:tcPr>
          <w:p w14:paraId="494D3A60" w14:textId="77777777" w:rsidR="00887324" w:rsidRPr="00B818D9" w:rsidRDefault="00887324" w:rsidP="00887324">
            <w:pPr>
              <w:spacing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Times New Roman" w:hAnsi="Times New Roman" w:cs="Times New Roman"/>
                <w:b/>
                <w:bCs/>
                <w:noProof w:val="0"/>
                <w:color w:val="000000"/>
                <w:sz w:val="24"/>
                <w:szCs w:val="24"/>
                <w:lang w:eastAsia="fr-FR"/>
              </w:rPr>
              <w:t>0,88</w:t>
            </w:r>
          </w:p>
        </w:tc>
      </w:tr>
      <w:tr w:rsidR="00887324" w:rsidRPr="00B818D9" w14:paraId="5A7F8E9A" w14:textId="77777777" w:rsidTr="00887324">
        <w:trPr>
          <w:trHeight w:hRule="exact" w:val="321"/>
        </w:trPr>
        <w:tc>
          <w:tcPr>
            <w:tcW w:w="593" w:type="dxa"/>
            <w:tcBorders>
              <w:top w:val="nil"/>
              <w:left w:val="nil"/>
              <w:bottom w:val="nil"/>
              <w:right w:val="nil"/>
            </w:tcBorders>
          </w:tcPr>
          <w:p w14:paraId="5486A9E1"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2896" w:type="dxa"/>
            <w:tcBorders>
              <w:top w:val="nil"/>
              <w:left w:val="nil"/>
              <w:bottom w:val="nil"/>
              <w:right w:val="nil"/>
            </w:tcBorders>
            <w:hideMark/>
          </w:tcPr>
          <w:p w14:paraId="4D2FF7ED"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18 years and over</w:t>
            </w:r>
          </w:p>
        </w:tc>
        <w:tc>
          <w:tcPr>
            <w:tcW w:w="742" w:type="dxa"/>
            <w:tcBorders>
              <w:top w:val="nil"/>
              <w:left w:val="nil"/>
              <w:bottom w:val="nil"/>
              <w:right w:val="nil"/>
            </w:tcBorders>
            <w:vAlign w:val="center"/>
          </w:tcPr>
          <w:p w14:paraId="44471B1C"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105</w:t>
            </w:r>
          </w:p>
        </w:tc>
        <w:tc>
          <w:tcPr>
            <w:tcW w:w="817" w:type="dxa"/>
            <w:gridSpan w:val="2"/>
            <w:tcBorders>
              <w:top w:val="nil"/>
              <w:left w:val="nil"/>
              <w:bottom w:val="nil"/>
              <w:right w:val="nil"/>
            </w:tcBorders>
            <w:vAlign w:val="center"/>
          </w:tcPr>
          <w:p w14:paraId="76E7DD1B"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82,03</w:t>
            </w:r>
          </w:p>
        </w:tc>
        <w:tc>
          <w:tcPr>
            <w:tcW w:w="849" w:type="dxa"/>
            <w:tcBorders>
              <w:top w:val="nil"/>
              <w:left w:val="nil"/>
              <w:bottom w:val="nil"/>
              <w:right w:val="nil"/>
            </w:tcBorders>
            <w:vAlign w:val="center"/>
          </w:tcPr>
          <w:p w14:paraId="381A5024"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58</w:t>
            </w:r>
          </w:p>
        </w:tc>
        <w:tc>
          <w:tcPr>
            <w:tcW w:w="945" w:type="dxa"/>
            <w:tcBorders>
              <w:top w:val="nil"/>
              <w:left w:val="nil"/>
              <w:bottom w:val="nil"/>
              <w:right w:val="nil"/>
            </w:tcBorders>
            <w:vAlign w:val="center"/>
          </w:tcPr>
          <w:p w14:paraId="64814E51"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82,86</w:t>
            </w:r>
          </w:p>
        </w:tc>
        <w:tc>
          <w:tcPr>
            <w:tcW w:w="769" w:type="dxa"/>
            <w:tcBorders>
              <w:top w:val="nil"/>
              <w:left w:val="nil"/>
              <w:bottom w:val="nil"/>
              <w:right w:val="nil"/>
            </w:tcBorders>
            <w:vAlign w:val="center"/>
          </w:tcPr>
          <w:p w14:paraId="4FA66014"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163</w:t>
            </w:r>
          </w:p>
        </w:tc>
        <w:tc>
          <w:tcPr>
            <w:tcW w:w="857" w:type="dxa"/>
            <w:gridSpan w:val="2"/>
            <w:tcBorders>
              <w:top w:val="nil"/>
              <w:left w:val="nil"/>
              <w:bottom w:val="nil"/>
              <w:right w:val="nil"/>
            </w:tcBorders>
            <w:vAlign w:val="center"/>
          </w:tcPr>
          <w:p w14:paraId="3CC0B343"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82,32</w:t>
            </w:r>
          </w:p>
        </w:tc>
        <w:tc>
          <w:tcPr>
            <w:tcW w:w="1132" w:type="dxa"/>
            <w:vMerge/>
            <w:tcBorders>
              <w:top w:val="nil"/>
              <w:left w:val="nil"/>
              <w:bottom w:val="nil"/>
              <w:right w:val="nil"/>
            </w:tcBorders>
            <w:vAlign w:val="center"/>
          </w:tcPr>
          <w:p w14:paraId="47A9DC91" w14:textId="77777777" w:rsidR="00887324" w:rsidRPr="00B818D9" w:rsidRDefault="00887324" w:rsidP="00887324">
            <w:pPr>
              <w:spacing w:after="0" w:line="360" w:lineRule="auto"/>
              <w:jc w:val="both"/>
              <w:rPr>
                <w:rFonts w:ascii="Times New Roman" w:eastAsia="Times New Roman" w:hAnsi="Times New Roman" w:cs="Times New Roman"/>
                <w:b/>
                <w:bCs/>
                <w:noProof w:val="0"/>
                <w:color w:val="000000"/>
                <w:sz w:val="24"/>
                <w:szCs w:val="24"/>
                <w:lang w:eastAsia="fr-FR"/>
              </w:rPr>
            </w:pPr>
          </w:p>
        </w:tc>
      </w:tr>
      <w:tr w:rsidR="00887324" w:rsidRPr="00B818D9" w14:paraId="7AC6B96E" w14:textId="77777777" w:rsidTr="00887324">
        <w:trPr>
          <w:trHeight w:hRule="exact" w:val="518"/>
        </w:trPr>
        <w:tc>
          <w:tcPr>
            <w:tcW w:w="3489" w:type="dxa"/>
            <w:gridSpan w:val="2"/>
            <w:tcBorders>
              <w:top w:val="nil"/>
              <w:left w:val="nil"/>
              <w:bottom w:val="nil"/>
              <w:right w:val="nil"/>
            </w:tcBorders>
            <w:hideMark/>
          </w:tcPr>
          <w:p w14:paraId="6A8E814F" w14:textId="77777777" w:rsidR="00887324" w:rsidRPr="00B818D9" w:rsidRDefault="00887324" w:rsidP="00887324">
            <w:pPr>
              <w:spacing w:line="360" w:lineRule="auto"/>
              <w:jc w:val="both"/>
              <w:rPr>
                <w:rFonts w:ascii="Times New Roman" w:eastAsia="Calibri" w:hAnsi="Times New Roman" w:cs="Times New Roman"/>
                <w:b/>
                <w:bCs/>
                <w:noProof w:val="0"/>
                <w:color w:val="000000"/>
                <w:sz w:val="24"/>
                <w:szCs w:val="24"/>
              </w:rPr>
            </w:pPr>
            <w:r w:rsidRPr="00B818D9">
              <w:rPr>
                <w:rFonts w:ascii="Times New Roman" w:eastAsia="Times New Roman" w:hAnsi="Times New Roman" w:cs="Times New Roman"/>
                <w:b/>
                <w:bCs/>
                <w:noProof w:val="0"/>
                <w:color w:val="000000"/>
                <w:kern w:val="2"/>
                <w:sz w:val="24"/>
                <w:szCs w:val="24"/>
                <w:lang w:eastAsia="fr-FR"/>
                <w14:ligatures w14:val="standardContextual"/>
              </w:rPr>
              <w:t>Parents’ marital status</w:t>
            </w:r>
          </w:p>
        </w:tc>
        <w:tc>
          <w:tcPr>
            <w:tcW w:w="1119" w:type="dxa"/>
            <w:gridSpan w:val="2"/>
            <w:tcBorders>
              <w:top w:val="nil"/>
              <w:left w:val="nil"/>
              <w:bottom w:val="nil"/>
              <w:right w:val="nil"/>
            </w:tcBorders>
            <w:vAlign w:val="center"/>
          </w:tcPr>
          <w:p w14:paraId="7803ABF5"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440" w:type="dxa"/>
            <w:tcBorders>
              <w:top w:val="nil"/>
              <w:left w:val="nil"/>
              <w:bottom w:val="nil"/>
              <w:right w:val="nil"/>
            </w:tcBorders>
            <w:vAlign w:val="center"/>
          </w:tcPr>
          <w:p w14:paraId="3FE8C44C"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1794" w:type="dxa"/>
            <w:gridSpan w:val="2"/>
            <w:tcBorders>
              <w:top w:val="nil"/>
              <w:left w:val="nil"/>
              <w:bottom w:val="nil"/>
              <w:right w:val="nil"/>
            </w:tcBorders>
            <w:vAlign w:val="center"/>
          </w:tcPr>
          <w:p w14:paraId="5FBF7FD5"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769" w:type="dxa"/>
            <w:tcBorders>
              <w:top w:val="nil"/>
              <w:left w:val="nil"/>
              <w:bottom w:val="nil"/>
              <w:right w:val="nil"/>
            </w:tcBorders>
            <w:vAlign w:val="center"/>
          </w:tcPr>
          <w:p w14:paraId="5098019E"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857" w:type="dxa"/>
            <w:gridSpan w:val="2"/>
            <w:tcBorders>
              <w:top w:val="nil"/>
              <w:left w:val="nil"/>
              <w:bottom w:val="nil"/>
              <w:right w:val="nil"/>
            </w:tcBorders>
            <w:vAlign w:val="center"/>
          </w:tcPr>
          <w:p w14:paraId="7282F22C"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1132" w:type="dxa"/>
            <w:tcBorders>
              <w:top w:val="nil"/>
              <w:left w:val="nil"/>
              <w:bottom w:val="nil"/>
              <w:right w:val="nil"/>
            </w:tcBorders>
            <w:vAlign w:val="center"/>
          </w:tcPr>
          <w:p w14:paraId="249171C8" w14:textId="77777777" w:rsidR="00887324" w:rsidRPr="00B818D9" w:rsidRDefault="00887324" w:rsidP="00887324">
            <w:pPr>
              <w:spacing w:line="360" w:lineRule="auto"/>
              <w:jc w:val="both"/>
              <w:rPr>
                <w:rFonts w:ascii="Times New Roman" w:eastAsia="Calibri" w:hAnsi="Times New Roman" w:cs="Times New Roman"/>
                <w:b/>
                <w:bCs/>
                <w:noProof w:val="0"/>
                <w:color w:val="000000"/>
                <w:sz w:val="24"/>
                <w:szCs w:val="24"/>
              </w:rPr>
            </w:pPr>
          </w:p>
        </w:tc>
      </w:tr>
      <w:tr w:rsidR="00887324" w:rsidRPr="00B818D9" w14:paraId="57C12FB6" w14:textId="77777777" w:rsidTr="00887324">
        <w:trPr>
          <w:trHeight w:hRule="exact" w:val="448"/>
        </w:trPr>
        <w:tc>
          <w:tcPr>
            <w:tcW w:w="593" w:type="dxa"/>
            <w:tcBorders>
              <w:top w:val="nil"/>
              <w:left w:val="nil"/>
              <w:bottom w:val="nil"/>
              <w:right w:val="nil"/>
            </w:tcBorders>
          </w:tcPr>
          <w:p w14:paraId="34C49E82"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2896" w:type="dxa"/>
            <w:tcBorders>
              <w:top w:val="nil"/>
              <w:left w:val="nil"/>
              <w:bottom w:val="nil"/>
              <w:right w:val="nil"/>
            </w:tcBorders>
            <w:vAlign w:val="center"/>
          </w:tcPr>
          <w:p w14:paraId="7601AA47" w14:textId="77777777" w:rsidR="00887324" w:rsidRPr="00B818D9" w:rsidRDefault="00887324" w:rsidP="00887324">
            <w:pPr>
              <w:spacing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Single</w:t>
            </w:r>
          </w:p>
        </w:tc>
        <w:tc>
          <w:tcPr>
            <w:tcW w:w="742" w:type="dxa"/>
            <w:tcBorders>
              <w:top w:val="nil"/>
              <w:left w:val="nil"/>
              <w:bottom w:val="nil"/>
              <w:right w:val="nil"/>
            </w:tcBorders>
            <w:vAlign w:val="center"/>
          </w:tcPr>
          <w:p w14:paraId="38EE69D1"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24</w:t>
            </w:r>
          </w:p>
        </w:tc>
        <w:tc>
          <w:tcPr>
            <w:tcW w:w="817" w:type="dxa"/>
            <w:gridSpan w:val="2"/>
            <w:tcBorders>
              <w:top w:val="nil"/>
              <w:left w:val="nil"/>
              <w:bottom w:val="nil"/>
              <w:right w:val="nil"/>
            </w:tcBorders>
            <w:vAlign w:val="center"/>
          </w:tcPr>
          <w:p w14:paraId="2D5E52DD"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18,75</w:t>
            </w:r>
          </w:p>
        </w:tc>
        <w:tc>
          <w:tcPr>
            <w:tcW w:w="849" w:type="dxa"/>
            <w:tcBorders>
              <w:top w:val="nil"/>
              <w:left w:val="nil"/>
              <w:bottom w:val="nil"/>
              <w:right w:val="nil"/>
            </w:tcBorders>
            <w:vAlign w:val="center"/>
          </w:tcPr>
          <w:p w14:paraId="169DBD42"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8</w:t>
            </w:r>
          </w:p>
        </w:tc>
        <w:tc>
          <w:tcPr>
            <w:tcW w:w="945" w:type="dxa"/>
            <w:tcBorders>
              <w:top w:val="nil"/>
              <w:left w:val="nil"/>
              <w:bottom w:val="nil"/>
              <w:right w:val="nil"/>
            </w:tcBorders>
            <w:vAlign w:val="center"/>
          </w:tcPr>
          <w:p w14:paraId="3C723FB4"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11,43</w:t>
            </w:r>
          </w:p>
        </w:tc>
        <w:tc>
          <w:tcPr>
            <w:tcW w:w="769" w:type="dxa"/>
            <w:tcBorders>
              <w:top w:val="nil"/>
              <w:left w:val="nil"/>
              <w:bottom w:val="nil"/>
              <w:right w:val="nil"/>
            </w:tcBorders>
            <w:vAlign w:val="center"/>
          </w:tcPr>
          <w:p w14:paraId="0602B51C"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32</w:t>
            </w:r>
          </w:p>
        </w:tc>
        <w:tc>
          <w:tcPr>
            <w:tcW w:w="857" w:type="dxa"/>
            <w:gridSpan w:val="2"/>
            <w:tcBorders>
              <w:top w:val="nil"/>
              <w:left w:val="nil"/>
              <w:bottom w:val="nil"/>
              <w:right w:val="nil"/>
            </w:tcBorders>
            <w:vAlign w:val="center"/>
          </w:tcPr>
          <w:p w14:paraId="30EAA90C"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16,16</w:t>
            </w:r>
          </w:p>
        </w:tc>
        <w:tc>
          <w:tcPr>
            <w:tcW w:w="1132" w:type="dxa"/>
            <w:vMerge w:val="restart"/>
            <w:tcBorders>
              <w:top w:val="nil"/>
              <w:left w:val="nil"/>
              <w:bottom w:val="single" w:sz="4" w:space="0" w:color="auto"/>
              <w:right w:val="nil"/>
            </w:tcBorders>
            <w:vAlign w:val="center"/>
          </w:tcPr>
          <w:p w14:paraId="3563FBD7" w14:textId="77777777" w:rsidR="00887324" w:rsidRPr="00B818D9" w:rsidRDefault="00887324" w:rsidP="00887324">
            <w:pPr>
              <w:spacing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Times New Roman" w:hAnsi="Times New Roman" w:cs="Times New Roman"/>
                <w:b/>
                <w:bCs/>
                <w:noProof w:val="0"/>
                <w:color w:val="000000"/>
                <w:sz w:val="24"/>
                <w:szCs w:val="24"/>
                <w:lang w:eastAsia="fr-FR"/>
              </w:rPr>
              <w:t>0,0002</w:t>
            </w:r>
          </w:p>
        </w:tc>
      </w:tr>
      <w:tr w:rsidR="00887324" w:rsidRPr="00B818D9" w14:paraId="6980EF96" w14:textId="77777777" w:rsidTr="00887324">
        <w:trPr>
          <w:trHeight w:hRule="exact" w:val="448"/>
        </w:trPr>
        <w:tc>
          <w:tcPr>
            <w:tcW w:w="593" w:type="dxa"/>
            <w:tcBorders>
              <w:top w:val="nil"/>
              <w:left w:val="nil"/>
              <w:bottom w:val="nil"/>
              <w:right w:val="nil"/>
            </w:tcBorders>
          </w:tcPr>
          <w:p w14:paraId="29503355"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2896" w:type="dxa"/>
            <w:tcBorders>
              <w:top w:val="nil"/>
              <w:left w:val="nil"/>
              <w:bottom w:val="nil"/>
              <w:right w:val="nil"/>
            </w:tcBorders>
            <w:vAlign w:val="center"/>
          </w:tcPr>
          <w:p w14:paraId="04CE1208" w14:textId="77777777" w:rsidR="00887324" w:rsidRPr="00B818D9" w:rsidRDefault="00887324" w:rsidP="00887324">
            <w:pPr>
              <w:spacing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Cohabitation</w:t>
            </w:r>
          </w:p>
        </w:tc>
        <w:tc>
          <w:tcPr>
            <w:tcW w:w="742" w:type="dxa"/>
            <w:tcBorders>
              <w:top w:val="nil"/>
              <w:left w:val="nil"/>
              <w:bottom w:val="nil"/>
              <w:right w:val="nil"/>
            </w:tcBorders>
            <w:vAlign w:val="center"/>
          </w:tcPr>
          <w:p w14:paraId="709681B0"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50</w:t>
            </w:r>
          </w:p>
        </w:tc>
        <w:tc>
          <w:tcPr>
            <w:tcW w:w="817" w:type="dxa"/>
            <w:gridSpan w:val="2"/>
            <w:tcBorders>
              <w:top w:val="nil"/>
              <w:left w:val="nil"/>
              <w:bottom w:val="nil"/>
              <w:right w:val="nil"/>
            </w:tcBorders>
            <w:vAlign w:val="center"/>
          </w:tcPr>
          <w:p w14:paraId="58FA3366"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39,06</w:t>
            </w:r>
          </w:p>
        </w:tc>
        <w:tc>
          <w:tcPr>
            <w:tcW w:w="849" w:type="dxa"/>
            <w:tcBorders>
              <w:top w:val="nil"/>
              <w:left w:val="nil"/>
              <w:bottom w:val="nil"/>
              <w:right w:val="nil"/>
            </w:tcBorders>
            <w:vAlign w:val="center"/>
          </w:tcPr>
          <w:p w14:paraId="1192B0A4"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11</w:t>
            </w:r>
          </w:p>
        </w:tc>
        <w:tc>
          <w:tcPr>
            <w:tcW w:w="945" w:type="dxa"/>
            <w:tcBorders>
              <w:top w:val="nil"/>
              <w:left w:val="nil"/>
              <w:bottom w:val="nil"/>
              <w:right w:val="nil"/>
            </w:tcBorders>
            <w:vAlign w:val="center"/>
          </w:tcPr>
          <w:p w14:paraId="438F3C39"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15,71</w:t>
            </w:r>
          </w:p>
        </w:tc>
        <w:tc>
          <w:tcPr>
            <w:tcW w:w="769" w:type="dxa"/>
            <w:tcBorders>
              <w:top w:val="nil"/>
              <w:left w:val="nil"/>
              <w:bottom w:val="nil"/>
              <w:right w:val="nil"/>
            </w:tcBorders>
            <w:vAlign w:val="center"/>
          </w:tcPr>
          <w:p w14:paraId="69063CD5"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61</w:t>
            </w:r>
          </w:p>
        </w:tc>
        <w:tc>
          <w:tcPr>
            <w:tcW w:w="857" w:type="dxa"/>
            <w:gridSpan w:val="2"/>
            <w:tcBorders>
              <w:top w:val="nil"/>
              <w:left w:val="nil"/>
              <w:bottom w:val="nil"/>
              <w:right w:val="nil"/>
            </w:tcBorders>
            <w:vAlign w:val="center"/>
          </w:tcPr>
          <w:p w14:paraId="2F58A753"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30,81</w:t>
            </w:r>
          </w:p>
        </w:tc>
        <w:tc>
          <w:tcPr>
            <w:tcW w:w="1132" w:type="dxa"/>
            <w:vMerge/>
            <w:tcBorders>
              <w:top w:val="nil"/>
              <w:left w:val="nil"/>
              <w:bottom w:val="single" w:sz="4" w:space="0" w:color="auto"/>
              <w:right w:val="nil"/>
            </w:tcBorders>
            <w:vAlign w:val="center"/>
          </w:tcPr>
          <w:p w14:paraId="7717DCDD" w14:textId="77777777" w:rsidR="00887324" w:rsidRPr="00B818D9" w:rsidRDefault="00887324" w:rsidP="00887324">
            <w:pPr>
              <w:spacing w:line="360" w:lineRule="auto"/>
              <w:jc w:val="both"/>
              <w:rPr>
                <w:rFonts w:ascii="Times New Roman" w:eastAsia="Calibri" w:hAnsi="Times New Roman" w:cs="Times New Roman"/>
                <w:b/>
                <w:noProof w:val="0"/>
                <w:color w:val="000000"/>
                <w:sz w:val="24"/>
                <w:szCs w:val="24"/>
              </w:rPr>
            </w:pPr>
          </w:p>
        </w:tc>
      </w:tr>
      <w:tr w:rsidR="00887324" w:rsidRPr="00B818D9" w14:paraId="3BBB6DE7" w14:textId="77777777" w:rsidTr="00887324">
        <w:trPr>
          <w:trHeight w:hRule="exact" w:val="321"/>
        </w:trPr>
        <w:tc>
          <w:tcPr>
            <w:tcW w:w="593" w:type="dxa"/>
            <w:tcBorders>
              <w:top w:val="nil"/>
              <w:left w:val="nil"/>
              <w:bottom w:val="single" w:sz="4" w:space="0" w:color="auto"/>
              <w:right w:val="nil"/>
            </w:tcBorders>
          </w:tcPr>
          <w:p w14:paraId="12743D83"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p>
        </w:tc>
        <w:tc>
          <w:tcPr>
            <w:tcW w:w="2896" w:type="dxa"/>
            <w:tcBorders>
              <w:top w:val="nil"/>
              <w:left w:val="nil"/>
              <w:bottom w:val="single" w:sz="4" w:space="0" w:color="auto"/>
              <w:right w:val="nil"/>
            </w:tcBorders>
            <w:vAlign w:val="center"/>
          </w:tcPr>
          <w:p w14:paraId="10689346" w14:textId="77777777" w:rsidR="00887324" w:rsidRPr="00B818D9" w:rsidRDefault="00887324" w:rsidP="00887324">
            <w:pPr>
              <w:spacing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Married</w:t>
            </w:r>
          </w:p>
        </w:tc>
        <w:tc>
          <w:tcPr>
            <w:tcW w:w="742" w:type="dxa"/>
            <w:tcBorders>
              <w:top w:val="nil"/>
              <w:left w:val="nil"/>
              <w:bottom w:val="single" w:sz="4" w:space="0" w:color="auto"/>
              <w:right w:val="nil"/>
            </w:tcBorders>
            <w:vAlign w:val="center"/>
          </w:tcPr>
          <w:p w14:paraId="16E69F40"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54</w:t>
            </w:r>
          </w:p>
        </w:tc>
        <w:tc>
          <w:tcPr>
            <w:tcW w:w="817" w:type="dxa"/>
            <w:gridSpan w:val="2"/>
            <w:tcBorders>
              <w:top w:val="nil"/>
              <w:left w:val="nil"/>
              <w:bottom w:val="single" w:sz="4" w:space="0" w:color="auto"/>
              <w:right w:val="nil"/>
            </w:tcBorders>
            <w:vAlign w:val="center"/>
          </w:tcPr>
          <w:p w14:paraId="28782448"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42,19</w:t>
            </w:r>
          </w:p>
        </w:tc>
        <w:tc>
          <w:tcPr>
            <w:tcW w:w="849" w:type="dxa"/>
            <w:tcBorders>
              <w:top w:val="nil"/>
              <w:left w:val="nil"/>
              <w:bottom w:val="single" w:sz="4" w:space="0" w:color="auto"/>
              <w:right w:val="nil"/>
            </w:tcBorders>
            <w:vAlign w:val="center"/>
          </w:tcPr>
          <w:p w14:paraId="2414A351"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51</w:t>
            </w:r>
          </w:p>
        </w:tc>
        <w:tc>
          <w:tcPr>
            <w:tcW w:w="945" w:type="dxa"/>
            <w:tcBorders>
              <w:top w:val="nil"/>
              <w:left w:val="nil"/>
              <w:bottom w:val="single" w:sz="4" w:space="0" w:color="auto"/>
              <w:right w:val="nil"/>
            </w:tcBorders>
            <w:vAlign w:val="center"/>
          </w:tcPr>
          <w:p w14:paraId="46CA2701" w14:textId="77777777" w:rsidR="00887324" w:rsidRPr="00B818D9" w:rsidRDefault="00887324" w:rsidP="00887324">
            <w:pPr>
              <w:spacing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72,86</w:t>
            </w:r>
          </w:p>
        </w:tc>
        <w:tc>
          <w:tcPr>
            <w:tcW w:w="769" w:type="dxa"/>
            <w:tcBorders>
              <w:top w:val="nil"/>
              <w:left w:val="nil"/>
              <w:bottom w:val="single" w:sz="4" w:space="0" w:color="auto"/>
              <w:right w:val="nil"/>
            </w:tcBorders>
            <w:vAlign w:val="center"/>
          </w:tcPr>
          <w:p w14:paraId="54471D44"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105</w:t>
            </w:r>
          </w:p>
        </w:tc>
        <w:tc>
          <w:tcPr>
            <w:tcW w:w="857" w:type="dxa"/>
            <w:gridSpan w:val="2"/>
            <w:tcBorders>
              <w:top w:val="nil"/>
              <w:left w:val="nil"/>
              <w:bottom w:val="single" w:sz="4" w:space="0" w:color="auto"/>
              <w:right w:val="nil"/>
            </w:tcBorders>
            <w:vAlign w:val="center"/>
          </w:tcPr>
          <w:p w14:paraId="473A939E" w14:textId="77777777" w:rsidR="00887324" w:rsidRPr="00B818D9" w:rsidRDefault="00887324" w:rsidP="00887324">
            <w:pPr>
              <w:spacing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53,03</w:t>
            </w:r>
          </w:p>
        </w:tc>
        <w:tc>
          <w:tcPr>
            <w:tcW w:w="1132" w:type="dxa"/>
            <w:vMerge/>
            <w:tcBorders>
              <w:top w:val="nil"/>
              <w:left w:val="nil"/>
              <w:bottom w:val="single" w:sz="4" w:space="0" w:color="auto"/>
              <w:right w:val="nil"/>
            </w:tcBorders>
            <w:vAlign w:val="center"/>
          </w:tcPr>
          <w:p w14:paraId="2D3DED0A" w14:textId="77777777" w:rsidR="00887324" w:rsidRPr="00B818D9" w:rsidRDefault="00887324" w:rsidP="00887324">
            <w:pPr>
              <w:spacing w:after="0" w:line="360" w:lineRule="auto"/>
              <w:jc w:val="both"/>
              <w:rPr>
                <w:rFonts w:ascii="Times New Roman" w:eastAsia="Times New Roman" w:hAnsi="Times New Roman" w:cs="Times New Roman"/>
                <w:noProof w:val="0"/>
                <w:color w:val="000000"/>
                <w:sz w:val="24"/>
                <w:szCs w:val="24"/>
                <w:lang w:eastAsia="fr-FR"/>
              </w:rPr>
            </w:pPr>
          </w:p>
        </w:tc>
      </w:tr>
    </w:tbl>
    <w:p w14:paraId="36BCFAA0" w14:textId="47C08350" w:rsidR="00FA1CC1" w:rsidRPr="00B818D9" w:rsidRDefault="003E5DCD" w:rsidP="00B818D9">
      <w:pPr>
        <w:pStyle w:val="NormalWeb"/>
        <w:spacing w:line="360" w:lineRule="auto"/>
        <w:jc w:val="both"/>
      </w:pPr>
      <w:r w:rsidRPr="00B818D9">
        <w:rPr>
          <w:b/>
          <w:bCs/>
        </w:rPr>
        <w:t>Table III</w:t>
      </w:r>
      <w:r w:rsidR="00FA1CC1" w:rsidRPr="00B818D9">
        <w:rPr>
          <w:b/>
          <w:bCs/>
        </w:rPr>
        <w:t xml:space="preserve">. </w:t>
      </w:r>
      <w:r w:rsidR="00FA1CC1" w:rsidRPr="00113791">
        <w:rPr>
          <w:highlight w:val="yellow"/>
        </w:rPr>
        <w:t>Comparative description of the socio-demographic</w:t>
      </w:r>
      <w:r w:rsidR="005D187F" w:rsidRPr="00113791">
        <w:rPr>
          <w:highlight w:val="yellow"/>
        </w:rPr>
        <w:t xml:space="preserve"> characyeristics of </w:t>
      </w:r>
      <w:r w:rsidR="006234B4" w:rsidRPr="00113791">
        <w:rPr>
          <w:highlight w:val="yellow"/>
        </w:rPr>
        <w:t>young women</w:t>
      </w:r>
      <w:r w:rsidR="005D187F" w:rsidRPr="00113791">
        <w:rPr>
          <w:highlight w:val="yellow"/>
        </w:rPr>
        <w:t xml:space="preserve"> on</w:t>
      </w:r>
      <w:r w:rsidR="005D187F" w:rsidRPr="00B818D9">
        <w:t xml:space="preserve"> the occurrence of STIs</w:t>
      </w:r>
    </w:p>
    <w:p w14:paraId="28731E87" w14:textId="77777777" w:rsidR="008A547E" w:rsidRPr="00B818D9" w:rsidRDefault="008A547E" w:rsidP="00B818D9">
      <w:pPr>
        <w:pStyle w:val="NormalWeb"/>
        <w:spacing w:line="360" w:lineRule="auto"/>
        <w:jc w:val="both"/>
        <w:rPr>
          <w:b/>
          <w:bCs/>
        </w:rPr>
      </w:pPr>
    </w:p>
    <w:p w14:paraId="5F42812A" w14:textId="4D586801" w:rsidR="003E5DCD" w:rsidRPr="00B818D9" w:rsidRDefault="003E5DCD" w:rsidP="00B818D9">
      <w:pPr>
        <w:pStyle w:val="NormalWeb"/>
        <w:numPr>
          <w:ilvl w:val="1"/>
          <w:numId w:val="1"/>
        </w:numPr>
        <w:spacing w:line="360" w:lineRule="auto"/>
        <w:jc w:val="both"/>
        <w:rPr>
          <w:b/>
          <w:bCs/>
        </w:rPr>
      </w:pPr>
      <w:r w:rsidRPr="00B818D9">
        <w:rPr>
          <w:b/>
          <w:bCs/>
        </w:rPr>
        <w:t>Risk factors associated with STI history</w:t>
      </w:r>
    </w:p>
    <w:p w14:paraId="156220AC" w14:textId="77777777" w:rsidR="003E5DCD" w:rsidRPr="00B818D9" w:rsidRDefault="003E5DCD" w:rsidP="00B818D9">
      <w:pPr>
        <w:pStyle w:val="NormalWeb"/>
        <w:spacing w:line="360" w:lineRule="auto"/>
        <w:jc w:val="both"/>
      </w:pPr>
      <w:r w:rsidRPr="00B818D9">
        <w:t>Comparing girls from married parents with those whose parents were either cohabiting or single in Table IV, we found that girls whose sires were single or cohabiting had 3 to 4 times the risk of contracting an STI compared with those whose parents were married. These two results had a significant association (p=0.018 and p=0.0001).</w:t>
      </w:r>
    </w:p>
    <w:p w14:paraId="180C603F" w14:textId="7D0F09E2" w:rsidR="00467EEF" w:rsidRPr="00887324" w:rsidRDefault="003E5DCD" w:rsidP="00B818D9">
      <w:pPr>
        <w:pStyle w:val="NormalWeb"/>
        <w:spacing w:line="360" w:lineRule="auto"/>
        <w:jc w:val="both"/>
      </w:pPr>
      <w:r w:rsidRPr="00B818D9">
        <w:rPr>
          <w:b/>
          <w:bCs/>
        </w:rPr>
        <w:t>Table IV</w:t>
      </w:r>
      <w:r w:rsidR="00C8218F" w:rsidRPr="00B818D9">
        <w:rPr>
          <w:b/>
          <w:bCs/>
        </w:rPr>
        <w:t xml:space="preserve">. </w:t>
      </w:r>
      <w:r w:rsidR="00C8218F" w:rsidRPr="00887324">
        <w:t>Risk factors</w:t>
      </w:r>
      <w:r w:rsidR="00467EEF" w:rsidRPr="00887324">
        <w:t xml:space="preserve"> associated with a history of STI</w:t>
      </w:r>
    </w:p>
    <w:tbl>
      <w:tblPr>
        <w:tblpPr w:leftFromText="141" w:rightFromText="141" w:bottomFromText="160" w:vertAnchor="text" w:horzAnchor="margin" w:tblpXSpec="center" w:tblpY="-53"/>
        <w:tblOverlap w:val="never"/>
        <w:tblW w:w="10060" w:type="dxa"/>
        <w:tblBorders>
          <w:top w:val="single" w:sz="18" w:space="0" w:color="auto"/>
          <w:bottom w:val="single" w:sz="18" w:space="0" w:color="auto"/>
        </w:tblBorders>
        <w:tblLayout w:type="fixed"/>
        <w:tblCellMar>
          <w:top w:w="75" w:type="dxa"/>
          <w:left w:w="75" w:type="dxa"/>
          <w:bottom w:w="75" w:type="dxa"/>
          <w:right w:w="75" w:type="dxa"/>
        </w:tblCellMar>
        <w:tblLook w:val="04A0" w:firstRow="1" w:lastRow="0" w:firstColumn="1" w:lastColumn="0" w:noHBand="0" w:noVBand="1"/>
      </w:tblPr>
      <w:tblGrid>
        <w:gridCol w:w="522"/>
        <w:gridCol w:w="3007"/>
        <w:gridCol w:w="782"/>
        <w:gridCol w:w="783"/>
        <w:gridCol w:w="654"/>
        <w:gridCol w:w="651"/>
        <w:gridCol w:w="787"/>
        <w:gridCol w:w="1959"/>
        <w:gridCol w:w="915"/>
      </w:tblGrid>
      <w:tr w:rsidR="00F95159" w:rsidRPr="00B818D9" w14:paraId="75FE04F2" w14:textId="77777777" w:rsidTr="00F95159">
        <w:trPr>
          <w:trHeight w:hRule="exact" w:val="341"/>
        </w:trPr>
        <w:tc>
          <w:tcPr>
            <w:tcW w:w="522" w:type="dxa"/>
            <w:tcBorders>
              <w:top w:val="single" w:sz="4" w:space="0" w:color="auto"/>
              <w:left w:val="nil"/>
              <w:bottom w:val="nil"/>
              <w:right w:val="nil"/>
            </w:tcBorders>
          </w:tcPr>
          <w:p w14:paraId="79D81994"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3007" w:type="dxa"/>
            <w:vMerge w:val="restart"/>
            <w:tcBorders>
              <w:top w:val="single" w:sz="4" w:space="0" w:color="auto"/>
              <w:left w:val="nil"/>
              <w:bottom w:val="single" w:sz="4" w:space="0" w:color="auto"/>
              <w:right w:val="nil"/>
            </w:tcBorders>
            <w:tcMar>
              <w:top w:w="75" w:type="dxa"/>
              <w:left w:w="75" w:type="dxa"/>
              <w:bottom w:w="0" w:type="dxa"/>
              <w:right w:w="75" w:type="dxa"/>
            </w:tcMar>
            <w:vAlign w:val="center"/>
          </w:tcPr>
          <w:p w14:paraId="725A3ED8"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782" w:type="dxa"/>
            <w:tcBorders>
              <w:top w:val="single" w:sz="4" w:space="0" w:color="auto"/>
              <w:left w:val="nil"/>
              <w:bottom w:val="nil"/>
              <w:right w:val="nil"/>
            </w:tcBorders>
            <w:tcMar>
              <w:top w:w="75" w:type="dxa"/>
              <w:left w:w="75" w:type="dxa"/>
              <w:bottom w:w="0" w:type="dxa"/>
              <w:right w:w="75" w:type="dxa"/>
            </w:tcMar>
            <w:vAlign w:val="center"/>
          </w:tcPr>
          <w:p w14:paraId="0B29DCE2" w14:textId="77777777" w:rsidR="00F95159" w:rsidRPr="00B818D9" w:rsidRDefault="00F95159" w:rsidP="00B818D9">
            <w:pPr>
              <w:spacing w:after="0" w:line="360" w:lineRule="auto"/>
              <w:jc w:val="both"/>
              <w:rPr>
                <w:rFonts w:ascii="Times New Roman" w:eastAsia="Calibri" w:hAnsi="Times New Roman" w:cs="Times New Roman"/>
                <w:b/>
                <w:noProof w:val="0"/>
                <w:color w:val="000000"/>
                <w:sz w:val="24"/>
                <w:szCs w:val="24"/>
              </w:rPr>
            </w:pPr>
          </w:p>
          <w:p w14:paraId="600B79AE"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Calibri" w:hAnsi="Times New Roman" w:cs="Times New Roman"/>
                <w:b/>
                <w:noProof w:val="0"/>
                <w:color w:val="000000"/>
                <w:sz w:val="24"/>
                <w:szCs w:val="24"/>
              </w:rPr>
              <w:t>Total, N</w:t>
            </w:r>
          </w:p>
        </w:tc>
        <w:tc>
          <w:tcPr>
            <w:tcW w:w="2875" w:type="dxa"/>
            <w:gridSpan w:val="4"/>
            <w:tcBorders>
              <w:top w:val="single" w:sz="4" w:space="0" w:color="auto"/>
              <w:left w:val="nil"/>
              <w:bottom w:val="single" w:sz="4" w:space="0" w:color="auto"/>
              <w:right w:val="nil"/>
            </w:tcBorders>
            <w:tcMar>
              <w:top w:w="75" w:type="dxa"/>
              <w:left w:w="75" w:type="dxa"/>
              <w:bottom w:w="0" w:type="dxa"/>
              <w:right w:w="75" w:type="dxa"/>
            </w:tcMar>
            <w:vAlign w:val="center"/>
            <w:hideMark/>
          </w:tcPr>
          <w:p w14:paraId="3347EF2A"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Times New Roman" w:hAnsi="Times New Roman" w:cs="Times New Roman"/>
                <w:b/>
                <w:bCs/>
                <w:noProof w:val="0"/>
                <w:color w:val="000000"/>
                <w:sz w:val="24"/>
                <w:szCs w:val="24"/>
                <w:lang w:eastAsia="fr-FR"/>
              </w:rPr>
              <w:t>STI</w:t>
            </w:r>
          </w:p>
        </w:tc>
        <w:tc>
          <w:tcPr>
            <w:tcW w:w="2874" w:type="dxa"/>
            <w:gridSpan w:val="2"/>
            <w:tcBorders>
              <w:top w:val="single" w:sz="4" w:space="0" w:color="auto"/>
              <w:left w:val="nil"/>
              <w:bottom w:val="nil"/>
              <w:right w:val="nil"/>
            </w:tcBorders>
            <w:vAlign w:val="center"/>
          </w:tcPr>
          <w:p w14:paraId="69AEE7C3" w14:textId="77777777" w:rsidR="00F95159" w:rsidRPr="00B818D9" w:rsidRDefault="00F95159" w:rsidP="00B818D9">
            <w:pPr>
              <w:spacing w:after="0" w:line="360" w:lineRule="auto"/>
              <w:ind w:left="1416"/>
              <w:jc w:val="both"/>
              <w:rPr>
                <w:rFonts w:ascii="Times New Roman" w:eastAsia="Times New Roman" w:hAnsi="Times New Roman" w:cs="Times New Roman"/>
                <w:b/>
                <w:bCs/>
                <w:noProof w:val="0"/>
                <w:color w:val="000000"/>
                <w:sz w:val="24"/>
                <w:szCs w:val="24"/>
                <w:lang w:eastAsia="fr-FR"/>
              </w:rPr>
            </w:pPr>
          </w:p>
        </w:tc>
      </w:tr>
      <w:tr w:rsidR="00F95159" w:rsidRPr="00B818D9" w14:paraId="546673EB" w14:textId="77777777" w:rsidTr="00F95159">
        <w:trPr>
          <w:trHeight w:hRule="exact" w:val="341"/>
        </w:trPr>
        <w:tc>
          <w:tcPr>
            <w:tcW w:w="522" w:type="dxa"/>
            <w:tcBorders>
              <w:top w:val="nil"/>
              <w:left w:val="nil"/>
              <w:bottom w:val="single" w:sz="4" w:space="0" w:color="auto"/>
              <w:right w:val="nil"/>
            </w:tcBorders>
          </w:tcPr>
          <w:p w14:paraId="2D10A157"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3007" w:type="dxa"/>
            <w:vMerge/>
            <w:tcBorders>
              <w:top w:val="single" w:sz="4" w:space="0" w:color="auto"/>
              <w:left w:val="nil"/>
              <w:bottom w:val="single" w:sz="4" w:space="0" w:color="auto"/>
              <w:right w:val="nil"/>
            </w:tcBorders>
            <w:vAlign w:val="center"/>
            <w:hideMark/>
          </w:tcPr>
          <w:p w14:paraId="720A4FF5"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782" w:type="dxa"/>
            <w:tcBorders>
              <w:top w:val="nil"/>
              <w:left w:val="nil"/>
              <w:bottom w:val="single" w:sz="4" w:space="0" w:color="auto"/>
              <w:right w:val="nil"/>
            </w:tcBorders>
            <w:tcMar>
              <w:top w:w="75" w:type="dxa"/>
              <w:left w:w="75" w:type="dxa"/>
              <w:bottom w:w="0" w:type="dxa"/>
              <w:right w:w="75" w:type="dxa"/>
            </w:tcMar>
            <w:vAlign w:val="center"/>
            <w:hideMark/>
          </w:tcPr>
          <w:p w14:paraId="10AA638A"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Times New Roman" w:hAnsi="Times New Roman" w:cs="Times New Roman"/>
                <w:b/>
                <w:bCs/>
                <w:noProof w:val="0"/>
                <w:color w:val="000000"/>
                <w:sz w:val="24"/>
                <w:szCs w:val="24"/>
                <w:lang w:eastAsia="fr-FR"/>
              </w:rPr>
              <w:t>N=198</w:t>
            </w:r>
          </w:p>
        </w:tc>
        <w:tc>
          <w:tcPr>
            <w:tcW w:w="1437" w:type="dxa"/>
            <w:gridSpan w:val="2"/>
            <w:tcBorders>
              <w:top w:val="single" w:sz="4" w:space="0" w:color="auto"/>
              <w:left w:val="nil"/>
              <w:bottom w:val="single" w:sz="4" w:space="0" w:color="auto"/>
              <w:right w:val="nil"/>
            </w:tcBorders>
            <w:tcMar>
              <w:top w:w="75" w:type="dxa"/>
              <w:left w:w="75" w:type="dxa"/>
              <w:bottom w:w="0" w:type="dxa"/>
              <w:right w:w="75" w:type="dxa"/>
            </w:tcMar>
            <w:vAlign w:val="center"/>
            <w:hideMark/>
          </w:tcPr>
          <w:p w14:paraId="73B97095"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Times New Roman" w:hAnsi="Times New Roman" w:cs="Times New Roman"/>
                <w:b/>
                <w:bCs/>
                <w:noProof w:val="0"/>
                <w:color w:val="000000"/>
                <w:sz w:val="24"/>
                <w:szCs w:val="24"/>
                <w:lang w:eastAsia="fr-FR"/>
              </w:rPr>
              <w:t>Positive</w:t>
            </w:r>
          </w:p>
        </w:tc>
        <w:tc>
          <w:tcPr>
            <w:tcW w:w="1438" w:type="dxa"/>
            <w:gridSpan w:val="2"/>
            <w:tcBorders>
              <w:top w:val="single" w:sz="4" w:space="0" w:color="auto"/>
              <w:left w:val="nil"/>
              <w:bottom w:val="single" w:sz="4" w:space="0" w:color="auto"/>
              <w:right w:val="nil"/>
            </w:tcBorders>
            <w:vAlign w:val="center"/>
            <w:hideMark/>
          </w:tcPr>
          <w:p w14:paraId="2C2100F6"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Times New Roman" w:hAnsi="Times New Roman" w:cs="Times New Roman"/>
                <w:b/>
                <w:bCs/>
                <w:noProof w:val="0"/>
                <w:color w:val="000000"/>
                <w:sz w:val="24"/>
                <w:szCs w:val="24"/>
                <w:lang w:eastAsia="fr-FR"/>
              </w:rPr>
              <w:t>Negative</w:t>
            </w:r>
          </w:p>
        </w:tc>
        <w:tc>
          <w:tcPr>
            <w:tcW w:w="1959" w:type="dxa"/>
            <w:tcBorders>
              <w:top w:val="nil"/>
              <w:left w:val="nil"/>
              <w:bottom w:val="single" w:sz="4" w:space="0" w:color="auto"/>
              <w:right w:val="nil"/>
            </w:tcBorders>
            <w:tcMar>
              <w:top w:w="75" w:type="dxa"/>
              <w:left w:w="75" w:type="dxa"/>
              <w:bottom w:w="0" w:type="dxa"/>
              <w:right w:w="75" w:type="dxa"/>
            </w:tcMar>
            <w:vAlign w:val="center"/>
          </w:tcPr>
          <w:p w14:paraId="092EA886"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915" w:type="dxa"/>
            <w:tcBorders>
              <w:top w:val="nil"/>
              <w:left w:val="nil"/>
              <w:bottom w:val="single" w:sz="4" w:space="0" w:color="auto"/>
              <w:right w:val="nil"/>
            </w:tcBorders>
            <w:tcMar>
              <w:top w:w="75" w:type="dxa"/>
              <w:left w:w="75" w:type="dxa"/>
              <w:bottom w:w="0" w:type="dxa"/>
              <w:right w:w="75" w:type="dxa"/>
            </w:tcMar>
            <w:vAlign w:val="center"/>
          </w:tcPr>
          <w:p w14:paraId="5E03D746"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r>
      <w:tr w:rsidR="00F95159" w:rsidRPr="00B818D9" w14:paraId="02609EB8" w14:textId="77777777" w:rsidTr="00F95159">
        <w:trPr>
          <w:trHeight w:hRule="exact" w:val="631"/>
        </w:trPr>
        <w:tc>
          <w:tcPr>
            <w:tcW w:w="3529" w:type="dxa"/>
            <w:gridSpan w:val="2"/>
            <w:tcBorders>
              <w:top w:val="nil"/>
              <w:left w:val="nil"/>
              <w:bottom w:val="nil"/>
              <w:right w:val="nil"/>
            </w:tcBorders>
            <w:hideMark/>
          </w:tcPr>
          <w:p w14:paraId="7979CFE4" w14:textId="77777777" w:rsidR="00F95159" w:rsidRPr="00B818D9" w:rsidRDefault="00F95159" w:rsidP="00B818D9">
            <w:pPr>
              <w:spacing w:after="200" w:line="360" w:lineRule="auto"/>
              <w:jc w:val="both"/>
              <w:rPr>
                <w:rFonts w:ascii="Times New Roman" w:eastAsia="Calibri" w:hAnsi="Times New Roman" w:cs="Times New Roman"/>
                <w:b/>
                <w:bCs/>
                <w:noProof w:val="0"/>
                <w:color w:val="000000"/>
                <w:sz w:val="24"/>
                <w:szCs w:val="24"/>
              </w:rPr>
            </w:pPr>
            <w:r w:rsidRPr="00B818D9">
              <w:rPr>
                <w:rFonts w:ascii="Times New Roman" w:eastAsia="Times New Roman" w:hAnsi="Times New Roman" w:cs="Times New Roman"/>
                <w:b/>
                <w:bCs/>
                <w:noProof w:val="0"/>
                <w:color w:val="000000"/>
                <w:kern w:val="2"/>
                <w:sz w:val="24"/>
                <w:szCs w:val="24"/>
                <w:lang w:eastAsia="fr-FR"/>
                <w14:ligatures w14:val="standardContextual"/>
              </w:rPr>
              <w:t>Parents’ marital status</w:t>
            </w:r>
          </w:p>
        </w:tc>
        <w:tc>
          <w:tcPr>
            <w:tcW w:w="782" w:type="dxa"/>
            <w:tcBorders>
              <w:top w:val="nil"/>
              <w:left w:val="nil"/>
              <w:bottom w:val="nil"/>
              <w:right w:val="nil"/>
            </w:tcBorders>
            <w:tcMar>
              <w:top w:w="75" w:type="dxa"/>
              <w:left w:w="75" w:type="dxa"/>
              <w:bottom w:w="0" w:type="dxa"/>
              <w:right w:w="75" w:type="dxa"/>
            </w:tcMar>
            <w:vAlign w:val="center"/>
          </w:tcPr>
          <w:p w14:paraId="51294FA5"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p w14:paraId="38E1437C"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783" w:type="dxa"/>
            <w:tcBorders>
              <w:top w:val="nil"/>
              <w:left w:val="nil"/>
              <w:bottom w:val="nil"/>
              <w:right w:val="nil"/>
            </w:tcBorders>
            <w:tcMar>
              <w:top w:w="75" w:type="dxa"/>
              <w:left w:w="75" w:type="dxa"/>
              <w:bottom w:w="0" w:type="dxa"/>
              <w:right w:w="75" w:type="dxa"/>
            </w:tcMar>
            <w:vAlign w:val="center"/>
          </w:tcPr>
          <w:p w14:paraId="34E6BE05"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Times New Roman" w:hAnsi="Times New Roman" w:cs="Times New Roman"/>
                <w:b/>
                <w:bCs/>
                <w:noProof w:val="0"/>
                <w:color w:val="000000"/>
                <w:sz w:val="24"/>
                <w:szCs w:val="24"/>
                <w:lang w:eastAsia="fr-FR"/>
              </w:rPr>
              <w:t>n</w:t>
            </w:r>
          </w:p>
          <w:p w14:paraId="131494B8"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654" w:type="dxa"/>
            <w:tcBorders>
              <w:top w:val="nil"/>
              <w:left w:val="nil"/>
              <w:bottom w:val="nil"/>
              <w:right w:val="nil"/>
            </w:tcBorders>
            <w:tcMar>
              <w:top w:w="75" w:type="dxa"/>
              <w:left w:w="75" w:type="dxa"/>
              <w:bottom w:w="0" w:type="dxa"/>
              <w:right w:w="75" w:type="dxa"/>
            </w:tcMar>
            <w:vAlign w:val="center"/>
          </w:tcPr>
          <w:p w14:paraId="179A1496"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Times New Roman" w:hAnsi="Times New Roman" w:cs="Times New Roman"/>
                <w:b/>
                <w:bCs/>
                <w:noProof w:val="0"/>
                <w:color w:val="000000"/>
                <w:sz w:val="24"/>
                <w:szCs w:val="24"/>
                <w:lang w:eastAsia="fr-FR"/>
              </w:rPr>
              <w:t>%</w:t>
            </w:r>
          </w:p>
          <w:p w14:paraId="0D148BBF"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651" w:type="dxa"/>
            <w:tcBorders>
              <w:top w:val="nil"/>
              <w:left w:val="nil"/>
              <w:bottom w:val="nil"/>
              <w:right w:val="nil"/>
            </w:tcBorders>
            <w:vAlign w:val="center"/>
          </w:tcPr>
          <w:p w14:paraId="6841DC46"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Times New Roman" w:hAnsi="Times New Roman" w:cs="Times New Roman"/>
                <w:b/>
                <w:bCs/>
                <w:noProof w:val="0"/>
                <w:color w:val="000000"/>
                <w:sz w:val="24"/>
                <w:szCs w:val="24"/>
                <w:lang w:eastAsia="fr-FR"/>
              </w:rPr>
              <w:t>n</w:t>
            </w:r>
          </w:p>
          <w:p w14:paraId="41AC6AFB"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787" w:type="dxa"/>
            <w:tcBorders>
              <w:top w:val="nil"/>
              <w:left w:val="nil"/>
              <w:bottom w:val="nil"/>
              <w:right w:val="nil"/>
            </w:tcBorders>
            <w:tcMar>
              <w:top w:w="75" w:type="dxa"/>
              <w:left w:w="75" w:type="dxa"/>
              <w:bottom w:w="0" w:type="dxa"/>
              <w:right w:w="75" w:type="dxa"/>
            </w:tcMar>
            <w:vAlign w:val="center"/>
          </w:tcPr>
          <w:p w14:paraId="0E90FB33"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Times New Roman" w:hAnsi="Times New Roman" w:cs="Times New Roman"/>
                <w:b/>
                <w:bCs/>
                <w:noProof w:val="0"/>
                <w:color w:val="000000"/>
                <w:sz w:val="24"/>
                <w:szCs w:val="24"/>
                <w:lang w:eastAsia="fr-FR"/>
              </w:rPr>
              <w:t>%</w:t>
            </w:r>
          </w:p>
          <w:p w14:paraId="6B018919"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1959" w:type="dxa"/>
            <w:tcBorders>
              <w:top w:val="nil"/>
              <w:left w:val="nil"/>
              <w:bottom w:val="nil"/>
              <w:right w:val="nil"/>
            </w:tcBorders>
            <w:tcMar>
              <w:top w:w="75" w:type="dxa"/>
              <w:left w:w="75" w:type="dxa"/>
              <w:bottom w:w="0" w:type="dxa"/>
              <w:right w:w="75" w:type="dxa"/>
            </w:tcMar>
            <w:vAlign w:val="center"/>
          </w:tcPr>
          <w:p w14:paraId="34F57F6A" w14:textId="0BB310F8"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Times New Roman" w:hAnsi="Times New Roman" w:cs="Times New Roman"/>
                <w:b/>
                <w:bCs/>
                <w:noProof w:val="0"/>
                <w:color w:val="000000"/>
                <w:sz w:val="24"/>
                <w:szCs w:val="24"/>
                <w:lang w:eastAsia="fr-FR"/>
              </w:rPr>
              <w:t>OR</w:t>
            </w:r>
            <w:r w:rsidRPr="00B818D9">
              <w:rPr>
                <w:rFonts w:ascii="Times New Roman" w:eastAsia="Times New Roman" w:hAnsi="Times New Roman" w:cs="Times New Roman"/>
                <w:b/>
                <w:bCs/>
                <w:noProof w:val="0"/>
                <w:color w:val="000000"/>
                <w:sz w:val="24"/>
                <w:szCs w:val="24"/>
                <w:vertAlign w:val="subscript"/>
                <w:lang w:eastAsia="fr-FR"/>
              </w:rPr>
              <w:t>C</w:t>
            </w:r>
            <w:r w:rsidRPr="00B818D9">
              <w:rPr>
                <w:rFonts w:ascii="Times New Roman" w:eastAsia="Times New Roman" w:hAnsi="Times New Roman" w:cs="Times New Roman"/>
                <w:b/>
                <w:bCs/>
                <w:noProof w:val="0"/>
                <w:color w:val="000000"/>
                <w:sz w:val="24"/>
                <w:szCs w:val="24"/>
                <w:lang w:eastAsia="fr-FR"/>
              </w:rPr>
              <w:t xml:space="preserve"> (95%</w:t>
            </w:r>
            <w:r w:rsidR="00E00833" w:rsidRPr="00B818D9">
              <w:rPr>
                <w:rFonts w:ascii="Times New Roman" w:eastAsia="Times New Roman" w:hAnsi="Times New Roman" w:cs="Times New Roman"/>
                <w:b/>
                <w:bCs/>
                <w:noProof w:val="0"/>
                <w:color w:val="000000"/>
                <w:sz w:val="24"/>
                <w:szCs w:val="24"/>
                <w:lang w:eastAsia="fr-FR"/>
              </w:rPr>
              <w:t xml:space="preserve"> IC</w:t>
            </w:r>
            <w:r w:rsidRPr="00B818D9">
              <w:rPr>
                <w:rFonts w:ascii="Times New Roman" w:eastAsia="Times New Roman" w:hAnsi="Times New Roman" w:cs="Times New Roman"/>
                <w:b/>
                <w:bCs/>
                <w:noProof w:val="0"/>
                <w:color w:val="000000"/>
                <w:sz w:val="24"/>
                <w:szCs w:val="24"/>
                <w:lang w:eastAsia="fr-FR"/>
              </w:rPr>
              <w:t>)</w:t>
            </w:r>
          </w:p>
          <w:p w14:paraId="4925DEBF"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c>
          <w:tcPr>
            <w:tcW w:w="915" w:type="dxa"/>
            <w:tcBorders>
              <w:top w:val="nil"/>
              <w:left w:val="nil"/>
              <w:bottom w:val="nil"/>
              <w:right w:val="nil"/>
            </w:tcBorders>
            <w:tcMar>
              <w:top w:w="75" w:type="dxa"/>
              <w:left w:w="75" w:type="dxa"/>
              <w:bottom w:w="0" w:type="dxa"/>
              <w:right w:w="75" w:type="dxa"/>
            </w:tcMar>
            <w:vAlign w:val="center"/>
          </w:tcPr>
          <w:p w14:paraId="4CDF2C0A"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r w:rsidRPr="00B818D9">
              <w:rPr>
                <w:rFonts w:ascii="Times New Roman" w:eastAsia="Times New Roman" w:hAnsi="Times New Roman" w:cs="Times New Roman"/>
                <w:b/>
                <w:bCs/>
                <w:noProof w:val="0"/>
                <w:color w:val="000000"/>
                <w:sz w:val="24"/>
                <w:szCs w:val="24"/>
                <w:lang w:eastAsia="fr-FR"/>
              </w:rPr>
              <w:t>p</w:t>
            </w:r>
          </w:p>
          <w:p w14:paraId="28A94FA1" w14:textId="77777777" w:rsidR="00F95159" w:rsidRPr="00B818D9" w:rsidRDefault="00F95159" w:rsidP="00B818D9">
            <w:pPr>
              <w:spacing w:after="0" w:line="360" w:lineRule="auto"/>
              <w:jc w:val="both"/>
              <w:rPr>
                <w:rFonts w:ascii="Times New Roman" w:eastAsia="Times New Roman" w:hAnsi="Times New Roman" w:cs="Times New Roman"/>
                <w:b/>
                <w:bCs/>
                <w:noProof w:val="0"/>
                <w:color w:val="000000"/>
                <w:sz w:val="24"/>
                <w:szCs w:val="24"/>
                <w:lang w:eastAsia="fr-FR"/>
              </w:rPr>
            </w:pPr>
          </w:p>
        </w:tc>
      </w:tr>
      <w:tr w:rsidR="00F95159" w:rsidRPr="00B818D9" w14:paraId="3860B17C" w14:textId="77777777" w:rsidTr="00F95159">
        <w:trPr>
          <w:trHeight w:hRule="exact" w:val="341"/>
        </w:trPr>
        <w:tc>
          <w:tcPr>
            <w:tcW w:w="522" w:type="dxa"/>
            <w:tcBorders>
              <w:top w:val="nil"/>
              <w:left w:val="nil"/>
              <w:bottom w:val="nil"/>
              <w:right w:val="nil"/>
            </w:tcBorders>
            <w:vAlign w:val="center"/>
          </w:tcPr>
          <w:p w14:paraId="4FB5BA68" w14:textId="77777777" w:rsidR="00F95159" w:rsidRPr="00B818D9" w:rsidRDefault="00F95159" w:rsidP="00B818D9">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Célibataires</w:t>
            </w:r>
          </w:p>
        </w:tc>
        <w:tc>
          <w:tcPr>
            <w:tcW w:w="3007" w:type="dxa"/>
            <w:tcBorders>
              <w:top w:val="nil"/>
              <w:left w:val="nil"/>
              <w:bottom w:val="nil"/>
              <w:right w:val="nil"/>
            </w:tcBorders>
            <w:tcMar>
              <w:top w:w="75" w:type="dxa"/>
              <w:left w:w="75" w:type="dxa"/>
              <w:bottom w:w="0" w:type="dxa"/>
              <w:right w:w="75" w:type="dxa"/>
            </w:tcMar>
            <w:vAlign w:val="center"/>
            <w:hideMark/>
          </w:tcPr>
          <w:p w14:paraId="09BCFF27" w14:textId="77777777" w:rsidR="00F95159" w:rsidRPr="00B818D9" w:rsidRDefault="00F95159" w:rsidP="00B818D9">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Single</w:t>
            </w:r>
          </w:p>
        </w:tc>
        <w:tc>
          <w:tcPr>
            <w:tcW w:w="782" w:type="dxa"/>
            <w:tcBorders>
              <w:top w:val="nil"/>
              <w:left w:val="nil"/>
              <w:bottom w:val="nil"/>
              <w:right w:val="nil"/>
            </w:tcBorders>
            <w:tcMar>
              <w:top w:w="75" w:type="dxa"/>
              <w:left w:w="75" w:type="dxa"/>
              <w:bottom w:w="0" w:type="dxa"/>
              <w:right w:w="75" w:type="dxa"/>
            </w:tcMar>
            <w:vAlign w:val="center"/>
          </w:tcPr>
          <w:p w14:paraId="32953DB5" w14:textId="77777777" w:rsidR="00F95159" w:rsidRPr="00B818D9" w:rsidRDefault="00F95159" w:rsidP="00B818D9">
            <w:pPr>
              <w:spacing w:after="200"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32</w:t>
            </w:r>
          </w:p>
        </w:tc>
        <w:tc>
          <w:tcPr>
            <w:tcW w:w="783" w:type="dxa"/>
            <w:tcBorders>
              <w:top w:val="nil"/>
              <w:left w:val="nil"/>
              <w:bottom w:val="nil"/>
              <w:right w:val="nil"/>
            </w:tcBorders>
            <w:tcMar>
              <w:top w:w="75" w:type="dxa"/>
              <w:left w:w="75" w:type="dxa"/>
              <w:bottom w:w="0" w:type="dxa"/>
              <w:right w:w="75" w:type="dxa"/>
            </w:tcMar>
            <w:vAlign w:val="center"/>
          </w:tcPr>
          <w:p w14:paraId="226D079F" w14:textId="77777777" w:rsidR="00F95159" w:rsidRPr="00B818D9" w:rsidRDefault="00F95159" w:rsidP="00B818D9">
            <w:pPr>
              <w:spacing w:after="200"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24</w:t>
            </w:r>
          </w:p>
        </w:tc>
        <w:tc>
          <w:tcPr>
            <w:tcW w:w="654" w:type="dxa"/>
            <w:tcBorders>
              <w:top w:val="nil"/>
              <w:left w:val="nil"/>
              <w:bottom w:val="nil"/>
              <w:right w:val="nil"/>
            </w:tcBorders>
            <w:tcMar>
              <w:top w:w="75" w:type="dxa"/>
              <w:left w:w="75" w:type="dxa"/>
              <w:bottom w:w="0" w:type="dxa"/>
              <w:right w:w="75" w:type="dxa"/>
            </w:tcMar>
            <w:vAlign w:val="center"/>
          </w:tcPr>
          <w:p w14:paraId="4BCA2173" w14:textId="77777777" w:rsidR="00F95159" w:rsidRPr="00B818D9" w:rsidRDefault="00F95159" w:rsidP="00B818D9">
            <w:pPr>
              <w:spacing w:after="200"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75,00</w:t>
            </w:r>
          </w:p>
        </w:tc>
        <w:tc>
          <w:tcPr>
            <w:tcW w:w="651" w:type="dxa"/>
            <w:tcBorders>
              <w:top w:val="nil"/>
              <w:left w:val="nil"/>
              <w:bottom w:val="nil"/>
              <w:right w:val="nil"/>
            </w:tcBorders>
            <w:vAlign w:val="center"/>
          </w:tcPr>
          <w:p w14:paraId="24720595" w14:textId="77777777" w:rsidR="00F95159" w:rsidRPr="00B818D9" w:rsidRDefault="00F95159" w:rsidP="00B818D9">
            <w:pPr>
              <w:spacing w:after="200"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8</w:t>
            </w:r>
          </w:p>
        </w:tc>
        <w:tc>
          <w:tcPr>
            <w:tcW w:w="787" w:type="dxa"/>
            <w:tcBorders>
              <w:top w:val="nil"/>
              <w:left w:val="nil"/>
              <w:bottom w:val="nil"/>
              <w:right w:val="nil"/>
            </w:tcBorders>
            <w:tcMar>
              <w:top w:w="75" w:type="dxa"/>
              <w:left w:w="75" w:type="dxa"/>
              <w:bottom w:w="0" w:type="dxa"/>
              <w:right w:w="75" w:type="dxa"/>
            </w:tcMar>
            <w:vAlign w:val="center"/>
          </w:tcPr>
          <w:p w14:paraId="454CDF93" w14:textId="77777777" w:rsidR="00F95159" w:rsidRPr="00B818D9" w:rsidRDefault="00F95159" w:rsidP="00B818D9">
            <w:pPr>
              <w:spacing w:after="0" w:line="360" w:lineRule="auto"/>
              <w:jc w:val="both"/>
              <w:rPr>
                <w:rFonts w:ascii="Times New Roman" w:eastAsia="Times New Roman" w:hAnsi="Times New Roman" w:cs="Times New Roman"/>
                <w:bCs/>
                <w:noProof w:val="0"/>
                <w:color w:val="000000"/>
                <w:sz w:val="24"/>
                <w:szCs w:val="24"/>
                <w:lang w:eastAsia="fr-FR"/>
              </w:rPr>
            </w:pPr>
            <w:r w:rsidRPr="00B818D9">
              <w:rPr>
                <w:rFonts w:ascii="Times New Roman" w:eastAsia="Times New Roman" w:hAnsi="Times New Roman" w:cs="Times New Roman"/>
                <w:bCs/>
                <w:noProof w:val="0"/>
                <w:color w:val="000000"/>
                <w:sz w:val="24"/>
                <w:szCs w:val="24"/>
                <w:lang w:eastAsia="fr-FR"/>
              </w:rPr>
              <w:t>25,00</w:t>
            </w:r>
          </w:p>
        </w:tc>
        <w:tc>
          <w:tcPr>
            <w:tcW w:w="1959" w:type="dxa"/>
            <w:tcBorders>
              <w:top w:val="nil"/>
              <w:left w:val="nil"/>
              <w:bottom w:val="nil"/>
              <w:right w:val="nil"/>
            </w:tcBorders>
            <w:tcMar>
              <w:top w:w="75" w:type="dxa"/>
              <w:left w:w="75" w:type="dxa"/>
              <w:bottom w:w="0" w:type="dxa"/>
              <w:right w:w="75" w:type="dxa"/>
            </w:tcMar>
            <w:vAlign w:val="center"/>
          </w:tcPr>
          <w:p w14:paraId="3129D7F4" w14:textId="77777777" w:rsidR="00F95159" w:rsidRPr="00B818D9" w:rsidRDefault="00F95159" w:rsidP="00B818D9">
            <w:pPr>
              <w:spacing w:after="0" w:line="360" w:lineRule="auto"/>
              <w:jc w:val="both"/>
              <w:rPr>
                <w:rFonts w:ascii="Times New Roman" w:eastAsia="Times New Roman" w:hAnsi="Times New Roman" w:cs="Times New Roman"/>
                <w:b/>
                <w:noProof w:val="0"/>
                <w:color w:val="000000"/>
                <w:sz w:val="24"/>
                <w:szCs w:val="24"/>
                <w:lang w:eastAsia="fr-FR"/>
              </w:rPr>
            </w:pPr>
            <w:r w:rsidRPr="00B818D9">
              <w:rPr>
                <w:rFonts w:ascii="Times New Roman" w:eastAsia="Times New Roman" w:hAnsi="Times New Roman" w:cs="Times New Roman"/>
                <w:b/>
                <w:noProof w:val="0"/>
                <w:color w:val="000000"/>
                <w:sz w:val="24"/>
                <w:szCs w:val="24"/>
                <w:lang w:eastAsia="fr-FR"/>
              </w:rPr>
              <w:t>2,83(1,17 ; 6,88)</w:t>
            </w:r>
          </w:p>
        </w:tc>
        <w:tc>
          <w:tcPr>
            <w:tcW w:w="915" w:type="dxa"/>
            <w:tcBorders>
              <w:top w:val="nil"/>
              <w:left w:val="nil"/>
              <w:bottom w:val="nil"/>
              <w:right w:val="nil"/>
            </w:tcBorders>
            <w:tcMar>
              <w:top w:w="75" w:type="dxa"/>
              <w:left w:w="75" w:type="dxa"/>
              <w:bottom w:w="0" w:type="dxa"/>
              <w:right w:w="75" w:type="dxa"/>
            </w:tcMar>
            <w:vAlign w:val="center"/>
          </w:tcPr>
          <w:p w14:paraId="2D4E8568" w14:textId="77777777" w:rsidR="00F95159" w:rsidRPr="00B818D9" w:rsidRDefault="00F95159" w:rsidP="00B818D9">
            <w:pPr>
              <w:spacing w:after="0" w:line="360" w:lineRule="auto"/>
              <w:jc w:val="both"/>
              <w:rPr>
                <w:rFonts w:ascii="Times New Roman" w:eastAsia="Times New Roman" w:hAnsi="Times New Roman" w:cs="Times New Roman"/>
                <w:b/>
                <w:noProof w:val="0"/>
                <w:color w:val="000000"/>
                <w:sz w:val="24"/>
                <w:szCs w:val="24"/>
                <w:lang w:eastAsia="fr-FR"/>
              </w:rPr>
            </w:pPr>
            <w:r w:rsidRPr="00B818D9">
              <w:rPr>
                <w:rFonts w:ascii="Times New Roman" w:eastAsia="Times New Roman" w:hAnsi="Times New Roman" w:cs="Times New Roman"/>
                <w:b/>
                <w:noProof w:val="0"/>
                <w:color w:val="000000"/>
                <w:sz w:val="24"/>
                <w:szCs w:val="24"/>
                <w:lang w:eastAsia="fr-FR"/>
              </w:rPr>
              <w:t>0,018</w:t>
            </w:r>
          </w:p>
        </w:tc>
      </w:tr>
      <w:tr w:rsidR="00F95159" w:rsidRPr="00B818D9" w14:paraId="256314A0" w14:textId="77777777" w:rsidTr="00F95159">
        <w:trPr>
          <w:trHeight w:hRule="exact" w:val="341"/>
        </w:trPr>
        <w:tc>
          <w:tcPr>
            <w:tcW w:w="522" w:type="dxa"/>
            <w:tcBorders>
              <w:top w:val="nil"/>
              <w:left w:val="nil"/>
              <w:bottom w:val="nil"/>
              <w:right w:val="nil"/>
            </w:tcBorders>
            <w:vAlign w:val="center"/>
          </w:tcPr>
          <w:p w14:paraId="7085BF8E" w14:textId="77777777" w:rsidR="00F95159" w:rsidRPr="00B818D9" w:rsidRDefault="00F95159" w:rsidP="00B818D9">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Concubinages</w:t>
            </w:r>
          </w:p>
        </w:tc>
        <w:tc>
          <w:tcPr>
            <w:tcW w:w="3007" w:type="dxa"/>
            <w:tcBorders>
              <w:top w:val="nil"/>
              <w:left w:val="nil"/>
              <w:bottom w:val="nil"/>
              <w:right w:val="nil"/>
            </w:tcBorders>
            <w:tcMar>
              <w:top w:w="75" w:type="dxa"/>
              <w:left w:w="75" w:type="dxa"/>
              <w:bottom w:w="0" w:type="dxa"/>
              <w:right w:w="75" w:type="dxa"/>
            </w:tcMar>
            <w:vAlign w:val="center"/>
          </w:tcPr>
          <w:p w14:paraId="56129ECC" w14:textId="77777777" w:rsidR="00F95159" w:rsidRPr="00B818D9" w:rsidRDefault="00F95159" w:rsidP="00B818D9">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Cohabitation</w:t>
            </w:r>
          </w:p>
        </w:tc>
        <w:tc>
          <w:tcPr>
            <w:tcW w:w="782" w:type="dxa"/>
            <w:tcBorders>
              <w:top w:val="nil"/>
              <w:left w:val="nil"/>
              <w:bottom w:val="nil"/>
              <w:right w:val="nil"/>
            </w:tcBorders>
            <w:tcMar>
              <w:top w:w="75" w:type="dxa"/>
              <w:left w:w="75" w:type="dxa"/>
              <w:bottom w:w="0" w:type="dxa"/>
              <w:right w:w="75" w:type="dxa"/>
            </w:tcMar>
            <w:vAlign w:val="center"/>
          </w:tcPr>
          <w:p w14:paraId="2362EDD3" w14:textId="77777777" w:rsidR="00F95159" w:rsidRPr="00B818D9" w:rsidRDefault="00F95159" w:rsidP="00B818D9">
            <w:pPr>
              <w:spacing w:after="200"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61</w:t>
            </w:r>
          </w:p>
        </w:tc>
        <w:tc>
          <w:tcPr>
            <w:tcW w:w="783" w:type="dxa"/>
            <w:tcBorders>
              <w:top w:val="nil"/>
              <w:left w:val="nil"/>
              <w:bottom w:val="nil"/>
              <w:right w:val="nil"/>
            </w:tcBorders>
            <w:tcMar>
              <w:top w:w="75" w:type="dxa"/>
              <w:left w:w="75" w:type="dxa"/>
              <w:bottom w:w="0" w:type="dxa"/>
              <w:right w:w="75" w:type="dxa"/>
            </w:tcMar>
            <w:vAlign w:val="center"/>
          </w:tcPr>
          <w:p w14:paraId="254A78D8" w14:textId="77777777" w:rsidR="00F95159" w:rsidRPr="00B818D9" w:rsidRDefault="00F95159" w:rsidP="00B818D9">
            <w:pPr>
              <w:spacing w:after="200"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50</w:t>
            </w:r>
          </w:p>
        </w:tc>
        <w:tc>
          <w:tcPr>
            <w:tcW w:w="654" w:type="dxa"/>
            <w:tcBorders>
              <w:top w:val="nil"/>
              <w:left w:val="nil"/>
              <w:bottom w:val="nil"/>
              <w:right w:val="nil"/>
            </w:tcBorders>
            <w:tcMar>
              <w:top w:w="75" w:type="dxa"/>
              <w:left w:w="75" w:type="dxa"/>
              <w:bottom w:w="0" w:type="dxa"/>
              <w:right w:w="75" w:type="dxa"/>
            </w:tcMar>
            <w:vAlign w:val="center"/>
          </w:tcPr>
          <w:p w14:paraId="350AAAFF" w14:textId="77777777" w:rsidR="00F95159" w:rsidRPr="00B818D9" w:rsidRDefault="00F95159" w:rsidP="00B818D9">
            <w:pPr>
              <w:spacing w:after="200"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81,97</w:t>
            </w:r>
          </w:p>
        </w:tc>
        <w:tc>
          <w:tcPr>
            <w:tcW w:w="651" w:type="dxa"/>
            <w:tcBorders>
              <w:top w:val="nil"/>
              <w:left w:val="nil"/>
              <w:bottom w:val="nil"/>
              <w:right w:val="nil"/>
            </w:tcBorders>
            <w:vAlign w:val="center"/>
          </w:tcPr>
          <w:p w14:paraId="754EB8C6" w14:textId="77777777" w:rsidR="00F95159" w:rsidRPr="00B818D9" w:rsidRDefault="00F95159" w:rsidP="00B818D9">
            <w:pPr>
              <w:spacing w:after="200"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11</w:t>
            </w:r>
          </w:p>
        </w:tc>
        <w:tc>
          <w:tcPr>
            <w:tcW w:w="787" w:type="dxa"/>
            <w:tcBorders>
              <w:top w:val="nil"/>
              <w:left w:val="nil"/>
              <w:bottom w:val="nil"/>
              <w:right w:val="nil"/>
            </w:tcBorders>
            <w:tcMar>
              <w:top w:w="75" w:type="dxa"/>
              <w:left w:w="75" w:type="dxa"/>
              <w:bottom w:w="0" w:type="dxa"/>
              <w:right w:w="75" w:type="dxa"/>
            </w:tcMar>
            <w:vAlign w:val="center"/>
          </w:tcPr>
          <w:p w14:paraId="68137059" w14:textId="77777777" w:rsidR="00F95159" w:rsidRPr="00B818D9" w:rsidRDefault="00F95159" w:rsidP="00B818D9">
            <w:pPr>
              <w:spacing w:after="0" w:line="360" w:lineRule="auto"/>
              <w:jc w:val="both"/>
              <w:rPr>
                <w:rFonts w:ascii="Times New Roman" w:eastAsia="Times New Roman" w:hAnsi="Times New Roman" w:cs="Times New Roman"/>
                <w:bCs/>
                <w:noProof w:val="0"/>
                <w:color w:val="000000"/>
                <w:sz w:val="24"/>
                <w:szCs w:val="24"/>
                <w:lang w:eastAsia="fr-FR"/>
              </w:rPr>
            </w:pPr>
            <w:r w:rsidRPr="00B818D9">
              <w:rPr>
                <w:rFonts w:ascii="Times New Roman" w:eastAsia="Times New Roman" w:hAnsi="Times New Roman" w:cs="Times New Roman"/>
                <w:bCs/>
                <w:noProof w:val="0"/>
                <w:color w:val="000000"/>
                <w:sz w:val="24"/>
                <w:szCs w:val="24"/>
                <w:lang w:eastAsia="fr-FR"/>
              </w:rPr>
              <w:t>18,03</w:t>
            </w:r>
          </w:p>
        </w:tc>
        <w:tc>
          <w:tcPr>
            <w:tcW w:w="1959" w:type="dxa"/>
            <w:tcBorders>
              <w:top w:val="nil"/>
              <w:left w:val="nil"/>
              <w:bottom w:val="nil"/>
              <w:right w:val="nil"/>
            </w:tcBorders>
            <w:tcMar>
              <w:top w:w="75" w:type="dxa"/>
              <w:left w:w="75" w:type="dxa"/>
              <w:bottom w:w="0" w:type="dxa"/>
              <w:right w:w="75" w:type="dxa"/>
            </w:tcMar>
            <w:vAlign w:val="center"/>
          </w:tcPr>
          <w:p w14:paraId="4CCA003D" w14:textId="77777777" w:rsidR="00F95159" w:rsidRPr="00B818D9" w:rsidRDefault="00F95159" w:rsidP="00B818D9">
            <w:pPr>
              <w:spacing w:after="0" w:line="360" w:lineRule="auto"/>
              <w:jc w:val="both"/>
              <w:rPr>
                <w:rFonts w:ascii="Times New Roman" w:eastAsia="Times New Roman" w:hAnsi="Times New Roman" w:cs="Times New Roman"/>
                <w:b/>
                <w:noProof w:val="0"/>
                <w:color w:val="000000"/>
                <w:sz w:val="24"/>
                <w:szCs w:val="24"/>
                <w:lang w:eastAsia="fr-FR"/>
              </w:rPr>
            </w:pPr>
            <w:r w:rsidRPr="00B818D9">
              <w:rPr>
                <w:rFonts w:ascii="Times New Roman" w:eastAsia="Times New Roman" w:hAnsi="Times New Roman" w:cs="Times New Roman"/>
                <w:b/>
                <w:noProof w:val="0"/>
                <w:color w:val="000000"/>
                <w:sz w:val="24"/>
                <w:szCs w:val="24"/>
                <w:lang w:eastAsia="fr-FR"/>
              </w:rPr>
              <w:t>4,29(2,01 – 9,15)</w:t>
            </w:r>
          </w:p>
        </w:tc>
        <w:tc>
          <w:tcPr>
            <w:tcW w:w="915" w:type="dxa"/>
            <w:tcBorders>
              <w:top w:val="nil"/>
              <w:left w:val="nil"/>
              <w:bottom w:val="nil"/>
              <w:right w:val="nil"/>
            </w:tcBorders>
            <w:tcMar>
              <w:top w:w="75" w:type="dxa"/>
              <w:left w:w="75" w:type="dxa"/>
              <w:bottom w:w="0" w:type="dxa"/>
              <w:right w:w="75" w:type="dxa"/>
            </w:tcMar>
            <w:vAlign w:val="center"/>
          </w:tcPr>
          <w:p w14:paraId="7C78124D" w14:textId="77777777" w:rsidR="00F95159" w:rsidRPr="00B818D9" w:rsidRDefault="00F95159" w:rsidP="00B818D9">
            <w:pPr>
              <w:spacing w:after="0" w:line="360" w:lineRule="auto"/>
              <w:jc w:val="both"/>
              <w:rPr>
                <w:rFonts w:ascii="Times New Roman" w:eastAsia="Times New Roman" w:hAnsi="Times New Roman" w:cs="Times New Roman"/>
                <w:b/>
                <w:noProof w:val="0"/>
                <w:color w:val="000000"/>
                <w:sz w:val="24"/>
                <w:szCs w:val="24"/>
                <w:lang w:eastAsia="fr-FR"/>
              </w:rPr>
            </w:pPr>
            <w:r w:rsidRPr="00B818D9">
              <w:rPr>
                <w:rFonts w:ascii="Times New Roman" w:eastAsia="Times New Roman" w:hAnsi="Times New Roman" w:cs="Times New Roman"/>
                <w:b/>
                <w:noProof w:val="0"/>
                <w:color w:val="000000"/>
                <w:sz w:val="24"/>
                <w:szCs w:val="24"/>
                <w:lang w:eastAsia="fr-FR"/>
              </w:rPr>
              <w:t>0,0001</w:t>
            </w:r>
          </w:p>
        </w:tc>
      </w:tr>
      <w:tr w:rsidR="00F95159" w:rsidRPr="00B818D9" w14:paraId="67B9590E" w14:textId="77777777" w:rsidTr="00F95159">
        <w:trPr>
          <w:trHeight w:hRule="exact" w:val="341"/>
        </w:trPr>
        <w:tc>
          <w:tcPr>
            <w:tcW w:w="522" w:type="dxa"/>
            <w:tcBorders>
              <w:top w:val="nil"/>
              <w:left w:val="nil"/>
              <w:bottom w:val="single" w:sz="4" w:space="0" w:color="auto"/>
              <w:right w:val="nil"/>
            </w:tcBorders>
            <w:vAlign w:val="center"/>
          </w:tcPr>
          <w:p w14:paraId="651B1351" w14:textId="77777777" w:rsidR="00F95159" w:rsidRPr="00B818D9" w:rsidRDefault="00F95159" w:rsidP="00B818D9">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Mariés</w:t>
            </w:r>
          </w:p>
        </w:tc>
        <w:tc>
          <w:tcPr>
            <w:tcW w:w="3007" w:type="dxa"/>
            <w:tcBorders>
              <w:top w:val="nil"/>
              <w:left w:val="nil"/>
              <w:bottom w:val="single" w:sz="4" w:space="0" w:color="auto"/>
              <w:right w:val="nil"/>
            </w:tcBorders>
            <w:tcMar>
              <w:top w:w="75" w:type="dxa"/>
              <w:left w:w="75" w:type="dxa"/>
              <w:bottom w:w="0" w:type="dxa"/>
              <w:right w:w="75" w:type="dxa"/>
            </w:tcMar>
            <w:vAlign w:val="center"/>
            <w:hideMark/>
          </w:tcPr>
          <w:p w14:paraId="5AC0F86B" w14:textId="77777777" w:rsidR="00F95159" w:rsidRPr="00B818D9" w:rsidRDefault="00F95159" w:rsidP="00B818D9">
            <w:pPr>
              <w:spacing w:after="200" w:line="360" w:lineRule="auto"/>
              <w:jc w:val="both"/>
              <w:rPr>
                <w:rFonts w:ascii="Times New Roman" w:eastAsia="Times New Roman" w:hAnsi="Times New Roman" w:cs="Times New Roman"/>
                <w:b/>
                <w:bCs/>
                <w:noProof w:val="0"/>
                <w:color w:val="000000"/>
                <w:kern w:val="2"/>
                <w:sz w:val="24"/>
                <w:szCs w:val="24"/>
                <w:lang w:eastAsia="fr-FR"/>
                <w14:ligatures w14:val="standardContextual"/>
              </w:rPr>
            </w:pPr>
            <w:r w:rsidRPr="00B818D9">
              <w:rPr>
                <w:rFonts w:ascii="Times New Roman" w:eastAsia="Calibri" w:hAnsi="Times New Roman" w:cs="Times New Roman"/>
                <w:noProof w:val="0"/>
                <w:color w:val="000000"/>
                <w:kern w:val="2"/>
                <w:sz w:val="24"/>
                <w:szCs w:val="24"/>
                <w14:ligatures w14:val="standardContextual"/>
              </w:rPr>
              <w:t xml:space="preserve">  Married</w:t>
            </w:r>
          </w:p>
        </w:tc>
        <w:tc>
          <w:tcPr>
            <w:tcW w:w="782" w:type="dxa"/>
            <w:tcBorders>
              <w:top w:val="nil"/>
              <w:left w:val="nil"/>
              <w:bottom w:val="single" w:sz="4" w:space="0" w:color="auto"/>
              <w:right w:val="nil"/>
            </w:tcBorders>
            <w:tcMar>
              <w:top w:w="75" w:type="dxa"/>
              <w:left w:w="75" w:type="dxa"/>
              <w:bottom w:w="0" w:type="dxa"/>
              <w:right w:w="75" w:type="dxa"/>
            </w:tcMar>
            <w:vAlign w:val="center"/>
          </w:tcPr>
          <w:p w14:paraId="38071396" w14:textId="77777777" w:rsidR="00F95159" w:rsidRPr="00B818D9" w:rsidRDefault="00F95159" w:rsidP="00B818D9">
            <w:pPr>
              <w:spacing w:after="200" w:line="360" w:lineRule="auto"/>
              <w:jc w:val="both"/>
              <w:rPr>
                <w:rFonts w:ascii="Times New Roman" w:eastAsia="Calibri" w:hAnsi="Times New Roman" w:cs="Times New Roman"/>
                <w:noProof w:val="0"/>
                <w:color w:val="000000"/>
                <w:sz w:val="24"/>
                <w:szCs w:val="24"/>
              </w:rPr>
            </w:pPr>
            <w:r w:rsidRPr="00B818D9">
              <w:rPr>
                <w:rFonts w:ascii="Times New Roman" w:eastAsia="Calibri" w:hAnsi="Times New Roman" w:cs="Times New Roman"/>
                <w:noProof w:val="0"/>
                <w:color w:val="000000"/>
                <w:sz w:val="24"/>
                <w:szCs w:val="24"/>
              </w:rPr>
              <w:t>105</w:t>
            </w:r>
          </w:p>
        </w:tc>
        <w:tc>
          <w:tcPr>
            <w:tcW w:w="783" w:type="dxa"/>
            <w:tcBorders>
              <w:top w:val="nil"/>
              <w:left w:val="nil"/>
              <w:bottom w:val="single" w:sz="4" w:space="0" w:color="auto"/>
              <w:right w:val="nil"/>
            </w:tcBorders>
            <w:tcMar>
              <w:top w:w="75" w:type="dxa"/>
              <w:left w:w="75" w:type="dxa"/>
              <w:bottom w:w="0" w:type="dxa"/>
              <w:right w:w="75" w:type="dxa"/>
            </w:tcMar>
            <w:vAlign w:val="center"/>
          </w:tcPr>
          <w:p w14:paraId="02873EDB" w14:textId="77777777" w:rsidR="00F95159" w:rsidRPr="00B818D9" w:rsidRDefault="00F95159" w:rsidP="00B818D9">
            <w:pPr>
              <w:spacing w:after="200"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54</w:t>
            </w:r>
          </w:p>
        </w:tc>
        <w:tc>
          <w:tcPr>
            <w:tcW w:w="654" w:type="dxa"/>
            <w:tcBorders>
              <w:top w:val="nil"/>
              <w:left w:val="nil"/>
              <w:bottom w:val="single" w:sz="4" w:space="0" w:color="auto"/>
              <w:right w:val="nil"/>
            </w:tcBorders>
            <w:tcMar>
              <w:top w:w="75" w:type="dxa"/>
              <w:left w:w="75" w:type="dxa"/>
              <w:bottom w:w="0" w:type="dxa"/>
              <w:right w:w="75" w:type="dxa"/>
            </w:tcMar>
            <w:vAlign w:val="center"/>
          </w:tcPr>
          <w:p w14:paraId="1983177A" w14:textId="77777777" w:rsidR="00F95159" w:rsidRPr="00B818D9" w:rsidRDefault="00F95159" w:rsidP="00B818D9">
            <w:pPr>
              <w:spacing w:after="200"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51,43</w:t>
            </w:r>
          </w:p>
        </w:tc>
        <w:tc>
          <w:tcPr>
            <w:tcW w:w="651" w:type="dxa"/>
            <w:tcBorders>
              <w:top w:val="nil"/>
              <w:left w:val="nil"/>
              <w:bottom w:val="single" w:sz="4" w:space="0" w:color="auto"/>
              <w:right w:val="nil"/>
            </w:tcBorders>
            <w:vAlign w:val="center"/>
          </w:tcPr>
          <w:p w14:paraId="5528547A" w14:textId="77777777" w:rsidR="00F95159" w:rsidRPr="00B818D9" w:rsidRDefault="00F95159" w:rsidP="00B818D9">
            <w:pPr>
              <w:spacing w:after="200"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51</w:t>
            </w:r>
          </w:p>
        </w:tc>
        <w:tc>
          <w:tcPr>
            <w:tcW w:w="787" w:type="dxa"/>
            <w:tcBorders>
              <w:top w:val="nil"/>
              <w:left w:val="nil"/>
              <w:bottom w:val="single" w:sz="4" w:space="0" w:color="auto"/>
              <w:right w:val="nil"/>
            </w:tcBorders>
            <w:tcMar>
              <w:top w:w="75" w:type="dxa"/>
              <w:left w:w="75" w:type="dxa"/>
              <w:bottom w:w="0" w:type="dxa"/>
              <w:right w:w="75" w:type="dxa"/>
            </w:tcMar>
            <w:vAlign w:val="center"/>
          </w:tcPr>
          <w:p w14:paraId="073D9CCC" w14:textId="77777777" w:rsidR="00F95159" w:rsidRPr="00B818D9" w:rsidRDefault="00F95159" w:rsidP="00B818D9">
            <w:pPr>
              <w:spacing w:after="0" w:line="360" w:lineRule="auto"/>
              <w:jc w:val="both"/>
              <w:rPr>
                <w:rFonts w:ascii="Times New Roman" w:eastAsia="Times New Roman" w:hAnsi="Times New Roman" w:cs="Times New Roman"/>
                <w:noProof w:val="0"/>
                <w:color w:val="000000"/>
                <w:sz w:val="24"/>
                <w:szCs w:val="24"/>
                <w:lang w:eastAsia="fr-FR"/>
              </w:rPr>
            </w:pPr>
            <w:r w:rsidRPr="00B818D9">
              <w:rPr>
                <w:rFonts w:ascii="Times New Roman" w:eastAsia="Times New Roman" w:hAnsi="Times New Roman" w:cs="Times New Roman"/>
                <w:noProof w:val="0"/>
                <w:color w:val="000000"/>
                <w:sz w:val="24"/>
                <w:szCs w:val="24"/>
                <w:lang w:eastAsia="fr-FR"/>
              </w:rPr>
              <w:t>48,57</w:t>
            </w:r>
          </w:p>
        </w:tc>
        <w:tc>
          <w:tcPr>
            <w:tcW w:w="1959" w:type="dxa"/>
            <w:tcBorders>
              <w:top w:val="nil"/>
              <w:left w:val="nil"/>
              <w:bottom w:val="single" w:sz="4" w:space="0" w:color="auto"/>
              <w:right w:val="nil"/>
            </w:tcBorders>
            <w:tcMar>
              <w:top w:w="75" w:type="dxa"/>
              <w:left w:w="75" w:type="dxa"/>
              <w:bottom w:w="0" w:type="dxa"/>
              <w:right w:w="75" w:type="dxa"/>
            </w:tcMar>
            <w:vAlign w:val="center"/>
            <w:hideMark/>
          </w:tcPr>
          <w:p w14:paraId="61B4F4BB" w14:textId="77777777" w:rsidR="00F95159" w:rsidRPr="00B818D9" w:rsidRDefault="00F95159" w:rsidP="00B818D9">
            <w:pPr>
              <w:spacing w:after="0" w:line="360" w:lineRule="auto"/>
              <w:jc w:val="both"/>
              <w:rPr>
                <w:rFonts w:ascii="Times New Roman" w:eastAsia="Times New Roman" w:hAnsi="Times New Roman" w:cs="Times New Roman"/>
                <w:b/>
                <w:noProof w:val="0"/>
                <w:color w:val="000000"/>
                <w:sz w:val="24"/>
                <w:szCs w:val="24"/>
                <w:lang w:eastAsia="fr-FR"/>
              </w:rPr>
            </w:pPr>
            <w:r w:rsidRPr="00B818D9">
              <w:rPr>
                <w:rFonts w:ascii="Times New Roman" w:eastAsia="Times New Roman" w:hAnsi="Times New Roman" w:cs="Times New Roman"/>
                <w:b/>
                <w:noProof w:val="0"/>
                <w:color w:val="000000"/>
                <w:sz w:val="24"/>
                <w:szCs w:val="24"/>
                <w:lang w:eastAsia="fr-FR"/>
              </w:rPr>
              <w:t>1</w:t>
            </w:r>
          </w:p>
        </w:tc>
        <w:tc>
          <w:tcPr>
            <w:tcW w:w="915" w:type="dxa"/>
            <w:tcBorders>
              <w:top w:val="nil"/>
              <w:left w:val="nil"/>
              <w:bottom w:val="single" w:sz="4" w:space="0" w:color="auto"/>
              <w:right w:val="nil"/>
            </w:tcBorders>
            <w:tcMar>
              <w:top w:w="75" w:type="dxa"/>
              <w:left w:w="75" w:type="dxa"/>
              <w:bottom w:w="0" w:type="dxa"/>
              <w:right w:w="75" w:type="dxa"/>
            </w:tcMar>
            <w:vAlign w:val="center"/>
          </w:tcPr>
          <w:p w14:paraId="761D93BB" w14:textId="77777777" w:rsidR="00F95159" w:rsidRPr="00B818D9" w:rsidRDefault="00F95159" w:rsidP="00B818D9">
            <w:pPr>
              <w:spacing w:after="0" w:line="360" w:lineRule="auto"/>
              <w:jc w:val="both"/>
              <w:rPr>
                <w:rFonts w:ascii="Times New Roman" w:eastAsia="Times New Roman" w:hAnsi="Times New Roman" w:cs="Times New Roman"/>
                <w:b/>
                <w:noProof w:val="0"/>
                <w:color w:val="000000"/>
                <w:sz w:val="24"/>
                <w:szCs w:val="24"/>
                <w:lang w:eastAsia="fr-FR"/>
              </w:rPr>
            </w:pPr>
          </w:p>
        </w:tc>
      </w:tr>
    </w:tbl>
    <w:p w14:paraId="0503227B" w14:textId="2EC18BD9" w:rsidR="00467EEF" w:rsidRPr="00B818D9" w:rsidRDefault="00F95159" w:rsidP="00B818D9">
      <w:pPr>
        <w:pStyle w:val="NormalWeb"/>
        <w:spacing w:line="360" w:lineRule="auto"/>
        <w:jc w:val="both"/>
      </w:pPr>
      <w:r w:rsidRPr="00B818D9">
        <w:t>1= reference. ORc</w:t>
      </w:r>
      <w:r w:rsidR="00E11D28" w:rsidRPr="00B818D9">
        <w:t xml:space="preserve"> = Gross Odd ration</w:t>
      </w:r>
    </w:p>
    <w:p w14:paraId="4F5A8F85" w14:textId="77777777" w:rsidR="00DA6BF9" w:rsidRPr="00B818D9" w:rsidRDefault="00DA6BF9" w:rsidP="00B818D9">
      <w:pPr>
        <w:pStyle w:val="NormalWeb"/>
        <w:spacing w:line="360" w:lineRule="auto"/>
        <w:jc w:val="both"/>
        <w:rPr>
          <w:b/>
          <w:bCs/>
        </w:rPr>
      </w:pPr>
    </w:p>
    <w:p w14:paraId="2F306C82" w14:textId="77777777" w:rsidR="00DA6BF9" w:rsidRDefault="00DA6BF9" w:rsidP="00B818D9">
      <w:pPr>
        <w:pStyle w:val="NormalWeb"/>
        <w:spacing w:line="360" w:lineRule="auto"/>
        <w:jc w:val="both"/>
        <w:rPr>
          <w:b/>
          <w:bCs/>
        </w:rPr>
      </w:pPr>
    </w:p>
    <w:p w14:paraId="72A2CC5A" w14:textId="77777777" w:rsidR="00302FF7" w:rsidRPr="00B818D9" w:rsidRDefault="00302FF7" w:rsidP="00B818D9">
      <w:pPr>
        <w:pStyle w:val="NormalWeb"/>
        <w:spacing w:line="360" w:lineRule="auto"/>
        <w:jc w:val="both"/>
        <w:rPr>
          <w:b/>
          <w:bCs/>
        </w:rPr>
      </w:pPr>
    </w:p>
    <w:p w14:paraId="6C99DB89" w14:textId="1B5B54E6" w:rsidR="003E5DCD" w:rsidRPr="00B818D9" w:rsidRDefault="003E5DCD" w:rsidP="00B818D9">
      <w:pPr>
        <w:pStyle w:val="NormalWeb"/>
        <w:numPr>
          <w:ilvl w:val="1"/>
          <w:numId w:val="1"/>
        </w:numPr>
        <w:spacing w:line="360" w:lineRule="auto"/>
        <w:jc w:val="both"/>
        <w:rPr>
          <w:b/>
          <w:bCs/>
        </w:rPr>
      </w:pPr>
      <w:r w:rsidRPr="00B818D9">
        <w:rPr>
          <w:b/>
          <w:bCs/>
        </w:rPr>
        <w:lastRenderedPageBreak/>
        <w:t xml:space="preserve">Correlation between STIs, HPV, age at first intercourse and contraceptive use </w:t>
      </w:r>
    </w:p>
    <w:p w14:paraId="6588158C" w14:textId="3F7A6D87" w:rsidR="003E5DCD" w:rsidRPr="00B818D9" w:rsidRDefault="003E5DCD" w:rsidP="00B818D9">
      <w:pPr>
        <w:pStyle w:val="NormalWeb"/>
        <w:spacing w:line="360" w:lineRule="auto"/>
        <w:jc w:val="both"/>
      </w:pPr>
      <w:r w:rsidRPr="00B818D9">
        <w:t>Table V shows a significant difference between girls who used contraceptive methods and those who did not when correlating STIs and contraceptive use (p=0.003). However, there was no association between HPV carriage, age at first intercourse and STIs.</w:t>
      </w:r>
    </w:p>
    <w:tbl>
      <w:tblPr>
        <w:tblpPr w:leftFromText="141" w:rightFromText="141" w:bottomFromText="160" w:vertAnchor="text" w:horzAnchor="margin" w:tblpY="845"/>
        <w:tblOverlap w:val="never"/>
        <w:tblW w:w="9668" w:type="dxa"/>
        <w:tblBorders>
          <w:top w:val="single" w:sz="18" w:space="0" w:color="auto"/>
          <w:bottom w:val="single" w:sz="18" w:space="0" w:color="auto"/>
        </w:tblBorders>
        <w:tblLook w:val="04A0" w:firstRow="1" w:lastRow="0" w:firstColumn="1" w:lastColumn="0" w:noHBand="0" w:noVBand="1"/>
      </w:tblPr>
      <w:tblGrid>
        <w:gridCol w:w="634"/>
        <w:gridCol w:w="2802"/>
        <w:gridCol w:w="1057"/>
        <w:gridCol w:w="396"/>
        <w:gridCol w:w="377"/>
        <w:gridCol w:w="901"/>
        <w:gridCol w:w="996"/>
        <w:gridCol w:w="812"/>
        <w:gridCol w:w="801"/>
        <w:gridCol w:w="98"/>
        <w:gridCol w:w="794"/>
      </w:tblGrid>
      <w:tr w:rsidR="00FA31EC" w:rsidRPr="00B818D9" w14:paraId="31EAB423" w14:textId="77777777" w:rsidTr="00FA31EC">
        <w:trPr>
          <w:trHeight w:hRule="exact" w:val="379"/>
        </w:trPr>
        <w:tc>
          <w:tcPr>
            <w:tcW w:w="3436" w:type="dxa"/>
            <w:gridSpan w:val="2"/>
            <w:tcBorders>
              <w:top w:val="single" w:sz="4" w:space="0" w:color="auto"/>
              <w:left w:val="nil"/>
              <w:bottom w:val="nil"/>
              <w:right w:val="nil"/>
            </w:tcBorders>
            <w:hideMark/>
          </w:tcPr>
          <w:p w14:paraId="7289E53E"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 xml:space="preserve">         Features </w:t>
            </w:r>
          </w:p>
        </w:tc>
        <w:tc>
          <w:tcPr>
            <w:tcW w:w="3727" w:type="dxa"/>
            <w:gridSpan w:val="5"/>
            <w:tcBorders>
              <w:top w:val="single" w:sz="4" w:space="0" w:color="auto"/>
              <w:left w:val="nil"/>
              <w:bottom w:val="single" w:sz="4" w:space="0" w:color="auto"/>
              <w:right w:val="nil"/>
            </w:tcBorders>
            <w:hideMark/>
          </w:tcPr>
          <w:p w14:paraId="2F2C798E"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STI</w:t>
            </w:r>
          </w:p>
        </w:tc>
        <w:tc>
          <w:tcPr>
            <w:tcW w:w="1613" w:type="dxa"/>
            <w:gridSpan w:val="2"/>
            <w:tcBorders>
              <w:top w:val="single" w:sz="4" w:space="0" w:color="auto"/>
              <w:left w:val="nil"/>
              <w:bottom w:val="nil"/>
              <w:right w:val="nil"/>
            </w:tcBorders>
          </w:tcPr>
          <w:p w14:paraId="58400424"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p>
        </w:tc>
        <w:tc>
          <w:tcPr>
            <w:tcW w:w="892" w:type="dxa"/>
            <w:gridSpan w:val="2"/>
            <w:tcBorders>
              <w:top w:val="single" w:sz="4" w:space="0" w:color="auto"/>
              <w:left w:val="nil"/>
              <w:bottom w:val="nil"/>
              <w:right w:val="nil"/>
            </w:tcBorders>
          </w:tcPr>
          <w:p w14:paraId="2AEBC4D4"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p>
        </w:tc>
      </w:tr>
      <w:tr w:rsidR="00FA31EC" w:rsidRPr="00B818D9" w14:paraId="479ED04E" w14:textId="77777777" w:rsidTr="00FA31EC">
        <w:trPr>
          <w:trHeight w:hRule="exact" w:val="379"/>
        </w:trPr>
        <w:tc>
          <w:tcPr>
            <w:tcW w:w="3436" w:type="dxa"/>
            <w:gridSpan w:val="2"/>
            <w:tcBorders>
              <w:top w:val="nil"/>
              <w:left w:val="nil"/>
              <w:bottom w:val="nil"/>
              <w:right w:val="nil"/>
            </w:tcBorders>
          </w:tcPr>
          <w:p w14:paraId="140D6242"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p>
        </w:tc>
        <w:tc>
          <w:tcPr>
            <w:tcW w:w="1830" w:type="dxa"/>
            <w:gridSpan w:val="3"/>
            <w:tcBorders>
              <w:top w:val="single" w:sz="4" w:space="0" w:color="auto"/>
              <w:left w:val="nil"/>
              <w:bottom w:val="nil"/>
              <w:right w:val="nil"/>
            </w:tcBorders>
            <w:hideMark/>
          </w:tcPr>
          <w:p w14:paraId="607F32A6"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Positive</w:t>
            </w:r>
          </w:p>
        </w:tc>
        <w:tc>
          <w:tcPr>
            <w:tcW w:w="1897" w:type="dxa"/>
            <w:gridSpan w:val="2"/>
            <w:tcBorders>
              <w:top w:val="single" w:sz="4" w:space="0" w:color="auto"/>
              <w:left w:val="nil"/>
              <w:bottom w:val="nil"/>
              <w:right w:val="nil"/>
            </w:tcBorders>
            <w:hideMark/>
          </w:tcPr>
          <w:p w14:paraId="0AC6FEBF"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Negative</w:t>
            </w:r>
          </w:p>
        </w:tc>
        <w:tc>
          <w:tcPr>
            <w:tcW w:w="1711" w:type="dxa"/>
            <w:gridSpan w:val="3"/>
            <w:tcBorders>
              <w:top w:val="nil"/>
              <w:left w:val="nil"/>
              <w:bottom w:val="nil"/>
              <w:right w:val="nil"/>
            </w:tcBorders>
          </w:tcPr>
          <w:p w14:paraId="0F27A335"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p>
        </w:tc>
        <w:tc>
          <w:tcPr>
            <w:tcW w:w="794" w:type="dxa"/>
            <w:tcBorders>
              <w:top w:val="nil"/>
              <w:left w:val="nil"/>
              <w:bottom w:val="nil"/>
              <w:right w:val="nil"/>
            </w:tcBorders>
          </w:tcPr>
          <w:p w14:paraId="7EACD61B"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P</w:t>
            </w:r>
          </w:p>
        </w:tc>
      </w:tr>
      <w:tr w:rsidR="00FA31EC" w:rsidRPr="00B818D9" w14:paraId="2675BDE0" w14:textId="77777777" w:rsidTr="00FA31EC">
        <w:trPr>
          <w:trHeight w:hRule="exact" w:val="379"/>
        </w:trPr>
        <w:tc>
          <w:tcPr>
            <w:tcW w:w="3436" w:type="dxa"/>
            <w:gridSpan w:val="2"/>
            <w:tcBorders>
              <w:top w:val="nil"/>
              <w:left w:val="nil"/>
              <w:bottom w:val="single" w:sz="4" w:space="0" w:color="auto"/>
              <w:right w:val="nil"/>
            </w:tcBorders>
          </w:tcPr>
          <w:p w14:paraId="32AA1BF9"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p>
        </w:tc>
        <w:tc>
          <w:tcPr>
            <w:tcW w:w="1057" w:type="dxa"/>
            <w:tcBorders>
              <w:top w:val="nil"/>
              <w:left w:val="nil"/>
              <w:bottom w:val="single" w:sz="4" w:space="0" w:color="auto"/>
              <w:right w:val="nil"/>
            </w:tcBorders>
            <w:hideMark/>
          </w:tcPr>
          <w:p w14:paraId="42FFFEEA"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n</w:t>
            </w:r>
          </w:p>
        </w:tc>
        <w:tc>
          <w:tcPr>
            <w:tcW w:w="773" w:type="dxa"/>
            <w:gridSpan w:val="2"/>
            <w:tcBorders>
              <w:top w:val="nil"/>
              <w:left w:val="nil"/>
              <w:bottom w:val="single" w:sz="4" w:space="0" w:color="auto"/>
              <w:right w:val="nil"/>
            </w:tcBorders>
            <w:hideMark/>
          </w:tcPr>
          <w:p w14:paraId="71E34094"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w:t>
            </w:r>
          </w:p>
        </w:tc>
        <w:tc>
          <w:tcPr>
            <w:tcW w:w="901" w:type="dxa"/>
            <w:tcBorders>
              <w:top w:val="nil"/>
              <w:left w:val="nil"/>
              <w:bottom w:val="single" w:sz="4" w:space="0" w:color="auto"/>
              <w:right w:val="nil"/>
            </w:tcBorders>
            <w:hideMark/>
          </w:tcPr>
          <w:p w14:paraId="36316B59"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n</w:t>
            </w:r>
          </w:p>
        </w:tc>
        <w:tc>
          <w:tcPr>
            <w:tcW w:w="996" w:type="dxa"/>
            <w:tcBorders>
              <w:top w:val="nil"/>
              <w:left w:val="nil"/>
              <w:bottom w:val="single" w:sz="4" w:space="0" w:color="auto"/>
              <w:right w:val="nil"/>
            </w:tcBorders>
            <w:hideMark/>
          </w:tcPr>
          <w:p w14:paraId="20EFF94B"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w:t>
            </w:r>
          </w:p>
        </w:tc>
        <w:tc>
          <w:tcPr>
            <w:tcW w:w="812" w:type="dxa"/>
            <w:tcBorders>
              <w:top w:val="nil"/>
              <w:left w:val="nil"/>
              <w:bottom w:val="single" w:sz="4" w:space="0" w:color="auto"/>
              <w:right w:val="nil"/>
            </w:tcBorders>
            <w:hideMark/>
          </w:tcPr>
          <w:p w14:paraId="313B826C"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N</w:t>
            </w:r>
          </w:p>
        </w:tc>
        <w:tc>
          <w:tcPr>
            <w:tcW w:w="899" w:type="dxa"/>
            <w:gridSpan w:val="2"/>
            <w:tcBorders>
              <w:top w:val="nil"/>
              <w:left w:val="nil"/>
              <w:bottom w:val="single" w:sz="4" w:space="0" w:color="auto"/>
              <w:right w:val="nil"/>
            </w:tcBorders>
            <w:hideMark/>
          </w:tcPr>
          <w:p w14:paraId="53072A59"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w:t>
            </w:r>
          </w:p>
        </w:tc>
        <w:tc>
          <w:tcPr>
            <w:tcW w:w="794" w:type="dxa"/>
            <w:tcBorders>
              <w:top w:val="nil"/>
              <w:left w:val="nil"/>
              <w:bottom w:val="single" w:sz="4" w:space="0" w:color="auto"/>
              <w:right w:val="nil"/>
            </w:tcBorders>
          </w:tcPr>
          <w:p w14:paraId="54F06C40" w14:textId="77777777" w:rsidR="00FA31EC" w:rsidRPr="00B818D9" w:rsidRDefault="00FA31EC" w:rsidP="00FA31EC">
            <w:pPr>
              <w:spacing w:line="360" w:lineRule="auto"/>
              <w:jc w:val="both"/>
              <w:rPr>
                <w:rFonts w:ascii="Times New Roman" w:hAnsi="Times New Roman" w:cs="Times New Roman"/>
                <w:b/>
                <w:noProof w:val="0"/>
                <w:color w:val="000000" w:themeColor="text1"/>
                <w:sz w:val="24"/>
                <w:szCs w:val="24"/>
              </w:rPr>
            </w:pPr>
          </w:p>
        </w:tc>
      </w:tr>
      <w:tr w:rsidR="00FA31EC" w:rsidRPr="00B818D9" w14:paraId="32D292FA" w14:textId="77777777" w:rsidTr="00FA31EC">
        <w:trPr>
          <w:trHeight w:hRule="exact" w:val="379"/>
        </w:trPr>
        <w:tc>
          <w:tcPr>
            <w:tcW w:w="3436" w:type="dxa"/>
            <w:gridSpan w:val="2"/>
            <w:tcBorders>
              <w:top w:val="single" w:sz="4" w:space="0" w:color="auto"/>
              <w:left w:val="nil"/>
              <w:bottom w:val="nil"/>
              <w:right w:val="nil"/>
            </w:tcBorders>
            <w:hideMark/>
          </w:tcPr>
          <w:p w14:paraId="0E020010" w14:textId="77777777" w:rsidR="00FA31EC" w:rsidRPr="00B818D9" w:rsidRDefault="00FA31EC" w:rsidP="00FA31EC">
            <w:pPr>
              <w:spacing w:line="360" w:lineRule="auto"/>
              <w:jc w:val="both"/>
              <w:rPr>
                <w:rFonts w:ascii="Times New Roman" w:hAnsi="Times New Roman" w:cs="Times New Roman"/>
                <w:b/>
                <w:bCs/>
                <w:noProof w:val="0"/>
                <w:color w:val="000000" w:themeColor="text1"/>
                <w:sz w:val="24"/>
                <w:szCs w:val="24"/>
              </w:rPr>
            </w:pPr>
            <w:r w:rsidRPr="00B818D9">
              <w:rPr>
                <w:rFonts w:ascii="Times New Roman" w:hAnsi="Times New Roman" w:cs="Times New Roman"/>
                <w:b/>
                <w:bCs/>
                <w:noProof w:val="0"/>
                <w:color w:val="000000" w:themeColor="text1"/>
                <w:sz w:val="24"/>
                <w:szCs w:val="24"/>
              </w:rPr>
              <w:t>HPV</w:t>
            </w:r>
          </w:p>
        </w:tc>
        <w:tc>
          <w:tcPr>
            <w:tcW w:w="1453" w:type="dxa"/>
            <w:gridSpan w:val="2"/>
            <w:tcBorders>
              <w:top w:val="single" w:sz="4" w:space="0" w:color="auto"/>
              <w:left w:val="nil"/>
              <w:bottom w:val="nil"/>
              <w:right w:val="nil"/>
            </w:tcBorders>
          </w:tcPr>
          <w:p w14:paraId="7DC91670"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377" w:type="dxa"/>
            <w:tcBorders>
              <w:top w:val="single" w:sz="4" w:space="0" w:color="auto"/>
              <w:left w:val="nil"/>
              <w:bottom w:val="nil"/>
              <w:right w:val="nil"/>
            </w:tcBorders>
          </w:tcPr>
          <w:p w14:paraId="266EC279"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1897" w:type="dxa"/>
            <w:gridSpan w:val="2"/>
            <w:tcBorders>
              <w:top w:val="single" w:sz="4" w:space="0" w:color="auto"/>
              <w:left w:val="nil"/>
              <w:bottom w:val="nil"/>
              <w:right w:val="nil"/>
            </w:tcBorders>
          </w:tcPr>
          <w:p w14:paraId="02275222"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812" w:type="dxa"/>
            <w:tcBorders>
              <w:top w:val="single" w:sz="4" w:space="0" w:color="auto"/>
              <w:left w:val="nil"/>
              <w:bottom w:val="nil"/>
              <w:right w:val="nil"/>
            </w:tcBorders>
          </w:tcPr>
          <w:p w14:paraId="3986A257"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899" w:type="dxa"/>
            <w:gridSpan w:val="2"/>
            <w:tcBorders>
              <w:top w:val="single" w:sz="4" w:space="0" w:color="auto"/>
              <w:left w:val="nil"/>
              <w:bottom w:val="nil"/>
              <w:right w:val="nil"/>
            </w:tcBorders>
          </w:tcPr>
          <w:p w14:paraId="7D0EC217"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794" w:type="dxa"/>
            <w:tcBorders>
              <w:top w:val="single" w:sz="4" w:space="0" w:color="auto"/>
              <w:left w:val="nil"/>
              <w:bottom w:val="nil"/>
              <w:right w:val="nil"/>
            </w:tcBorders>
            <w:hideMark/>
          </w:tcPr>
          <w:p w14:paraId="3A38DF12"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r>
      <w:tr w:rsidR="00FA31EC" w:rsidRPr="00B818D9" w14:paraId="6551DCEA" w14:textId="77777777" w:rsidTr="00FA31EC">
        <w:trPr>
          <w:trHeight w:hRule="exact" w:val="379"/>
        </w:trPr>
        <w:tc>
          <w:tcPr>
            <w:tcW w:w="634" w:type="dxa"/>
            <w:tcBorders>
              <w:top w:val="nil"/>
              <w:left w:val="nil"/>
              <w:bottom w:val="nil"/>
              <w:right w:val="nil"/>
            </w:tcBorders>
          </w:tcPr>
          <w:p w14:paraId="535D47B4"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2802" w:type="dxa"/>
            <w:tcBorders>
              <w:top w:val="nil"/>
              <w:left w:val="nil"/>
              <w:bottom w:val="nil"/>
              <w:right w:val="nil"/>
            </w:tcBorders>
            <w:hideMark/>
          </w:tcPr>
          <w:p w14:paraId="3C9497C9"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Positive</w:t>
            </w:r>
          </w:p>
        </w:tc>
        <w:tc>
          <w:tcPr>
            <w:tcW w:w="1057" w:type="dxa"/>
            <w:tcBorders>
              <w:top w:val="nil"/>
              <w:left w:val="nil"/>
              <w:bottom w:val="nil"/>
              <w:right w:val="nil"/>
            </w:tcBorders>
            <w:vAlign w:val="center"/>
            <w:hideMark/>
          </w:tcPr>
          <w:p w14:paraId="2B8FDA3B"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62</w:t>
            </w:r>
          </w:p>
        </w:tc>
        <w:tc>
          <w:tcPr>
            <w:tcW w:w="773" w:type="dxa"/>
            <w:gridSpan w:val="2"/>
            <w:tcBorders>
              <w:top w:val="nil"/>
              <w:left w:val="nil"/>
              <w:bottom w:val="nil"/>
              <w:right w:val="nil"/>
            </w:tcBorders>
            <w:vAlign w:val="bottom"/>
            <w:hideMark/>
          </w:tcPr>
          <w:p w14:paraId="48B3C59A"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48,44</w:t>
            </w:r>
          </w:p>
        </w:tc>
        <w:tc>
          <w:tcPr>
            <w:tcW w:w="901" w:type="dxa"/>
            <w:tcBorders>
              <w:top w:val="nil"/>
              <w:left w:val="nil"/>
              <w:bottom w:val="nil"/>
              <w:right w:val="nil"/>
            </w:tcBorders>
            <w:vAlign w:val="center"/>
            <w:hideMark/>
          </w:tcPr>
          <w:p w14:paraId="33B07951"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28</w:t>
            </w:r>
          </w:p>
        </w:tc>
        <w:tc>
          <w:tcPr>
            <w:tcW w:w="996" w:type="dxa"/>
            <w:tcBorders>
              <w:top w:val="nil"/>
              <w:left w:val="nil"/>
              <w:bottom w:val="nil"/>
              <w:right w:val="nil"/>
            </w:tcBorders>
          </w:tcPr>
          <w:p w14:paraId="142AE023"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40,00</w:t>
            </w:r>
          </w:p>
        </w:tc>
        <w:tc>
          <w:tcPr>
            <w:tcW w:w="812" w:type="dxa"/>
            <w:tcBorders>
              <w:top w:val="nil"/>
              <w:left w:val="nil"/>
              <w:bottom w:val="nil"/>
              <w:right w:val="nil"/>
            </w:tcBorders>
            <w:vAlign w:val="center"/>
            <w:hideMark/>
          </w:tcPr>
          <w:p w14:paraId="4BE54BAC"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90</w:t>
            </w:r>
          </w:p>
        </w:tc>
        <w:tc>
          <w:tcPr>
            <w:tcW w:w="899" w:type="dxa"/>
            <w:gridSpan w:val="2"/>
            <w:tcBorders>
              <w:top w:val="nil"/>
              <w:left w:val="nil"/>
              <w:bottom w:val="nil"/>
              <w:right w:val="nil"/>
            </w:tcBorders>
          </w:tcPr>
          <w:p w14:paraId="3694DEBA"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45,45</w:t>
            </w:r>
          </w:p>
        </w:tc>
        <w:tc>
          <w:tcPr>
            <w:tcW w:w="794" w:type="dxa"/>
            <w:vMerge w:val="restart"/>
            <w:tcBorders>
              <w:top w:val="nil"/>
              <w:left w:val="nil"/>
              <w:right w:val="nil"/>
            </w:tcBorders>
            <w:vAlign w:val="center"/>
          </w:tcPr>
          <w:p w14:paraId="083145DD"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hAnsi="Times New Roman" w:cs="Times New Roman"/>
                <w:b/>
                <w:noProof w:val="0"/>
                <w:color w:val="000000" w:themeColor="text1"/>
                <w:sz w:val="24"/>
                <w:szCs w:val="24"/>
              </w:rPr>
              <w:t>0,25</w:t>
            </w:r>
          </w:p>
        </w:tc>
      </w:tr>
      <w:tr w:rsidR="00FA31EC" w:rsidRPr="00B818D9" w14:paraId="3C9B4757" w14:textId="77777777" w:rsidTr="00FA31EC">
        <w:trPr>
          <w:trHeight w:hRule="exact" w:val="379"/>
        </w:trPr>
        <w:tc>
          <w:tcPr>
            <w:tcW w:w="634" w:type="dxa"/>
            <w:tcBorders>
              <w:top w:val="nil"/>
              <w:left w:val="nil"/>
              <w:bottom w:val="nil"/>
              <w:right w:val="nil"/>
            </w:tcBorders>
          </w:tcPr>
          <w:p w14:paraId="1094EE9A"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2802" w:type="dxa"/>
            <w:tcBorders>
              <w:top w:val="nil"/>
              <w:left w:val="nil"/>
              <w:bottom w:val="nil"/>
              <w:right w:val="nil"/>
            </w:tcBorders>
            <w:hideMark/>
          </w:tcPr>
          <w:p w14:paraId="3C924B82"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Négative</w:t>
            </w:r>
          </w:p>
        </w:tc>
        <w:tc>
          <w:tcPr>
            <w:tcW w:w="1057" w:type="dxa"/>
            <w:tcBorders>
              <w:top w:val="nil"/>
              <w:left w:val="nil"/>
              <w:bottom w:val="nil"/>
              <w:right w:val="nil"/>
            </w:tcBorders>
            <w:vAlign w:val="center"/>
            <w:hideMark/>
          </w:tcPr>
          <w:p w14:paraId="53679198"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66</w:t>
            </w:r>
          </w:p>
        </w:tc>
        <w:tc>
          <w:tcPr>
            <w:tcW w:w="773" w:type="dxa"/>
            <w:gridSpan w:val="2"/>
            <w:tcBorders>
              <w:top w:val="nil"/>
              <w:left w:val="nil"/>
              <w:bottom w:val="nil"/>
              <w:right w:val="nil"/>
            </w:tcBorders>
            <w:vAlign w:val="bottom"/>
            <w:hideMark/>
          </w:tcPr>
          <w:p w14:paraId="4749461E"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51,56</w:t>
            </w:r>
          </w:p>
        </w:tc>
        <w:tc>
          <w:tcPr>
            <w:tcW w:w="901" w:type="dxa"/>
            <w:tcBorders>
              <w:top w:val="nil"/>
              <w:left w:val="nil"/>
              <w:bottom w:val="nil"/>
              <w:right w:val="nil"/>
            </w:tcBorders>
            <w:vAlign w:val="center"/>
            <w:hideMark/>
          </w:tcPr>
          <w:p w14:paraId="6113B4D4"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42</w:t>
            </w:r>
          </w:p>
        </w:tc>
        <w:tc>
          <w:tcPr>
            <w:tcW w:w="996" w:type="dxa"/>
            <w:tcBorders>
              <w:top w:val="nil"/>
              <w:left w:val="nil"/>
              <w:bottom w:val="nil"/>
              <w:right w:val="nil"/>
            </w:tcBorders>
          </w:tcPr>
          <w:p w14:paraId="4C0D113E"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60,00</w:t>
            </w:r>
          </w:p>
        </w:tc>
        <w:tc>
          <w:tcPr>
            <w:tcW w:w="812" w:type="dxa"/>
            <w:tcBorders>
              <w:top w:val="nil"/>
              <w:left w:val="nil"/>
              <w:bottom w:val="nil"/>
              <w:right w:val="nil"/>
            </w:tcBorders>
            <w:vAlign w:val="center"/>
            <w:hideMark/>
          </w:tcPr>
          <w:p w14:paraId="2C5B4467"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108</w:t>
            </w:r>
          </w:p>
        </w:tc>
        <w:tc>
          <w:tcPr>
            <w:tcW w:w="899" w:type="dxa"/>
            <w:gridSpan w:val="2"/>
            <w:tcBorders>
              <w:top w:val="nil"/>
              <w:left w:val="nil"/>
              <w:bottom w:val="nil"/>
              <w:right w:val="nil"/>
            </w:tcBorders>
          </w:tcPr>
          <w:p w14:paraId="445BE4D5"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54,55</w:t>
            </w:r>
          </w:p>
        </w:tc>
        <w:tc>
          <w:tcPr>
            <w:tcW w:w="794" w:type="dxa"/>
            <w:vMerge/>
            <w:tcBorders>
              <w:left w:val="nil"/>
              <w:bottom w:val="nil"/>
              <w:right w:val="nil"/>
            </w:tcBorders>
          </w:tcPr>
          <w:p w14:paraId="146688D0"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p>
        </w:tc>
      </w:tr>
      <w:tr w:rsidR="00FA31EC" w:rsidRPr="00B818D9" w14:paraId="599358C6" w14:textId="77777777" w:rsidTr="00FA31EC">
        <w:trPr>
          <w:trHeight w:hRule="exact" w:val="379"/>
        </w:trPr>
        <w:tc>
          <w:tcPr>
            <w:tcW w:w="3436" w:type="dxa"/>
            <w:gridSpan w:val="2"/>
            <w:tcBorders>
              <w:top w:val="nil"/>
              <w:left w:val="nil"/>
              <w:bottom w:val="nil"/>
              <w:right w:val="nil"/>
            </w:tcBorders>
          </w:tcPr>
          <w:p w14:paraId="2C0C9BCA" w14:textId="77777777" w:rsidR="00FA31EC" w:rsidRPr="00B818D9" w:rsidRDefault="00FA31EC" w:rsidP="00FA31EC">
            <w:pPr>
              <w:spacing w:line="360" w:lineRule="auto"/>
              <w:jc w:val="both"/>
              <w:rPr>
                <w:rFonts w:ascii="Times New Roman" w:hAnsi="Times New Roman" w:cs="Times New Roman"/>
                <w:b/>
                <w:bCs/>
                <w:noProof w:val="0"/>
                <w:color w:val="000000" w:themeColor="text1"/>
                <w:sz w:val="24"/>
                <w:szCs w:val="24"/>
              </w:rPr>
            </w:pPr>
            <w:r w:rsidRPr="00B818D9">
              <w:rPr>
                <w:rFonts w:ascii="Times New Roman" w:hAnsi="Times New Roman" w:cs="Times New Roman"/>
                <w:b/>
                <w:bCs/>
                <w:noProof w:val="0"/>
                <w:color w:val="000000" w:themeColor="text1"/>
                <w:sz w:val="24"/>
                <w:szCs w:val="24"/>
              </w:rPr>
              <w:t>Age of first sexual intercourse</w:t>
            </w:r>
          </w:p>
        </w:tc>
        <w:tc>
          <w:tcPr>
            <w:tcW w:w="1453" w:type="dxa"/>
            <w:gridSpan w:val="2"/>
            <w:tcBorders>
              <w:top w:val="nil"/>
              <w:left w:val="nil"/>
              <w:bottom w:val="nil"/>
              <w:right w:val="nil"/>
            </w:tcBorders>
          </w:tcPr>
          <w:p w14:paraId="7AC15D49"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377" w:type="dxa"/>
            <w:tcBorders>
              <w:top w:val="nil"/>
              <w:left w:val="nil"/>
              <w:bottom w:val="nil"/>
              <w:right w:val="nil"/>
            </w:tcBorders>
          </w:tcPr>
          <w:p w14:paraId="6724AF9B"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1897" w:type="dxa"/>
            <w:gridSpan w:val="2"/>
            <w:tcBorders>
              <w:top w:val="nil"/>
              <w:left w:val="nil"/>
              <w:bottom w:val="nil"/>
              <w:right w:val="nil"/>
            </w:tcBorders>
          </w:tcPr>
          <w:p w14:paraId="0571B157"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812" w:type="dxa"/>
            <w:tcBorders>
              <w:top w:val="nil"/>
              <w:left w:val="nil"/>
              <w:bottom w:val="nil"/>
              <w:right w:val="nil"/>
            </w:tcBorders>
          </w:tcPr>
          <w:p w14:paraId="75AD1CE3"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899" w:type="dxa"/>
            <w:gridSpan w:val="2"/>
            <w:tcBorders>
              <w:top w:val="nil"/>
              <w:left w:val="nil"/>
              <w:bottom w:val="nil"/>
              <w:right w:val="nil"/>
            </w:tcBorders>
          </w:tcPr>
          <w:p w14:paraId="0D3A18D8"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794" w:type="dxa"/>
            <w:tcBorders>
              <w:top w:val="nil"/>
              <w:left w:val="nil"/>
              <w:bottom w:val="nil"/>
              <w:right w:val="nil"/>
            </w:tcBorders>
            <w:hideMark/>
          </w:tcPr>
          <w:p w14:paraId="08D7CAFF"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r>
      <w:tr w:rsidR="00FA31EC" w:rsidRPr="00B818D9" w14:paraId="3A2297FC" w14:textId="77777777" w:rsidTr="00FA31EC">
        <w:trPr>
          <w:trHeight w:hRule="exact" w:val="379"/>
        </w:trPr>
        <w:tc>
          <w:tcPr>
            <w:tcW w:w="634" w:type="dxa"/>
            <w:tcBorders>
              <w:top w:val="nil"/>
              <w:left w:val="nil"/>
              <w:bottom w:val="nil"/>
              <w:right w:val="nil"/>
            </w:tcBorders>
          </w:tcPr>
          <w:p w14:paraId="04C1905B"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2802" w:type="dxa"/>
            <w:tcBorders>
              <w:top w:val="nil"/>
              <w:left w:val="nil"/>
              <w:bottom w:val="nil"/>
              <w:right w:val="nil"/>
            </w:tcBorders>
          </w:tcPr>
          <w:p w14:paraId="10CBA02B"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&lt;18 years</w:t>
            </w:r>
          </w:p>
        </w:tc>
        <w:tc>
          <w:tcPr>
            <w:tcW w:w="1057" w:type="dxa"/>
            <w:tcBorders>
              <w:top w:val="nil"/>
              <w:left w:val="nil"/>
              <w:bottom w:val="nil"/>
              <w:right w:val="nil"/>
            </w:tcBorders>
            <w:vAlign w:val="center"/>
          </w:tcPr>
          <w:p w14:paraId="6ECC526E"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80</w:t>
            </w:r>
          </w:p>
        </w:tc>
        <w:tc>
          <w:tcPr>
            <w:tcW w:w="773" w:type="dxa"/>
            <w:gridSpan w:val="2"/>
            <w:tcBorders>
              <w:top w:val="nil"/>
              <w:left w:val="nil"/>
              <w:bottom w:val="nil"/>
              <w:right w:val="nil"/>
            </w:tcBorders>
            <w:vAlign w:val="bottom"/>
          </w:tcPr>
          <w:p w14:paraId="2F834ABC"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62,50</w:t>
            </w:r>
          </w:p>
        </w:tc>
        <w:tc>
          <w:tcPr>
            <w:tcW w:w="901" w:type="dxa"/>
            <w:tcBorders>
              <w:top w:val="nil"/>
              <w:left w:val="nil"/>
              <w:bottom w:val="nil"/>
              <w:right w:val="nil"/>
            </w:tcBorders>
            <w:vAlign w:val="center"/>
          </w:tcPr>
          <w:p w14:paraId="5AD6E30A"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47</w:t>
            </w:r>
          </w:p>
        </w:tc>
        <w:tc>
          <w:tcPr>
            <w:tcW w:w="996" w:type="dxa"/>
            <w:tcBorders>
              <w:top w:val="nil"/>
              <w:left w:val="nil"/>
              <w:bottom w:val="nil"/>
              <w:right w:val="nil"/>
            </w:tcBorders>
            <w:vAlign w:val="center"/>
          </w:tcPr>
          <w:p w14:paraId="00D0E12F"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67,14</w:t>
            </w:r>
          </w:p>
        </w:tc>
        <w:tc>
          <w:tcPr>
            <w:tcW w:w="812" w:type="dxa"/>
            <w:tcBorders>
              <w:top w:val="nil"/>
              <w:left w:val="nil"/>
              <w:bottom w:val="nil"/>
              <w:right w:val="nil"/>
            </w:tcBorders>
            <w:vAlign w:val="center"/>
          </w:tcPr>
          <w:p w14:paraId="685B86C9"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127</w:t>
            </w:r>
          </w:p>
        </w:tc>
        <w:tc>
          <w:tcPr>
            <w:tcW w:w="899" w:type="dxa"/>
            <w:gridSpan w:val="2"/>
            <w:tcBorders>
              <w:top w:val="nil"/>
              <w:left w:val="nil"/>
              <w:bottom w:val="nil"/>
              <w:right w:val="nil"/>
            </w:tcBorders>
          </w:tcPr>
          <w:p w14:paraId="1A4ECE80"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64,14</w:t>
            </w:r>
          </w:p>
        </w:tc>
        <w:tc>
          <w:tcPr>
            <w:tcW w:w="794" w:type="dxa"/>
            <w:vMerge w:val="restart"/>
            <w:tcBorders>
              <w:left w:val="nil"/>
              <w:right w:val="nil"/>
            </w:tcBorders>
          </w:tcPr>
          <w:p w14:paraId="5C54BEA5"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hAnsi="Times New Roman" w:cs="Times New Roman"/>
                <w:b/>
                <w:noProof w:val="0"/>
                <w:color w:val="000000" w:themeColor="text1"/>
                <w:sz w:val="24"/>
                <w:szCs w:val="24"/>
              </w:rPr>
              <w:t>0,51</w:t>
            </w:r>
          </w:p>
        </w:tc>
      </w:tr>
      <w:tr w:rsidR="00FA31EC" w:rsidRPr="00B818D9" w14:paraId="26BCDDB9" w14:textId="77777777" w:rsidTr="00FA31EC">
        <w:trPr>
          <w:trHeight w:hRule="exact" w:val="379"/>
        </w:trPr>
        <w:tc>
          <w:tcPr>
            <w:tcW w:w="634" w:type="dxa"/>
            <w:tcBorders>
              <w:top w:val="nil"/>
              <w:left w:val="nil"/>
              <w:bottom w:val="nil"/>
              <w:right w:val="nil"/>
            </w:tcBorders>
          </w:tcPr>
          <w:p w14:paraId="5C2D626E"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2802" w:type="dxa"/>
            <w:tcBorders>
              <w:top w:val="nil"/>
              <w:left w:val="nil"/>
              <w:bottom w:val="nil"/>
              <w:right w:val="nil"/>
            </w:tcBorders>
          </w:tcPr>
          <w:p w14:paraId="54260587"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≥18 years</w:t>
            </w:r>
          </w:p>
        </w:tc>
        <w:tc>
          <w:tcPr>
            <w:tcW w:w="1057" w:type="dxa"/>
            <w:tcBorders>
              <w:top w:val="nil"/>
              <w:left w:val="nil"/>
              <w:bottom w:val="nil"/>
              <w:right w:val="nil"/>
            </w:tcBorders>
            <w:vAlign w:val="center"/>
          </w:tcPr>
          <w:p w14:paraId="51AEF7A4"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48</w:t>
            </w:r>
          </w:p>
        </w:tc>
        <w:tc>
          <w:tcPr>
            <w:tcW w:w="773" w:type="dxa"/>
            <w:gridSpan w:val="2"/>
            <w:tcBorders>
              <w:top w:val="nil"/>
              <w:left w:val="nil"/>
              <w:bottom w:val="nil"/>
              <w:right w:val="nil"/>
            </w:tcBorders>
            <w:vAlign w:val="bottom"/>
          </w:tcPr>
          <w:p w14:paraId="405F2220"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37,50</w:t>
            </w:r>
          </w:p>
        </w:tc>
        <w:tc>
          <w:tcPr>
            <w:tcW w:w="901" w:type="dxa"/>
            <w:tcBorders>
              <w:top w:val="nil"/>
              <w:left w:val="nil"/>
              <w:bottom w:val="nil"/>
              <w:right w:val="nil"/>
            </w:tcBorders>
            <w:vAlign w:val="center"/>
          </w:tcPr>
          <w:p w14:paraId="1CACED69"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23</w:t>
            </w:r>
          </w:p>
        </w:tc>
        <w:tc>
          <w:tcPr>
            <w:tcW w:w="996" w:type="dxa"/>
            <w:tcBorders>
              <w:top w:val="nil"/>
              <w:left w:val="nil"/>
              <w:bottom w:val="nil"/>
              <w:right w:val="nil"/>
            </w:tcBorders>
            <w:vAlign w:val="center"/>
          </w:tcPr>
          <w:p w14:paraId="311C8912"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32,86</w:t>
            </w:r>
          </w:p>
        </w:tc>
        <w:tc>
          <w:tcPr>
            <w:tcW w:w="812" w:type="dxa"/>
            <w:tcBorders>
              <w:top w:val="nil"/>
              <w:left w:val="nil"/>
              <w:bottom w:val="nil"/>
              <w:right w:val="nil"/>
            </w:tcBorders>
            <w:vAlign w:val="center"/>
          </w:tcPr>
          <w:p w14:paraId="2EC34CA9"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71</w:t>
            </w:r>
          </w:p>
        </w:tc>
        <w:tc>
          <w:tcPr>
            <w:tcW w:w="899" w:type="dxa"/>
            <w:gridSpan w:val="2"/>
            <w:tcBorders>
              <w:top w:val="nil"/>
              <w:left w:val="nil"/>
              <w:bottom w:val="nil"/>
              <w:right w:val="nil"/>
            </w:tcBorders>
          </w:tcPr>
          <w:p w14:paraId="1560B010"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35,86</w:t>
            </w:r>
          </w:p>
        </w:tc>
        <w:tc>
          <w:tcPr>
            <w:tcW w:w="794" w:type="dxa"/>
            <w:vMerge/>
            <w:tcBorders>
              <w:left w:val="nil"/>
              <w:bottom w:val="nil"/>
              <w:right w:val="nil"/>
            </w:tcBorders>
          </w:tcPr>
          <w:p w14:paraId="394EFFEC"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p>
        </w:tc>
      </w:tr>
      <w:tr w:rsidR="00FA31EC" w:rsidRPr="00B818D9" w14:paraId="6C94F661" w14:textId="77777777" w:rsidTr="00FA31EC">
        <w:trPr>
          <w:trHeight w:hRule="exact" w:val="379"/>
        </w:trPr>
        <w:tc>
          <w:tcPr>
            <w:tcW w:w="3436" w:type="dxa"/>
            <w:gridSpan w:val="2"/>
            <w:tcBorders>
              <w:top w:val="nil"/>
              <w:left w:val="nil"/>
              <w:bottom w:val="nil"/>
              <w:right w:val="nil"/>
            </w:tcBorders>
            <w:hideMark/>
          </w:tcPr>
          <w:p w14:paraId="3692C5A5" w14:textId="77777777" w:rsidR="00FA31EC" w:rsidRPr="00B818D9" w:rsidRDefault="00FA31EC" w:rsidP="00FA31EC">
            <w:pPr>
              <w:spacing w:line="360" w:lineRule="auto"/>
              <w:jc w:val="both"/>
              <w:rPr>
                <w:rFonts w:ascii="Times New Roman" w:hAnsi="Times New Roman" w:cs="Times New Roman"/>
                <w:b/>
                <w:bCs/>
                <w:noProof w:val="0"/>
                <w:color w:val="000000" w:themeColor="text1"/>
                <w:sz w:val="24"/>
                <w:szCs w:val="24"/>
              </w:rPr>
            </w:pPr>
            <w:r w:rsidRPr="00B818D9">
              <w:rPr>
                <w:rFonts w:ascii="Times New Roman" w:hAnsi="Times New Roman" w:cs="Times New Roman"/>
                <w:b/>
                <w:bCs/>
                <w:noProof w:val="0"/>
                <w:color w:val="000000" w:themeColor="text1"/>
                <w:sz w:val="24"/>
                <w:szCs w:val="24"/>
              </w:rPr>
              <w:t>Use of contraception</w:t>
            </w:r>
          </w:p>
        </w:tc>
        <w:tc>
          <w:tcPr>
            <w:tcW w:w="1453" w:type="dxa"/>
            <w:gridSpan w:val="2"/>
            <w:tcBorders>
              <w:top w:val="nil"/>
              <w:left w:val="nil"/>
              <w:bottom w:val="nil"/>
              <w:right w:val="nil"/>
            </w:tcBorders>
          </w:tcPr>
          <w:p w14:paraId="37B510B3"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377" w:type="dxa"/>
            <w:tcBorders>
              <w:top w:val="nil"/>
              <w:left w:val="nil"/>
              <w:bottom w:val="nil"/>
              <w:right w:val="nil"/>
            </w:tcBorders>
          </w:tcPr>
          <w:p w14:paraId="384E80FD"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1897" w:type="dxa"/>
            <w:gridSpan w:val="2"/>
            <w:tcBorders>
              <w:top w:val="nil"/>
              <w:left w:val="nil"/>
              <w:bottom w:val="nil"/>
              <w:right w:val="nil"/>
            </w:tcBorders>
          </w:tcPr>
          <w:p w14:paraId="36B73B35"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812" w:type="dxa"/>
            <w:tcBorders>
              <w:top w:val="nil"/>
              <w:left w:val="nil"/>
              <w:bottom w:val="nil"/>
              <w:right w:val="nil"/>
            </w:tcBorders>
          </w:tcPr>
          <w:p w14:paraId="2E673D2B"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899" w:type="dxa"/>
            <w:gridSpan w:val="2"/>
            <w:tcBorders>
              <w:top w:val="nil"/>
              <w:left w:val="nil"/>
              <w:bottom w:val="nil"/>
              <w:right w:val="nil"/>
            </w:tcBorders>
          </w:tcPr>
          <w:p w14:paraId="49A25717"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794" w:type="dxa"/>
            <w:tcBorders>
              <w:top w:val="nil"/>
              <w:left w:val="nil"/>
              <w:bottom w:val="nil"/>
              <w:right w:val="nil"/>
            </w:tcBorders>
            <w:hideMark/>
          </w:tcPr>
          <w:p w14:paraId="73F3D73B"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r>
      <w:tr w:rsidR="00FA31EC" w:rsidRPr="00B818D9" w14:paraId="42139D46" w14:textId="77777777" w:rsidTr="00FA31EC">
        <w:trPr>
          <w:trHeight w:hRule="exact" w:val="379"/>
        </w:trPr>
        <w:tc>
          <w:tcPr>
            <w:tcW w:w="634" w:type="dxa"/>
            <w:tcBorders>
              <w:top w:val="nil"/>
              <w:left w:val="nil"/>
              <w:bottom w:val="nil"/>
              <w:right w:val="nil"/>
            </w:tcBorders>
          </w:tcPr>
          <w:p w14:paraId="29BCE27F"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2802" w:type="dxa"/>
            <w:tcBorders>
              <w:top w:val="nil"/>
              <w:left w:val="nil"/>
              <w:bottom w:val="nil"/>
              <w:right w:val="nil"/>
            </w:tcBorders>
            <w:hideMark/>
          </w:tcPr>
          <w:p w14:paraId="4E49F455"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Yes</w:t>
            </w:r>
          </w:p>
        </w:tc>
        <w:tc>
          <w:tcPr>
            <w:tcW w:w="1057" w:type="dxa"/>
            <w:tcBorders>
              <w:top w:val="nil"/>
              <w:left w:val="nil"/>
              <w:bottom w:val="nil"/>
              <w:right w:val="nil"/>
            </w:tcBorders>
            <w:vAlign w:val="center"/>
          </w:tcPr>
          <w:p w14:paraId="062F44B0"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52</w:t>
            </w:r>
          </w:p>
        </w:tc>
        <w:tc>
          <w:tcPr>
            <w:tcW w:w="773" w:type="dxa"/>
            <w:gridSpan w:val="2"/>
            <w:tcBorders>
              <w:top w:val="nil"/>
              <w:left w:val="nil"/>
              <w:bottom w:val="nil"/>
              <w:right w:val="nil"/>
            </w:tcBorders>
            <w:vAlign w:val="bottom"/>
          </w:tcPr>
          <w:p w14:paraId="5E6AC550"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40,63</w:t>
            </w:r>
          </w:p>
        </w:tc>
        <w:tc>
          <w:tcPr>
            <w:tcW w:w="901" w:type="dxa"/>
            <w:tcBorders>
              <w:top w:val="nil"/>
              <w:left w:val="nil"/>
              <w:bottom w:val="nil"/>
              <w:right w:val="nil"/>
            </w:tcBorders>
          </w:tcPr>
          <w:p w14:paraId="412082CD"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14</w:t>
            </w:r>
          </w:p>
        </w:tc>
        <w:tc>
          <w:tcPr>
            <w:tcW w:w="996" w:type="dxa"/>
            <w:tcBorders>
              <w:top w:val="nil"/>
              <w:left w:val="nil"/>
              <w:bottom w:val="nil"/>
              <w:right w:val="nil"/>
            </w:tcBorders>
          </w:tcPr>
          <w:p w14:paraId="1746CC2A"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20,00</w:t>
            </w:r>
          </w:p>
        </w:tc>
        <w:tc>
          <w:tcPr>
            <w:tcW w:w="812" w:type="dxa"/>
            <w:tcBorders>
              <w:top w:val="nil"/>
              <w:left w:val="nil"/>
              <w:bottom w:val="nil"/>
              <w:right w:val="nil"/>
            </w:tcBorders>
            <w:vAlign w:val="center"/>
          </w:tcPr>
          <w:p w14:paraId="12132AFF"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66</w:t>
            </w:r>
          </w:p>
        </w:tc>
        <w:tc>
          <w:tcPr>
            <w:tcW w:w="899" w:type="dxa"/>
            <w:gridSpan w:val="2"/>
            <w:tcBorders>
              <w:top w:val="nil"/>
              <w:left w:val="nil"/>
              <w:bottom w:val="nil"/>
              <w:right w:val="nil"/>
            </w:tcBorders>
          </w:tcPr>
          <w:p w14:paraId="046533E9"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33,33</w:t>
            </w:r>
          </w:p>
        </w:tc>
        <w:tc>
          <w:tcPr>
            <w:tcW w:w="794" w:type="dxa"/>
            <w:vMerge w:val="restart"/>
            <w:tcBorders>
              <w:top w:val="nil"/>
              <w:left w:val="nil"/>
              <w:bottom w:val="nil"/>
              <w:right w:val="nil"/>
            </w:tcBorders>
            <w:vAlign w:val="center"/>
          </w:tcPr>
          <w:p w14:paraId="398518C2" w14:textId="77777777" w:rsidR="00FA31EC" w:rsidRPr="00B818D9" w:rsidRDefault="00FA31EC" w:rsidP="00FA31EC">
            <w:pPr>
              <w:spacing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0,003</w:t>
            </w:r>
          </w:p>
        </w:tc>
      </w:tr>
      <w:tr w:rsidR="00FA31EC" w:rsidRPr="00B818D9" w14:paraId="764E2763" w14:textId="77777777" w:rsidTr="00FA31EC">
        <w:trPr>
          <w:trHeight w:hRule="exact" w:val="379"/>
        </w:trPr>
        <w:tc>
          <w:tcPr>
            <w:tcW w:w="634" w:type="dxa"/>
            <w:tcBorders>
              <w:top w:val="nil"/>
              <w:left w:val="nil"/>
              <w:bottom w:val="single" w:sz="4" w:space="0" w:color="auto"/>
              <w:right w:val="nil"/>
            </w:tcBorders>
          </w:tcPr>
          <w:p w14:paraId="05855542"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p>
        </w:tc>
        <w:tc>
          <w:tcPr>
            <w:tcW w:w="2802" w:type="dxa"/>
            <w:tcBorders>
              <w:top w:val="nil"/>
              <w:left w:val="nil"/>
              <w:bottom w:val="single" w:sz="4" w:space="0" w:color="auto"/>
              <w:right w:val="nil"/>
            </w:tcBorders>
            <w:hideMark/>
          </w:tcPr>
          <w:p w14:paraId="67247BBF"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No</w:t>
            </w:r>
          </w:p>
        </w:tc>
        <w:tc>
          <w:tcPr>
            <w:tcW w:w="1057" w:type="dxa"/>
            <w:tcBorders>
              <w:top w:val="nil"/>
              <w:left w:val="nil"/>
              <w:bottom w:val="single" w:sz="4" w:space="0" w:color="auto"/>
              <w:right w:val="nil"/>
            </w:tcBorders>
            <w:vAlign w:val="center"/>
          </w:tcPr>
          <w:p w14:paraId="7DAC461E"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76</w:t>
            </w:r>
          </w:p>
        </w:tc>
        <w:tc>
          <w:tcPr>
            <w:tcW w:w="773" w:type="dxa"/>
            <w:gridSpan w:val="2"/>
            <w:tcBorders>
              <w:top w:val="nil"/>
              <w:left w:val="nil"/>
              <w:bottom w:val="single" w:sz="4" w:space="0" w:color="auto"/>
              <w:right w:val="nil"/>
            </w:tcBorders>
            <w:vAlign w:val="bottom"/>
          </w:tcPr>
          <w:p w14:paraId="550AF724"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59,38</w:t>
            </w:r>
          </w:p>
        </w:tc>
        <w:tc>
          <w:tcPr>
            <w:tcW w:w="901" w:type="dxa"/>
            <w:tcBorders>
              <w:top w:val="nil"/>
              <w:left w:val="nil"/>
              <w:bottom w:val="single" w:sz="4" w:space="0" w:color="auto"/>
              <w:right w:val="nil"/>
            </w:tcBorders>
          </w:tcPr>
          <w:p w14:paraId="20B7FEDD"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56</w:t>
            </w:r>
          </w:p>
        </w:tc>
        <w:tc>
          <w:tcPr>
            <w:tcW w:w="996" w:type="dxa"/>
            <w:tcBorders>
              <w:top w:val="nil"/>
              <w:left w:val="nil"/>
              <w:bottom w:val="single" w:sz="4" w:space="0" w:color="auto"/>
              <w:right w:val="nil"/>
            </w:tcBorders>
          </w:tcPr>
          <w:p w14:paraId="4DB93582"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80,00</w:t>
            </w:r>
          </w:p>
        </w:tc>
        <w:tc>
          <w:tcPr>
            <w:tcW w:w="812" w:type="dxa"/>
            <w:tcBorders>
              <w:top w:val="nil"/>
              <w:left w:val="nil"/>
              <w:bottom w:val="single" w:sz="4" w:space="0" w:color="auto"/>
              <w:right w:val="nil"/>
            </w:tcBorders>
            <w:vAlign w:val="center"/>
          </w:tcPr>
          <w:p w14:paraId="5546922B"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132</w:t>
            </w:r>
          </w:p>
        </w:tc>
        <w:tc>
          <w:tcPr>
            <w:tcW w:w="899" w:type="dxa"/>
            <w:gridSpan w:val="2"/>
            <w:tcBorders>
              <w:top w:val="nil"/>
              <w:left w:val="nil"/>
              <w:bottom w:val="single" w:sz="4" w:space="0" w:color="auto"/>
              <w:right w:val="nil"/>
            </w:tcBorders>
          </w:tcPr>
          <w:p w14:paraId="0F626293" w14:textId="77777777" w:rsidR="00FA31EC" w:rsidRPr="00B818D9" w:rsidRDefault="00FA31EC" w:rsidP="00FA31EC">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66,67</w:t>
            </w:r>
          </w:p>
        </w:tc>
        <w:tc>
          <w:tcPr>
            <w:tcW w:w="794" w:type="dxa"/>
            <w:vMerge/>
            <w:tcBorders>
              <w:top w:val="nil"/>
              <w:left w:val="nil"/>
              <w:bottom w:val="single" w:sz="4" w:space="0" w:color="auto"/>
              <w:right w:val="nil"/>
            </w:tcBorders>
          </w:tcPr>
          <w:p w14:paraId="4C6C6AE8" w14:textId="77777777" w:rsidR="00FA31EC" w:rsidRPr="00B818D9" w:rsidRDefault="00FA31EC" w:rsidP="00FA31EC">
            <w:pPr>
              <w:spacing w:line="360" w:lineRule="auto"/>
              <w:jc w:val="both"/>
              <w:rPr>
                <w:rFonts w:ascii="Times New Roman" w:eastAsia="Times New Roman" w:hAnsi="Times New Roman" w:cs="Times New Roman"/>
                <w:noProof w:val="0"/>
                <w:color w:val="000000" w:themeColor="text1"/>
                <w:sz w:val="24"/>
                <w:szCs w:val="24"/>
                <w:lang w:eastAsia="fr-FR"/>
              </w:rPr>
            </w:pPr>
          </w:p>
        </w:tc>
      </w:tr>
    </w:tbl>
    <w:p w14:paraId="00BD33FF" w14:textId="56C8A93C" w:rsidR="0011440B" w:rsidRPr="00887324" w:rsidRDefault="00072F4A" w:rsidP="00B818D9">
      <w:pPr>
        <w:pStyle w:val="NormalWeb"/>
        <w:spacing w:line="360" w:lineRule="auto"/>
        <w:jc w:val="both"/>
      </w:pPr>
      <w:r w:rsidRPr="00B818D9">
        <w:rPr>
          <w:b/>
          <w:bCs/>
        </w:rPr>
        <w:t>Table V</w:t>
      </w:r>
      <w:r w:rsidR="0011440B" w:rsidRPr="00B818D9">
        <w:rPr>
          <w:b/>
          <w:bCs/>
        </w:rPr>
        <w:t xml:space="preserve">. </w:t>
      </w:r>
      <w:r w:rsidR="0011440B" w:rsidRPr="00887324">
        <w:t xml:space="preserve">Prevalence of STIs according to </w:t>
      </w:r>
      <w:r w:rsidR="00662A29" w:rsidRPr="00887324">
        <w:t xml:space="preserve">HPV carriage, age </w:t>
      </w:r>
      <w:r w:rsidR="00662A29" w:rsidRPr="00113791">
        <w:rPr>
          <w:highlight w:val="yellow"/>
        </w:rPr>
        <w:t xml:space="preserve">at </w:t>
      </w:r>
      <w:r w:rsidR="007B4321" w:rsidRPr="00113791">
        <w:rPr>
          <w:highlight w:val="yellow"/>
        </w:rPr>
        <w:t>fir</w:t>
      </w:r>
      <w:r w:rsidR="007B4321" w:rsidRPr="00113791">
        <w:rPr>
          <w:highlight w:val="yellow"/>
        </w:rPr>
        <w:t>st</w:t>
      </w:r>
      <w:r w:rsidR="007B4321" w:rsidRPr="00113791">
        <w:rPr>
          <w:highlight w:val="yellow"/>
        </w:rPr>
        <w:t xml:space="preserve"> </w:t>
      </w:r>
      <w:r w:rsidR="00662A29" w:rsidRPr="00113791">
        <w:rPr>
          <w:highlight w:val="yellow"/>
        </w:rPr>
        <w:t>sexual inter</w:t>
      </w:r>
      <w:r w:rsidR="00662A29" w:rsidRPr="00887324">
        <w:t>course and</w:t>
      </w:r>
      <w:r w:rsidR="008579AD" w:rsidRPr="00887324">
        <w:t xml:space="preserve"> contraceptive use</w:t>
      </w:r>
    </w:p>
    <w:p w14:paraId="7909F2A9" w14:textId="77777777" w:rsidR="009730F5" w:rsidRPr="00B818D9" w:rsidRDefault="009730F5" w:rsidP="00B818D9">
      <w:pPr>
        <w:pStyle w:val="NormalWeb"/>
        <w:spacing w:line="360" w:lineRule="auto"/>
        <w:jc w:val="both"/>
        <w:rPr>
          <w:b/>
          <w:bCs/>
        </w:rPr>
      </w:pPr>
    </w:p>
    <w:p w14:paraId="5618A82E" w14:textId="0103B886" w:rsidR="00072F4A" w:rsidRPr="00B818D9" w:rsidRDefault="00072F4A" w:rsidP="00B818D9">
      <w:pPr>
        <w:pStyle w:val="NormalWeb"/>
        <w:numPr>
          <w:ilvl w:val="1"/>
          <w:numId w:val="1"/>
        </w:numPr>
        <w:spacing w:line="360" w:lineRule="auto"/>
        <w:jc w:val="both"/>
        <w:rPr>
          <w:b/>
          <w:bCs/>
        </w:rPr>
      </w:pPr>
      <w:r w:rsidRPr="00B818D9">
        <w:rPr>
          <w:b/>
          <w:bCs/>
        </w:rPr>
        <w:t>STI prevalence by contraceptive use</w:t>
      </w:r>
    </w:p>
    <w:p w14:paraId="1A305FFA" w14:textId="0A64BFA4" w:rsidR="003E5DCD" w:rsidRPr="00B818D9" w:rsidRDefault="003E5DCD" w:rsidP="00B818D9">
      <w:pPr>
        <w:pStyle w:val="NormalWeb"/>
        <w:spacing w:line="360" w:lineRule="auto"/>
        <w:jc w:val="both"/>
      </w:pPr>
      <w:r w:rsidRPr="00B818D9">
        <w:t>Looking at Table VI, we found that the population in our study who used contraception had 3 times more risk of contracting an STI than those who did not. This difference was significant at p=0.003.</w:t>
      </w:r>
    </w:p>
    <w:p w14:paraId="4E17D79F" w14:textId="41B1C7AF" w:rsidR="003E5DCD" w:rsidRPr="00B818D9" w:rsidRDefault="00072F4A" w:rsidP="00B818D9">
      <w:pPr>
        <w:pStyle w:val="NormalWeb"/>
        <w:spacing w:line="360" w:lineRule="auto"/>
        <w:jc w:val="both"/>
        <w:rPr>
          <w:b/>
          <w:bCs/>
        </w:rPr>
      </w:pPr>
      <w:r w:rsidRPr="00B818D9">
        <w:rPr>
          <w:b/>
          <w:bCs/>
        </w:rPr>
        <w:t>Table VI</w:t>
      </w:r>
      <w:r w:rsidR="008D6CDD" w:rsidRPr="00B818D9">
        <w:rPr>
          <w:b/>
          <w:bCs/>
        </w:rPr>
        <w:t xml:space="preserve">. </w:t>
      </w:r>
      <w:r w:rsidR="008D6CDD" w:rsidRPr="00887324">
        <w:t xml:space="preserve">Prevalence of STIs </w:t>
      </w:r>
      <w:r w:rsidR="00662A29" w:rsidRPr="00887324">
        <w:t>according</w:t>
      </w:r>
      <w:r w:rsidR="008579AD" w:rsidRPr="00887324">
        <w:t xml:space="preserve"> to contraceptive use</w:t>
      </w:r>
    </w:p>
    <w:tbl>
      <w:tblPr>
        <w:tblpPr w:leftFromText="141" w:rightFromText="141" w:vertAnchor="text" w:horzAnchor="margin" w:tblpXSpec="center" w:tblpY="-331"/>
        <w:tblOverlap w:val="never"/>
        <w:tblW w:w="10374" w:type="dxa"/>
        <w:tblBorders>
          <w:top w:val="single" w:sz="18" w:space="0" w:color="auto"/>
          <w:bottom w:val="single" w:sz="18" w:space="0" w:color="auto"/>
        </w:tblBorders>
        <w:tblLayout w:type="fixed"/>
        <w:tblCellMar>
          <w:top w:w="75" w:type="dxa"/>
          <w:left w:w="75" w:type="dxa"/>
          <w:bottom w:w="75" w:type="dxa"/>
          <w:right w:w="75" w:type="dxa"/>
        </w:tblCellMar>
        <w:tblLook w:val="04A0" w:firstRow="1" w:lastRow="0" w:firstColumn="1" w:lastColumn="0" w:noHBand="0" w:noVBand="1"/>
      </w:tblPr>
      <w:tblGrid>
        <w:gridCol w:w="919"/>
        <w:gridCol w:w="2144"/>
        <w:gridCol w:w="1119"/>
        <w:gridCol w:w="850"/>
        <w:gridCol w:w="719"/>
        <w:gridCol w:w="714"/>
        <w:gridCol w:w="854"/>
        <w:gridCol w:w="2290"/>
        <w:gridCol w:w="756"/>
        <w:gridCol w:w="9"/>
      </w:tblGrid>
      <w:tr w:rsidR="00FF2ADA" w:rsidRPr="00B818D9" w14:paraId="778C455B" w14:textId="77777777" w:rsidTr="00292A2B">
        <w:trPr>
          <w:trHeight w:hRule="exact" w:val="360"/>
        </w:trPr>
        <w:tc>
          <w:tcPr>
            <w:tcW w:w="919" w:type="dxa"/>
            <w:tcBorders>
              <w:top w:val="single" w:sz="4" w:space="0" w:color="auto"/>
              <w:bottom w:val="nil"/>
              <w:right w:val="nil"/>
            </w:tcBorders>
          </w:tcPr>
          <w:p w14:paraId="02C2FF3D"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2144" w:type="dxa"/>
            <w:vMerge w:val="restart"/>
            <w:tcBorders>
              <w:top w:val="single" w:sz="4" w:space="0" w:color="auto"/>
              <w:left w:val="nil"/>
              <w:bottom w:val="nil"/>
              <w:right w:val="nil"/>
            </w:tcBorders>
            <w:tcMar>
              <w:top w:w="75" w:type="dxa"/>
              <w:left w:w="75" w:type="dxa"/>
              <w:bottom w:w="0" w:type="dxa"/>
              <w:right w:w="75" w:type="dxa"/>
            </w:tcMar>
            <w:vAlign w:val="center"/>
          </w:tcPr>
          <w:p w14:paraId="0DC68C19"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1119" w:type="dxa"/>
            <w:tcBorders>
              <w:top w:val="single" w:sz="4" w:space="0" w:color="auto"/>
              <w:left w:val="nil"/>
              <w:bottom w:val="nil"/>
              <w:right w:val="nil"/>
            </w:tcBorders>
            <w:tcMar>
              <w:top w:w="75" w:type="dxa"/>
              <w:left w:w="75" w:type="dxa"/>
              <w:bottom w:w="0" w:type="dxa"/>
              <w:right w:w="75" w:type="dxa"/>
            </w:tcMar>
            <w:vAlign w:val="center"/>
          </w:tcPr>
          <w:p w14:paraId="14F952C2" w14:textId="77777777" w:rsidR="00FF2ADA" w:rsidRPr="00B818D9" w:rsidRDefault="00FF2ADA" w:rsidP="00B818D9">
            <w:pPr>
              <w:spacing w:after="0" w:line="360" w:lineRule="auto"/>
              <w:jc w:val="both"/>
              <w:rPr>
                <w:rFonts w:ascii="Times New Roman" w:hAnsi="Times New Roman" w:cs="Times New Roman"/>
                <w:b/>
                <w:noProof w:val="0"/>
                <w:color w:val="000000" w:themeColor="text1"/>
                <w:sz w:val="24"/>
                <w:szCs w:val="24"/>
              </w:rPr>
            </w:pPr>
          </w:p>
          <w:p w14:paraId="3BE8A562"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hAnsi="Times New Roman" w:cs="Times New Roman"/>
                <w:b/>
                <w:noProof w:val="0"/>
                <w:color w:val="000000" w:themeColor="text1"/>
                <w:sz w:val="24"/>
                <w:szCs w:val="24"/>
              </w:rPr>
              <w:t>Total, N</w:t>
            </w:r>
          </w:p>
        </w:tc>
        <w:tc>
          <w:tcPr>
            <w:tcW w:w="3137" w:type="dxa"/>
            <w:gridSpan w:val="4"/>
            <w:tcBorders>
              <w:top w:val="single" w:sz="4" w:space="0" w:color="auto"/>
              <w:left w:val="nil"/>
              <w:bottom w:val="single" w:sz="4" w:space="0" w:color="auto"/>
              <w:right w:val="nil"/>
            </w:tcBorders>
            <w:tcMar>
              <w:top w:w="75" w:type="dxa"/>
              <w:left w:w="75" w:type="dxa"/>
              <w:bottom w:w="0" w:type="dxa"/>
              <w:right w:w="75" w:type="dxa"/>
            </w:tcMar>
            <w:vAlign w:val="center"/>
          </w:tcPr>
          <w:p w14:paraId="671D7053"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STIs</w:t>
            </w:r>
          </w:p>
        </w:tc>
        <w:tc>
          <w:tcPr>
            <w:tcW w:w="3055" w:type="dxa"/>
            <w:gridSpan w:val="3"/>
            <w:tcBorders>
              <w:top w:val="single" w:sz="4" w:space="0" w:color="auto"/>
              <w:left w:val="nil"/>
              <w:bottom w:val="nil"/>
            </w:tcBorders>
            <w:vAlign w:val="center"/>
          </w:tcPr>
          <w:p w14:paraId="6F6B042E" w14:textId="77777777" w:rsidR="00FF2ADA" w:rsidRPr="00B818D9" w:rsidRDefault="00FF2ADA" w:rsidP="00B818D9">
            <w:pPr>
              <w:spacing w:after="0" w:line="360" w:lineRule="auto"/>
              <w:ind w:left="1416"/>
              <w:jc w:val="both"/>
              <w:rPr>
                <w:rFonts w:ascii="Times New Roman" w:eastAsia="Times New Roman" w:hAnsi="Times New Roman" w:cs="Times New Roman"/>
                <w:b/>
                <w:bCs/>
                <w:noProof w:val="0"/>
                <w:color w:val="000000" w:themeColor="text1"/>
                <w:sz w:val="24"/>
                <w:szCs w:val="24"/>
                <w:lang w:eastAsia="fr-FR"/>
              </w:rPr>
            </w:pPr>
          </w:p>
        </w:tc>
      </w:tr>
      <w:tr w:rsidR="00FF2ADA" w:rsidRPr="00B818D9" w14:paraId="022BF05C" w14:textId="77777777" w:rsidTr="00292A2B">
        <w:trPr>
          <w:gridAfter w:val="1"/>
          <w:wAfter w:w="9" w:type="dxa"/>
          <w:trHeight w:hRule="exact" w:val="360"/>
        </w:trPr>
        <w:tc>
          <w:tcPr>
            <w:tcW w:w="919" w:type="dxa"/>
            <w:tcBorders>
              <w:top w:val="nil"/>
              <w:bottom w:val="single" w:sz="4" w:space="0" w:color="auto"/>
              <w:right w:val="nil"/>
            </w:tcBorders>
          </w:tcPr>
          <w:p w14:paraId="5B4D9C95"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2144" w:type="dxa"/>
            <w:vMerge/>
            <w:tcBorders>
              <w:top w:val="nil"/>
              <w:left w:val="nil"/>
              <w:bottom w:val="single" w:sz="4" w:space="0" w:color="auto"/>
              <w:right w:val="nil"/>
            </w:tcBorders>
            <w:tcMar>
              <w:top w:w="75" w:type="dxa"/>
              <w:left w:w="75" w:type="dxa"/>
              <w:bottom w:w="0" w:type="dxa"/>
              <w:right w:w="75" w:type="dxa"/>
            </w:tcMar>
            <w:vAlign w:val="center"/>
          </w:tcPr>
          <w:p w14:paraId="4B7CE8F4"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1119" w:type="dxa"/>
            <w:tcBorders>
              <w:top w:val="nil"/>
              <w:left w:val="nil"/>
              <w:bottom w:val="single" w:sz="4" w:space="0" w:color="auto"/>
              <w:right w:val="nil"/>
            </w:tcBorders>
            <w:tcMar>
              <w:top w:w="75" w:type="dxa"/>
              <w:left w:w="75" w:type="dxa"/>
              <w:bottom w:w="0" w:type="dxa"/>
              <w:right w:w="75" w:type="dxa"/>
            </w:tcMar>
            <w:vAlign w:val="center"/>
          </w:tcPr>
          <w:p w14:paraId="1201B6E7"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N=198</w:t>
            </w:r>
          </w:p>
        </w:tc>
        <w:tc>
          <w:tcPr>
            <w:tcW w:w="1569" w:type="dxa"/>
            <w:gridSpan w:val="2"/>
            <w:tcBorders>
              <w:top w:val="single" w:sz="4" w:space="0" w:color="auto"/>
              <w:left w:val="nil"/>
              <w:bottom w:val="single" w:sz="4" w:space="0" w:color="auto"/>
              <w:right w:val="nil"/>
            </w:tcBorders>
            <w:tcMar>
              <w:top w:w="75" w:type="dxa"/>
              <w:left w:w="75" w:type="dxa"/>
              <w:bottom w:w="0" w:type="dxa"/>
              <w:right w:w="75" w:type="dxa"/>
            </w:tcMar>
            <w:vAlign w:val="center"/>
          </w:tcPr>
          <w:p w14:paraId="66D282B9"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Positive</w:t>
            </w:r>
          </w:p>
        </w:tc>
        <w:tc>
          <w:tcPr>
            <w:tcW w:w="1568" w:type="dxa"/>
            <w:gridSpan w:val="2"/>
            <w:tcBorders>
              <w:top w:val="single" w:sz="4" w:space="0" w:color="auto"/>
              <w:left w:val="nil"/>
              <w:bottom w:val="single" w:sz="4" w:space="0" w:color="auto"/>
              <w:right w:val="nil"/>
            </w:tcBorders>
            <w:vAlign w:val="center"/>
          </w:tcPr>
          <w:p w14:paraId="34EDE600"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Negative</w:t>
            </w:r>
          </w:p>
        </w:tc>
        <w:tc>
          <w:tcPr>
            <w:tcW w:w="2290" w:type="dxa"/>
            <w:tcBorders>
              <w:top w:val="nil"/>
              <w:left w:val="nil"/>
              <w:bottom w:val="single" w:sz="4" w:space="0" w:color="auto"/>
            </w:tcBorders>
            <w:tcMar>
              <w:top w:w="75" w:type="dxa"/>
              <w:left w:w="75" w:type="dxa"/>
              <w:bottom w:w="0" w:type="dxa"/>
              <w:right w:w="75" w:type="dxa"/>
            </w:tcMar>
            <w:vAlign w:val="center"/>
          </w:tcPr>
          <w:p w14:paraId="259D4BF8"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756" w:type="dxa"/>
            <w:tcBorders>
              <w:top w:val="nil"/>
              <w:bottom w:val="single" w:sz="4" w:space="0" w:color="auto"/>
            </w:tcBorders>
            <w:tcMar>
              <w:top w:w="75" w:type="dxa"/>
              <w:left w:w="75" w:type="dxa"/>
              <w:bottom w:w="0" w:type="dxa"/>
              <w:right w:w="75" w:type="dxa"/>
            </w:tcMar>
            <w:vAlign w:val="center"/>
          </w:tcPr>
          <w:p w14:paraId="1E7824E4"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r>
      <w:tr w:rsidR="00FF2ADA" w:rsidRPr="00B818D9" w14:paraId="344D15DB" w14:textId="77777777" w:rsidTr="00292A2B">
        <w:trPr>
          <w:gridAfter w:val="1"/>
          <w:wAfter w:w="9" w:type="dxa"/>
          <w:trHeight w:hRule="exact" w:val="664"/>
        </w:trPr>
        <w:tc>
          <w:tcPr>
            <w:tcW w:w="3063" w:type="dxa"/>
            <w:gridSpan w:val="2"/>
            <w:tcBorders>
              <w:top w:val="nil"/>
              <w:bottom w:val="nil"/>
            </w:tcBorders>
          </w:tcPr>
          <w:p w14:paraId="6AB0AF5E"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hAnsi="Times New Roman" w:cs="Times New Roman"/>
                <w:noProof w:val="0"/>
                <w:color w:val="000000" w:themeColor="text1"/>
                <w:sz w:val="24"/>
                <w:szCs w:val="24"/>
              </w:rPr>
              <w:t xml:space="preserve">Use of contraception </w:t>
            </w:r>
            <w:r w:rsidRPr="00B818D9">
              <w:rPr>
                <w:rFonts w:ascii="Times New Roman" w:eastAsia="Times New Roman" w:hAnsi="Times New Roman" w:cs="Times New Roman"/>
                <w:b/>
                <w:bCs/>
                <w:noProof w:val="0"/>
                <w:color w:val="000000" w:themeColor="text1"/>
                <w:sz w:val="24"/>
                <w:szCs w:val="24"/>
                <w:lang w:eastAsia="fr-FR"/>
              </w:rPr>
              <w:t xml:space="preserve"> </w:t>
            </w:r>
          </w:p>
        </w:tc>
        <w:tc>
          <w:tcPr>
            <w:tcW w:w="1119" w:type="dxa"/>
            <w:tcBorders>
              <w:top w:val="nil"/>
              <w:bottom w:val="nil"/>
            </w:tcBorders>
            <w:tcMar>
              <w:top w:w="75" w:type="dxa"/>
              <w:left w:w="75" w:type="dxa"/>
              <w:bottom w:w="0" w:type="dxa"/>
              <w:right w:w="75" w:type="dxa"/>
            </w:tcMar>
            <w:vAlign w:val="center"/>
          </w:tcPr>
          <w:p w14:paraId="1744A0F7"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p w14:paraId="3EDFD8DB"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850" w:type="dxa"/>
            <w:tcBorders>
              <w:top w:val="nil"/>
              <w:bottom w:val="nil"/>
            </w:tcBorders>
            <w:tcMar>
              <w:top w:w="75" w:type="dxa"/>
              <w:left w:w="75" w:type="dxa"/>
              <w:bottom w:w="0" w:type="dxa"/>
              <w:right w:w="75" w:type="dxa"/>
            </w:tcMar>
            <w:vAlign w:val="center"/>
          </w:tcPr>
          <w:p w14:paraId="2C8F1B15"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n</w:t>
            </w:r>
          </w:p>
          <w:p w14:paraId="090EC016"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719" w:type="dxa"/>
            <w:tcBorders>
              <w:top w:val="nil"/>
              <w:bottom w:val="nil"/>
              <w:right w:val="nil"/>
            </w:tcBorders>
            <w:tcMar>
              <w:top w:w="75" w:type="dxa"/>
              <w:left w:w="75" w:type="dxa"/>
              <w:bottom w:w="0" w:type="dxa"/>
              <w:right w:w="75" w:type="dxa"/>
            </w:tcMar>
            <w:vAlign w:val="center"/>
          </w:tcPr>
          <w:p w14:paraId="15EBBC19"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w:t>
            </w:r>
          </w:p>
          <w:p w14:paraId="0F9BD617"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714" w:type="dxa"/>
            <w:tcBorders>
              <w:top w:val="nil"/>
              <w:left w:val="nil"/>
              <w:bottom w:val="nil"/>
            </w:tcBorders>
            <w:vAlign w:val="center"/>
          </w:tcPr>
          <w:p w14:paraId="6870DD03"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n</w:t>
            </w:r>
          </w:p>
          <w:p w14:paraId="4CDB9FD2"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854" w:type="dxa"/>
            <w:tcBorders>
              <w:top w:val="nil"/>
              <w:bottom w:val="nil"/>
            </w:tcBorders>
            <w:tcMar>
              <w:top w:w="75" w:type="dxa"/>
              <w:left w:w="75" w:type="dxa"/>
              <w:bottom w:w="0" w:type="dxa"/>
              <w:right w:w="75" w:type="dxa"/>
            </w:tcMar>
            <w:vAlign w:val="center"/>
          </w:tcPr>
          <w:p w14:paraId="208F0C10"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w:t>
            </w:r>
          </w:p>
          <w:p w14:paraId="2ACE944F"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2290" w:type="dxa"/>
            <w:tcBorders>
              <w:top w:val="nil"/>
              <w:bottom w:val="nil"/>
            </w:tcBorders>
            <w:tcMar>
              <w:top w:w="75" w:type="dxa"/>
              <w:left w:w="75" w:type="dxa"/>
              <w:bottom w:w="0" w:type="dxa"/>
              <w:right w:w="75" w:type="dxa"/>
            </w:tcMar>
            <w:vAlign w:val="center"/>
          </w:tcPr>
          <w:p w14:paraId="521C7403" w14:textId="24BBD0C6"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OR</w:t>
            </w:r>
            <w:r w:rsidRPr="00B818D9">
              <w:rPr>
                <w:rFonts w:ascii="Times New Roman" w:eastAsia="Times New Roman" w:hAnsi="Times New Roman" w:cs="Times New Roman"/>
                <w:b/>
                <w:bCs/>
                <w:noProof w:val="0"/>
                <w:color w:val="000000" w:themeColor="text1"/>
                <w:sz w:val="24"/>
                <w:szCs w:val="24"/>
                <w:vertAlign w:val="subscript"/>
                <w:lang w:eastAsia="fr-FR"/>
              </w:rPr>
              <w:t>C</w:t>
            </w:r>
            <w:r w:rsidRPr="00B818D9">
              <w:rPr>
                <w:rFonts w:ascii="Times New Roman" w:eastAsia="Times New Roman" w:hAnsi="Times New Roman" w:cs="Times New Roman"/>
                <w:b/>
                <w:bCs/>
                <w:noProof w:val="0"/>
                <w:color w:val="000000" w:themeColor="text1"/>
                <w:sz w:val="24"/>
                <w:szCs w:val="24"/>
                <w:lang w:eastAsia="fr-FR"/>
              </w:rPr>
              <w:t xml:space="preserve"> (95%</w:t>
            </w:r>
            <w:r w:rsidR="00D23EC6" w:rsidRPr="00B818D9">
              <w:rPr>
                <w:rFonts w:ascii="Times New Roman" w:eastAsia="Times New Roman" w:hAnsi="Times New Roman" w:cs="Times New Roman"/>
                <w:b/>
                <w:bCs/>
                <w:noProof w:val="0"/>
                <w:color w:val="000000" w:themeColor="text1"/>
                <w:sz w:val="24"/>
                <w:szCs w:val="24"/>
                <w:lang w:eastAsia="fr-FR"/>
              </w:rPr>
              <w:t xml:space="preserve"> IC)</w:t>
            </w:r>
          </w:p>
          <w:p w14:paraId="289B84B6"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756" w:type="dxa"/>
            <w:tcBorders>
              <w:top w:val="nil"/>
              <w:bottom w:val="nil"/>
            </w:tcBorders>
            <w:tcMar>
              <w:top w:w="75" w:type="dxa"/>
              <w:left w:w="75" w:type="dxa"/>
              <w:bottom w:w="0" w:type="dxa"/>
              <w:right w:w="75" w:type="dxa"/>
            </w:tcMar>
            <w:vAlign w:val="center"/>
          </w:tcPr>
          <w:p w14:paraId="713F09FD"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P</w:t>
            </w:r>
          </w:p>
          <w:p w14:paraId="1A6F20E1" w14:textId="77777777" w:rsidR="00FF2ADA" w:rsidRPr="00B818D9" w:rsidRDefault="00FF2ADA" w:rsidP="00B818D9">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r>
      <w:tr w:rsidR="00FF2ADA" w:rsidRPr="00B818D9" w14:paraId="2A085824" w14:textId="77777777" w:rsidTr="00292A2B">
        <w:trPr>
          <w:gridAfter w:val="1"/>
          <w:wAfter w:w="9" w:type="dxa"/>
          <w:trHeight w:hRule="exact" w:val="360"/>
        </w:trPr>
        <w:tc>
          <w:tcPr>
            <w:tcW w:w="919" w:type="dxa"/>
            <w:tcBorders>
              <w:top w:val="nil"/>
              <w:bottom w:val="nil"/>
              <w:right w:val="nil"/>
            </w:tcBorders>
          </w:tcPr>
          <w:p w14:paraId="0C4C3C4B" w14:textId="77777777" w:rsidR="00FF2ADA" w:rsidRPr="00B818D9" w:rsidRDefault="00FF2ADA" w:rsidP="00B818D9">
            <w:pPr>
              <w:spacing w:after="0" w:line="360" w:lineRule="auto"/>
              <w:jc w:val="both"/>
              <w:rPr>
                <w:rFonts w:ascii="Times New Roman" w:eastAsia="Times New Roman" w:hAnsi="Times New Roman" w:cs="Times New Roman"/>
                <w:bCs/>
                <w:noProof w:val="0"/>
                <w:color w:val="000000" w:themeColor="text1"/>
                <w:sz w:val="24"/>
                <w:szCs w:val="24"/>
                <w:lang w:eastAsia="fr-FR"/>
              </w:rPr>
            </w:pPr>
          </w:p>
        </w:tc>
        <w:tc>
          <w:tcPr>
            <w:tcW w:w="2144" w:type="dxa"/>
            <w:tcBorders>
              <w:top w:val="nil"/>
              <w:left w:val="nil"/>
              <w:bottom w:val="nil"/>
              <w:right w:val="nil"/>
            </w:tcBorders>
            <w:tcMar>
              <w:top w:w="75" w:type="dxa"/>
              <w:left w:w="75" w:type="dxa"/>
              <w:bottom w:w="0" w:type="dxa"/>
              <w:right w:w="75" w:type="dxa"/>
            </w:tcMar>
            <w:vAlign w:val="center"/>
          </w:tcPr>
          <w:p w14:paraId="63B1B288" w14:textId="77777777" w:rsidR="00FF2ADA" w:rsidRPr="00B818D9" w:rsidRDefault="00FF2ADA" w:rsidP="00B818D9">
            <w:pPr>
              <w:spacing w:after="0" w:line="360" w:lineRule="auto"/>
              <w:jc w:val="both"/>
              <w:rPr>
                <w:rFonts w:ascii="Times New Roman" w:eastAsia="Times New Roman" w:hAnsi="Times New Roman" w:cs="Times New Roman"/>
                <w:bCs/>
                <w:noProof w:val="0"/>
                <w:color w:val="000000" w:themeColor="text1"/>
                <w:sz w:val="24"/>
                <w:szCs w:val="24"/>
                <w:lang w:eastAsia="fr-FR"/>
              </w:rPr>
            </w:pPr>
            <w:r w:rsidRPr="00B818D9">
              <w:rPr>
                <w:rFonts w:ascii="Times New Roman" w:eastAsia="Times New Roman" w:hAnsi="Times New Roman" w:cs="Times New Roman"/>
                <w:bCs/>
                <w:noProof w:val="0"/>
                <w:color w:val="000000" w:themeColor="text1"/>
                <w:sz w:val="24"/>
                <w:szCs w:val="24"/>
                <w:lang w:eastAsia="fr-FR"/>
              </w:rPr>
              <w:t>Yes</w:t>
            </w:r>
          </w:p>
        </w:tc>
        <w:tc>
          <w:tcPr>
            <w:tcW w:w="1119" w:type="dxa"/>
            <w:tcBorders>
              <w:top w:val="nil"/>
              <w:left w:val="nil"/>
              <w:bottom w:val="nil"/>
              <w:right w:val="nil"/>
            </w:tcBorders>
            <w:tcMar>
              <w:top w:w="75" w:type="dxa"/>
              <w:left w:w="75" w:type="dxa"/>
              <w:bottom w:w="0" w:type="dxa"/>
              <w:right w:w="75" w:type="dxa"/>
            </w:tcMar>
            <w:vAlign w:val="center"/>
          </w:tcPr>
          <w:p w14:paraId="331AE878" w14:textId="77777777" w:rsidR="00FF2ADA" w:rsidRPr="00B818D9" w:rsidRDefault="00FF2ADA" w:rsidP="00B818D9">
            <w:pPr>
              <w:spacing w:after="0" w:line="360" w:lineRule="auto"/>
              <w:jc w:val="both"/>
              <w:rPr>
                <w:rFonts w:ascii="Times New Roman" w:eastAsia="Times New Roman" w:hAnsi="Times New Roman" w:cs="Times New Roman"/>
                <w:bCs/>
                <w:noProof w:val="0"/>
                <w:color w:val="000000" w:themeColor="text1"/>
                <w:sz w:val="24"/>
                <w:szCs w:val="24"/>
                <w:lang w:eastAsia="fr-FR"/>
              </w:rPr>
            </w:pPr>
            <w:r w:rsidRPr="00B818D9">
              <w:rPr>
                <w:rFonts w:ascii="Times New Roman" w:eastAsia="Times New Roman" w:hAnsi="Times New Roman" w:cs="Times New Roman"/>
                <w:bCs/>
                <w:noProof w:val="0"/>
                <w:color w:val="000000" w:themeColor="text1"/>
                <w:sz w:val="24"/>
                <w:szCs w:val="24"/>
                <w:lang w:eastAsia="fr-FR"/>
              </w:rPr>
              <w:t>66</w:t>
            </w:r>
          </w:p>
        </w:tc>
        <w:tc>
          <w:tcPr>
            <w:tcW w:w="850" w:type="dxa"/>
            <w:tcBorders>
              <w:top w:val="nil"/>
              <w:left w:val="nil"/>
              <w:bottom w:val="nil"/>
              <w:right w:val="nil"/>
            </w:tcBorders>
            <w:tcMar>
              <w:top w:w="75" w:type="dxa"/>
              <w:left w:w="75" w:type="dxa"/>
              <w:bottom w:w="0" w:type="dxa"/>
              <w:right w:w="75" w:type="dxa"/>
            </w:tcMar>
            <w:vAlign w:val="center"/>
          </w:tcPr>
          <w:p w14:paraId="2A550E00" w14:textId="77777777" w:rsidR="00FF2ADA" w:rsidRPr="00B818D9" w:rsidRDefault="00FF2ADA" w:rsidP="00B818D9">
            <w:pPr>
              <w:spacing w:after="0"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52</w:t>
            </w:r>
          </w:p>
        </w:tc>
        <w:tc>
          <w:tcPr>
            <w:tcW w:w="719" w:type="dxa"/>
            <w:tcBorders>
              <w:top w:val="nil"/>
              <w:left w:val="nil"/>
              <w:bottom w:val="nil"/>
              <w:right w:val="nil"/>
            </w:tcBorders>
            <w:tcMar>
              <w:top w:w="75" w:type="dxa"/>
              <w:left w:w="75" w:type="dxa"/>
              <w:bottom w:w="0" w:type="dxa"/>
              <w:right w:w="75" w:type="dxa"/>
            </w:tcMar>
            <w:vAlign w:val="center"/>
          </w:tcPr>
          <w:p w14:paraId="1C06D7A4" w14:textId="77777777" w:rsidR="00FF2ADA" w:rsidRPr="00B818D9" w:rsidRDefault="00FF2ADA" w:rsidP="00B818D9">
            <w:pPr>
              <w:spacing w:after="0"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78,79</w:t>
            </w:r>
          </w:p>
        </w:tc>
        <w:tc>
          <w:tcPr>
            <w:tcW w:w="714" w:type="dxa"/>
            <w:tcBorders>
              <w:top w:val="nil"/>
              <w:left w:val="nil"/>
              <w:bottom w:val="nil"/>
              <w:right w:val="nil"/>
            </w:tcBorders>
            <w:vAlign w:val="center"/>
          </w:tcPr>
          <w:p w14:paraId="4D8B668D" w14:textId="77777777" w:rsidR="00FF2ADA" w:rsidRPr="00B818D9" w:rsidRDefault="00FF2ADA" w:rsidP="00B818D9">
            <w:pPr>
              <w:spacing w:after="0" w:line="360" w:lineRule="auto"/>
              <w:jc w:val="both"/>
              <w:rPr>
                <w:rFonts w:ascii="Times New Roman" w:eastAsia="Times New Roman" w:hAnsi="Times New Roman" w:cs="Times New Roman"/>
                <w:bCs/>
                <w:noProof w:val="0"/>
                <w:color w:val="000000" w:themeColor="text1"/>
                <w:sz w:val="24"/>
                <w:szCs w:val="24"/>
                <w:lang w:eastAsia="fr-FR"/>
              </w:rPr>
            </w:pPr>
            <w:r w:rsidRPr="00B818D9">
              <w:rPr>
                <w:rFonts w:ascii="Times New Roman" w:eastAsia="Times New Roman" w:hAnsi="Times New Roman" w:cs="Times New Roman"/>
                <w:bCs/>
                <w:noProof w:val="0"/>
                <w:color w:val="000000" w:themeColor="text1"/>
                <w:sz w:val="24"/>
                <w:szCs w:val="24"/>
                <w:lang w:eastAsia="fr-FR"/>
              </w:rPr>
              <w:t>14</w:t>
            </w:r>
          </w:p>
        </w:tc>
        <w:tc>
          <w:tcPr>
            <w:tcW w:w="854" w:type="dxa"/>
            <w:tcBorders>
              <w:top w:val="nil"/>
              <w:left w:val="nil"/>
              <w:bottom w:val="nil"/>
              <w:right w:val="nil"/>
            </w:tcBorders>
            <w:tcMar>
              <w:top w:w="75" w:type="dxa"/>
              <w:left w:w="75" w:type="dxa"/>
              <w:bottom w:w="0" w:type="dxa"/>
              <w:right w:w="75" w:type="dxa"/>
            </w:tcMar>
            <w:vAlign w:val="center"/>
          </w:tcPr>
          <w:p w14:paraId="77E9FCFF" w14:textId="77777777" w:rsidR="00FF2ADA" w:rsidRPr="00B818D9" w:rsidRDefault="00FF2ADA" w:rsidP="00B818D9">
            <w:pPr>
              <w:spacing w:after="0" w:line="360" w:lineRule="auto"/>
              <w:jc w:val="both"/>
              <w:rPr>
                <w:rFonts w:ascii="Times New Roman" w:eastAsia="Times New Roman" w:hAnsi="Times New Roman" w:cs="Times New Roman"/>
                <w:bCs/>
                <w:noProof w:val="0"/>
                <w:color w:val="000000" w:themeColor="text1"/>
                <w:sz w:val="24"/>
                <w:szCs w:val="24"/>
                <w:lang w:eastAsia="fr-FR"/>
              </w:rPr>
            </w:pPr>
            <w:r w:rsidRPr="00B818D9">
              <w:rPr>
                <w:rFonts w:ascii="Times New Roman" w:eastAsia="Times New Roman" w:hAnsi="Times New Roman" w:cs="Times New Roman"/>
                <w:bCs/>
                <w:noProof w:val="0"/>
                <w:color w:val="000000" w:themeColor="text1"/>
                <w:sz w:val="24"/>
                <w:szCs w:val="24"/>
                <w:lang w:eastAsia="fr-FR"/>
              </w:rPr>
              <w:t>21,21</w:t>
            </w:r>
          </w:p>
        </w:tc>
        <w:tc>
          <w:tcPr>
            <w:tcW w:w="2290" w:type="dxa"/>
            <w:tcBorders>
              <w:top w:val="nil"/>
              <w:left w:val="nil"/>
              <w:bottom w:val="nil"/>
            </w:tcBorders>
            <w:tcMar>
              <w:top w:w="75" w:type="dxa"/>
              <w:left w:w="75" w:type="dxa"/>
              <w:bottom w:w="0" w:type="dxa"/>
              <w:right w:w="75" w:type="dxa"/>
            </w:tcMar>
            <w:vAlign w:val="center"/>
          </w:tcPr>
          <w:p w14:paraId="669BB14E" w14:textId="77777777" w:rsidR="00FF2ADA" w:rsidRPr="00B818D9" w:rsidRDefault="00FF2ADA" w:rsidP="00B818D9">
            <w:pPr>
              <w:spacing w:after="0" w:line="360" w:lineRule="auto"/>
              <w:jc w:val="both"/>
              <w:rPr>
                <w:rFonts w:ascii="Times New Roman" w:eastAsia="Times New Roman" w:hAnsi="Times New Roman" w:cs="Times New Roman"/>
                <w:b/>
                <w:noProof w:val="0"/>
                <w:color w:val="000000" w:themeColor="text1"/>
                <w:sz w:val="24"/>
                <w:szCs w:val="24"/>
                <w:lang w:eastAsia="fr-FR"/>
              </w:rPr>
            </w:pPr>
            <w:r w:rsidRPr="00B818D9">
              <w:rPr>
                <w:rFonts w:ascii="Times New Roman" w:eastAsia="Times New Roman" w:hAnsi="Times New Roman" w:cs="Times New Roman"/>
                <w:b/>
                <w:noProof w:val="0"/>
                <w:color w:val="000000" w:themeColor="text1"/>
                <w:sz w:val="24"/>
                <w:szCs w:val="24"/>
                <w:lang w:eastAsia="fr-FR"/>
              </w:rPr>
              <w:t>2,74(1,38 ; 5,42)</w:t>
            </w:r>
          </w:p>
        </w:tc>
        <w:tc>
          <w:tcPr>
            <w:tcW w:w="756" w:type="dxa"/>
            <w:tcBorders>
              <w:top w:val="nil"/>
              <w:bottom w:val="nil"/>
            </w:tcBorders>
            <w:tcMar>
              <w:top w:w="75" w:type="dxa"/>
              <w:left w:w="75" w:type="dxa"/>
              <w:bottom w:w="0" w:type="dxa"/>
              <w:right w:w="75" w:type="dxa"/>
            </w:tcMar>
            <w:vAlign w:val="center"/>
          </w:tcPr>
          <w:p w14:paraId="7DEDE21C" w14:textId="77777777" w:rsidR="00FF2ADA" w:rsidRPr="00B818D9" w:rsidRDefault="00FF2ADA" w:rsidP="00B818D9">
            <w:pPr>
              <w:spacing w:after="0" w:line="360" w:lineRule="auto"/>
              <w:jc w:val="both"/>
              <w:rPr>
                <w:rFonts w:ascii="Times New Roman" w:eastAsia="Times New Roman" w:hAnsi="Times New Roman" w:cs="Times New Roman"/>
                <w:b/>
                <w:noProof w:val="0"/>
                <w:color w:val="000000" w:themeColor="text1"/>
                <w:sz w:val="24"/>
                <w:szCs w:val="24"/>
                <w:lang w:eastAsia="fr-FR"/>
              </w:rPr>
            </w:pPr>
            <w:r w:rsidRPr="00B818D9">
              <w:rPr>
                <w:rFonts w:ascii="Times New Roman" w:eastAsia="Times New Roman" w:hAnsi="Times New Roman" w:cs="Times New Roman"/>
                <w:b/>
                <w:noProof w:val="0"/>
                <w:color w:val="000000" w:themeColor="text1"/>
                <w:sz w:val="24"/>
                <w:szCs w:val="24"/>
                <w:lang w:eastAsia="fr-FR"/>
              </w:rPr>
              <w:t>0,003</w:t>
            </w:r>
          </w:p>
        </w:tc>
      </w:tr>
      <w:tr w:rsidR="00FF2ADA" w:rsidRPr="00B818D9" w14:paraId="791EF433" w14:textId="77777777" w:rsidTr="00292A2B">
        <w:trPr>
          <w:gridAfter w:val="1"/>
          <w:wAfter w:w="9" w:type="dxa"/>
          <w:trHeight w:hRule="exact" w:val="360"/>
        </w:trPr>
        <w:tc>
          <w:tcPr>
            <w:tcW w:w="919" w:type="dxa"/>
            <w:tcBorders>
              <w:top w:val="nil"/>
              <w:bottom w:val="single" w:sz="4" w:space="0" w:color="auto"/>
            </w:tcBorders>
          </w:tcPr>
          <w:p w14:paraId="1D2A1C3F" w14:textId="77777777" w:rsidR="00FF2ADA" w:rsidRPr="00B818D9" w:rsidRDefault="00FF2ADA" w:rsidP="00B818D9">
            <w:pPr>
              <w:spacing w:after="0" w:line="360" w:lineRule="auto"/>
              <w:jc w:val="both"/>
              <w:rPr>
                <w:rFonts w:ascii="Times New Roman" w:eastAsia="Times New Roman" w:hAnsi="Times New Roman" w:cs="Times New Roman"/>
                <w:bCs/>
                <w:noProof w:val="0"/>
                <w:color w:val="000000" w:themeColor="text1"/>
                <w:sz w:val="24"/>
                <w:szCs w:val="24"/>
                <w:lang w:eastAsia="fr-FR"/>
              </w:rPr>
            </w:pPr>
          </w:p>
        </w:tc>
        <w:tc>
          <w:tcPr>
            <w:tcW w:w="2144" w:type="dxa"/>
            <w:tcBorders>
              <w:top w:val="nil"/>
              <w:bottom w:val="single" w:sz="4" w:space="0" w:color="auto"/>
            </w:tcBorders>
            <w:tcMar>
              <w:top w:w="75" w:type="dxa"/>
              <w:left w:w="75" w:type="dxa"/>
              <w:bottom w:w="0" w:type="dxa"/>
              <w:right w:w="75" w:type="dxa"/>
            </w:tcMar>
            <w:vAlign w:val="center"/>
            <w:hideMark/>
          </w:tcPr>
          <w:p w14:paraId="738A5515" w14:textId="77777777" w:rsidR="00FF2ADA" w:rsidRPr="00B818D9" w:rsidRDefault="00FF2ADA" w:rsidP="00B818D9">
            <w:pPr>
              <w:spacing w:after="0"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bCs/>
                <w:noProof w:val="0"/>
                <w:color w:val="000000" w:themeColor="text1"/>
                <w:sz w:val="24"/>
                <w:szCs w:val="24"/>
                <w:lang w:eastAsia="fr-FR"/>
              </w:rPr>
              <w:t>Nove</w:t>
            </w:r>
          </w:p>
        </w:tc>
        <w:tc>
          <w:tcPr>
            <w:tcW w:w="1119" w:type="dxa"/>
            <w:tcBorders>
              <w:top w:val="nil"/>
              <w:bottom w:val="single" w:sz="4" w:space="0" w:color="auto"/>
            </w:tcBorders>
            <w:tcMar>
              <w:top w:w="75" w:type="dxa"/>
              <w:left w:w="75" w:type="dxa"/>
              <w:bottom w:w="0" w:type="dxa"/>
              <w:right w:w="75" w:type="dxa"/>
            </w:tcMar>
            <w:vAlign w:val="center"/>
          </w:tcPr>
          <w:p w14:paraId="1CEEE950" w14:textId="77777777" w:rsidR="00FF2ADA" w:rsidRPr="00B818D9" w:rsidRDefault="00FF2ADA" w:rsidP="00B818D9">
            <w:pPr>
              <w:spacing w:after="0"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132</w:t>
            </w:r>
          </w:p>
        </w:tc>
        <w:tc>
          <w:tcPr>
            <w:tcW w:w="850" w:type="dxa"/>
            <w:tcBorders>
              <w:top w:val="nil"/>
              <w:bottom w:val="single" w:sz="4" w:space="0" w:color="auto"/>
            </w:tcBorders>
            <w:tcMar>
              <w:top w:w="75" w:type="dxa"/>
              <w:left w:w="75" w:type="dxa"/>
              <w:bottom w:w="0" w:type="dxa"/>
              <w:right w:w="75" w:type="dxa"/>
            </w:tcMar>
            <w:vAlign w:val="center"/>
          </w:tcPr>
          <w:p w14:paraId="14795E15" w14:textId="77777777" w:rsidR="00FF2ADA" w:rsidRPr="00B818D9" w:rsidRDefault="00FF2ADA" w:rsidP="00B818D9">
            <w:pPr>
              <w:spacing w:after="0"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76</w:t>
            </w:r>
          </w:p>
        </w:tc>
        <w:tc>
          <w:tcPr>
            <w:tcW w:w="719" w:type="dxa"/>
            <w:tcBorders>
              <w:top w:val="nil"/>
              <w:bottom w:val="single" w:sz="4" w:space="0" w:color="auto"/>
              <w:right w:val="nil"/>
            </w:tcBorders>
            <w:tcMar>
              <w:top w:w="75" w:type="dxa"/>
              <w:left w:w="75" w:type="dxa"/>
              <w:bottom w:w="0" w:type="dxa"/>
              <w:right w:w="75" w:type="dxa"/>
            </w:tcMar>
            <w:vAlign w:val="center"/>
          </w:tcPr>
          <w:p w14:paraId="0F1B1211" w14:textId="77777777" w:rsidR="00FF2ADA" w:rsidRPr="00B818D9" w:rsidRDefault="00FF2ADA" w:rsidP="00B818D9">
            <w:pPr>
              <w:spacing w:after="0"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57,58</w:t>
            </w:r>
          </w:p>
        </w:tc>
        <w:tc>
          <w:tcPr>
            <w:tcW w:w="714" w:type="dxa"/>
            <w:tcBorders>
              <w:top w:val="nil"/>
              <w:left w:val="nil"/>
              <w:bottom w:val="single" w:sz="4" w:space="0" w:color="auto"/>
            </w:tcBorders>
            <w:vAlign w:val="center"/>
          </w:tcPr>
          <w:p w14:paraId="1C90BFC3" w14:textId="77777777" w:rsidR="00FF2ADA" w:rsidRPr="00B818D9" w:rsidRDefault="00FF2ADA" w:rsidP="00B818D9">
            <w:pPr>
              <w:spacing w:after="0"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56</w:t>
            </w:r>
          </w:p>
        </w:tc>
        <w:tc>
          <w:tcPr>
            <w:tcW w:w="854" w:type="dxa"/>
            <w:tcBorders>
              <w:top w:val="nil"/>
              <w:bottom w:val="single" w:sz="4" w:space="0" w:color="auto"/>
            </w:tcBorders>
            <w:tcMar>
              <w:top w:w="75" w:type="dxa"/>
              <w:left w:w="75" w:type="dxa"/>
              <w:bottom w:w="0" w:type="dxa"/>
              <w:right w:w="75" w:type="dxa"/>
            </w:tcMar>
            <w:vAlign w:val="center"/>
          </w:tcPr>
          <w:p w14:paraId="78196E68" w14:textId="77777777" w:rsidR="00FF2ADA" w:rsidRPr="00B818D9" w:rsidRDefault="00FF2ADA" w:rsidP="00B818D9">
            <w:pPr>
              <w:spacing w:after="0"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42,42</w:t>
            </w:r>
          </w:p>
        </w:tc>
        <w:tc>
          <w:tcPr>
            <w:tcW w:w="2290" w:type="dxa"/>
            <w:tcBorders>
              <w:top w:val="nil"/>
              <w:bottom w:val="single" w:sz="4" w:space="0" w:color="auto"/>
            </w:tcBorders>
            <w:tcMar>
              <w:top w:w="75" w:type="dxa"/>
              <w:left w:w="75" w:type="dxa"/>
              <w:bottom w:w="0" w:type="dxa"/>
              <w:right w:w="75" w:type="dxa"/>
            </w:tcMar>
            <w:vAlign w:val="center"/>
          </w:tcPr>
          <w:p w14:paraId="02AD926E" w14:textId="77777777" w:rsidR="00FF2ADA" w:rsidRPr="00B818D9" w:rsidRDefault="00FF2ADA" w:rsidP="00B818D9">
            <w:pPr>
              <w:spacing w:after="0" w:line="360" w:lineRule="auto"/>
              <w:jc w:val="both"/>
              <w:rPr>
                <w:rFonts w:ascii="Times New Roman" w:eastAsia="Times New Roman" w:hAnsi="Times New Roman" w:cs="Times New Roman"/>
                <w:b/>
                <w:noProof w:val="0"/>
                <w:color w:val="000000" w:themeColor="text1"/>
                <w:sz w:val="24"/>
                <w:szCs w:val="24"/>
                <w:lang w:eastAsia="fr-FR"/>
              </w:rPr>
            </w:pPr>
            <w:r w:rsidRPr="00B818D9">
              <w:rPr>
                <w:rFonts w:ascii="Times New Roman" w:eastAsia="Times New Roman" w:hAnsi="Times New Roman" w:cs="Times New Roman"/>
                <w:b/>
                <w:noProof w:val="0"/>
                <w:color w:val="000000" w:themeColor="text1"/>
                <w:sz w:val="24"/>
                <w:szCs w:val="24"/>
                <w:lang w:eastAsia="fr-FR"/>
              </w:rPr>
              <w:t>1</w:t>
            </w:r>
          </w:p>
        </w:tc>
        <w:tc>
          <w:tcPr>
            <w:tcW w:w="756" w:type="dxa"/>
            <w:tcBorders>
              <w:top w:val="nil"/>
              <w:bottom w:val="single" w:sz="4" w:space="0" w:color="auto"/>
            </w:tcBorders>
            <w:tcMar>
              <w:top w:w="75" w:type="dxa"/>
              <w:left w:w="75" w:type="dxa"/>
              <w:bottom w:w="0" w:type="dxa"/>
              <w:right w:w="75" w:type="dxa"/>
            </w:tcMar>
            <w:vAlign w:val="center"/>
          </w:tcPr>
          <w:p w14:paraId="57D7492C" w14:textId="77777777" w:rsidR="00FF2ADA" w:rsidRPr="00B818D9" w:rsidRDefault="00FF2ADA" w:rsidP="00B818D9">
            <w:pPr>
              <w:spacing w:after="0" w:line="360" w:lineRule="auto"/>
              <w:jc w:val="both"/>
              <w:rPr>
                <w:rFonts w:ascii="Times New Roman" w:eastAsia="Times New Roman" w:hAnsi="Times New Roman" w:cs="Times New Roman"/>
                <w:b/>
                <w:noProof w:val="0"/>
                <w:color w:val="000000" w:themeColor="text1"/>
                <w:sz w:val="24"/>
                <w:szCs w:val="24"/>
                <w:lang w:eastAsia="fr-FR"/>
              </w:rPr>
            </w:pPr>
          </w:p>
        </w:tc>
      </w:tr>
    </w:tbl>
    <w:p w14:paraId="5E1ED279" w14:textId="77777777" w:rsidR="00670B0B" w:rsidRDefault="00670B0B" w:rsidP="00B818D9">
      <w:pPr>
        <w:pStyle w:val="NormalWeb"/>
        <w:spacing w:line="360" w:lineRule="auto"/>
        <w:jc w:val="both"/>
        <w:rPr>
          <w:b/>
          <w:bCs/>
        </w:rPr>
      </w:pPr>
    </w:p>
    <w:p w14:paraId="11A105B1" w14:textId="77777777" w:rsidR="00FA31EC" w:rsidRPr="00B818D9" w:rsidRDefault="00FA31EC" w:rsidP="00B818D9">
      <w:pPr>
        <w:pStyle w:val="NormalWeb"/>
        <w:spacing w:line="360" w:lineRule="auto"/>
        <w:jc w:val="both"/>
        <w:rPr>
          <w:b/>
          <w:bCs/>
        </w:rPr>
      </w:pPr>
    </w:p>
    <w:p w14:paraId="4920600C" w14:textId="52D557FA" w:rsidR="00072F4A" w:rsidRPr="00B818D9" w:rsidRDefault="00072F4A" w:rsidP="00B818D9">
      <w:pPr>
        <w:pStyle w:val="NormalWeb"/>
        <w:numPr>
          <w:ilvl w:val="1"/>
          <w:numId w:val="1"/>
        </w:numPr>
        <w:spacing w:line="360" w:lineRule="auto"/>
        <w:jc w:val="both"/>
        <w:rPr>
          <w:b/>
          <w:bCs/>
        </w:rPr>
      </w:pPr>
      <w:r w:rsidRPr="00B818D9">
        <w:rPr>
          <w:b/>
          <w:bCs/>
        </w:rPr>
        <w:t>HPV-HR carriage as a function of age at first intercourse and contraceptive use</w:t>
      </w:r>
    </w:p>
    <w:p w14:paraId="7A117F60" w14:textId="77521C89" w:rsidR="00072F4A" w:rsidRPr="00B818D9" w:rsidRDefault="00072F4A" w:rsidP="00B818D9">
      <w:pPr>
        <w:pStyle w:val="NormalWeb"/>
        <w:spacing w:line="360" w:lineRule="auto"/>
        <w:jc w:val="both"/>
      </w:pPr>
      <w:r w:rsidRPr="00B818D9">
        <w:t>Table VII shows that there was no significant association between HPV carriage and age at first intercourse and contraceptive use.</w:t>
      </w:r>
    </w:p>
    <w:tbl>
      <w:tblPr>
        <w:tblpPr w:leftFromText="141" w:rightFromText="141" w:bottomFromText="160" w:vertAnchor="text" w:horzAnchor="margin" w:tblpXSpec="center" w:tblpY="379"/>
        <w:tblOverlap w:val="never"/>
        <w:tblW w:w="10371" w:type="dxa"/>
        <w:tblBorders>
          <w:top w:val="single" w:sz="18" w:space="0" w:color="auto"/>
          <w:bottom w:val="single" w:sz="18" w:space="0" w:color="auto"/>
        </w:tblBorders>
        <w:tblLook w:val="04A0" w:firstRow="1" w:lastRow="0" w:firstColumn="1" w:lastColumn="0" w:noHBand="0" w:noVBand="1"/>
      </w:tblPr>
      <w:tblGrid>
        <w:gridCol w:w="681"/>
        <w:gridCol w:w="2661"/>
        <w:gridCol w:w="1194"/>
        <w:gridCol w:w="148"/>
        <w:gridCol w:w="965"/>
        <w:gridCol w:w="967"/>
        <w:gridCol w:w="1068"/>
        <w:gridCol w:w="871"/>
        <w:gridCol w:w="859"/>
        <w:gridCol w:w="106"/>
        <w:gridCol w:w="851"/>
      </w:tblGrid>
      <w:tr w:rsidR="00053D70" w:rsidRPr="00B818D9" w14:paraId="6D386B62" w14:textId="77777777" w:rsidTr="00053D70">
        <w:trPr>
          <w:trHeight w:hRule="exact" w:val="284"/>
        </w:trPr>
        <w:tc>
          <w:tcPr>
            <w:tcW w:w="3342" w:type="dxa"/>
            <w:gridSpan w:val="2"/>
            <w:tcBorders>
              <w:top w:val="single" w:sz="4" w:space="0" w:color="auto"/>
              <w:left w:val="nil"/>
              <w:bottom w:val="nil"/>
              <w:right w:val="nil"/>
            </w:tcBorders>
            <w:hideMark/>
          </w:tcPr>
          <w:p w14:paraId="32941756"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 xml:space="preserve">         Features </w:t>
            </w:r>
          </w:p>
        </w:tc>
        <w:tc>
          <w:tcPr>
            <w:tcW w:w="4342" w:type="dxa"/>
            <w:gridSpan w:val="5"/>
            <w:tcBorders>
              <w:top w:val="single" w:sz="4" w:space="0" w:color="auto"/>
              <w:left w:val="nil"/>
              <w:bottom w:val="nil"/>
              <w:right w:val="nil"/>
            </w:tcBorders>
            <w:hideMark/>
          </w:tcPr>
          <w:p w14:paraId="764FFA42"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HPV</w:t>
            </w:r>
          </w:p>
        </w:tc>
        <w:tc>
          <w:tcPr>
            <w:tcW w:w="1730" w:type="dxa"/>
            <w:gridSpan w:val="2"/>
            <w:tcBorders>
              <w:top w:val="single" w:sz="4" w:space="0" w:color="auto"/>
              <w:left w:val="nil"/>
              <w:bottom w:val="nil"/>
              <w:right w:val="nil"/>
            </w:tcBorders>
          </w:tcPr>
          <w:p w14:paraId="7540A2C5"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p>
        </w:tc>
        <w:tc>
          <w:tcPr>
            <w:tcW w:w="957" w:type="dxa"/>
            <w:gridSpan w:val="2"/>
            <w:tcBorders>
              <w:top w:val="single" w:sz="4" w:space="0" w:color="auto"/>
              <w:left w:val="nil"/>
              <w:bottom w:val="nil"/>
              <w:right w:val="nil"/>
            </w:tcBorders>
          </w:tcPr>
          <w:p w14:paraId="4BB155E1"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p>
        </w:tc>
      </w:tr>
      <w:tr w:rsidR="00053D70" w:rsidRPr="00B818D9" w14:paraId="0FCC189D" w14:textId="77777777" w:rsidTr="00053D70">
        <w:trPr>
          <w:trHeight w:hRule="exact" w:val="284"/>
        </w:trPr>
        <w:tc>
          <w:tcPr>
            <w:tcW w:w="3342" w:type="dxa"/>
            <w:gridSpan w:val="2"/>
            <w:tcBorders>
              <w:top w:val="nil"/>
              <w:left w:val="nil"/>
              <w:bottom w:val="nil"/>
              <w:right w:val="nil"/>
            </w:tcBorders>
          </w:tcPr>
          <w:p w14:paraId="287C75DB"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p>
        </w:tc>
        <w:tc>
          <w:tcPr>
            <w:tcW w:w="2307" w:type="dxa"/>
            <w:gridSpan w:val="3"/>
            <w:tcBorders>
              <w:top w:val="nil"/>
              <w:left w:val="nil"/>
              <w:bottom w:val="nil"/>
              <w:right w:val="nil"/>
            </w:tcBorders>
            <w:hideMark/>
          </w:tcPr>
          <w:p w14:paraId="49C211B9"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Positive</w:t>
            </w:r>
          </w:p>
        </w:tc>
        <w:tc>
          <w:tcPr>
            <w:tcW w:w="2035" w:type="dxa"/>
            <w:gridSpan w:val="2"/>
            <w:tcBorders>
              <w:top w:val="nil"/>
              <w:left w:val="nil"/>
              <w:bottom w:val="nil"/>
              <w:right w:val="nil"/>
            </w:tcBorders>
            <w:hideMark/>
          </w:tcPr>
          <w:p w14:paraId="352EC4C4"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Negative</w:t>
            </w:r>
          </w:p>
        </w:tc>
        <w:tc>
          <w:tcPr>
            <w:tcW w:w="1836" w:type="dxa"/>
            <w:gridSpan w:val="3"/>
            <w:tcBorders>
              <w:top w:val="nil"/>
              <w:left w:val="nil"/>
              <w:bottom w:val="nil"/>
              <w:right w:val="nil"/>
            </w:tcBorders>
          </w:tcPr>
          <w:p w14:paraId="5E3F75E2"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p>
        </w:tc>
        <w:tc>
          <w:tcPr>
            <w:tcW w:w="851" w:type="dxa"/>
            <w:tcBorders>
              <w:top w:val="nil"/>
              <w:left w:val="nil"/>
              <w:bottom w:val="nil"/>
              <w:right w:val="nil"/>
            </w:tcBorders>
          </w:tcPr>
          <w:p w14:paraId="439A4168"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P</w:t>
            </w:r>
          </w:p>
        </w:tc>
      </w:tr>
      <w:tr w:rsidR="00053D70" w:rsidRPr="00B818D9" w14:paraId="655489BF" w14:textId="77777777" w:rsidTr="00053D70">
        <w:trPr>
          <w:trHeight w:hRule="exact" w:val="284"/>
        </w:trPr>
        <w:tc>
          <w:tcPr>
            <w:tcW w:w="3342" w:type="dxa"/>
            <w:gridSpan w:val="2"/>
            <w:tcBorders>
              <w:top w:val="nil"/>
              <w:left w:val="nil"/>
              <w:bottom w:val="single" w:sz="4" w:space="0" w:color="auto"/>
              <w:right w:val="nil"/>
            </w:tcBorders>
          </w:tcPr>
          <w:p w14:paraId="23D8ECBE"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p>
        </w:tc>
        <w:tc>
          <w:tcPr>
            <w:tcW w:w="1194" w:type="dxa"/>
            <w:tcBorders>
              <w:top w:val="nil"/>
              <w:left w:val="nil"/>
              <w:bottom w:val="single" w:sz="4" w:space="0" w:color="auto"/>
              <w:right w:val="nil"/>
            </w:tcBorders>
            <w:hideMark/>
          </w:tcPr>
          <w:p w14:paraId="53FF0738"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n</w:t>
            </w:r>
          </w:p>
        </w:tc>
        <w:tc>
          <w:tcPr>
            <w:tcW w:w="1113" w:type="dxa"/>
            <w:gridSpan w:val="2"/>
            <w:tcBorders>
              <w:top w:val="nil"/>
              <w:left w:val="nil"/>
              <w:bottom w:val="single" w:sz="4" w:space="0" w:color="auto"/>
              <w:right w:val="nil"/>
            </w:tcBorders>
            <w:hideMark/>
          </w:tcPr>
          <w:p w14:paraId="79C4D325"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w:t>
            </w:r>
          </w:p>
        </w:tc>
        <w:tc>
          <w:tcPr>
            <w:tcW w:w="967" w:type="dxa"/>
            <w:tcBorders>
              <w:top w:val="nil"/>
              <w:left w:val="nil"/>
              <w:bottom w:val="single" w:sz="4" w:space="0" w:color="auto"/>
              <w:right w:val="nil"/>
            </w:tcBorders>
            <w:hideMark/>
          </w:tcPr>
          <w:p w14:paraId="0EE5308D"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n</w:t>
            </w:r>
          </w:p>
        </w:tc>
        <w:tc>
          <w:tcPr>
            <w:tcW w:w="1068" w:type="dxa"/>
            <w:tcBorders>
              <w:top w:val="nil"/>
              <w:left w:val="nil"/>
              <w:bottom w:val="single" w:sz="4" w:space="0" w:color="auto"/>
              <w:right w:val="nil"/>
            </w:tcBorders>
            <w:hideMark/>
          </w:tcPr>
          <w:p w14:paraId="09843950"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w:t>
            </w:r>
          </w:p>
        </w:tc>
        <w:tc>
          <w:tcPr>
            <w:tcW w:w="871" w:type="dxa"/>
            <w:tcBorders>
              <w:top w:val="nil"/>
              <w:left w:val="nil"/>
              <w:bottom w:val="single" w:sz="4" w:space="0" w:color="auto"/>
              <w:right w:val="nil"/>
            </w:tcBorders>
            <w:hideMark/>
          </w:tcPr>
          <w:p w14:paraId="30976C5C"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N</w:t>
            </w:r>
          </w:p>
        </w:tc>
        <w:tc>
          <w:tcPr>
            <w:tcW w:w="965" w:type="dxa"/>
            <w:gridSpan w:val="2"/>
            <w:tcBorders>
              <w:top w:val="nil"/>
              <w:left w:val="nil"/>
              <w:bottom w:val="single" w:sz="4" w:space="0" w:color="auto"/>
              <w:right w:val="nil"/>
            </w:tcBorders>
            <w:hideMark/>
          </w:tcPr>
          <w:p w14:paraId="3C24C509"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r w:rsidRPr="00B818D9">
              <w:rPr>
                <w:rFonts w:ascii="Times New Roman" w:hAnsi="Times New Roman" w:cs="Times New Roman"/>
                <w:b/>
                <w:noProof w:val="0"/>
                <w:color w:val="000000" w:themeColor="text1"/>
                <w:sz w:val="24"/>
                <w:szCs w:val="24"/>
              </w:rPr>
              <w:t>%</w:t>
            </w:r>
          </w:p>
        </w:tc>
        <w:tc>
          <w:tcPr>
            <w:tcW w:w="851" w:type="dxa"/>
            <w:tcBorders>
              <w:top w:val="nil"/>
              <w:left w:val="nil"/>
              <w:bottom w:val="single" w:sz="4" w:space="0" w:color="auto"/>
              <w:right w:val="nil"/>
            </w:tcBorders>
          </w:tcPr>
          <w:p w14:paraId="69A7CC46" w14:textId="77777777" w:rsidR="00053D70" w:rsidRPr="00B818D9" w:rsidRDefault="00053D70" w:rsidP="00053D70">
            <w:pPr>
              <w:spacing w:line="360" w:lineRule="auto"/>
              <w:jc w:val="both"/>
              <w:rPr>
                <w:rFonts w:ascii="Times New Roman" w:hAnsi="Times New Roman" w:cs="Times New Roman"/>
                <w:b/>
                <w:noProof w:val="0"/>
                <w:color w:val="000000" w:themeColor="text1"/>
                <w:sz w:val="24"/>
                <w:szCs w:val="24"/>
              </w:rPr>
            </w:pPr>
          </w:p>
        </w:tc>
      </w:tr>
      <w:tr w:rsidR="00053D70" w:rsidRPr="00B818D9" w14:paraId="2CAA0913" w14:textId="77777777" w:rsidTr="00053D70">
        <w:trPr>
          <w:trHeight w:hRule="exact" w:val="284"/>
        </w:trPr>
        <w:tc>
          <w:tcPr>
            <w:tcW w:w="3342" w:type="dxa"/>
            <w:gridSpan w:val="2"/>
            <w:tcBorders>
              <w:top w:val="nil"/>
              <w:left w:val="nil"/>
              <w:bottom w:val="nil"/>
              <w:right w:val="nil"/>
            </w:tcBorders>
          </w:tcPr>
          <w:p w14:paraId="773548F0" w14:textId="77777777" w:rsidR="00053D70" w:rsidRPr="00B818D9" w:rsidRDefault="00053D70" w:rsidP="00053D70">
            <w:pPr>
              <w:spacing w:line="360" w:lineRule="auto"/>
              <w:jc w:val="both"/>
              <w:rPr>
                <w:rFonts w:ascii="Times New Roman" w:hAnsi="Times New Roman" w:cs="Times New Roman"/>
                <w:b/>
                <w:bCs/>
                <w:noProof w:val="0"/>
                <w:color w:val="000000" w:themeColor="text1"/>
                <w:sz w:val="24"/>
                <w:szCs w:val="24"/>
              </w:rPr>
            </w:pPr>
            <w:r w:rsidRPr="00B818D9">
              <w:rPr>
                <w:rFonts w:ascii="Times New Roman" w:hAnsi="Times New Roman" w:cs="Times New Roman"/>
                <w:b/>
                <w:bCs/>
                <w:noProof w:val="0"/>
                <w:color w:val="000000" w:themeColor="text1"/>
                <w:sz w:val="24"/>
                <w:szCs w:val="24"/>
              </w:rPr>
              <w:t>Âge of first sexual intercourse</w:t>
            </w:r>
          </w:p>
        </w:tc>
        <w:tc>
          <w:tcPr>
            <w:tcW w:w="1342" w:type="dxa"/>
            <w:gridSpan w:val="2"/>
            <w:tcBorders>
              <w:top w:val="nil"/>
              <w:left w:val="nil"/>
              <w:bottom w:val="nil"/>
              <w:right w:val="nil"/>
            </w:tcBorders>
          </w:tcPr>
          <w:p w14:paraId="523C163F"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965" w:type="dxa"/>
            <w:tcBorders>
              <w:top w:val="nil"/>
              <w:left w:val="nil"/>
              <w:bottom w:val="nil"/>
              <w:right w:val="nil"/>
            </w:tcBorders>
          </w:tcPr>
          <w:p w14:paraId="662E60DA"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2035" w:type="dxa"/>
            <w:gridSpan w:val="2"/>
            <w:tcBorders>
              <w:top w:val="nil"/>
              <w:left w:val="nil"/>
              <w:bottom w:val="nil"/>
              <w:right w:val="nil"/>
            </w:tcBorders>
          </w:tcPr>
          <w:p w14:paraId="1C466F9A"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871" w:type="dxa"/>
            <w:tcBorders>
              <w:top w:val="nil"/>
              <w:left w:val="nil"/>
              <w:bottom w:val="nil"/>
              <w:right w:val="nil"/>
            </w:tcBorders>
          </w:tcPr>
          <w:p w14:paraId="553429B5"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965" w:type="dxa"/>
            <w:gridSpan w:val="2"/>
            <w:tcBorders>
              <w:top w:val="nil"/>
              <w:left w:val="nil"/>
              <w:bottom w:val="nil"/>
              <w:right w:val="nil"/>
            </w:tcBorders>
          </w:tcPr>
          <w:p w14:paraId="4D30D886"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851" w:type="dxa"/>
            <w:tcBorders>
              <w:top w:val="nil"/>
              <w:left w:val="nil"/>
              <w:bottom w:val="nil"/>
              <w:right w:val="nil"/>
            </w:tcBorders>
            <w:hideMark/>
          </w:tcPr>
          <w:p w14:paraId="65EF695D"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r>
      <w:tr w:rsidR="00053D70" w:rsidRPr="00B818D9" w14:paraId="18A5C5A2" w14:textId="77777777" w:rsidTr="00053D70">
        <w:trPr>
          <w:trHeight w:hRule="exact" w:val="284"/>
        </w:trPr>
        <w:tc>
          <w:tcPr>
            <w:tcW w:w="681" w:type="dxa"/>
            <w:tcBorders>
              <w:top w:val="nil"/>
              <w:left w:val="nil"/>
              <w:bottom w:val="nil"/>
              <w:right w:val="nil"/>
            </w:tcBorders>
          </w:tcPr>
          <w:p w14:paraId="122AF426"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2661" w:type="dxa"/>
            <w:tcBorders>
              <w:top w:val="nil"/>
              <w:left w:val="nil"/>
              <w:bottom w:val="nil"/>
              <w:right w:val="nil"/>
            </w:tcBorders>
          </w:tcPr>
          <w:p w14:paraId="14E50BE8"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18 and over</w:t>
            </w:r>
          </w:p>
        </w:tc>
        <w:tc>
          <w:tcPr>
            <w:tcW w:w="1194" w:type="dxa"/>
            <w:tcBorders>
              <w:top w:val="nil"/>
              <w:left w:val="nil"/>
              <w:bottom w:val="nil"/>
              <w:right w:val="nil"/>
            </w:tcBorders>
            <w:vAlign w:val="center"/>
          </w:tcPr>
          <w:p w14:paraId="32067C4E"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33</w:t>
            </w:r>
          </w:p>
        </w:tc>
        <w:tc>
          <w:tcPr>
            <w:tcW w:w="1113" w:type="dxa"/>
            <w:gridSpan w:val="2"/>
            <w:tcBorders>
              <w:top w:val="nil"/>
              <w:left w:val="nil"/>
              <w:bottom w:val="nil"/>
              <w:right w:val="nil"/>
            </w:tcBorders>
            <w:vAlign w:val="bottom"/>
          </w:tcPr>
          <w:p w14:paraId="3DDB7894"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36,67</w:t>
            </w:r>
          </w:p>
        </w:tc>
        <w:tc>
          <w:tcPr>
            <w:tcW w:w="967" w:type="dxa"/>
            <w:tcBorders>
              <w:top w:val="nil"/>
              <w:left w:val="nil"/>
              <w:bottom w:val="nil"/>
              <w:right w:val="nil"/>
            </w:tcBorders>
            <w:vAlign w:val="center"/>
          </w:tcPr>
          <w:p w14:paraId="27ADA11B"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38</w:t>
            </w:r>
          </w:p>
        </w:tc>
        <w:tc>
          <w:tcPr>
            <w:tcW w:w="1068" w:type="dxa"/>
            <w:tcBorders>
              <w:top w:val="nil"/>
              <w:left w:val="nil"/>
              <w:bottom w:val="nil"/>
              <w:right w:val="nil"/>
            </w:tcBorders>
            <w:vAlign w:val="center"/>
          </w:tcPr>
          <w:p w14:paraId="4B0A4C65"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35,19</w:t>
            </w:r>
          </w:p>
        </w:tc>
        <w:tc>
          <w:tcPr>
            <w:tcW w:w="871" w:type="dxa"/>
            <w:tcBorders>
              <w:top w:val="nil"/>
              <w:left w:val="nil"/>
              <w:bottom w:val="nil"/>
              <w:right w:val="nil"/>
            </w:tcBorders>
            <w:vAlign w:val="center"/>
          </w:tcPr>
          <w:p w14:paraId="65219262"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71</w:t>
            </w:r>
          </w:p>
        </w:tc>
        <w:tc>
          <w:tcPr>
            <w:tcW w:w="965" w:type="dxa"/>
            <w:gridSpan w:val="2"/>
            <w:tcBorders>
              <w:top w:val="nil"/>
              <w:left w:val="nil"/>
              <w:bottom w:val="nil"/>
              <w:right w:val="nil"/>
            </w:tcBorders>
          </w:tcPr>
          <w:p w14:paraId="53F9B5AF"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35,86</w:t>
            </w:r>
          </w:p>
        </w:tc>
        <w:tc>
          <w:tcPr>
            <w:tcW w:w="851" w:type="dxa"/>
            <w:vMerge w:val="restart"/>
            <w:tcBorders>
              <w:top w:val="nil"/>
              <w:left w:val="nil"/>
              <w:right w:val="nil"/>
            </w:tcBorders>
            <w:vAlign w:val="center"/>
          </w:tcPr>
          <w:p w14:paraId="2DBBCC9F" w14:textId="77777777" w:rsidR="00053D70" w:rsidRPr="00B818D9" w:rsidRDefault="00053D70" w:rsidP="00053D70">
            <w:pPr>
              <w:spacing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0,82</w:t>
            </w:r>
          </w:p>
        </w:tc>
      </w:tr>
      <w:tr w:rsidR="00053D70" w:rsidRPr="00B818D9" w14:paraId="02D47B6C" w14:textId="77777777" w:rsidTr="00053D70">
        <w:trPr>
          <w:trHeight w:hRule="exact" w:val="284"/>
        </w:trPr>
        <w:tc>
          <w:tcPr>
            <w:tcW w:w="681" w:type="dxa"/>
            <w:tcBorders>
              <w:top w:val="nil"/>
              <w:left w:val="nil"/>
              <w:bottom w:val="nil"/>
              <w:right w:val="nil"/>
            </w:tcBorders>
          </w:tcPr>
          <w:p w14:paraId="2A9B9179"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2661" w:type="dxa"/>
            <w:tcBorders>
              <w:top w:val="nil"/>
              <w:left w:val="nil"/>
              <w:bottom w:val="nil"/>
              <w:right w:val="nil"/>
            </w:tcBorders>
          </w:tcPr>
          <w:p w14:paraId="2D289C96"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 xml:space="preserve">Under 18s </w:t>
            </w:r>
          </w:p>
        </w:tc>
        <w:tc>
          <w:tcPr>
            <w:tcW w:w="1194" w:type="dxa"/>
            <w:tcBorders>
              <w:top w:val="nil"/>
              <w:left w:val="nil"/>
              <w:bottom w:val="nil"/>
              <w:right w:val="nil"/>
            </w:tcBorders>
            <w:vAlign w:val="center"/>
          </w:tcPr>
          <w:p w14:paraId="0A0BE0DD"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57</w:t>
            </w:r>
          </w:p>
        </w:tc>
        <w:tc>
          <w:tcPr>
            <w:tcW w:w="1113" w:type="dxa"/>
            <w:gridSpan w:val="2"/>
            <w:tcBorders>
              <w:top w:val="nil"/>
              <w:left w:val="nil"/>
              <w:bottom w:val="nil"/>
              <w:right w:val="nil"/>
            </w:tcBorders>
            <w:vAlign w:val="bottom"/>
          </w:tcPr>
          <w:p w14:paraId="04BE44DF"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63,33</w:t>
            </w:r>
          </w:p>
        </w:tc>
        <w:tc>
          <w:tcPr>
            <w:tcW w:w="967" w:type="dxa"/>
            <w:tcBorders>
              <w:top w:val="nil"/>
              <w:left w:val="nil"/>
              <w:bottom w:val="nil"/>
              <w:right w:val="nil"/>
            </w:tcBorders>
            <w:vAlign w:val="center"/>
          </w:tcPr>
          <w:p w14:paraId="1264D689"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70</w:t>
            </w:r>
          </w:p>
        </w:tc>
        <w:tc>
          <w:tcPr>
            <w:tcW w:w="1068" w:type="dxa"/>
            <w:tcBorders>
              <w:top w:val="nil"/>
              <w:left w:val="nil"/>
              <w:bottom w:val="nil"/>
              <w:right w:val="nil"/>
            </w:tcBorders>
            <w:vAlign w:val="center"/>
          </w:tcPr>
          <w:p w14:paraId="41871019"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64,81</w:t>
            </w:r>
          </w:p>
        </w:tc>
        <w:tc>
          <w:tcPr>
            <w:tcW w:w="871" w:type="dxa"/>
            <w:tcBorders>
              <w:top w:val="nil"/>
              <w:left w:val="nil"/>
              <w:bottom w:val="nil"/>
              <w:right w:val="nil"/>
            </w:tcBorders>
            <w:vAlign w:val="center"/>
          </w:tcPr>
          <w:p w14:paraId="7581701C"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127</w:t>
            </w:r>
          </w:p>
        </w:tc>
        <w:tc>
          <w:tcPr>
            <w:tcW w:w="965" w:type="dxa"/>
            <w:gridSpan w:val="2"/>
            <w:tcBorders>
              <w:top w:val="nil"/>
              <w:left w:val="nil"/>
              <w:bottom w:val="nil"/>
              <w:right w:val="nil"/>
            </w:tcBorders>
          </w:tcPr>
          <w:p w14:paraId="01B6EAFF"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64,14</w:t>
            </w:r>
          </w:p>
        </w:tc>
        <w:tc>
          <w:tcPr>
            <w:tcW w:w="851" w:type="dxa"/>
            <w:vMerge/>
            <w:tcBorders>
              <w:left w:val="nil"/>
              <w:bottom w:val="nil"/>
              <w:right w:val="nil"/>
            </w:tcBorders>
          </w:tcPr>
          <w:p w14:paraId="6161DFD3"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p>
        </w:tc>
      </w:tr>
      <w:tr w:rsidR="00053D70" w:rsidRPr="00B818D9" w14:paraId="6CBE749C" w14:textId="77777777" w:rsidTr="00053D70">
        <w:trPr>
          <w:trHeight w:hRule="exact" w:val="284"/>
        </w:trPr>
        <w:tc>
          <w:tcPr>
            <w:tcW w:w="3342" w:type="dxa"/>
            <w:gridSpan w:val="2"/>
            <w:tcBorders>
              <w:top w:val="nil"/>
              <w:left w:val="nil"/>
              <w:bottom w:val="nil"/>
              <w:right w:val="nil"/>
            </w:tcBorders>
            <w:hideMark/>
          </w:tcPr>
          <w:p w14:paraId="2C8F9994" w14:textId="77777777" w:rsidR="00053D70" w:rsidRPr="00B818D9" w:rsidRDefault="00053D70" w:rsidP="00053D70">
            <w:pPr>
              <w:spacing w:line="360" w:lineRule="auto"/>
              <w:jc w:val="both"/>
              <w:rPr>
                <w:rFonts w:ascii="Times New Roman" w:hAnsi="Times New Roman" w:cs="Times New Roman"/>
                <w:b/>
                <w:bCs/>
                <w:noProof w:val="0"/>
                <w:color w:val="000000" w:themeColor="text1"/>
                <w:sz w:val="24"/>
                <w:szCs w:val="24"/>
              </w:rPr>
            </w:pPr>
            <w:r w:rsidRPr="00B818D9">
              <w:rPr>
                <w:rFonts w:ascii="Times New Roman" w:hAnsi="Times New Roman" w:cs="Times New Roman"/>
                <w:b/>
                <w:bCs/>
                <w:noProof w:val="0"/>
                <w:color w:val="000000" w:themeColor="text1"/>
                <w:sz w:val="24"/>
                <w:szCs w:val="24"/>
              </w:rPr>
              <w:t>Utilisation de la contraception</w:t>
            </w:r>
          </w:p>
        </w:tc>
        <w:tc>
          <w:tcPr>
            <w:tcW w:w="1342" w:type="dxa"/>
            <w:gridSpan w:val="2"/>
            <w:tcBorders>
              <w:top w:val="nil"/>
              <w:left w:val="nil"/>
              <w:bottom w:val="nil"/>
              <w:right w:val="nil"/>
            </w:tcBorders>
          </w:tcPr>
          <w:p w14:paraId="1C039737"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965" w:type="dxa"/>
            <w:tcBorders>
              <w:top w:val="nil"/>
              <w:left w:val="nil"/>
              <w:bottom w:val="nil"/>
              <w:right w:val="nil"/>
            </w:tcBorders>
          </w:tcPr>
          <w:p w14:paraId="50CCD84B"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2035" w:type="dxa"/>
            <w:gridSpan w:val="2"/>
            <w:tcBorders>
              <w:top w:val="nil"/>
              <w:left w:val="nil"/>
              <w:bottom w:val="nil"/>
              <w:right w:val="nil"/>
            </w:tcBorders>
          </w:tcPr>
          <w:p w14:paraId="5D92A1BE"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871" w:type="dxa"/>
            <w:tcBorders>
              <w:top w:val="nil"/>
              <w:left w:val="nil"/>
              <w:bottom w:val="nil"/>
              <w:right w:val="nil"/>
            </w:tcBorders>
          </w:tcPr>
          <w:p w14:paraId="5D53D076"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965" w:type="dxa"/>
            <w:gridSpan w:val="2"/>
            <w:tcBorders>
              <w:top w:val="nil"/>
              <w:left w:val="nil"/>
              <w:bottom w:val="nil"/>
              <w:right w:val="nil"/>
            </w:tcBorders>
          </w:tcPr>
          <w:p w14:paraId="737121EB"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851" w:type="dxa"/>
            <w:tcBorders>
              <w:top w:val="nil"/>
              <w:left w:val="nil"/>
              <w:bottom w:val="nil"/>
              <w:right w:val="nil"/>
            </w:tcBorders>
            <w:hideMark/>
          </w:tcPr>
          <w:p w14:paraId="562F3985"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r>
      <w:tr w:rsidR="00053D70" w:rsidRPr="00B818D9" w14:paraId="3A73F58B" w14:textId="77777777" w:rsidTr="00053D70">
        <w:trPr>
          <w:trHeight w:hRule="exact" w:val="284"/>
        </w:trPr>
        <w:tc>
          <w:tcPr>
            <w:tcW w:w="681" w:type="dxa"/>
            <w:tcBorders>
              <w:top w:val="nil"/>
              <w:left w:val="nil"/>
              <w:bottom w:val="nil"/>
              <w:right w:val="nil"/>
            </w:tcBorders>
          </w:tcPr>
          <w:p w14:paraId="618C87F2"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2661" w:type="dxa"/>
            <w:tcBorders>
              <w:top w:val="nil"/>
              <w:left w:val="nil"/>
              <w:bottom w:val="nil"/>
              <w:right w:val="nil"/>
            </w:tcBorders>
            <w:hideMark/>
          </w:tcPr>
          <w:p w14:paraId="674831BE"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Yes</w:t>
            </w:r>
          </w:p>
        </w:tc>
        <w:tc>
          <w:tcPr>
            <w:tcW w:w="1194" w:type="dxa"/>
            <w:tcBorders>
              <w:top w:val="nil"/>
              <w:left w:val="nil"/>
              <w:bottom w:val="nil"/>
              <w:right w:val="nil"/>
            </w:tcBorders>
            <w:vAlign w:val="center"/>
          </w:tcPr>
          <w:p w14:paraId="57A93644"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31</w:t>
            </w:r>
          </w:p>
        </w:tc>
        <w:tc>
          <w:tcPr>
            <w:tcW w:w="1113" w:type="dxa"/>
            <w:gridSpan w:val="2"/>
            <w:tcBorders>
              <w:top w:val="nil"/>
              <w:left w:val="nil"/>
              <w:bottom w:val="nil"/>
              <w:right w:val="nil"/>
            </w:tcBorders>
            <w:vAlign w:val="bottom"/>
          </w:tcPr>
          <w:p w14:paraId="1193AC4B"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34,44</w:t>
            </w:r>
          </w:p>
        </w:tc>
        <w:tc>
          <w:tcPr>
            <w:tcW w:w="967" w:type="dxa"/>
            <w:tcBorders>
              <w:top w:val="nil"/>
              <w:left w:val="nil"/>
              <w:bottom w:val="nil"/>
              <w:right w:val="nil"/>
            </w:tcBorders>
            <w:vAlign w:val="center"/>
          </w:tcPr>
          <w:p w14:paraId="694567B3"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35</w:t>
            </w:r>
          </w:p>
        </w:tc>
        <w:tc>
          <w:tcPr>
            <w:tcW w:w="1068" w:type="dxa"/>
            <w:tcBorders>
              <w:top w:val="nil"/>
              <w:left w:val="nil"/>
              <w:bottom w:val="nil"/>
              <w:right w:val="nil"/>
            </w:tcBorders>
            <w:vAlign w:val="center"/>
          </w:tcPr>
          <w:p w14:paraId="26A82F8C"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32,41</w:t>
            </w:r>
          </w:p>
        </w:tc>
        <w:tc>
          <w:tcPr>
            <w:tcW w:w="871" w:type="dxa"/>
            <w:tcBorders>
              <w:top w:val="nil"/>
              <w:left w:val="nil"/>
              <w:bottom w:val="nil"/>
              <w:right w:val="nil"/>
            </w:tcBorders>
            <w:vAlign w:val="center"/>
          </w:tcPr>
          <w:p w14:paraId="1D34C875"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66</w:t>
            </w:r>
          </w:p>
        </w:tc>
        <w:tc>
          <w:tcPr>
            <w:tcW w:w="965" w:type="dxa"/>
            <w:gridSpan w:val="2"/>
            <w:tcBorders>
              <w:top w:val="nil"/>
              <w:left w:val="nil"/>
              <w:bottom w:val="nil"/>
              <w:right w:val="nil"/>
            </w:tcBorders>
          </w:tcPr>
          <w:p w14:paraId="0CFAE5A2"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33,33</w:t>
            </w:r>
          </w:p>
        </w:tc>
        <w:tc>
          <w:tcPr>
            <w:tcW w:w="851" w:type="dxa"/>
            <w:vMerge w:val="restart"/>
            <w:tcBorders>
              <w:top w:val="nil"/>
              <w:left w:val="nil"/>
              <w:bottom w:val="nil"/>
              <w:right w:val="nil"/>
            </w:tcBorders>
            <w:vAlign w:val="center"/>
          </w:tcPr>
          <w:p w14:paraId="10482303" w14:textId="77777777" w:rsidR="00053D70" w:rsidRPr="00B818D9" w:rsidRDefault="00053D70" w:rsidP="00053D70">
            <w:pPr>
              <w:spacing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0,76</w:t>
            </w:r>
          </w:p>
        </w:tc>
      </w:tr>
      <w:tr w:rsidR="00053D70" w:rsidRPr="00B818D9" w14:paraId="0A0D608E" w14:textId="77777777" w:rsidTr="00053D70">
        <w:trPr>
          <w:trHeight w:hRule="exact" w:val="284"/>
        </w:trPr>
        <w:tc>
          <w:tcPr>
            <w:tcW w:w="681" w:type="dxa"/>
            <w:tcBorders>
              <w:top w:val="nil"/>
              <w:left w:val="nil"/>
              <w:bottom w:val="nil"/>
              <w:right w:val="nil"/>
            </w:tcBorders>
          </w:tcPr>
          <w:p w14:paraId="0D9FABF7"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2661" w:type="dxa"/>
            <w:tcBorders>
              <w:top w:val="nil"/>
              <w:left w:val="nil"/>
              <w:bottom w:val="nil"/>
              <w:right w:val="nil"/>
            </w:tcBorders>
            <w:hideMark/>
          </w:tcPr>
          <w:p w14:paraId="4194EDBC"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No</w:t>
            </w:r>
          </w:p>
        </w:tc>
        <w:tc>
          <w:tcPr>
            <w:tcW w:w="1194" w:type="dxa"/>
            <w:tcBorders>
              <w:top w:val="nil"/>
              <w:left w:val="nil"/>
              <w:bottom w:val="nil"/>
              <w:right w:val="nil"/>
            </w:tcBorders>
            <w:vAlign w:val="center"/>
          </w:tcPr>
          <w:p w14:paraId="09711852"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59</w:t>
            </w:r>
          </w:p>
        </w:tc>
        <w:tc>
          <w:tcPr>
            <w:tcW w:w="1113" w:type="dxa"/>
            <w:gridSpan w:val="2"/>
            <w:tcBorders>
              <w:top w:val="nil"/>
              <w:left w:val="nil"/>
              <w:bottom w:val="nil"/>
              <w:right w:val="nil"/>
            </w:tcBorders>
            <w:vAlign w:val="bottom"/>
          </w:tcPr>
          <w:p w14:paraId="52BEBF28"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65,56</w:t>
            </w:r>
          </w:p>
        </w:tc>
        <w:tc>
          <w:tcPr>
            <w:tcW w:w="967" w:type="dxa"/>
            <w:tcBorders>
              <w:top w:val="nil"/>
              <w:left w:val="nil"/>
              <w:bottom w:val="nil"/>
              <w:right w:val="nil"/>
            </w:tcBorders>
          </w:tcPr>
          <w:p w14:paraId="7AB8324D"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73</w:t>
            </w:r>
          </w:p>
        </w:tc>
        <w:tc>
          <w:tcPr>
            <w:tcW w:w="1068" w:type="dxa"/>
            <w:tcBorders>
              <w:top w:val="nil"/>
              <w:left w:val="nil"/>
              <w:bottom w:val="nil"/>
              <w:right w:val="nil"/>
            </w:tcBorders>
          </w:tcPr>
          <w:p w14:paraId="076EACD6"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67,59</w:t>
            </w:r>
          </w:p>
        </w:tc>
        <w:tc>
          <w:tcPr>
            <w:tcW w:w="871" w:type="dxa"/>
            <w:tcBorders>
              <w:top w:val="nil"/>
              <w:left w:val="nil"/>
              <w:bottom w:val="nil"/>
              <w:right w:val="nil"/>
            </w:tcBorders>
            <w:vAlign w:val="center"/>
          </w:tcPr>
          <w:p w14:paraId="3BE940C5"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132</w:t>
            </w:r>
          </w:p>
        </w:tc>
        <w:tc>
          <w:tcPr>
            <w:tcW w:w="965" w:type="dxa"/>
            <w:gridSpan w:val="2"/>
            <w:tcBorders>
              <w:top w:val="nil"/>
              <w:left w:val="nil"/>
              <w:bottom w:val="nil"/>
              <w:right w:val="nil"/>
            </w:tcBorders>
          </w:tcPr>
          <w:p w14:paraId="7E6693CA"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66,67</w:t>
            </w:r>
          </w:p>
        </w:tc>
        <w:tc>
          <w:tcPr>
            <w:tcW w:w="851" w:type="dxa"/>
            <w:vMerge/>
            <w:tcBorders>
              <w:top w:val="nil"/>
              <w:left w:val="nil"/>
              <w:bottom w:val="nil"/>
              <w:right w:val="nil"/>
            </w:tcBorders>
          </w:tcPr>
          <w:p w14:paraId="40409E80"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p>
        </w:tc>
      </w:tr>
      <w:tr w:rsidR="00053D70" w:rsidRPr="00B818D9" w14:paraId="43A50856" w14:textId="77777777" w:rsidTr="00053D70">
        <w:trPr>
          <w:trHeight w:hRule="exact" w:val="284"/>
        </w:trPr>
        <w:tc>
          <w:tcPr>
            <w:tcW w:w="681" w:type="dxa"/>
            <w:tcBorders>
              <w:top w:val="nil"/>
              <w:left w:val="nil"/>
              <w:bottom w:val="single" w:sz="4" w:space="0" w:color="auto"/>
              <w:right w:val="nil"/>
            </w:tcBorders>
          </w:tcPr>
          <w:p w14:paraId="3E3DE913"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2661" w:type="dxa"/>
            <w:tcBorders>
              <w:top w:val="nil"/>
              <w:left w:val="nil"/>
              <w:bottom w:val="single" w:sz="4" w:space="0" w:color="auto"/>
              <w:right w:val="nil"/>
            </w:tcBorders>
          </w:tcPr>
          <w:p w14:paraId="68234E4C"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1194" w:type="dxa"/>
            <w:tcBorders>
              <w:top w:val="nil"/>
              <w:left w:val="nil"/>
              <w:bottom w:val="single" w:sz="4" w:space="0" w:color="auto"/>
              <w:right w:val="nil"/>
            </w:tcBorders>
            <w:vAlign w:val="center"/>
          </w:tcPr>
          <w:p w14:paraId="2D7FB5FE"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p>
        </w:tc>
        <w:tc>
          <w:tcPr>
            <w:tcW w:w="1113" w:type="dxa"/>
            <w:gridSpan w:val="2"/>
            <w:tcBorders>
              <w:top w:val="nil"/>
              <w:left w:val="nil"/>
              <w:bottom w:val="single" w:sz="4" w:space="0" w:color="auto"/>
              <w:right w:val="nil"/>
            </w:tcBorders>
            <w:vAlign w:val="bottom"/>
          </w:tcPr>
          <w:p w14:paraId="177598D5"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p>
        </w:tc>
        <w:tc>
          <w:tcPr>
            <w:tcW w:w="967" w:type="dxa"/>
            <w:tcBorders>
              <w:top w:val="nil"/>
              <w:left w:val="nil"/>
              <w:bottom w:val="single" w:sz="4" w:space="0" w:color="auto"/>
              <w:right w:val="nil"/>
            </w:tcBorders>
          </w:tcPr>
          <w:p w14:paraId="1574E8C4"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p>
        </w:tc>
        <w:tc>
          <w:tcPr>
            <w:tcW w:w="1068" w:type="dxa"/>
            <w:tcBorders>
              <w:top w:val="nil"/>
              <w:left w:val="nil"/>
              <w:bottom w:val="single" w:sz="4" w:space="0" w:color="auto"/>
              <w:right w:val="nil"/>
            </w:tcBorders>
          </w:tcPr>
          <w:p w14:paraId="41126252"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p>
        </w:tc>
        <w:tc>
          <w:tcPr>
            <w:tcW w:w="871" w:type="dxa"/>
            <w:tcBorders>
              <w:top w:val="nil"/>
              <w:left w:val="nil"/>
              <w:bottom w:val="single" w:sz="4" w:space="0" w:color="auto"/>
              <w:right w:val="nil"/>
            </w:tcBorders>
            <w:vAlign w:val="center"/>
          </w:tcPr>
          <w:p w14:paraId="7952C9B0"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965" w:type="dxa"/>
            <w:gridSpan w:val="2"/>
            <w:tcBorders>
              <w:top w:val="nil"/>
              <w:left w:val="nil"/>
              <w:bottom w:val="single" w:sz="4" w:space="0" w:color="auto"/>
              <w:right w:val="nil"/>
            </w:tcBorders>
          </w:tcPr>
          <w:p w14:paraId="78106656"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p>
        </w:tc>
        <w:tc>
          <w:tcPr>
            <w:tcW w:w="851" w:type="dxa"/>
            <w:tcBorders>
              <w:top w:val="nil"/>
              <w:left w:val="nil"/>
              <w:bottom w:val="single" w:sz="4" w:space="0" w:color="auto"/>
              <w:right w:val="nil"/>
            </w:tcBorders>
          </w:tcPr>
          <w:p w14:paraId="2832E5C2"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p>
        </w:tc>
      </w:tr>
    </w:tbl>
    <w:p w14:paraId="241DB77F" w14:textId="412601A0" w:rsidR="00072F4A" w:rsidRPr="00B818D9" w:rsidRDefault="00072F4A" w:rsidP="00B818D9">
      <w:pPr>
        <w:pStyle w:val="NormalWeb"/>
        <w:spacing w:line="360" w:lineRule="auto"/>
        <w:jc w:val="both"/>
        <w:rPr>
          <w:b/>
          <w:bCs/>
        </w:rPr>
      </w:pPr>
      <w:r w:rsidRPr="00B818D9">
        <w:rPr>
          <w:b/>
          <w:bCs/>
        </w:rPr>
        <w:t>Table VII</w:t>
      </w:r>
      <w:r w:rsidR="000A005A" w:rsidRPr="00B818D9">
        <w:rPr>
          <w:b/>
          <w:bCs/>
        </w:rPr>
        <w:t xml:space="preserve">. </w:t>
      </w:r>
      <w:r w:rsidR="000A005A" w:rsidRPr="00887324">
        <w:t>HPV carriage according to age at firts intercourse and contraceptive use</w:t>
      </w:r>
    </w:p>
    <w:p w14:paraId="39DD4241" w14:textId="77777777" w:rsidR="00D22422" w:rsidRPr="00B818D9" w:rsidRDefault="00D22422" w:rsidP="00B818D9">
      <w:pPr>
        <w:pStyle w:val="NormalWeb"/>
        <w:spacing w:line="360" w:lineRule="auto"/>
        <w:jc w:val="both"/>
        <w:rPr>
          <w:b/>
          <w:bCs/>
        </w:rPr>
      </w:pPr>
    </w:p>
    <w:p w14:paraId="79E8341F" w14:textId="5B4C1F1F" w:rsidR="00072F4A" w:rsidRPr="00B818D9" w:rsidRDefault="00072F4A" w:rsidP="00B818D9">
      <w:pPr>
        <w:pStyle w:val="NormalWeb"/>
        <w:numPr>
          <w:ilvl w:val="1"/>
          <w:numId w:val="1"/>
        </w:numPr>
        <w:spacing w:line="360" w:lineRule="auto"/>
        <w:jc w:val="both"/>
        <w:rPr>
          <w:b/>
          <w:bCs/>
        </w:rPr>
      </w:pPr>
      <w:r w:rsidRPr="00B818D9">
        <w:rPr>
          <w:b/>
          <w:bCs/>
        </w:rPr>
        <w:t xml:space="preserve">Risk factors independently associated with HPV carriage </w:t>
      </w:r>
    </w:p>
    <w:p w14:paraId="5C247A67" w14:textId="77777777" w:rsidR="00072F4A" w:rsidRPr="00B818D9" w:rsidRDefault="00072F4A" w:rsidP="00B818D9">
      <w:pPr>
        <w:pStyle w:val="NormalWeb"/>
        <w:spacing w:line="360" w:lineRule="auto"/>
        <w:jc w:val="both"/>
      </w:pPr>
      <w:r w:rsidRPr="00B818D9">
        <w:t>In our study, we found a significant association between girls with cohabiting parents and HPV carriage (p=0.001). These girls were 3 times more likely to carry HPV than those whose parents were married. On the other hand, when comparing girls whose parents were single with those whose parents were married, there was no association with HPV carriage, as shown in Table VIII.</w:t>
      </w:r>
    </w:p>
    <w:tbl>
      <w:tblPr>
        <w:tblpPr w:leftFromText="141" w:rightFromText="141" w:bottomFromText="160" w:vertAnchor="text" w:horzAnchor="margin" w:tblpXSpec="center" w:tblpY="592"/>
        <w:tblOverlap w:val="never"/>
        <w:tblW w:w="10959" w:type="dxa"/>
        <w:tblBorders>
          <w:top w:val="single" w:sz="18" w:space="0" w:color="auto"/>
          <w:bottom w:val="single" w:sz="18" w:space="0" w:color="auto"/>
        </w:tblBorders>
        <w:tblLayout w:type="fixed"/>
        <w:tblCellMar>
          <w:top w:w="75" w:type="dxa"/>
          <w:left w:w="75" w:type="dxa"/>
          <w:bottom w:w="75" w:type="dxa"/>
          <w:right w:w="75" w:type="dxa"/>
        </w:tblCellMar>
        <w:tblLook w:val="04A0" w:firstRow="1" w:lastRow="0" w:firstColumn="1" w:lastColumn="0" w:noHBand="0" w:noVBand="1"/>
      </w:tblPr>
      <w:tblGrid>
        <w:gridCol w:w="647"/>
        <w:gridCol w:w="2183"/>
        <w:gridCol w:w="1139"/>
        <w:gridCol w:w="864"/>
        <w:gridCol w:w="732"/>
        <w:gridCol w:w="726"/>
        <w:gridCol w:w="869"/>
        <w:gridCol w:w="2330"/>
        <w:gridCol w:w="1469"/>
      </w:tblGrid>
      <w:tr w:rsidR="00053D70" w:rsidRPr="00B818D9" w14:paraId="7402A5D1" w14:textId="77777777" w:rsidTr="00F44D36">
        <w:trPr>
          <w:trHeight w:hRule="exact" w:val="385"/>
        </w:trPr>
        <w:tc>
          <w:tcPr>
            <w:tcW w:w="647" w:type="dxa"/>
            <w:tcBorders>
              <w:top w:val="single" w:sz="4" w:space="0" w:color="auto"/>
              <w:left w:val="nil"/>
              <w:bottom w:val="nil"/>
              <w:right w:val="nil"/>
            </w:tcBorders>
          </w:tcPr>
          <w:p w14:paraId="45572C26"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2183" w:type="dxa"/>
            <w:vMerge w:val="restart"/>
            <w:tcBorders>
              <w:top w:val="single" w:sz="4" w:space="0" w:color="auto"/>
              <w:left w:val="nil"/>
              <w:bottom w:val="single" w:sz="4" w:space="0" w:color="auto"/>
              <w:right w:val="nil"/>
            </w:tcBorders>
            <w:tcMar>
              <w:top w:w="75" w:type="dxa"/>
              <w:left w:w="75" w:type="dxa"/>
              <w:bottom w:w="0" w:type="dxa"/>
              <w:right w:w="75" w:type="dxa"/>
            </w:tcMar>
            <w:vAlign w:val="center"/>
          </w:tcPr>
          <w:p w14:paraId="3C4592CF"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1139" w:type="dxa"/>
            <w:tcBorders>
              <w:top w:val="single" w:sz="4" w:space="0" w:color="auto"/>
              <w:left w:val="nil"/>
              <w:bottom w:val="nil"/>
              <w:right w:val="nil"/>
            </w:tcBorders>
            <w:tcMar>
              <w:top w:w="75" w:type="dxa"/>
              <w:left w:w="75" w:type="dxa"/>
              <w:bottom w:w="0" w:type="dxa"/>
              <w:right w:w="75" w:type="dxa"/>
            </w:tcMar>
            <w:vAlign w:val="center"/>
          </w:tcPr>
          <w:p w14:paraId="541DE358" w14:textId="77777777" w:rsidR="00053D70" w:rsidRPr="00B818D9" w:rsidRDefault="00053D70" w:rsidP="00053D70">
            <w:pPr>
              <w:spacing w:after="0" w:line="360" w:lineRule="auto"/>
              <w:jc w:val="both"/>
              <w:rPr>
                <w:rFonts w:ascii="Times New Roman" w:hAnsi="Times New Roman" w:cs="Times New Roman"/>
                <w:b/>
                <w:noProof w:val="0"/>
                <w:color w:val="000000" w:themeColor="text1"/>
                <w:sz w:val="24"/>
                <w:szCs w:val="24"/>
              </w:rPr>
            </w:pPr>
          </w:p>
          <w:p w14:paraId="19A78023"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hAnsi="Times New Roman" w:cs="Times New Roman"/>
                <w:b/>
                <w:noProof w:val="0"/>
                <w:color w:val="000000" w:themeColor="text1"/>
                <w:sz w:val="24"/>
                <w:szCs w:val="24"/>
              </w:rPr>
              <w:t>Total, N</w:t>
            </w:r>
          </w:p>
        </w:tc>
        <w:tc>
          <w:tcPr>
            <w:tcW w:w="3191" w:type="dxa"/>
            <w:gridSpan w:val="4"/>
            <w:tcBorders>
              <w:top w:val="single" w:sz="4" w:space="0" w:color="auto"/>
              <w:left w:val="nil"/>
              <w:bottom w:val="single" w:sz="4" w:space="0" w:color="auto"/>
              <w:right w:val="nil"/>
            </w:tcBorders>
            <w:tcMar>
              <w:top w:w="75" w:type="dxa"/>
              <w:left w:w="75" w:type="dxa"/>
              <w:bottom w:w="0" w:type="dxa"/>
              <w:right w:w="75" w:type="dxa"/>
            </w:tcMar>
            <w:vAlign w:val="center"/>
            <w:hideMark/>
          </w:tcPr>
          <w:p w14:paraId="49EB7809"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HPV</w:t>
            </w:r>
          </w:p>
        </w:tc>
        <w:tc>
          <w:tcPr>
            <w:tcW w:w="3799" w:type="dxa"/>
            <w:gridSpan w:val="2"/>
            <w:tcBorders>
              <w:top w:val="single" w:sz="4" w:space="0" w:color="auto"/>
              <w:left w:val="nil"/>
              <w:bottom w:val="nil"/>
              <w:right w:val="nil"/>
            </w:tcBorders>
            <w:vAlign w:val="center"/>
          </w:tcPr>
          <w:p w14:paraId="6968C962" w14:textId="77777777" w:rsidR="00053D70" w:rsidRPr="00B818D9" w:rsidRDefault="00053D70" w:rsidP="00053D70">
            <w:pPr>
              <w:spacing w:after="0" w:line="360" w:lineRule="auto"/>
              <w:ind w:left="1416"/>
              <w:jc w:val="both"/>
              <w:rPr>
                <w:rFonts w:ascii="Times New Roman" w:eastAsia="Times New Roman" w:hAnsi="Times New Roman" w:cs="Times New Roman"/>
                <w:b/>
                <w:bCs/>
                <w:noProof w:val="0"/>
                <w:color w:val="000000" w:themeColor="text1"/>
                <w:sz w:val="24"/>
                <w:szCs w:val="24"/>
                <w:lang w:eastAsia="fr-FR"/>
              </w:rPr>
            </w:pPr>
          </w:p>
        </w:tc>
      </w:tr>
      <w:tr w:rsidR="00053D70" w:rsidRPr="00B818D9" w14:paraId="678042B8" w14:textId="77777777" w:rsidTr="00F44D36">
        <w:trPr>
          <w:trHeight w:hRule="exact" w:val="385"/>
        </w:trPr>
        <w:tc>
          <w:tcPr>
            <w:tcW w:w="647" w:type="dxa"/>
            <w:tcBorders>
              <w:top w:val="nil"/>
              <w:left w:val="nil"/>
              <w:bottom w:val="single" w:sz="4" w:space="0" w:color="auto"/>
              <w:right w:val="nil"/>
            </w:tcBorders>
          </w:tcPr>
          <w:p w14:paraId="24A02E60"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2183" w:type="dxa"/>
            <w:vMerge/>
            <w:tcBorders>
              <w:top w:val="single" w:sz="4" w:space="0" w:color="auto"/>
              <w:left w:val="nil"/>
              <w:bottom w:val="single" w:sz="4" w:space="0" w:color="auto"/>
              <w:right w:val="nil"/>
            </w:tcBorders>
            <w:vAlign w:val="center"/>
            <w:hideMark/>
          </w:tcPr>
          <w:p w14:paraId="301FDEA2"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1139" w:type="dxa"/>
            <w:tcBorders>
              <w:top w:val="nil"/>
              <w:left w:val="nil"/>
              <w:bottom w:val="single" w:sz="4" w:space="0" w:color="auto"/>
              <w:right w:val="nil"/>
            </w:tcBorders>
            <w:tcMar>
              <w:top w:w="75" w:type="dxa"/>
              <w:left w:w="75" w:type="dxa"/>
              <w:bottom w:w="0" w:type="dxa"/>
              <w:right w:w="75" w:type="dxa"/>
            </w:tcMar>
            <w:vAlign w:val="center"/>
            <w:hideMark/>
          </w:tcPr>
          <w:p w14:paraId="51ACCAD0"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N=198</w:t>
            </w:r>
          </w:p>
        </w:tc>
        <w:tc>
          <w:tcPr>
            <w:tcW w:w="1596" w:type="dxa"/>
            <w:gridSpan w:val="2"/>
            <w:tcBorders>
              <w:top w:val="single" w:sz="4" w:space="0" w:color="auto"/>
              <w:left w:val="nil"/>
              <w:bottom w:val="single" w:sz="4" w:space="0" w:color="auto"/>
              <w:right w:val="nil"/>
            </w:tcBorders>
            <w:tcMar>
              <w:top w:w="75" w:type="dxa"/>
              <w:left w:w="75" w:type="dxa"/>
              <w:bottom w:w="0" w:type="dxa"/>
              <w:right w:w="75" w:type="dxa"/>
            </w:tcMar>
            <w:vAlign w:val="center"/>
            <w:hideMark/>
          </w:tcPr>
          <w:p w14:paraId="6CED5EDB"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Positive</w:t>
            </w:r>
          </w:p>
        </w:tc>
        <w:tc>
          <w:tcPr>
            <w:tcW w:w="1595" w:type="dxa"/>
            <w:gridSpan w:val="2"/>
            <w:tcBorders>
              <w:top w:val="single" w:sz="4" w:space="0" w:color="auto"/>
              <w:left w:val="nil"/>
              <w:bottom w:val="single" w:sz="4" w:space="0" w:color="auto"/>
              <w:right w:val="nil"/>
            </w:tcBorders>
            <w:vAlign w:val="center"/>
            <w:hideMark/>
          </w:tcPr>
          <w:p w14:paraId="695CFAD5"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Negative</w:t>
            </w:r>
          </w:p>
        </w:tc>
        <w:tc>
          <w:tcPr>
            <w:tcW w:w="2330" w:type="dxa"/>
            <w:tcBorders>
              <w:top w:val="nil"/>
              <w:left w:val="nil"/>
              <w:bottom w:val="single" w:sz="4" w:space="0" w:color="auto"/>
              <w:right w:val="nil"/>
            </w:tcBorders>
            <w:tcMar>
              <w:top w:w="75" w:type="dxa"/>
              <w:left w:w="75" w:type="dxa"/>
              <w:bottom w:w="0" w:type="dxa"/>
              <w:right w:w="75" w:type="dxa"/>
            </w:tcMar>
            <w:vAlign w:val="center"/>
          </w:tcPr>
          <w:p w14:paraId="2F0FA036"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1468" w:type="dxa"/>
            <w:tcBorders>
              <w:top w:val="nil"/>
              <w:left w:val="nil"/>
              <w:bottom w:val="single" w:sz="4" w:space="0" w:color="auto"/>
              <w:right w:val="nil"/>
            </w:tcBorders>
            <w:tcMar>
              <w:top w:w="75" w:type="dxa"/>
              <w:left w:w="75" w:type="dxa"/>
              <w:bottom w:w="0" w:type="dxa"/>
              <w:right w:w="75" w:type="dxa"/>
            </w:tcMar>
            <w:vAlign w:val="center"/>
          </w:tcPr>
          <w:p w14:paraId="05820180"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r>
      <w:tr w:rsidR="00053D70" w:rsidRPr="00B818D9" w14:paraId="5CE86BF5" w14:textId="77777777" w:rsidTr="00F44D36">
        <w:trPr>
          <w:trHeight w:hRule="exact" w:val="711"/>
        </w:trPr>
        <w:tc>
          <w:tcPr>
            <w:tcW w:w="2830" w:type="dxa"/>
            <w:gridSpan w:val="2"/>
            <w:tcBorders>
              <w:top w:val="nil"/>
              <w:left w:val="nil"/>
              <w:bottom w:val="nil"/>
              <w:right w:val="nil"/>
            </w:tcBorders>
            <w:hideMark/>
          </w:tcPr>
          <w:p w14:paraId="3E8C8807" w14:textId="77777777" w:rsidR="00053D70" w:rsidRPr="00B818D9" w:rsidRDefault="00053D70" w:rsidP="00053D70">
            <w:pPr>
              <w:spacing w:line="360" w:lineRule="auto"/>
              <w:jc w:val="both"/>
              <w:rPr>
                <w:rFonts w:ascii="Times New Roman" w:hAnsi="Times New Roman" w:cs="Times New Roman"/>
                <w:b/>
                <w:bCs/>
                <w:noProof w:val="0"/>
                <w:color w:val="000000" w:themeColor="text1"/>
                <w:sz w:val="24"/>
                <w:szCs w:val="24"/>
              </w:rPr>
            </w:pPr>
            <w:r w:rsidRPr="00B818D9">
              <w:rPr>
                <w:rFonts w:ascii="Times New Roman" w:hAnsi="Times New Roman" w:cs="Times New Roman"/>
                <w:b/>
                <w:bCs/>
                <w:noProof w:val="0"/>
                <w:color w:val="000000" w:themeColor="text1"/>
                <w:sz w:val="24"/>
                <w:szCs w:val="24"/>
              </w:rPr>
              <w:t>Parents’ marital status</w:t>
            </w:r>
          </w:p>
        </w:tc>
        <w:tc>
          <w:tcPr>
            <w:tcW w:w="1139" w:type="dxa"/>
            <w:tcBorders>
              <w:top w:val="nil"/>
              <w:left w:val="nil"/>
              <w:bottom w:val="nil"/>
              <w:right w:val="nil"/>
            </w:tcBorders>
            <w:tcMar>
              <w:top w:w="75" w:type="dxa"/>
              <w:left w:w="75" w:type="dxa"/>
              <w:bottom w:w="0" w:type="dxa"/>
              <w:right w:w="75" w:type="dxa"/>
            </w:tcMar>
            <w:vAlign w:val="center"/>
          </w:tcPr>
          <w:p w14:paraId="304B3FB3"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p w14:paraId="51D7709F"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864" w:type="dxa"/>
            <w:tcBorders>
              <w:top w:val="nil"/>
              <w:left w:val="nil"/>
              <w:bottom w:val="nil"/>
              <w:right w:val="nil"/>
            </w:tcBorders>
            <w:tcMar>
              <w:top w:w="75" w:type="dxa"/>
              <w:left w:w="75" w:type="dxa"/>
              <w:bottom w:w="0" w:type="dxa"/>
              <w:right w:w="75" w:type="dxa"/>
            </w:tcMar>
            <w:vAlign w:val="center"/>
          </w:tcPr>
          <w:p w14:paraId="51085F40" w14:textId="0A94A681" w:rsidR="00053D70" w:rsidRPr="00B818D9" w:rsidRDefault="008565B7"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N</w:t>
            </w:r>
          </w:p>
          <w:p w14:paraId="493AEBC6"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732" w:type="dxa"/>
            <w:tcBorders>
              <w:top w:val="nil"/>
              <w:left w:val="nil"/>
              <w:bottom w:val="nil"/>
              <w:right w:val="nil"/>
            </w:tcBorders>
            <w:tcMar>
              <w:top w:w="75" w:type="dxa"/>
              <w:left w:w="75" w:type="dxa"/>
              <w:bottom w:w="0" w:type="dxa"/>
              <w:right w:w="75" w:type="dxa"/>
            </w:tcMar>
            <w:vAlign w:val="center"/>
          </w:tcPr>
          <w:p w14:paraId="7473D661"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w:t>
            </w:r>
          </w:p>
          <w:p w14:paraId="1AF44412"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726" w:type="dxa"/>
            <w:tcBorders>
              <w:top w:val="nil"/>
              <w:left w:val="nil"/>
              <w:bottom w:val="nil"/>
              <w:right w:val="nil"/>
            </w:tcBorders>
            <w:vAlign w:val="center"/>
          </w:tcPr>
          <w:p w14:paraId="27E431B2"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n</w:t>
            </w:r>
          </w:p>
          <w:p w14:paraId="78533441"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869" w:type="dxa"/>
            <w:tcBorders>
              <w:top w:val="nil"/>
              <w:left w:val="nil"/>
              <w:bottom w:val="nil"/>
              <w:right w:val="nil"/>
            </w:tcBorders>
            <w:tcMar>
              <w:top w:w="75" w:type="dxa"/>
              <w:left w:w="75" w:type="dxa"/>
              <w:bottom w:w="0" w:type="dxa"/>
              <w:right w:w="75" w:type="dxa"/>
            </w:tcMar>
            <w:vAlign w:val="center"/>
          </w:tcPr>
          <w:p w14:paraId="2B08A377"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w:t>
            </w:r>
          </w:p>
          <w:p w14:paraId="0573DDD5"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2330" w:type="dxa"/>
            <w:tcBorders>
              <w:top w:val="nil"/>
              <w:left w:val="nil"/>
              <w:bottom w:val="nil"/>
              <w:right w:val="nil"/>
            </w:tcBorders>
            <w:tcMar>
              <w:top w:w="75" w:type="dxa"/>
              <w:left w:w="75" w:type="dxa"/>
              <w:bottom w:w="0" w:type="dxa"/>
              <w:right w:w="75" w:type="dxa"/>
            </w:tcMar>
            <w:vAlign w:val="center"/>
          </w:tcPr>
          <w:p w14:paraId="4911E070"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OR</w:t>
            </w:r>
            <w:r w:rsidRPr="00B818D9">
              <w:rPr>
                <w:rFonts w:ascii="Times New Roman" w:eastAsia="Times New Roman" w:hAnsi="Times New Roman" w:cs="Times New Roman"/>
                <w:b/>
                <w:bCs/>
                <w:noProof w:val="0"/>
                <w:color w:val="000000" w:themeColor="text1"/>
                <w:sz w:val="24"/>
                <w:szCs w:val="24"/>
                <w:vertAlign w:val="subscript"/>
                <w:lang w:eastAsia="fr-FR"/>
              </w:rPr>
              <w:t>C</w:t>
            </w:r>
            <w:r w:rsidRPr="00B818D9">
              <w:rPr>
                <w:rFonts w:ascii="Times New Roman" w:eastAsia="Times New Roman" w:hAnsi="Times New Roman" w:cs="Times New Roman"/>
                <w:b/>
                <w:bCs/>
                <w:noProof w:val="0"/>
                <w:color w:val="000000" w:themeColor="text1"/>
                <w:sz w:val="24"/>
                <w:szCs w:val="24"/>
                <w:lang w:eastAsia="fr-FR"/>
              </w:rPr>
              <w:t xml:space="preserve"> (95% IC)</w:t>
            </w:r>
          </w:p>
          <w:p w14:paraId="4DDBFB08"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c>
          <w:tcPr>
            <w:tcW w:w="1468" w:type="dxa"/>
            <w:tcBorders>
              <w:top w:val="nil"/>
              <w:left w:val="nil"/>
              <w:bottom w:val="nil"/>
              <w:right w:val="nil"/>
            </w:tcBorders>
            <w:tcMar>
              <w:top w:w="75" w:type="dxa"/>
              <w:left w:w="75" w:type="dxa"/>
              <w:bottom w:w="0" w:type="dxa"/>
              <w:right w:w="75" w:type="dxa"/>
            </w:tcMar>
            <w:vAlign w:val="center"/>
          </w:tcPr>
          <w:p w14:paraId="0B3A53A7"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r w:rsidRPr="00B818D9">
              <w:rPr>
                <w:rFonts w:ascii="Times New Roman" w:eastAsia="Times New Roman" w:hAnsi="Times New Roman" w:cs="Times New Roman"/>
                <w:b/>
                <w:bCs/>
                <w:noProof w:val="0"/>
                <w:color w:val="000000" w:themeColor="text1"/>
                <w:sz w:val="24"/>
                <w:szCs w:val="24"/>
                <w:lang w:eastAsia="fr-FR"/>
              </w:rPr>
              <w:t>P</w:t>
            </w:r>
          </w:p>
          <w:p w14:paraId="57A7D6CD" w14:textId="77777777" w:rsidR="00053D70" w:rsidRPr="00B818D9" w:rsidRDefault="00053D70" w:rsidP="00053D70">
            <w:pPr>
              <w:spacing w:after="0" w:line="360" w:lineRule="auto"/>
              <w:jc w:val="both"/>
              <w:rPr>
                <w:rFonts w:ascii="Times New Roman" w:eastAsia="Times New Roman" w:hAnsi="Times New Roman" w:cs="Times New Roman"/>
                <w:b/>
                <w:bCs/>
                <w:noProof w:val="0"/>
                <w:color w:val="000000" w:themeColor="text1"/>
                <w:sz w:val="24"/>
                <w:szCs w:val="24"/>
                <w:lang w:eastAsia="fr-FR"/>
              </w:rPr>
            </w:pPr>
          </w:p>
        </w:tc>
      </w:tr>
      <w:tr w:rsidR="00053D70" w:rsidRPr="00B818D9" w14:paraId="5CAB76EA" w14:textId="77777777" w:rsidTr="00F44D36">
        <w:trPr>
          <w:trHeight w:hRule="exact" w:val="385"/>
        </w:trPr>
        <w:tc>
          <w:tcPr>
            <w:tcW w:w="647" w:type="dxa"/>
            <w:tcBorders>
              <w:top w:val="nil"/>
              <w:left w:val="nil"/>
              <w:bottom w:val="nil"/>
              <w:right w:val="nil"/>
            </w:tcBorders>
            <w:vAlign w:val="center"/>
          </w:tcPr>
          <w:p w14:paraId="5B828F03" w14:textId="77777777" w:rsidR="00053D70" w:rsidRPr="00B818D9" w:rsidRDefault="00053D70" w:rsidP="00053D70">
            <w:pPr>
              <w:spacing w:line="360" w:lineRule="auto"/>
              <w:jc w:val="both"/>
              <w:rPr>
                <w:rFonts w:ascii="Times New Roman" w:eastAsia="Times New Roman" w:hAnsi="Times New Roman" w:cs="Times New Roman"/>
                <w:b/>
                <w:bCs/>
                <w:noProof w:val="0"/>
                <w:color w:val="000000" w:themeColor="text1"/>
                <w:kern w:val="2"/>
                <w:sz w:val="24"/>
                <w:szCs w:val="24"/>
                <w:lang w:eastAsia="fr-FR"/>
                <w14:ligatures w14:val="standardContextual"/>
              </w:rPr>
            </w:pPr>
            <w:r w:rsidRPr="00B818D9">
              <w:rPr>
                <w:rFonts w:ascii="Times New Roman" w:hAnsi="Times New Roman" w:cs="Times New Roman"/>
                <w:noProof w:val="0"/>
                <w:color w:val="000000" w:themeColor="text1"/>
                <w:kern w:val="2"/>
                <w:sz w:val="24"/>
                <w:szCs w:val="24"/>
                <w14:ligatures w14:val="standardContextual"/>
              </w:rPr>
              <w:t xml:space="preserve">  Célibataires</w:t>
            </w:r>
          </w:p>
        </w:tc>
        <w:tc>
          <w:tcPr>
            <w:tcW w:w="2183" w:type="dxa"/>
            <w:tcBorders>
              <w:top w:val="nil"/>
              <w:left w:val="nil"/>
              <w:bottom w:val="nil"/>
              <w:right w:val="nil"/>
            </w:tcBorders>
            <w:tcMar>
              <w:top w:w="75" w:type="dxa"/>
              <w:left w:w="75" w:type="dxa"/>
              <w:bottom w:w="0" w:type="dxa"/>
              <w:right w:w="75" w:type="dxa"/>
            </w:tcMar>
            <w:vAlign w:val="center"/>
            <w:hideMark/>
          </w:tcPr>
          <w:p w14:paraId="3AB54D57" w14:textId="77777777" w:rsidR="00053D70" w:rsidRPr="00B818D9" w:rsidRDefault="00053D70" w:rsidP="00053D70">
            <w:pPr>
              <w:spacing w:line="360" w:lineRule="auto"/>
              <w:jc w:val="both"/>
              <w:rPr>
                <w:rFonts w:ascii="Times New Roman" w:eastAsia="Times New Roman" w:hAnsi="Times New Roman" w:cs="Times New Roman"/>
                <w:b/>
                <w:bCs/>
                <w:noProof w:val="0"/>
                <w:color w:val="000000" w:themeColor="text1"/>
                <w:kern w:val="2"/>
                <w:sz w:val="24"/>
                <w:szCs w:val="24"/>
                <w:lang w:eastAsia="fr-FR"/>
                <w14:ligatures w14:val="standardContextual"/>
              </w:rPr>
            </w:pPr>
            <w:r w:rsidRPr="00B818D9">
              <w:rPr>
                <w:rFonts w:ascii="Times New Roman" w:hAnsi="Times New Roman" w:cs="Times New Roman"/>
                <w:noProof w:val="0"/>
                <w:color w:val="000000" w:themeColor="text1"/>
                <w:kern w:val="2"/>
                <w:sz w:val="24"/>
                <w:szCs w:val="24"/>
                <w14:ligatures w14:val="standardContextual"/>
              </w:rPr>
              <w:t xml:space="preserve">  Single</w:t>
            </w:r>
          </w:p>
        </w:tc>
        <w:tc>
          <w:tcPr>
            <w:tcW w:w="1139" w:type="dxa"/>
            <w:tcBorders>
              <w:top w:val="nil"/>
              <w:left w:val="nil"/>
              <w:bottom w:val="nil"/>
              <w:right w:val="nil"/>
            </w:tcBorders>
            <w:tcMar>
              <w:top w:w="75" w:type="dxa"/>
              <w:left w:w="75" w:type="dxa"/>
              <w:bottom w:w="0" w:type="dxa"/>
              <w:right w:w="75" w:type="dxa"/>
            </w:tcMar>
            <w:vAlign w:val="center"/>
          </w:tcPr>
          <w:p w14:paraId="5864E7FB"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32</w:t>
            </w:r>
          </w:p>
        </w:tc>
        <w:tc>
          <w:tcPr>
            <w:tcW w:w="864" w:type="dxa"/>
            <w:tcBorders>
              <w:top w:val="nil"/>
              <w:left w:val="nil"/>
              <w:bottom w:val="nil"/>
              <w:right w:val="nil"/>
            </w:tcBorders>
            <w:tcMar>
              <w:top w:w="75" w:type="dxa"/>
              <w:left w:w="75" w:type="dxa"/>
              <w:bottom w:w="0" w:type="dxa"/>
              <w:right w:w="75" w:type="dxa"/>
            </w:tcMar>
            <w:vAlign w:val="center"/>
          </w:tcPr>
          <w:p w14:paraId="32247F2C"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14</w:t>
            </w:r>
          </w:p>
        </w:tc>
        <w:tc>
          <w:tcPr>
            <w:tcW w:w="732" w:type="dxa"/>
            <w:tcBorders>
              <w:top w:val="nil"/>
              <w:left w:val="nil"/>
              <w:bottom w:val="nil"/>
              <w:right w:val="nil"/>
            </w:tcBorders>
            <w:tcMar>
              <w:top w:w="75" w:type="dxa"/>
              <w:left w:w="75" w:type="dxa"/>
              <w:bottom w:w="0" w:type="dxa"/>
              <w:right w:w="75" w:type="dxa"/>
            </w:tcMar>
            <w:vAlign w:val="center"/>
          </w:tcPr>
          <w:p w14:paraId="3D2F7F8B"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43,75</w:t>
            </w:r>
          </w:p>
        </w:tc>
        <w:tc>
          <w:tcPr>
            <w:tcW w:w="726" w:type="dxa"/>
            <w:tcBorders>
              <w:top w:val="nil"/>
              <w:left w:val="nil"/>
              <w:bottom w:val="nil"/>
              <w:right w:val="nil"/>
            </w:tcBorders>
            <w:vAlign w:val="center"/>
          </w:tcPr>
          <w:p w14:paraId="623CD90D"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18</w:t>
            </w:r>
          </w:p>
        </w:tc>
        <w:tc>
          <w:tcPr>
            <w:tcW w:w="869" w:type="dxa"/>
            <w:tcBorders>
              <w:top w:val="nil"/>
              <w:left w:val="nil"/>
              <w:bottom w:val="nil"/>
              <w:right w:val="nil"/>
            </w:tcBorders>
            <w:tcMar>
              <w:top w:w="75" w:type="dxa"/>
              <w:left w:w="75" w:type="dxa"/>
              <w:bottom w:w="0" w:type="dxa"/>
              <w:right w:w="75" w:type="dxa"/>
            </w:tcMar>
            <w:vAlign w:val="center"/>
          </w:tcPr>
          <w:p w14:paraId="535FB498" w14:textId="77777777" w:rsidR="00053D70" w:rsidRPr="00B818D9" w:rsidRDefault="00053D70" w:rsidP="00053D70">
            <w:pPr>
              <w:spacing w:after="0" w:line="360" w:lineRule="auto"/>
              <w:jc w:val="both"/>
              <w:rPr>
                <w:rFonts w:ascii="Times New Roman" w:eastAsia="Times New Roman" w:hAnsi="Times New Roman" w:cs="Times New Roman"/>
                <w:bCs/>
                <w:noProof w:val="0"/>
                <w:color w:val="000000" w:themeColor="text1"/>
                <w:sz w:val="24"/>
                <w:szCs w:val="24"/>
                <w:lang w:eastAsia="fr-FR"/>
              </w:rPr>
            </w:pPr>
            <w:r w:rsidRPr="00B818D9">
              <w:rPr>
                <w:rFonts w:ascii="Times New Roman" w:eastAsia="Times New Roman" w:hAnsi="Times New Roman" w:cs="Times New Roman"/>
                <w:bCs/>
                <w:noProof w:val="0"/>
                <w:color w:val="000000" w:themeColor="text1"/>
                <w:sz w:val="24"/>
                <w:szCs w:val="24"/>
                <w:lang w:eastAsia="fr-FR"/>
              </w:rPr>
              <w:t>56,25</w:t>
            </w:r>
          </w:p>
        </w:tc>
        <w:tc>
          <w:tcPr>
            <w:tcW w:w="2330" w:type="dxa"/>
            <w:tcBorders>
              <w:top w:val="nil"/>
              <w:left w:val="nil"/>
              <w:bottom w:val="nil"/>
              <w:right w:val="nil"/>
            </w:tcBorders>
            <w:tcMar>
              <w:top w:w="75" w:type="dxa"/>
              <w:left w:w="75" w:type="dxa"/>
              <w:bottom w:w="0" w:type="dxa"/>
              <w:right w:w="75" w:type="dxa"/>
            </w:tcMar>
            <w:vAlign w:val="center"/>
          </w:tcPr>
          <w:p w14:paraId="19A00223" w14:textId="77777777" w:rsidR="00053D70" w:rsidRPr="00B818D9" w:rsidRDefault="00053D70" w:rsidP="00053D70">
            <w:pPr>
              <w:spacing w:after="0" w:line="360" w:lineRule="auto"/>
              <w:jc w:val="both"/>
              <w:rPr>
                <w:rFonts w:ascii="Times New Roman" w:eastAsia="Times New Roman" w:hAnsi="Times New Roman" w:cs="Times New Roman"/>
                <w:b/>
                <w:noProof w:val="0"/>
                <w:color w:val="000000" w:themeColor="text1"/>
                <w:sz w:val="24"/>
                <w:szCs w:val="24"/>
                <w:lang w:eastAsia="fr-FR"/>
              </w:rPr>
            </w:pPr>
            <w:r w:rsidRPr="00B818D9">
              <w:rPr>
                <w:rFonts w:ascii="Times New Roman" w:eastAsia="Times New Roman" w:hAnsi="Times New Roman" w:cs="Times New Roman"/>
                <w:b/>
                <w:noProof w:val="0"/>
                <w:color w:val="000000" w:themeColor="text1"/>
                <w:sz w:val="24"/>
                <w:szCs w:val="24"/>
                <w:lang w:eastAsia="fr-FR"/>
              </w:rPr>
              <w:t>1,37(0,61 ; 3,06)</w:t>
            </w:r>
          </w:p>
        </w:tc>
        <w:tc>
          <w:tcPr>
            <w:tcW w:w="1468" w:type="dxa"/>
            <w:tcBorders>
              <w:top w:val="nil"/>
              <w:left w:val="nil"/>
              <w:bottom w:val="nil"/>
              <w:right w:val="nil"/>
            </w:tcBorders>
            <w:tcMar>
              <w:top w:w="75" w:type="dxa"/>
              <w:left w:w="75" w:type="dxa"/>
              <w:bottom w:w="0" w:type="dxa"/>
              <w:right w:w="75" w:type="dxa"/>
            </w:tcMar>
            <w:vAlign w:val="center"/>
          </w:tcPr>
          <w:p w14:paraId="2A7EC72B" w14:textId="77777777" w:rsidR="00053D70" w:rsidRPr="00B818D9" w:rsidRDefault="00053D70" w:rsidP="00053D70">
            <w:pPr>
              <w:spacing w:after="0" w:line="360" w:lineRule="auto"/>
              <w:jc w:val="both"/>
              <w:rPr>
                <w:rFonts w:ascii="Times New Roman" w:eastAsia="Times New Roman" w:hAnsi="Times New Roman" w:cs="Times New Roman"/>
                <w:b/>
                <w:noProof w:val="0"/>
                <w:color w:val="000000" w:themeColor="text1"/>
                <w:sz w:val="24"/>
                <w:szCs w:val="24"/>
                <w:lang w:eastAsia="fr-FR"/>
              </w:rPr>
            </w:pPr>
            <w:r w:rsidRPr="00B818D9">
              <w:rPr>
                <w:rFonts w:ascii="Times New Roman" w:eastAsia="Times New Roman" w:hAnsi="Times New Roman" w:cs="Times New Roman"/>
                <w:b/>
                <w:noProof w:val="0"/>
                <w:color w:val="000000" w:themeColor="text1"/>
                <w:sz w:val="24"/>
                <w:szCs w:val="24"/>
                <w:lang w:eastAsia="fr-FR"/>
              </w:rPr>
              <w:t>0,44</w:t>
            </w:r>
          </w:p>
        </w:tc>
      </w:tr>
      <w:tr w:rsidR="00053D70" w:rsidRPr="00B818D9" w14:paraId="728963CD" w14:textId="77777777" w:rsidTr="00F44D36">
        <w:trPr>
          <w:trHeight w:hRule="exact" w:val="385"/>
        </w:trPr>
        <w:tc>
          <w:tcPr>
            <w:tcW w:w="647" w:type="dxa"/>
            <w:tcBorders>
              <w:top w:val="nil"/>
              <w:left w:val="nil"/>
              <w:bottom w:val="nil"/>
              <w:right w:val="nil"/>
            </w:tcBorders>
            <w:vAlign w:val="center"/>
          </w:tcPr>
          <w:p w14:paraId="38FDD4FC" w14:textId="77777777" w:rsidR="00053D70" w:rsidRPr="00B818D9" w:rsidRDefault="00053D70" w:rsidP="00053D70">
            <w:pPr>
              <w:spacing w:line="360" w:lineRule="auto"/>
              <w:jc w:val="both"/>
              <w:rPr>
                <w:rFonts w:ascii="Times New Roman" w:eastAsia="Times New Roman" w:hAnsi="Times New Roman" w:cs="Times New Roman"/>
                <w:b/>
                <w:bCs/>
                <w:noProof w:val="0"/>
                <w:color w:val="000000" w:themeColor="text1"/>
                <w:kern w:val="2"/>
                <w:sz w:val="24"/>
                <w:szCs w:val="24"/>
                <w:lang w:eastAsia="fr-FR"/>
                <w14:ligatures w14:val="standardContextual"/>
              </w:rPr>
            </w:pPr>
            <w:r w:rsidRPr="00B818D9">
              <w:rPr>
                <w:rFonts w:ascii="Times New Roman" w:hAnsi="Times New Roman" w:cs="Times New Roman"/>
                <w:noProof w:val="0"/>
                <w:color w:val="000000" w:themeColor="text1"/>
                <w:kern w:val="2"/>
                <w:sz w:val="24"/>
                <w:szCs w:val="24"/>
                <w14:ligatures w14:val="standardContextual"/>
              </w:rPr>
              <w:t xml:space="preserve">  Concubinages</w:t>
            </w:r>
          </w:p>
        </w:tc>
        <w:tc>
          <w:tcPr>
            <w:tcW w:w="2183" w:type="dxa"/>
            <w:tcBorders>
              <w:top w:val="nil"/>
              <w:left w:val="nil"/>
              <w:bottom w:val="nil"/>
              <w:right w:val="nil"/>
            </w:tcBorders>
            <w:tcMar>
              <w:top w:w="75" w:type="dxa"/>
              <w:left w:w="75" w:type="dxa"/>
              <w:bottom w:w="0" w:type="dxa"/>
              <w:right w:w="75" w:type="dxa"/>
            </w:tcMar>
            <w:vAlign w:val="center"/>
          </w:tcPr>
          <w:p w14:paraId="7CE0A98D" w14:textId="77777777" w:rsidR="00053D70" w:rsidRPr="00B818D9" w:rsidRDefault="00053D70" w:rsidP="00053D70">
            <w:pPr>
              <w:spacing w:line="360" w:lineRule="auto"/>
              <w:jc w:val="both"/>
              <w:rPr>
                <w:rFonts w:ascii="Times New Roman" w:eastAsia="Times New Roman" w:hAnsi="Times New Roman" w:cs="Times New Roman"/>
                <w:b/>
                <w:bCs/>
                <w:noProof w:val="0"/>
                <w:color w:val="000000" w:themeColor="text1"/>
                <w:kern w:val="2"/>
                <w:sz w:val="24"/>
                <w:szCs w:val="24"/>
                <w:lang w:eastAsia="fr-FR"/>
                <w14:ligatures w14:val="standardContextual"/>
              </w:rPr>
            </w:pPr>
            <w:r w:rsidRPr="00B818D9">
              <w:rPr>
                <w:rFonts w:ascii="Times New Roman" w:hAnsi="Times New Roman" w:cs="Times New Roman"/>
                <w:noProof w:val="0"/>
                <w:color w:val="000000" w:themeColor="text1"/>
                <w:kern w:val="2"/>
                <w:sz w:val="24"/>
                <w:szCs w:val="24"/>
                <w14:ligatures w14:val="standardContextual"/>
              </w:rPr>
              <w:t xml:space="preserve">  Cohabitation</w:t>
            </w:r>
          </w:p>
        </w:tc>
        <w:tc>
          <w:tcPr>
            <w:tcW w:w="1139" w:type="dxa"/>
            <w:tcBorders>
              <w:top w:val="nil"/>
              <w:left w:val="nil"/>
              <w:bottom w:val="nil"/>
              <w:right w:val="nil"/>
            </w:tcBorders>
            <w:tcMar>
              <w:top w:w="75" w:type="dxa"/>
              <w:left w:w="75" w:type="dxa"/>
              <w:bottom w:w="0" w:type="dxa"/>
              <w:right w:w="75" w:type="dxa"/>
            </w:tcMar>
            <w:vAlign w:val="center"/>
          </w:tcPr>
          <w:p w14:paraId="51D5768A"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61</w:t>
            </w:r>
          </w:p>
        </w:tc>
        <w:tc>
          <w:tcPr>
            <w:tcW w:w="864" w:type="dxa"/>
            <w:tcBorders>
              <w:top w:val="nil"/>
              <w:left w:val="nil"/>
              <w:bottom w:val="nil"/>
              <w:right w:val="nil"/>
            </w:tcBorders>
            <w:tcMar>
              <w:top w:w="75" w:type="dxa"/>
              <w:left w:w="75" w:type="dxa"/>
              <w:bottom w:w="0" w:type="dxa"/>
              <w:right w:w="75" w:type="dxa"/>
            </w:tcMar>
            <w:vAlign w:val="center"/>
          </w:tcPr>
          <w:p w14:paraId="053170C4"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38</w:t>
            </w:r>
          </w:p>
        </w:tc>
        <w:tc>
          <w:tcPr>
            <w:tcW w:w="732" w:type="dxa"/>
            <w:tcBorders>
              <w:top w:val="nil"/>
              <w:left w:val="nil"/>
              <w:bottom w:val="nil"/>
              <w:right w:val="nil"/>
            </w:tcBorders>
            <w:tcMar>
              <w:top w:w="75" w:type="dxa"/>
              <w:left w:w="75" w:type="dxa"/>
              <w:bottom w:w="0" w:type="dxa"/>
              <w:right w:w="75" w:type="dxa"/>
            </w:tcMar>
            <w:vAlign w:val="center"/>
          </w:tcPr>
          <w:p w14:paraId="54BFC081"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62,30</w:t>
            </w:r>
          </w:p>
        </w:tc>
        <w:tc>
          <w:tcPr>
            <w:tcW w:w="726" w:type="dxa"/>
            <w:tcBorders>
              <w:top w:val="nil"/>
              <w:left w:val="nil"/>
              <w:bottom w:val="nil"/>
              <w:right w:val="nil"/>
            </w:tcBorders>
            <w:vAlign w:val="center"/>
          </w:tcPr>
          <w:p w14:paraId="5B4902A2"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23</w:t>
            </w:r>
          </w:p>
        </w:tc>
        <w:tc>
          <w:tcPr>
            <w:tcW w:w="869" w:type="dxa"/>
            <w:tcBorders>
              <w:top w:val="nil"/>
              <w:left w:val="nil"/>
              <w:bottom w:val="nil"/>
              <w:right w:val="nil"/>
            </w:tcBorders>
            <w:tcMar>
              <w:top w:w="75" w:type="dxa"/>
              <w:left w:w="75" w:type="dxa"/>
              <w:bottom w:w="0" w:type="dxa"/>
              <w:right w:w="75" w:type="dxa"/>
            </w:tcMar>
            <w:vAlign w:val="center"/>
          </w:tcPr>
          <w:p w14:paraId="1AF6DEAA" w14:textId="77777777" w:rsidR="00053D70" w:rsidRPr="00B818D9" w:rsidRDefault="00053D70" w:rsidP="00053D70">
            <w:pPr>
              <w:spacing w:after="0" w:line="360" w:lineRule="auto"/>
              <w:jc w:val="both"/>
              <w:rPr>
                <w:rFonts w:ascii="Times New Roman" w:eastAsia="Times New Roman" w:hAnsi="Times New Roman" w:cs="Times New Roman"/>
                <w:bCs/>
                <w:noProof w:val="0"/>
                <w:color w:val="000000" w:themeColor="text1"/>
                <w:sz w:val="24"/>
                <w:szCs w:val="24"/>
                <w:lang w:eastAsia="fr-FR"/>
              </w:rPr>
            </w:pPr>
            <w:r w:rsidRPr="00B818D9">
              <w:rPr>
                <w:rFonts w:ascii="Times New Roman" w:eastAsia="Times New Roman" w:hAnsi="Times New Roman" w:cs="Times New Roman"/>
                <w:bCs/>
                <w:noProof w:val="0"/>
                <w:color w:val="000000" w:themeColor="text1"/>
                <w:sz w:val="24"/>
                <w:szCs w:val="24"/>
                <w:lang w:eastAsia="fr-FR"/>
              </w:rPr>
              <w:t>37,70</w:t>
            </w:r>
          </w:p>
        </w:tc>
        <w:tc>
          <w:tcPr>
            <w:tcW w:w="2330" w:type="dxa"/>
            <w:tcBorders>
              <w:top w:val="nil"/>
              <w:left w:val="nil"/>
              <w:bottom w:val="nil"/>
              <w:right w:val="nil"/>
            </w:tcBorders>
            <w:tcMar>
              <w:top w:w="75" w:type="dxa"/>
              <w:left w:w="75" w:type="dxa"/>
              <w:bottom w:w="0" w:type="dxa"/>
              <w:right w:w="75" w:type="dxa"/>
            </w:tcMar>
            <w:vAlign w:val="center"/>
          </w:tcPr>
          <w:p w14:paraId="0BC8E31F" w14:textId="77777777" w:rsidR="00053D70" w:rsidRPr="00B818D9" w:rsidRDefault="00053D70" w:rsidP="00053D70">
            <w:pPr>
              <w:spacing w:after="0" w:line="360" w:lineRule="auto"/>
              <w:jc w:val="both"/>
              <w:rPr>
                <w:rFonts w:ascii="Times New Roman" w:eastAsia="Times New Roman" w:hAnsi="Times New Roman" w:cs="Times New Roman"/>
                <w:b/>
                <w:noProof w:val="0"/>
                <w:color w:val="000000" w:themeColor="text1"/>
                <w:sz w:val="24"/>
                <w:szCs w:val="24"/>
                <w:lang w:eastAsia="fr-FR"/>
              </w:rPr>
            </w:pPr>
            <w:r w:rsidRPr="00B818D9">
              <w:rPr>
                <w:rFonts w:ascii="Times New Roman" w:eastAsia="Times New Roman" w:hAnsi="Times New Roman" w:cs="Times New Roman"/>
                <w:b/>
                <w:noProof w:val="0"/>
                <w:color w:val="000000" w:themeColor="text1"/>
                <w:sz w:val="24"/>
                <w:szCs w:val="24"/>
                <w:lang w:eastAsia="fr-FR"/>
              </w:rPr>
              <w:t>2,91(1,51 ; 5,59)</w:t>
            </w:r>
          </w:p>
        </w:tc>
        <w:tc>
          <w:tcPr>
            <w:tcW w:w="1468" w:type="dxa"/>
            <w:tcBorders>
              <w:top w:val="nil"/>
              <w:left w:val="nil"/>
              <w:bottom w:val="nil"/>
              <w:right w:val="nil"/>
            </w:tcBorders>
            <w:tcMar>
              <w:top w:w="75" w:type="dxa"/>
              <w:left w:w="75" w:type="dxa"/>
              <w:bottom w:w="0" w:type="dxa"/>
              <w:right w:w="75" w:type="dxa"/>
            </w:tcMar>
            <w:vAlign w:val="center"/>
          </w:tcPr>
          <w:p w14:paraId="34BDDB0D" w14:textId="77777777" w:rsidR="00053D70" w:rsidRPr="00B818D9" w:rsidRDefault="00053D70" w:rsidP="00053D70">
            <w:pPr>
              <w:spacing w:after="0" w:line="360" w:lineRule="auto"/>
              <w:jc w:val="both"/>
              <w:rPr>
                <w:rFonts w:ascii="Times New Roman" w:eastAsia="Times New Roman" w:hAnsi="Times New Roman" w:cs="Times New Roman"/>
                <w:b/>
                <w:noProof w:val="0"/>
                <w:color w:val="000000" w:themeColor="text1"/>
                <w:sz w:val="24"/>
                <w:szCs w:val="24"/>
                <w:lang w:eastAsia="fr-FR"/>
              </w:rPr>
            </w:pPr>
            <w:r w:rsidRPr="00B818D9">
              <w:rPr>
                <w:rFonts w:ascii="Times New Roman" w:eastAsia="Times New Roman" w:hAnsi="Times New Roman" w:cs="Times New Roman"/>
                <w:b/>
                <w:noProof w:val="0"/>
                <w:color w:val="000000" w:themeColor="text1"/>
                <w:sz w:val="24"/>
                <w:szCs w:val="24"/>
                <w:lang w:eastAsia="fr-FR"/>
              </w:rPr>
              <w:t>0,001</w:t>
            </w:r>
          </w:p>
        </w:tc>
      </w:tr>
      <w:tr w:rsidR="00053D70" w:rsidRPr="00B818D9" w14:paraId="5E73C793" w14:textId="77777777" w:rsidTr="00F44D36">
        <w:trPr>
          <w:trHeight w:hRule="exact" w:val="385"/>
        </w:trPr>
        <w:tc>
          <w:tcPr>
            <w:tcW w:w="647" w:type="dxa"/>
            <w:tcBorders>
              <w:top w:val="nil"/>
              <w:left w:val="nil"/>
              <w:bottom w:val="single" w:sz="4" w:space="0" w:color="auto"/>
              <w:right w:val="nil"/>
            </w:tcBorders>
            <w:vAlign w:val="center"/>
          </w:tcPr>
          <w:p w14:paraId="1BC6A6C3" w14:textId="77777777" w:rsidR="00053D70" w:rsidRPr="00B818D9" w:rsidRDefault="00053D70" w:rsidP="00053D70">
            <w:pPr>
              <w:spacing w:line="360" w:lineRule="auto"/>
              <w:jc w:val="both"/>
              <w:rPr>
                <w:rFonts w:ascii="Times New Roman" w:eastAsia="Times New Roman" w:hAnsi="Times New Roman" w:cs="Times New Roman"/>
                <w:b/>
                <w:bCs/>
                <w:noProof w:val="0"/>
                <w:color w:val="000000" w:themeColor="text1"/>
                <w:kern w:val="2"/>
                <w:sz w:val="24"/>
                <w:szCs w:val="24"/>
                <w:lang w:eastAsia="fr-FR"/>
                <w14:ligatures w14:val="standardContextual"/>
              </w:rPr>
            </w:pPr>
            <w:r w:rsidRPr="00B818D9">
              <w:rPr>
                <w:rFonts w:ascii="Times New Roman" w:hAnsi="Times New Roman" w:cs="Times New Roman"/>
                <w:noProof w:val="0"/>
                <w:color w:val="000000" w:themeColor="text1"/>
                <w:kern w:val="2"/>
                <w:sz w:val="24"/>
                <w:szCs w:val="24"/>
                <w14:ligatures w14:val="standardContextual"/>
              </w:rPr>
              <w:t xml:space="preserve">  Mariés</w:t>
            </w:r>
          </w:p>
        </w:tc>
        <w:tc>
          <w:tcPr>
            <w:tcW w:w="2183" w:type="dxa"/>
            <w:tcBorders>
              <w:top w:val="nil"/>
              <w:left w:val="nil"/>
              <w:bottom w:val="single" w:sz="4" w:space="0" w:color="auto"/>
              <w:right w:val="nil"/>
            </w:tcBorders>
            <w:tcMar>
              <w:top w:w="75" w:type="dxa"/>
              <w:left w:w="75" w:type="dxa"/>
              <w:bottom w:w="0" w:type="dxa"/>
              <w:right w:w="75" w:type="dxa"/>
            </w:tcMar>
            <w:vAlign w:val="center"/>
            <w:hideMark/>
          </w:tcPr>
          <w:p w14:paraId="2EF840E9" w14:textId="77777777" w:rsidR="00053D70" w:rsidRPr="00B818D9" w:rsidRDefault="00053D70" w:rsidP="00053D70">
            <w:pPr>
              <w:spacing w:line="360" w:lineRule="auto"/>
              <w:jc w:val="both"/>
              <w:rPr>
                <w:rFonts w:ascii="Times New Roman" w:eastAsia="Times New Roman" w:hAnsi="Times New Roman" w:cs="Times New Roman"/>
                <w:b/>
                <w:bCs/>
                <w:noProof w:val="0"/>
                <w:color w:val="000000" w:themeColor="text1"/>
                <w:kern w:val="2"/>
                <w:sz w:val="24"/>
                <w:szCs w:val="24"/>
                <w:lang w:eastAsia="fr-FR"/>
                <w14:ligatures w14:val="standardContextual"/>
              </w:rPr>
            </w:pPr>
            <w:r w:rsidRPr="00B818D9">
              <w:rPr>
                <w:rFonts w:ascii="Times New Roman" w:hAnsi="Times New Roman" w:cs="Times New Roman"/>
                <w:noProof w:val="0"/>
                <w:color w:val="000000" w:themeColor="text1"/>
                <w:kern w:val="2"/>
                <w:sz w:val="24"/>
                <w:szCs w:val="24"/>
                <w14:ligatures w14:val="standardContextual"/>
              </w:rPr>
              <w:t xml:space="preserve">  Married</w:t>
            </w:r>
          </w:p>
        </w:tc>
        <w:tc>
          <w:tcPr>
            <w:tcW w:w="1139" w:type="dxa"/>
            <w:tcBorders>
              <w:top w:val="nil"/>
              <w:left w:val="nil"/>
              <w:bottom w:val="single" w:sz="4" w:space="0" w:color="auto"/>
              <w:right w:val="nil"/>
            </w:tcBorders>
            <w:tcMar>
              <w:top w:w="75" w:type="dxa"/>
              <w:left w:w="75" w:type="dxa"/>
              <w:bottom w:w="0" w:type="dxa"/>
              <w:right w:w="75" w:type="dxa"/>
            </w:tcMar>
            <w:vAlign w:val="center"/>
          </w:tcPr>
          <w:p w14:paraId="04DEFBB9" w14:textId="77777777" w:rsidR="00053D70" w:rsidRPr="00B818D9" w:rsidRDefault="00053D70" w:rsidP="00053D70">
            <w:pPr>
              <w:spacing w:line="360" w:lineRule="auto"/>
              <w:jc w:val="both"/>
              <w:rPr>
                <w:rFonts w:ascii="Times New Roman" w:hAnsi="Times New Roman" w:cs="Times New Roman"/>
                <w:noProof w:val="0"/>
                <w:color w:val="000000" w:themeColor="text1"/>
                <w:sz w:val="24"/>
                <w:szCs w:val="24"/>
              </w:rPr>
            </w:pPr>
            <w:r w:rsidRPr="00B818D9">
              <w:rPr>
                <w:rFonts w:ascii="Times New Roman" w:hAnsi="Times New Roman" w:cs="Times New Roman"/>
                <w:noProof w:val="0"/>
                <w:color w:val="000000" w:themeColor="text1"/>
                <w:sz w:val="24"/>
                <w:szCs w:val="24"/>
              </w:rPr>
              <w:t>105</w:t>
            </w:r>
          </w:p>
        </w:tc>
        <w:tc>
          <w:tcPr>
            <w:tcW w:w="864" w:type="dxa"/>
            <w:tcBorders>
              <w:top w:val="nil"/>
              <w:left w:val="nil"/>
              <w:bottom w:val="single" w:sz="4" w:space="0" w:color="auto"/>
              <w:right w:val="nil"/>
            </w:tcBorders>
            <w:tcMar>
              <w:top w:w="75" w:type="dxa"/>
              <w:left w:w="75" w:type="dxa"/>
              <w:bottom w:w="0" w:type="dxa"/>
              <w:right w:w="75" w:type="dxa"/>
            </w:tcMar>
            <w:vAlign w:val="center"/>
          </w:tcPr>
          <w:p w14:paraId="796B89D9"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38</w:t>
            </w:r>
          </w:p>
        </w:tc>
        <w:tc>
          <w:tcPr>
            <w:tcW w:w="732" w:type="dxa"/>
            <w:tcBorders>
              <w:top w:val="nil"/>
              <w:left w:val="nil"/>
              <w:bottom w:val="single" w:sz="4" w:space="0" w:color="auto"/>
              <w:right w:val="nil"/>
            </w:tcBorders>
            <w:tcMar>
              <w:top w:w="75" w:type="dxa"/>
              <w:left w:w="75" w:type="dxa"/>
              <w:bottom w:w="0" w:type="dxa"/>
              <w:right w:w="75" w:type="dxa"/>
            </w:tcMar>
            <w:vAlign w:val="center"/>
          </w:tcPr>
          <w:p w14:paraId="2D943907"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36,19</w:t>
            </w:r>
          </w:p>
        </w:tc>
        <w:tc>
          <w:tcPr>
            <w:tcW w:w="726" w:type="dxa"/>
            <w:tcBorders>
              <w:top w:val="nil"/>
              <w:left w:val="nil"/>
              <w:bottom w:val="single" w:sz="4" w:space="0" w:color="auto"/>
              <w:right w:val="nil"/>
            </w:tcBorders>
            <w:vAlign w:val="center"/>
          </w:tcPr>
          <w:p w14:paraId="2A5C8A4D" w14:textId="77777777" w:rsidR="00053D70" w:rsidRPr="00B818D9" w:rsidRDefault="00053D70" w:rsidP="00053D70">
            <w:pPr>
              <w:spacing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67</w:t>
            </w:r>
          </w:p>
        </w:tc>
        <w:tc>
          <w:tcPr>
            <w:tcW w:w="869" w:type="dxa"/>
            <w:tcBorders>
              <w:top w:val="nil"/>
              <w:left w:val="nil"/>
              <w:bottom w:val="single" w:sz="4" w:space="0" w:color="auto"/>
              <w:right w:val="nil"/>
            </w:tcBorders>
            <w:tcMar>
              <w:top w:w="75" w:type="dxa"/>
              <w:left w:w="75" w:type="dxa"/>
              <w:bottom w:w="0" w:type="dxa"/>
              <w:right w:w="75" w:type="dxa"/>
            </w:tcMar>
            <w:vAlign w:val="center"/>
          </w:tcPr>
          <w:p w14:paraId="3B326DC3" w14:textId="77777777" w:rsidR="00053D70" w:rsidRPr="00B818D9" w:rsidRDefault="00053D70" w:rsidP="00053D70">
            <w:pPr>
              <w:spacing w:after="0" w:line="360" w:lineRule="auto"/>
              <w:jc w:val="both"/>
              <w:rPr>
                <w:rFonts w:ascii="Times New Roman" w:eastAsia="Times New Roman" w:hAnsi="Times New Roman" w:cs="Times New Roman"/>
                <w:noProof w:val="0"/>
                <w:color w:val="000000" w:themeColor="text1"/>
                <w:sz w:val="24"/>
                <w:szCs w:val="24"/>
                <w:lang w:eastAsia="fr-FR"/>
              </w:rPr>
            </w:pPr>
            <w:r w:rsidRPr="00B818D9">
              <w:rPr>
                <w:rFonts w:ascii="Times New Roman" w:eastAsia="Times New Roman" w:hAnsi="Times New Roman" w:cs="Times New Roman"/>
                <w:noProof w:val="0"/>
                <w:color w:val="000000" w:themeColor="text1"/>
                <w:sz w:val="24"/>
                <w:szCs w:val="24"/>
                <w:lang w:eastAsia="fr-FR"/>
              </w:rPr>
              <w:t>63,81</w:t>
            </w:r>
          </w:p>
        </w:tc>
        <w:tc>
          <w:tcPr>
            <w:tcW w:w="2330" w:type="dxa"/>
            <w:tcBorders>
              <w:top w:val="nil"/>
              <w:left w:val="nil"/>
              <w:bottom w:val="single" w:sz="4" w:space="0" w:color="auto"/>
              <w:right w:val="nil"/>
            </w:tcBorders>
            <w:tcMar>
              <w:top w:w="75" w:type="dxa"/>
              <w:left w:w="75" w:type="dxa"/>
              <w:bottom w:w="0" w:type="dxa"/>
              <w:right w:w="75" w:type="dxa"/>
            </w:tcMar>
            <w:vAlign w:val="center"/>
          </w:tcPr>
          <w:p w14:paraId="18A997C0" w14:textId="77777777" w:rsidR="00053D70" w:rsidRPr="00B818D9" w:rsidRDefault="00053D70" w:rsidP="00053D70">
            <w:pPr>
              <w:spacing w:after="0" w:line="360" w:lineRule="auto"/>
              <w:jc w:val="both"/>
              <w:rPr>
                <w:rFonts w:ascii="Times New Roman" w:eastAsia="Times New Roman" w:hAnsi="Times New Roman" w:cs="Times New Roman"/>
                <w:b/>
                <w:noProof w:val="0"/>
                <w:color w:val="000000" w:themeColor="text1"/>
                <w:sz w:val="24"/>
                <w:szCs w:val="24"/>
                <w:lang w:eastAsia="fr-FR"/>
              </w:rPr>
            </w:pPr>
            <w:r w:rsidRPr="00B818D9">
              <w:rPr>
                <w:rFonts w:ascii="Times New Roman" w:eastAsia="Times New Roman" w:hAnsi="Times New Roman" w:cs="Times New Roman"/>
                <w:b/>
                <w:noProof w:val="0"/>
                <w:color w:val="000000" w:themeColor="text1"/>
                <w:sz w:val="24"/>
                <w:szCs w:val="24"/>
                <w:lang w:eastAsia="fr-FR"/>
              </w:rPr>
              <w:t>1</w:t>
            </w:r>
          </w:p>
        </w:tc>
        <w:tc>
          <w:tcPr>
            <w:tcW w:w="1468" w:type="dxa"/>
            <w:tcBorders>
              <w:top w:val="nil"/>
              <w:left w:val="nil"/>
              <w:bottom w:val="single" w:sz="4" w:space="0" w:color="auto"/>
              <w:right w:val="nil"/>
            </w:tcBorders>
            <w:tcMar>
              <w:top w:w="75" w:type="dxa"/>
              <w:left w:w="75" w:type="dxa"/>
              <w:bottom w:w="0" w:type="dxa"/>
              <w:right w:w="75" w:type="dxa"/>
            </w:tcMar>
            <w:vAlign w:val="center"/>
          </w:tcPr>
          <w:p w14:paraId="3D2F6649" w14:textId="77777777" w:rsidR="00053D70" w:rsidRPr="00B818D9" w:rsidRDefault="00053D70" w:rsidP="00053D70">
            <w:pPr>
              <w:spacing w:after="0" w:line="360" w:lineRule="auto"/>
              <w:jc w:val="both"/>
              <w:rPr>
                <w:rFonts w:ascii="Times New Roman" w:eastAsia="Times New Roman" w:hAnsi="Times New Roman" w:cs="Times New Roman"/>
                <w:b/>
                <w:noProof w:val="0"/>
                <w:color w:val="000000" w:themeColor="text1"/>
                <w:sz w:val="24"/>
                <w:szCs w:val="24"/>
                <w:lang w:eastAsia="fr-FR"/>
              </w:rPr>
            </w:pPr>
          </w:p>
        </w:tc>
      </w:tr>
    </w:tbl>
    <w:p w14:paraId="2E4D40EB" w14:textId="6255F276" w:rsidR="00072F4A" w:rsidRPr="00B818D9" w:rsidRDefault="00072F4A" w:rsidP="00B818D9">
      <w:pPr>
        <w:pStyle w:val="NormalWeb"/>
        <w:spacing w:line="360" w:lineRule="auto"/>
        <w:jc w:val="both"/>
        <w:rPr>
          <w:b/>
          <w:bCs/>
        </w:rPr>
      </w:pPr>
      <w:r w:rsidRPr="00B818D9">
        <w:rPr>
          <w:b/>
          <w:bCs/>
        </w:rPr>
        <w:t>Table VIII</w:t>
      </w:r>
      <w:r w:rsidR="00511501" w:rsidRPr="00B818D9">
        <w:rPr>
          <w:b/>
          <w:bCs/>
        </w:rPr>
        <w:t xml:space="preserve">. </w:t>
      </w:r>
      <w:r w:rsidR="00511501" w:rsidRPr="00887324">
        <w:t>Risk factors indepen</w:t>
      </w:r>
      <w:r w:rsidR="005B1227" w:rsidRPr="00887324">
        <w:t>dently associated with HPV carriage</w:t>
      </w:r>
    </w:p>
    <w:p w14:paraId="0BB009F1" w14:textId="77777777" w:rsidR="005B1227" w:rsidRPr="00B818D9" w:rsidRDefault="005B1227" w:rsidP="00B818D9">
      <w:pPr>
        <w:pStyle w:val="NormalWeb"/>
        <w:spacing w:line="360" w:lineRule="auto"/>
        <w:jc w:val="both"/>
        <w:rPr>
          <w:b/>
          <w:bCs/>
        </w:rPr>
      </w:pPr>
    </w:p>
    <w:p w14:paraId="205BEF74" w14:textId="77777777" w:rsidR="005B1227" w:rsidRPr="00B818D9" w:rsidRDefault="005B1227" w:rsidP="00B818D9">
      <w:pPr>
        <w:pStyle w:val="NormalWeb"/>
        <w:spacing w:line="360" w:lineRule="auto"/>
        <w:jc w:val="both"/>
        <w:rPr>
          <w:b/>
          <w:bCs/>
        </w:rPr>
      </w:pPr>
    </w:p>
    <w:p w14:paraId="077DE84B" w14:textId="77777777" w:rsidR="005B1227" w:rsidRPr="00B818D9" w:rsidRDefault="005B1227" w:rsidP="00B818D9">
      <w:pPr>
        <w:pStyle w:val="NormalWeb"/>
        <w:spacing w:line="360" w:lineRule="auto"/>
        <w:jc w:val="both"/>
        <w:rPr>
          <w:b/>
          <w:bCs/>
        </w:rPr>
      </w:pPr>
    </w:p>
    <w:p w14:paraId="62ED186B" w14:textId="410B8413" w:rsidR="00072F4A" w:rsidRPr="00B818D9" w:rsidRDefault="00072F4A" w:rsidP="00B818D9">
      <w:pPr>
        <w:pStyle w:val="NormalWeb"/>
        <w:numPr>
          <w:ilvl w:val="0"/>
          <w:numId w:val="1"/>
        </w:numPr>
        <w:spacing w:line="360" w:lineRule="auto"/>
        <w:jc w:val="both"/>
        <w:rPr>
          <w:b/>
          <w:bCs/>
        </w:rPr>
      </w:pPr>
      <w:r w:rsidRPr="00B818D9">
        <w:rPr>
          <w:b/>
          <w:bCs/>
        </w:rPr>
        <w:t>Discussion</w:t>
      </w:r>
    </w:p>
    <w:p w14:paraId="3CCEA354" w14:textId="6B1150CA" w:rsidR="00072F4A" w:rsidRPr="00B818D9" w:rsidRDefault="00072F4A" w:rsidP="00B818D9">
      <w:pPr>
        <w:pStyle w:val="NormalWeb"/>
        <w:spacing w:line="360" w:lineRule="auto"/>
        <w:jc w:val="both"/>
      </w:pPr>
      <w:r w:rsidRPr="00B818D9">
        <w:t xml:space="preserve">Papillomavirus infection, the main cause of cervical cancer, remains the most common sexually transmitted infection among young women [6,12]. In the Republic of Congo, the few data available on HPV and STIs are not very varied, while the persistence of this infection is sometimes due to the presence of other STIs that disrupt the clearance of this HPV infection. The literature reports that </w:t>
      </w:r>
      <w:r w:rsidR="006234B4" w:rsidRPr="00113791">
        <w:rPr>
          <w:highlight w:val="yellow"/>
        </w:rPr>
        <w:t>young women</w:t>
      </w:r>
      <w:r w:rsidRPr="00113791">
        <w:rPr>
          <w:highlight w:val="yellow"/>
        </w:rPr>
        <w:t xml:space="preserve"> and adolescents</w:t>
      </w:r>
      <w:r w:rsidRPr="00B818D9">
        <w:t xml:space="preserve"> are more exposed to STIs between the ages of 15 and 30, and that HPV is predominant in this age group [13,14]. Knowing the pathogenic power of HPV and its consequences in the occurrence of UCC, a consequence sometimes due to exposure to STIs as a cofactor of persistence, we were willing to carry out this study to establish the links of co-infection between HPV and STIs, including chlamydia, herpes, condyloma and mycosis. The present study was conducted in a population of sexually active young female high school students in the cities of Brazzaville and Pointe-Noire, Republic of Congo, over a period from December 07, 2019 to September 20, 2021. The objective was to determine the prevalence of STI history and susceptibility during HPV infection in a population of sexually active young females.</w:t>
      </w:r>
    </w:p>
    <w:p w14:paraId="21AFF533" w14:textId="77777777" w:rsidR="00072F4A" w:rsidRPr="00B818D9" w:rsidRDefault="00072F4A" w:rsidP="00B818D9">
      <w:pPr>
        <w:pStyle w:val="NormalWeb"/>
        <w:spacing w:line="360" w:lineRule="auto"/>
        <w:jc w:val="both"/>
      </w:pPr>
      <w:r w:rsidRPr="00B818D9">
        <w:t xml:space="preserve">Of 260 young people surveyed, 198 aged between 15 and 24 agreed to take part in our study. The average age in our study was 19. This average age is higher than that obtained by Ambounda et al in Gabon in a population of young adolescent girls [15]. On the other hand, in studies carried out in Kenya and Mali, the average age reported was much higher than ours [16,17]. These differences may be due to the sample sizes of these studies. However, in a study of Cameroonian women, Embolo et al obtained an average age similar to ours for the population aged between 15 and 25 years [18]. </w:t>
      </w:r>
    </w:p>
    <w:p w14:paraId="161FE41C" w14:textId="7D4E754A" w:rsidR="002573E1" w:rsidRPr="00B818D9" w:rsidRDefault="00072F4A" w:rsidP="00B818D9">
      <w:pPr>
        <w:pStyle w:val="NormalWeb"/>
        <w:spacing w:line="360" w:lineRule="auto"/>
        <w:jc w:val="both"/>
      </w:pPr>
      <w:r w:rsidRPr="00B818D9">
        <w:t xml:space="preserve">64.14% of our study population had had early sexual intercourse. This confirms the fact that </w:t>
      </w:r>
      <w:r w:rsidR="006234B4" w:rsidRPr="00113791">
        <w:rPr>
          <w:highlight w:val="yellow"/>
        </w:rPr>
        <w:t>young women</w:t>
      </w:r>
      <w:r w:rsidRPr="00113791">
        <w:rPr>
          <w:highlight w:val="yellow"/>
        </w:rPr>
        <w:t xml:space="preserve"> before </w:t>
      </w:r>
      <w:r w:rsidRPr="00B818D9">
        <w:t xml:space="preserve">they reach maturity are often exposed to early sexual intercourse, as reported in the literature[19,20]. The precociousness of sexual intercourse was also revealed by Adedini et al. in a study of </w:t>
      </w:r>
      <w:r w:rsidR="006234B4" w:rsidRPr="00113791">
        <w:rPr>
          <w:highlight w:val="yellow"/>
        </w:rPr>
        <w:t>young women</w:t>
      </w:r>
      <w:r w:rsidRPr="00113791">
        <w:rPr>
          <w:highlight w:val="yellow"/>
        </w:rPr>
        <w:t xml:space="preserve"> in</w:t>
      </w:r>
      <w:r w:rsidRPr="00B818D9">
        <w:t xml:space="preserve"> Nigeria. This study reported a prevalence of between 53.3% and 55.2% [21]. The average age at first intercourse was 16.76±1.65 years, as in the studies by Mukeya et al in Mali and Duval et al in Réunion. The same is true of the work by Adohinzin et al in Burkina Faso, where the mean age at first intercourse was 17.6 years. These results confirm the precocity of sexual intercourse among </w:t>
      </w:r>
      <w:r w:rsidR="006234B4" w:rsidRPr="00113791">
        <w:rPr>
          <w:highlight w:val="yellow"/>
        </w:rPr>
        <w:t>young women</w:t>
      </w:r>
      <w:r w:rsidRPr="00113791">
        <w:rPr>
          <w:highlight w:val="yellow"/>
        </w:rPr>
        <w:t xml:space="preserve">, compared </w:t>
      </w:r>
      <w:r w:rsidRPr="00B818D9">
        <w:t xml:space="preserve">with </w:t>
      </w:r>
      <w:r w:rsidRPr="00B818D9">
        <w:lastRenderedPageBreak/>
        <w:t>the study by Zohoncon et al, in Burkina Faso, who reported an average age of first intercourse of 20 years [16,22-24].</w:t>
      </w:r>
    </w:p>
    <w:p w14:paraId="4F82C87B" w14:textId="223D9E42" w:rsidR="00072F4A" w:rsidRPr="00B818D9" w:rsidRDefault="00072F4A" w:rsidP="00B818D9">
      <w:pPr>
        <w:pStyle w:val="NormalWeb"/>
        <w:spacing w:line="360" w:lineRule="auto"/>
        <w:jc w:val="both"/>
      </w:pPr>
      <w:r w:rsidRPr="00B818D9">
        <w:t xml:space="preserve">We also noted that only 33.3% of girls in our study used contraceptives (66/198). However, some studies carried out in South Africa and Brazil report lower rates than ours (11% and 21.9%) [25,26]. Another study, in Nigeria to be precise, obtained a higher rate than ours (72.4) [21]. These differences can be explained by the quality and </w:t>
      </w:r>
      <w:r w:rsidRPr="00113791">
        <w:rPr>
          <w:highlight w:val="yellow"/>
        </w:rPr>
        <w:t xml:space="preserve">implementation of awareness-raising and outreach programs on sexuality education for </w:t>
      </w:r>
      <w:r w:rsidR="006234B4" w:rsidRPr="00113791">
        <w:rPr>
          <w:highlight w:val="yellow"/>
        </w:rPr>
        <w:t>young women</w:t>
      </w:r>
      <w:r w:rsidRPr="00113791">
        <w:rPr>
          <w:highlight w:val="yellow"/>
        </w:rPr>
        <w:t xml:space="preserve"> or adolescents, as part of a policy to combat unwanted pregnancies and among </w:t>
      </w:r>
      <w:r w:rsidR="006234B4" w:rsidRPr="00113791">
        <w:rPr>
          <w:highlight w:val="yellow"/>
        </w:rPr>
        <w:t>young women</w:t>
      </w:r>
      <w:r w:rsidRPr="00113791">
        <w:rPr>
          <w:highlight w:val="yellow"/>
        </w:rPr>
        <w:t xml:space="preserve"> of </w:t>
      </w:r>
      <w:r w:rsidRPr="00B818D9">
        <w:t>childbearing age.</w:t>
      </w:r>
    </w:p>
    <w:p w14:paraId="5092F32D" w14:textId="6BED4BFA" w:rsidR="00072F4A" w:rsidRPr="00B818D9" w:rsidRDefault="00072F4A" w:rsidP="00B818D9">
      <w:pPr>
        <w:pStyle w:val="NormalWeb"/>
        <w:spacing w:line="360" w:lineRule="auto"/>
        <w:jc w:val="both"/>
      </w:pPr>
      <w:r w:rsidRPr="00B818D9">
        <w:t xml:space="preserve">In the study population, 128 participants (64.65%) had a history of STIs, with a predominance of mycoses (73.4%), followed by chlamydia (15.6%), herpes (9.38%) and condylomata (1.56%). Our results differ from those reported by Djouedjon, Chinyere and Carneiro (44.72%, 46.3% and 36.2% for the first three STIs) in a population of women of childbearing age. This difference may be due to sample size, average age, the study population of these studies and the early onset of sexual intercourse in our study [27-29]. The study by Wastiaux et al reported a prevalence of 21.7%, with chlamydia predominating (77%). This confirms what the literature reports about sex life and the predominance of STIs in young people [30-32]. These observed differences are also the result of a lack of knowledge and communication about STIs in developing countries, which leaves the way open for misinformation, especially among minors and sexually active young people, </w:t>
      </w:r>
      <w:r w:rsidRPr="00113791">
        <w:rPr>
          <w:highlight w:val="yellow"/>
        </w:rPr>
        <w:t>because</w:t>
      </w:r>
      <w:r w:rsidR="007B4321" w:rsidRPr="00113791">
        <w:rPr>
          <w:highlight w:val="yellow"/>
        </w:rPr>
        <w:t>,</w:t>
      </w:r>
      <w:r w:rsidRPr="00113791">
        <w:rPr>
          <w:highlight w:val="yellow"/>
        </w:rPr>
        <w:t xml:space="preserve"> in these countries</w:t>
      </w:r>
      <w:r w:rsidRPr="00B818D9">
        <w:t xml:space="preserve"> with limited resources, sex remains a taboo subject [27,33,34]. </w:t>
      </w:r>
    </w:p>
    <w:p w14:paraId="3087D659" w14:textId="77777777" w:rsidR="00072F4A" w:rsidRPr="00B818D9" w:rsidRDefault="00072F4A" w:rsidP="00B818D9">
      <w:pPr>
        <w:pStyle w:val="NormalWeb"/>
        <w:spacing w:line="360" w:lineRule="auto"/>
        <w:jc w:val="both"/>
      </w:pPr>
      <w:r w:rsidRPr="00B818D9">
        <w:t xml:space="preserve">The results of our study showed a significant association between the use of contraceptive methods and STIs (p=0.003). This significant difference is explained by the fact that young people, once they can avoid unwanted pregnancies, can now indulge in unprotected sex and multiply their sexual partners. </w:t>
      </w:r>
    </w:p>
    <w:p w14:paraId="6636D55E" w14:textId="77777777" w:rsidR="00072F4A" w:rsidRPr="00B818D9" w:rsidRDefault="00072F4A" w:rsidP="00B818D9">
      <w:pPr>
        <w:pStyle w:val="NormalWeb"/>
        <w:spacing w:line="360" w:lineRule="auto"/>
        <w:jc w:val="both"/>
      </w:pPr>
      <w:r w:rsidRPr="00B818D9">
        <w:t>There was a significant difference between STI history and parental marital status in our study population. When looking for independently associated factors, we found that girls whose parents were single or cohabiting were 3 to 4 times more likely to contract a sexually transmitted infection. This can be explained by the simple fact that in households where parents are not in a marital relationship, childcare remains a serious problem.</w:t>
      </w:r>
    </w:p>
    <w:p w14:paraId="0A4113BF" w14:textId="30ED125C" w:rsidR="00072F4A" w:rsidRPr="00B818D9" w:rsidRDefault="00072F4A" w:rsidP="00B818D9">
      <w:pPr>
        <w:pStyle w:val="NormalWeb"/>
        <w:spacing w:line="360" w:lineRule="auto"/>
        <w:jc w:val="both"/>
      </w:pPr>
      <w:r w:rsidRPr="00B818D9">
        <w:t xml:space="preserve">Molecular analysis of our study samples using GèneXpert technology reported a prevalence of 45.45%. In reviewing the literature, we noted that, whether old or recent, the various studies </w:t>
      </w:r>
      <w:r w:rsidRPr="00B818D9">
        <w:lastRenderedPageBreak/>
        <w:t xml:space="preserve">show that the prevalence of HPV, whatever the methodology used, varies from one country to another, and within the same country, from one population to another, and within the same age group, from one category of person to another. The study by Tchounga et al in Côte d'Ivoire, for example, showed a carriage rate of 2.8% among adolescent girls. The difference with our study may lie in the country's cervical cancer control policy, which emphasizes the relevance and importance of HPV vaccination in the adolescent age group. Also in Africa, one study reported a prevalence of 48.2% among girls aged between 15 and 24[35]. Among women aged 25 and over, several studies conducted in Central Africa show that prevalence varies between 12 and 64.4% [36,37]. In West Africa, prevalence ranged from 16.5% to 33.2% [11,38,39]. In East Africa, a study conducted in a cohort of young women in Tanzania found a higher prevalence (74%) than in our study [40]. Thus, comparing our results with those of other studies, although the prevalence of HPV in </w:t>
      </w:r>
      <w:r w:rsidR="006234B4" w:rsidRPr="00113791">
        <w:rPr>
          <w:highlight w:val="yellow"/>
        </w:rPr>
        <w:t>young women</w:t>
      </w:r>
      <w:r w:rsidRPr="00B818D9">
        <w:t xml:space="preserve"> varies according to the region of the world, all studies agree that this infection is more important in the juvenile age group, which is more exposed to early sexual intercourse with multiple partners. This often exposes them to high levels of STIs. These results corroborate those of previous studies, which have shown that sex life and early sexual relations are legion in the two cities of Brazzaville and Pointe-Noire [29,36]. The differences observed in terms of prevalence can also be explained in relation to the average age of the studies, the sample size of the population used by the various authors and the type of population recruited, i.e. the cohort behaviours. These studies also show that the high prevalence of HPV may in part reflect the at-risk population served by the study sites used for the studies. Other studies have shown that an increase in the number of sexual partners, early sexual intercourse, the use of intravaginal insertions and the number of previous pregnancies or the young age of girls are some of the behavioral risk factors in young women, although the risk of infection differs from person to person [41,42].</w:t>
      </w:r>
    </w:p>
    <w:p w14:paraId="5468FF70" w14:textId="6A4B16EA" w:rsidR="00072F4A" w:rsidRPr="00B818D9" w:rsidRDefault="00072F4A" w:rsidP="00B818D9">
      <w:pPr>
        <w:pStyle w:val="NormalWeb"/>
        <w:spacing w:line="360" w:lineRule="auto"/>
        <w:jc w:val="both"/>
        <w:rPr>
          <w:b/>
          <w:bCs/>
        </w:rPr>
      </w:pPr>
      <w:r w:rsidRPr="00B818D9">
        <w:rPr>
          <w:b/>
          <w:bCs/>
        </w:rPr>
        <w:t>Conclusion</w:t>
      </w:r>
    </w:p>
    <w:p w14:paraId="5B1C5F3A" w14:textId="434F9872" w:rsidR="00072F4A" w:rsidRPr="00B818D9" w:rsidRDefault="00072F4A" w:rsidP="00B818D9">
      <w:pPr>
        <w:pStyle w:val="NormalWeb"/>
        <w:spacing w:line="360" w:lineRule="auto"/>
        <w:jc w:val="both"/>
      </w:pPr>
      <w:r w:rsidRPr="00113791">
        <w:rPr>
          <w:highlight w:val="yellow"/>
        </w:rPr>
        <w:t>Sexually</w:t>
      </w:r>
      <w:r w:rsidR="007B4321" w:rsidRPr="00113791">
        <w:rPr>
          <w:highlight w:val="yellow"/>
        </w:rPr>
        <w:t xml:space="preserve"> </w:t>
      </w:r>
      <w:r w:rsidRPr="00113791">
        <w:rPr>
          <w:highlight w:val="yellow"/>
        </w:rPr>
        <w:t>active young</w:t>
      </w:r>
      <w:r w:rsidRPr="00B818D9">
        <w:t xml:space="preserve"> people are particularly vulnerable to </w:t>
      </w:r>
      <w:r w:rsidRPr="00113791">
        <w:rPr>
          <w:highlight w:val="yellow"/>
        </w:rPr>
        <w:t>sexually</w:t>
      </w:r>
      <w:r w:rsidR="007B4321" w:rsidRPr="00113791">
        <w:rPr>
          <w:highlight w:val="yellow"/>
        </w:rPr>
        <w:t xml:space="preserve"> </w:t>
      </w:r>
      <w:r w:rsidRPr="00113791">
        <w:rPr>
          <w:highlight w:val="yellow"/>
        </w:rPr>
        <w:t>transmitted infections</w:t>
      </w:r>
      <w:r w:rsidRPr="00B818D9">
        <w:t>, especially HPV, which is often contracted at first intercourse. Lack of information, low uptake of screening, irregular condom use and contraceptive methods all contribute to the silent spread of these infections. It is therefore essential to strengthen sex education, encourage HPV vaccination and promote easy, confidential access to prevention and screening services. Prevention means protecting young people's present and future sexual health.</w:t>
      </w:r>
    </w:p>
    <w:p w14:paraId="6E9B03DB" w14:textId="77777777" w:rsidR="0041707B" w:rsidRPr="00B818D9" w:rsidRDefault="0041707B" w:rsidP="00B818D9">
      <w:pPr>
        <w:pStyle w:val="NormalWeb"/>
        <w:spacing w:line="360" w:lineRule="auto"/>
        <w:jc w:val="both"/>
      </w:pPr>
    </w:p>
    <w:p w14:paraId="031AFBE1" w14:textId="77777777" w:rsidR="007B4321" w:rsidRPr="004365EA" w:rsidRDefault="007B4321" w:rsidP="007B4321">
      <w:pPr>
        <w:rPr>
          <w:b/>
          <w:highlight w:val="yellow"/>
        </w:rPr>
      </w:pPr>
      <w:r w:rsidRPr="004365EA">
        <w:rPr>
          <w:b/>
          <w:highlight w:val="yellow"/>
        </w:rPr>
        <w:lastRenderedPageBreak/>
        <w:t>Disclaimer (Artificial intelligence)</w:t>
      </w:r>
    </w:p>
    <w:p w14:paraId="3D3D89A8" w14:textId="77777777" w:rsidR="007B4321" w:rsidRPr="004365EA" w:rsidRDefault="007B4321" w:rsidP="007B4321">
      <w:pPr>
        <w:rPr>
          <w:highlight w:val="yellow"/>
        </w:rPr>
      </w:pPr>
      <w:r w:rsidRPr="004365EA">
        <w:rPr>
          <w:highlight w:val="yellow"/>
        </w:rPr>
        <w:t xml:space="preserve">Option 1: </w:t>
      </w:r>
    </w:p>
    <w:p w14:paraId="7CD6BE3B" w14:textId="77777777" w:rsidR="007B4321" w:rsidRPr="004365EA" w:rsidRDefault="007B4321" w:rsidP="007B4321">
      <w:pPr>
        <w:rPr>
          <w:highlight w:val="yellow"/>
        </w:rPr>
      </w:pPr>
      <w:r w:rsidRPr="004365EA">
        <w:rPr>
          <w:highlight w:val="yellow"/>
        </w:rPr>
        <w:t xml:space="preserve">Author(s) hereby declare that NO generative AI technologies such as Large Language Models (ChatGPT, COPILOT, etc.) and text-to-image generators have been used during the writing or editing of this manuscript. </w:t>
      </w:r>
    </w:p>
    <w:p w14:paraId="554CEA39" w14:textId="77777777" w:rsidR="007B4321" w:rsidRPr="004365EA" w:rsidRDefault="007B4321" w:rsidP="007B4321">
      <w:pPr>
        <w:rPr>
          <w:highlight w:val="yellow"/>
        </w:rPr>
      </w:pPr>
      <w:r w:rsidRPr="004365EA">
        <w:rPr>
          <w:highlight w:val="yellow"/>
        </w:rPr>
        <w:t xml:space="preserve">Option 2: </w:t>
      </w:r>
    </w:p>
    <w:p w14:paraId="02C2723D" w14:textId="77777777" w:rsidR="007B4321" w:rsidRPr="004365EA" w:rsidRDefault="007B4321" w:rsidP="007B4321">
      <w:pPr>
        <w:rPr>
          <w:highlight w:val="yellow"/>
        </w:rPr>
      </w:pPr>
      <w:r w:rsidRPr="004365EA">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8A5465A" w14:textId="77777777" w:rsidR="007B4321" w:rsidRPr="004365EA" w:rsidRDefault="007B4321" w:rsidP="007B4321">
      <w:pPr>
        <w:rPr>
          <w:highlight w:val="yellow"/>
        </w:rPr>
      </w:pPr>
      <w:r w:rsidRPr="004365EA">
        <w:rPr>
          <w:highlight w:val="yellow"/>
        </w:rPr>
        <w:t>Details of the AI usage are given below:</w:t>
      </w:r>
    </w:p>
    <w:p w14:paraId="7788F3BD" w14:textId="77777777" w:rsidR="007B4321" w:rsidRPr="004365EA" w:rsidRDefault="007B4321" w:rsidP="007B4321">
      <w:pPr>
        <w:rPr>
          <w:highlight w:val="yellow"/>
        </w:rPr>
      </w:pPr>
      <w:r w:rsidRPr="004365EA">
        <w:rPr>
          <w:highlight w:val="yellow"/>
        </w:rPr>
        <w:t>1.</w:t>
      </w:r>
    </w:p>
    <w:p w14:paraId="5BFB92F8" w14:textId="77777777" w:rsidR="007B4321" w:rsidRPr="004365EA" w:rsidRDefault="007B4321" w:rsidP="007B4321">
      <w:pPr>
        <w:rPr>
          <w:highlight w:val="yellow"/>
        </w:rPr>
      </w:pPr>
      <w:r w:rsidRPr="004365EA">
        <w:rPr>
          <w:highlight w:val="yellow"/>
        </w:rPr>
        <w:t>2.</w:t>
      </w:r>
    </w:p>
    <w:p w14:paraId="5D4210EE" w14:textId="77777777" w:rsidR="007B4321" w:rsidRPr="00D047BB" w:rsidRDefault="007B4321" w:rsidP="007B4321">
      <w:r w:rsidRPr="004365EA">
        <w:rPr>
          <w:highlight w:val="yellow"/>
        </w:rPr>
        <w:t>3.</w:t>
      </w:r>
    </w:p>
    <w:p w14:paraId="3B77EF10" w14:textId="77777777" w:rsidR="007B4321" w:rsidRPr="00B818D9" w:rsidRDefault="007B4321" w:rsidP="00B818D9">
      <w:pPr>
        <w:pStyle w:val="NormalWeb"/>
        <w:spacing w:line="360" w:lineRule="auto"/>
        <w:jc w:val="both"/>
      </w:pPr>
    </w:p>
    <w:p w14:paraId="377F3A02" w14:textId="77777777" w:rsidR="00072F4A" w:rsidRPr="00B818D9" w:rsidRDefault="00072F4A" w:rsidP="00B818D9">
      <w:pPr>
        <w:pStyle w:val="NormalWeb"/>
        <w:spacing w:line="360" w:lineRule="auto"/>
        <w:jc w:val="both"/>
        <w:rPr>
          <w:b/>
          <w:bCs/>
        </w:rPr>
      </w:pPr>
      <w:r w:rsidRPr="00B818D9">
        <w:rPr>
          <w:b/>
          <w:bCs/>
        </w:rPr>
        <w:t xml:space="preserve">Abbreviations </w:t>
      </w:r>
    </w:p>
    <w:p w14:paraId="26E11E1E" w14:textId="0039E0D8" w:rsidR="00072F4A" w:rsidRPr="00B818D9" w:rsidRDefault="005D2613" w:rsidP="00B818D9">
      <w:pPr>
        <w:pStyle w:val="NormalWeb"/>
        <w:spacing w:line="360" w:lineRule="auto"/>
        <w:jc w:val="both"/>
      </w:pPr>
      <w:r w:rsidRPr="00B818D9">
        <w:t>I</w:t>
      </w:r>
      <w:r w:rsidR="00606DFC" w:rsidRPr="00B818D9">
        <w:t>C</w:t>
      </w:r>
      <w:r w:rsidR="00072F4A" w:rsidRPr="00B818D9">
        <w:t xml:space="preserve">95%: 95% confidence interval, aOR: Adjusted odds ratio, cOR: Crude odds ratio, HPV: Human papillomavirus, CCU: Cervical cancer, MEPSA-CAB: </w:t>
      </w:r>
      <w:r w:rsidR="005F3840" w:rsidRPr="00B818D9">
        <w:t>Ministry of Primary, Secondary Education and Literacy-Cabinet</w:t>
      </w:r>
      <w:r w:rsidR="00072F4A" w:rsidRPr="00B818D9">
        <w:t>, PN: Pointe-Noire, BZV: Brazzaville, USA: United of States America.</w:t>
      </w:r>
    </w:p>
    <w:p w14:paraId="5F50124A" w14:textId="77777777" w:rsidR="00E02AFA" w:rsidRDefault="00E02AFA" w:rsidP="00B818D9">
      <w:pPr>
        <w:spacing w:line="360" w:lineRule="auto"/>
        <w:jc w:val="both"/>
        <w:rPr>
          <w:rFonts w:ascii="Times New Roman" w:hAnsi="Times New Roman" w:cs="Times New Roman"/>
          <w:b/>
          <w:sz w:val="24"/>
          <w:szCs w:val="24"/>
        </w:rPr>
      </w:pPr>
    </w:p>
    <w:p w14:paraId="2A4319D9" w14:textId="46344BE3" w:rsidR="00072F4A" w:rsidRPr="00B818D9" w:rsidRDefault="00072F4A" w:rsidP="00B818D9">
      <w:pPr>
        <w:spacing w:line="360" w:lineRule="auto"/>
        <w:jc w:val="both"/>
        <w:rPr>
          <w:rFonts w:ascii="Times New Roman" w:hAnsi="Times New Roman" w:cs="Times New Roman"/>
          <w:b/>
          <w:sz w:val="24"/>
          <w:szCs w:val="24"/>
        </w:rPr>
      </w:pPr>
      <w:r w:rsidRPr="00B818D9">
        <w:rPr>
          <w:rFonts w:ascii="Times New Roman" w:hAnsi="Times New Roman" w:cs="Times New Roman"/>
          <w:b/>
          <w:sz w:val="24"/>
          <w:szCs w:val="24"/>
        </w:rPr>
        <w:t>Références</w:t>
      </w:r>
    </w:p>
    <w:p w14:paraId="6B436C07"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1. </w:t>
      </w:r>
      <w:r w:rsidRPr="00B818D9">
        <w:rPr>
          <w:rFonts w:ascii="Times New Roman" w:hAnsi="Times New Roman" w:cs="Times New Roman"/>
          <w:sz w:val="24"/>
          <w:szCs w:val="24"/>
        </w:rPr>
        <w:tab/>
        <w:t>Wakabayashi R, Nakahama Y, Nguyen V, Espinoza JL. The Host-Microbe Interplay in Human Papillomavirus-Induced Carcinogenesis. Microorganisms. 2019;7: 199. doi:10.3390/microorganisms7070199</w:t>
      </w:r>
    </w:p>
    <w:p w14:paraId="14942C5A"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2. </w:t>
      </w:r>
      <w:r w:rsidRPr="00B818D9">
        <w:rPr>
          <w:rFonts w:ascii="Times New Roman" w:hAnsi="Times New Roman" w:cs="Times New Roman"/>
          <w:sz w:val="24"/>
          <w:szCs w:val="24"/>
        </w:rPr>
        <w:tab/>
        <w:t>McBride AA. Human papillomaviruses: diversity, infection and host interactions. Nat Rev Microbiol. 2022;20: 95–108. doi:10.1038/s41579-021-00617-5</w:t>
      </w:r>
    </w:p>
    <w:p w14:paraId="13762A13"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3. </w:t>
      </w:r>
      <w:r w:rsidRPr="00B818D9">
        <w:rPr>
          <w:rFonts w:ascii="Times New Roman" w:hAnsi="Times New Roman" w:cs="Times New Roman"/>
          <w:sz w:val="24"/>
          <w:szCs w:val="24"/>
        </w:rPr>
        <w:tab/>
        <w:t>Infections à papillomavirus. [cited 29 Mar 2023]. Available: https://www.santepubliquefrance.fr/maladies-et-traumatismes/maladies-a-prevention-vaccinale/infections-a-papillomavirus</w:t>
      </w:r>
    </w:p>
    <w:p w14:paraId="3738E947"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lastRenderedPageBreak/>
        <w:t xml:space="preserve">4. </w:t>
      </w:r>
      <w:r w:rsidRPr="00B818D9">
        <w:rPr>
          <w:rFonts w:ascii="Times New Roman" w:hAnsi="Times New Roman" w:cs="Times New Roman"/>
          <w:sz w:val="24"/>
          <w:szCs w:val="24"/>
        </w:rPr>
        <w:tab/>
        <w:t>Wolf J, Kist LF, Pereira SB, Quessada MA, Petek H, Pille A, et al. Human papillomavirus infection: Epidemiology, biology, host interactions, cancer development, prevention, and therapeutics. Rev Med Virol. 2024;34: e2537. doi:10.1002/rmv.2537</w:t>
      </w:r>
    </w:p>
    <w:p w14:paraId="1D5A227C"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5. </w:t>
      </w:r>
      <w:r w:rsidRPr="00B818D9">
        <w:rPr>
          <w:rFonts w:ascii="Times New Roman" w:hAnsi="Times New Roman" w:cs="Times New Roman"/>
          <w:sz w:val="24"/>
          <w:szCs w:val="24"/>
        </w:rPr>
        <w:tab/>
        <w:t>Boumba LMA, Qmichou Z, Mouallif M, Attaleb M, Mzibri ME, Hilali L, et al. Human papillomavirus genotypes distribution by cervical cytologic status among women attending the General Hospital of Loandjili, Pointe-Noire, Southwest Congo (Brazzaville). J Med Virol. 2015;87: 1769–1776. doi:10.1002/jmv.24221</w:t>
      </w:r>
    </w:p>
    <w:p w14:paraId="25E9B2C9"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6. </w:t>
      </w:r>
      <w:r w:rsidRPr="00B818D9">
        <w:rPr>
          <w:rFonts w:ascii="Times New Roman" w:hAnsi="Times New Roman" w:cs="Times New Roman"/>
          <w:sz w:val="24"/>
          <w:szCs w:val="24"/>
        </w:rPr>
        <w:tab/>
        <w:t>Bissala B, Essangui E, Kojom LP, Nganga P, Lemba P, Ntsiba A, et al. Knowledge, Sexual Behaviors on Human Papillomavirus Infections and Associated Factors: Survey Among Female Adolescents and Adults in the Republic of Congo. Cancer Res J. 2023;11: 59–69. doi:10.11648/j.crj.20231102.14</w:t>
      </w:r>
    </w:p>
    <w:p w14:paraId="117C844A"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7. </w:t>
      </w:r>
      <w:r w:rsidRPr="00B818D9">
        <w:rPr>
          <w:rFonts w:ascii="Times New Roman" w:hAnsi="Times New Roman" w:cs="Times New Roman"/>
          <w:sz w:val="24"/>
          <w:szCs w:val="24"/>
        </w:rPr>
        <w:tab/>
        <w:t>Bray F, Ferlay J, Soerjomataram I, Siegel RL, Torre LA, Jemal A. Global cancer statistics 2018: GLOBOCAN estimates of incidence and mortality worldwide for 36 cancers in 185 countries. CA Cancer J Clin. 2018;68: 394–424. doi:10.3322/caac.21492</w:t>
      </w:r>
    </w:p>
    <w:p w14:paraId="70EBD85B"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8. </w:t>
      </w:r>
      <w:r w:rsidRPr="00B818D9">
        <w:rPr>
          <w:rFonts w:ascii="Times New Roman" w:hAnsi="Times New Roman" w:cs="Times New Roman"/>
          <w:sz w:val="24"/>
          <w:szCs w:val="24"/>
        </w:rPr>
        <w:tab/>
        <w:t>Zur Hausen H. Papillomaviruses and cancer: from basic studies to clinical application. Nat Rev Cancer. 2002;2: 342–350. doi:10.1038/nrc798</w:t>
      </w:r>
    </w:p>
    <w:p w14:paraId="22D81438"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9. </w:t>
      </w:r>
      <w:r w:rsidRPr="00B818D9">
        <w:rPr>
          <w:rFonts w:ascii="Times New Roman" w:hAnsi="Times New Roman" w:cs="Times New Roman"/>
          <w:sz w:val="24"/>
          <w:szCs w:val="24"/>
        </w:rPr>
        <w:tab/>
        <w:t>Oyouni AAA. Human papillomavirus in cancer: Infection, disease transmission, and progress in vaccines. J Infect Public Health. 2023;16: 626–631. doi:10.1016/j.jiph.2023.02.014</w:t>
      </w:r>
    </w:p>
    <w:p w14:paraId="5F041AEF" w14:textId="2EF56990" w:rsidR="00317300" w:rsidRDefault="00317300" w:rsidP="00B818D9">
      <w:pPr>
        <w:spacing w:line="360" w:lineRule="auto"/>
        <w:jc w:val="both"/>
        <w:rPr>
          <w:rFonts w:ascii="Times New Roman" w:hAnsi="Times New Roman" w:cs="Times New Roman"/>
          <w:sz w:val="24"/>
          <w:szCs w:val="24"/>
        </w:rPr>
      </w:pPr>
      <w:r w:rsidRPr="00317300">
        <w:rPr>
          <w:rFonts w:ascii="Times New Roman" w:hAnsi="Times New Roman" w:cs="Times New Roman"/>
          <w:sz w:val="24"/>
          <w:szCs w:val="24"/>
        </w:rPr>
        <w:t xml:space="preserve">10. Djonouma I. Papillomavirus typing in cervical cancer screening among HIV-positive women in Bamako. Thesis, University of Sciences, Techniques and Technologies of Bamako. 2023. Available: </w:t>
      </w:r>
      <w:hyperlink r:id="rId11" w:history="1">
        <w:r w:rsidRPr="009D2EF1">
          <w:rPr>
            <w:rStyle w:val="Hyperlink"/>
            <w:rFonts w:ascii="Times New Roman" w:hAnsi="Times New Roman" w:cs="Times New Roman"/>
            <w:sz w:val="24"/>
            <w:szCs w:val="24"/>
          </w:rPr>
          <w:t>https://www.bibliosante.ml/handle/123456789/5881</w:t>
        </w:r>
      </w:hyperlink>
    </w:p>
    <w:p w14:paraId="65C769A0" w14:textId="4E2E3DC2"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11. </w:t>
      </w:r>
      <w:r w:rsidRPr="00B818D9">
        <w:rPr>
          <w:rFonts w:ascii="Times New Roman" w:hAnsi="Times New Roman" w:cs="Times New Roman"/>
          <w:sz w:val="24"/>
          <w:szCs w:val="24"/>
        </w:rPr>
        <w:tab/>
        <w:t>Tounkara FK, Téguété I, Guédou FA, Goma-Matsétsé E, Koné A, Béhanzin L, et al. Human papillomavirus genotype distribution and factors associated among female sex workers in West Africa. PLOS ONE. 2020;15: e0242711. doi:10.1371/journal.pone.0242711</w:t>
      </w:r>
    </w:p>
    <w:p w14:paraId="2E2C12BE"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12. </w:t>
      </w:r>
      <w:r w:rsidRPr="00B818D9">
        <w:rPr>
          <w:rFonts w:ascii="Times New Roman" w:hAnsi="Times New Roman" w:cs="Times New Roman"/>
          <w:sz w:val="24"/>
          <w:szCs w:val="24"/>
        </w:rPr>
        <w:tab/>
        <w:t>Nganga PC, Boumba LMA, Tsimba CPL, Tchibinda FGL, Nkounkou RBB, Ataboho EE, et al. Prevalence and Genotyping of Human Papillomavirus among Women in the Departments of Niari and Bouenza, Republic of the Congo. J Biosci Med. 2022;10: 64–77. doi:10.4236/jbm.2022.101007</w:t>
      </w:r>
    </w:p>
    <w:p w14:paraId="6BD7C0E9"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13. </w:t>
      </w:r>
      <w:r w:rsidRPr="00B818D9">
        <w:rPr>
          <w:rFonts w:ascii="Times New Roman" w:hAnsi="Times New Roman" w:cs="Times New Roman"/>
          <w:sz w:val="24"/>
          <w:szCs w:val="24"/>
        </w:rPr>
        <w:tab/>
        <w:t>Monsonego J, Zerat L, Syrjänen K, Zerat JC, Smith JS, Halfon P. Prévalence des génotypes d’HPV chez les femmes en France : implications pour le dépistage et la vaccination. Gynécologie Obstétrique Fertil. 2013;41: 305–313. doi:10.1016/j.gyobfe.2013.03.003</w:t>
      </w:r>
    </w:p>
    <w:p w14:paraId="7F323CAD" w14:textId="77777777" w:rsidR="00317300" w:rsidRDefault="00317300" w:rsidP="00B818D9">
      <w:pPr>
        <w:spacing w:line="360" w:lineRule="auto"/>
        <w:jc w:val="both"/>
        <w:rPr>
          <w:rFonts w:ascii="Times New Roman" w:hAnsi="Times New Roman" w:cs="Times New Roman"/>
          <w:sz w:val="24"/>
          <w:szCs w:val="24"/>
        </w:rPr>
      </w:pPr>
      <w:r w:rsidRPr="00317300">
        <w:rPr>
          <w:rFonts w:ascii="Times New Roman" w:hAnsi="Times New Roman" w:cs="Times New Roman"/>
          <w:sz w:val="24"/>
          <w:szCs w:val="24"/>
        </w:rPr>
        <w:lastRenderedPageBreak/>
        <w:t>14. Meda ZC, Ramde Z, Hien H, Ilboudo B, Ouattara CA, Traore I., et al. Evaluation of the effectiveness of the Human papillomavirus (HPV) test in the screening of precancerous lesions of the cervix in Burkina Faso: case of the Souro Sanou University Hospital (CHUSS) of Bobo-Dioulasso. Rev. DEpidémiologie Santé Publique. 2023;71: 101540. doi:10.1016/j.respe.2023.101540</w:t>
      </w:r>
    </w:p>
    <w:p w14:paraId="4DAAD640" w14:textId="6E459A02"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15. </w:t>
      </w:r>
      <w:r w:rsidRPr="00B818D9">
        <w:rPr>
          <w:rFonts w:ascii="Times New Roman" w:hAnsi="Times New Roman" w:cs="Times New Roman"/>
          <w:sz w:val="24"/>
          <w:szCs w:val="24"/>
        </w:rPr>
        <w:tab/>
        <w:t>Ambounda NL, Woromogo SH, Moussa FEY, Kouanang AJ, Tekem VNS. Sexuality and behaviour of adolescents in relationship to sexually transmitted diseases in Libreville: a cross-sectional study. Int J Reprod Contracept Obstet Gynecol. 2020;9: 2782–2787. doi:10.18203/2320-1770.ijrcog20202708</w:t>
      </w:r>
    </w:p>
    <w:p w14:paraId="271B2348" w14:textId="77777777" w:rsidR="00317300" w:rsidRDefault="00317300" w:rsidP="00B818D9">
      <w:pPr>
        <w:spacing w:line="360" w:lineRule="auto"/>
        <w:jc w:val="both"/>
        <w:rPr>
          <w:rFonts w:ascii="Times New Roman" w:hAnsi="Times New Roman" w:cs="Times New Roman"/>
          <w:sz w:val="24"/>
          <w:szCs w:val="24"/>
        </w:rPr>
      </w:pPr>
      <w:r w:rsidRPr="00317300">
        <w:rPr>
          <w:rFonts w:ascii="Times New Roman" w:hAnsi="Times New Roman" w:cs="Times New Roman"/>
          <w:sz w:val="24"/>
          <w:szCs w:val="24"/>
        </w:rPr>
        <w:t>16. Mukeya Mvumbi G, Dembélé Keïta B, Camara N, Théra I, Guédou FA, Traoré S, et al. Prevalence and factors associated with hepatitis B and C among female sex workers in Bamako, Mali. Pan Afr Med J. 2024;49. doi:10.11604/pamj.2024.49.118.39119</w:t>
      </w:r>
    </w:p>
    <w:p w14:paraId="0D792762" w14:textId="46CC4FB8"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17. </w:t>
      </w:r>
      <w:r w:rsidRPr="00B818D9">
        <w:rPr>
          <w:rFonts w:ascii="Times New Roman" w:hAnsi="Times New Roman" w:cs="Times New Roman"/>
          <w:sz w:val="24"/>
          <w:szCs w:val="24"/>
        </w:rPr>
        <w:tab/>
        <w:t>Masha SC, Wahome E, Vaneechoutte M, Cools P, Crucitti T, Sanders EJ. High prevalence of curable sexually transmitted infections among pregnant women in a rural county hospital in Kilifi, Kenya. PLOS ONE. 2017;12: e0175166. doi:10.1371/journal.pone.0175166</w:t>
      </w:r>
    </w:p>
    <w:p w14:paraId="7BE88DB3"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18. </w:t>
      </w:r>
      <w:r w:rsidRPr="00B818D9">
        <w:rPr>
          <w:rFonts w:ascii="Times New Roman" w:hAnsi="Times New Roman" w:cs="Times New Roman"/>
          <w:sz w:val="24"/>
          <w:szCs w:val="24"/>
        </w:rPr>
        <w:tab/>
        <w:t>Embolo Enyegue EL, Ngono Abondo FE, Awalou H, Mogo CB, Koanga Mogtomo ML. Sexually transmitted infections (STIs)/HIV associated to human papillomavirus (HPV) in precancerous lesions among Cameroonian women. | EBSCOhost. 1 Sep 2024 [cited 31 Mar 2025] p. 530. doi:10.52142/omujecm.41.3.15</w:t>
      </w:r>
    </w:p>
    <w:p w14:paraId="050657C1" w14:textId="77777777" w:rsidR="00317300" w:rsidRDefault="00317300" w:rsidP="00B818D9">
      <w:pPr>
        <w:spacing w:line="360" w:lineRule="auto"/>
        <w:jc w:val="both"/>
        <w:rPr>
          <w:rFonts w:ascii="Times New Roman" w:hAnsi="Times New Roman" w:cs="Times New Roman"/>
          <w:sz w:val="24"/>
          <w:szCs w:val="24"/>
        </w:rPr>
      </w:pPr>
      <w:r w:rsidRPr="00317300">
        <w:rPr>
          <w:rFonts w:ascii="Times New Roman" w:hAnsi="Times New Roman" w:cs="Times New Roman"/>
          <w:sz w:val="24"/>
          <w:szCs w:val="24"/>
        </w:rPr>
        <w:t>19. Monsonego J, Zerat L, Syrjänen K, Zerat JC, Smith JS, Halfon P. Prevalence of HPV genotypes in women in France: implications for screening and vaccination. Gynecology Obstetrics Fertil. 2013;41: 305–313. doi:10.1016/j.gyobfe.2013.03.003</w:t>
      </w:r>
    </w:p>
    <w:p w14:paraId="0DDCCD34" w14:textId="07DB598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20. </w:t>
      </w:r>
      <w:r w:rsidRPr="00B818D9">
        <w:rPr>
          <w:rFonts w:ascii="Times New Roman" w:hAnsi="Times New Roman" w:cs="Times New Roman"/>
          <w:sz w:val="24"/>
          <w:szCs w:val="24"/>
        </w:rPr>
        <w:tab/>
        <w:t xml:space="preserve">Fleury H. Virologie Humaine. Masson. Paris; 2009. </w:t>
      </w:r>
    </w:p>
    <w:p w14:paraId="6AB8F0D8"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21. </w:t>
      </w:r>
      <w:r w:rsidRPr="00B818D9">
        <w:rPr>
          <w:rFonts w:ascii="Times New Roman" w:hAnsi="Times New Roman" w:cs="Times New Roman"/>
          <w:sz w:val="24"/>
          <w:szCs w:val="24"/>
        </w:rPr>
        <w:tab/>
        <w:t>Adedini SA, Mobolaji JW, Alabi M, Fatusi AO. Changes in contraceptive and sexual behaviours among unmarried young people in Nigeria: Evidence from nationally representative surveys. PLOS ONE. 2021;16: e0246309. doi:10.1371/journal.pone.0246309</w:t>
      </w:r>
    </w:p>
    <w:p w14:paraId="6C52238D" w14:textId="77777777" w:rsidR="00317300" w:rsidRDefault="00317300" w:rsidP="00B818D9">
      <w:pPr>
        <w:spacing w:line="360" w:lineRule="auto"/>
        <w:jc w:val="both"/>
        <w:rPr>
          <w:rFonts w:ascii="Times New Roman" w:hAnsi="Times New Roman" w:cs="Times New Roman"/>
          <w:sz w:val="24"/>
          <w:szCs w:val="24"/>
        </w:rPr>
      </w:pPr>
      <w:r w:rsidRPr="00317300">
        <w:rPr>
          <w:rFonts w:ascii="Times New Roman" w:hAnsi="Times New Roman" w:cs="Times New Roman"/>
          <w:sz w:val="24"/>
          <w:szCs w:val="24"/>
        </w:rPr>
        <w:t>22. Adohinzin CC, Meda N, Gaston AM, Ouédraogo GA, Sombie I, Berthe A, et al. Risk-taking among young people in Bobo Dioulasso: an analysis of factors associated with precocity and multiple sexual partners. Pan Afr Med J. 2016;25. doi:10.11604/pamj.2016.25.132.9767</w:t>
      </w:r>
    </w:p>
    <w:p w14:paraId="7D558133" w14:textId="77777777" w:rsidR="00317300" w:rsidRDefault="00317300" w:rsidP="00B818D9">
      <w:pPr>
        <w:spacing w:line="360" w:lineRule="auto"/>
        <w:jc w:val="both"/>
        <w:rPr>
          <w:rFonts w:ascii="Times New Roman" w:hAnsi="Times New Roman" w:cs="Times New Roman"/>
          <w:sz w:val="24"/>
          <w:szCs w:val="24"/>
        </w:rPr>
      </w:pPr>
      <w:r w:rsidRPr="00317300">
        <w:rPr>
          <w:rFonts w:ascii="Times New Roman" w:hAnsi="Times New Roman" w:cs="Times New Roman"/>
          <w:sz w:val="24"/>
          <w:szCs w:val="24"/>
        </w:rPr>
        <w:t>23. Duval C. Prevalence of Chlamydia trachomatis infections among women attending screening centers in the West and South of Réunion.</w:t>
      </w:r>
    </w:p>
    <w:p w14:paraId="18963ECC" w14:textId="4735FDC6"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lastRenderedPageBreak/>
        <w:t xml:space="preserve">24. </w:t>
      </w:r>
      <w:r w:rsidRPr="00B818D9">
        <w:rPr>
          <w:rFonts w:ascii="Times New Roman" w:hAnsi="Times New Roman" w:cs="Times New Roman"/>
          <w:sz w:val="24"/>
          <w:szCs w:val="24"/>
        </w:rPr>
        <w:tab/>
        <w:t>Zohoncon TM, Bisseye C, Djigma FW, Yonli AT, Compaore TR, Sagna T, et al. Prevalence of HPV High-Risk Genotypes in Three Cohorts of Women in Ouagadougou (Burkina Faso). Mediterr J Hematol Infect Dis. 2013;5: e2013059. doi:10.4084/MJHID.2013.059</w:t>
      </w:r>
    </w:p>
    <w:p w14:paraId="56F3E356"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25. </w:t>
      </w:r>
      <w:r w:rsidRPr="00B818D9">
        <w:rPr>
          <w:rFonts w:ascii="Times New Roman" w:hAnsi="Times New Roman" w:cs="Times New Roman"/>
          <w:sz w:val="24"/>
          <w:szCs w:val="24"/>
        </w:rPr>
        <w:tab/>
        <w:t>Odimegwu CO, Ugwu NH. A multilevel mixed effect analysis of neighbourhood and individual level determinants of risky sexual behaviour among young people in South Africa. Reprod Health. 2022;19: 119. doi:10.1186/s12978-022-01407-9</w:t>
      </w:r>
    </w:p>
    <w:p w14:paraId="6565422A"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26. </w:t>
      </w:r>
      <w:r w:rsidRPr="00B818D9">
        <w:rPr>
          <w:rFonts w:ascii="Times New Roman" w:hAnsi="Times New Roman" w:cs="Times New Roman"/>
          <w:sz w:val="24"/>
          <w:szCs w:val="24"/>
        </w:rPr>
        <w:tab/>
        <w:t>Borges ALV, Duarte LS, Lay AAR, Fujimori E. Individual and context correlates of the oral pill and condom use among Brazilian female adolescents. BMC Womens Health. 2021;21: 307. doi:10.1186/s12905-021-01447-6</w:t>
      </w:r>
    </w:p>
    <w:p w14:paraId="0FB139A7" w14:textId="556135A5" w:rsidR="00317300" w:rsidRDefault="00317300" w:rsidP="00B818D9">
      <w:pPr>
        <w:spacing w:line="360" w:lineRule="auto"/>
        <w:jc w:val="both"/>
        <w:rPr>
          <w:rFonts w:ascii="Times New Roman" w:hAnsi="Times New Roman" w:cs="Times New Roman"/>
          <w:sz w:val="24"/>
          <w:szCs w:val="24"/>
        </w:rPr>
      </w:pPr>
      <w:r w:rsidRPr="00317300">
        <w:rPr>
          <w:rFonts w:ascii="Times New Roman" w:hAnsi="Times New Roman" w:cs="Times New Roman"/>
          <w:sz w:val="24"/>
          <w:szCs w:val="24"/>
        </w:rPr>
        <w:t xml:space="preserve">27. Dakenyo RD, Kenfack B, Vogue N, Tsakoue EF, Ebode ME, Cumber SN. Knowledge, attitudes and practices of women of reproductive age in the Mifi Health District on cervical cancer prevention, Cameroon. Pan Afr Med J. 2018;31. Available: </w:t>
      </w:r>
      <w:hyperlink r:id="rId12" w:history="1">
        <w:r w:rsidRPr="009D2EF1">
          <w:rPr>
            <w:rStyle w:val="Hyperlink"/>
            <w:rFonts w:ascii="Times New Roman" w:hAnsi="Times New Roman" w:cs="Times New Roman"/>
            <w:sz w:val="24"/>
            <w:szCs w:val="24"/>
          </w:rPr>
          <w:t>https://www.ajol.info/index.php/pamj/article/view/208085</w:t>
        </w:r>
      </w:hyperlink>
    </w:p>
    <w:p w14:paraId="6A1EB5CE" w14:textId="21748F7C"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28. </w:t>
      </w:r>
      <w:r w:rsidRPr="00B818D9">
        <w:rPr>
          <w:rFonts w:ascii="Times New Roman" w:hAnsi="Times New Roman" w:cs="Times New Roman"/>
          <w:sz w:val="24"/>
          <w:szCs w:val="24"/>
        </w:rPr>
        <w:tab/>
        <w:t>Ezeanya CC, Agbakoba ,Nneka Regina, Enweani ,Ifeoma Bessie, and Oguejiofor C. Predominance of cervicitis agents with minimal testing rate within the student population in Benin city, Nigeria. J Obstet Gynaecol. 2019;39: 840–844. doi:10.1080/01443615.2019.1584888</w:t>
      </w:r>
    </w:p>
    <w:p w14:paraId="05E982E1" w14:textId="77777777" w:rsidR="00317300" w:rsidRDefault="00317300" w:rsidP="00B818D9">
      <w:pPr>
        <w:spacing w:line="360" w:lineRule="auto"/>
        <w:jc w:val="both"/>
        <w:rPr>
          <w:rFonts w:ascii="Times New Roman" w:hAnsi="Times New Roman" w:cs="Times New Roman"/>
          <w:sz w:val="24"/>
          <w:szCs w:val="24"/>
        </w:rPr>
      </w:pPr>
      <w:r w:rsidRPr="00317300">
        <w:rPr>
          <w:rFonts w:ascii="Times New Roman" w:hAnsi="Times New Roman" w:cs="Times New Roman"/>
          <w:sz w:val="24"/>
          <w:szCs w:val="24"/>
        </w:rPr>
        <w:t>29. Carneiro FP, Darós AC, Darós ACM, de Castro TMML, de Vasconcelos Carneiro M, Fidelis CR, et al. Cervical Cytology of Samples with Ureaplasma urealyticum, Ureaplasma parvum, Chlamydia trachomatis, Trichomonas vaginalis, Mycoplasma hominis, and Neisseria gonorrhoeae Detected by Multiplex PCR. BioMed Res Int. 2020;2020: 7045217. doi:10.1155/2020/7045217</w:t>
      </w:r>
    </w:p>
    <w:p w14:paraId="03295017" w14:textId="75B39860"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30. </w:t>
      </w:r>
      <w:r w:rsidRPr="00B818D9">
        <w:rPr>
          <w:rFonts w:ascii="Times New Roman" w:hAnsi="Times New Roman" w:cs="Times New Roman"/>
          <w:sz w:val="24"/>
          <w:szCs w:val="24"/>
        </w:rPr>
        <w:tab/>
        <w:t>Grondin C, Duron S, Robin F, Verret C, Imbert P. [Adolescents’ knowledge and behavior on sexuality, infectious transmitted diseases, and human papillomavirus vaccination: results of a survey in a French high school]. Arch Pediatr. 2013;20: 845–852. doi:10.1016/j.arcped.2013.05.012</w:t>
      </w:r>
    </w:p>
    <w:p w14:paraId="62F224BF"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31. </w:t>
      </w:r>
      <w:r w:rsidRPr="00B818D9">
        <w:rPr>
          <w:rFonts w:ascii="Times New Roman" w:hAnsi="Times New Roman" w:cs="Times New Roman"/>
          <w:sz w:val="24"/>
          <w:szCs w:val="24"/>
        </w:rPr>
        <w:tab/>
        <w:t>Ho GYF, Bierman R, Beardsley L, Chang CJ, Burk RD. Natural History of Cervicovaginal Papillomavirus Infection in Young Women. N Engl J Med. 1998;338: 423–428. doi:10.1056/NEJM199802123380703</w:t>
      </w:r>
    </w:p>
    <w:p w14:paraId="7E789B89"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lastRenderedPageBreak/>
        <w:t xml:space="preserve">32. </w:t>
      </w:r>
      <w:r w:rsidRPr="00B818D9">
        <w:rPr>
          <w:rFonts w:ascii="Times New Roman" w:hAnsi="Times New Roman" w:cs="Times New Roman"/>
          <w:sz w:val="24"/>
          <w:szCs w:val="24"/>
        </w:rPr>
        <w:tab/>
        <w:t>Thomas JO, Herrero R, Omigbodun AA, Ojemakinde K, Ajayi IO, Fawole A, et al. Prevalence of papillomavirus infection in women in Ibadan, Nigeria: a population-based study. Br J Cancer. 2004;90: 638–645. doi:10.1038/sj.bjc.6601515</w:t>
      </w:r>
    </w:p>
    <w:p w14:paraId="73F3DA0B"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33. </w:t>
      </w:r>
      <w:r w:rsidRPr="00B818D9">
        <w:rPr>
          <w:rFonts w:ascii="Times New Roman" w:hAnsi="Times New Roman" w:cs="Times New Roman"/>
          <w:sz w:val="24"/>
          <w:szCs w:val="24"/>
        </w:rPr>
        <w:tab/>
        <w:t>Lubeya MK, Mwanahamuntu M, Chibwesha CJ, Mukosha M, Monde MW, Kawonga M. Implementation Strategies Used to Increase Human Papillomavirus Vaccination Uptake by Adolescent Girls in Sub-Saharan Africa: A Scoping Review. Vaccines. 2023;11: 1246. doi:10.3390/vaccines11071246</w:t>
      </w:r>
    </w:p>
    <w:p w14:paraId="6D00BAD3"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34. </w:t>
      </w:r>
      <w:r w:rsidRPr="00B818D9">
        <w:rPr>
          <w:rFonts w:ascii="Times New Roman" w:hAnsi="Times New Roman" w:cs="Times New Roman"/>
          <w:sz w:val="24"/>
          <w:szCs w:val="24"/>
        </w:rPr>
        <w:tab/>
        <w:t>Chaturvedi AK, Katki HA, Hildesheim A, Rodríguez AC, Quint W, Schiffman M, et al. Human Papillomavirus Infection with Multiple Types: Pattern of Coinfection and Risk of Cervical Disease. J Infect Dis. 2011;203: 910–920. doi:10.1093/infdis/jiq139</w:t>
      </w:r>
    </w:p>
    <w:p w14:paraId="500C20F8"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35. </w:t>
      </w:r>
      <w:r w:rsidRPr="00B818D9">
        <w:rPr>
          <w:rFonts w:ascii="Times New Roman" w:hAnsi="Times New Roman" w:cs="Times New Roman"/>
          <w:sz w:val="24"/>
          <w:szCs w:val="24"/>
        </w:rPr>
        <w:tab/>
        <w:t>Ogembo RK, Gona PN, Seymour AJ, Park HS-M, Bain PA, Maranda L, et al. Prevalence of Human Papillomavirus Genotypes among African Women with Normal Cervical Cytology and Neoplasia: A Systematic Review and Meta-Analysis. PLOS ONE. 2015;10: e0122488. doi:10.1371/journal.pone.0122488</w:t>
      </w:r>
    </w:p>
    <w:p w14:paraId="7C59AEB8"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36. </w:t>
      </w:r>
      <w:r w:rsidRPr="00B818D9">
        <w:rPr>
          <w:rFonts w:ascii="Times New Roman" w:hAnsi="Times New Roman" w:cs="Times New Roman"/>
          <w:sz w:val="24"/>
          <w:szCs w:val="24"/>
        </w:rPr>
        <w:tab/>
        <w:t>Boumba ALM, Malanda Mboungou Moudiongui D, Ngatali SFC, Takale RP, Moukassa D, Peko JF. Oncogenic human papillomavirus in breast cancer: molecular prevalence in a group of Congolese patients. Access Microbiol. 2021;3: 000216. doi:10.1099/acmi.0.000216</w:t>
      </w:r>
    </w:p>
    <w:p w14:paraId="1790C6E0"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37. </w:t>
      </w:r>
      <w:r w:rsidRPr="00B818D9">
        <w:rPr>
          <w:rFonts w:ascii="Times New Roman" w:hAnsi="Times New Roman" w:cs="Times New Roman"/>
          <w:sz w:val="24"/>
          <w:szCs w:val="24"/>
        </w:rPr>
        <w:tab/>
        <w:t>Bouassa R-SM, Nodjikouambaye ZA, Sadjoli D, Adawaye C, Péré H, Veyer D, et al. High prevalence of cervical high-risk human papillomavirus infection mostly covered by Gardasil-9 prophylactic vaccine in adult women living in N’Djamena, Chad. PLOS ONE. 2019;14: e0217486. doi:10.1371/journal.pone.0217486</w:t>
      </w:r>
    </w:p>
    <w:p w14:paraId="282A46EF"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38. </w:t>
      </w:r>
      <w:r w:rsidRPr="00B818D9">
        <w:rPr>
          <w:rFonts w:ascii="Times New Roman" w:hAnsi="Times New Roman" w:cs="Times New Roman"/>
          <w:sz w:val="24"/>
          <w:szCs w:val="24"/>
        </w:rPr>
        <w:tab/>
        <w:t>Adams AR, Nortey PA, Dortey BA, Asmah RH, Wiredu EK. Cervical Human Papillomavirus Prevalence, Genotypes, and Associated Risk Factors among Female Sex Workers in Greater Accra, Ghana. J Oncol. 2019;2019: e8062176. doi:10.1155/2019/8062176</w:t>
      </w:r>
    </w:p>
    <w:p w14:paraId="762DE3E2" w14:textId="77777777" w:rsidR="00317300" w:rsidRDefault="00317300" w:rsidP="00B818D9">
      <w:pPr>
        <w:spacing w:line="360" w:lineRule="auto"/>
        <w:jc w:val="both"/>
        <w:rPr>
          <w:rFonts w:ascii="Times New Roman" w:hAnsi="Times New Roman" w:cs="Times New Roman"/>
          <w:sz w:val="24"/>
          <w:szCs w:val="24"/>
        </w:rPr>
      </w:pPr>
      <w:r w:rsidRPr="00317300">
        <w:rPr>
          <w:rFonts w:ascii="Times New Roman" w:hAnsi="Times New Roman" w:cs="Times New Roman"/>
          <w:sz w:val="24"/>
          <w:szCs w:val="24"/>
        </w:rPr>
        <w:t>39. Ouédraogo CMR, Rahimy RML, Zohoncon TM, Djigma FW, Yonli AT, Ouermi D, et al. Epidemiology and characterization of high-risk human papillomavirus genotypes in a population of sexually active adolescents in Ouagadougou. J Gynecology Obstetrics Biol Reprod. 2015;44:715–722. doi:10.1016/j.jgyn.2014.12.021</w:t>
      </w:r>
    </w:p>
    <w:p w14:paraId="2ADE46BD" w14:textId="43D8FB4F"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40. </w:t>
      </w:r>
      <w:r w:rsidRPr="00B818D9">
        <w:rPr>
          <w:rFonts w:ascii="Times New Roman" w:hAnsi="Times New Roman" w:cs="Times New Roman"/>
          <w:sz w:val="24"/>
          <w:szCs w:val="24"/>
        </w:rPr>
        <w:tab/>
        <w:t>Watson-Jones D, Baisley K, Brown J, Kavishe B, Andreasen A, Changalucha J, et al. High prevalence and incidence of human papillomavirus in a cohort of healthy young African female subjects. Sex Transm Infect. 2013;89: 358–365. doi:10.1136/sextrans-2012-050685</w:t>
      </w:r>
    </w:p>
    <w:p w14:paraId="2C4C8047" w14:textId="77777777" w:rsidR="00072F4A" w:rsidRPr="00B818D9"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lastRenderedPageBreak/>
        <w:t xml:space="preserve">41. </w:t>
      </w:r>
      <w:r w:rsidRPr="00B818D9">
        <w:rPr>
          <w:rFonts w:ascii="Times New Roman" w:hAnsi="Times New Roman" w:cs="Times New Roman"/>
          <w:sz w:val="24"/>
          <w:szCs w:val="24"/>
        </w:rPr>
        <w:tab/>
        <w:t>Didelot-Rousseau M-N, Nagot N, Costes-Martineau V, Vallès X, Ouedraogo A, Konate I, et al. Human papillomavirus genotype distribution and cervical squamous intraepithelial lesions among high-risk women with and without HIV-1 infection in Burkina Faso. Br J Cancer. 2006;95: 355–362. doi:10.1038/sj.bjc.6603252</w:t>
      </w:r>
    </w:p>
    <w:p w14:paraId="0DE1DF70" w14:textId="0158D263" w:rsidR="00072F4A" w:rsidRDefault="00072F4A" w:rsidP="00B818D9">
      <w:pPr>
        <w:spacing w:line="360" w:lineRule="auto"/>
        <w:jc w:val="both"/>
        <w:rPr>
          <w:rFonts w:ascii="Times New Roman" w:hAnsi="Times New Roman" w:cs="Times New Roman"/>
          <w:sz w:val="24"/>
          <w:szCs w:val="24"/>
        </w:rPr>
      </w:pPr>
      <w:r w:rsidRPr="00B818D9">
        <w:rPr>
          <w:rFonts w:ascii="Times New Roman" w:hAnsi="Times New Roman" w:cs="Times New Roman"/>
          <w:sz w:val="24"/>
          <w:szCs w:val="24"/>
        </w:rPr>
        <w:t xml:space="preserve">42. </w:t>
      </w:r>
      <w:r w:rsidRPr="00B818D9">
        <w:rPr>
          <w:rFonts w:ascii="Times New Roman" w:hAnsi="Times New Roman" w:cs="Times New Roman"/>
          <w:sz w:val="24"/>
          <w:szCs w:val="24"/>
        </w:rPr>
        <w:tab/>
        <w:t>Suominen NT, Luukkaala TH, Laprise C, Haataja MA, Grénman SE, Syrjänen SM, et al. Human Papillomavirus Concordance Between Parents and Their Newborn Offspring: Results From the Finnish Family Human Papillomavirus Study. J Infect Dis. 2024;229: 448–456. doi:10.1093/infdis/jiad330</w:t>
      </w:r>
    </w:p>
    <w:p w14:paraId="478BBE9C" w14:textId="78AD8F4B" w:rsidR="00F648BF" w:rsidRDefault="00F648BF" w:rsidP="00B818D9">
      <w:pPr>
        <w:spacing w:line="360" w:lineRule="auto"/>
        <w:jc w:val="both"/>
        <w:rPr>
          <w:rFonts w:ascii="Arial" w:hAnsi="Arial" w:cs="Arial"/>
          <w:color w:val="222222"/>
          <w:sz w:val="20"/>
          <w:szCs w:val="20"/>
          <w:highlight w:val="yellow"/>
          <w:shd w:val="clear" w:color="auto" w:fill="FFFFFF"/>
        </w:rPr>
      </w:pPr>
      <w:r w:rsidRPr="00113791">
        <w:rPr>
          <w:rFonts w:ascii="Arial" w:hAnsi="Arial" w:cs="Arial"/>
          <w:color w:val="222222"/>
          <w:sz w:val="20"/>
          <w:szCs w:val="20"/>
          <w:highlight w:val="yellow"/>
          <w:shd w:val="clear" w:color="auto" w:fill="FFFFFF"/>
        </w:rPr>
        <w:t>Alotaibi, H. J., Almajhdi, F. N., Alsaleh, A. N., Obeid, D. A., Khayat, H. H., Al-Muammer, T. A., ... &amp; Alhamlan, F. S. (2020). Association of sexually transmitted infections and human papillomavirus co-infection with abnormal cervical cytology among women in Saudi Arabia. </w:t>
      </w:r>
      <w:r w:rsidRPr="00113791">
        <w:rPr>
          <w:rFonts w:ascii="Arial" w:hAnsi="Arial" w:cs="Arial"/>
          <w:i/>
          <w:iCs/>
          <w:color w:val="222222"/>
          <w:sz w:val="20"/>
          <w:szCs w:val="20"/>
          <w:highlight w:val="yellow"/>
          <w:shd w:val="clear" w:color="auto" w:fill="FFFFFF"/>
        </w:rPr>
        <w:t>Saudi journal of biological sciences</w:t>
      </w:r>
      <w:r w:rsidRPr="00113791">
        <w:rPr>
          <w:rFonts w:ascii="Arial" w:hAnsi="Arial" w:cs="Arial"/>
          <w:color w:val="222222"/>
          <w:sz w:val="20"/>
          <w:szCs w:val="20"/>
          <w:highlight w:val="yellow"/>
          <w:shd w:val="clear" w:color="auto" w:fill="FFFFFF"/>
        </w:rPr>
        <w:t>, </w:t>
      </w:r>
      <w:r w:rsidRPr="00113791">
        <w:rPr>
          <w:rFonts w:ascii="Arial" w:hAnsi="Arial" w:cs="Arial"/>
          <w:i/>
          <w:iCs/>
          <w:color w:val="222222"/>
          <w:sz w:val="20"/>
          <w:szCs w:val="20"/>
          <w:highlight w:val="yellow"/>
          <w:shd w:val="clear" w:color="auto" w:fill="FFFFFF"/>
        </w:rPr>
        <w:t>27</w:t>
      </w:r>
      <w:r w:rsidRPr="00113791">
        <w:rPr>
          <w:rFonts w:ascii="Arial" w:hAnsi="Arial" w:cs="Arial"/>
          <w:color w:val="222222"/>
          <w:sz w:val="20"/>
          <w:szCs w:val="20"/>
          <w:highlight w:val="yellow"/>
          <w:shd w:val="clear" w:color="auto" w:fill="FFFFFF"/>
        </w:rPr>
        <w:t>(6), 1587-1595.</w:t>
      </w:r>
    </w:p>
    <w:p w14:paraId="355F1DDE" w14:textId="751CA05A" w:rsidR="000E5D9A" w:rsidRDefault="000E5D9A" w:rsidP="00B818D9">
      <w:pPr>
        <w:spacing w:line="360" w:lineRule="auto"/>
        <w:jc w:val="both"/>
        <w:rPr>
          <w:rFonts w:ascii="Arial" w:hAnsi="Arial" w:cs="Arial"/>
          <w:color w:val="222222"/>
          <w:sz w:val="20"/>
          <w:szCs w:val="20"/>
          <w:highlight w:val="yellow"/>
          <w:shd w:val="clear" w:color="auto" w:fill="FFFFFF"/>
        </w:rPr>
      </w:pPr>
      <w:r w:rsidRPr="00113791">
        <w:rPr>
          <w:rFonts w:ascii="Arial" w:hAnsi="Arial" w:cs="Arial"/>
          <w:color w:val="222222"/>
          <w:sz w:val="20"/>
          <w:szCs w:val="20"/>
          <w:highlight w:val="yellow"/>
          <w:shd w:val="clear" w:color="auto" w:fill="FFFFFF"/>
        </w:rPr>
        <w:t>Bi, H., Zhang, D., &amp; Xiao, B. (2023). Association between human papillomavirus infection and common sexually transmitted infections, and the clinical significance of different Mycoplasma subtypes. </w:t>
      </w:r>
      <w:r w:rsidRPr="00113791">
        <w:rPr>
          <w:rFonts w:ascii="Arial" w:hAnsi="Arial" w:cs="Arial"/>
          <w:i/>
          <w:iCs/>
          <w:color w:val="222222"/>
          <w:sz w:val="20"/>
          <w:szCs w:val="20"/>
          <w:highlight w:val="yellow"/>
          <w:shd w:val="clear" w:color="auto" w:fill="FFFFFF"/>
        </w:rPr>
        <w:t>Frontiers in Cellular and Infection Microbiology</w:t>
      </w:r>
      <w:r w:rsidRPr="00113791">
        <w:rPr>
          <w:rFonts w:ascii="Arial" w:hAnsi="Arial" w:cs="Arial"/>
          <w:color w:val="222222"/>
          <w:sz w:val="20"/>
          <w:szCs w:val="20"/>
          <w:highlight w:val="yellow"/>
          <w:shd w:val="clear" w:color="auto" w:fill="FFFFFF"/>
        </w:rPr>
        <w:t>, </w:t>
      </w:r>
      <w:r w:rsidRPr="00113791">
        <w:rPr>
          <w:rFonts w:ascii="Arial" w:hAnsi="Arial" w:cs="Arial"/>
          <w:i/>
          <w:iCs/>
          <w:color w:val="222222"/>
          <w:sz w:val="20"/>
          <w:szCs w:val="20"/>
          <w:highlight w:val="yellow"/>
          <w:shd w:val="clear" w:color="auto" w:fill="FFFFFF"/>
        </w:rPr>
        <w:t>13</w:t>
      </w:r>
      <w:r w:rsidRPr="00113791">
        <w:rPr>
          <w:rFonts w:ascii="Arial" w:hAnsi="Arial" w:cs="Arial"/>
          <w:color w:val="222222"/>
          <w:sz w:val="20"/>
          <w:szCs w:val="20"/>
          <w:highlight w:val="yellow"/>
          <w:shd w:val="clear" w:color="auto" w:fill="FFFFFF"/>
        </w:rPr>
        <w:t>, 1145215.</w:t>
      </w:r>
    </w:p>
    <w:p w14:paraId="66409F5E" w14:textId="5C4A7D85" w:rsidR="00E3218A" w:rsidRDefault="00E3218A" w:rsidP="00B818D9">
      <w:pPr>
        <w:spacing w:line="360" w:lineRule="auto"/>
        <w:jc w:val="both"/>
        <w:rPr>
          <w:rFonts w:ascii="Arial" w:hAnsi="Arial" w:cs="Arial"/>
          <w:color w:val="222222"/>
          <w:sz w:val="20"/>
          <w:szCs w:val="20"/>
          <w:highlight w:val="yellow"/>
          <w:shd w:val="clear" w:color="auto" w:fill="FFFFFF"/>
        </w:rPr>
      </w:pPr>
      <w:r w:rsidRPr="00113791">
        <w:rPr>
          <w:rFonts w:ascii="Arial" w:hAnsi="Arial" w:cs="Arial"/>
          <w:color w:val="222222"/>
          <w:sz w:val="20"/>
          <w:szCs w:val="20"/>
          <w:highlight w:val="yellow"/>
          <w:shd w:val="clear" w:color="auto" w:fill="FFFFFF"/>
        </w:rPr>
        <w:t>Shannon, C. L., &amp; Klausner, J. D. (2018). The growing epidemic of sexually transmitted infections in adolescents: a neglected population. </w:t>
      </w:r>
      <w:r w:rsidRPr="00113791">
        <w:rPr>
          <w:rFonts w:ascii="Arial" w:hAnsi="Arial" w:cs="Arial"/>
          <w:i/>
          <w:iCs/>
          <w:color w:val="222222"/>
          <w:sz w:val="20"/>
          <w:szCs w:val="20"/>
          <w:highlight w:val="yellow"/>
          <w:shd w:val="clear" w:color="auto" w:fill="FFFFFF"/>
        </w:rPr>
        <w:t>Current opinion in pediatrics</w:t>
      </w:r>
      <w:r w:rsidRPr="00113791">
        <w:rPr>
          <w:rFonts w:ascii="Arial" w:hAnsi="Arial" w:cs="Arial"/>
          <w:color w:val="222222"/>
          <w:sz w:val="20"/>
          <w:szCs w:val="20"/>
          <w:highlight w:val="yellow"/>
          <w:shd w:val="clear" w:color="auto" w:fill="FFFFFF"/>
        </w:rPr>
        <w:t>, </w:t>
      </w:r>
      <w:r w:rsidRPr="00113791">
        <w:rPr>
          <w:rFonts w:ascii="Arial" w:hAnsi="Arial" w:cs="Arial"/>
          <w:i/>
          <w:iCs/>
          <w:color w:val="222222"/>
          <w:sz w:val="20"/>
          <w:szCs w:val="20"/>
          <w:highlight w:val="yellow"/>
          <w:shd w:val="clear" w:color="auto" w:fill="FFFFFF"/>
        </w:rPr>
        <w:t>30</w:t>
      </w:r>
      <w:r w:rsidRPr="00113791">
        <w:rPr>
          <w:rFonts w:ascii="Arial" w:hAnsi="Arial" w:cs="Arial"/>
          <w:color w:val="222222"/>
          <w:sz w:val="20"/>
          <w:szCs w:val="20"/>
          <w:highlight w:val="yellow"/>
          <w:shd w:val="clear" w:color="auto" w:fill="FFFFFF"/>
        </w:rPr>
        <w:t>(1), 137-143.</w:t>
      </w:r>
    </w:p>
    <w:p w14:paraId="72278777" w14:textId="5340E023" w:rsidR="00961430" w:rsidRPr="00113791" w:rsidRDefault="00961430" w:rsidP="00961430">
      <w:pPr>
        <w:shd w:val="clear" w:color="auto" w:fill="FFFFFF"/>
        <w:spacing w:after="0" w:line="240" w:lineRule="auto"/>
        <w:rPr>
          <w:rFonts w:ascii="Arial" w:eastAsia="Times New Roman" w:hAnsi="Arial" w:cs="Arial"/>
          <w:noProof w:val="0"/>
          <w:color w:val="333333"/>
          <w:szCs w:val="27"/>
          <w:lang w:val="en-US"/>
        </w:rPr>
      </w:pPr>
      <w:r w:rsidRPr="00113791">
        <w:rPr>
          <w:rFonts w:ascii="Arial" w:eastAsia="Times New Roman" w:hAnsi="Arial" w:cs="Arial"/>
          <w:noProof w:val="0"/>
          <w:color w:val="333333"/>
          <w:szCs w:val="27"/>
          <w:highlight w:val="yellow"/>
          <w:lang w:val="en-US"/>
        </w:rPr>
        <w:t>Attinsounon, Cossi Angelo, Aubierge Akonakpo, Albert Dovonou, Clodel Yamongbè, and Thierry Adoukonou. 2023. “Sexual Practices at Risk of Sexually Transmitted Infections Among Students at the University of Parakou in 2022: A Cross-Sectional Survey”. </w:t>
      </w:r>
      <w:r w:rsidRPr="00113791">
        <w:rPr>
          <w:rFonts w:ascii="Arial" w:eastAsia="Times New Roman" w:hAnsi="Arial" w:cs="Arial"/>
          <w:i/>
          <w:iCs/>
          <w:noProof w:val="0"/>
          <w:color w:val="333333"/>
          <w:szCs w:val="27"/>
          <w:highlight w:val="yellow"/>
          <w:lang w:val="en-US"/>
        </w:rPr>
        <w:t>Asian Journal of Research in Infectious Diseases</w:t>
      </w:r>
      <w:r w:rsidRPr="00113791">
        <w:rPr>
          <w:rFonts w:ascii="Arial" w:eastAsia="Times New Roman" w:hAnsi="Arial" w:cs="Arial"/>
          <w:noProof w:val="0"/>
          <w:color w:val="333333"/>
          <w:szCs w:val="27"/>
          <w:highlight w:val="yellow"/>
          <w:lang w:val="en-US"/>
        </w:rPr>
        <w:t> 14 (4):94-102.</w:t>
      </w:r>
      <w:r w:rsidRPr="00113791">
        <w:rPr>
          <w:rFonts w:ascii="Arial" w:eastAsia="Times New Roman" w:hAnsi="Arial" w:cs="Arial"/>
          <w:noProof w:val="0"/>
          <w:color w:val="333333"/>
          <w:szCs w:val="27"/>
          <w:lang w:val="en-US"/>
        </w:rPr>
        <w:t xml:space="preserve"> </w:t>
      </w:r>
    </w:p>
    <w:p w14:paraId="7AE3800B" w14:textId="04B42454" w:rsidR="00961430" w:rsidRPr="00113791" w:rsidRDefault="00961430" w:rsidP="00961430">
      <w:pPr>
        <w:shd w:val="clear" w:color="auto" w:fill="FFFFFF"/>
        <w:spacing w:after="0" w:line="240" w:lineRule="auto"/>
        <w:rPr>
          <w:rFonts w:ascii="Arial" w:eastAsia="Times New Roman" w:hAnsi="Arial" w:cs="Arial"/>
          <w:noProof w:val="0"/>
          <w:color w:val="333333"/>
          <w:szCs w:val="27"/>
          <w:lang w:val="en-US"/>
        </w:rPr>
      </w:pPr>
    </w:p>
    <w:p w14:paraId="22D2C031" w14:textId="49FF224A" w:rsidR="00961430" w:rsidRPr="00113791" w:rsidRDefault="00961430" w:rsidP="00961430">
      <w:pPr>
        <w:shd w:val="clear" w:color="auto" w:fill="FFFFFF"/>
        <w:spacing w:after="0" w:line="240" w:lineRule="auto"/>
        <w:rPr>
          <w:rFonts w:ascii="Arial" w:eastAsia="Times New Roman" w:hAnsi="Arial" w:cs="Arial"/>
          <w:noProof w:val="0"/>
          <w:color w:val="333333"/>
          <w:szCs w:val="27"/>
          <w:lang w:val="en-US"/>
        </w:rPr>
      </w:pPr>
      <w:r w:rsidRPr="00113791">
        <w:rPr>
          <w:rFonts w:ascii="Arial" w:eastAsia="Times New Roman" w:hAnsi="Arial" w:cs="Arial"/>
          <w:noProof w:val="0"/>
          <w:color w:val="333333"/>
          <w:szCs w:val="27"/>
          <w:highlight w:val="yellow"/>
          <w:lang w:val="en-US"/>
        </w:rPr>
        <w:t>Ikokwu, Godwin Mmaduabuchi, Ikalo David Oseghale, Osedebamen Hilary Ralph-Okhiria, and Esosa Frances Ighile. 2023. “Protecting Your Health: A Comprehensive Review of Sexually Transmitted Illnesses”. </w:t>
      </w:r>
      <w:r w:rsidRPr="00113791">
        <w:rPr>
          <w:rFonts w:ascii="Arial" w:eastAsia="Times New Roman" w:hAnsi="Arial" w:cs="Arial"/>
          <w:i/>
          <w:iCs/>
          <w:noProof w:val="0"/>
          <w:color w:val="333333"/>
          <w:szCs w:val="27"/>
          <w:highlight w:val="yellow"/>
          <w:lang w:val="en-US"/>
        </w:rPr>
        <w:t>International STD Research &amp; Reviews</w:t>
      </w:r>
      <w:r w:rsidRPr="00113791">
        <w:rPr>
          <w:rFonts w:ascii="Arial" w:eastAsia="Times New Roman" w:hAnsi="Arial" w:cs="Arial"/>
          <w:noProof w:val="0"/>
          <w:color w:val="333333"/>
          <w:szCs w:val="27"/>
          <w:highlight w:val="yellow"/>
          <w:lang w:val="en-US"/>
        </w:rPr>
        <w:t> 12 (1):25-45.</w:t>
      </w:r>
      <w:r w:rsidRPr="00113791">
        <w:rPr>
          <w:rFonts w:ascii="Arial" w:eastAsia="Times New Roman" w:hAnsi="Arial" w:cs="Arial"/>
          <w:noProof w:val="0"/>
          <w:color w:val="333333"/>
          <w:szCs w:val="27"/>
          <w:lang w:val="en-US"/>
        </w:rPr>
        <w:t xml:space="preserve"> </w:t>
      </w:r>
    </w:p>
    <w:p w14:paraId="0DE26796" w14:textId="77777777" w:rsidR="00961430" w:rsidRPr="00961430" w:rsidRDefault="00961430" w:rsidP="00961430">
      <w:pPr>
        <w:shd w:val="clear" w:color="auto" w:fill="FFFFFF"/>
        <w:spacing w:after="0" w:line="240" w:lineRule="auto"/>
        <w:rPr>
          <w:rFonts w:ascii="Arial" w:eastAsia="Times New Roman" w:hAnsi="Arial" w:cs="Arial"/>
          <w:noProof w:val="0"/>
          <w:color w:val="333333"/>
          <w:sz w:val="27"/>
          <w:szCs w:val="27"/>
          <w:lang w:val="en-US"/>
        </w:rPr>
      </w:pPr>
    </w:p>
    <w:p w14:paraId="30BE50A0" w14:textId="77777777" w:rsidR="00961430" w:rsidRPr="00B818D9" w:rsidRDefault="00961430" w:rsidP="00B818D9">
      <w:pPr>
        <w:spacing w:line="360" w:lineRule="auto"/>
        <w:jc w:val="both"/>
        <w:rPr>
          <w:rFonts w:ascii="Times New Roman" w:hAnsi="Times New Roman" w:cs="Times New Roman"/>
          <w:sz w:val="24"/>
          <w:szCs w:val="24"/>
        </w:rPr>
      </w:pPr>
    </w:p>
    <w:p w14:paraId="79651972" w14:textId="77777777" w:rsidR="00072F4A" w:rsidRPr="00B818D9" w:rsidRDefault="00072F4A" w:rsidP="00B818D9">
      <w:pPr>
        <w:pStyle w:val="NormalWeb"/>
        <w:spacing w:line="360" w:lineRule="auto"/>
        <w:jc w:val="both"/>
      </w:pPr>
    </w:p>
    <w:p w14:paraId="0FE5CDEE" w14:textId="77777777" w:rsidR="00072F4A" w:rsidRPr="00B818D9" w:rsidRDefault="00072F4A" w:rsidP="00B818D9">
      <w:pPr>
        <w:pStyle w:val="NormalWeb"/>
        <w:spacing w:line="360" w:lineRule="auto"/>
        <w:jc w:val="both"/>
      </w:pPr>
    </w:p>
    <w:p w14:paraId="59D92172" w14:textId="77777777" w:rsidR="00072F4A" w:rsidRPr="00B818D9" w:rsidRDefault="00072F4A" w:rsidP="00B818D9">
      <w:pPr>
        <w:pStyle w:val="NormalWeb"/>
        <w:spacing w:line="360" w:lineRule="auto"/>
        <w:jc w:val="both"/>
      </w:pPr>
    </w:p>
    <w:p w14:paraId="3E598E42" w14:textId="33F31FA5" w:rsidR="003E5DCD" w:rsidRPr="00B818D9" w:rsidRDefault="003E5DCD" w:rsidP="00B818D9">
      <w:pPr>
        <w:pStyle w:val="NormalWeb"/>
        <w:spacing w:line="360" w:lineRule="auto"/>
        <w:jc w:val="both"/>
      </w:pPr>
    </w:p>
    <w:p w14:paraId="00D895EB"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p>
    <w:p w14:paraId="6372AAF7" w14:textId="77777777" w:rsidR="003E5DCD" w:rsidRPr="00B818D9" w:rsidRDefault="003E5DCD" w:rsidP="00B818D9">
      <w:pPr>
        <w:spacing w:after="0" w:line="360" w:lineRule="auto"/>
        <w:jc w:val="both"/>
        <w:rPr>
          <w:rFonts w:ascii="Times New Roman" w:eastAsia="Times New Roman" w:hAnsi="Times New Roman" w:cs="Times New Roman"/>
          <w:noProof w:val="0"/>
          <w:sz w:val="24"/>
          <w:szCs w:val="24"/>
          <w:lang w:eastAsia="fr-FR"/>
        </w:rPr>
      </w:pPr>
    </w:p>
    <w:p w14:paraId="51B4AEF3" w14:textId="77777777" w:rsidR="003E5DCD" w:rsidRPr="00B818D9" w:rsidRDefault="003E5DCD" w:rsidP="00B818D9">
      <w:pPr>
        <w:spacing w:before="100" w:beforeAutospacing="1" w:after="100" w:afterAutospacing="1" w:line="360" w:lineRule="auto"/>
        <w:jc w:val="both"/>
        <w:rPr>
          <w:rFonts w:ascii="Times New Roman" w:eastAsia="Times New Roman" w:hAnsi="Times New Roman" w:cs="Times New Roman"/>
          <w:noProof w:val="0"/>
          <w:sz w:val="24"/>
          <w:szCs w:val="24"/>
          <w:lang w:eastAsia="fr-FR"/>
        </w:rPr>
      </w:pPr>
    </w:p>
    <w:p w14:paraId="34B2ED8C" w14:textId="77777777" w:rsidR="003E5DCD" w:rsidRPr="00B818D9" w:rsidRDefault="003E5DCD" w:rsidP="00B818D9">
      <w:pPr>
        <w:spacing w:after="0" w:line="360" w:lineRule="auto"/>
        <w:jc w:val="both"/>
        <w:rPr>
          <w:rFonts w:ascii="Times New Roman" w:eastAsia="Times New Roman" w:hAnsi="Times New Roman" w:cs="Times New Roman"/>
          <w:noProof w:val="0"/>
          <w:sz w:val="24"/>
          <w:szCs w:val="24"/>
          <w:lang w:eastAsia="fr-FR"/>
        </w:rPr>
      </w:pPr>
    </w:p>
    <w:sectPr w:rsidR="003E5DCD" w:rsidRPr="00B818D9" w:rsidSect="00B3721A">
      <w:headerReference w:type="even" r:id="rId13"/>
      <w:headerReference w:type="default" r:id="rId14"/>
      <w:headerReference w:type="first" r:id="rId15"/>
      <w:pgSz w:w="11906" w:h="16838"/>
      <w:pgMar w:top="851"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7AA6D7" w16cex:dateUtc="2025-06-07T02:43:00Z"/>
  <w16cex:commentExtensible w16cex:durableId="5AD0D179" w16cex:dateUtc="2025-06-07T02:41:00Z"/>
  <w16cex:commentExtensible w16cex:durableId="4347D2FF" w16cex:dateUtc="2025-06-07T02: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72E39" w14:textId="77777777" w:rsidR="00CC2348" w:rsidRDefault="00CC2348" w:rsidP="00E02AFA">
      <w:pPr>
        <w:spacing w:after="0" w:line="240" w:lineRule="auto"/>
      </w:pPr>
      <w:r>
        <w:separator/>
      </w:r>
    </w:p>
  </w:endnote>
  <w:endnote w:type="continuationSeparator" w:id="0">
    <w:p w14:paraId="3B4F7990" w14:textId="77777777" w:rsidR="00CC2348" w:rsidRDefault="00CC2348" w:rsidP="00E02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FC513" w14:textId="77777777" w:rsidR="00CC2348" w:rsidRDefault="00CC2348" w:rsidP="00E02AFA">
      <w:pPr>
        <w:spacing w:after="0" w:line="240" w:lineRule="auto"/>
      </w:pPr>
      <w:r>
        <w:separator/>
      </w:r>
    </w:p>
  </w:footnote>
  <w:footnote w:type="continuationSeparator" w:id="0">
    <w:p w14:paraId="7EB29641" w14:textId="77777777" w:rsidR="00CC2348" w:rsidRDefault="00CC2348" w:rsidP="00E02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AFC90" w14:textId="1ADAF0C8" w:rsidR="00292A2B" w:rsidRDefault="00CC2348">
    <w:pPr>
      <w:pStyle w:val="Header"/>
    </w:pPr>
    <w:r>
      <w:pict w14:anchorId="0CD32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975079"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219A" w14:textId="3E66CF0C" w:rsidR="00292A2B" w:rsidRDefault="00CC2348">
    <w:pPr>
      <w:pStyle w:val="Header"/>
    </w:pPr>
    <w:r>
      <w:pict w14:anchorId="250EA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975080"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5A5A1" w14:textId="27029E2B" w:rsidR="00292A2B" w:rsidRDefault="00CC2348">
    <w:pPr>
      <w:pStyle w:val="Header"/>
    </w:pPr>
    <w:r>
      <w:pict w14:anchorId="65591E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975078"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61EFF"/>
    <w:multiLevelType w:val="multilevel"/>
    <w:tmpl w:val="0C9ABF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GysLQ0NjY0MDU0MDNV0lEKTi0uzszPAykwqgUA60hjqCwAAAA="/>
  </w:docVars>
  <w:rsids>
    <w:rsidRoot w:val="003E5DCD"/>
    <w:rsid w:val="00003F3B"/>
    <w:rsid w:val="00053D70"/>
    <w:rsid w:val="00072F4A"/>
    <w:rsid w:val="000A005A"/>
    <w:rsid w:val="000B6C02"/>
    <w:rsid w:val="000E5D9A"/>
    <w:rsid w:val="00113791"/>
    <w:rsid w:val="0011440B"/>
    <w:rsid w:val="001652B3"/>
    <w:rsid w:val="00194DAB"/>
    <w:rsid w:val="001B53CA"/>
    <w:rsid w:val="002128ED"/>
    <w:rsid w:val="002573E1"/>
    <w:rsid w:val="00257717"/>
    <w:rsid w:val="002733FA"/>
    <w:rsid w:val="00292A2B"/>
    <w:rsid w:val="002A3058"/>
    <w:rsid w:val="002A5474"/>
    <w:rsid w:val="00302FF7"/>
    <w:rsid w:val="00317300"/>
    <w:rsid w:val="0034416D"/>
    <w:rsid w:val="0039679D"/>
    <w:rsid w:val="003A35DF"/>
    <w:rsid w:val="003D7B8E"/>
    <w:rsid w:val="003E5DCD"/>
    <w:rsid w:val="00414C31"/>
    <w:rsid w:val="0041707B"/>
    <w:rsid w:val="004401B1"/>
    <w:rsid w:val="00453246"/>
    <w:rsid w:val="00467EEF"/>
    <w:rsid w:val="00471ABC"/>
    <w:rsid w:val="00482D14"/>
    <w:rsid w:val="004B464A"/>
    <w:rsid w:val="004E41DB"/>
    <w:rsid w:val="00511501"/>
    <w:rsid w:val="0055270B"/>
    <w:rsid w:val="005B1227"/>
    <w:rsid w:val="005D187F"/>
    <w:rsid w:val="005D2613"/>
    <w:rsid w:val="005F05B7"/>
    <w:rsid w:val="005F3840"/>
    <w:rsid w:val="00606DFC"/>
    <w:rsid w:val="006234B4"/>
    <w:rsid w:val="0062354C"/>
    <w:rsid w:val="00627753"/>
    <w:rsid w:val="00662A29"/>
    <w:rsid w:val="00670B0B"/>
    <w:rsid w:val="006B4802"/>
    <w:rsid w:val="0070439F"/>
    <w:rsid w:val="007B4321"/>
    <w:rsid w:val="007D3078"/>
    <w:rsid w:val="007F5E5F"/>
    <w:rsid w:val="008065FB"/>
    <w:rsid w:val="00815269"/>
    <w:rsid w:val="0083052D"/>
    <w:rsid w:val="00843B2D"/>
    <w:rsid w:val="00851136"/>
    <w:rsid w:val="008565B7"/>
    <w:rsid w:val="008579AD"/>
    <w:rsid w:val="00887324"/>
    <w:rsid w:val="008A547E"/>
    <w:rsid w:val="008A7F82"/>
    <w:rsid w:val="008D6CDD"/>
    <w:rsid w:val="008F5902"/>
    <w:rsid w:val="00921BDD"/>
    <w:rsid w:val="00954959"/>
    <w:rsid w:val="00961430"/>
    <w:rsid w:val="00972914"/>
    <w:rsid w:val="009730F5"/>
    <w:rsid w:val="009E26C1"/>
    <w:rsid w:val="00A57B30"/>
    <w:rsid w:val="00A92662"/>
    <w:rsid w:val="00AF05B7"/>
    <w:rsid w:val="00B03A84"/>
    <w:rsid w:val="00B0568F"/>
    <w:rsid w:val="00B10FBC"/>
    <w:rsid w:val="00B3721A"/>
    <w:rsid w:val="00B818D9"/>
    <w:rsid w:val="00B9547E"/>
    <w:rsid w:val="00B975D4"/>
    <w:rsid w:val="00BF0AF7"/>
    <w:rsid w:val="00C055CF"/>
    <w:rsid w:val="00C35711"/>
    <w:rsid w:val="00C5459D"/>
    <w:rsid w:val="00C63B6B"/>
    <w:rsid w:val="00C8218F"/>
    <w:rsid w:val="00CB5817"/>
    <w:rsid w:val="00CC2348"/>
    <w:rsid w:val="00CE16CE"/>
    <w:rsid w:val="00D05E55"/>
    <w:rsid w:val="00D1178D"/>
    <w:rsid w:val="00D22422"/>
    <w:rsid w:val="00D23EC6"/>
    <w:rsid w:val="00D44C8F"/>
    <w:rsid w:val="00D53E35"/>
    <w:rsid w:val="00D55F0D"/>
    <w:rsid w:val="00DA6BF9"/>
    <w:rsid w:val="00DD5AE6"/>
    <w:rsid w:val="00E00833"/>
    <w:rsid w:val="00E02AFA"/>
    <w:rsid w:val="00E04813"/>
    <w:rsid w:val="00E05751"/>
    <w:rsid w:val="00E11D28"/>
    <w:rsid w:val="00E15643"/>
    <w:rsid w:val="00E3218A"/>
    <w:rsid w:val="00E3431F"/>
    <w:rsid w:val="00E94CB4"/>
    <w:rsid w:val="00EE053B"/>
    <w:rsid w:val="00F0655D"/>
    <w:rsid w:val="00F44D36"/>
    <w:rsid w:val="00F648BF"/>
    <w:rsid w:val="00F75328"/>
    <w:rsid w:val="00F8688A"/>
    <w:rsid w:val="00F95159"/>
    <w:rsid w:val="00FA1CC1"/>
    <w:rsid w:val="00FA31EC"/>
    <w:rsid w:val="00FB19EE"/>
    <w:rsid w:val="00FB6ACF"/>
    <w:rsid w:val="00FD64A8"/>
    <w:rsid w:val="00FF2AD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AB67D8"/>
  <w15:chartTrackingRefBased/>
  <w15:docId w15:val="{AD404585-4CD7-45CB-892D-3AE425B6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paragraph" w:styleId="Heading2">
    <w:name w:val="heading 2"/>
    <w:basedOn w:val="Normal"/>
    <w:next w:val="Normal"/>
    <w:link w:val="Heading2Char"/>
    <w:uiPriority w:val="9"/>
    <w:unhideWhenUsed/>
    <w:qFormat/>
    <w:rsid w:val="00E15643"/>
    <w:pPr>
      <w:keepNext/>
      <w:keepLines/>
      <w:pBdr>
        <w:top w:val="nil"/>
        <w:left w:val="nil"/>
        <w:bottom w:val="nil"/>
        <w:right w:val="nil"/>
        <w:between w:val="nil"/>
        <w:bar w:val="nil"/>
      </w:pBdr>
      <w:spacing w:before="40" w:after="0" w:line="240" w:lineRule="auto"/>
      <w:outlineLvl w:val="1"/>
    </w:pPr>
    <w:rPr>
      <w:rFonts w:asciiTheme="majorHAnsi" w:eastAsiaTheme="majorEastAsia" w:hAnsiTheme="majorHAnsi" w:cstheme="majorBidi"/>
      <w:noProof w:val="0"/>
      <w:color w:val="2F5496" w:themeColor="accent1" w:themeShade="BF"/>
      <w:sz w:val="26"/>
      <w:szCs w:val="2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5DCD"/>
    <w:pPr>
      <w:spacing w:before="100" w:beforeAutospacing="1" w:after="100" w:afterAutospacing="1" w:line="240" w:lineRule="auto"/>
    </w:pPr>
    <w:rPr>
      <w:rFonts w:ascii="Times New Roman" w:eastAsia="Times New Roman" w:hAnsi="Times New Roman" w:cs="Times New Roman"/>
      <w:noProof w:val="0"/>
      <w:sz w:val="24"/>
      <w:szCs w:val="24"/>
      <w:lang w:eastAsia="fr-FR"/>
    </w:rPr>
  </w:style>
  <w:style w:type="character" w:styleId="Hyperlink">
    <w:name w:val="Hyperlink"/>
    <w:basedOn w:val="DefaultParagraphFont"/>
    <w:uiPriority w:val="99"/>
    <w:unhideWhenUsed/>
    <w:rsid w:val="003E5DCD"/>
    <w:rPr>
      <w:color w:val="0000FF"/>
      <w:u w:val="single"/>
    </w:rPr>
  </w:style>
  <w:style w:type="character" w:customStyle="1" w:styleId="Heading2Char">
    <w:name w:val="Heading 2 Char"/>
    <w:basedOn w:val="DefaultParagraphFont"/>
    <w:link w:val="Heading2"/>
    <w:uiPriority w:val="9"/>
    <w:rsid w:val="00E15643"/>
    <w:rPr>
      <w:rFonts w:asciiTheme="majorHAnsi" w:eastAsiaTheme="majorEastAsia" w:hAnsiTheme="majorHAnsi" w:cstheme="majorBidi"/>
      <w:color w:val="2F5496" w:themeColor="accent1" w:themeShade="BF"/>
      <w:sz w:val="26"/>
      <w:szCs w:val="26"/>
      <w:bdr w:val="nil"/>
      <w:lang w:val="en-US"/>
    </w:rPr>
  </w:style>
  <w:style w:type="table" w:styleId="TableGrid">
    <w:name w:val="Table Grid"/>
    <w:basedOn w:val="TableNormal"/>
    <w:uiPriority w:val="39"/>
    <w:rsid w:val="00DD5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55D"/>
    <w:pPr>
      <w:ind w:left="720"/>
      <w:contextualSpacing/>
    </w:pPr>
  </w:style>
  <w:style w:type="character" w:styleId="UnresolvedMention">
    <w:name w:val="Unresolved Mention"/>
    <w:basedOn w:val="DefaultParagraphFont"/>
    <w:uiPriority w:val="99"/>
    <w:semiHidden/>
    <w:unhideWhenUsed/>
    <w:rsid w:val="00317300"/>
    <w:rPr>
      <w:color w:val="605E5C"/>
      <w:shd w:val="clear" w:color="auto" w:fill="E1DFDD"/>
    </w:rPr>
  </w:style>
  <w:style w:type="paragraph" w:styleId="Header">
    <w:name w:val="header"/>
    <w:basedOn w:val="Normal"/>
    <w:link w:val="HeaderChar"/>
    <w:uiPriority w:val="99"/>
    <w:unhideWhenUsed/>
    <w:rsid w:val="00E02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AFA"/>
    <w:rPr>
      <w:noProof/>
    </w:rPr>
  </w:style>
  <w:style w:type="paragraph" w:styleId="Footer">
    <w:name w:val="footer"/>
    <w:basedOn w:val="Normal"/>
    <w:link w:val="FooterChar"/>
    <w:uiPriority w:val="99"/>
    <w:unhideWhenUsed/>
    <w:rsid w:val="00E02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AFA"/>
    <w:rPr>
      <w:noProof/>
    </w:rPr>
  </w:style>
  <w:style w:type="character" w:styleId="CommentReference">
    <w:name w:val="annotation reference"/>
    <w:basedOn w:val="DefaultParagraphFont"/>
    <w:uiPriority w:val="99"/>
    <w:semiHidden/>
    <w:unhideWhenUsed/>
    <w:rsid w:val="00482D14"/>
    <w:rPr>
      <w:sz w:val="16"/>
      <w:szCs w:val="16"/>
    </w:rPr>
  </w:style>
  <w:style w:type="paragraph" w:styleId="CommentText">
    <w:name w:val="annotation text"/>
    <w:basedOn w:val="Normal"/>
    <w:link w:val="CommentTextChar"/>
    <w:uiPriority w:val="99"/>
    <w:unhideWhenUsed/>
    <w:rsid w:val="00482D14"/>
    <w:pPr>
      <w:spacing w:line="240" w:lineRule="auto"/>
    </w:pPr>
    <w:rPr>
      <w:sz w:val="20"/>
      <w:szCs w:val="20"/>
    </w:rPr>
  </w:style>
  <w:style w:type="character" w:customStyle="1" w:styleId="CommentTextChar">
    <w:name w:val="Comment Text Char"/>
    <w:basedOn w:val="DefaultParagraphFont"/>
    <w:link w:val="CommentText"/>
    <w:uiPriority w:val="99"/>
    <w:rsid w:val="00482D14"/>
    <w:rPr>
      <w:noProof/>
      <w:sz w:val="20"/>
      <w:szCs w:val="20"/>
    </w:rPr>
  </w:style>
  <w:style w:type="paragraph" w:styleId="CommentSubject">
    <w:name w:val="annotation subject"/>
    <w:basedOn w:val="CommentText"/>
    <w:next w:val="CommentText"/>
    <w:link w:val="CommentSubjectChar"/>
    <w:uiPriority w:val="99"/>
    <w:semiHidden/>
    <w:unhideWhenUsed/>
    <w:rsid w:val="00482D14"/>
    <w:rPr>
      <w:b/>
      <w:bCs/>
    </w:rPr>
  </w:style>
  <w:style w:type="character" w:customStyle="1" w:styleId="CommentSubjectChar">
    <w:name w:val="Comment Subject Char"/>
    <w:basedOn w:val="CommentTextChar"/>
    <w:link w:val="CommentSubject"/>
    <w:uiPriority w:val="99"/>
    <w:semiHidden/>
    <w:rsid w:val="00482D14"/>
    <w:rPr>
      <w:b/>
      <w:bCs/>
      <w:noProof/>
      <w:sz w:val="20"/>
      <w:szCs w:val="20"/>
    </w:rPr>
  </w:style>
  <w:style w:type="paragraph" w:styleId="BalloonText">
    <w:name w:val="Balloon Text"/>
    <w:basedOn w:val="Normal"/>
    <w:link w:val="BalloonTextChar"/>
    <w:uiPriority w:val="99"/>
    <w:semiHidden/>
    <w:unhideWhenUsed/>
    <w:rsid w:val="008F5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902"/>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6898">
      <w:bodyDiv w:val="1"/>
      <w:marLeft w:val="0"/>
      <w:marRight w:val="0"/>
      <w:marTop w:val="0"/>
      <w:marBottom w:val="0"/>
      <w:divBdr>
        <w:top w:val="none" w:sz="0" w:space="0" w:color="auto"/>
        <w:left w:val="none" w:sz="0" w:space="0" w:color="auto"/>
        <w:bottom w:val="none" w:sz="0" w:space="0" w:color="auto"/>
        <w:right w:val="none" w:sz="0" w:space="0" w:color="auto"/>
      </w:divBdr>
    </w:div>
    <w:div w:id="33698582">
      <w:bodyDiv w:val="1"/>
      <w:marLeft w:val="0"/>
      <w:marRight w:val="0"/>
      <w:marTop w:val="0"/>
      <w:marBottom w:val="0"/>
      <w:divBdr>
        <w:top w:val="none" w:sz="0" w:space="0" w:color="auto"/>
        <w:left w:val="none" w:sz="0" w:space="0" w:color="auto"/>
        <w:bottom w:val="none" w:sz="0" w:space="0" w:color="auto"/>
        <w:right w:val="none" w:sz="0" w:space="0" w:color="auto"/>
      </w:divBdr>
    </w:div>
    <w:div w:id="66877539">
      <w:bodyDiv w:val="1"/>
      <w:marLeft w:val="0"/>
      <w:marRight w:val="0"/>
      <w:marTop w:val="0"/>
      <w:marBottom w:val="0"/>
      <w:divBdr>
        <w:top w:val="none" w:sz="0" w:space="0" w:color="auto"/>
        <w:left w:val="none" w:sz="0" w:space="0" w:color="auto"/>
        <w:bottom w:val="none" w:sz="0" w:space="0" w:color="auto"/>
        <w:right w:val="none" w:sz="0" w:space="0" w:color="auto"/>
      </w:divBdr>
    </w:div>
    <w:div w:id="308482276">
      <w:bodyDiv w:val="1"/>
      <w:marLeft w:val="0"/>
      <w:marRight w:val="0"/>
      <w:marTop w:val="0"/>
      <w:marBottom w:val="0"/>
      <w:divBdr>
        <w:top w:val="none" w:sz="0" w:space="0" w:color="auto"/>
        <w:left w:val="none" w:sz="0" w:space="0" w:color="auto"/>
        <w:bottom w:val="none" w:sz="0" w:space="0" w:color="auto"/>
        <w:right w:val="none" w:sz="0" w:space="0" w:color="auto"/>
      </w:divBdr>
    </w:div>
    <w:div w:id="325789911">
      <w:bodyDiv w:val="1"/>
      <w:marLeft w:val="0"/>
      <w:marRight w:val="0"/>
      <w:marTop w:val="0"/>
      <w:marBottom w:val="0"/>
      <w:divBdr>
        <w:top w:val="none" w:sz="0" w:space="0" w:color="auto"/>
        <w:left w:val="none" w:sz="0" w:space="0" w:color="auto"/>
        <w:bottom w:val="none" w:sz="0" w:space="0" w:color="auto"/>
        <w:right w:val="none" w:sz="0" w:space="0" w:color="auto"/>
      </w:divBdr>
    </w:div>
    <w:div w:id="479077257">
      <w:bodyDiv w:val="1"/>
      <w:marLeft w:val="0"/>
      <w:marRight w:val="0"/>
      <w:marTop w:val="0"/>
      <w:marBottom w:val="0"/>
      <w:divBdr>
        <w:top w:val="none" w:sz="0" w:space="0" w:color="auto"/>
        <w:left w:val="none" w:sz="0" w:space="0" w:color="auto"/>
        <w:bottom w:val="none" w:sz="0" w:space="0" w:color="auto"/>
        <w:right w:val="none" w:sz="0" w:space="0" w:color="auto"/>
      </w:divBdr>
    </w:div>
    <w:div w:id="571740044">
      <w:bodyDiv w:val="1"/>
      <w:marLeft w:val="0"/>
      <w:marRight w:val="0"/>
      <w:marTop w:val="0"/>
      <w:marBottom w:val="0"/>
      <w:divBdr>
        <w:top w:val="none" w:sz="0" w:space="0" w:color="auto"/>
        <w:left w:val="none" w:sz="0" w:space="0" w:color="auto"/>
        <w:bottom w:val="none" w:sz="0" w:space="0" w:color="auto"/>
        <w:right w:val="none" w:sz="0" w:space="0" w:color="auto"/>
      </w:divBdr>
    </w:div>
    <w:div w:id="584341452">
      <w:bodyDiv w:val="1"/>
      <w:marLeft w:val="0"/>
      <w:marRight w:val="0"/>
      <w:marTop w:val="0"/>
      <w:marBottom w:val="0"/>
      <w:divBdr>
        <w:top w:val="none" w:sz="0" w:space="0" w:color="auto"/>
        <w:left w:val="none" w:sz="0" w:space="0" w:color="auto"/>
        <w:bottom w:val="none" w:sz="0" w:space="0" w:color="auto"/>
        <w:right w:val="none" w:sz="0" w:space="0" w:color="auto"/>
      </w:divBdr>
    </w:div>
    <w:div w:id="729813482">
      <w:bodyDiv w:val="1"/>
      <w:marLeft w:val="0"/>
      <w:marRight w:val="0"/>
      <w:marTop w:val="0"/>
      <w:marBottom w:val="0"/>
      <w:divBdr>
        <w:top w:val="none" w:sz="0" w:space="0" w:color="auto"/>
        <w:left w:val="none" w:sz="0" w:space="0" w:color="auto"/>
        <w:bottom w:val="none" w:sz="0" w:space="0" w:color="auto"/>
        <w:right w:val="none" w:sz="0" w:space="0" w:color="auto"/>
      </w:divBdr>
    </w:div>
    <w:div w:id="749233577">
      <w:bodyDiv w:val="1"/>
      <w:marLeft w:val="0"/>
      <w:marRight w:val="0"/>
      <w:marTop w:val="0"/>
      <w:marBottom w:val="0"/>
      <w:divBdr>
        <w:top w:val="none" w:sz="0" w:space="0" w:color="auto"/>
        <w:left w:val="none" w:sz="0" w:space="0" w:color="auto"/>
        <w:bottom w:val="none" w:sz="0" w:space="0" w:color="auto"/>
        <w:right w:val="none" w:sz="0" w:space="0" w:color="auto"/>
      </w:divBdr>
    </w:div>
    <w:div w:id="860162641">
      <w:bodyDiv w:val="1"/>
      <w:marLeft w:val="0"/>
      <w:marRight w:val="0"/>
      <w:marTop w:val="0"/>
      <w:marBottom w:val="0"/>
      <w:divBdr>
        <w:top w:val="none" w:sz="0" w:space="0" w:color="auto"/>
        <w:left w:val="none" w:sz="0" w:space="0" w:color="auto"/>
        <w:bottom w:val="none" w:sz="0" w:space="0" w:color="auto"/>
        <w:right w:val="none" w:sz="0" w:space="0" w:color="auto"/>
      </w:divBdr>
    </w:div>
    <w:div w:id="867303612">
      <w:bodyDiv w:val="1"/>
      <w:marLeft w:val="0"/>
      <w:marRight w:val="0"/>
      <w:marTop w:val="0"/>
      <w:marBottom w:val="0"/>
      <w:divBdr>
        <w:top w:val="none" w:sz="0" w:space="0" w:color="auto"/>
        <w:left w:val="none" w:sz="0" w:space="0" w:color="auto"/>
        <w:bottom w:val="none" w:sz="0" w:space="0" w:color="auto"/>
        <w:right w:val="none" w:sz="0" w:space="0" w:color="auto"/>
      </w:divBdr>
    </w:div>
    <w:div w:id="1120563965">
      <w:bodyDiv w:val="1"/>
      <w:marLeft w:val="0"/>
      <w:marRight w:val="0"/>
      <w:marTop w:val="0"/>
      <w:marBottom w:val="0"/>
      <w:divBdr>
        <w:top w:val="none" w:sz="0" w:space="0" w:color="auto"/>
        <w:left w:val="none" w:sz="0" w:space="0" w:color="auto"/>
        <w:bottom w:val="none" w:sz="0" w:space="0" w:color="auto"/>
        <w:right w:val="none" w:sz="0" w:space="0" w:color="auto"/>
      </w:divBdr>
    </w:div>
    <w:div w:id="1123428729">
      <w:bodyDiv w:val="1"/>
      <w:marLeft w:val="0"/>
      <w:marRight w:val="0"/>
      <w:marTop w:val="0"/>
      <w:marBottom w:val="0"/>
      <w:divBdr>
        <w:top w:val="none" w:sz="0" w:space="0" w:color="auto"/>
        <w:left w:val="none" w:sz="0" w:space="0" w:color="auto"/>
        <w:bottom w:val="none" w:sz="0" w:space="0" w:color="auto"/>
        <w:right w:val="none" w:sz="0" w:space="0" w:color="auto"/>
      </w:divBdr>
    </w:div>
    <w:div w:id="1187869115">
      <w:bodyDiv w:val="1"/>
      <w:marLeft w:val="0"/>
      <w:marRight w:val="0"/>
      <w:marTop w:val="0"/>
      <w:marBottom w:val="0"/>
      <w:divBdr>
        <w:top w:val="none" w:sz="0" w:space="0" w:color="auto"/>
        <w:left w:val="none" w:sz="0" w:space="0" w:color="auto"/>
        <w:bottom w:val="none" w:sz="0" w:space="0" w:color="auto"/>
        <w:right w:val="none" w:sz="0" w:space="0" w:color="auto"/>
      </w:divBdr>
    </w:div>
    <w:div w:id="1317033385">
      <w:bodyDiv w:val="1"/>
      <w:marLeft w:val="0"/>
      <w:marRight w:val="0"/>
      <w:marTop w:val="0"/>
      <w:marBottom w:val="0"/>
      <w:divBdr>
        <w:top w:val="none" w:sz="0" w:space="0" w:color="auto"/>
        <w:left w:val="none" w:sz="0" w:space="0" w:color="auto"/>
        <w:bottom w:val="none" w:sz="0" w:space="0" w:color="auto"/>
        <w:right w:val="none" w:sz="0" w:space="0" w:color="auto"/>
      </w:divBdr>
      <w:divsChild>
        <w:div w:id="549805865">
          <w:marLeft w:val="0"/>
          <w:marRight w:val="0"/>
          <w:marTop w:val="0"/>
          <w:marBottom w:val="0"/>
          <w:divBdr>
            <w:top w:val="none" w:sz="0" w:space="0" w:color="auto"/>
            <w:left w:val="none" w:sz="0" w:space="0" w:color="auto"/>
            <w:bottom w:val="none" w:sz="0" w:space="0" w:color="auto"/>
            <w:right w:val="none" w:sz="0" w:space="0" w:color="auto"/>
          </w:divBdr>
          <w:divsChild>
            <w:div w:id="2074036675">
              <w:marLeft w:val="0"/>
              <w:marRight w:val="0"/>
              <w:marTop w:val="0"/>
              <w:marBottom w:val="0"/>
              <w:divBdr>
                <w:top w:val="none" w:sz="0" w:space="0" w:color="auto"/>
                <w:left w:val="none" w:sz="0" w:space="0" w:color="auto"/>
                <w:bottom w:val="none" w:sz="0" w:space="0" w:color="auto"/>
                <w:right w:val="none" w:sz="0" w:space="0" w:color="auto"/>
              </w:divBdr>
              <w:divsChild>
                <w:div w:id="146291366">
                  <w:marLeft w:val="0"/>
                  <w:marRight w:val="0"/>
                  <w:marTop w:val="0"/>
                  <w:marBottom w:val="0"/>
                  <w:divBdr>
                    <w:top w:val="none" w:sz="0" w:space="0" w:color="auto"/>
                    <w:left w:val="none" w:sz="0" w:space="0" w:color="auto"/>
                    <w:bottom w:val="none" w:sz="0" w:space="0" w:color="auto"/>
                    <w:right w:val="none" w:sz="0" w:space="0" w:color="auto"/>
                  </w:divBdr>
                  <w:divsChild>
                    <w:div w:id="20725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33463">
      <w:bodyDiv w:val="1"/>
      <w:marLeft w:val="0"/>
      <w:marRight w:val="0"/>
      <w:marTop w:val="0"/>
      <w:marBottom w:val="0"/>
      <w:divBdr>
        <w:top w:val="none" w:sz="0" w:space="0" w:color="auto"/>
        <w:left w:val="none" w:sz="0" w:space="0" w:color="auto"/>
        <w:bottom w:val="none" w:sz="0" w:space="0" w:color="auto"/>
        <w:right w:val="none" w:sz="0" w:space="0" w:color="auto"/>
      </w:divBdr>
    </w:div>
    <w:div w:id="1518303687">
      <w:bodyDiv w:val="1"/>
      <w:marLeft w:val="0"/>
      <w:marRight w:val="0"/>
      <w:marTop w:val="0"/>
      <w:marBottom w:val="0"/>
      <w:divBdr>
        <w:top w:val="none" w:sz="0" w:space="0" w:color="auto"/>
        <w:left w:val="none" w:sz="0" w:space="0" w:color="auto"/>
        <w:bottom w:val="none" w:sz="0" w:space="0" w:color="auto"/>
        <w:right w:val="none" w:sz="0" w:space="0" w:color="auto"/>
      </w:divBdr>
    </w:div>
    <w:div w:id="1549103717">
      <w:bodyDiv w:val="1"/>
      <w:marLeft w:val="0"/>
      <w:marRight w:val="0"/>
      <w:marTop w:val="0"/>
      <w:marBottom w:val="0"/>
      <w:divBdr>
        <w:top w:val="none" w:sz="0" w:space="0" w:color="auto"/>
        <w:left w:val="none" w:sz="0" w:space="0" w:color="auto"/>
        <w:bottom w:val="none" w:sz="0" w:space="0" w:color="auto"/>
        <w:right w:val="none" w:sz="0" w:space="0" w:color="auto"/>
      </w:divBdr>
    </w:div>
    <w:div w:id="1788960298">
      <w:bodyDiv w:val="1"/>
      <w:marLeft w:val="0"/>
      <w:marRight w:val="0"/>
      <w:marTop w:val="0"/>
      <w:marBottom w:val="0"/>
      <w:divBdr>
        <w:top w:val="none" w:sz="0" w:space="0" w:color="auto"/>
        <w:left w:val="none" w:sz="0" w:space="0" w:color="auto"/>
        <w:bottom w:val="none" w:sz="0" w:space="0" w:color="auto"/>
        <w:right w:val="none" w:sz="0" w:space="0" w:color="auto"/>
      </w:divBdr>
    </w:div>
    <w:div w:id="1843620026">
      <w:bodyDiv w:val="1"/>
      <w:marLeft w:val="0"/>
      <w:marRight w:val="0"/>
      <w:marTop w:val="0"/>
      <w:marBottom w:val="0"/>
      <w:divBdr>
        <w:top w:val="none" w:sz="0" w:space="0" w:color="auto"/>
        <w:left w:val="none" w:sz="0" w:space="0" w:color="auto"/>
        <w:bottom w:val="none" w:sz="0" w:space="0" w:color="auto"/>
        <w:right w:val="none" w:sz="0" w:space="0" w:color="auto"/>
      </w:divBdr>
    </w:div>
    <w:div w:id="1901164082">
      <w:bodyDiv w:val="1"/>
      <w:marLeft w:val="0"/>
      <w:marRight w:val="0"/>
      <w:marTop w:val="0"/>
      <w:marBottom w:val="0"/>
      <w:divBdr>
        <w:top w:val="none" w:sz="0" w:space="0" w:color="auto"/>
        <w:left w:val="none" w:sz="0" w:space="0" w:color="auto"/>
        <w:bottom w:val="none" w:sz="0" w:space="0" w:color="auto"/>
        <w:right w:val="none" w:sz="0" w:space="0" w:color="auto"/>
      </w:divBdr>
    </w:div>
    <w:div w:id="1913542350">
      <w:bodyDiv w:val="1"/>
      <w:marLeft w:val="0"/>
      <w:marRight w:val="0"/>
      <w:marTop w:val="0"/>
      <w:marBottom w:val="0"/>
      <w:divBdr>
        <w:top w:val="none" w:sz="0" w:space="0" w:color="auto"/>
        <w:left w:val="none" w:sz="0" w:space="0" w:color="auto"/>
        <w:bottom w:val="none" w:sz="0" w:space="0" w:color="auto"/>
        <w:right w:val="none" w:sz="0" w:space="0" w:color="auto"/>
      </w:divBdr>
      <w:divsChild>
        <w:div w:id="862207890">
          <w:marLeft w:val="0"/>
          <w:marRight w:val="0"/>
          <w:marTop w:val="0"/>
          <w:marBottom w:val="0"/>
          <w:divBdr>
            <w:top w:val="none" w:sz="0" w:space="0" w:color="auto"/>
            <w:left w:val="none" w:sz="0" w:space="0" w:color="auto"/>
            <w:bottom w:val="none" w:sz="0" w:space="0" w:color="auto"/>
            <w:right w:val="none" w:sz="0" w:space="0" w:color="auto"/>
          </w:divBdr>
          <w:divsChild>
            <w:div w:id="745305714">
              <w:marLeft w:val="0"/>
              <w:marRight w:val="0"/>
              <w:marTop w:val="0"/>
              <w:marBottom w:val="0"/>
              <w:divBdr>
                <w:top w:val="none" w:sz="0" w:space="0" w:color="auto"/>
                <w:left w:val="none" w:sz="0" w:space="0" w:color="auto"/>
                <w:bottom w:val="none" w:sz="0" w:space="0" w:color="auto"/>
                <w:right w:val="none" w:sz="0" w:space="0" w:color="auto"/>
              </w:divBdr>
              <w:divsChild>
                <w:div w:id="41831977">
                  <w:marLeft w:val="0"/>
                  <w:marRight w:val="0"/>
                  <w:marTop w:val="0"/>
                  <w:marBottom w:val="0"/>
                  <w:divBdr>
                    <w:top w:val="none" w:sz="0" w:space="0" w:color="auto"/>
                    <w:left w:val="none" w:sz="0" w:space="0" w:color="auto"/>
                    <w:bottom w:val="none" w:sz="0" w:space="0" w:color="auto"/>
                    <w:right w:val="none" w:sz="0" w:space="0" w:color="auto"/>
                  </w:divBdr>
                  <w:divsChild>
                    <w:div w:id="7627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3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39808">
      <w:bodyDiv w:val="1"/>
      <w:marLeft w:val="0"/>
      <w:marRight w:val="0"/>
      <w:marTop w:val="0"/>
      <w:marBottom w:val="0"/>
      <w:divBdr>
        <w:top w:val="none" w:sz="0" w:space="0" w:color="auto"/>
        <w:left w:val="none" w:sz="0" w:space="0" w:color="auto"/>
        <w:bottom w:val="none" w:sz="0" w:space="0" w:color="auto"/>
        <w:right w:val="none" w:sz="0" w:space="0" w:color="auto"/>
      </w:divBdr>
    </w:div>
    <w:div w:id="212140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pharmacology-toxicology-and-pharmaceutical-science/pelvic-inflammatory-disease" TargetMode="Externa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www.sciencedirect.com/topics/pharmacology-toxicology-and-pharmaceutical-science/ectopic-pregnancy" TargetMode="External"/><Relationship Id="rId12" Type="http://schemas.openxmlformats.org/officeDocument/2006/relationships/hyperlink" Target="https://www.ajol.info/index.php/pamj/article/view/20808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iosante.ml/handle/123456789/5881"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sciencedirect.com/topics/medicine-and-dentistry/papillomavirus-infection" TargetMode="External"/><Relationship Id="rId4" Type="http://schemas.openxmlformats.org/officeDocument/2006/relationships/webSettings" Target="webSettings.xml"/><Relationship Id="rId9" Type="http://schemas.openxmlformats.org/officeDocument/2006/relationships/hyperlink" Target="https://www.sciencedirect.com/topics/pharmacology-toxicology-and-pharmaceutical-science/oropharynx-cancer"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20</Pages>
  <Words>5821</Words>
  <Characters>33185</Characters>
  <Application>Microsoft Office Word</Application>
  <DocSecurity>0</DocSecurity>
  <Lines>276</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 Bredin Bissala Nkounkou</dc:creator>
  <cp:keywords/>
  <dc:description/>
  <cp:lastModifiedBy>SDI PC New 16</cp:lastModifiedBy>
  <cp:revision>112</cp:revision>
  <cp:lastPrinted>2025-05-26T10:18:00Z</cp:lastPrinted>
  <dcterms:created xsi:type="dcterms:W3CDTF">2025-05-25T08:15:00Z</dcterms:created>
  <dcterms:modified xsi:type="dcterms:W3CDTF">2025-06-13T12:50:00Z</dcterms:modified>
</cp:coreProperties>
</file>