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19C949" w14:textId="29032AB5" w:rsidR="000763D2" w:rsidRDefault="000763D2" w:rsidP="000763D2">
      <w:pPr>
        <w:pStyle w:val="Author"/>
        <w:spacing w:line="240" w:lineRule="auto"/>
        <w:jc w:val="left"/>
        <w:rPr>
          <w:rFonts w:ascii="Arial" w:hAnsi="Arial" w:cs="Arial"/>
          <w:bCs/>
          <w:iCs/>
          <w:kern w:val="28"/>
          <w:szCs w:val="24"/>
        </w:rPr>
      </w:pPr>
      <w:r w:rsidRPr="00303AA8">
        <w:rPr>
          <w:rFonts w:ascii="Arial" w:hAnsi="Arial" w:cs="Arial"/>
          <w:bCs/>
          <w:iCs/>
          <w:kern w:val="28"/>
          <w:szCs w:val="24"/>
        </w:rPr>
        <w:t>Original Research Article</w:t>
      </w:r>
    </w:p>
    <w:p w14:paraId="798A2B8E" w14:textId="77777777" w:rsidR="00E703B4" w:rsidRDefault="00E703B4" w:rsidP="000763D2">
      <w:pPr>
        <w:pStyle w:val="Author"/>
        <w:spacing w:line="240" w:lineRule="auto"/>
        <w:jc w:val="left"/>
        <w:rPr>
          <w:rFonts w:ascii="Arial" w:hAnsi="Arial" w:cs="Arial"/>
          <w:bCs/>
          <w:iCs/>
          <w:kern w:val="28"/>
          <w:szCs w:val="24"/>
        </w:rPr>
      </w:pPr>
    </w:p>
    <w:p w14:paraId="125D2387" w14:textId="366F88DA" w:rsidR="002D7311" w:rsidRDefault="002D7311" w:rsidP="002D7311">
      <w:pPr>
        <w:jc w:val="right"/>
        <w:rPr>
          <w:rFonts w:ascii="Arial" w:hAnsi="Arial" w:cs="Arial"/>
          <w:b/>
          <w:noProof/>
          <w:sz w:val="28"/>
          <w:szCs w:val="28"/>
          <w:lang w:val="en-PH" w:eastAsia="en-PH"/>
        </w:rPr>
      </w:pPr>
      <w:r w:rsidRPr="002D7311">
        <w:rPr>
          <w:rFonts w:ascii="Arial" w:hAnsi="Arial" w:cs="Arial"/>
          <w:b/>
          <w:noProof/>
          <w:sz w:val="28"/>
          <w:szCs w:val="28"/>
          <w:lang w:val="en-PH" w:eastAsia="en-PH"/>
        </w:rPr>
        <w:t>INGENIOUS SOLIDARITY A</w:t>
      </w:r>
      <w:r>
        <w:rPr>
          <w:rFonts w:ascii="Arial" w:hAnsi="Arial" w:cs="Arial"/>
          <w:b/>
          <w:noProof/>
          <w:sz w:val="28"/>
          <w:szCs w:val="28"/>
          <w:lang w:val="en-PH" w:eastAsia="en-PH"/>
        </w:rPr>
        <w:t xml:space="preserve">ND CLASSROOM SOCIAL CONTROL OF </w:t>
      </w:r>
      <w:r w:rsidRPr="002D7311">
        <w:rPr>
          <w:rFonts w:ascii="Arial" w:hAnsi="Arial" w:cs="Arial"/>
          <w:b/>
          <w:noProof/>
          <w:sz w:val="28"/>
          <w:szCs w:val="28"/>
          <w:lang w:val="en-PH" w:eastAsia="en-PH"/>
        </w:rPr>
        <w:t>LANGUAGE TEACHERS IN PUBLIC SECONDARY SCHOOLS</w:t>
      </w:r>
    </w:p>
    <w:p w14:paraId="60415DAF" w14:textId="77777777" w:rsidR="00717F2E" w:rsidRDefault="00717F2E">
      <w:pPr>
        <w:pStyle w:val="Affiliation"/>
        <w:spacing w:after="0" w:line="240" w:lineRule="auto"/>
        <w:rPr>
          <w:rFonts w:ascii="Arial" w:hAnsi="Arial" w:cs="Arial"/>
          <w:i/>
        </w:rPr>
      </w:pPr>
    </w:p>
    <w:p w14:paraId="014A7694" w14:textId="77777777" w:rsidR="00881434" w:rsidRDefault="00881434">
      <w:pPr>
        <w:pStyle w:val="Affiliation"/>
        <w:spacing w:after="0" w:line="240" w:lineRule="auto"/>
        <w:rPr>
          <w:rFonts w:ascii="Arial" w:hAnsi="Arial" w:cs="Arial"/>
          <w:i/>
        </w:rPr>
      </w:pPr>
    </w:p>
    <w:p w14:paraId="46B3DCDD" w14:textId="77777777" w:rsidR="00717F2E" w:rsidRDefault="00180859">
      <w:pPr>
        <w:pStyle w:val="Affiliation"/>
        <w:spacing w:line="240" w:lineRule="auto"/>
        <w:jc w:val="left"/>
        <w:rPr>
          <w:rFonts w:ascii="Arial" w:hAnsi="Arial" w:cs="Arial"/>
          <w:i/>
        </w:rPr>
        <w:sectPr w:rsidR="00717F2E" w:rsidSect="00881434">
          <w:headerReference w:type="even" r:id="rId8"/>
          <w:headerReference w:type="default" r:id="rId9"/>
          <w:footerReference w:type="even" r:id="rId10"/>
          <w:footerReference w:type="default" r:id="rId11"/>
          <w:headerReference w:type="first" r:id="rId12"/>
          <w:footerReference w:type="first" r:id="rId13"/>
          <w:pgSz w:w="12240" w:h="15840"/>
          <w:pgMar w:top="117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7526F313" wp14:editId="7248275F">
                <wp:extent cx="5303520" cy="635"/>
                <wp:effectExtent l="15240" t="10795" r="15240" b="17780"/>
                <wp:docPr id="182519723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ln>
                      </wps:spPr>
                      <wps:bodyPr/>
                    </wps:wsp>
                  </a:graphicData>
                </a:graphic>
              </wp:inline>
            </w:drawing>
          </mc:Choice>
          <mc:Fallback xmlns:wpsCustomData="http://www.wps.cn/officeDocument/2013/wpsCustomData"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AutoShape 9" o:spid="_x0000_s1026" o:spt="32" type="#_x0000_t32" style="height:0.05pt;width:417.6pt;" filled="f" stroked="t" coordsize="21600,21600" o:gfxdata="UEsDBAoAAAAAAIdO4kAAAAAAAAAAAAAAAAAEAAAAZHJzL1BLAwQUAAAACACHTuJAdJLyoNAAAAAC&#10;AQAADwAAAGRycy9kb3ducmV2LnhtbE2PwU7DMBBE70j8g7VIXBB1WkQVhTg9IHHiQCj9gE28JBHx&#10;Ooo3jfl7XC5wGWk1o5m35SG6UZ1pDoNnA9tNBoq49XbgzsDp4+U+BxUE2eLomQx8U4BDdX1VYmH9&#10;yu90PkqnUgmHAg30IlOhdWh7chg2fiJO3qefHUo6507bGddU7ka9y7K9djhwWuhxouee2q/j4gzE&#10;tz1LrPPYrLy8hvyujuhqY25vttkTKKEof2G44Cd0qBJT4xe2QY0G0iPyq8nLHx53oJpLSFel/o9e&#10;/QBQSwMEFAAAAAgAh07iQGP+7EDdAQAAvAMAAA4AAABkcnMvZTJvRG9jLnhtbK1TwW7bMAy9D9g/&#10;CLovdhKka4w4xZCgu3RbgHYfoMiyLUwSBUqJk78fJSdZ1116mA+CKJKPfI/06uFkDTsqDBpczaeT&#10;kjPlJDTadTX/+fL46Z6zEIVrhAGnan5WgT+sP35YDb5SM+jBNAoZgbhQDb7mfYy+Kooge2VFmIBX&#10;jpwtoBWRTOyKBsVA6NYUs7K8KwbAxiNIFQK9bkcnvyDiewChbbVUW5AHq1wcUVEZEYlS6LUPfJ27&#10;bVsl44+2DSoyU3NiGvNJRei+T2exXomqQ+F7LS8tiPe08IaTFdpR0RvUVkTBDqj/gbJaIgRo40SC&#10;LUYiWRFiMS3faPPcC68yF5I6+Jvo4f/Byu/HHTLd0CbczxbT5efZ/I4zJyxN/sshQm6BLZNOgw8V&#10;hW/cDhNTeXLP/gnkr8AcbHrhOpWDX86ecqcpo/grJRnBU7X98A0aihGEn0U7tWgTJMnBTnk259ts&#10;1CkySY+LeTlfzGhs8uorRHVN9BjiVwWWpUvNQ0Shuz5uwDnaAMBpLiOOTyGmtkR1TUhVHTxqY/Ii&#10;GMcG6n1ZLsqcEcDoJnlTXMBuvzHIjiLtUv4ySfK8DkM4uGasYtxFg0R7FHAPzXmHV21oqLmdywKm&#10;rXlt5+w/P936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HSS8qDQAAAAAgEAAA8AAAAAAAAAAQAg&#10;AAAAIgAAAGRycy9kb3ducmV2LnhtbFBLAQIUABQAAAAIAIdO4kBj/uxA3QEAALwDAAAOAAAAAAAA&#10;AAEAIAAAAB8BAABkcnMvZTJvRG9jLnhtbFBLBQYAAAAABgAGAFkBAABuBQAAAAA=&#10;">
                <v:fill on="f" focussize="0,0"/>
                <v:stroke weight="1.5pt" color="#000000" joinstyle="round"/>
                <v:imagedata o:title=""/>
                <o:lock v:ext="edit" aspectratio="f"/>
                <w10:wrap type="none"/>
                <w10:anchorlock/>
              </v:shape>
            </w:pict>
          </mc:Fallback>
        </mc:AlternateContent>
      </w:r>
      <w:r>
        <w:rPr>
          <w:rFonts w:ascii="Arial" w:hAnsi="Arial" w:cs="Arial"/>
        </w:rPr>
        <w:t>.</w:t>
      </w:r>
    </w:p>
    <w:p w14:paraId="7D2CDF66" w14:textId="77777777" w:rsidR="00717F2E" w:rsidRDefault="00180859">
      <w:pPr>
        <w:pStyle w:val="AbstHead"/>
        <w:spacing w:after="0"/>
        <w:jc w:val="both"/>
        <w:rPr>
          <w:rFonts w:ascii="Arial" w:hAnsi="Arial" w:cs="Arial"/>
          <w:sz w:val="20"/>
        </w:rPr>
      </w:pPr>
      <w:r>
        <w:rPr>
          <w:rFonts w:ascii="Arial" w:hAnsi="Arial" w:cs="Arial"/>
          <w:sz w:val="20"/>
        </w:rPr>
        <w:lastRenderedPageBreak/>
        <w:t xml:space="preserve">ABSTRACT </w:t>
      </w:r>
    </w:p>
    <w:p w14:paraId="3D835972" w14:textId="77777777" w:rsidR="00717F2E" w:rsidRDefault="00717F2E">
      <w:pPr>
        <w:pStyle w:val="AbstHead"/>
        <w:spacing w:after="0"/>
        <w:jc w:val="both"/>
        <w:rPr>
          <w:rFonts w:ascii="Arial" w:hAnsi="Arial" w:cs="Arial"/>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717F2E" w14:paraId="4274D69E" w14:textId="77777777" w:rsidTr="008825C9">
        <w:trPr>
          <w:trHeight w:val="3167"/>
        </w:trPr>
        <w:tc>
          <w:tcPr>
            <w:tcW w:w="9576" w:type="dxa"/>
            <w:shd w:val="clear" w:color="auto" w:fill="F2F2F2"/>
          </w:tcPr>
          <w:p w14:paraId="10E1D353" w14:textId="279A8169" w:rsidR="00717F2E" w:rsidRPr="000763D2" w:rsidRDefault="004922F0" w:rsidP="002B3CEC">
            <w:pPr>
              <w:jc w:val="both"/>
              <w:rPr>
                <w:rFonts w:ascii="Arial" w:hAnsi="Arial" w:cs="Arial"/>
                <w:iCs/>
              </w:rPr>
            </w:pPr>
            <w:r w:rsidRPr="004922F0">
              <w:rPr>
                <w:rFonts w:ascii="Arial" w:hAnsi="Arial" w:cs="Arial"/>
                <w:iCs/>
                <w:highlight w:val="yellow"/>
              </w:rPr>
              <w:t xml:space="preserve">This study examined the relationship between ingenious solidarity, defined as teachers’ adaptive collaboration grounded in empathy, inclusivity, and shared purpose and classroom social control among public secondary language teachers in </w:t>
            </w:r>
            <w:proofErr w:type="spellStart"/>
            <w:r w:rsidRPr="004922F0">
              <w:rPr>
                <w:rFonts w:ascii="Arial" w:hAnsi="Arial" w:cs="Arial"/>
                <w:iCs/>
                <w:highlight w:val="yellow"/>
              </w:rPr>
              <w:t>Banay-Banay</w:t>
            </w:r>
            <w:proofErr w:type="spellEnd"/>
            <w:r w:rsidRPr="004922F0">
              <w:rPr>
                <w:rFonts w:ascii="Arial" w:hAnsi="Arial" w:cs="Arial"/>
                <w:iCs/>
                <w:highlight w:val="yellow"/>
              </w:rPr>
              <w:t xml:space="preserve"> District, Davao Oriental.</w:t>
            </w:r>
            <w:r w:rsidR="00B2072B" w:rsidRPr="004922F0">
              <w:rPr>
                <w:rFonts w:ascii="Arial" w:hAnsi="Arial" w:cs="Arial"/>
                <w:iCs/>
                <w:highlight w:val="yellow"/>
              </w:rPr>
              <w:t xml:space="preserve"> Using a descriptive-correlational research design, a total of 139 teachers were surveyed using standardized questionnaires. </w:t>
            </w:r>
            <w:bookmarkStart w:id="0" w:name="_GoBack"/>
            <w:bookmarkEnd w:id="0"/>
            <w:r w:rsidR="00B2072B" w:rsidRPr="004922F0">
              <w:rPr>
                <w:rFonts w:ascii="Arial" w:hAnsi="Arial" w:cs="Arial"/>
                <w:iCs/>
                <w:highlight w:val="yellow"/>
              </w:rPr>
              <w:t>The findings revealed that teachers exhibit a high level of ingenious solidarity and classroom social control. Correlation analysis indicated a moderate and significant positive relationship between ingenious solidarity and classroom social control. Further analysis revealed that the domains of ingenious solidarity in terms of collaborative learning, empathy, and inclusivity significantly influenced classroom social control, with inclusivity having the strongest effect, while cultural connection was not a significant predictor. Based on these findings, it is recommended that school administrators foster environments that encourage collaboration, empathy, and inclusivity in order to strengthen classroom control. Professional development programs focusing on these areas can help teachers build stronger relationships with students and colleagues, ultimately improving classroom dynamics. Additionally, creating a culture of inclusivity and shared responsibility can further enhance the overall classroom environment, contributing to effective social control.</w:t>
            </w:r>
          </w:p>
        </w:tc>
      </w:tr>
    </w:tbl>
    <w:p w14:paraId="175A3F79" w14:textId="77777777" w:rsidR="00717F2E" w:rsidRDefault="00717F2E">
      <w:pPr>
        <w:pStyle w:val="Body"/>
        <w:spacing w:after="0"/>
        <w:rPr>
          <w:rFonts w:ascii="Arial" w:hAnsi="Arial" w:cs="Arial"/>
          <w:i/>
        </w:rPr>
      </w:pPr>
    </w:p>
    <w:p w14:paraId="63A7B6AA" w14:textId="27B42C2B" w:rsidR="00BB0E63" w:rsidRDefault="00180859" w:rsidP="00BB0E63">
      <w:pPr>
        <w:jc w:val="both"/>
        <w:rPr>
          <w:rFonts w:ascii="Arial" w:hAnsi="Arial" w:cs="Arial"/>
          <w:iCs/>
        </w:rPr>
      </w:pPr>
      <w:r w:rsidRPr="000763D2">
        <w:rPr>
          <w:rFonts w:ascii="Arial" w:hAnsi="Arial" w:cs="Arial"/>
          <w:i/>
          <w:iCs/>
        </w:rPr>
        <w:t>Keywords</w:t>
      </w:r>
      <w:r>
        <w:rPr>
          <w:rFonts w:ascii="Arial" w:hAnsi="Arial" w:cs="Arial"/>
        </w:rPr>
        <w:t xml:space="preserve">: </w:t>
      </w:r>
      <w:r w:rsidR="0025372F" w:rsidRPr="0025372F">
        <w:rPr>
          <w:rFonts w:ascii="Arial" w:hAnsi="Arial" w:cs="Arial"/>
          <w:iCs/>
        </w:rPr>
        <w:t>Ingenious Solidarity, Classroom Social Control, Public Secondary Language Teachers, Descriptive-Correlational, Education</w:t>
      </w:r>
    </w:p>
    <w:p w14:paraId="460F4104" w14:textId="77777777" w:rsidR="0025372F" w:rsidRDefault="0025372F" w:rsidP="00BB0E63">
      <w:pPr>
        <w:jc w:val="both"/>
        <w:rPr>
          <w:rFonts w:ascii="Arial" w:hAnsi="Arial" w:cs="Arial"/>
        </w:rPr>
      </w:pPr>
    </w:p>
    <w:p w14:paraId="0C7D9A8E" w14:textId="77777777" w:rsidR="00717F2E" w:rsidRDefault="00180859">
      <w:pPr>
        <w:pStyle w:val="AbstHead"/>
        <w:spacing w:after="0"/>
        <w:jc w:val="both"/>
        <w:rPr>
          <w:rFonts w:ascii="Arial" w:hAnsi="Arial" w:cs="Arial"/>
          <w:sz w:val="20"/>
        </w:rPr>
      </w:pPr>
      <w:r>
        <w:rPr>
          <w:rFonts w:ascii="Arial" w:hAnsi="Arial" w:cs="Arial"/>
          <w:sz w:val="20"/>
        </w:rPr>
        <w:t>1. INTRODUCTION</w:t>
      </w:r>
    </w:p>
    <w:p w14:paraId="499EF934" w14:textId="77777777" w:rsidR="00717F2E" w:rsidRDefault="00717F2E">
      <w:pPr>
        <w:pStyle w:val="AbstHead"/>
        <w:spacing w:after="0"/>
        <w:jc w:val="both"/>
        <w:rPr>
          <w:rFonts w:ascii="Arial" w:hAnsi="Arial" w:cs="Arial"/>
          <w:sz w:val="20"/>
        </w:rPr>
      </w:pPr>
    </w:p>
    <w:p w14:paraId="3E943EDF" w14:textId="57392DD4" w:rsidR="005425A7" w:rsidRPr="005425A7" w:rsidRDefault="005425A7" w:rsidP="005425A7">
      <w:pPr>
        <w:jc w:val="both"/>
        <w:rPr>
          <w:rFonts w:ascii="Arial" w:hAnsi="Arial"/>
        </w:rPr>
      </w:pPr>
      <w:r w:rsidRPr="005425A7">
        <w:rPr>
          <w:rFonts w:ascii="Arial" w:hAnsi="Arial"/>
        </w:rPr>
        <w:t xml:space="preserve">Classroom social control remains a pressing challenge for language teachers in public secondary schools, particularly as they navigate complex dynamics involving student behavior, institutional expectations, and socio-cultural diversity. Teachers must maintain discipline and facilitate engagement in increasingly heterogeneous classrooms while upholding </w:t>
      </w:r>
      <w:r w:rsidR="00394684">
        <w:rPr>
          <w:rFonts w:ascii="Arial" w:hAnsi="Arial"/>
        </w:rPr>
        <w:t>respect, inclusion, and equity (</w:t>
      </w:r>
      <w:r w:rsidR="00394684" w:rsidRPr="00394684">
        <w:rPr>
          <w:rFonts w:ascii="Arial" w:hAnsi="Arial"/>
        </w:rPr>
        <w:t>Romey</w:t>
      </w:r>
      <w:r w:rsidR="00394684">
        <w:rPr>
          <w:rFonts w:ascii="Arial" w:hAnsi="Arial"/>
        </w:rPr>
        <w:t xml:space="preserve">, 2024). </w:t>
      </w:r>
      <w:r w:rsidRPr="005425A7">
        <w:rPr>
          <w:rFonts w:ascii="Arial" w:hAnsi="Arial"/>
        </w:rPr>
        <w:t>However, without effective social control strategies rooted in mutual understanding and cultural sensitivity, language teachers often face classroom disruptions, low participation, and student resistance, which hinder academic outcomes and compromise the quality of instruction. This persistent struggle underscores the urgent need to explore the mechanisms teachers use to assert social control in ways that are adaptive, relation</w:t>
      </w:r>
      <w:r w:rsidR="00394684">
        <w:rPr>
          <w:rFonts w:ascii="Arial" w:hAnsi="Arial"/>
        </w:rPr>
        <w:t>al, and contextually responsive (Burden, 2025).</w:t>
      </w:r>
    </w:p>
    <w:p w14:paraId="5749C26D" w14:textId="77777777" w:rsidR="00DC0E26" w:rsidRDefault="00DC0E26" w:rsidP="005425A7">
      <w:pPr>
        <w:jc w:val="both"/>
        <w:rPr>
          <w:rFonts w:ascii="Arial" w:hAnsi="Arial"/>
        </w:rPr>
      </w:pPr>
    </w:p>
    <w:p w14:paraId="30A34ED5" w14:textId="31AF9582" w:rsidR="005425A7" w:rsidRPr="005425A7" w:rsidRDefault="005425A7" w:rsidP="005425A7">
      <w:pPr>
        <w:jc w:val="both"/>
        <w:rPr>
          <w:rFonts w:ascii="Arial" w:hAnsi="Arial"/>
        </w:rPr>
      </w:pPr>
      <w:r w:rsidRPr="005425A7">
        <w:rPr>
          <w:rFonts w:ascii="Arial" w:hAnsi="Arial"/>
        </w:rPr>
        <w:t>In the United States, language educators often report a lack of culturally relevant disciplinary tools to manage li</w:t>
      </w:r>
      <w:r w:rsidR="00DC0E26">
        <w:rPr>
          <w:rFonts w:ascii="Arial" w:hAnsi="Arial"/>
        </w:rPr>
        <w:t>nguistically diverse classrooms (</w:t>
      </w:r>
      <w:r w:rsidR="00DC0E26" w:rsidRPr="00DC0E26">
        <w:rPr>
          <w:rFonts w:ascii="Arial" w:hAnsi="Arial"/>
        </w:rPr>
        <w:t>Cho</w:t>
      </w:r>
      <w:r w:rsidR="00DC0E26">
        <w:rPr>
          <w:rFonts w:ascii="Arial" w:hAnsi="Arial"/>
        </w:rPr>
        <w:t xml:space="preserve"> et al., 2020).</w:t>
      </w:r>
      <w:r w:rsidRPr="005425A7">
        <w:rPr>
          <w:rFonts w:ascii="Arial" w:hAnsi="Arial"/>
        </w:rPr>
        <w:t xml:space="preserve"> In </w:t>
      </w:r>
      <w:r w:rsidR="00DC0E26">
        <w:rPr>
          <w:rFonts w:ascii="Arial" w:hAnsi="Arial"/>
        </w:rPr>
        <w:t>Zambia</w:t>
      </w:r>
      <w:r w:rsidRPr="005425A7">
        <w:rPr>
          <w:rFonts w:ascii="Arial" w:hAnsi="Arial"/>
        </w:rPr>
        <w:t xml:space="preserve">, where language instruction occurs in multilingual settings, educators face difficulty reconciling state policies with grassroots classroom realities, leading to breakdowns in teacher-student </w:t>
      </w:r>
      <w:r w:rsidR="00DC0E26">
        <w:rPr>
          <w:rFonts w:ascii="Arial" w:hAnsi="Arial"/>
        </w:rPr>
        <w:t>rapport (</w:t>
      </w:r>
      <w:proofErr w:type="spellStart"/>
      <w:r w:rsidR="00DC0E26" w:rsidRPr="00DC0E26">
        <w:rPr>
          <w:rFonts w:ascii="Arial" w:hAnsi="Arial"/>
        </w:rPr>
        <w:t>Staschen</w:t>
      </w:r>
      <w:proofErr w:type="spellEnd"/>
      <w:r w:rsidR="00DC0E26">
        <w:rPr>
          <w:rFonts w:ascii="Arial" w:hAnsi="Arial"/>
        </w:rPr>
        <w:t xml:space="preserve">, 2020). </w:t>
      </w:r>
      <w:r w:rsidRPr="005425A7">
        <w:rPr>
          <w:rFonts w:ascii="Arial" w:hAnsi="Arial"/>
        </w:rPr>
        <w:t>Meanwhile, in Japan, teachers employ implicit authority and collectivist values to sustain order, but increasingly report tensions arising from globalized educational influences an</w:t>
      </w:r>
      <w:r w:rsidR="00DC0E26">
        <w:rPr>
          <w:rFonts w:ascii="Arial" w:hAnsi="Arial"/>
        </w:rPr>
        <w:t>d growing student assertiveness (</w:t>
      </w:r>
      <w:r w:rsidR="00DC0E26" w:rsidRPr="00DC0E26">
        <w:rPr>
          <w:rFonts w:ascii="Arial" w:hAnsi="Arial"/>
        </w:rPr>
        <w:t>Hirose</w:t>
      </w:r>
      <w:r w:rsidR="00DC0E26">
        <w:rPr>
          <w:rFonts w:ascii="Arial" w:hAnsi="Arial"/>
        </w:rPr>
        <w:t>, 2022).</w:t>
      </w:r>
      <w:r w:rsidRPr="005425A7">
        <w:rPr>
          <w:rFonts w:ascii="Arial" w:hAnsi="Arial"/>
        </w:rPr>
        <w:t xml:space="preserve"> These varied experiences </w:t>
      </w:r>
      <w:r w:rsidRPr="005425A7">
        <w:rPr>
          <w:rFonts w:ascii="Arial" w:hAnsi="Arial"/>
        </w:rPr>
        <w:lastRenderedPageBreak/>
        <w:t>suggest that classroom control is not merely about enforcement but involves deep interpersonal negotiation shaped by national and cultural contexts.</w:t>
      </w:r>
    </w:p>
    <w:p w14:paraId="04140E7C" w14:textId="77777777" w:rsidR="005425A7" w:rsidRPr="005425A7" w:rsidRDefault="005425A7" w:rsidP="005425A7">
      <w:pPr>
        <w:jc w:val="both"/>
        <w:rPr>
          <w:rFonts w:ascii="Arial" w:hAnsi="Arial"/>
        </w:rPr>
      </w:pPr>
    </w:p>
    <w:p w14:paraId="107C5B01" w14:textId="02946DF5" w:rsidR="005425A7" w:rsidRPr="005425A7" w:rsidRDefault="005425A7" w:rsidP="005425A7">
      <w:pPr>
        <w:jc w:val="both"/>
        <w:rPr>
          <w:rFonts w:ascii="Arial" w:hAnsi="Arial"/>
        </w:rPr>
      </w:pPr>
      <w:r w:rsidRPr="005425A7">
        <w:rPr>
          <w:rFonts w:ascii="Arial" w:hAnsi="Arial"/>
        </w:rPr>
        <w:t>In the Philippines, public secondary language teachers encounter significant barriers in asserting classroom social control due to large class sizes, limited resources, and evolving student attitudes influenced by digital cultu</w:t>
      </w:r>
      <w:r w:rsidR="002B32A0">
        <w:rPr>
          <w:rFonts w:ascii="Arial" w:hAnsi="Arial"/>
        </w:rPr>
        <w:t>re and shifting societal norms (</w:t>
      </w:r>
      <w:proofErr w:type="spellStart"/>
      <w:r w:rsidR="002B32A0" w:rsidRPr="002B32A0">
        <w:rPr>
          <w:rFonts w:ascii="Arial" w:hAnsi="Arial"/>
        </w:rPr>
        <w:t>Salayo</w:t>
      </w:r>
      <w:proofErr w:type="spellEnd"/>
      <w:r w:rsidR="002B32A0">
        <w:rPr>
          <w:rFonts w:ascii="Arial" w:hAnsi="Arial"/>
        </w:rPr>
        <w:t xml:space="preserve"> </w:t>
      </w:r>
      <w:r w:rsidR="002B32A0" w:rsidRPr="002B32A0">
        <w:rPr>
          <w:rFonts w:ascii="Arial" w:hAnsi="Arial"/>
        </w:rPr>
        <w:t>&amp; Geronimo</w:t>
      </w:r>
      <w:r w:rsidR="002B32A0">
        <w:rPr>
          <w:rFonts w:ascii="Arial" w:hAnsi="Arial"/>
        </w:rPr>
        <w:t xml:space="preserve">, 2204). </w:t>
      </w:r>
      <w:r w:rsidRPr="005425A7">
        <w:rPr>
          <w:rFonts w:ascii="Arial" w:hAnsi="Arial"/>
        </w:rPr>
        <w:t>Language teachers, in particular, are tasked with fostering communicative competence while simultaneously maintaining classroom discipline—a dual responsibility that is both pedagogical and behavioral in nature. The lack of sustained support for teachers' classroom management strategies often results in reactive rather than proactive discipline, further straining teacher-student relationships and undermining the learning env</w:t>
      </w:r>
      <w:r w:rsidR="002B32A0">
        <w:rPr>
          <w:rFonts w:ascii="Arial" w:hAnsi="Arial"/>
        </w:rPr>
        <w:t xml:space="preserve">ironment (Ly, 2024). </w:t>
      </w:r>
      <w:r w:rsidRPr="005425A7">
        <w:rPr>
          <w:rFonts w:ascii="Arial" w:hAnsi="Arial"/>
        </w:rPr>
        <w:t xml:space="preserve"> These issues highlight a critical need to understand how Filipino educators, particularly in rural and marginalized contexts, exercise classroom control through culturally grounded and community-based practices.</w:t>
      </w:r>
    </w:p>
    <w:p w14:paraId="0DBBF26F" w14:textId="77777777" w:rsidR="005425A7" w:rsidRPr="005425A7" w:rsidRDefault="005425A7" w:rsidP="005425A7">
      <w:pPr>
        <w:jc w:val="both"/>
        <w:rPr>
          <w:rFonts w:ascii="Arial" w:hAnsi="Arial"/>
        </w:rPr>
      </w:pPr>
    </w:p>
    <w:p w14:paraId="7E504138" w14:textId="3849CCCF" w:rsidR="005425A7" w:rsidRPr="005425A7" w:rsidRDefault="005425A7" w:rsidP="005425A7">
      <w:pPr>
        <w:jc w:val="both"/>
        <w:rPr>
          <w:rFonts w:ascii="Arial" w:hAnsi="Arial"/>
        </w:rPr>
      </w:pPr>
      <w:r w:rsidRPr="005425A7">
        <w:rPr>
          <w:rFonts w:ascii="Arial" w:hAnsi="Arial"/>
        </w:rPr>
        <w:t>Ingenious solidarity refers to the creative, context-sensitive strategies language teachers use to build mutual respect, shared responsibility, and interpersonal cohesion with their students. This form of solidarity enables teachers to assert social control not through coercion but through relational influence, emotional intelligence, an</w:t>
      </w:r>
      <w:r w:rsidR="002B32A0">
        <w:rPr>
          <w:rFonts w:ascii="Arial" w:hAnsi="Arial"/>
        </w:rPr>
        <w:t>d culturally resonant practices (</w:t>
      </w:r>
      <w:r w:rsidR="002B32A0" w:rsidRPr="002B32A0">
        <w:rPr>
          <w:rFonts w:ascii="Arial" w:hAnsi="Arial"/>
        </w:rPr>
        <w:t>Malgoubri</w:t>
      </w:r>
      <w:r w:rsidR="002B32A0">
        <w:rPr>
          <w:rFonts w:ascii="Arial" w:hAnsi="Arial"/>
        </w:rPr>
        <w:t>, 2025).</w:t>
      </w:r>
      <w:r w:rsidRPr="005425A7">
        <w:rPr>
          <w:rFonts w:ascii="Arial" w:hAnsi="Arial"/>
        </w:rPr>
        <w:t xml:space="preserve"> By fostering trust and communal values, teachers can cultivate a learning atmosphere where discipline is sustained collectively r</w:t>
      </w:r>
      <w:r w:rsidR="002B32A0">
        <w:rPr>
          <w:rFonts w:ascii="Arial" w:hAnsi="Arial"/>
        </w:rPr>
        <w:t>ather than imposed unilaterally (</w:t>
      </w:r>
      <w:proofErr w:type="spellStart"/>
      <w:r w:rsidR="002B32A0" w:rsidRPr="002B32A0">
        <w:rPr>
          <w:rFonts w:ascii="Arial" w:hAnsi="Arial"/>
        </w:rPr>
        <w:t>Pantazidis</w:t>
      </w:r>
      <w:proofErr w:type="spellEnd"/>
      <w:r w:rsidR="002B32A0">
        <w:rPr>
          <w:rFonts w:ascii="Arial" w:hAnsi="Arial"/>
        </w:rPr>
        <w:t>, 2024).</w:t>
      </w:r>
      <w:r w:rsidRPr="005425A7">
        <w:rPr>
          <w:rFonts w:ascii="Arial" w:hAnsi="Arial"/>
        </w:rPr>
        <w:t xml:space="preserve"> Thus, examining how ingenious solidarity operates offers critical insight into more sustainable, humane forms of classroom social control, particularly in resource-constrained public school systems where formal disciplinary tools are limited.</w:t>
      </w:r>
    </w:p>
    <w:p w14:paraId="67E30AAF" w14:textId="77777777" w:rsidR="005425A7" w:rsidRPr="005425A7" w:rsidRDefault="005425A7" w:rsidP="005425A7">
      <w:pPr>
        <w:jc w:val="both"/>
        <w:rPr>
          <w:rFonts w:ascii="Arial" w:hAnsi="Arial"/>
        </w:rPr>
      </w:pPr>
    </w:p>
    <w:p w14:paraId="0C1DD9D5" w14:textId="35C332A7" w:rsidR="005425A7" w:rsidRPr="005425A7" w:rsidRDefault="005425A7" w:rsidP="005425A7">
      <w:pPr>
        <w:jc w:val="both"/>
        <w:rPr>
          <w:rFonts w:ascii="Arial" w:hAnsi="Arial"/>
        </w:rPr>
      </w:pPr>
      <w:r w:rsidRPr="005425A7">
        <w:rPr>
          <w:rFonts w:ascii="Arial" w:hAnsi="Arial"/>
        </w:rPr>
        <w:t>Despite increasing attention to classroom management and teacher-student relationships, little empirical research has explored the role of indigenous, relational, and context-responsive strategies—what this stu</w:t>
      </w:r>
      <w:r>
        <w:rPr>
          <w:rFonts w:ascii="Arial" w:hAnsi="Arial"/>
        </w:rPr>
        <w:t xml:space="preserve">dy calls “ingenious solidarity”, </w:t>
      </w:r>
      <w:r w:rsidRPr="005425A7">
        <w:rPr>
          <w:rFonts w:ascii="Arial" w:hAnsi="Arial"/>
        </w:rPr>
        <w:t>in shaping classroom social control, especially among language teachers. Existing literature tends to focus on rule enforcement or institutional discipline frameworks without adequately capturing the lived, adaptive practices that teachers deploy in their everyday interactions with students. Moreover, there is a dearth of localized studies that explore how such strategies manifest in the Philippine context, leaving a crucial gap in understanding how cultural and communal ties can influence classroom governance.</w:t>
      </w:r>
    </w:p>
    <w:p w14:paraId="703A7653" w14:textId="77777777" w:rsidR="005425A7" w:rsidRPr="005425A7" w:rsidRDefault="005425A7" w:rsidP="005425A7">
      <w:pPr>
        <w:jc w:val="both"/>
        <w:rPr>
          <w:rFonts w:ascii="Arial" w:hAnsi="Arial"/>
        </w:rPr>
      </w:pPr>
    </w:p>
    <w:p w14:paraId="0DDA45F7" w14:textId="77777777" w:rsidR="005425A7" w:rsidRPr="005425A7" w:rsidRDefault="005425A7" w:rsidP="005425A7">
      <w:pPr>
        <w:jc w:val="both"/>
        <w:rPr>
          <w:rFonts w:ascii="Arial" w:hAnsi="Arial"/>
        </w:rPr>
      </w:pPr>
      <w:r w:rsidRPr="005425A7">
        <w:rPr>
          <w:rFonts w:ascii="Arial" w:hAnsi="Arial"/>
        </w:rPr>
        <w:t xml:space="preserve">This study aimed to determine the domains of ingenious solidarity that significantly influence classroom social control of public secondary school language teachers in </w:t>
      </w:r>
      <w:proofErr w:type="spellStart"/>
      <w:r w:rsidRPr="005425A7">
        <w:rPr>
          <w:rFonts w:ascii="Arial" w:hAnsi="Arial"/>
        </w:rPr>
        <w:t>Banay-Banay</w:t>
      </w:r>
      <w:proofErr w:type="spellEnd"/>
      <w:r w:rsidRPr="005425A7">
        <w:rPr>
          <w:rFonts w:ascii="Arial" w:hAnsi="Arial"/>
        </w:rPr>
        <w:t xml:space="preserve"> District, Division of Davao Oriental. By identifying and analyzing these domains, the study seeks to provide a deeper understanding of how language teachers creatively and collaboratively manage classroom dynamics, fostering an environment conducive to both discipline and meaningful learning.</w:t>
      </w:r>
    </w:p>
    <w:p w14:paraId="24AB303C" w14:textId="77777777" w:rsidR="0074551A" w:rsidRDefault="0074551A" w:rsidP="00323BB4">
      <w:pPr>
        <w:jc w:val="center"/>
        <w:rPr>
          <w:rFonts w:ascii="Arial" w:eastAsia="MS Mincho" w:hAnsi="Arial" w:cs="Arial"/>
          <w:b/>
          <w:bCs/>
          <w:lang w:eastAsia="ja-JP"/>
        </w:rPr>
      </w:pPr>
    </w:p>
    <w:p w14:paraId="779EF7AF" w14:textId="77777777" w:rsidR="0056218A" w:rsidRDefault="0056218A" w:rsidP="00323BB4">
      <w:pPr>
        <w:jc w:val="center"/>
        <w:rPr>
          <w:rFonts w:ascii="Arial" w:eastAsia="MS Mincho" w:hAnsi="Arial" w:cs="Arial"/>
          <w:b/>
          <w:bCs/>
          <w:lang w:eastAsia="ja-JP"/>
        </w:rPr>
      </w:pPr>
    </w:p>
    <w:p w14:paraId="3017206B" w14:textId="77777777" w:rsidR="003227FA" w:rsidRDefault="003227FA" w:rsidP="00323BB4">
      <w:pPr>
        <w:jc w:val="center"/>
        <w:rPr>
          <w:rFonts w:ascii="Arial" w:eastAsia="MS Mincho" w:hAnsi="Arial" w:cs="Arial"/>
          <w:b/>
          <w:bCs/>
          <w:lang w:eastAsia="ja-JP"/>
        </w:rPr>
      </w:pPr>
    </w:p>
    <w:p w14:paraId="4E2B6B39" w14:textId="77777777" w:rsidR="003227FA" w:rsidRDefault="003227FA" w:rsidP="00323BB4">
      <w:pPr>
        <w:jc w:val="center"/>
        <w:rPr>
          <w:rFonts w:ascii="Arial" w:eastAsia="MS Mincho" w:hAnsi="Arial" w:cs="Arial"/>
          <w:b/>
          <w:bCs/>
          <w:lang w:eastAsia="ja-JP"/>
        </w:rPr>
      </w:pPr>
    </w:p>
    <w:p w14:paraId="14CB7266" w14:textId="77777777" w:rsidR="003227FA" w:rsidRDefault="003227FA" w:rsidP="00323BB4">
      <w:pPr>
        <w:jc w:val="center"/>
        <w:rPr>
          <w:rFonts w:ascii="Arial" w:eastAsia="MS Mincho" w:hAnsi="Arial" w:cs="Arial"/>
          <w:b/>
          <w:bCs/>
          <w:lang w:eastAsia="ja-JP"/>
        </w:rPr>
      </w:pPr>
    </w:p>
    <w:p w14:paraId="2816209E" w14:textId="2DFB317D" w:rsidR="003227FA" w:rsidRDefault="00983911" w:rsidP="003340B8">
      <w:pPr>
        <w:jc w:val="center"/>
        <w:rPr>
          <w:rFonts w:ascii="Arial" w:eastAsia="MS Mincho" w:hAnsi="Arial" w:cs="Arial"/>
          <w:b/>
          <w:bCs/>
          <w:lang w:eastAsia="ja-JP"/>
        </w:rPr>
      </w:pPr>
      <w:r>
        <w:rPr>
          <w:noProof/>
        </w:rPr>
        <w:lastRenderedPageBreak/>
        <w:drawing>
          <wp:inline distT="0" distB="0" distL="0" distR="0" wp14:anchorId="18A65524" wp14:editId="5BEBDF47">
            <wp:extent cx="2141220" cy="17068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39912" t="21832" r="19006" b="19948"/>
                    <a:stretch/>
                  </pic:blipFill>
                  <pic:spPr bwMode="auto">
                    <a:xfrm>
                      <a:off x="0" y="0"/>
                      <a:ext cx="2141220" cy="1706880"/>
                    </a:xfrm>
                    <a:prstGeom prst="rect">
                      <a:avLst/>
                    </a:prstGeom>
                    <a:ln>
                      <a:noFill/>
                    </a:ln>
                    <a:extLst>
                      <a:ext uri="{53640926-AAD7-44D8-BBD7-CCE9431645EC}">
                        <a14:shadowObscured xmlns:a14="http://schemas.microsoft.com/office/drawing/2010/main"/>
                      </a:ext>
                    </a:extLst>
                  </pic:spPr>
                </pic:pic>
              </a:graphicData>
            </a:graphic>
          </wp:inline>
        </w:drawing>
      </w:r>
    </w:p>
    <w:p w14:paraId="37236F59" w14:textId="77777777" w:rsidR="003227FA" w:rsidRDefault="003227FA" w:rsidP="00323BB4">
      <w:pPr>
        <w:jc w:val="center"/>
        <w:rPr>
          <w:rFonts w:ascii="Arial" w:eastAsia="MS Mincho" w:hAnsi="Arial" w:cs="Arial"/>
          <w:b/>
          <w:bCs/>
          <w:lang w:eastAsia="ja-JP"/>
        </w:rPr>
      </w:pPr>
    </w:p>
    <w:p w14:paraId="70BF97C8" w14:textId="5B81A52E" w:rsidR="00717F2E" w:rsidRDefault="00180859" w:rsidP="00323BB4">
      <w:pPr>
        <w:jc w:val="center"/>
        <w:rPr>
          <w:rFonts w:ascii="Arial" w:eastAsia="MS Mincho" w:hAnsi="Arial" w:cs="Arial"/>
          <w:lang w:eastAsia="ja-JP"/>
        </w:rPr>
      </w:pPr>
      <w:r>
        <w:rPr>
          <w:rFonts w:ascii="Arial" w:eastAsia="MS Mincho" w:hAnsi="Arial" w:cs="Arial"/>
          <w:b/>
          <w:bCs/>
          <w:lang w:eastAsia="ja-JP"/>
        </w:rPr>
        <w:t xml:space="preserve">Figure 1:  </w:t>
      </w:r>
      <w:r>
        <w:rPr>
          <w:rFonts w:ascii="Arial" w:eastAsia="MS Mincho" w:hAnsi="Arial" w:cs="Arial"/>
          <w:lang w:eastAsia="ja-JP"/>
        </w:rPr>
        <w:t>Conceptual Framework of the Study</w:t>
      </w:r>
    </w:p>
    <w:p w14:paraId="0ED0213D" w14:textId="60A60C46" w:rsidR="002F5C4B" w:rsidRDefault="002F5C4B" w:rsidP="002F5C4B">
      <w:pPr>
        <w:rPr>
          <w:rFonts w:ascii="Arial" w:eastAsia="MS Mincho" w:hAnsi="Arial" w:cs="Arial"/>
          <w:lang w:eastAsia="ja-JP"/>
        </w:rPr>
      </w:pPr>
    </w:p>
    <w:p w14:paraId="305CBFC1" w14:textId="23EF8DCF" w:rsidR="000D23E6" w:rsidRPr="000D23E6" w:rsidRDefault="002F5C4B" w:rsidP="000D23E6">
      <w:pPr>
        <w:rPr>
          <w:rFonts w:ascii="Arial" w:eastAsia="MS Mincho" w:hAnsi="Arial" w:cs="Arial"/>
          <w:b/>
          <w:lang w:eastAsia="ja-JP"/>
        </w:rPr>
      </w:pPr>
      <w:r w:rsidRPr="002F5C4B">
        <w:rPr>
          <w:rFonts w:ascii="Arial" w:eastAsia="MS Mincho" w:hAnsi="Arial" w:cs="Arial"/>
          <w:b/>
          <w:lang w:eastAsia="ja-JP"/>
        </w:rPr>
        <w:t>1.1 Statement of the Problem</w:t>
      </w:r>
    </w:p>
    <w:p w14:paraId="71350A61" w14:textId="77777777" w:rsidR="000D23E6" w:rsidRPr="000D23E6" w:rsidRDefault="000D23E6" w:rsidP="000D23E6">
      <w:pPr>
        <w:rPr>
          <w:rFonts w:ascii="Arial" w:eastAsia="MS Mincho" w:hAnsi="Arial" w:cs="Arial"/>
          <w:lang w:eastAsia="ja-JP"/>
        </w:rPr>
      </w:pPr>
    </w:p>
    <w:p w14:paraId="29985362" w14:textId="77777777" w:rsidR="00983911" w:rsidRPr="00983911" w:rsidRDefault="00983911" w:rsidP="00983911">
      <w:pPr>
        <w:rPr>
          <w:rFonts w:ascii="Arial" w:eastAsia="MS Mincho" w:hAnsi="Arial" w:cs="Arial"/>
          <w:lang w:eastAsia="ja-JP"/>
        </w:rPr>
      </w:pPr>
      <w:r w:rsidRPr="00983911">
        <w:rPr>
          <w:rFonts w:ascii="Arial" w:eastAsia="MS Mincho" w:hAnsi="Arial" w:cs="Arial"/>
          <w:lang w:eastAsia="ja-JP"/>
        </w:rPr>
        <w:t xml:space="preserve">This study aimed to determine the domains of ingenious solidarity that significantly influence classroom social control of public secondary school teachers in </w:t>
      </w:r>
      <w:proofErr w:type="spellStart"/>
      <w:r w:rsidRPr="00983911">
        <w:rPr>
          <w:rFonts w:ascii="Arial" w:eastAsia="MS Mincho" w:hAnsi="Arial" w:cs="Arial"/>
          <w:lang w:eastAsia="ja-JP"/>
        </w:rPr>
        <w:t>Banay-Banay</w:t>
      </w:r>
      <w:proofErr w:type="spellEnd"/>
      <w:r w:rsidRPr="00983911">
        <w:rPr>
          <w:rFonts w:ascii="Arial" w:eastAsia="MS Mincho" w:hAnsi="Arial" w:cs="Arial"/>
          <w:lang w:eastAsia="ja-JP"/>
        </w:rPr>
        <w:t xml:space="preserve"> District, Division of Davao Oriental. More explicitly, the study sought to answer the following questions:</w:t>
      </w:r>
    </w:p>
    <w:p w14:paraId="53C3B0AA" w14:textId="77777777" w:rsidR="00983911" w:rsidRPr="00983911" w:rsidRDefault="00983911" w:rsidP="00983911">
      <w:pPr>
        <w:rPr>
          <w:rFonts w:ascii="Arial" w:eastAsia="MS Mincho" w:hAnsi="Arial" w:cs="Arial"/>
          <w:lang w:eastAsia="ja-JP"/>
        </w:rPr>
      </w:pPr>
      <w:r w:rsidRPr="00983911">
        <w:rPr>
          <w:rFonts w:ascii="Arial" w:eastAsia="MS Mincho" w:hAnsi="Arial" w:cs="Arial"/>
          <w:lang w:eastAsia="ja-JP"/>
        </w:rPr>
        <w:t>1. What is the level of ingenious solidarity of public secondary school heads in terms of:</w:t>
      </w:r>
    </w:p>
    <w:p w14:paraId="155D5056" w14:textId="77777777" w:rsidR="00983911" w:rsidRPr="00983911" w:rsidRDefault="00983911" w:rsidP="00983911">
      <w:pPr>
        <w:rPr>
          <w:rFonts w:ascii="Arial" w:eastAsia="MS Mincho" w:hAnsi="Arial" w:cs="Arial"/>
          <w:lang w:eastAsia="ja-JP"/>
        </w:rPr>
      </w:pPr>
      <w:r w:rsidRPr="00983911">
        <w:rPr>
          <w:rFonts w:ascii="Arial" w:eastAsia="MS Mincho" w:hAnsi="Arial" w:cs="Arial"/>
          <w:lang w:eastAsia="ja-JP"/>
        </w:rPr>
        <w:t xml:space="preserve">1.1 Collaborative learning, </w:t>
      </w:r>
    </w:p>
    <w:p w14:paraId="37DFC045" w14:textId="77777777" w:rsidR="00983911" w:rsidRPr="00983911" w:rsidRDefault="00983911" w:rsidP="00983911">
      <w:pPr>
        <w:rPr>
          <w:rFonts w:ascii="Arial" w:eastAsia="MS Mincho" w:hAnsi="Arial" w:cs="Arial"/>
          <w:lang w:eastAsia="ja-JP"/>
        </w:rPr>
      </w:pPr>
      <w:r w:rsidRPr="00983911">
        <w:rPr>
          <w:rFonts w:ascii="Arial" w:eastAsia="MS Mincho" w:hAnsi="Arial" w:cs="Arial"/>
          <w:lang w:eastAsia="ja-JP"/>
        </w:rPr>
        <w:t xml:space="preserve">1.2 Cultural Connection, </w:t>
      </w:r>
    </w:p>
    <w:p w14:paraId="1DDFE66B" w14:textId="77777777" w:rsidR="00983911" w:rsidRPr="00983911" w:rsidRDefault="00983911" w:rsidP="00983911">
      <w:pPr>
        <w:rPr>
          <w:rFonts w:ascii="Arial" w:eastAsia="MS Mincho" w:hAnsi="Arial" w:cs="Arial"/>
          <w:lang w:eastAsia="ja-JP"/>
        </w:rPr>
      </w:pPr>
      <w:r w:rsidRPr="00983911">
        <w:rPr>
          <w:rFonts w:ascii="Arial" w:eastAsia="MS Mincho" w:hAnsi="Arial" w:cs="Arial"/>
          <w:lang w:eastAsia="ja-JP"/>
        </w:rPr>
        <w:t xml:space="preserve">1.3 Empathy, and </w:t>
      </w:r>
    </w:p>
    <w:p w14:paraId="3197580F" w14:textId="77777777" w:rsidR="00983911" w:rsidRPr="00983911" w:rsidRDefault="00983911" w:rsidP="00983911">
      <w:pPr>
        <w:rPr>
          <w:rFonts w:ascii="Arial" w:eastAsia="MS Mincho" w:hAnsi="Arial" w:cs="Arial"/>
          <w:lang w:eastAsia="ja-JP"/>
        </w:rPr>
      </w:pPr>
      <w:r w:rsidRPr="00983911">
        <w:rPr>
          <w:rFonts w:ascii="Arial" w:eastAsia="MS Mincho" w:hAnsi="Arial" w:cs="Arial"/>
          <w:lang w:eastAsia="ja-JP"/>
        </w:rPr>
        <w:t>1.4 Inclusivity?</w:t>
      </w:r>
    </w:p>
    <w:p w14:paraId="161A1257" w14:textId="77777777" w:rsidR="00983911" w:rsidRPr="00983911" w:rsidRDefault="00983911" w:rsidP="00983911">
      <w:pPr>
        <w:rPr>
          <w:rFonts w:ascii="Arial" w:eastAsia="MS Mincho" w:hAnsi="Arial" w:cs="Arial"/>
          <w:lang w:eastAsia="ja-JP"/>
        </w:rPr>
      </w:pPr>
      <w:r w:rsidRPr="00983911">
        <w:rPr>
          <w:rFonts w:ascii="Arial" w:eastAsia="MS Mincho" w:hAnsi="Arial" w:cs="Arial"/>
          <w:lang w:eastAsia="ja-JP"/>
        </w:rPr>
        <w:t>2. What is the level of classroom social control of public secondary school teachers in terms of:</w:t>
      </w:r>
    </w:p>
    <w:p w14:paraId="013E53C0" w14:textId="77777777" w:rsidR="00983911" w:rsidRPr="00983911" w:rsidRDefault="00983911" w:rsidP="00983911">
      <w:pPr>
        <w:rPr>
          <w:rFonts w:ascii="Arial" w:eastAsia="MS Mincho" w:hAnsi="Arial" w:cs="Arial"/>
          <w:lang w:eastAsia="ja-JP"/>
        </w:rPr>
      </w:pPr>
      <w:r w:rsidRPr="00983911">
        <w:rPr>
          <w:rFonts w:ascii="Arial" w:eastAsia="MS Mincho" w:hAnsi="Arial" w:cs="Arial"/>
          <w:lang w:eastAsia="ja-JP"/>
        </w:rPr>
        <w:t>2.1 Humanity,</w:t>
      </w:r>
    </w:p>
    <w:p w14:paraId="4F1F8C72" w14:textId="77777777" w:rsidR="00983911" w:rsidRPr="00983911" w:rsidRDefault="00983911" w:rsidP="00983911">
      <w:pPr>
        <w:rPr>
          <w:rFonts w:ascii="Arial" w:eastAsia="MS Mincho" w:hAnsi="Arial" w:cs="Arial"/>
          <w:lang w:eastAsia="ja-JP"/>
        </w:rPr>
      </w:pPr>
      <w:r w:rsidRPr="00983911">
        <w:rPr>
          <w:rFonts w:ascii="Arial" w:eastAsia="MS Mincho" w:hAnsi="Arial" w:cs="Arial"/>
          <w:lang w:eastAsia="ja-JP"/>
        </w:rPr>
        <w:t xml:space="preserve">2.2 Conscientiousness, </w:t>
      </w:r>
    </w:p>
    <w:p w14:paraId="085BC4E4" w14:textId="77777777" w:rsidR="00983911" w:rsidRPr="00983911" w:rsidRDefault="00983911" w:rsidP="00983911">
      <w:pPr>
        <w:rPr>
          <w:rFonts w:ascii="Arial" w:eastAsia="MS Mincho" w:hAnsi="Arial" w:cs="Arial"/>
          <w:lang w:eastAsia="ja-JP"/>
        </w:rPr>
      </w:pPr>
      <w:r w:rsidRPr="00983911">
        <w:rPr>
          <w:rFonts w:ascii="Arial" w:eastAsia="MS Mincho" w:hAnsi="Arial" w:cs="Arial"/>
          <w:lang w:eastAsia="ja-JP"/>
        </w:rPr>
        <w:t>2.3 Sportsmanship,</w:t>
      </w:r>
    </w:p>
    <w:p w14:paraId="439D04BE" w14:textId="77777777" w:rsidR="00983911" w:rsidRPr="00983911" w:rsidRDefault="00983911" w:rsidP="00983911">
      <w:pPr>
        <w:rPr>
          <w:rFonts w:ascii="Arial" w:eastAsia="MS Mincho" w:hAnsi="Arial" w:cs="Arial"/>
          <w:lang w:eastAsia="ja-JP"/>
        </w:rPr>
      </w:pPr>
      <w:r w:rsidRPr="00983911">
        <w:rPr>
          <w:rFonts w:ascii="Arial" w:eastAsia="MS Mincho" w:hAnsi="Arial" w:cs="Arial"/>
          <w:lang w:eastAsia="ja-JP"/>
        </w:rPr>
        <w:t>2.4 Courtesy, and</w:t>
      </w:r>
    </w:p>
    <w:p w14:paraId="79CBC36A" w14:textId="77777777" w:rsidR="00983911" w:rsidRPr="00983911" w:rsidRDefault="00983911" w:rsidP="00983911">
      <w:pPr>
        <w:rPr>
          <w:rFonts w:ascii="Arial" w:eastAsia="MS Mincho" w:hAnsi="Arial" w:cs="Arial"/>
          <w:lang w:eastAsia="ja-JP"/>
        </w:rPr>
      </w:pPr>
      <w:r w:rsidRPr="00983911">
        <w:rPr>
          <w:rFonts w:ascii="Arial" w:eastAsia="MS Mincho" w:hAnsi="Arial" w:cs="Arial"/>
          <w:lang w:eastAsia="ja-JP"/>
        </w:rPr>
        <w:t>2.5 Virtue?</w:t>
      </w:r>
    </w:p>
    <w:p w14:paraId="1914A3E9" w14:textId="71D9FCBC" w:rsidR="00983911" w:rsidRPr="00983911" w:rsidRDefault="00983911" w:rsidP="00983911">
      <w:pPr>
        <w:rPr>
          <w:rFonts w:ascii="Arial" w:eastAsia="MS Mincho" w:hAnsi="Arial" w:cs="Arial"/>
          <w:lang w:eastAsia="ja-JP"/>
        </w:rPr>
      </w:pPr>
      <w:r>
        <w:rPr>
          <w:rFonts w:ascii="Arial" w:eastAsia="MS Mincho" w:hAnsi="Arial" w:cs="Arial"/>
          <w:lang w:eastAsia="ja-JP"/>
        </w:rPr>
        <w:t>3</w:t>
      </w:r>
      <w:r w:rsidRPr="00983911">
        <w:rPr>
          <w:rFonts w:ascii="Arial" w:eastAsia="MS Mincho" w:hAnsi="Arial" w:cs="Arial"/>
          <w:lang w:eastAsia="ja-JP"/>
        </w:rPr>
        <w:t>. Is there a significant relationship between the ingenious solidarity and classroom social control of public secondary school teachers?</w:t>
      </w:r>
    </w:p>
    <w:p w14:paraId="3243C943" w14:textId="5F6EC091" w:rsidR="00B43C88" w:rsidRDefault="00983911" w:rsidP="00983911">
      <w:pPr>
        <w:rPr>
          <w:rFonts w:ascii="Arial" w:eastAsia="MS Mincho" w:hAnsi="Arial" w:cs="Arial"/>
          <w:lang w:eastAsia="ja-JP"/>
        </w:rPr>
      </w:pPr>
      <w:r>
        <w:rPr>
          <w:rFonts w:ascii="Arial" w:eastAsia="MS Mincho" w:hAnsi="Arial" w:cs="Arial"/>
          <w:lang w:eastAsia="ja-JP"/>
        </w:rPr>
        <w:t>4</w:t>
      </w:r>
      <w:r w:rsidRPr="00983911">
        <w:rPr>
          <w:rFonts w:ascii="Arial" w:eastAsia="MS Mincho" w:hAnsi="Arial" w:cs="Arial"/>
          <w:lang w:eastAsia="ja-JP"/>
        </w:rPr>
        <w:t>. Which domains of ingenious solidarity significantly influence classroom social control of teachers in public secondary schools?</w:t>
      </w:r>
    </w:p>
    <w:p w14:paraId="21B5107C" w14:textId="77777777" w:rsidR="00983911" w:rsidRPr="002F5C4B" w:rsidRDefault="00983911" w:rsidP="00983911">
      <w:pPr>
        <w:rPr>
          <w:rFonts w:ascii="Arial" w:eastAsia="MS Mincho" w:hAnsi="Arial" w:cs="Arial"/>
          <w:lang w:eastAsia="ja-JP"/>
        </w:rPr>
      </w:pPr>
    </w:p>
    <w:p w14:paraId="4110F409" w14:textId="2A19F9F9" w:rsidR="002F5C4B" w:rsidRPr="002F5C4B" w:rsidRDefault="002F5C4B" w:rsidP="002F5C4B">
      <w:pPr>
        <w:rPr>
          <w:rFonts w:ascii="Arial" w:eastAsia="MS Mincho" w:hAnsi="Arial" w:cs="Arial"/>
          <w:b/>
          <w:lang w:eastAsia="ja-JP"/>
        </w:rPr>
      </w:pPr>
      <w:r w:rsidRPr="002F5C4B">
        <w:rPr>
          <w:rFonts w:ascii="Arial" w:eastAsia="MS Mincho" w:hAnsi="Arial" w:cs="Arial"/>
          <w:b/>
          <w:lang w:eastAsia="ja-JP"/>
        </w:rPr>
        <w:t>1.2 Hypotheses</w:t>
      </w:r>
    </w:p>
    <w:p w14:paraId="426EE532" w14:textId="77777777" w:rsidR="002F5C4B" w:rsidRPr="002F5C4B" w:rsidRDefault="002F5C4B" w:rsidP="002F5C4B">
      <w:pPr>
        <w:rPr>
          <w:rFonts w:ascii="Arial" w:eastAsia="MS Mincho" w:hAnsi="Arial" w:cs="Arial"/>
          <w:lang w:eastAsia="ja-JP"/>
        </w:rPr>
      </w:pPr>
    </w:p>
    <w:p w14:paraId="5F8A9A90" w14:textId="77777777" w:rsidR="00A4603F" w:rsidRPr="00A4603F" w:rsidRDefault="00A4603F" w:rsidP="00A4603F">
      <w:pPr>
        <w:rPr>
          <w:rFonts w:ascii="Arial" w:hAnsi="Arial" w:cs="Arial"/>
        </w:rPr>
      </w:pPr>
      <w:r w:rsidRPr="00A4603F">
        <w:rPr>
          <w:rFonts w:ascii="Arial" w:hAnsi="Arial" w:cs="Arial"/>
        </w:rPr>
        <w:t>Ho1. There is no significant relationship between ingenious solidarity and classroom social control of public secondary school teachers.</w:t>
      </w:r>
    </w:p>
    <w:p w14:paraId="2761BBBA" w14:textId="6E93F2F3" w:rsidR="000D23E6" w:rsidRDefault="00A4603F" w:rsidP="00A4603F">
      <w:pPr>
        <w:rPr>
          <w:rFonts w:ascii="Arial" w:hAnsi="Arial" w:cs="Arial"/>
        </w:rPr>
      </w:pPr>
      <w:r w:rsidRPr="00A4603F">
        <w:rPr>
          <w:rFonts w:ascii="Arial" w:hAnsi="Arial" w:cs="Arial"/>
        </w:rPr>
        <w:t>Ho2. None of the domains of ingenious solidarity significantly influences classroom social control of teachers in public secondary schools.</w:t>
      </w:r>
    </w:p>
    <w:p w14:paraId="3CDC5275" w14:textId="77777777" w:rsidR="00A4603F" w:rsidRDefault="00A4603F" w:rsidP="00A4603F">
      <w:pPr>
        <w:rPr>
          <w:rFonts w:ascii="Arial" w:hAnsi="Arial" w:cs="Arial"/>
        </w:rPr>
      </w:pPr>
    </w:p>
    <w:p w14:paraId="012EB897" w14:textId="367C4A5B" w:rsidR="00717F2E" w:rsidRDefault="00180859">
      <w:pPr>
        <w:pStyle w:val="AbstHead"/>
        <w:spacing w:after="0"/>
        <w:jc w:val="both"/>
        <w:rPr>
          <w:rFonts w:ascii="Arial" w:hAnsi="Arial" w:cs="Arial"/>
          <w:sz w:val="20"/>
        </w:rPr>
      </w:pPr>
      <w:r>
        <w:rPr>
          <w:rFonts w:ascii="Arial" w:hAnsi="Arial" w:cs="Arial"/>
          <w:sz w:val="20"/>
        </w:rPr>
        <w:t>2. methodology</w:t>
      </w:r>
    </w:p>
    <w:p w14:paraId="786C1FBD" w14:textId="25BFEE82" w:rsidR="00717F2E" w:rsidRDefault="00717F2E">
      <w:pPr>
        <w:pStyle w:val="Body"/>
        <w:spacing w:after="0"/>
        <w:rPr>
          <w:rFonts w:ascii="Arial" w:hAnsi="Arial" w:cs="Arial"/>
        </w:rPr>
      </w:pPr>
    </w:p>
    <w:p w14:paraId="2881E8B0" w14:textId="28C50E4B" w:rsidR="00E77968" w:rsidRDefault="00E77968">
      <w:pPr>
        <w:pStyle w:val="Body"/>
        <w:spacing w:after="0"/>
        <w:rPr>
          <w:rFonts w:ascii="Arial" w:hAnsi="Arial" w:cs="Arial"/>
        </w:rPr>
      </w:pPr>
    </w:p>
    <w:p w14:paraId="670AA047" w14:textId="77777777" w:rsidR="00717F2E" w:rsidRDefault="00180859">
      <w:pPr>
        <w:rPr>
          <w:rFonts w:ascii="Arial" w:hAnsi="Arial" w:cs="Arial"/>
          <w:b/>
          <w:bCs/>
        </w:rPr>
      </w:pPr>
      <w:r>
        <w:rPr>
          <w:rFonts w:ascii="Arial" w:hAnsi="Arial" w:cs="Arial"/>
          <w:b/>
          <w:bCs/>
        </w:rPr>
        <w:t>2.1 Research Design</w:t>
      </w:r>
    </w:p>
    <w:p w14:paraId="1DB3AA86" w14:textId="77777777" w:rsidR="00717F2E" w:rsidRDefault="00717F2E">
      <w:pPr>
        <w:rPr>
          <w:rFonts w:ascii="Arial" w:hAnsi="Arial" w:cs="Arial"/>
          <w:b/>
          <w:bCs/>
        </w:rPr>
      </w:pPr>
    </w:p>
    <w:p w14:paraId="227BD7A9" w14:textId="6879A7BA" w:rsidR="00F121AE" w:rsidRDefault="00A4603F" w:rsidP="003340B8">
      <w:pPr>
        <w:jc w:val="both"/>
        <w:rPr>
          <w:rFonts w:ascii="Arial" w:hAnsi="Arial" w:cs="Arial"/>
        </w:rPr>
      </w:pPr>
      <w:r w:rsidRPr="00A4603F">
        <w:rPr>
          <w:rFonts w:ascii="Arial" w:hAnsi="Arial" w:cs="Arial"/>
        </w:rPr>
        <w:t xml:space="preserve">This study employed a non-experimental quantitative research design utilizing the correlational method. This approach was deemed appropriate for examining the degree of association between ingenious solidarity and classroom social control among language teachers in public secondary schools. As Baguio and Baguio (2025) emphasized, variables </w:t>
      </w:r>
      <w:r w:rsidRPr="00A4603F">
        <w:rPr>
          <w:rFonts w:ascii="Arial" w:hAnsi="Arial" w:cs="Arial"/>
        </w:rPr>
        <w:lastRenderedPageBreak/>
        <w:t xml:space="preserve">may be related either through shared patterns of variation or as a result of a common influencing factor. In this context, the correlational method enabled the researcher to determine whether the relational and culturally grounded practices of teachers are significantly linked to their ability to maintain social order and discipline in the classroom. By exploring the relationship between these two dimensions, the study aimed to uncover meaningful patterns that can inform teacher preparation, classroom management strategies, and policy interventions within the </w:t>
      </w:r>
      <w:proofErr w:type="spellStart"/>
      <w:r w:rsidRPr="00A4603F">
        <w:rPr>
          <w:rFonts w:ascii="Arial" w:hAnsi="Arial" w:cs="Arial"/>
        </w:rPr>
        <w:t>Banay-Banay</w:t>
      </w:r>
      <w:proofErr w:type="spellEnd"/>
      <w:r w:rsidRPr="00A4603F">
        <w:rPr>
          <w:rFonts w:ascii="Arial" w:hAnsi="Arial" w:cs="Arial"/>
        </w:rPr>
        <w:t xml:space="preserve"> District, Division of Davao Oriental.</w:t>
      </w:r>
    </w:p>
    <w:p w14:paraId="1E24871B" w14:textId="77777777" w:rsidR="00A4603F" w:rsidRDefault="00A4603F" w:rsidP="003340B8">
      <w:pPr>
        <w:jc w:val="both"/>
        <w:rPr>
          <w:rFonts w:ascii="Arial" w:hAnsi="Arial" w:cs="Arial"/>
          <w:b/>
          <w:bCs/>
        </w:rPr>
      </w:pPr>
    </w:p>
    <w:p w14:paraId="318F0781" w14:textId="3871AFA8" w:rsidR="00717F2E" w:rsidRDefault="00180859">
      <w:pPr>
        <w:rPr>
          <w:rFonts w:ascii="Arial" w:hAnsi="Arial" w:cs="Arial"/>
          <w:b/>
          <w:bCs/>
        </w:rPr>
      </w:pPr>
      <w:r>
        <w:rPr>
          <w:rFonts w:ascii="Arial" w:hAnsi="Arial" w:cs="Arial"/>
          <w:b/>
          <w:bCs/>
        </w:rPr>
        <w:t>2.2 Research Respondents</w:t>
      </w:r>
    </w:p>
    <w:p w14:paraId="56FDFA7F" w14:textId="77777777" w:rsidR="00D453B9" w:rsidRDefault="00D453B9">
      <w:pPr>
        <w:rPr>
          <w:rFonts w:ascii="Arial" w:hAnsi="Arial" w:cs="Arial"/>
          <w:b/>
          <w:bCs/>
        </w:rPr>
      </w:pPr>
    </w:p>
    <w:p w14:paraId="1E725D10" w14:textId="1D183D00" w:rsidR="00A67B21" w:rsidRDefault="00A4603F" w:rsidP="00A4603F">
      <w:pPr>
        <w:jc w:val="both"/>
        <w:rPr>
          <w:rFonts w:ascii="Arial" w:hAnsi="Arial" w:cs="Arial"/>
        </w:rPr>
      </w:pPr>
      <w:r w:rsidRPr="00A4603F">
        <w:rPr>
          <w:rFonts w:ascii="Arial" w:hAnsi="Arial" w:cs="Arial"/>
        </w:rPr>
        <w:t xml:space="preserve">The respondents of this study were the 139 out of 215 teachers of public secondary schools from </w:t>
      </w:r>
      <w:proofErr w:type="spellStart"/>
      <w:r w:rsidRPr="00A4603F">
        <w:rPr>
          <w:rFonts w:ascii="Arial" w:hAnsi="Arial" w:cs="Arial"/>
        </w:rPr>
        <w:t>Banay-Banay</w:t>
      </w:r>
      <w:proofErr w:type="spellEnd"/>
      <w:r w:rsidRPr="00A4603F">
        <w:rPr>
          <w:rFonts w:ascii="Arial" w:hAnsi="Arial" w:cs="Arial"/>
        </w:rPr>
        <w:t xml:space="preserve"> District, Division of Davao Oriental, using Slovin’s Formula with a .05 margin of error, wherein the entire population was considered as respondents. They evaluated themselves and their colleagues through a survey questionnaire that was administered to them. The involved teachers had served the Department of Education for at least three years in public schools. This study was conducted from 2024 to 2025.</w:t>
      </w:r>
    </w:p>
    <w:p w14:paraId="45E8EF48" w14:textId="77777777" w:rsidR="00A4603F" w:rsidRDefault="00A4603F">
      <w:pPr>
        <w:rPr>
          <w:rFonts w:ascii="Arial" w:hAnsi="Arial" w:cs="Arial"/>
        </w:rPr>
      </w:pPr>
    </w:p>
    <w:p w14:paraId="6BE2C45C" w14:textId="112B9625" w:rsidR="00717F2E" w:rsidRDefault="00180859">
      <w:pPr>
        <w:rPr>
          <w:rFonts w:ascii="Arial" w:hAnsi="Arial" w:cs="Arial"/>
          <w:b/>
          <w:bCs/>
        </w:rPr>
      </w:pPr>
      <w:r>
        <w:rPr>
          <w:rFonts w:ascii="Arial" w:hAnsi="Arial" w:cs="Arial"/>
          <w:b/>
          <w:bCs/>
        </w:rPr>
        <w:t>2.3 Research Instrument</w:t>
      </w:r>
    </w:p>
    <w:p w14:paraId="7593DDB4" w14:textId="77777777" w:rsidR="00717F2E" w:rsidRDefault="00717F2E">
      <w:pPr>
        <w:rPr>
          <w:rFonts w:ascii="Arial" w:hAnsi="Arial" w:cs="Arial"/>
          <w:b/>
          <w:bCs/>
        </w:rPr>
      </w:pPr>
    </w:p>
    <w:p w14:paraId="49CC7EB6" w14:textId="77777777" w:rsidR="00A4603F" w:rsidRPr="00A4603F" w:rsidRDefault="00A4603F" w:rsidP="00A4603F">
      <w:pPr>
        <w:jc w:val="both"/>
        <w:rPr>
          <w:rFonts w:ascii="Arial" w:hAnsi="Arial" w:cs="Arial"/>
        </w:rPr>
      </w:pPr>
      <w:r w:rsidRPr="00A4603F">
        <w:rPr>
          <w:rFonts w:ascii="Arial" w:hAnsi="Arial" w:cs="Arial"/>
        </w:rPr>
        <w:t xml:space="preserve">The instruments used in this study were self-made survey questionnaires designed to assess the domains of ingenious solidarity and the classroom social control of language teachers in public secondary schools within the </w:t>
      </w:r>
      <w:proofErr w:type="spellStart"/>
      <w:r w:rsidRPr="00A4603F">
        <w:rPr>
          <w:rFonts w:ascii="Arial" w:hAnsi="Arial" w:cs="Arial"/>
        </w:rPr>
        <w:t>Banay-Banay</w:t>
      </w:r>
      <w:proofErr w:type="spellEnd"/>
      <w:r w:rsidRPr="00A4603F">
        <w:rPr>
          <w:rFonts w:ascii="Arial" w:hAnsi="Arial" w:cs="Arial"/>
        </w:rPr>
        <w:t xml:space="preserve"> District, Division of Davao Oriental. These instruments were developed by the researcher based on insights drawn from relevant literature and previous studies focusing on relational teaching practices, culturally responsive pedagogy, and classroom management strategies. Prior to the actual data collection, the draft questionnaires underwent face and content validation by a panel of experts in the fields of Educational Leadership, Educational Psychology, and Language Education. Based on the feedback and recommendations provided by the validators, appropriate revisions were made to improve clarity, ensure relevance, and align the items with the specific objectives of the study.</w:t>
      </w:r>
    </w:p>
    <w:p w14:paraId="4525FB76" w14:textId="77777777" w:rsidR="00A4603F" w:rsidRPr="00A4603F" w:rsidRDefault="00A4603F" w:rsidP="00A4603F">
      <w:pPr>
        <w:jc w:val="both"/>
        <w:rPr>
          <w:rFonts w:ascii="Arial" w:hAnsi="Arial" w:cs="Arial"/>
        </w:rPr>
      </w:pPr>
    </w:p>
    <w:p w14:paraId="10EC5C8A" w14:textId="4B4CF413" w:rsidR="00A4603F" w:rsidRDefault="00A4603F" w:rsidP="00A4603F">
      <w:pPr>
        <w:jc w:val="both"/>
        <w:rPr>
          <w:rFonts w:ascii="Arial" w:hAnsi="Arial" w:cs="Arial"/>
        </w:rPr>
      </w:pPr>
      <w:r w:rsidRPr="00A4603F">
        <w:rPr>
          <w:rFonts w:ascii="Arial" w:hAnsi="Arial" w:cs="Arial"/>
        </w:rPr>
        <w:t xml:space="preserve">To establish the reliability and validity of the instruments, a pilot test was administered to 30 public secondary school language teachers from a neighboring district within the same division who were not included in the main study. The results of the pilot test showed high internal consistency, </w:t>
      </w:r>
      <w:r>
        <w:rPr>
          <w:rFonts w:ascii="Arial" w:hAnsi="Arial" w:cs="Arial"/>
        </w:rPr>
        <w:t>with a Cronbach’s Alpha of 0.990</w:t>
      </w:r>
      <w:r w:rsidRPr="00A4603F">
        <w:rPr>
          <w:rFonts w:ascii="Arial" w:hAnsi="Arial" w:cs="Arial"/>
        </w:rPr>
        <w:t xml:space="preserve"> for the Ingeni</w:t>
      </w:r>
      <w:r>
        <w:rPr>
          <w:rFonts w:ascii="Arial" w:hAnsi="Arial" w:cs="Arial"/>
        </w:rPr>
        <w:t>ous Solidarity subscale and 0.882</w:t>
      </w:r>
      <w:r w:rsidRPr="00A4603F">
        <w:rPr>
          <w:rFonts w:ascii="Arial" w:hAnsi="Arial" w:cs="Arial"/>
        </w:rPr>
        <w:t>0 for the Classroom Social Control subscale.</w:t>
      </w:r>
    </w:p>
    <w:p w14:paraId="2C32DF79" w14:textId="77777777" w:rsidR="00A4603F" w:rsidRDefault="00A4603F" w:rsidP="00A4603F">
      <w:pPr>
        <w:rPr>
          <w:rFonts w:ascii="Arial" w:hAnsi="Arial" w:cs="Arial"/>
        </w:rPr>
      </w:pPr>
    </w:p>
    <w:p w14:paraId="27C6641A" w14:textId="424A01C6" w:rsidR="005D71AE" w:rsidRDefault="00180859" w:rsidP="00A4603F">
      <w:pPr>
        <w:rPr>
          <w:rFonts w:ascii="Arial" w:hAnsi="Arial" w:cs="Arial"/>
          <w:b/>
          <w:bCs/>
        </w:rPr>
      </w:pPr>
      <w:r>
        <w:rPr>
          <w:rFonts w:ascii="Arial" w:hAnsi="Arial" w:cs="Arial"/>
          <w:b/>
          <w:bCs/>
        </w:rPr>
        <w:t>2.4 Data Gathering Procedure</w:t>
      </w:r>
    </w:p>
    <w:p w14:paraId="0409FDF5" w14:textId="77777777" w:rsidR="00CC5ECD" w:rsidRPr="005D71AE" w:rsidRDefault="00CC5ECD" w:rsidP="005D71AE">
      <w:pPr>
        <w:rPr>
          <w:rFonts w:ascii="Arial" w:hAnsi="Arial" w:cs="Arial"/>
          <w:b/>
          <w:bCs/>
        </w:rPr>
      </w:pPr>
    </w:p>
    <w:p w14:paraId="4CDD1034" w14:textId="77777777" w:rsidR="00093400" w:rsidRPr="00093400" w:rsidRDefault="00093400" w:rsidP="00093400">
      <w:pPr>
        <w:pStyle w:val="Heading1"/>
        <w:rPr>
          <w:rFonts w:cs="Arial"/>
          <w:b w:val="0"/>
          <w:kern w:val="0"/>
          <w:sz w:val="20"/>
        </w:rPr>
      </w:pPr>
      <w:r w:rsidRPr="00093400">
        <w:rPr>
          <w:rFonts w:cs="Arial"/>
          <w:b w:val="0"/>
          <w:kern w:val="0"/>
          <w:sz w:val="20"/>
        </w:rPr>
        <w:t xml:space="preserve">The data for this study were gathered through a series of systematic and ethically guided procedures. The researcher first secured an endorsement from the Dean of the Graduate School of Rizal Memorial Colleges and obtained ethical clearance from the institution’s Ethics Review Committee to ensure the protection of participants' rights and full compliance with research ethics. Following this, a formal request letter was submitted to the Office of the Schools Division Superintendent of Davao Oriental. Upon approval, the Division Office issued an endorsement letter addressed to the School Heads of public secondary schools </w:t>
      </w:r>
      <w:r w:rsidRPr="00093400">
        <w:rPr>
          <w:rFonts w:cs="Arial"/>
          <w:b w:val="0"/>
          <w:kern w:val="0"/>
          <w:sz w:val="20"/>
        </w:rPr>
        <w:lastRenderedPageBreak/>
        <w:t xml:space="preserve">within the </w:t>
      </w:r>
      <w:proofErr w:type="spellStart"/>
      <w:r w:rsidRPr="00093400">
        <w:rPr>
          <w:rFonts w:cs="Arial"/>
          <w:b w:val="0"/>
          <w:kern w:val="0"/>
          <w:sz w:val="20"/>
        </w:rPr>
        <w:t>Banay-Banay</w:t>
      </w:r>
      <w:proofErr w:type="spellEnd"/>
      <w:r w:rsidRPr="00093400">
        <w:rPr>
          <w:rFonts w:cs="Arial"/>
          <w:b w:val="0"/>
          <w:kern w:val="0"/>
          <w:sz w:val="20"/>
        </w:rPr>
        <w:t xml:space="preserve"> District, authorizing the conduct of the study in their respective schools.</w:t>
      </w:r>
    </w:p>
    <w:p w14:paraId="57C36DC3" w14:textId="77777777" w:rsidR="00093400" w:rsidRPr="00093400" w:rsidRDefault="00093400" w:rsidP="00093400">
      <w:pPr>
        <w:pStyle w:val="Heading1"/>
        <w:rPr>
          <w:rFonts w:cs="Arial"/>
          <w:b w:val="0"/>
          <w:kern w:val="0"/>
          <w:sz w:val="20"/>
        </w:rPr>
      </w:pPr>
    </w:p>
    <w:p w14:paraId="36268F3B" w14:textId="77777777" w:rsidR="00093400" w:rsidRDefault="00093400" w:rsidP="00093400">
      <w:pPr>
        <w:pStyle w:val="Heading1"/>
        <w:rPr>
          <w:rFonts w:cs="Arial"/>
          <w:b w:val="0"/>
          <w:kern w:val="0"/>
          <w:sz w:val="20"/>
        </w:rPr>
      </w:pPr>
      <w:r w:rsidRPr="00093400">
        <w:rPr>
          <w:rFonts w:cs="Arial"/>
          <w:b w:val="0"/>
          <w:kern w:val="0"/>
          <w:sz w:val="20"/>
        </w:rPr>
        <w:t>With all required permissions in place, the researcher conducted a pilot test of the survey instruments to assess their reliability and validity. During the pilot testing, participants were clearly informed about the purpose of the study and given detailed instructions on how to accomplish the questionnaire. Based on their feedback, the instruments were refined to improve clarity and ensure alignment with the study’s objectives. The finalized survey questionnaires were then administered to 136 public secondary school language teachers, selected through stratified sampling. After completion, the researcher personally collected the responses. The gathered data were then forwarded to a professional statistician for tallying, tabulation, and statistical analysis in accordance with the study’s research questions and objectives.</w:t>
      </w:r>
    </w:p>
    <w:p w14:paraId="06F524DB" w14:textId="77777777" w:rsidR="00093400" w:rsidRDefault="00093400" w:rsidP="00093400">
      <w:pPr>
        <w:pStyle w:val="Heading1"/>
        <w:rPr>
          <w:rFonts w:cs="Arial"/>
          <w:b w:val="0"/>
          <w:kern w:val="0"/>
          <w:sz w:val="20"/>
        </w:rPr>
      </w:pPr>
    </w:p>
    <w:p w14:paraId="1C13872C" w14:textId="49957D4F" w:rsidR="00717F2E" w:rsidRPr="005D71AE" w:rsidRDefault="00180859" w:rsidP="00093400">
      <w:pPr>
        <w:pStyle w:val="Heading1"/>
        <w:rPr>
          <w:rFonts w:cs="Arial"/>
          <w:sz w:val="20"/>
        </w:rPr>
      </w:pPr>
      <w:r>
        <w:rPr>
          <w:rFonts w:cs="Arial"/>
          <w:sz w:val="20"/>
        </w:rPr>
        <w:t>2.5 Data Analysis</w:t>
      </w:r>
    </w:p>
    <w:p w14:paraId="3CB0DE7E" w14:textId="77777777" w:rsidR="005D71AE" w:rsidRPr="007D4CAA" w:rsidRDefault="005D71AE" w:rsidP="00304469">
      <w:pPr>
        <w:pStyle w:val="Head1"/>
        <w:jc w:val="both"/>
        <w:rPr>
          <w:rFonts w:ascii="Arial" w:hAnsi="Arial" w:cs="Arial"/>
          <w:b w:val="0"/>
          <w:caps w:val="0"/>
          <w:sz w:val="20"/>
        </w:rPr>
      </w:pPr>
    </w:p>
    <w:p w14:paraId="09A569C4" w14:textId="77777777" w:rsidR="00093400" w:rsidRPr="00093400" w:rsidRDefault="00093400" w:rsidP="00093400">
      <w:pPr>
        <w:pStyle w:val="Head1"/>
        <w:jc w:val="both"/>
        <w:rPr>
          <w:rFonts w:ascii="Arial" w:hAnsi="Arial" w:cs="Arial"/>
          <w:b w:val="0"/>
          <w:caps w:val="0"/>
          <w:sz w:val="20"/>
        </w:rPr>
      </w:pPr>
      <w:r w:rsidRPr="00093400">
        <w:rPr>
          <w:rFonts w:ascii="Arial" w:hAnsi="Arial" w:cs="Arial"/>
          <w:b w:val="0"/>
          <w:caps w:val="0"/>
          <w:sz w:val="20"/>
        </w:rPr>
        <w:t>To analyze the data collected and effectively address the research questions of this study, the following statistical tools were utilized:</w:t>
      </w:r>
    </w:p>
    <w:p w14:paraId="29D73DAD" w14:textId="77777777" w:rsidR="00093400" w:rsidRPr="00093400" w:rsidRDefault="00093400" w:rsidP="00093400">
      <w:pPr>
        <w:pStyle w:val="Head1"/>
        <w:jc w:val="both"/>
        <w:rPr>
          <w:rFonts w:ascii="Arial" w:hAnsi="Arial" w:cs="Arial"/>
          <w:b w:val="0"/>
          <w:caps w:val="0"/>
          <w:sz w:val="20"/>
        </w:rPr>
      </w:pPr>
      <w:r w:rsidRPr="00093400">
        <w:rPr>
          <w:rFonts w:ascii="Arial" w:hAnsi="Arial" w:cs="Arial"/>
          <w:b w:val="0"/>
          <w:caps w:val="0"/>
          <w:sz w:val="20"/>
        </w:rPr>
        <w:t>Mean. This was used to determine the levels of ingenious solidarity and classroom social control among public secondary school language teachers. It provided an overall summary of the respondents’ ratings across specific items and domains, offering insight into general patterns of relational practices and classroom management strategies.</w:t>
      </w:r>
    </w:p>
    <w:p w14:paraId="4165D589" w14:textId="77777777" w:rsidR="00093400" w:rsidRPr="00093400" w:rsidRDefault="00093400" w:rsidP="00093400">
      <w:pPr>
        <w:pStyle w:val="Head1"/>
        <w:jc w:val="both"/>
        <w:rPr>
          <w:rFonts w:ascii="Arial" w:hAnsi="Arial" w:cs="Arial"/>
          <w:b w:val="0"/>
          <w:caps w:val="0"/>
          <w:sz w:val="20"/>
        </w:rPr>
      </w:pPr>
      <w:r w:rsidRPr="00093400">
        <w:rPr>
          <w:rFonts w:ascii="Arial" w:hAnsi="Arial" w:cs="Arial"/>
          <w:b w:val="0"/>
          <w:caps w:val="0"/>
          <w:sz w:val="20"/>
        </w:rPr>
        <w:t>Pearson Product-Moment Correlation Coefficient (Pearson r). This statistical tool was employed to examine the degree of relationship between ingenious solidarity and classroom social control. It enabled the researcher to assess whether a statistically significant linear correlation existed between these two key variables.</w:t>
      </w:r>
    </w:p>
    <w:p w14:paraId="7ABDD1BE" w14:textId="18EBFE14" w:rsidR="00093400" w:rsidRPr="00093400" w:rsidRDefault="00093400" w:rsidP="00093400">
      <w:pPr>
        <w:pStyle w:val="Head1"/>
        <w:jc w:val="both"/>
        <w:rPr>
          <w:rFonts w:ascii="Arial" w:hAnsi="Arial" w:cs="Arial"/>
          <w:b w:val="0"/>
          <w:caps w:val="0"/>
          <w:sz w:val="20"/>
        </w:rPr>
      </w:pPr>
      <w:r w:rsidRPr="00093400">
        <w:rPr>
          <w:rFonts w:ascii="Arial" w:hAnsi="Arial" w:cs="Arial"/>
          <w:b w:val="0"/>
          <w:caps w:val="0"/>
          <w:sz w:val="20"/>
        </w:rPr>
        <w:t>Multiple Regression Analysis. This analysis was conducted to determine the extent to which specific domains of ingenious solidarity significantly predicted classroom social control. It helped identify which aspects of solidarity</w:t>
      </w:r>
      <w:r>
        <w:rPr>
          <w:rFonts w:ascii="Arial" w:hAnsi="Arial" w:cs="Arial"/>
          <w:b w:val="0"/>
          <w:caps w:val="0"/>
          <w:sz w:val="20"/>
        </w:rPr>
        <w:t xml:space="preserve"> </w:t>
      </w:r>
      <w:r w:rsidRPr="00093400">
        <w:rPr>
          <w:rFonts w:ascii="Arial" w:hAnsi="Arial" w:cs="Arial"/>
          <w:b w:val="0"/>
          <w:caps w:val="0"/>
          <w:sz w:val="20"/>
        </w:rPr>
        <w:t>most strongly influenced teachers’ ability to maintain discipline and harmony in the classroom.</w:t>
      </w:r>
    </w:p>
    <w:p w14:paraId="08B1DEAA" w14:textId="77777777" w:rsidR="00C84872" w:rsidRDefault="00C84872" w:rsidP="00C84872">
      <w:pPr>
        <w:pStyle w:val="Head1"/>
        <w:spacing w:after="0"/>
        <w:jc w:val="both"/>
        <w:rPr>
          <w:rFonts w:ascii="Arial" w:hAnsi="Arial" w:cs="Arial"/>
          <w:sz w:val="20"/>
        </w:rPr>
      </w:pPr>
    </w:p>
    <w:p w14:paraId="54D02440" w14:textId="330D7BFD" w:rsidR="00717F2E" w:rsidRDefault="00180859">
      <w:pPr>
        <w:pStyle w:val="Head1"/>
        <w:spacing w:after="0"/>
        <w:jc w:val="both"/>
        <w:rPr>
          <w:rFonts w:ascii="Arial" w:hAnsi="Arial" w:cs="Arial"/>
          <w:sz w:val="20"/>
        </w:rPr>
      </w:pPr>
      <w:r>
        <w:rPr>
          <w:rFonts w:ascii="Arial" w:hAnsi="Arial" w:cs="Arial"/>
          <w:sz w:val="20"/>
        </w:rPr>
        <w:t>3. results and discussion</w:t>
      </w:r>
    </w:p>
    <w:p w14:paraId="500B7B33" w14:textId="77777777" w:rsidR="00717F2E" w:rsidRDefault="00717F2E">
      <w:pPr>
        <w:rPr>
          <w:rFonts w:ascii="Arial" w:hAnsi="Arial" w:cs="Arial"/>
          <w:b/>
          <w:i/>
        </w:rPr>
      </w:pPr>
    </w:p>
    <w:p w14:paraId="1DF55D87" w14:textId="79221B93" w:rsidR="005D71AE" w:rsidRDefault="00180859">
      <w:pPr>
        <w:suppressAutoHyphens/>
        <w:jc w:val="both"/>
        <w:rPr>
          <w:rFonts w:ascii="Arial" w:hAnsi="Arial" w:cs="Arial"/>
          <w:b/>
        </w:rPr>
      </w:pPr>
      <w:r>
        <w:rPr>
          <w:rFonts w:ascii="Arial" w:hAnsi="Arial" w:cs="Arial"/>
          <w:b/>
        </w:rPr>
        <w:t xml:space="preserve">3.1 </w:t>
      </w:r>
      <w:r w:rsidR="00CF0448" w:rsidRPr="00CF0448">
        <w:rPr>
          <w:rFonts w:ascii="Arial" w:hAnsi="Arial" w:cs="Arial"/>
          <w:b/>
        </w:rPr>
        <w:t>Level of Ingenious Solidarity among Public Secondary Language Teachers</w:t>
      </w:r>
    </w:p>
    <w:p w14:paraId="1B38FF68" w14:textId="77777777" w:rsidR="00EF4B2D" w:rsidRDefault="00EF4B2D">
      <w:pPr>
        <w:suppressAutoHyphens/>
        <w:jc w:val="both"/>
        <w:rPr>
          <w:rFonts w:ascii="Arial" w:hAnsi="Arial" w:cs="Arial"/>
          <w:b/>
        </w:rPr>
      </w:pPr>
    </w:p>
    <w:p w14:paraId="69D23EB0" w14:textId="551BF570" w:rsidR="008927A1" w:rsidRDefault="00180859">
      <w:pPr>
        <w:suppressAutoHyphens/>
        <w:jc w:val="both"/>
        <w:rPr>
          <w:rFonts w:ascii="Arial" w:hAnsi="Arial" w:cs="Arial"/>
          <w:i/>
          <w:iCs/>
        </w:rPr>
      </w:pPr>
      <w:r w:rsidRPr="00781D5E">
        <w:rPr>
          <w:rFonts w:ascii="Arial" w:hAnsi="Arial" w:cs="Arial"/>
          <w:iCs/>
        </w:rPr>
        <w:t>Table 1</w:t>
      </w:r>
      <w:r w:rsidR="00CC5ECD">
        <w:rPr>
          <w:rFonts w:ascii="Arial" w:hAnsi="Arial" w:cs="Arial"/>
          <w:iCs/>
        </w:rPr>
        <w:t>.</w:t>
      </w:r>
      <w:r w:rsidR="00CC5ECD" w:rsidRPr="00CC5ECD">
        <w:t xml:space="preserve"> </w:t>
      </w:r>
      <w:r w:rsidR="00CF0448" w:rsidRPr="00CF0448">
        <w:rPr>
          <w:rFonts w:ascii="Arial" w:hAnsi="Arial" w:cs="Arial"/>
          <w:i/>
          <w:iCs/>
        </w:rPr>
        <w:t>Level of Ingenious Solidarity among Public Secondary Language Teachers</w:t>
      </w:r>
    </w:p>
    <w:p w14:paraId="2CA3A1CE" w14:textId="77777777" w:rsidR="00CF0448" w:rsidRDefault="00CF0448">
      <w:pPr>
        <w:suppressAutoHyphens/>
        <w:jc w:val="both"/>
        <w:rPr>
          <w:rFonts w:ascii="Arial" w:hAnsi="Arial" w:cs="Arial"/>
          <w:i/>
          <w:iCs/>
        </w:rPr>
      </w:pPr>
    </w:p>
    <w:tbl>
      <w:tblPr>
        <w:tblW w:w="8376" w:type="dxa"/>
        <w:tblInd w:w="108" w:type="dxa"/>
        <w:tblBorders>
          <w:top w:val="single" w:sz="4" w:space="0" w:color="000000"/>
          <w:bottom w:val="single" w:sz="4" w:space="0" w:color="000000"/>
        </w:tblBorders>
        <w:tblLayout w:type="fixed"/>
        <w:tblLook w:val="04A0" w:firstRow="1" w:lastRow="0" w:firstColumn="1" w:lastColumn="0" w:noHBand="0" w:noVBand="1"/>
      </w:tblPr>
      <w:tblGrid>
        <w:gridCol w:w="4237"/>
        <w:gridCol w:w="41"/>
        <w:gridCol w:w="854"/>
        <w:gridCol w:w="990"/>
        <w:gridCol w:w="19"/>
        <w:gridCol w:w="2224"/>
        <w:gridCol w:w="11"/>
      </w:tblGrid>
      <w:tr w:rsidR="00CF0448" w14:paraId="20637574" w14:textId="77777777" w:rsidTr="00CF0448">
        <w:trPr>
          <w:gridAfter w:val="1"/>
          <w:wAfter w:w="11" w:type="dxa"/>
          <w:trHeight w:val="35"/>
        </w:trPr>
        <w:tc>
          <w:tcPr>
            <w:tcW w:w="4276" w:type="dxa"/>
            <w:gridSpan w:val="2"/>
            <w:tcBorders>
              <w:top w:val="single" w:sz="4" w:space="0" w:color="auto"/>
              <w:left w:val="nil"/>
              <w:bottom w:val="single" w:sz="4" w:space="0" w:color="000000"/>
              <w:right w:val="nil"/>
            </w:tcBorders>
          </w:tcPr>
          <w:p w14:paraId="517C2E8C" w14:textId="77777777" w:rsidR="00CF0448" w:rsidRDefault="00CF0448">
            <w:pPr>
              <w:jc w:val="center"/>
              <w:rPr>
                <w:rFonts w:ascii="Arial" w:eastAsia="Arial" w:hAnsi="Arial" w:cs="Arial"/>
                <w:b/>
                <w:lang w:val="en-PH" w:eastAsia="en-PH"/>
              </w:rPr>
            </w:pPr>
            <w:r>
              <w:rPr>
                <w:rFonts w:ascii="Arial" w:eastAsia="Arial" w:hAnsi="Arial" w:cs="Arial"/>
                <w:b/>
                <w:lang w:val="en-PH" w:eastAsia="en-PH"/>
              </w:rPr>
              <w:t>Domains</w:t>
            </w:r>
          </w:p>
          <w:p w14:paraId="2412A3A7" w14:textId="77777777" w:rsidR="00CF0448" w:rsidRDefault="00CF0448">
            <w:pPr>
              <w:jc w:val="center"/>
              <w:rPr>
                <w:rFonts w:ascii="Arial" w:eastAsia="Arial" w:hAnsi="Arial" w:cs="Arial"/>
                <w:b/>
                <w:lang w:val="en-PH" w:eastAsia="en-PH"/>
              </w:rPr>
            </w:pPr>
          </w:p>
        </w:tc>
        <w:tc>
          <w:tcPr>
            <w:tcW w:w="854" w:type="dxa"/>
            <w:tcBorders>
              <w:top w:val="single" w:sz="4" w:space="0" w:color="auto"/>
              <w:left w:val="nil"/>
              <w:bottom w:val="single" w:sz="4" w:space="0" w:color="000000"/>
              <w:right w:val="nil"/>
            </w:tcBorders>
            <w:hideMark/>
          </w:tcPr>
          <w:p w14:paraId="7A1CFBA1" w14:textId="77777777" w:rsidR="00CF0448" w:rsidRDefault="00CF0448">
            <w:pPr>
              <w:jc w:val="center"/>
              <w:rPr>
                <w:rFonts w:ascii="Arial" w:eastAsia="Arial" w:hAnsi="Arial" w:cs="Arial"/>
                <w:b/>
                <w:lang w:val="en-PH" w:eastAsia="en-PH"/>
              </w:rPr>
            </w:pPr>
            <w:r>
              <w:rPr>
                <w:rFonts w:ascii="Arial" w:eastAsia="Arial" w:hAnsi="Arial" w:cs="Arial"/>
                <w:b/>
                <w:lang w:val="en-PH" w:eastAsia="en-PH"/>
              </w:rPr>
              <w:t>SD</w:t>
            </w:r>
          </w:p>
        </w:tc>
        <w:tc>
          <w:tcPr>
            <w:tcW w:w="1009" w:type="dxa"/>
            <w:gridSpan w:val="2"/>
            <w:tcBorders>
              <w:top w:val="single" w:sz="4" w:space="0" w:color="auto"/>
              <w:left w:val="nil"/>
              <w:bottom w:val="single" w:sz="4" w:space="0" w:color="000000"/>
              <w:right w:val="nil"/>
            </w:tcBorders>
            <w:hideMark/>
          </w:tcPr>
          <w:p w14:paraId="44EE5802" w14:textId="77777777" w:rsidR="00CF0448" w:rsidRDefault="00CF0448">
            <w:pPr>
              <w:jc w:val="center"/>
              <w:rPr>
                <w:rFonts w:ascii="Arial" w:eastAsia="Arial" w:hAnsi="Arial" w:cs="Arial"/>
                <w:b/>
                <w:lang w:val="en-PH" w:eastAsia="en-PH"/>
              </w:rPr>
            </w:pPr>
            <w:r>
              <w:rPr>
                <w:rFonts w:ascii="Arial" w:eastAsia="Arial" w:hAnsi="Arial" w:cs="Arial"/>
                <w:b/>
                <w:lang w:val="en-PH" w:eastAsia="en-PH"/>
              </w:rPr>
              <w:t>Mean</w:t>
            </w:r>
          </w:p>
        </w:tc>
        <w:tc>
          <w:tcPr>
            <w:tcW w:w="2223" w:type="dxa"/>
            <w:tcBorders>
              <w:top w:val="single" w:sz="4" w:space="0" w:color="auto"/>
              <w:left w:val="nil"/>
              <w:bottom w:val="single" w:sz="4" w:space="0" w:color="000000"/>
              <w:right w:val="nil"/>
            </w:tcBorders>
            <w:hideMark/>
          </w:tcPr>
          <w:p w14:paraId="06B31CC5" w14:textId="77777777" w:rsidR="00CF0448" w:rsidRDefault="00CF0448">
            <w:pPr>
              <w:jc w:val="center"/>
              <w:rPr>
                <w:rFonts w:ascii="Arial" w:eastAsia="Arial" w:hAnsi="Arial" w:cs="Arial"/>
                <w:b/>
                <w:lang w:val="en-PH" w:eastAsia="en-PH"/>
              </w:rPr>
            </w:pPr>
            <w:r>
              <w:rPr>
                <w:rFonts w:ascii="Arial" w:eastAsia="Arial" w:hAnsi="Arial" w:cs="Arial"/>
                <w:b/>
                <w:lang w:val="en-PH" w:eastAsia="en-PH"/>
              </w:rPr>
              <w:t>Descriptive Level</w:t>
            </w:r>
          </w:p>
        </w:tc>
      </w:tr>
      <w:tr w:rsidR="00CF0448" w14:paraId="25183826" w14:textId="77777777" w:rsidTr="00CF0448">
        <w:trPr>
          <w:gridAfter w:val="1"/>
          <w:wAfter w:w="11" w:type="dxa"/>
          <w:trHeight w:val="269"/>
        </w:trPr>
        <w:tc>
          <w:tcPr>
            <w:tcW w:w="4276" w:type="dxa"/>
            <w:gridSpan w:val="2"/>
            <w:tcBorders>
              <w:top w:val="single" w:sz="4" w:space="0" w:color="000000"/>
              <w:left w:val="nil"/>
              <w:bottom w:val="nil"/>
              <w:right w:val="nil"/>
            </w:tcBorders>
          </w:tcPr>
          <w:p w14:paraId="229DAC59" w14:textId="77777777" w:rsidR="00CF0448" w:rsidRDefault="00CF0448">
            <w:pPr>
              <w:widowControl w:val="0"/>
              <w:ind w:left="322"/>
              <w:rPr>
                <w:rFonts w:ascii="Arial" w:eastAsia="Arial" w:hAnsi="Arial" w:cs="Arial"/>
                <w:lang w:val="en-PH" w:eastAsia="en-PH"/>
              </w:rPr>
            </w:pPr>
            <w:r>
              <w:rPr>
                <w:rFonts w:ascii="Arial" w:eastAsia="Arial" w:hAnsi="Arial" w:cs="Arial"/>
                <w:lang w:val="en-PH" w:eastAsia="en-PH"/>
              </w:rPr>
              <w:t>Collaborative Learning</w:t>
            </w:r>
          </w:p>
          <w:p w14:paraId="15E99792" w14:textId="77777777" w:rsidR="00CF0448" w:rsidRDefault="00CF0448">
            <w:pPr>
              <w:widowControl w:val="0"/>
              <w:ind w:left="322"/>
              <w:rPr>
                <w:rFonts w:ascii="Arial" w:eastAsia="Arial" w:hAnsi="Arial" w:cs="Arial"/>
                <w:lang w:val="en-PH" w:eastAsia="en-PH"/>
              </w:rPr>
            </w:pPr>
          </w:p>
        </w:tc>
        <w:tc>
          <w:tcPr>
            <w:tcW w:w="854" w:type="dxa"/>
            <w:tcBorders>
              <w:top w:val="single" w:sz="4" w:space="0" w:color="000000"/>
              <w:left w:val="nil"/>
              <w:bottom w:val="nil"/>
              <w:right w:val="nil"/>
            </w:tcBorders>
            <w:hideMark/>
          </w:tcPr>
          <w:p w14:paraId="3D686939" w14:textId="77777777" w:rsidR="00CF0448" w:rsidRDefault="00CF0448">
            <w:pPr>
              <w:jc w:val="center"/>
              <w:rPr>
                <w:rFonts w:ascii="Arial" w:eastAsia="Arial" w:hAnsi="Arial" w:cs="Arial"/>
                <w:lang w:val="en-PH" w:eastAsia="en-PH"/>
              </w:rPr>
            </w:pPr>
            <w:r>
              <w:rPr>
                <w:rFonts w:ascii="Arial" w:eastAsia="Arial" w:hAnsi="Arial" w:cs="Arial"/>
                <w:lang w:val="en-PH" w:eastAsia="en-PH"/>
              </w:rPr>
              <w:t>0.55</w:t>
            </w:r>
          </w:p>
        </w:tc>
        <w:tc>
          <w:tcPr>
            <w:tcW w:w="1009" w:type="dxa"/>
            <w:gridSpan w:val="2"/>
            <w:tcBorders>
              <w:top w:val="single" w:sz="4" w:space="0" w:color="000000"/>
              <w:left w:val="nil"/>
              <w:bottom w:val="nil"/>
              <w:right w:val="nil"/>
            </w:tcBorders>
            <w:hideMark/>
          </w:tcPr>
          <w:p w14:paraId="6999777C" w14:textId="77777777" w:rsidR="00CF0448" w:rsidRDefault="00CF0448">
            <w:pPr>
              <w:jc w:val="center"/>
              <w:rPr>
                <w:rFonts w:ascii="Arial" w:eastAsia="Arial" w:hAnsi="Arial" w:cs="Arial"/>
                <w:lang w:val="en-PH" w:eastAsia="en-PH"/>
              </w:rPr>
            </w:pPr>
            <w:r>
              <w:rPr>
                <w:rFonts w:ascii="Arial" w:eastAsia="Arial" w:hAnsi="Arial" w:cs="Arial"/>
                <w:lang w:val="en-PH" w:eastAsia="en-PH"/>
              </w:rPr>
              <w:t>3.78</w:t>
            </w:r>
          </w:p>
        </w:tc>
        <w:tc>
          <w:tcPr>
            <w:tcW w:w="2223" w:type="dxa"/>
            <w:tcBorders>
              <w:top w:val="single" w:sz="4" w:space="0" w:color="000000"/>
              <w:left w:val="nil"/>
              <w:bottom w:val="nil"/>
              <w:right w:val="nil"/>
            </w:tcBorders>
            <w:hideMark/>
          </w:tcPr>
          <w:p w14:paraId="3F89D0B3" w14:textId="77777777" w:rsidR="00CF0448" w:rsidRDefault="00CF0448">
            <w:pPr>
              <w:jc w:val="center"/>
              <w:rPr>
                <w:rFonts w:ascii="Arial" w:eastAsia="Arial" w:hAnsi="Arial" w:cs="Arial"/>
                <w:lang w:val="en-PH" w:eastAsia="en-PH"/>
              </w:rPr>
            </w:pPr>
            <w:r>
              <w:rPr>
                <w:rFonts w:ascii="Arial" w:eastAsia="Arial" w:hAnsi="Arial" w:cs="Arial"/>
                <w:lang w:val="en-PH" w:eastAsia="en-PH"/>
              </w:rPr>
              <w:t>High</w:t>
            </w:r>
          </w:p>
        </w:tc>
      </w:tr>
      <w:tr w:rsidR="00CF0448" w14:paraId="28267A16" w14:textId="77777777" w:rsidTr="00CF0448">
        <w:trPr>
          <w:gridAfter w:val="1"/>
          <w:wAfter w:w="11" w:type="dxa"/>
          <w:trHeight w:val="280"/>
        </w:trPr>
        <w:tc>
          <w:tcPr>
            <w:tcW w:w="4276" w:type="dxa"/>
            <w:gridSpan w:val="2"/>
            <w:tcBorders>
              <w:top w:val="nil"/>
              <w:left w:val="nil"/>
              <w:bottom w:val="nil"/>
              <w:right w:val="nil"/>
            </w:tcBorders>
          </w:tcPr>
          <w:p w14:paraId="2D2ECA78" w14:textId="77777777" w:rsidR="00CF0448" w:rsidRDefault="00CF0448">
            <w:pPr>
              <w:widowControl w:val="0"/>
              <w:ind w:left="322"/>
              <w:rPr>
                <w:rFonts w:ascii="Arial" w:eastAsia="Arial" w:hAnsi="Arial" w:cs="Arial"/>
                <w:lang w:val="en-PH" w:eastAsia="en-PH"/>
              </w:rPr>
            </w:pPr>
            <w:r>
              <w:rPr>
                <w:rFonts w:ascii="Arial" w:eastAsia="Arial" w:hAnsi="Arial" w:cs="Arial"/>
                <w:lang w:val="en-PH" w:eastAsia="en-PH"/>
              </w:rPr>
              <w:t>Cultural Connection</w:t>
            </w:r>
          </w:p>
          <w:p w14:paraId="771A2E10" w14:textId="77777777" w:rsidR="00CF0448" w:rsidRDefault="00CF0448">
            <w:pPr>
              <w:widowControl w:val="0"/>
              <w:ind w:left="322"/>
              <w:rPr>
                <w:rFonts w:ascii="Arial" w:eastAsia="Arial" w:hAnsi="Arial" w:cs="Arial"/>
                <w:lang w:val="en-PH" w:eastAsia="en-PH"/>
              </w:rPr>
            </w:pPr>
          </w:p>
        </w:tc>
        <w:tc>
          <w:tcPr>
            <w:tcW w:w="854" w:type="dxa"/>
            <w:tcBorders>
              <w:top w:val="nil"/>
              <w:left w:val="nil"/>
              <w:bottom w:val="nil"/>
              <w:right w:val="nil"/>
            </w:tcBorders>
            <w:hideMark/>
          </w:tcPr>
          <w:p w14:paraId="42661F29" w14:textId="77777777" w:rsidR="00CF0448" w:rsidRDefault="00CF0448">
            <w:pPr>
              <w:jc w:val="center"/>
              <w:rPr>
                <w:rFonts w:ascii="Arial" w:eastAsia="Arial" w:hAnsi="Arial" w:cs="Arial"/>
                <w:lang w:val="en-PH" w:eastAsia="en-PH"/>
              </w:rPr>
            </w:pPr>
            <w:r>
              <w:rPr>
                <w:rFonts w:ascii="Arial" w:eastAsia="Arial" w:hAnsi="Arial" w:cs="Arial"/>
                <w:lang w:val="en-PH" w:eastAsia="en-PH"/>
              </w:rPr>
              <w:t>0.45</w:t>
            </w:r>
          </w:p>
        </w:tc>
        <w:tc>
          <w:tcPr>
            <w:tcW w:w="1009" w:type="dxa"/>
            <w:gridSpan w:val="2"/>
            <w:tcBorders>
              <w:top w:val="nil"/>
              <w:left w:val="nil"/>
              <w:bottom w:val="nil"/>
              <w:right w:val="nil"/>
            </w:tcBorders>
            <w:hideMark/>
          </w:tcPr>
          <w:p w14:paraId="62C651C4" w14:textId="77777777" w:rsidR="00CF0448" w:rsidRDefault="00CF0448">
            <w:pPr>
              <w:jc w:val="center"/>
              <w:rPr>
                <w:rFonts w:ascii="Arial" w:eastAsia="Arial" w:hAnsi="Arial" w:cs="Arial"/>
                <w:lang w:val="en-PH" w:eastAsia="en-PH"/>
              </w:rPr>
            </w:pPr>
            <w:r>
              <w:rPr>
                <w:rFonts w:ascii="Arial" w:eastAsia="Arial" w:hAnsi="Arial" w:cs="Arial"/>
                <w:lang w:val="en-PH" w:eastAsia="en-PH"/>
              </w:rPr>
              <w:t>4.31</w:t>
            </w:r>
          </w:p>
        </w:tc>
        <w:tc>
          <w:tcPr>
            <w:tcW w:w="2223" w:type="dxa"/>
            <w:tcBorders>
              <w:top w:val="nil"/>
              <w:left w:val="nil"/>
              <w:bottom w:val="nil"/>
              <w:right w:val="nil"/>
            </w:tcBorders>
            <w:hideMark/>
          </w:tcPr>
          <w:p w14:paraId="6D3BBF4A" w14:textId="77777777" w:rsidR="00CF0448" w:rsidRDefault="00CF0448">
            <w:pPr>
              <w:jc w:val="center"/>
              <w:rPr>
                <w:rFonts w:ascii="Arial" w:eastAsia="Arial" w:hAnsi="Arial" w:cs="Arial"/>
                <w:lang w:val="en-PH" w:eastAsia="en-PH"/>
              </w:rPr>
            </w:pPr>
            <w:r>
              <w:rPr>
                <w:rFonts w:ascii="Arial" w:eastAsia="Arial" w:hAnsi="Arial" w:cs="Arial"/>
                <w:lang w:val="en-PH" w:eastAsia="en-PH"/>
              </w:rPr>
              <w:t>Very High</w:t>
            </w:r>
          </w:p>
        </w:tc>
      </w:tr>
      <w:tr w:rsidR="00CF0448" w14:paraId="189B174E" w14:textId="77777777" w:rsidTr="00CF0448">
        <w:trPr>
          <w:gridAfter w:val="1"/>
          <w:wAfter w:w="11" w:type="dxa"/>
          <w:trHeight w:val="280"/>
        </w:trPr>
        <w:tc>
          <w:tcPr>
            <w:tcW w:w="4276" w:type="dxa"/>
            <w:gridSpan w:val="2"/>
            <w:tcBorders>
              <w:top w:val="nil"/>
              <w:left w:val="nil"/>
              <w:bottom w:val="nil"/>
              <w:right w:val="nil"/>
            </w:tcBorders>
          </w:tcPr>
          <w:p w14:paraId="67266FBD" w14:textId="77777777" w:rsidR="00CF0448" w:rsidRDefault="00CF0448">
            <w:pPr>
              <w:widowControl w:val="0"/>
              <w:ind w:left="322"/>
              <w:rPr>
                <w:rFonts w:ascii="Arial" w:eastAsia="Arial" w:hAnsi="Arial" w:cs="Arial"/>
                <w:lang w:val="en-PH" w:eastAsia="en-PH"/>
              </w:rPr>
            </w:pPr>
            <w:r>
              <w:rPr>
                <w:rFonts w:ascii="Arial" w:eastAsia="Arial" w:hAnsi="Arial" w:cs="Arial"/>
                <w:lang w:val="en-PH" w:eastAsia="en-PH"/>
              </w:rPr>
              <w:lastRenderedPageBreak/>
              <w:t>Empathy</w:t>
            </w:r>
          </w:p>
          <w:p w14:paraId="48998605" w14:textId="77777777" w:rsidR="00CF0448" w:rsidRDefault="00CF0448">
            <w:pPr>
              <w:widowControl w:val="0"/>
              <w:ind w:left="322"/>
              <w:rPr>
                <w:rFonts w:ascii="Arial" w:eastAsia="Arial" w:hAnsi="Arial" w:cs="Arial"/>
                <w:lang w:val="en-PH" w:eastAsia="en-PH"/>
              </w:rPr>
            </w:pPr>
          </w:p>
        </w:tc>
        <w:tc>
          <w:tcPr>
            <w:tcW w:w="854" w:type="dxa"/>
            <w:tcBorders>
              <w:top w:val="nil"/>
              <w:left w:val="nil"/>
              <w:bottom w:val="nil"/>
              <w:right w:val="nil"/>
            </w:tcBorders>
            <w:hideMark/>
          </w:tcPr>
          <w:p w14:paraId="44B737EC" w14:textId="77777777" w:rsidR="00CF0448" w:rsidRDefault="00CF0448">
            <w:pPr>
              <w:jc w:val="center"/>
              <w:rPr>
                <w:rFonts w:ascii="Arial" w:eastAsia="Arial" w:hAnsi="Arial" w:cs="Arial"/>
                <w:lang w:val="en-PH" w:eastAsia="en-PH"/>
              </w:rPr>
            </w:pPr>
            <w:r>
              <w:rPr>
                <w:rFonts w:ascii="Arial" w:eastAsia="Arial" w:hAnsi="Arial" w:cs="Arial"/>
                <w:lang w:val="en-PH" w:eastAsia="en-PH"/>
              </w:rPr>
              <w:t>0.56</w:t>
            </w:r>
          </w:p>
        </w:tc>
        <w:tc>
          <w:tcPr>
            <w:tcW w:w="1009" w:type="dxa"/>
            <w:gridSpan w:val="2"/>
            <w:tcBorders>
              <w:top w:val="nil"/>
              <w:left w:val="nil"/>
              <w:bottom w:val="nil"/>
              <w:right w:val="nil"/>
            </w:tcBorders>
            <w:hideMark/>
          </w:tcPr>
          <w:p w14:paraId="43E924DD" w14:textId="77777777" w:rsidR="00CF0448" w:rsidRDefault="00CF0448">
            <w:pPr>
              <w:jc w:val="center"/>
              <w:rPr>
                <w:rFonts w:ascii="Arial" w:eastAsia="Arial" w:hAnsi="Arial" w:cs="Arial"/>
                <w:lang w:val="en-PH" w:eastAsia="en-PH"/>
              </w:rPr>
            </w:pPr>
            <w:r>
              <w:rPr>
                <w:rFonts w:ascii="Arial" w:eastAsia="Arial" w:hAnsi="Arial" w:cs="Arial"/>
                <w:lang w:val="en-PH" w:eastAsia="en-PH"/>
              </w:rPr>
              <w:t>4.50</w:t>
            </w:r>
          </w:p>
        </w:tc>
        <w:tc>
          <w:tcPr>
            <w:tcW w:w="2223" w:type="dxa"/>
            <w:tcBorders>
              <w:top w:val="nil"/>
              <w:left w:val="nil"/>
              <w:bottom w:val="nil"/>
              <w:right w:val="nil"/>
            </w:tcBorders>
            <w:hideMark/>
          </w:tcPr>
          <w:p w14:paraId="6237FABD" w14:textId="77777777" w:rsidR="00CF0448" w:rsidRDefault="00CF0448">
            <w:pPr>
              <w:jc w:val="center"/>
              <w:rPr>
                <w:rFonts w:ascii="Arial" w:eastAsia="Arial" w:hAnsi="Arial" w:cs="Arial"/>
                <w:lang w:val="en-PH" w:eastAsia="en-PH"/>
              </w:rPr>
            </w:pPr>
            <w:r>
              <w:rPr>
                <w:rFonts w:ascii="Arial" w:eastAsia="Arial" w:hAnsi="Arial" w:cs="Arial"/>
                <w:lang w:val="en-PH" w:eastAsia="en-PH"/>
              </w:rPr>
              <w:t>Very High</w:t>
            </w:r>
          </w:p>
        </w:tc>
      </w:tr>
      <w:tr w:rsidR="00CF0448" w14:paraId="5E18159C" w14:textId="77777777" w:rsidTr="00CF0448">
        <w:trPr>
          <w:gridAfter w:val="1"/>
          <w:wAfter w:w="11" w:type="dxa"/>
          <w:trHeight w:val="280"/>
        </w:trPr>
        <w:tc>
          <w:tcPr>
            <w:tcW w:w="4276" w:type="dxa"/>
            <w:gridSpan w:val="2"/>
            <w:tcBorders>
              <w:top w:val="nil"/>
              <w:left w:val="nil"/>
              <w:bottom w:val="nil"/>
              <w:right w:val="nil"/>
            </w:tcBorders>
          </w:tcPr>
          <w:p w14:paraId="10D9BB5E" w14:textId="77777777" w:rsidR="00CF0448" w:rsidRDefault="00CF0448">
            <w:pPr>
              <w:widowControl w:val="0"/>
              <w:ind w:left="322"/>
              <w:rPr>
                <w:rFonts w:ascii="Arial" w:eastAsia="Arial" w:hAnsi="Arial" w:cs="Arial"/>
                <w:lang w:val="en-PH" w:eastAsia="en-PH"/>
              </w:rPr>
            </w:pPr>
            <w:r>
              <w:rPr>
                <w:rFonts w:ascii="Arial" w:eastAsia="Arial" w:hAnsi="Arial" w:cs="Arial"/>
                <w:lang w:val="en-PH" w:eastAsia="en-PH"/>
              </w:rPr>
              <w:t>Inclusivity</w:t>
            </w:r>
          </w:p>
          <w:p w14:paraId="0BF5C930" w14:textId="77777777" w:rsidR="00CF0448" w:rsidRDefault="00CF0448">
            <w:pPr>
              <w:widowControl w:val="0"/>
              <w:ind w:left="322"/>
              <w:rPr>
                <w:rFonts w:ascii="Arial" w:eastAsia="Arial" w:hAnsi="Arial" w:cs="Arial"/>
                <w:lang w:val="en-PH" w:eastAsia="en-PH"/>
              </w:rPr>
            </w:pPr>
          </w:p>
        </w:tc>
        <w:tc>
          <w:tcPr>
            <w:tcW w:w="854" w:type="dxa"/>
            <w:tcBorders>
              <w:top w:val="nil"/>
              <w:left w:val="nil"/>
              <w:bottom w:val="nil"/>
              <w:right w:val="nil"/>
            </w:tcBorders>
            <w:hideMark/>
          </w:tcPr>
          <w:p w14:paraId="6F33E737" w14:textId="77777777" w:rsidR="00CF0448" w:rsidRDefault="00CF0448">
            <w:pPr>
              <w:jc w:val="center"/>
              <w:rPr>
                <w:rFonts w:ascii="Arial" w:eastAsia="Arial" w:hAnsi="Arial" w:cs="Arial"/>
                <w:lang w:val="en-PH" w:eastAsia="en-PH"/>
              </w:rPr>
            </w:pPr>
            <w:r>
              <w:rPr>
                <w:rFonts w:ascii="Arial" w:eastAsia="Arial" w:hAnsi="Arial" w:cs="Arial"/>
                <w:lang w:val="en-PH" w:eastAsia="en-PH"/>
              </w:rPr>
              <w:t>0.55</w:t>
            </w:r>
          </w:p>
        </w:tc>
        <w:tc>
          <w:tcPr>
            <w:tcW w:w="1009" w:type="dxa"/>
            <w:gridSpan w:val="2"/>
            <w:tcBorders>
              <w:top w:val="nil"/>
              <w:left w:val="nil"/>
              <w:bottom w:val="nil"/>
              <w:right w:val="nil"/>
            </w:tcBorders>
            <w:hideMark/>
          </w:tcPr>
          <w:p w14:paraId="353A0C56" w14:textId="77777777" w:rsidR="00CF0448" w:rsidRDefault="00CF0448">
            <w:pPr>
              <w:jc w:val="center"/>
              <w:rPr>
                <w:rFonts w:ascii="Arial" w:eastAsia="Arial" w:hAnsi="Arial" w:cs="Arial"/>
                <w:lang w:val="en-PH" w:eastAsia="en-PH"/>
              </w:rPr>
            </w:pPr>
            <w:r>
              <w:rPr>
                <w:rFonts w:ascii="Arial" w:eastAsia="Arial" w:hAnsi="Arial" w:cs="Arial"/>
                <w:lang w:val="en-PH" w:eastAsia="en-PH"/>
              </w:rPr>
              <w:t>4.05</w:t>
            </w:r>
          </w:p>
        </w:tc>
        <w:tc>
          <w:tcPr>
            <w:tcW w:w="2223" w:type="dxa"/>
            <w:tcBorders>
              <w:top w:val="nil"/>
              <w:left w:val="nil"/>
              <w:bottom w:val="nil"/>
              <w:right w:val="nil"/>
            </w:tcBorders>
            <w:hideMark/>
          </w:tcPr>
          <w:p w14:paraId="0EF813B1" w14:textId="77777777" w:rsidR="00CF0448" w:rsidRDefault="00CF0448">
            <w:pPr>
              <w:jc w:val="center"/>
              <w:rPr>
                <w:rFonts w:ascii="Arial" w:eastAsia="Arial" w:hAnsi="Arial" w:cs="Arial"/>
                <w:lang w:val="en-PH" w:eastAsia="en-PH"/>
              </w:rPr>
            </w:pPr>
            <w:r>
              <w:rPr>
                <w:rFonts w:ascii="Arial" w:eastAsia="Arial" w:hAnsi="Arial" w:cs="Arial"/>
                <w:lang w:val="en-PH" w:eastAsia="en-PH"/>
              </w:rPr>
              <w:t>High</w:t>
            </w:r>
          </w:p>
        </w:tc>
      </w:tr>
      <w:tr w:rsidR="00CF0448" w14:paraId="5C818053" w14:textId="77777777" w:rsidTr="00CF0448">
        <w:trPr>
          <w:trHeight w:val="264"/>
        </w:trPr>
        <w:tc>
          <w:tcPr>
            <w:tcW w:w="4235" w:type="dxa"/>
            <w:tcBorders>
              <w:top w:val="nil"/>
              <w:left w:val="nil"/>
              <w:bottom w:val="single" w:sz="4" w:space="0" w:color="auto"/>
              <w:right w:val="nil"/>
            </w:tcBorders>
            <w:hideMark/>
          </w:tcPr>
          <w:p w14:paraId="5D01F73C" w14:textId="77777777" w:rsidR="00CF0448" w:rsidRDefault="00CF0448">
            <w:pPr>
              <w:rPr>
                <w:rFonts w:ascii="Arial" w:eastAsia="Arial" w:hAnsi="Arial" w:cs="Arial"/>
                <w:b/>
                <w:color w:val="000000"/>
                <w:lang w:val="en-PH" w:eastAsia="en-PH"/>
              </w:rPr>
            </w:pPr>
            <w:r>
              <w:rPr>
                <w:rFonts w:ascii="Arial" w:eastAsia="Arial" w:hAnsi="Arial" w:cs="Arial"/>
                <w:b/>
                <w:color w:val="000000"/>
                <w:lang w:val="en-PH" w:eastAsia="en-PH"/>
              </w:rPr>
              <w:t>Overall</w:t>
            </w:r>
          </w:p>
        </w:tc>
        <w:tc>
          <w:tcPr>
            <w:tcW w:w="895" w:type="dxa"/>
            <w:gridSpan w:val="2"/>
            <w:tcBorders>
              <w:top w:val="nil"/>
              <w:left w:val="nil"/>
              <w:bottom w:val="single" w:sz="4" w:space="0" w:color="auto"/>
              <w:right w:val="nil"/>
            </w:tcBorders>
            <w:hideMark/>
          </w:tcPr>
          <w:p w14:paraId="2F76926A" w14:textId="77777777" w:rsidR="00CF0448" w:rsidRDefault="00CF0448">
            <w:pPr>
              <w:jc w:val="center"/>
              <w:rPr>
                <w:rFonts w:ascii="Arial" w:eastAsia="Arial" w:hAnsi="Arial" w:cs="Arial"/>
                <w:b/>
                <w:lang w:val="en-PH" w:eastAsia="en-PH"/>
              </w:rPr>
            </w:pPr>
            <w:r>
              <w:rPr>
                <w:rFonts w:ascii="Arial" w:eastAsia="Arial" w:hAnsi="Arial" w:cs="Arial"/>
                <w:b/>
                <w:lang w:val="en-PH" w:eastAsia="en-PH"/>
              </w:rPr>
              <w:t>0.42</w:t>
            </w:r>
          </w:p>
        </w:tc>
        <w:tc>
          <w:tcPr>
            <w:tcW w:w="990" w:type="dxa"/>
            <w:tcBorders>
              <w:top w:val="nil"/>
              <w:left w:val="nil"/>
              <w:bottom w:val="single" w:sz="4" w:space="0" w:color="auto"/>
              <w:right w:val="nil"/>
            </w:tcBorders>
            <w:hideMark/>
          </w:tcPr>
          <w:p w14:paraId="72DBA946" w14:textId="77777777" w:rsidR="00CF0448" w:rsidRDefault="00CF0448">
            <w:pPr>
              <w:jc w:val="center"/>
              <w:rPr>
                <w:rFonts w:ascii="Arial" w:eastAsia="Arial" w:hAnsi="Arial" w:cs="Arial"/>
                <w:b/>
                <w:lang w:val="en-PH" w:eastAsia="en-PH"/>
              </w:rPr>
            </w:pPr>
            <w:r>
              <w:rPr>
                <w:rFonts w:ascii="Arial" w:eastAsia="Arial" w:hAnsi="Arial" w:cs="Arial"/>
                <w:b/>
                <w:lang w:val="en-PH" w:eastAsia="en-PH"/>
              </w:rPr>
              <w:t>4.16</w:t>
            </w:r>
          </w:p>
        </w:tc>
        <w:tc>
          <w:tcPr>
            <w:tcW w:w="2253" w:type="dxa"/>
            <w:gridSpan w:val="3"/>
            <w:tcBorders>
              <w:top w:val="nil"/>
              <w:left w:val="nil"/>
              <w:bottom w:val="single" w:sz="4" w:space="0" w:color="auto"/>
              <w:right w:val="nil"/>
            </w:tcBorders>
            <w:hideMark/>
          </w:tcPr>
          <w:p w14:paraId="6FF9C82E" w14:textId="77777777" w:rsidR="00CF0448" w:rsidRDefault="00CF0448">
            <w:pPr>
              <w:jc w:val="center"/>
              <w:rPr>
                <w:rFonts w:ascii="Arial" w:eastAsia="Arial" w:hAnsi="Arial" w:cs="Arial"/>
                <w:b/>
                <w:lang w:val="en-PH" w:eastAsia="en-PH"/>
              </w:rPr>
            </w:pPr>
            <w:r>
              <w:rPr>
                <w:rFonts w:ascii="Arial" w:eastAsia="Arial" w:hAnsi="Arial" w:cs="Arial"/>
                <w:b/>
                <w:lang w:val="en-PH" w:eastAsia="en-PH"/>
              </w:rPr>
              <w:t>High</w:t>
            </w:r>
          </w:p>
        </w:tc>
      </w:tr>
    </w:tbl>
    <w:p w14:paraId="496DE70A" w14:textId="77777777" w:rsidR="002F5C4B" w:rsidRDefault="002F5C4B">
      <w:pPr>
        <w:suppressAutoHyphens/>
        <w:jc w:val="both"/>
        <w:rPr>
          <w:rFonts w:ascii="Arial" w:hAnsi="Arial" w:cs="Arial"/>
          <w:i/>
        </w:rPr>
      </w:pPr>
    </w:p>
    <w:p w14:paraId="20CF6BE0" w14:textId="77777777" w:rsidR="00D453B9" w:rsidRDefault="00D453B9" w:rsidP="003248E3">
      <w:pPr>
        <w:jc w:val="both"/>
        <w:rPr>
          <w:rFonts w:ascii="Arial" w:hAnsi="Arial" w:cs="Arial"/>
        </w:rPr>
      </w:pPr>
    </w:p>
    <w:p w14:paraId="12604912" w14:textId="2B2FEF1A" w:rsidR="008F03E2" w:rsidRDefault="008F03E2" w:rsidP="008F03E2">
      <w:pPr>
        <w:jc w:val="both"/>
        <w:rPr>
          <w:rFonts w:ascii="Arial" w:hAnsi="Arial" w:cs="Arial"/>
        </w:rPr>
      </w:pPr>
      <w:r>
        <w:rPr>
          <w:rFonts w:ascii="Arial" w:hAnsi="Arial" w:cs="Arial"/>
        </w:rPr>
        <w:t xml:space="preserve">Presented in </w:t>
      </w:r>
      <w:r w:rsidRPr="008F03E2">
        <w:rPr>
          <w:rFonts w:ascii="Arial" w:hAnsi="Arial" w:cs="Arial"/>
        </w:rPr>
        <w:t xml:space="preserve">Table 1 </w:t>
      </w:r>
      <w:r>
        <w:rPr>
          <w:rFonts w:ascii="Arial" w:hAnsi="Arial" w:cs="Arial"/>
        </w:rPr>
        <w:t>is</w:t>
      </w:r>
      <w:r w:rsidRPr="008F03E2">
        <w:rPr>
          <w:rFonts w:ascii="Arial" w:hAnsi="Arial" w:cs="Arial"/>
        </w:rPr>
        <w:t xml:space="preserve"> the </w:t>
      </w:r>
      <w:r>
        <w:rPr>
          <w:rFonts w:ascii="Arial" w:hAnsi="Arial" w:cs="Arial"/>
        </w:rPr>
        <w:t>level of</w:t>
      </w:r>
      <w:r w:rsidRPr="008F03E2">
        <w:rPr>
          <w:rFonts w:ascii="Arial" w:hAnsi="Arial" w:cs="Arial"/>
        </w:rPr>
        <w:t xml:space="preserve"> ingenious solidarity among public secondary language teachers. It includes domains, each standard deviation, corresponding mean, and descriptive level to answer the statement of the problem number 1 in this study.</w:t>
      </w:r>
      <w:r>
        <w:rPr>
          <w:rFonts w:ascii="Arial" w:hAnsi="Arial" w:cs="Arial"/>
        </w:rPr>
        <w:t xml:space="preserve"> </w:t>
      </w:r>
      <w:r w:rsidRPr="008F03E2">
        <w:rPr>
          <w:rFonts w:ascii="Arial" w:hAnsi="Arial" w:cs="Arial"/>
        </w:rPr>
        <w:t>Based on the computed mean scores and standard deviations, the table includes collaborative learning, cultural connection, empathy, and inclusivity domains. The domain empathy recorded the highest mean of 4.50, categorized as "very high." This was followed by cultural connection, with a mean of 4.31, categorized as "very high." The domain inclusivity had a mean of 4.05, categorized as "high." The domain collaborative learning recorded the lowest mean of 3.78, categorized as "high." The overall mean score of 4.16, described as "high," reflects a generally strong level of ingenious solidarity across all domains. The overall standard deviation of 0.42 suggests that responses were relatively consistent, with most ratings closely clustered around the mean.</w:t>
      </w:r>
    </w:p>
    <w:p w14:paraId="68F48133" w14:textId="77777777" w:rsidR="008F03E2" w:rsidRPr="008F03E2" w:rsidRDefault="008F03E2" w:rsidP="008F03E2">
      <w:pPr>
        <w:jc w:val="both"/>
        <w:rPr>
          <w:rFonts w:ascii="Arial" w:hAnsi="Arial" w:cs="Arial"/>
        </w:rPr>
      </w:pPr>
    </w:p>
    <w:p w14:paraId="12DFEDF1" w14:textId="67E69D79" w:rsidR="008F03E2" w:rsidRDefault="008F03E2" w:rsidP="008F03E2">
      <w:pPr>
        <w:jc w:val="both"/>
        <w:rPr>
          <w:rFonts w:ascii="Arial" w:hAnsi="Arial" w:cs="Arial"/>
        </w:rPr>
      </w:pPr>
      <w:r w:rsidRPr="008F03E2">
        <w:rPr>
          <w:rFonts w:ascii="Arial" w:hAnsi="Arial" w:cs="Arial"/>
        </w:rPr>
        <w:t>This finding implies that public secondary language teachers consistently demonstrate strong ingenious solidarity, especially in empathy and cultural connection. The results highlight the importance of fostering inclusive and collaborative learning environments that reflect students' diverse needs and experiences. These perceptions underscore the teachers' commitment to creating an engaging, inclusive, and supportive classroom atmosphere.</w:t>
      </w:r>
    </w:p>
    <w:p w14:paraId="15341F8C" w14:textId="77777777" w:rsidR="008F03E2" w:rsidRPr="008F03E2" w:rsidRDefault="008F03E2" w:rsidP="008F03E2">
      <w:pPr>
        <w:jc w:val="both"/>
        <w:rPr>
          <w:rFonts w:ascii="Arial" w:hAnsi="Arial" w:cs="Arial"/>
        </w:rPr>
      </w:pPr>
    </w:p>
    <w:p w14:paraId="60DA6EEE" w14:textId="7D41B40A" w:rsidR="00A8786A" w:rsidRDefault="008F03E2" w:rsidP="008F03E2">
      <w:pPr>
        <w:jc w:val="both"/>
        <w:rPr>
          <w:rFonts w:ascii="Arial" w:hAnsi="Arial" w:cs="Arial"/>
        </w:rPr>
      </w:pPr>
      <w:r w:rsidRPr="008F03E2">
        <w:rPr>
          <w:rFonts w:ascii="Arial" w:hAnsi="Arial" w:cs="Arial"/>
        </w:rPr>
        <w:t xml:space="preserve">This finding agrees with the work of Mayes (2022), who emphasized that high ingenious solidarity among teachers fosters a collaborative and supportive learning environment, positively impacting teacher and student development. When educators practice solidarity, they build stronger professional relationships that enhance teamwork and collective problem-solving. Similarly, </w:t>
      </w:r>
      <w:proofErr w:type="spellStart"/>
      <w:r w:rsidR="00350E79" w:rsidRPr="00350E79">
        <w:rPr>
          <w:rFonts w:ascii="Arial" w:hAnsi="Arial" w:cs="Arial"/>
        </w:rPr>
        <w:t>Damaševičius</w:t>
      </w:r>
      <w:proofErr w:type="spellEnd"/>
      <w:r w:rsidR="00350E79">
        <w:rPr>
          <w:rFonts w:ascii="Arial" w:hAnsi="Arial" w:cs="Arial"/>
        </w:rPr>
        <w:t xml:space="preserve"> and </w:t>
      </w:r>
      <w:proofErr w:type="spellStart"/>
      <w:r w:rsidR="00350E79" w:rsidRPr="00350E79">
        <w:rPr>
          <w:rFonts w:ascii="Arial" w:hAnsi="Arial" w:cs="Arial"/>
        </w:rPr>
        <w:t>Sidekerskienė</w:t>
      </w:r>
      <w:proofErr w:type="spellEnd"/>
      <w:r w:rsidR="00350E79" w:rsidRPr="00350E79">
        <w:rPr>
          <w:rFonts w:ascii="Arial" w:hAnsi="Arial" w:cs="Arial"/>
        </w:rPr>
        <w:t xml:space="preserve"> </w:t>
      </w:r>
      <w:r w:rsidRPr="008F03E2">
        <w:rPr>
          <w:rFonts w:ascii="Arial" w:hAnsi="Arial" w:cs="Arial"/>
        </w:rPr>
        <w:t xml:space="preserve">(2024) argued that fostering ingenious solidarity in schools leads to a more inclusive and dynamic educational culture, where teachers feel more connected and motivated to work together for the success of their students. </w:t>
      </w:r>
      <w:proofErr w:type="spellStart"/>
      <w:r w:rsidRPr="008F03E2">
        <w:rPr>
          <w:rFonts w:ascii="Arial" w:hAnsi="Arial" w:cs="Arial"/>
        </w:rPr>
        <w:t>Öngel</w:t>
      </w:r>
      <w:proofErr w:type="spellEnd"/>
      <w:r w:rsidRPr="008F03E2">
        <w:rPr>
          <w:rFonts w:ascii="Arial" w:hAnsi="Arial" w:cs="Arial"/>
        </w:rPr>
        <w:t xml:space="preserve"> and </w:t>
      </w:r>
      <w:proofErr w:type="spellStart"/>
      <w:r w:rsidRPr="008F03E2">
        <w:rPr>
          <w:rFonts w:ascii="Arial" w:hAnsi="Arial" w:cs="Arial"/>
        </w:rPr>
        <w:t>Tabancali</w:t>
      </w:r>
      <w:proofErr w:type="spellEnd"/>
      <w:r w:rsidRPr="008F03E2">
        <w:rPr>
          <w:rFonts w:ascii="Arial" w:hAnsi="Arial" w:cs="Arial"/>
        </w:rPr>
        <w:t xml:space="preserve"> (2022) also highlighted that a high level of solidarity among teachers contributes to more effective teaching strategies, improved student outcomes, and a more positive school climate.</w:t>
      </w:r>
    </w:p>
    <w:p w14:paraId="299BA46F" w14:textId="77777777" w:rsidR="008F03E2" w:rsidRPr="00A8786A" w:rsidRDefault="008F03E2" w:rsidP="00A8786A">
      <w:pPr>
        <w:jc w:val="both"/>
        <w:rPr>
          <w:rFonts w:ascii="Arial" w:hAnsi="Arial" w:cs="Arial"/>
        </w:rPr>
      </w:pPr>
    </w:p>
    <w:p w14:paraId="49153FC3" w14:textId="522A1AB9" w:rsidR="00E16D4E" w:rsidRDefault="00180859">
      <w:pPr>
        <w:jc w:val="both"/>
        <w:rPr>
          <w:rFonts w:ascii="Arial" w:hAnsi="Arial" w:cs="Arial"/>
          <w:b/>
        </w:rPr>
      </w:pPr>
      <w:r>
        <w:rPr>
          <w:rFonts w:ascii="Arial" w:hAnsi="Arial" w:cs="Arial"/>
          <w:b/>
        </w:rPr>
        <w:t xml:space="preserve">3.2 </w:t>
      </w:r>
      <w:r w:rsidR="00FF0EAF" w:rsidRPr="00FF0EAF">
        <w:rPr>
          <w:rFonts w:ascii="Arial" w:hAnsi="Arial" w:cs="Arial"/>
          <w:b/>
        </w:rPr>
        <w:t>Level of Classroom Social Control among Public Secondary Language Teachers</w:t>
      </w:r>
    </w:p>
    <w:p w14:paraId="5B335AF5" w14:textId="77777777" w:rsidR="00D532E8" w:rsidRDefault="00D532E8">
      <w:pPr>
        <w:jc w:val="both"/>
        <w:rPr>
          <w:rFonts w:ascii="Arial" w:hAnsi="Arial" w:cs="Arial"/>
          <w:b/>
        </w:rPr>
      </w:pPr>
    </w:p>
    <w:p w14:paraId="2745F126" w14:textId="40A5FAE9" w:rsidR="00781D5E" w:rsidRDefault="00180859">
      <w:pPr>
        <w:jc w:val="both"/>
        <w:rPr>
          <w:rFonts w:ascii="Arial" w:hAnsi="Arial" w:cs="Arial"/>
          <w:i/>
        </w:rPr>
      </w:pPr>
      <w:r>
        <w:rPr>
          <w:rFonts w:ascii="Arial" w:hAnsi="Arial" w:cs="Arial"/>
          <w:iCs/>
        </w:rPr>
        <w:t>Table 2</w:t>
      </w:r>
      <w:r w:rsidR="00781D5E">
        <w:rPr>
          <w:rFonts w:ascii="Arial" w:hAnsi="Arial" w:cs="Arial"/>
          <w:iCs/>
        </w:rPr>
        <w:t>.</w:t>
      </w:r>
      <w:r>
        <w:rPr>
          <w:rFonts w:ascii="Arial" w:hAnsi="Arial" w:cs="Arial"/>
          <w:iCs/>
        </w:rPr>
        <w:t xml:space="preserve"> </w:t>
      </w:r>
      <w:r w:rsidR="00FF0EAF" w:rsidRPr="00FF0EAF">
        <w:rPr>
          <w:rFonts w:ascii="Arial" w:hAnsi="Arial" w:cs="Arial"/>
          <w:i/>
        </w:rPr>
        <w:t>Level of Classroom Social Control among Public Secondary Language Teachers</w:t>
      </w:r>
    </w:p>
    <w:p w14:paraId="0470EF4F" w14:textId="77777777" w:rsidR="00D532E8" w:rsidRDefault="00D532E8">
      <w:pPr>
        <w:jc w:val="both"/>
        <w:rPr>
          <w:rFonts w:ascii="Arial" w:hAnsi="Arial" w:cs="Arial"/>
          <w:i/>
        </w:rPr>
      </w:pPr>
    </w:p>
    <w:tbl>
      <w:tblPr>
        <w:tblW w:w="8520" w:type="dxa"/>
        <w:tblInd w:w="108" w:type="dxa"/>
        <w:tblBorders>
          <w:top w:val="single" w:sz="4" w:space="0" w:color="000000"/>
          <w:bottom w:val="single" w:sz="4" w:space="0" w:color="000000"/>
        </w:tblBorders>
        <w:tblLayout w:type="fixed"/>
        <w:tblLook w:val="04A0" w:firstRow="1" w:lastRow="0" w:firstColumn="1" w:lastColumn="0" w:noHBand="0" w:noVBand="1"/>
      </w:tblPr>
      <w:tblGrid>
        <w:gridCol w:w="4309"/>
        <w:gridCol w:w="41"/>
        <w:gridCol w:w="870"/>
        <w:gridCol w:w="1007"/>
        <w:gridCol w:w="19"/>
        <w:gridCol w:w="2262"/>
        <w:gridCol w:w="12"/>
      </w:tblGrid>
      <w:tr w:rsidR="00FF0EAF" w14:paraId="0EB90F59" w14:textId="77777777" w:rsidTr="00FF0EAF">
        <w:trPr>
          <w:gridAfter w:val="1"/>
          <w:wAfter w:w="12" w:type="dxa"/>
          <w:trHeight w:val="52"/>
        </w:trPr>
        <w:tc>
          <w:tcPr>
            <w:tcW w:w="4353" w:type="dxa"/>
            <w:gridSpan w:val="2"/>
            <w:tcBorders>
              <w:top w:val="single" w:sz="4" w:space="0" w:color="auto"/>
              <w:left w:val="nil"/>
              <w:bottom w:val="single" w:sz="4" w:space="0" w:color="000000"/>
              <w:right w:val="nil"/>
            </w:tcBorders>
            <w:hideMark/>
          </w:tcPr>
          <w:p w14:paraId="14D13148" w14:textId="77777777" w:rsidR="00FF0EAF" w:rsidRDefault="00FF0EAF">
            <w:pPr>
              <w:jc w:val="center"/>
              <w:rPr>
                <w:rFonts w:ascii="Arial" w:eastAsia="Arial" w:hAnsi="Arial" w:cs="Arial"/>
                <w:b/>
                <w:lang w:val="en-PH" w:eastAsia="en-PH"/>
              </w:rPr>
            </w:pPr>
            <w:r>
              <w:rPr>
                <w:rFonts w:ascii="Arial" w:eastAsia="Arial" w:hAnsi="Arial" w:cs="Arial"/>
                <w:b/>
                <w:lang w:val="en-PH" w:eastAsia="en-PH"/>
              </w:rPr>
              <w:t>Domains</w:t>
            </w:r>
          </w:p>
        </w:tc>
        <w:tc>
          <w:tcPr>
            <w:tcW w:w="869" w:type="dxa"/>
            <w:tcBorders>
              <w:top w:val="single" w:sz="4" w:space="0" w:color="auto"/>
              <w:left w:val="nil"/>
              <w:bottom w:val="single" w:sz="4" w:space="0" w:color="000000"/>
              <w:right w:val="nil"/>
            </w:tcBorders>
            <w:hideMark/>
          </w:tcPr>
          <w:p w14:paraId="385C4A1C" w14:textId="77777777" w:rsidR="00FF0EAF" w:rsidRDefault="00FF0EAF">
            <w:pPr>
              <w:jc w:val="center"/>
              <w:rPr>
                <w:rFonts w:ascii="Arial" w:eastAsia="Arial" w:hAnsi="Arial" w:cs="Arial"/>
                <w:b/>
                <w:lang w:val="en-PH" w:eastAsia="en-PH"/>
              </w:rPr>
            </w:pPr>
            <w:r>
              <w:rPr>
                <w:rFonts w:ascii="Arial" w:eastAsia="Arial" w:hAnsi="Arial" w:cs="Arial"/>
                <w:b/>
                <w:lang w:val="en-PH" w:eastAsia="en-PH"/>
              </w:rPr>
              <w:t>SD</w:t>
            </w:r>
          </w:p>
        </w:tc>
        <w:tc>
          <w:tcPr>
            <w:tcW w:w="1027" w:type="dxa"/>
            <w:gridSpan w:val="2"/>
            <w:tcBorders>
              <w:top w:val="single" w:sz="4" w:space="0" w:color="auto"/>
              <w:left w:val="nil"/>
              <w:bottom w:val="single" w:sz="4" w:space="0" w:color="000000"/>
              <w:right w:val="nil"/>
            </w:tcBorders>
            <w:hideMark/>
          </w:tcPr>
          <w:p w14:paraId="4793DB6E" w14:textId="77777777" w:rsidR="00FF0EAF" w:rsidRDefault="00FF0EAF">
            <w:pPr>
              <w:jc w:val="center"/>
              <w:rPr>
                <w:rFonts w:ascii="Arial" w:eastAsia="Arial" w:hAnsi="Arial" w:cs="Arial"/>
                <w:b/>
                <w:lang w:val="en-PH" w:eastAsia="en-PH"/>
              </w:rPr>
            </w:pPr>
            <w:r>
              <w:rPr>
                <w:rFonts w:ascii="Arial" w:eastAsia="Arial" w:hAnsi="Arial" w:cs="Arial"/>
                <w:b/>
                <w:lang w:val="en-PH" w:eastAsia="en-PH"/>
              </w:rPr>
              <w:t>Mean</w:t>
            </w:r>
          </w:p>
        </w:tc>
        <w:tc>
          <w:tcPr>
            <w:tcW w:w="2263" w:type="dxa"/>
            <w:tcBorders>
              <w:top w:val="single" w:sz="4" w:space="0" w:color="auto"/>
              <w:left w:val="nil"/>
              <w:bottom w:val="single" w:sz="4" w:space="0" w:color="000000"/>
              <w:right w:val="nil"/>
            </w:tcBorders>
            <w:hideMark/>
          </w:tcPr>
          <w:p w14:paraId="0E55DAD6" w14:textId="77777777" w:rsidR="00FF0EAF" w:rsidRDefault="00FF0EAF">
            <w:pPr>
              <w:jc w:val="center"/>
              <w:rPr>
                <w:rFonts w:ascii="Arial" w:eastAsia="Arial" w:hAnsi="Arial" w:cs="Arial"/>
                <w:b/>
                <w:lang w:val="en-PH" w:eastAsia="en-PH"/>
              </w:rPr>
            </w:pPr>
            <w:r>
              <w:rPr>
                <w:rFonts w:ascii="Arial" w:eastAsia="Arial" w:hAnsi="Arial" w:cs="Arial"/>
                <w:b/>
                <w:lang w:val="en-PH" w:eastAsia="en-PH"/>
              </w:rPr>
              <w:t>Descriptive Level</w:t>
            </w:r>
          </w:p>
        </w:tc>
      </w:tr>
      <w:tr w:rsidR="00FF0EAF" w14:paraId="131C859E" w14:textId="77777777" w:rsidTr="00FF0EAF">
        <w:trPr>
          <w:gridAfter w:val="1"/>
          <w:wAfter w:w="12" w:type="dxa"/>
          <w:trHeight w:val="401"/>
        </w:trPr>
        <w:tc>
          <w:tcPr>
            <w:tcW w:w="4353" w:type="dxa"/>
            <w:gridSpan w:val="2"/>
            <w:tcBorders>
              <w:top w:val="single" w:sz="4" w:space="0" w:color="000000"/>
              <w:left w:val="nil"/>
              <w:bottom w:val="nil"/>
              <w:right w:val="nil"/>
            </w:tcBorders>
            <w:hideMark/>
          </w:tcPr>
          <w:p w14:paraId="6C8E875F" w14:textId="77777777" w:rsidR="00FF0EAF" w:rsidRDefault="00FF0EAF">
            <w:pPr>
              <w:widowControl w:val="0"/>
              <w:ind w:left="232"/>
              <w:rPr>
                <w:rFonts w:ascii="Arial" w:eastAsia="Arial" w:hAnsi="Arial" w:cs="Arial"/>
                <w:lang w:val="en-PH" w:eastAsia="en-PH"/>
              </w:rPr>
            </w:pPr>
            <w:r>
              <w:rPr>
                <w:rFonts w:ascii="Arial" w:eastAsia="Arial" w:hAnsi="Arial" w:cs="Arial"/>
                <w:lang w:val="en-PH" w:eastAsia="en-PH"/>
              </w:rPr>
              <w:t>Humanity</w:t>
            </w:r>
          </w:p>
        </w:tc>
        <w:tc>
          <w:tcPr>
            <w:tcW w:w="869" w:type="dxa"/>
            <w:tcBorders>
              <w:top w:val="single" w:sz="4" w:space="0" w:color="000000"/>
              <w:left w:val="nil"/>
              <w:bottom w:val="nil"/>
              <w:right w:val="nil"/>
            </w:tcBorders>
            <w:hideMark/>
          </w:tcPr>
          <w:p w14:paraId="32EC30A3" w14:textId="77777777" w:rsidR="00FF0EAF" w:rsidRDefault="00FF0EAF">
            <w:pPr>
              <w:jc w:val="center"/>
              <w:rPr>
                <w:rFonts w:ascii="Arial" w:eastAsia="Arial" w:hAnsi="Arial" w:cs="Arial"/>
                <w:lang w:val="en-PH" w:eastAsia="en-PH"/>
              </w:rPr>
            </w:pPr>
            <w:r>
              <w:rPr>
                <w:rFonts w:ascii="Arial" w:eastAsia="Arial" w:hAnsi="Arial" w:cs="Arial"/>
                <w:lang w:val="en-PH" w:eastAsia="en-PH"/>
              </w:rPr>
              <w:t>0.41</w:t>
            </w:r>
          </w:p>
        </w:tc>
        <w:tc>
          <w:tcPr>
            <w:tcW w:w="1027" w:type="dxa"/>
            <w:gridSpan w:val="2"/>
            <w:tcBorders>
              <w:top w:val="single" w:sz="4" w:space="0" w:color="000000"/>
              <w:left w:val="nil"/>
              <w:bottom w:val="nil"/>
              <w:right w:val="nil"/>
            </w:tcBorders>
            <w:hideMark/>
          </w:tcPr>
          <w:p w14:paraId="2A12B110" w14:textId="77777777" w:rsidR="00FF0EAF" w:rsidRDefault="00FF0EAF">
            <w:pPr>
              <w:jc w:val="center"/>
              <w:rPr>
                <w:rFonts w:ascii="Arial" w:eastAsia="Arial" w:hAnsi="Arial" w:cs="Arial"/>
                <w:lang w:val="en-PH" w:eastAsia="en-PH"/>
              </w:rPr>
            </w:pPr>
            <w:r>
              <w:rPr>
                <w:rFonts w:ascii="Arial" w:eastAsia="Arial" w:hAnsi="Arial" w:cs="Arial"/>
                <w:lang w:val="en-PH" w:eastAsia="en-PH"/>
              </w:rPr>
              <w:t>4.12</w:t>
            </w:r>
          </w:p>
        </w:tc>
        <w:tc>
          <w:tcPr>
            <w:tcW w:w="2263" w:type="dxa"/>
            <w:tcBorders>
              <w:top w:val="single" w:sz="4" w:space="0" w:color="000000"/>
              <w:left w:val="nil"/>
              <w:bottom w:val="nil"/>
              <w:right w:val="nil"/>
            </w:tcBorders>
            <w:hideMark/>
          </w:tcPr>
          <w:p w14:paraId="2A1F701B" w14:textId="77777777" w:rsidR="00FF0EAF" w:rsidRDefault="00FF0EAF">
            <w:pPr>
              <w:jc w:val="center"/>
              <w:rPr>
                <w:rFonts w:ascii="Arial" w:eastAsia="Arial" w:hAnsi="Arial" w:cs="Arial"/>
                <w:lang w:val="en-PH" w:eastAsia="en-PH"/>
              </w:rPr>
            </w:pPr>
            <w:r>
              <w:rPr>
                <w:rFonts w:ascii="Arial" w:eastAsia="Arial" w:hAnsi="Arial" w:cs="Arial"/>
                <w:lang w:val="en-PH" w:eastAsia="en-PH"/>
              </w:rPr>
              <w:t>High</w:t>
            </w:r>
          </w:p>
        </w:tc>
      </w:tr>
      <w:tr w:rsidR="00FF0EAF" w14:paraId="641079B4" w14:textId="77777777" w:rsidTr="00FF0EAF">
        <w:trPr>
          <w:gridAfter w:val="1"/>
          <w:wAfter w:w="12" w:type="dxa"/>
          <w:trHeight w:val="418"/>
        </w:trPr>
        <w:tc>
          <w:tcPr>
            <w:tcW w:w="4353" w:type="dxa"/>
            <w:gridSpan w:val="2"/>
            <w:tcBorders>
              <w:top w:val="nil"/>
              <w:left w:val="nil"/>
              <w:bottom w:val="nil"/>
              <w:right w:val="nil"/>
            </w:tcBorders>
            <w:hideMark/>
          </w:tcPr>
          <w:p w14:paraId="483EAEA7" w14:textId="77777777" w:rsidR="00FF0EAF" w:rsidRDefault="00FF0EAF">
            <w:pPr>
              <w:widowControl w:val="0"/>
              <w:ind w:left="232"/>
              <w:rPr>
                <w:rFonts w:ascii="Arial" w:eastAsia="Arial" w:hAnsi="Arial" w:cs="Arial"/>
                <w:lang w:val="en-PH" w:eastAsia="en-PH"/>
              </w:rPr>
            </w:pPr>
            <w:r>
              <w:rPr>
                <w:rFonts w:ascii="Arial" w:eastAsia="Arial" w:hAnsi="Arial" w:cs="Arial"/>
                <w:lang w:val="en-PH" w:eastAsia="en-PH"/>
              </w:rPr>
              <w:t>Conscientiousness</w:t>
            </w:r>
          </w:p>
        </w:tc>
        <w:tc>
          <w:tcPr>
            <w:tcW w:w="869" w:type="dxa"/>
            <w:tcBorders>
              <w:top w:val="nil"/>
              <w:left w:val="nil"/>
              <w:bottom w:val="nil"/>
              <w:right w:val="nil"/>
            </w:tcBorders>
            <w:hideMark/>
          </w:tcPr>
          <w:p w14:paraId="27BF159C" w14:textId="77777777" w:rsidR="00FF0EAF" w:rsidRDefault="00FF0EAF">
            <w:pPr>
              <w:jc w:val="center"/>
              <w:rPr>
                <w:rFonts w:ascii="Arial" w:eastAsia="Arial" w:hAnsi="Arial" w:cs="Arial"/>
                <w:lang w:val="en-PH" w:eastAsia="en-PH"/>
              </w:rPr>
            </w:pPr>
            <w:r>
              <w:rPr>
                <w:rFonts w:ascii="Arial" w:eastAsia="Arial" w:hAnsi="Arial" w:cs="Arial"/>
                <w:lang w:val="en-PH" w:eastAsia="en-PH"/>
              </w:rPr>
              <w:t>0.37</w:t>
            </w:r>
          </w:p>
        </w:tc>
        <w:tc>
          <w:tcPr>
            <w:tcW w:w="1027" w:type="dxa"/>
            <w:gridSpan w:val="2"/>
            <w:tcBorders>
              <w:top w:val="nil"/>
              <w:left w:val="nil"/>
              <w:bottom w:val="nil"/>
              <w:right w:val="nil"/>
            </w:tcBorders>
            <w:hideMark/>
          </w:tcPr>
          <w:p w14:paraId="68ACCC73" w14:textId="77777777" w:rsidR="00FF0EAF" w:rsidRDefault="00FF0EAF">
            <w:pPr>
              <w:jc w:val="center"/>
              <w:rPr>
                <w:rFonts w:ascii="Arial" w:eastAsia="Arial" w:hAnsi="Arial" w:cs="Arial"/>
                <w:lang w:val="en-PH" w:eastAsia="en-PH"/>
              </w:rPr>
            </w:pPr>
            <w:r>
              <w:rPr>
                <w:rFonts w:ascii="Arial" w:eastAsia="Arial" w:hAnsi="Arial" w:cs="Arial"/>
                <w:lang w:val="en-PH" w:eastAsia="en-PH"/>
              </w:rPr>
              <w:t>3.93</w:t>
            </w:r>
          </w:p>
        </w:tc>
        <w:tc>
          <w:tcPr>
            <w:tcW w:w="2263" w:type="dxa"/>
            <w:tcBorders>
              <w:top w:val="nil"/>
              <w:left w:val="nil"/>
              <w:bottom w:val="nil"/>
              <w:right w:val="nil"/>
            </w:tcBorders>
            <w:hideMark/>
          </w:tcPr>
          <w:p w14:paraId="482C3C42" w14:textId="77777777" w:rsidR="00FF0EAF" w:rsidRDefault="00FF0EAF">
            <w:pPr>
              <w:jc w:val="center"/>
              <w:rPr>
                <w:rFonts w:ascii="Arial" w:eastAsia="Arial" w:hAnsi="Arial" w:cs="Arial"/>
                <w:lang w:val="en-PH" w:eastAsia="en-PH"/>
              </w:rPr>
            </w:pPr>
            <w:r>
              <w:rPr>
                <w:rFonts w:ascii="Arial" w:eastAsia="Arial" w:hAnsi="Arial" w:cs="Arial"/>
                <w:lang w:val="en-PH" w:eastAsia="en-PH"/>
              </w:rPr>
              <w:t>High</w:t>
            </w:r>
          </w:p>
        </w:tc>
      </w:tr>
      <w:tr w:rsidR="00FF0EAF" w14:paraId="150CD69C" w14:textId="77777777" w:rsidTr="00FF0EAF">
        <w:trPr>
          <w:gridAfter w:val="1"/>
          <w:wAfter w:w="12" w:type="dxa"/>
          <w:trHeight w:val="418"/>
        </w:trPr>
        <w:tc>
          <w:tcPr>
            <w:tcW w:w="4353" w:type="dxa"/>
            <w:gridSpan w:val="2"/>
            <w:tcBorders>
              <w:top w:val="nil"/>
              <w:left w:val="nil"/>
              <w:bottom w:val="nil"/>
              <w:right w:val="nil"/>
            </w:tcBorders>
            <w:hideMark/>
          </w:tcPr>
          <w:p w14:paraId="6719E467" w14:textId="77777777" w:rsidR="00FF0EAF" w:rsidRDefault="00FF0EAF">
            <w:pPr>
              <w:widowControl w:val="0"/>
              <w:ind w:left="232"/>
              <w:rPr>
                <w:rFonts w:ascii="Arial" w:eastAsia="Arial" w:hAnsi="Arial" w:cs="Arial"/>
                <w:lang w:val="en-PH" w:eastAsia="en-PH"/>
              </w:rPr>
            </w:pPr>
            <w:r>
              <w:rPr>
                <w:rFonts w:ascii="Arial" w:eastAsia="Arial" w:hAnsi="Arial" w:cs="Arial"/>
                <w:lang w:val="en-PH" w:eastAsia="en-PH"/>
              </w:rPr>
              <w:t>Sportsmanship</w:t>
            </w:r>
          </w:p>
        </w:tc>
        <w:tc>
          <w:tcPr>
            <w:tcW w:w="869" w:type="dxa"/>
            <w:tcBorders>
              <w:top w:val="nil"/>
              <w:left w:val="nil"/>
              <w:bottom w:val="nil"/>
              <w:right w:val="nil"/>
            </w:tcBorders>
            <w:hideMark/>
          </w:tcPr>
          <w:p w14:paraId="675C207A" w14:textId="77777777" w:rsidR="00FF0EAF" w:rsidRDefault="00FF0EAF">
            <w:pPr>
              <w:jc w:val="center"/>
              <w:rPr>
                <w:rFonts w:ascii="Arial" w:eastAsia="Arial" w:hAnsi="Arial" w:cs="Arial"/>
                <w:lang w:val="en-PH" w:eastAsia="en-PH"/>
              </w:rPr>
            </w:pPr>
            <w:r>
              <w:rPr>
                <w:rFonts w:ascii="Arial" w:eastAsia="Arial" w:hAnsi="Arial" w:cs="Arial"/>
                <w:lang w:val="en-PH" w:eastAsia="en-PH"/>
              </w:rPr>
              <w:t>0.32</w:t>
            </w:r>
          </w:p>
        </w:tc>
        <w:tc>
          <w:tcPr>
            <w:tcW w:w="1027" w:type="dxa"/>
            <w:gridSpan w:val="2"/>
            <w:tcBorders>
              <w:top w:val="nil"/>
              <w:left w:val="nil"/>
              <w:bottom w:val="nil"/>
              <w:right w:val="nil"/>
            </w:tcBorders>
            <w:hideMark/>
          </w:tcPr>
          <w:p w14:paraId="5456D916" w14:textId="77777777" w:rsidR="00FF0EAF" w:rsidRDefault="00FF0EAF">
            <w:pPr>
              <w:jc w:val="center"/>
              <w:rPr>
                <w:rFonts w:ascii="Arial" w:eastAsia="Arial" w:hAnsi="Arial" w:cs="Arial"/>
                <w:lang w:val="en-PH" w:eastAsia="en-PH"/>
              </w:rPr>
            </w:pPr>
            <w:r>
              <w:rPr>
                <w:rFonts w:ascii="Arial" w:eastAsia="Arial" w:hAnsi="Arial" w:cs="Arial"/>
                <w:lang w:val="en-PH" w:eastAsia="en-PH"/>
              </w:rPr>
              <w:t>4.04</w:t>
            </w:r>
          </w:p>
        </w:tc>
        <w:tc>
          <w:tcPr>
            <w:tcW w:w="2263" w:type="dxa"/>
            <w:tcBorders>
              <w:top w:val="nil"/>
              <w:left w:val="nil"/>
              <w:bottom w:val="nil"/>
              <w:right w:val="nil"/>
            </w:tcBorders>
            <w:hideMark/>
          </w:tcPr>
          <w:p w14:paraId="22D308FF" w14:textId="77777777" w:rsidR="00FF0EAF" w:rsidRDefault="00FF0EAF">
            <w:pPr>
              <w:jc w:val="center"/>
              <w:rPr>
                <w:rFonts w:ascii="Arial" w:eastAsia="Arial" w:hAnsi="Arial" w:cs="Arial"/>
                <w:lang w:val="en-PH" w:eastAsia="en-PH"/>
              </w:rPr>
            </w:pPr>
            <w:r>
              <w:rPr>
                <w:rFonts w:ascii="Arial" w:eastAsia="Arial" w:hAnsi="Arial" w:cs="Arial"/>
                <w:lang w:val="en-PH" w:eastAsia="en-PH"/>
              </w:rPr>
              <w:t>High</w:t>
            </w:r>
          </w:p>
        </w:tc>
      </w:tr>
      <w:tr w:rsidR="00FF0EAF" w14:paraId="69357FBD" w14:textId="77777777" w:rsidTr="00FF0EAF">
        <w:trPr>
          <w:gridAfter w:val="1"/>
          <w:wAfter w:w="12" w:type="dxa"/>
          <w:trHeight w:val="418"/>
        </w:trPr>
        <w:tc>
          <w:tcPr>
            <w:tcW w:w="4353" w:type="dxa"/>
            <w:gridSpan w:val="2"/>
            <w:tcBorders>
              <w:top w:val="nil"/>
              <w:left w:val="nil"/>
              <w:bottom w:val="nil"/>
              <w:right w:val="nil"/>
            </w:tcBorders>
            <w:hideMark/>
          </w:tcPr>
          <w:p w14:paraId="2891EC73" w14:textId="77777777" w:rsidR="00FF0EAF" w:rsidRDefault="00FF0EAF">
            <w:pPr>
              <w:widowControl w:val="0"/>
              <w:ind w:left="232"/>
              <w:rPr>
                <w:rFonts w:ascii="Arial" w:eastAsia="Arial" w:hAnsi="Arial" w:cs="Arial"/>
                <w:lang w:val="en-PH" w:eastAsia="en-PH"/>
              </w:rPr>
            </w:pPr>
            <w:r>
              <w:rPr>
                <w:rFonts w:ascii="Arial" w:eastAsia="Arial" w:hAnsi="Arial" w:cs="Arial"/>
                <w:lang w:val="en-PH" w:eastAsia="en-PH"/>
              </w:rPr>
              <w:t>Courtesy</w:t>
            </w:r>
          </w:p>
        </w:tc>
        <w:tc>
          <w:tcPr>
            <w:tcW w:w="869" w:type="dxa"/>
            <w:tcBorders>
              <w:top w:val="nil"/>
              <w:left w:val="nil"/>
              <w:bottom w:val="nil"/>
              <w:right w:val="nil"/>
            </w:tcBorders>
            <w:hideMark/>
          </w:tcPr>
          <w:p w14:paraId="0128C016" w14:textId="77777777" w:rsidR="00FF0EAF" w:rsidRDefault="00FF0EAF">
            <w:pPr>
              <w:jc w:val="center"/>
              <w:rPr>
                <w:rFonts w:ascii="Arial" w:eastAsia="Arial" w:hAnsi="Arial" w:cs="Arial"/>
                <w:lang w:val="en-PH" w:eastAsia="en-PH"/>
              </w:rPr>
            </w:pPr>
            <w:r>
              <w:rPr>
                <w:rFonts w:ascii="Arial" w:eastAsia="Arial" w:hAnsi="Arial" w:cs="Arial"/>
                <w:lang w:val="en-PH" w:eastAsia="en-PH"/>
              </w:rPr>
              <w:t>0.66</w:t>
            </w:r>
          </w:p>
        </w:tc>
        <w:tc>
          <w:tcPr>
            <w:tcW w:w="1027" w:type="dxa"/>
            <w:gridSpan w:val="2"/>
            <w:tcBorders>
              <w:top w:val="nil"/>
              <w:left w:val="nil"/>
              <w:bottom w:val="nil"/>
              <w:right w:val="nil"/>
            </w:tcBorders>
            <w:hideMark/>
          </w:tcPr>
          <w:p w14:paraId="135DCA56" w14:textId="77777777" w:rsidR="00FF0EAF" w:rsidRDefault="00FF0EAF">
            <w:pPr>
              <w:jc w:val="center"/>
              <w:rPr>
                <w:rFonts w:ascii="Arial" w:eastAsia="Arial" w:hAnsi="Arial" w:cs="Arial"/>
                <w:lang w:val="en-PH" w:eastAsia="en-PH"/>
              </w:rPr>
            </w:pPr>
            <w:r>
              <w:rPr>
                <w:rFonts w:ascii="Arial" w:eastAsia="Arial" w:hAnsi="Arial" w:cs="Arial"/>
                <w:lang w:val="en-PH" w:eastAsia="en-PH"/>
              </w:rPr>
              <w:t>3.88</w:t>
            </w:r>
          </w:p>
        </w:tc>
        <w:tc>
          <w:tcPr>
            <w:tcW w:w="2263" w:type="dxa"/>
            <w:tcBorders>
              <w:top w:val="nil"/>
              <w:left w:val="nil"/>
              <w:bottom w:val="nil"/>
              <w:right w:val="nil"/>
            </w:tcBorders>
            <w:hideMark/>
          </w:tcPr>
          <w:p w14:paraId="1027FD85" w14:textId="77777777" w:rsidR="00FF0EAF" w:rsidRDefault="00FF0EAF">
            <w:pPr>
              <w:jc w:val="center"/>
              <w:rPr>
                <w:rFonts w:ascii="Arial" w:eastAsia="Arial" w:hAnsi="Arial" w:cs="Arial"/>
                <w:lang w:val="en-PH" w:eastAsia="en-PH"/>
              </w:rPr>
            </w:pPr>
            <w:r>
              <w:rPr>
                <w:rFonts w:ascii="Arial" w:eastAsia="Arial" w:hAnsi="Arial" w:cs="Arial"/>
                <w:lang w:val="en-PH" w:eastAsia="en-PH"/>
              </w:rPr>
              <w:t>High</w:t>
            </w:r>
          </w:p>
        </w:tc>
      </w:tr>
      <w:tr w:rsidR="00FF0EAF" w14:paraId="0192024A" w14:textId="77777777" w:rsidTr="00FF0EAF">
        <w:trPr>
          <w:gridAfter w:val="1"/>
          <w:wAfter w:w="12" w:type="dxa"/>
          <w:trHeight w:val="418"/>
        </w:trPr>
        <w:tc>
          <w:tcPr>
            <w:tcW w:w="4353" w:type="dxa"/>
            <w:gridSpan w:val="2"/>
            <w:tcBorders>
              <w:top w:val="nil"/>
              <w:left w:val="nil"/>
              <w:bottom w:val="nil"/>
              <w:right w:val="nil"/>
            </w:tcBorders>
            <w:hideMark/>
          </w:tcPr>
          <w:p w14:paraId="4472627E" w14:textId="77777777" w:rsidR="00FF0EAF" w:rsidRDefault="00FF0EAF">
            <w:pPr>
              <w:widowControl w:val="0"/>
              <w:ind w:left="232"/>
              <w:rPr>
                <w:rFonts w:ascii="Arial" w:eastAsia="Arial" w:hAnsi="Arial" w:cs="Arial"/>
                <w:lang w:val="en-PH" w:eastAsia="en-PH"/>
              </w:rPr>
            </w:pPr>
            <w:r>
              <w:rPr>
                <w:rFonts w:ascii="Arial" w:eastAsia="Arial" w:hAnsi="Arial" w:cs="Arial"/>
                <w:lang w:val="en-PH" w:eastAsia="en-PH"/>
              </w:rPr>
              <w:t>Virtue</w:t>
            </w:r>
          </w:p>
        </w:tc>
        <w:tc>
          <w:tcPr>
            <w:tcW w:w="869" w:type="dxa"/>
            <w:tcBorders>
              <w:top w:val="nil"/>
              <w:left w:val="nil"/>
              <w:bottom w:val="nil"/>
              <w:right w:val="nil"/>
            </w:tcBorders>
            <w:hideMark/>
          </w:tcPr>
          <w:p w14:paraId="7339626C" w14:textId="77777777" w:rsidR="00FF0EAF" w:rsidRDefault="00FF0EAF">
            <w:pPr>
              <w:jc w:val="center"/>
              <w:rPr>
                <w:rFonts w:ascii="Arial" w:eastAsia="Arial" w:hAnsi="Arial" w:cs="Arial"/>
                <w:lang w:val="en-PH" w:eastAsia="en-PH"/>
              </w:rPr>
            </w:pPr>
            <w:r>
              <w:rPr>
                <w:rFonts w:ascii="Arial" w:eastAsia="Arial" w:hAnsi="Arial" w:cs="Arial"/>
                <w:lang w:val="en-PH" w:eastAsia="en-PH"/>
              </w:rPr>
              <w:t>0.54</w:t>
            </w:r>
          </w:p>
        </w:tc>
        <w:tc>
          <w:tcPr>
            <w:tcW w:w="1027" w:type="dxa"/>
            <w:gridSpan w:val="2"/>
            <w:tcBorders>
              <w:top w:val="nil"/>
              <w:left w:val="nil"/>
              <w:bottom w:val="nil"/>
              <w:right w:val="nil"/>
            </w:tcBorders>
            <w:hideMark/>
          </w:tcPr>
          <w:p w14:paraId="7B81C397" w14:textId="77777777" w:rsidR="00FF0EAF" w:rsidRDefault="00FF0EAF">
            <w:pPr>
              <w:jc w:val="center"/>
              <w:rPr>
                <w:rFonts w:ascii="Arial" w:eastAsia="Arial" w:hAnsi="Arial" w:cs="Arial"/>
                <w:lang w:val="en-PH" w:eastAsia="en-PH"/>
              </w:rPr>
            </w:pPr>
            <w:r>
              <w:rPr>
                <w:rFonts w:ascii="Arial" w:eastAsia="Arial" w:hAnsi="Arial" w:cs="Arial"/>
                <w:lang w:val="en-PH" w:eastAsia="en-PH"/>
              </w:rPr>
              <w:t>4.03</w:t>
            </w:r>
          </w:p>
        </w:tc>
        <w:tc>
          <w:tcPr>
            <w:tcW w:w="2263" w:type="dxa"/>
            <w:tcBorders>
              <w:top w:val="nil"/>
              <w:left w:val="nil"/>
              <w:bottom w:val="nil"/>
              <w:right w:val="nil"/>
            </w:tcBorders>
            <w:hideMark/>
          </w:tcPr>
          <w:p w14:paraId="3C396986" w14:textId="77777777" w:rsidR="00FF0EAF" w:rsidRDefault="00FF0EAF">
            <w:pPr>
              <w:jc w:val="center"/>
              <w:rPr>
                <w:rFonts w:ascii="Arial" w:eastAsia="Arial" w:hAnsi="Arial" w:cs="Arial"/>
                <w:lang w:val="en-PH" w:eastAsia="en-PH"/>
              </w:rPr>
            </w:pPr>
            <w:r>
              <w:rPr>
                <w:rFonts w:ascii="Arial" w:eastAsia="Arial" w:hAnsi="Arial" w:cs="Arial"/>
                <w:lang w:val="en-PH" w:eastAsia="en-PH"/>
              </w:rPr>
              <w:t>High</w:t>
            </w:r>
          </w:p>
        </w:tc>
      </w:tr>
      <w:tr w:rsidR="00FF0EAF" w14:paraId="7D8BBFCA" w14:textId="77777777" w:rsidTr="00FF0EAF">
        <w:trPr>
          <w:trHeight w:val="394"/>
        </w:trPr>
        <w:tc>
          <w:tcPr>
            <w:tcW w:w="4312" w:type="dxa"/>
            <w:tcBorders>
              <w:top w:val="nil"/>
              <w:left w:val="nil"/>
              <w:bottom w:val="single" w:sz="4" w:space="0" w:color="auto"/>
              <w:right w:val="nil"/>
            </w:tcBorders>
            <w:hideMark/>
          </w:tcPr>
          <w:p w14:paraId="596E84BB" w14:textId="77777777" w:rsidR="00FF0EAF" w:rsidRDefault="00FF0EAF">
            <w:pPr>
              <w:rPr>
                <w:rFonts w:ascii="Arial" w:eastAsia="Arial" w:hAnsi="Arial" w:cs="Arial"/>
                <w:b/>
                <w:color w:val="000000"/>
                <w:lang w:val="en-PH" w:eastAsia="en-PH"/>
              </w:rPr>
            </w:pPr>
            <w:r>
              <w:rPr>
                <w:rFonts w:ascii="Arial" w:eastAsia="Arial" w:hAnsi="Arial" w:cs="Arial"/>
                <w:b/>
                <w:color w:val="000000"/>
                <w:lang w:val="en-PH" w:eastAsia="en-PH"/>
              </w:rPr>
              <w:t>Overall</w:t>
            </w:r>
          </w:p>
        </w:tc>
        <w:tc>
          <w:tcPr>
            <w:tcW w:w="911" w:type="dxa"/>
            <w:gridSpan w:val="2"/>
            <w:tcBorders>
              <w:top w:val="nil"/>
              <w:left w:val="nil"/>
              <w:bottom w:val="single" w:sz="4" w:space="0" w:color="auto"/>
              <w:right w:val="nil"/>
            </w:tcBorders>
            <w:hideMark/>
          </w:tcPr>
          <w:p w14:paraId="7FE6EE72" w14:textId="77777777" w:rsidR="00FF0EAF" w:rsidRDefault="00FF0EAF">
            <w:pPr>
              <w:jc w:val="center"/>
              <w:rPr>
                <w:rFonts w:ascii="Arial" w:eastAsia="Arial" w:hAnsi="Arial" w:cs="Arial"/>
                <w:b/>
                <w:lang w:val="en-PH" w:eastAsia="en-PH"/>
              </w:rPr>
            </w:pPr>
            <w:r>
              <w:rPr>
                <w:rFonts w:ascii="Arial" w:eastAsia="Arial" w:hAnsi="Arial" w:cs="Arial"/>
                <w:b/>
                <w:lang w:val="en-PH" w:eastAsia="en-PH"/>
              </w:rPr>
              <w:t>0.34</w:t>
            </w:r>
          </w:p>
        </w:tc>
        <w:tc>
          <w:tcPr>
            <w:tcW w:w="1008" w:type="dxa"/>
            <w:tcBorders>
              <w:top w:val="nil"/>
              <w:left w:val="nil"/>
              <w:bottom w:val="single" w:sz="4" w:space="0" w:color="auto"/>
              <w:right w:val="nil"/>
            </w:tcBorders>
            <w:hideMark/>
          </w:tcPr>
          <w:p w14:paraId="59568206" w14:textId="77777777" w:rsidR="00FF0EAF" w:rsidRDefault="00FF0EAF">
            <w:pPr>
              <w:jc w:val="center"/>
              <w:rPr>
                <w:rFonts w:ascii="Arial" w:eastAsia="Arial" w:hAnsi="Arial" w:cs="Arial"/>
                <w:b/>
                <w:lang w:val="en-PH" w:eastAsia="en-PH"/>
              </w:rPr>
            </w:pPr>
            <w:r>
              <w:rPr>
                <w:rFonts w:ascii="Arial" w:eastAsia="Arial" w:hAnsi="Arial" w:cs="Arial"/>
                <w:b/>
                <w:lang w:val="en-PH" w:eastAsia="en-PH"/>
              </w:rPr>
              <w:t>4.00</w:t>
            </w:r>
          </w:p>
        </w:tc>
        <w:tc>
          <w:tcPr>
            <w:tcW w:w="2293" w:type="dxa"/>
            <w:gridSpan w:val="3"/>
            <w:tcBorders>
              <w:top w:val="nil"/>
              <w:left w:val="nil"/>
              <w:bottom w:val="single" w:sz="4" w:space="0" w:color="auto"/>
              <w:right w:val="nil"/>
            </w:tcBorders>
            <w:hideMark/>
          </w:tcPr>
          <w:p w14:paraId="66C70EB2" w14:textId="77777777" w:rsidR="00FF0EAF" w:rsidRDefault="00FF0EAF">
            <w:pPr>
              <w:jc w:val="center"/>
              <w:rPr>
                <w:rFonts w:ascii="Arial" w:eastAsia="Arial" w:hAnsi="Arial" w:cs="Arial"/>
                <w:b/>
                <w:lang w:val="en-PH" w:eastAsia="en-PH"/>
              </w:rPr>
            </w:pPr>
            <w:r>
              <w:rPr>
                <w:rFonts w:ascii="Arial" w:eastAsia="Arial" w:hAnsi="Arial" w:cs="Arial"/>
                <w:b/>
                <w:lang w:val="en-PH" w:eastAsia="en-PH"/>
              </w:rPr>
              <w:t>High</w:t>
            </w:r>
          </w:p>
        </w:tc>
      </w:tr>
    </w:tbl>
    <w:p w14:paraId="21ED3F61" w14:textId="34DBD861" w:rsidR="0073677C" w:rsidRDefault="0073677C" w:rsidP="0073677C">
      <w:pPr>
        <w:jc w:val="both"/>
        <w:rPr>
          <w:rFonts w:ascii="Arial" w:hAnsi="Arial" w:cs="Arial"/>
        </w:rPr>
      </w:pPr>
    </w:p>
    <w:p w14:paraId="40AAFA25" w14:textId="1463D6A1" w:rsidR="00FF0EAF" w:rsidRDefault="00FF0EAF" w:rsidP="00FF0EAF">
      <w:pPr>
        <w:jc w:val="both"/>
        <w:rPr>
          <w:rFonts w:ascii="Arial" w:hAnsi="Arial" w:cs="Arial"/>
        </w:rPr>
      </w:pPr>
      <w:r>
        <w:rPr>
          <w:rFonts w:ascii="Arial" w:hAnsi="Arial" w:cs="Arial"/>
        </w:rPr>
        <w:t>Presented in Table 2</w:t>
      </w:r>
      <w:r w:rsidRPr="00FF0EAF">
        <w:rPr>
          <w:rFonts w:ascii="Arial" w:hAnsi="Arial" w:cs="Arial"/>
        </w:rPr>
        <w:t xml:space="preserve"> is the level of classroom social control among public secondary language teachers.</w:t>
      </w:r>
      <w:r>
        <w:rPr>
          <w:rFonts w:ascii="Arial" w:hAnsi="Arial" w:cs="Arial"/>
        </w:rPr>
        <w:t xml:space="preserve"> </w:t>
      </w:r>
      <w:r w:rsidRPr="00FF0EAF">
        <w:rPr>
          <w:rFonts w:ascii="Arial" w:hAnsi="Arial" w:cs="Arial"/>
        </w:rPr>
        <w:t>The domain humanity recorded the highest mean of 4.12, categorized as "high." This was followed by virtue, with a mean of 4.03, also categorized as "high." The domain sportsmanship had a mean of 4.04, categorized as "high."</w:t>
      </w:r>
      <w:r>
        <w:rPr>
          <w:rFonts w:ascii="Arial" w:hAnsi="Arial" w:cs="Arial"/>
        </w:rPr>
        <w:t xml:space="preserve"> </w:t>
      </w:r>
      <w:r w:rsidRPr="00FF0EAF">
        <w:rPr>
          <w:rFonts w:ascii="Arial" w:hAnsi="Arial" w:cs="Arial"/>
        </w:rPr>
        <w:t>Meanwhile, conscientiousness recorded a mean of 3.93, categorized as "high." The domain courtesy had the lowest mean of 3.88, categorized as "high." The overall mean score of 4.00, described as "high," reflects a generally strong perception of classroom social control across all domains. The overall standard deviation of 0.34 suggests that responses were relatively consistent, with most ratings closely clustered around the mean.</w:t>
      </w:r>
    </w:p>
    <w:p w14:paraId="552D94E3" w14:textId="77777777" w:rsidR="00FF0EAF" w:rsidRPr="00FF0EAF" w:rsidRDefault="00FF0EAF" w:rsidP="00FF0EAF">
      <w:pPr>
        <w:jc w:val="both"/>
        <w:rPr>
          <w:rFonts w:ascii="Arial" w:hAnsi="Arial" w:cs="Arial"/>
        </w:rPr>
      </w:pPr>
    </w:p>
    <w:p w14:paraId="7A4B4776" w14:textId="0C334243" w:rsidR="00FF0EAF" w:rsidRDefault="00FF0EAF" w:rsidP="00FF0EAF">
      <w:pPr>
        <w:jc w:val="both"/>
        <w:rPr>
          <w:rFonts w:ascii="Arial" w:hAnsi="Arial" w:cs="Arial"/>
        </w:rPr>
      </w:pPr>
      <w:r w:rsidRPr="00FF0EAF">
        <w:rPr>
          <w:rFonts w:ascii="Arial" w:hAnsi="Arial" w:cs="Arial"/>
        </w:rPr>
        <w:t>This finding implies that public secondary language teachers consistently exhibit behaviors aligned with classroom social control, particularly in demonstrating humanity, sportsmanship, and virtue. The result highlights the teachers' commitment to promoting respectful, conscientious, and ethical conduct within their professional environment. Moreover, this underscores the importance of strong interpersonal relationships, adherence to professional standards, and fostering a positive, cooperative atmosphere in the classroom.</w:t>
      </w:r>
    </w:p>
    <w:p w14:paraId="2581A8D5" w14:textId="77777777" w:rsidR="00FF0EAF" w:rsidRPr="00FF0EAF" w:rsidRDefault="00FF0EAF" w:rsidP="00FF0EAF">
      <w:pPr>
        <w:jc w:val="both"/>
        <w:rPr>
          <w:rFonts w:ascii="Arial" w:hAnsi="Arial" w:cs="Arial"/>
        </w:rPr>
      </w:pPr>
    </w:p>
    <w:p w14:paraId="1F13EE89" w14:textId="35017AE5" w:rsidR="00D815DA" w:rsidRPr="00FF0EAF" w:rsidRDefault="00FF0EAF" w:rsidP="00FF0EAF">
      <w:pPr>
        <w:jc w:val="both"/>
        <w:rPr>
          <w:rFonts w:ascii="Arial" w:hAnsi="Arial" w:cs="Arial"/>
        </w:rPr>
      </w:pPr>
      <w:r w:rsidRPr="00FF0EAF">
        <w:rPr>
          <w:rFonts w:ascii="Arial" w:hAnsi="Arial" w:cs="Arial"/>
        </w:rPr>
        <w:t xml:space="preserve">This finding aligns with the work of Pedler et al. (2020), who highlighted that high levels of classroom social control are essential for maintaining a positive and productive learning environment. Their research showed that when teachers effectively manage classroom behavior through consistent and fair strategies, students are more likely to engage positively with the learning process. Additionally, Schunk et al. (2022) emphasized that classroom social control, when practiced appropriately, encourages students to develop self-regulation and respect for others. This is consistent with the findings of </w:t>
      </w:r>
      <w:proofErr w:type="spellStart"/>
      <w:r w:rsidRPr="00FF0EAF">
        <w:rPr>
          <w:rFonts w:ascii="Arial" w:hAnsi="Arial" w:cs="Arial"/>
        </w:rPr>
        <w:t>Benhabra</w:t>
      </w:r>
      <w:proofErr w:type="spellEnd"/>
      <w:r w:rsidRPr="00FF0EAF">
        <w:rPr>
          <w:rFonts w:ascii="Arial" w:hAnsi="Arial" w:cs="Arial"/>
        </w:rPr>
        <w:t xml:space="preserve"> and </w:t>
      </w:r>
      <w:proofErr w:type="spellStart"/>
      <w:r w:rsidRPr="00FF0EAF">
        <w:rPr>
          <w:rFonts w:ascii="Arial" w:hAnsi="Arial" w:cs="Arial"/>
        </w:rPr>
        <w:t>Narjes</w:t>
      </w:r>
      <w:proofErr w:type="spellEnd"/>
      <w:r w:rsidRPr="00FF0EAF">
        <w:rPr>
          <w:rFonts w:ascii="Arial" w:hAnsi="Arial" w:cs="Arial"/>
        </w:rPr>
        <w:t xml:space="preserve"> (2021), who argued that effective classroom management directly contributes to a well-ordered environment where students can thrive academically and socially.</w:t>
      </w:r>
    </w:p>
    <w:p w14:paraId="38545F6D" w14:textId="77777777" w:rsidR="00FF0EAF" w:rsidRDefault="00FF0EAF" w:rsidP="00F600DB">
      <w:pPr>
        <w:jc w:val="both"/>
        <w:rPr>
          <w:rFonts w:ascii="Arial" w:hAnsi="Arial" w:cs="Arial"/>
          <w:b/>
          <w:bCs/>
          <w:iCs/>
        </w:rPr>
      </w:pPr>
    </w:p>
    <w:p w14:paraId="6A387BDD" w14:textId="77777777" w:rsidR="00FF0EAF" w:rsidRDefault="00FF0EAF" w:rsidP="00F600DB">
      <w:pPr>
        <w:jc w:val="both"/>
        <w:rPr>
          <w:rFonts w:ascii="Arial" w:hAnsi="Arial" w:cs="Arial"/>
          <w:b/>
          <w:bCs/>
          <w:iCs/>
        </w:rPr>
      </w:pPr>
    </w:p>
    <w:p w14:paraId="30567870" w14:textId="09EEB865" w:rsidR="00D815DA" w:rsidRDefault="00781D5E" w:rsidP="00F600DB">
      <w:pPr>
        <w:jc w:val="both"/>
        <w:rPr>
          <w:rFonts w:ascii="Arial" w:hAnsi="Arial" w:cs="Arial"/>
          <w:b/>
          <w:bCs/>
          <w:iCs/>
        </w:rPr>
      </w:pPr>
      <w:r>
        <w:rPr>
          <w:rFonts w:ascii="Arial" w:hAnsi="Arial" w:cs="Arial"/>
          <w:b/>
          <w:bCs/>
          <w:iCs/>
        </w:rPr>
        <w:t xml:space="preserve">3.3 </w:t>
      </w:r>
      <w:r w:rsidR="0091747E" w:rsidRPr="0091747E">
        <w:rPr>
          <w:rFonts w:ascii="Arial" w:hAnsi="Arial" w:cs="Arial"/>
          <w:b/>
          <w:bCs/>
          <w:iCs/>
        </w:rPr>
        <w:t>Significant Relationship Between Ingenious Solidarity and Classroom Social Control among Public Secondary Language Teachers</w:t>
      </w:r>
    </w:p>
    <w:p w14:paraId="2624BCB5" w14:textId="77777777" w:rsidR="0091747E" w:rsidRDefault="0091747E" w:rsidP="00F600DB">
      <w:pPr>
        <w:jc w:val="both"/>
        <w:rPr>
          <w:rFonts w:ascii="Arial" w:hAnsi="Arial" w:cs="Arial"/>
          <w:iCs/>
        </w:rPr>
      </w:pPr>
    </w:p>
    <w:p w14:paraId="1C8DB0B6" w14:textId="29BEADA1" w:rsidR="00F927B2" w:rsidRDefault="00180859" w:rsidP="00F927B2">
      <w:pPr>
        <w:jc w:val="both"/>
        <w:rPr>
          <w:rFonts w:ascii="Arial" w:hAnsi="Arial" w:cs="Arial"/>
          <w:i/>
        </w:rPr>
      </w:pPr>
      <w:r>
        <w:rPr>
          <w:rFonts w:ascii="Arial" w:hAnsi="Arial" w:cs="Arial"/>
          <w:iCs/>
        </w:rPr>
        <w:t>Table 3</w:t>
      </w:r>
      <w:r w:rsidR="00781D5E">
        <w:rPr>
          <w:rFonts w:ascii="Arial" w:hAnsi="Arial" w:cs="Arial"/>
          <w:iCs/>
        </w:rPr>
        <w:t>.</w:t>
      </w:r>
      <w:r>
        <w:rPr>
          <w:rFonts w:ascii="Arial" w:hAnsi="Arial" w:cs="Arial"/>
          <w:iCs/>
        </w:rPr>
        <w:t xml:space="preserve">  </w:t>
      </w:r>
      <w:r w:rsidR="0091747E" w:rsidRPr="0091747E">
        <w:rPr>
          <w:rFonts w:ascii="Arial" w:hAnsi="Arial" w:cs="Arial"/>
          <w:i/>
        </w:rPr>
        <w:t>Significant Relationship Between Ingenious Solidarity and Classroom Social Control among Public Secondary Language Teachers</w:t>
      </w:r>
    </w:p>
    <w:p w14:paraId="3E38AC03" w14:textId="77777777" w:rsidR="00D815DA" w:rsidRDefault="00D815DA" w:rsidP="00F927B2">
      <w:pPr>
        <w:jc w:val="both"/>
        <w:rPr>
          <w:rFonts w:ascii="Arial" w:hAnsi="Arial" w:cs="Arial"/>
          <w:i/>
        </w:rPr>
      </w:pPr>
    </w:p>
    <w:p w14:paraId="3580D37C" w14:textId="77777777" w:rsidR="00017E5D" w:rsidRDefault="00017E5D" w:rsidP="00F927B2">
      <w:pPr>
        <w:jc w:val="both"/>
        <w:rPr>
          <w:rFonts w:ascii="Arial" w:hAnsi="Arial" w:cs="Arial"/>
          <w:iCs/>
        </w:rPr>
      </w:pPr>
    </w:p>
    <w:tbl>
      <w:tblPr>
        <w:tblW w:w="8400" w:type="dxa"/>
        <w:tblInd w:w="108" w:type="dxa"/>
        <w:tblBorders>
          <w:top w:val="single" w:sz="4" w:space="0" w:color="000000"/>
          <w:bottom w:val="single" w:sz="4" w:space="0" w:color="000000"/>
        </w:tblBorders>
        <w:tblLayout w:type="fixed"/>
        <w:tblLook w:val="04A0" w:firstRow="1" w:lastRow="0" w:firstColumn="1" w:lastColumn="0" w:noHBand="0" w:noVBand="1"/>
      </w:tblPr>
      <w:tblGrid>
        <w:gridCol w:w="1791"/>
        <w:gridCol w:w="999"/>
        <w:gridCol w:w="999"/>
        <w:gridCol w:w="2016"/>
        <w:gridCol w:w="1114"/>
        <w:gridCol w:w="1481"/>
      </w:tblGrid>
      <w:tr w:rsidR="0091747E" w14:paraId="6A4B6184" w14:textId="77777777" w:rsidTr="0091747E">
        <w:trPr>
          <w:trHeight w:val="547"/>
        </w:trPr>
        <w:tc>
          <w:tcPr>
            <w:tcW w:w="1790" w:type="dxa"/>
            <w:tcBorders>
              <w:top w:val="single" w:sz="4" w:space="0" w:color="000000"/>
              <w:left w:val="nil"/>
              <w:bottom w:val="single" w:sz="4" w:space="0" w:color="000000"/>
              <w:right w:val="nil"/>
            </w:tcBorders>
            <w:hideMark/>
          </w:tcPr>
          <w:p w14:paraId="506A13DB" w14:textId="77777777" w:rsidR="0091747E" w:rsidRDefault="0091747E">
            <w:pPr>
              <w:widowControl w:val="0"/>
              <w:jc w:val="center"/>
              <w:rPr>
                <w:rFonts w:ascii="Arial" w:eastAsia="Arial" w:hAnsi="Arial" w:cs="Arial"/>
                <w:b/>
                <w:lang w:val="en-PH" w:eastAsia="en-PH"/>
              </w:rPr>
            </w:pPr>
            <w:r>
              <w:rPr>
                <w:rFonts w:ascii="Arial" w:eastAsia="Arial" w:hAnsi="Arial" w:cs="Arial"/>
                <w:b/>
                <w:lang w:val="en-PH" w:eastAsia="en-PH"/>
              </w:rPr>
              <w:t>Variables</w:t>
            </w:r>
          </w:p>
        </w:tc>
        <w:tc>
          <w:tcPr>
            <w:tcW w:w="999" w:type="dxa"/>
            <w:tcBorders>
              <w:top w:val="single" w:sz="4" w:space="0" w:color="000000"/>
              <w:left w:val="nil"/>
              <w:bottom w:val="single" w:sz="4" w:space="0" w:color="000000"/>
              <w:right w:val="nil"/>
            </w:tcBorders>
            <w:hideMark/>
          </w:tcPr>
          <w:p w14:paraId="10888956" w14:textId="77777777" w:rsidR="0091747E" w:rsidRDefault="0091747E">
            <w:pPr>
              <w:widowControl w:val="0"/>
              <w:jc w:val="center"/>
              <w:rPr>
                <w:rFonts w:ascii="Arial" w:eastAsia="Arial" w:hAnsi="Arial" w:cs="Arial"/>
                <w:b/>
                <w:lang w:val="en-PH" w:eastAsia="en-PH"/>
              </w:rPr>
            </w:pPr>
            <w:r>
              <w:rPr>
                <w:rFonts w:ascii="Arial" w:eastAsia="Arial" w:hAnsi="Arial" w:cs="Arial"/>
                <w:b/>
                <w:lang w:val="en-PH" w:eastAsia="en-PH"/>
              </w:rPr>
              <w:t>R</w:t>
            </w:r>
          </w:p>
        </w:tc>
        <w:tc>
          <w:tcPr>
            <w:tcW w:w="999" w:type="dxa"/>
            <w:tcBorders>
              <w:top w:val="single" w:sz="4" w:space="0" w:color="000000"/>
              <w:left w:val="nil"/>
              <w:bottom w:val="single" w:sz="4" w:space="0" w:color="000000"/>
              <w:right w:val="nil"/>
            </w:tcBorders>
          </w:tcPr>
          <w:p w14:paraId="61095460" w14:textId="77777777" w:rsidR="0091747E" w:rsidRDefault="0091747E">
            <w:pPr>
              <w:shd w:val="clear" w:color="auto" w:fill="FFFFFF"/>
              <w:jc w:val="center"/>
              <w:rPr>
                <w:rFonts w:ascii="Arial" w:eastAsia="Arial" w:hAnsi="Arial" w:cs="Arial"/>
                <w:b/>
                <w:lang w:val="en-PH" w:eastAsia="en-PH"/>
              </w:rPr>
            </w:pPr>
            <w:r>
              <w:rPr>
                <w:rFonts w:ascii="Arial" w:eastAsia="Arial" w:hAnsi="Arial" w:cs="Arial"/>
                <w:b/>
                <w:lang w:val="en-PH" w:eastAsia="en-PH"/>
              </w:rPr>
              <w:t>R²</w:t>
            </w:r>
          </w:p>
          <w:p w14:paraId="3DF6C031" w14:textId="77777777" w:rsidR="0091747E" w:rsidRDefault="0091747E">
            <w:pPr>
              <w:widowControl w:val="0"/>
              <w:jc w:val="center"/>
              <w:rPr>
                <w:rFonts w:ascii="Arial" w:eastAsia="Arial" w:hAnsi="Arial" w:cs="Arial"/>
                <w:b/>
                <w:lang w:val="en-PH" w:eastAsia="en-PH"/>
              </w:rPr>
            </w:pPr>
          </w:p>
        </w:tc>
        <w:tc>
          <w:tcPr>
            <w:tcW w:w="2016" w:type="dxa"/>
            <w:tcBorders>
              <w:top w:val="single" w:sz="4" w:space="0" w:color="000000"/>
              <w:left w:val="nil"/>
              <w:bottom w:val="single" w:sz="4" w:space="0" w:color="000000"/>
              <w:right w:val="nil"/>
            </w:tcBorders>
            <w:hideMark/>
          </w:tcPr>
          <w:p w14:paraId="3E37DF0F" w14:textId="77777777" w:rsidR="0091747E" w:rsidRDefault="0091747E">
            <w:pPr>
              <w:widowControl w:val="0"/>
              <w:jc w:val="center"/>
              <w:rPr>
                <w:rFonts w:ascii="Arial" w:eastAsia="Arial" w:hAnsi="Arial" w:cs="Arial"/>
                <w:b/>
                <w:lang w:val="en-PH" w:eastAsia="en-PH"/>
              </w:rPr>
            </w:pPr>
            <w:r>
              <w:rPr>
                <w:rFonts w:ascii="Arial" w:eastAsia="Arial" w:hAnsi="Arial" w:cs="Arial"/>
                <w:b/>
                <w:lang w:val="en-PH" w:eastAsia="en-PH"/>
              </w:rPr>
              <w:t>Degree of Relationship</w:t>
            </w:r>
          </w:p>
        </w:tc>
        <w:tc>
          <w:tcPr>
            <w:tcW w:w="1114" w:type="dxa"/>
            <w:tcBorders>
              <w:top w:val="single" w:sz="4" w:space="0" w:color="000000"/>
              <w:left w:val="nil"/>
              <w:bottom w:val="single" w:sz="4" w:space="0" w:color="000000"/>
              <w:right w:val="nil"/>
            </w:tcBorders>
            <w:hideMark/>
          </w:tcPr>
          <w:p w14:paraId="00751254" w14:textId="77777777" w:rsidR="0091747E" w:rsidRDefault="0091747E">
            <w:pPr>
              <w:widowControl w:val="0"/>
              <w:jc w:val="center"/>
              <w:rPr>
                <w:rFonts w:ascii="Arial" w:eastAsia="Arial" w:hAnsi="Arial" w:cs="Arial"/>
                <w:b/>
                <w:lang w:val="en-PH" w:eastAsia="en-PH"/>
              </w:rPr>
            </w:pPr>
            <w:r>
              <w:rPr>
                <w:rFonts w:ascii="Arial" w:eastAsia="Arial" w:hAnsi="Arial" w:cs="Arial"/>
                <w:b/>
                <w:lang w:val="en-PH" w:eastAsia="en-PH"/>
              </w:rPr>
              <w:t>p-value</w:t>
            </w:r>
          </w:p>
        </w:tc>
        <w:tc>
          <w:tcPr>
            <w:tcW w:w="1481" w:type="dxa"/>
            <w:tcBorders>
              <w:top w:val="single" w:sz="4" w:space="0" w:color="000000"/>
              <w:left w:val="nil"/>
              <w:bottom w:val="single" w:sz="4" w:space="0" w:color="000000"/>
              <w:right w:val="nil"/>
            </w:tcBorders>
            <w:hideMark/>
          </w:tcPr>
          <w:p w14:paraId="264CC5C2" w14:textId="77777777" w:rsidR="0091747E" w:rsidRDefault="0091747E">
            <w:pPr>
              <w:widowControl w:val="0"/>
              <w:jc w:val="center"/>
              <w:rPr>
                <w:rFonts w:ascii="Arial" w:eastAsia="Arial" w:hAnsi="Arial" w:cs="Arial"/>
                <w:b/>
                <w:lang w:val="en-PH" w:eastAsia="en-PH"/>
              </w:rPr>
            </w:pPr>
            <w:r>
              <w:rPr>
                <w:rFonts w:ascii="Arial" w:eastAsia="Arial" w:hAnsi="Arial" w:cs="Arial"/>
                <w:b/>
                <w:lang w:val="en-PH" w:eastAsia="en-PH"/>
              </w:rPr>
              <w:t>Decision</w:t>
            </w:r>
          </w:p>
        </w:tc>
      </w:tr>
      <w:tr w:rsidR="0091747E" w14:paraId="28BA32BE" w14:textId="77777777" w:rsidTr="0091747E">
        <w:trPr>
          <w:trHeight w:val="547"/>
        </w:trPr>
        <w:tc>
          <w:tcPr>
            <w:tcW w:w="1790" w:type="dxa"/>
            <w:tcBorders>
              <w:top w:val="single" w:sz="4" w:space="0" w:color="000000"/>
              <w:left w:val="nil"/>
              <w:bottom w:val="nil"/>
              <w:right w:val="nil"/>
            </w:tcBorders>
            <w:hideMark/>
          </w:tcPr>
          <w:p w14:paraId="68E8F994" w14:textId="77777777" w:rsidR="0091747E" w:rsidRDefault="0091747E">
            <w:pPr>
              <w:widowControl w:val="0"/>
              <w:jc w:val="center"/>
              <w:rPr>
                <w:rFonts w:ascii="Arial" w:eastAsia="Arial" w:hAnsi="Arial" w:cs="Arial"/>
                <w:lang w:val="en-PH" w:eastAsia="en-PH"/>
              </w:rPr>
            </w:pPr>
            <w:r>
              <w:rPr>
                <w:rFonts w:ascii="Arial" w:eastAsia="Arial" w:hAnsi="Arial" w:cs="Arial"/>
                <w:lang w:val="en-PH" w:eastAsia="en-PH"/>
              </w:rPr>
              <w:t>Ingenious Solidarity</w:t>
            </w:r>
          </w:p>
        </w:tc>
        <w:tc>
          <w:tcPr>
            <w:tcW w:w="999" w:type="dxa"/>
            <w:tcBorders>
              <w:top w:val="single" w:sz="4" w:space="0" w:color="000000"/>
              <w:left w:val="nil"/>
              <w:bottom w:val="nil"/>
              <w:right w:val="nil"/>
            </w:tcBorders>
          </w:tcPr>
          <w:p w14:paraId="4CBB8539" w14:textId="77777777" w:rsidR="0091747E" w:rsidRDefault="0091747E">
            <w:pPr>
              <w:widowControl w:val="0"/>
              <w:jc w:val="center"/>
              <w:rPr>
                <w:rFonts w:ascii="Arial" w:eastAsia="Arial" w:hAnsi="Arial" w:cs="Arial"/>
                <w:lang w:val="en-PH" w:eastAsia="en-PH"/>
              </w:rPr>
            </w:pPr>
          </w:p>
        </w:tc>
        <w:tc>
          <w:tcPr>
            <w:tcW w:w="999" w:type="dxa"/>
            <w:tcBorders>
              <w:top w:val="single" w:sz="4" w:space="0" w:color="000000"/>
              <w:left w:val="nil"/>
              <w:bottom w:val="nil"/>
              <w:right w:val="nil"/>
            </w:tcBorders>
          </w:tcPr>
          <w:p w14:paraId="50F2A91B" w14:textId="77777777" w:rsidR="0091747E" w:rsidRDefault="0091747E">
            <w:pPr>
              <w:widowControl w:val="0"/>
              <w:jc w:val="center"/>
              <w:rPr>
                <w:rFonts w:ascii="Arial" w:eastAsia="Arial" w:hAnsi="Arial" w:cs="Arial"/>
                <w:lang w:val="en-PH" w:eastAsia="en-PH"/>
              </w:rPr>
            </w:pPr>
          </w:p>
        </w:tc>
        <w:tc>
          <w:tcPr>
            <w:tcW w:w="2016" w:type="dxa"/>
            <w:tcBorders>
              <w:top w:val="single" w:sz="4" w:space="0" w:color="000000"/>
              <w:left w:val="nil"/>
              <w:bottom w:val="nil"/>
              <w:right w:val="nil"/>
            </w:tcBorders>
          </w:tcPr>
          <w:p w14:paraId="084E6301" w14:textId="77777777" w:rsidR="0091747E" w:rsidRDefault="0091747E">
            <w:pPr>
              <w:widowControl w:val="0"/>
              <w:jc w:val="center"/>
              <w:rPr>
                <w:rFonts w:ascii="Arial" w:eastAsia="Arial" w:hAnsi="Arial" w:cs="Arial"/>
                <w:lang w:val="en-PH" w:eastAsia="en-PH"/>
              </w:rPr>
            </w:pPr>
          </w:p>
        </w:tc>
        <w:tc>
          <w:tcPr>
            <w:tcW w:w="1114" w:type="dxa"/>
            <w:tcBorders>
              <w:top w:val="single" w:sz="4" w:space="0" w:color="000000"/>
              <w:left w:val="nil"/>
              <w:bottom w:val="nil"/>
              <w:right w:val="nil"/>
            </w:tcBorders>
          </w:tcPr>
          <w:p w14:paraId="4238C9F2" w14:textId="77777777" w:rsidR="0091747E" w:rsidRDefault="0091747E">
            <w:pPr>
              <w:widowControl w:val="0"/>
              <w:jc w:val="center"/>
              <w:rPr>
                <w:rFonts w:ascii="Arial" w:eastAsia="Arial" w:hAnsi="Arial" w:cs="Arial"/>
                <w:lang w:val="en-PH" w:eastAsia="en-PH"/>
              </w:rPr>
            </w:pPr>
          </w:p>
        </w:tc>
        <w:tc>
          <w:tcPr>
            <w:tcW w:w="1481" w:type="dxa"/>
            <w:tcBorders>
              <w:top w:val="single" w:sz="4" w:space="0" w:color="000000"/>
              <w:left w:val="nil"/>
              <w:bottom w:val="nil"/>
              <w:right w:val="nil"/>
            </w:tcBorders>
          </w:tcPr>
          <w:p w14:paraId="17A825AE" w14:textId="77777777" w:rsidR="0091747E" w:rsidRDefault="0091747E">
            <w:pPr>
              <w:widowControl w:val="0"/>
              <w:jc w:val="center"/>
              <w:rPr>
                <w:rFonts w:ascii="Arial" w:eastAsia="Arial" w:hAnsi="Arial" w:cs="Arial"/>
                <w:lang w:val="en-PH" w:eastAsia="en-PH"/>
              </w:rPr>
            </w:pPr>
          </w:p>
        </w:tc>
      </w:tr>
      <w:tr w:rsidR="0091747E" w14:paraId="0E610B75" w14:textId="77777777" w:rsidTr="0091747E">
        <w:trPr>
          <w:trHeight w:val="547"/>
        </w:trPr>
        <w:tc>
          <w:tcPr>
            <w:tcW w:w="1790" w:type="dxa"/>
            <w:tcBorders>
              <w:top w:val="nil"/>
              <w:left w:val="nil"/>
              <w:bottom w:val="nil"/>
              <w:right w:val="nil"/>
            </w:tcBorders>
          </w:tcPr>
          <w:p w14:paraId="0A397526" w14:textId="77777777" w:rsidR="0091747E" w:rsidRDefault="0091747E">
            <w:pPr>
              <w:widowControl w:val="0"/>
              <w:jc w:val="center"/>
              <w:rPr>
                <w:rFonts w:ascii="Arial" w:eastAsia="Arial" w:hAnsi="Arial" w:cs="Arial"/>
                <w:lang w:val="en-PH" w:eastAsia="en-PH"/>
              </w:rPr>
            </w:pPr>
          </w:p>
        </w:tc>
        <w:tc>
          <w:tcPr>
            <w:tcW w:w="999" w:type="dxa"/>
            <w:tcBorders>
              <w:top w:val="nil"/>
              <w:left w:val="nil"/>
              <w:bottom w:val="nil"/>
              <w:right w:val="nil"/>
            </w:tcBorders>
            <w:hideMark/>
          </w:tcPr>
          <w:p w14:paraId="594FE947" w14:textId="77777777" w:rsidR="0091747E" w:rsidRDefault="0091747E">
            <w:pPr>
              <w:widowControl w:val="0"/>
              <w:jc w:val="center"/>
              <w:rPr>
                <w:rFonts w:ascii="Arial" w:eastAsia="Arial" w:hAnsi="Arial" w:cs="Arial"/>
                <w:lang w:val="en-PH" w:eastAsia="en-PH"/>
              </w:rPr>
            </w:pPr>
            <w:r>
              <w:rPr>
                <w:rFonts w:ascii="Arial" w:eastAsia="Arial" w:hAnsi="Arial" w:cs="Arial"/>
                <w:lang w:val="en-PH" w:eastAsia="en-PH"/>
              </w:rPr>
              <w:t>0.48</w:t>
            </w:r>
          </w:p>
        </w:tc>
        <w:tc>
          <w:tcPr>
            <w:tcW w:w="999" w:type="dxa"/>
            <w:tcBorders>
              <w:top w:val="nil"/>
              <w:left w:val="nil"/>
              <w:bottom w:val="nil"/>
              <w:right w:val="nil"/>
            </w:tcBorders>
            <w:hideMark/>
          </w:tcPr>
          <w:p w14:paraId="69B524A7" w14:textId="77777777" w:rsidR="0091747E" w:rsidRDefault="0091747E">
            <w:pPr>
              <w:widowControl w:val="0"/>
              <w:jc w:val="center"/>
              <w:rPr>
                <w:rFonts w:ascii="Arial" w:eastAsia="Arial" w:hAnsi="Arial" w:cs="Arial"/>
                <w:lang w:val="en-PH" w:eastAsia="en-PH"/>
              </w:rPr>
            </w:pPr>
            <w:r>
              <w:rPr>
                <w:rFonts w:ascii="Arial" w:eastAsia="Arial" w:hAnsi="Arial" w:cs="Arial"/>
                <w:lang w:val="en-PH" w:eastAsia="en-PH"/>
              </w:rPr>
              <w:t>0.23</w:t>
            </w:r>
          </w:p>
        </w:tc>
        <w:tc>
          <w:tcPr>
            <w:tcW w:w="2016" w:type="dxa"/>
            <w:tcBorders>
              <w:top w:val="nil"/>
              <w:left w:val="nil"/>
              <w:bottom w:val="nil"/>
              <w:right w:val="nil"/>
            </w:tcBorders>
            <w:hideMark/>
          </w:tcPr>
          <w:p w14:paraId="654C0F08" w14:textId="77777777" w:rsidR="0091747E" w:rsidRDefault="0091747E">
            <w:pPr>
              <w:widowControl w:val="0"/>
              <w:jc w:val="center"/>
              <w:rPr>
                <w:rFonts w:ascii="Arial" w:eastAsia="Arial" w:hAnsi="Arial" w:cs="Arial"/>
                <w:lang w:val="en-PH" w:eastAsia="en-PH"/>
              </w:rPr>
            </w:pPr>
            <w:r>
              <w:rPr>
                <w:rFonts w:ascii="Arial" w:eastAsia="Arial" w:hAnsi="Arial" w:cs="Arial"/>
                <w:lang w:val="en-PH" w:eastAsia="en-PH"/>
              </w:rPr>
              <w:t>Moderate</w:t>
            </w:r>
          </w:p>
          <w:p w14:paraId="31E9831E" w14:textId="77777777" w:rsidR="0091747E" w:rsidRDefault="0091747E">
            <w:pPr>
              <w:widowControl w:val="0"/>
              <w:jc w:val="center"/>
              <w:rPr>
                <w:rFonts w:ascii="Arial" w:eastAsia="Arial" w:hAnsi="Arial" w:cs="Arial"/>
                <w:lang w:val="en-PH" w:eastAsia="en-PH"/>
              </w:rPr>
            </w:pPr>
            <w:r>
              <w:rPr>
                <w:rFonts w:ascii="Arial" w:eastAsia="Arial" w:hAnsi="Arial" w:cs="Arial"/>
                <w:lang w:val="en-PH" w:eastAsia="en-PH"/>
              </w:rPr>
              <w:t>Correlation</w:t>
            </w:r>
          </w:p>
        </w:tc>
        <w:tc>
          <w:tcPr>
            <w:tcW w:w="1114" w:type="dxa"/>
            <w:tcBorders>
              <w:top w:val="nil"/>
              <w:left w:val="nil"/>
              <w:bottom w:val="nil"/>
              <w:right w:val="nil"/>
            </w:tcBorders>
            <w:hideMark/>
          </w:tcPr>
          <w:p w14:paraId="6657EE3D" w14:textId="77777777" w:rsidR="0091747E" w:rsidRDefault="0091747E">
            <w:pPr>
              <w:widowControl w:val="0"/>
              <w:jc w:val="center"/>
              <w:rPr>
                <w:rFonts w:ascii="Arial" w:eastAsia="Arial" w:hAnsi="Arial" w:cs="Arial"/>
                <w:lang w:val="en-PH" w:eastAsia="en-PH"/>
              </w:rPr>
            </w:pPr>
            <w:r>
              <w:rPr>
                <w:rFonts w:ascii="Arial" w:eastAsia="Arial" w:hAnsi="Arial" w:cs="Arial"/>
                <w:lang w:val="en-PH" w:eastAsia="en-PH"/>
              </w:rPr>
              <w:t>0.000</w:t>
            </w:r>
          </w:p>
        </w:tc>
        <w:tc>
          <w:tcPr>
            <w:tcW w:w="1481" w:type="dxa"/>
            <w:tcBorders>
              <w:top w:val="nil"/>
              <w:left w:val="nil"/>
              <w:bottom w:val="nil"/>
              <w:right w:val="nil"/>
            </w:tcBorders>
            <w:hideMark/>
          </w:tcPr>
          <w:p w14:paraId="565B79EB" w14:textId="77777777" w:rsidR="0091747E" w:rsidRDefault="0091747E">
            <w:pPr>
              <w:widowControl w:val="0"/>
              <w:jc w:val="center"/>
              <w:rPr>
                <w:rFonts w:ascii="Arial" w:eastAsia="Arial" w:hAnsi="Arial" w:cs="Arial"/>
                <w:lang w:val="en-PH" w:eastAsia="en-PH"/>
              </w:rPr>
            </w:pPr>
            <w:r>
              <w:rPr>
                <w:rFonts w:ascii="Arial" w:eastAsia="Arial" w:hAnsi="Arial" w:cs="Arial"/>
                <w:lang w:val="en-PH" w:eastAsia="en-PH"/>
              </w:rPr>
              <w:t>Reject Ho1</w:t>
            </w:r>
          </w:p>
        </w:tc>
      </w:tr>
      <w:tr w:rsidR="0091747E" w14:paraId="2E600C58" w14:textId="77777777" w:rsidTr="0091747E">
        <w:trPr>
          <w:trHeight w:val="827"/>
        </w:trPr>
        <w:tc>
          <w:tcPr>
            <w:tcW w:w="1790" w:type="dxa"/>
            <w:tcBorders>
              <w:top w:val="nil"/>
              <w:left w:val="nil"/>
              <w:bottom w:val="single" w:sz="4" w:space="0" w:color="000000"/>
              <w:right w:val="nil"/>
            </w:tcBorders>
            <w:hideMark/>
          </w:tcPr>
          <w:p w14:paraId="3C014E3D" w14:textId="77777777" w:rsidR="0091747E" w:rsidRDefault="0091747E">
            <w:pPr>
              <w:widowControl w:val="0"/>
              <w:jc w:val="center"/>
              <w:rPr>
                <w:rFonts w:ascii="Arial" w:eastAsia="Arial" w:hAnsi="Arial" w:cs="Arial"/>
                <w:lang w:val="en-PH" w:eastAsia="en-PH"/>
              </w:rPr>
            </w:pPr>
            <w:r>
              <w:rPr>
                <w:rFonts w:ascii="Arial" w:eastAsia="Arial" w:hAnsi="Arial" w:cs="Arial"/>
                <w:lang w:val="en-PH" w:eastAsia="en-PH"/>
              </w:rPr>
              <w:t>Classroom Social Control</w:t>
            </w:r>
          </w:p>
        </w:tc>
        <w:tc>
          <w:tcPr>
            <w:tcW w:w="999" w:type="dxa"/>
            <w:tcBorders>
              <w:top w:val="nil"/>
              <w:left w:val="nil"/>
              <w:bottom w:val="single" w:sz="4" w:space="0" w:color="000000"/>
              <w:right w:val="nil"/>
            </w:tcBorders>
          </w:tcPr>
          <w:p w14:paraId="19233F9F" w14:textId="77777777" w:rsidR="0091747E" w:rsidRDefault="0091747E">
            <w:pPr>
              <w:widowControl w:val="0"/>
              <w:jc w:val="center"/>
              <w:rPr>
                <w:rFonts w:ascii="Arial" w:eastAsia="Arial" w:hAnsi="Arial" w:cs="Arial"/>
                <w:lang w:val="en-PH" w:eastAsia="en-PH"/>
              </w:rPr>
            </w:pPr>
          </w:p>
        </w:tc>
        <w:tc>
          <w:tcPr>
            <w:tcW w:w="999" w:type="dxa"/>
            <w:tcBorders>
              <w:top w:val="nil"/>
              <w:left w:val="nil"/>
              <w:bottom w:val="single" w:sz="4" w:space="0" w:color="000000"/>
              <w:right w:val="nil"/>
            </w:tcBorders>
          </w:tcPr>
          <w:p w14:paraId="784C78D8" w14:textId="77777777" w:rsidR="0091747E" w:rsidRDefault="0091747E">
            <w:pPr>
              <w:widowControl w:val="0"/>
              <w:jc w:val="center"/>
              <w:rPr>
                <w:rFonts w:ascii="Arial" w:eastAsia="Arial" w:hAnsi="Arial" w:cs="Arial"/>
                <w:lang w:val="en-PH" w:eastAsia="en-PH"/>
              </w:rPr>
            </w:pPr>
          </w:p>
        </w:tc>
        <w:tc>
          <w:tcPr>
            <w:tcW w:w="2016" w:type="dxa"/>
            <w:tcBorders>
              <w:top w:val="nil"/>
              <w:left w:val="nil"/>
              <w:bottom w:val="single" w:sz="4" w:space="0" w:color="000000"/>
              <w:right w:val="nil"/>
            </w:tcBorders>
          </w:tcPr>
          <w:p w14:paraId="28C4FE9D" w14:textId="77777777" w:rsidR="0091747E" w:rsidRDefault="0091747E">
            <w:pPr>
              <w:widowControl w:val="0"/>
              <w:jc w:val="center"/>
              <w:rPr>
                <w:rFonts w:ascii="Arial" w:eastAsia="Arial" w:hAnsi="Arial" w:cs="Arial"/>
                <w:lang w:val="en-PH" w:eastAsia="en-PH"/>
              </w:rPr>
            </w:pPr>
          </w:p>
        </w:tc>
        <w:tc>
          <w:tcPr>
            <w:tcW w:w="1114" w:type="dxa"/>
            <w:tcBorders>
              <w:top w:val="nil"/>
              <w:left w:val="nil"/>
              <w:bottom w:val="single" w:sz="4" w:space="0" w:color="000000"/>
              <w:right w:val="nil"/>
            </w:tcBorders>
          </w:tcPr>
          <w:p w14:paraId="2868A886" w14:textId="77777777" w:rsidR="0091747E" w:rsidRDefault="0091747E">
            <w:pPr>
              <w:widowControl w:val="0"/>
              <w:jc w:val="center"/>
              <w:rPr>
                <w:rFonts w:ascii="Arial" w:eastAsia="Arial" w:hAnsi="Arial" w:cs="Arial"/>
                <w:lang w:val="en-PH" w:eastAsia="en-PH"/>
              </w:rPr>
            </w:pPr>
          </w:p>
        </w:tc>
        <w:tc>
          <w:tcPr>
            <w:tcW w:w="1481" w:type="dxa"/>
            <w:tcBorders>
              <w:top w:val="nil"/>
              <w:left w:val="nil"/>
              <w:bottom w:val="single" w:sz="4" w:space="0" w:color="000000"/>
              <w:right w:val="nil"/>
            </w:tcBorders>
          </w:tcPr>
          <w:p w14:paraId="5215EE33" w14:textId="77777777" w:rsidR="0091747E" w:rsidRDefault="0091747E">
            <w:pPr>
              <w:widowControl w:val="0"/>
              <w:jc w:val="center"/>
              <w:rPr>
                <w:rFonts w:ascii="Arial" w:eastAsia="Arial" w:hAnsi="Arial" w:cs="Arial"/>
                <w:lang w:val="en-PH" w:eastAsia="en-PH"/>
              </w:rPr>
            </w:pPr>
          </w:p>
        </w:tc>
      </w:tr>
    </w:tbl>
    <w:p w14:paraId="1BDBE2B2" w14:textId="77777777" w:rsidR="00717F2E" w:rsidRDefault="00717F2E">
      <w:pPr>
        <w:jc w:val="both"/>
        <w:rPr>
          <w:rFonts w:ascii="Arial" w:hAnsi="Arial" w:cs="Arial"/>
        </w:rPr>
      </w:pPr>
    </w:p>
    <w:p w14:paraId="7882B295" w14:textId="78295983" w:rsidR="000E16BC" w:rsidRDefault="0091747E" w:rsidP="000E16BC">
      <w:pPr>
        <w:jc w:val="both"/>
        <w:rPr>
          <w:rFonts w:ascii="Arial" w:hAnsi="Arial" w:cs="Arial"/>
        </w:rPr>
      </w:pPr>
      <w:r w:rsidRPr="0091747E">
        <w:rPr>
          <w:rFonts w:ascii="Arial" w:hAnsi="Arial" w:cs="Arial"/>
        </w:rPr>
        <w:t>P</w:t>
      </w:r>
      <w:r>
        <w:rPr>
          <w:rFonts w:ascii="Arial" w:hAnsi="Arial" w:cs="Arial"/>
        </w:rPr>
        <w:t>resented in Table 3</w:t>
      </w:r>
      <w:r w:rsidRPr="0091747E">
        <w:rPr>
          <w:rFonts w:ascii="Arial" w:hAnsi="Arial" w:cs="Arial"/>
        </w:rPr>
        <w:t xml:space="preserve"> is the correlation analysis between ingenious solidarity and classroom social control among public secondary language teachers.  The R-value, R-squared, degree of relationship, p-value, and decision are shown in the subsequent table.</w:t>
      </w:r>
      <w:r w:rsidR="000E16BC">
        <w:rPr>
          <w:rFonts w:ascii="Arial" w:hAnsi="Arial" w:cs="Arial"/>
        </w:rPr>
        <w:t xml:space="preserve"> </w:t>
      </w:r>
      <w:r w:rsidR="000E16BC" w:rsidRPr="000E16BC">
        <w:rPr>
          <w:rFonts w:ascii="Arial" w:hAnsi="Arial" w:cs="Arial"/>
        </w:rPr>
        <w:t xml:space="preserve">The relationship between these two variables has a correlation coefficient (R) of 0.48 with a p-value of 0.000, less than the 0.05 significance level. This indicates a moderate and statistically significant </w:t>
      </w:r>
      <w:r w:rsidR="000E16BC" w:rsidRPr="000E16BC">
        <w:rPr>
          <w:rFonts w:ascii="Arial" w:hAnsi="Arial" w:cs="Arial"/>
        </w:rPr>
        <w:lastRenderedPageBreak/>
        <w:t>positive relationship between ingenious solidarity and classroom social control. The R² value of 0.23 suggests that approximately 23% of the variation in classroom social control can be explained by ingenious solidarity. Since the p-value is less than 0.05, the null hypothesis (Ho1) is rejected, supporting the claim that a significant relationship exists between ingenious solidarity and classroom social control.</w:t>
      </w:r>
    </w:p>
    <w:p w14:paraId="655BDE24" w14:textId="77777777" w:rsidR="000E16BC" w:rsidRPr="000E16BC" w:rsidRDefault="000E16BC" w:rsidP="000E16BC">
      <w:pPr>
        <w:jc w:val="both"/>
        <w:rPr>
          <w:rFonts w:ascii="Arial" w:hAnsi="Arial" w:cs="Arial"/>
        </w:rPr>
      </w:pPr>
    </w:p>
    <w:p w14:paraId="4909F45E" w14:textId="77777777" w:rsidR="000E16BC" w:rsidRPr="000E16BC" w:rsidRDefault="000E16BC" w:rsidP="000E16BC">
      <w:pPr>
        <w:jc w:val="both"/>
        <w:rPr>
          <w:rFonts w:ascii="Arial" w:hAnsi="Arial" w:cs="Arial"/>
        </w:rPr>
      </w:pPr>
      <w:r w:rsidRPr="000E16BC">
        <w:rPr>
          <w:rFonts w:ascii="Arial" w:hAnsi="Arial" w:cs="Arial"/>
        </w:rPr>
        <w:t>This finding implies that the level of ingenious solidarity among teachers relates to the level of classroom social control they maintain. A moderate positive relationship suggests that as teachers demonstrate stronger ingenious solidarity, their ability to maintain effective classroom social control improves. This highlights the importance of fostering a collaborative and inclusive teaching environment, where strong interpersonal connections and empathy support the establishment of a positive and well-managed classroom atmosphere.</w:t>
      </w:r>
    </w:p>
    <w:p w14:paraId="2A537EF8" w14:textId="77777777" w:rsidR="000E16BC" w:rsidRDefault="000E16BC" w:rsidP="000E16BC">
      <w:pPr>
        <w:jc w:val="both"/>
        <w:rPr>
          <w:rFonts w:ascii="Arial" w:hAnsi="Arial" w:cs="Arial"/>
        </w:rPr>
      </w:pPr>
    </w:p>
    <w:p w14:paraId="2F4DBAE6" w14:textId="5568A374" w:rsidR="000E16BC" w:rsidRPr="000E16BC" w:rsidRDefault="000E16BC" w:rsidP="000E16BC">
      <w:pPr>
        <w:jc w:val="both"/>
        <w:rPr>
          <w:rFonts w:ascii="Arial" w:hAnsi="Arial" w:cs="Arial"/>
        </w:rPr>
      </w:pPr>
      <w:r w:rsidRPr="000E16BC">
        <w:rPr>
          <w:rFonts w:ascii="Arial" w:hAnsi="Arial" w:cs="Arial"/>
        </w:rPr>
        <w:t>This finding aligns with the research of Aziz et al. (2024), who emphasized that a significant relationship between ingenious solidarity and classroom social control plays a crucial role in fostering a positive classroom environment. Their study highlighted that when teachers demonstrate high levels of ingenious solidarity, it encourages a supportive and cooperative atmosphere, which enhances class</w:t>
      </w:r>
      <w:r>
        <w:rPr>
          <w:rFonts w:ascii="Arial" w:hAnsi="Arial" w:cs="Arial"/>
        </w:rPr>
        <w:t xml:space="preserve">room management and discipline. </w:t>
      </w:r>
      <w:r w:rsidRPr="000E16BC">
        <w:rPr>
          <w:rFonts w:ascii="Arial" w:hAnsi="Arial" w:cs="Arial"/>
        </w:rPr>
        <w:t>Similarly, Kilday and Ryan (2022) found that integrating collaborative practices and empathy among teachers leads to better classroom social control, creating an environment where students are more engaged and motivated. Additionally, Bisa (2023) argued that strong ingenious solidarity among teachers is key to promoting effective classroom social control, ensuring students feel respected, valued, and motivated to succeed.</w:t>
      </w:r>
    </w:p>
    <w:p w14:paraId="1FB8CBC1" w14:textId="5407C413" w:rsidR="00017E5D" w:rsidRDefault="000E16BC" w:rsidP="000E16BC">
      <w:pPr>
        <w:jc w:val="both"/>
        <w:rPr>
          <w:rFonts w:ascii="Arial" w:hAnsi="Arial" w:cs="Arial"/>
        </w:rPr>
      </w:pPr>
      <w:r w:rsidRPr="000E16BC">
        <w:rPr>
          <w:rFonts w:ascii="Arial" w:hAnsi="Arial" w:cs="Arial"/>
        </w:rPr>
        <w:t> </w:t>
      </w:r>
    </w:p>
    <w:p w14:paraId="0D054A91" w14:textId="77777777" w:rsidR="0091747E" w:rsidRPr="00691641" w:rsidRDefault="0091747E" w:rsidP="00691641">
      <w:pPr>
        <w:jc w:val="both"/>
        <w:rPr>
          <w:rFonts w:ascii="Arial" w:hAnsi="Arial" w:cs="Arial"/>
        </w:rPr>
      </w:pPr>
    </w:p>
    <w:p w14:paraId="3B6CC02D" w14:textId="77777777" w:rsidR="00691641" w:rsidRDefault="00691641" w:rsidP="00151F8F">
      <w:pPr>
        <w:jc w:val="both"/>
        <w:rPr>
          <w:rFonts w:ascii="Arial" w:hAnsi="Arial" w:cs="Arial"/>
          <w:b/>
          <w:bCs/>
          <w:iCs/>
        </w:rPr>
      </w:pPr>
    </w:p>
    <w:p w14:paraId="7568132A" w14:textId="2B128F6E" w:rsidR="00914755" w:rsidRDefault="00665D1C" w:rsidP="000A2785">
      <w:pPr>
        <w:jc w:val="both"/>
        <w:rPr>
          <w:rFonts w:ascii="Arial" w:hAnsi="Arial" w:cs="Arial"/>
          <w:b/>
          <w:bCs/>
          <w:iCs/>
        </w:rPr>
      </w:pPr>
      <w:r>
        <w:rPr>
          <w:rFonts w:ascii="Arial" w:hAnsi="Arial" w:cs="Arial"/>
          <w:b/>
          <w:bCs/>
          <w:iCs/>
        </w:rPr>
        <w:t>3.4</w:t>
      </w:r>
      <w:r w:rsidR="00271F07">
        <w:rPr>
          <w:rFonts w:ascii="Arial" w:hAnsi="Arial" w:cs="Arial"/>
          <w:b/>
          <w:bCs/>
          <w:iCs/>
        </w:rPr>
        <w:t>.</w:t>
      </w:r>
      <w:r>
        <w:rPr>
          <w:rFonts w:ascii="Arial" w:hAnsi="Arial" w:cs="Arial"/>
          <w:b/>
          <w:bCs/>
          <w:iCs/>
        </w:rPr>
        <w:t xml:space="preserve"> </w:t>
      </w:r>
      <w:r w:rsidR="000A2785" w:rsidRPr="000A2785">
        <w:rPr>
          <w:rFonts w:ascii="Arial" w:hAnsi="Arial" w:cs="Arial"/>
          <w:b/>
          <w:bCs/>
          <w:iCs/>
        </w:rPr>
        <w:t>Domains of the Ingenious Solidarity that Significantly Influence Classroom Social Control among Public Secondary Language Teachers</w:t>
      </w:r>
    </w:p>
    <w:p w14:paraId="02153925" w14:textId="77777777" w:rsidR="000A2785" w:rsidRDefault="000A2785" w:rsidP="000A2785">
      <w:pPr>
        <w:jc w:val="both"/>
        <w:rPr>
          <w:rFonts w:ascii="Arial" w:hAnsi="Arial" w:cs="Arial"/>
          <w:b/>
          <w:bCs/>
          <w:iCs/>
        </w:rPr>
      </w:pPr>
    </w:p>
    <w:p w14:paraId="461FD1E7" w14:textId="2757CF5E" w:rsidR="00DE3EAB" w:rsidRPr="00D82866" w:rsidRDefault="00B364F1" w:rsidP="00D82866">
      <w:pPr>
        <w:jc w:val="both"/>
        <w:rPr>
          <w:rFonts w:ascii="Arial" w:eastAsia="Arial" w:hAnsi="Arial"/>
          <w:i/>
        </w:rPr>
      </w:pPr>
      <w:r w:rsidRPr="00B364F1">
        <w:rPr>
          <w:rFonts w:ascii="Arial" w:eastAsia="Arial" w:hAnsi="Arial"/>
          <w:b/>
        </w:rPr>
        <w:t xml:space="preserve">Table 4. </w:t>
      </w:r>
      <w:r w:rsidR="000A2785" w:rsidRPr="000A2785">
        <w:rPr>
          <w:rFonts w:ascii="Arial" w:eastAsia="Arial" w:hAnsi="Arial"/>
          <w:i/>
        </w:rPr>
        <w:t>Domains of the Ingenious Solidarity that Significantly Influence Classroom Social Control among Public Secondary Language Teachers</w:t>
      </w:r>
    </w:p>
    <w:p w14:paraId="42F31227" w14:textId="708EB413" w:rsidR="00187916" w:rsidRPr="00B364F1" w:rsidRDefault="00187916" w:rsidP="00B364F1">
      <w:pPr>
        <w:jc w:val="both"/>
        <w:rPr>
          <w:rFonts w:ascii="Arial" w:eastAsia="Arial" w:hAnsi="Arial"/>
          <w:i/>
        </w:rPr>
      </w:pPr>
    </w:p>
    <w:tbl>
      <w:tblPr>
        <w:tblW w:w="8880" w:type="dxa"/>
        <w:tblInd w:w="108" w:type="dxa"/>
        <w:tblBorders>
          <w:top w:val="single" w:sz="4" w:space="0" w:color="000000"/>
          <w:bottom w:val="single" w:sz="4" w:space="0" w:color="000000"/>
        </w:tblBorders>
        <w:tblLayout w:type="fixed"/>
        <w:tblLook w:val="04A0" w:firstRow="1" w:lastRow="0" w:firstColumn="1" w:lastColumn="0" w:noHBand="0" w:noVBand="1"/>
      </w:tblPr>
      <w:tblGrid>
        <w:gridCol w:w="1910"/>
        <w:gridCol w:w="1012"/>
        <w:gridCol w:w="1065"/>
        <w:gridCol w:w="1120"/>
        <w:gridCol w:w="1087"/>
        <w:gridCol w:w="1146"/>
        <w:gridCol w:w="1540"/>
      </w:tblGrid>
      <w:tr w:rsidR="000A2785" w14:paraId="24A81C9C" w14:textId="77777777" w:rsidTr="000A2785">
        <w:trPr>
          <w:trHeight w:val="323"/>
        </w:trPr>
        <w:tc>
          <w:tcPr>
            <w:tcW w:w="1911" w:type="dxa"/>
            <w:tcBorders>
              <w:top w:val="single" w:sz="4" w:space="0" w:color="000000"/>
              <w:left w:val="nil"/>
              <w:bottom w:val="single" w:sz="4" w:space="0" w:color="000000"/>
              <w:right w:val="nil"/>
            </w:tcBorders>
            <w:hideMark/>
          </w:tcPr>
          <w:p w14:paraId="29DC7A74" w14:textId="77777777" w:rsidR="000A2785" w:rsidRDefault="000A2785">
            <w:pPr>
              <w:widowControl w:val="0"/>
              <w:jc w:val="center"/>
              <w:rPr>
                <w:rFonts w:ascii="Arial" w:eastAsia="Arial" w:hAnsi="Arial" w:cs="Arial"/>
                <w:b/>
                <w:lang w:val="en-PH" w:eastAsia="en-PH"/>
              </w:rPr>
            </w:pPr>
            <w:r>
              <w:rPr>
                <w:rFonts w:ascii="Arial" w:eastAsia="Arial" w:hAnsi="Arial" w:cs="Arial"/>
                <w:b/>
                <w:lang w:val="en-PH" w:eastAsia="en-PH"/>
              </w:rPr>
              <w:t>Domains</w:t>
            </w:r>
          </w:p>
        </w:tc>
        <w:tc>
          <w:tcPr>
            <w:tcW w:w="1012" w:type="dxa"/>
            <w:tcBorders>
              <w:top w:val="single" w:sz="4" w:space="0" w:color="000000"/>
              <w:left w:val="nil"/>
              <w:bottom w:val="single" w:sz="4" w:space="0" w:color="000000"/>
              <w:right w:val="nil"/>
            </w:tcBorders>
            <w:hideMark/>
          </w:tcPr>
          <w:p w14:paraId="0A527243" w14:textId="77777777" w:rsidR="000A2785" w:rsidRDefault="000A2785">
            <w:pPr>
              <w:widowControl w:val="0"/>
              <w:jc w:val="center"/>
              <w:rPr>
                <w:rFonts w:ascii="Arial" w:eastAsia="Arial" w:hAnsi="Arial" w:cs="Arial"/>
                <w:b/>
                <w:lang w:val="en-PH" w:eastAsia="en-PH"/>
              </w:rPr>
            </w:pPr>
            <w:r>
              <w:rPr>
                <w:rFonts w:ascii="Arial" w:eastAsia="Arial" w:hAnsi="Arial" w:cs="Arial"/>
                <w:b/>
                <w:lang w:val="en-PH" w:eastAsia="en-PH"/>
              </w:rPr>
              <w:t>B</w:t>
            </w:r>
          </w:p>
        </w:tc>
        <w:tc>
          <w:tcPr>
            <w:tcW w:w="1065" w:type="dxa"/>
            <w:tcBorders>
              <w:top w:val="single" w:sz="4" w:space="0" w:color="000000"/>
              <w:left w:val="nil"/>
              <w:bottom w:val="single" w:sz="4" w:space="0" w:color="000000"/>
              <w:right w:val="nil"/>
            </w:tcBorders>
            <w:hideMark/>
          </w:tcPr>
          <w:p w14:paraId="17F617B5" w14:textId="77777777" w:rsidR="000A2785" w:rsidRDefault="000A2785">
            <w:pPr>
              <w:widowControl w:val="0"/>
              <w:jc w:val="center"/>
              <w:rPr>
                <w:rFonts w:ascii="Arial" w:eastAsia="Arial" w:hAnsi="Arial" w:cs="Arial"/>
                <w:b/>
                <w:lang w:val="en-PH" w:eastAsia="en-PH"/>
              </w:rPr>
            </w:pPr>
            <w:r>
              <w:rPr>
                <w:rFonts w:ascii="Arial" w:eastAsia="Arial" w:hAnsi="Arial" w:cs="Arial"/>
                <w:b/>
                <w:lang w:val="en-PH" w:eastAsia="en-PH"/>
              </w:rPr>
              <w:t>BE</w:t>
            </w:r>
          </w:p>
        </w:tc>
        <w:tc>
          <w:tcPr>
            <w:tcW w:w="1120" w:type="dxa"/>
            <w:tcBorders>
              <w:top w:val="single" w:sz="4" w:space="0" w:color="000000"/>
              <w:left w:val="nil"/>
              <w:bottom w:val="single" w:sz="4" w:space="0" w:color="000000"/>
              <w:right w:val="nil"/>
            </w:tcBorders>
            <w:hideMark/>
          </w:tcPr>
          <w:p w14:paraId="56F84A67" w14:textId="77777777" w:rsidR="000A2785" w:rsidRDefault="000A2785">
            <w:pPr>
              <w:widowControl w:val="0"/>
              <w:jc w:val="center"/>
              <w:rPr>
                <w:rFonts w:ascii="Arial" w:eastAsia="Arial" w:hAnsi="Arial" w:cs="Arial"/>
                <w:b/>
                <w:lang w:val="en-PH" w:eastAsia="en-PH"/>
              </w:rPr>
            </w:pPr>
            <w:r>
              <w:rPr>
                <w:rFonts w:ascii="Arial" w:eastAsia="Arial" w:hAnsi="Arial" w:cs="Arial"/>
                <w:b/>
                <w:lang w:val="en-PH" w:eastAsia="en-PH"/>
              </w:rPr>
              <w:t>Beta</w:t>
            </w:r>
          </w:p>
        </w:tc>
        <w:tc>
          <w:tcPr>
            <w:tcW w:w="1087" w:type="dxa"/>
            <w:tcBorders>
              <w:top w:val="single" w:sz="4" w:space="0" w:color="000000"/>
              <w:left w:val="nil"/>
              <w:bottom w:val="single" w:sz="4" w:space="0" w:color="000000"/>
              <w:right w:val="nil"/>
            </w:tcBorders>
            <w:hideMark/>
          </w:tcPr>
          <w:p w14:paraId="0E4B2E7B" w14:textId="77777777" w:rsidR="000A2785" w:rsidRDefault="000A2785">
            <w:pPr>
              <w:widowControl w:val="0"/>
              <w:jc w:val="center"/>
              <w:rPr>
                <w:rFonts w:ascii="Arial" w:eastAsia="Arial" w:hAnsi="Arial" w:cs="Arial"/>
                <w:b/>
                <w:lang w:val="en-PH" w:eastAsia="en-PH"/>
              </w:rPr>
            </w:pPr>
            <w:r>
              <w:rPr>
                <w:rFonts w:ascii="Arial" w:eastAsia="Arial" w:hAnsi="Arial" w:cs="Arial"/>
                <w:b/>
                <w:lang w:val="en-PH" w:eastAsia="en-PH"/>
              </w:rPr>
              <w:t>t-stat</w:t>
            </w:r>
          </w:p>
        </w:tc>
        <w:tc>
          <w:tcPr>
            <w:tcW w:w="1146" w:type="dxa"/>
            <w:tcBorders>
              <w:top w:val="single" w:sz="4" w:space="0" w:color="000000"/>
              <w:left w:val="nil"/>
              <w:bottom w:val="single" w:sz="4" w:space="0" w:color="000000"/>
              <w:right w:val="nil"/>
            </w:tcBorders>
            <w:hideMark/>
          </w:tcPr>
          <w:p w14:paraId="7542EF16" w14:textId="77777777" w:rsidR="000A2785" w:rsidRDefault="000A2785">
            <w:pPr>
              <w:widowControl w:val="0"/>
              <w:jc w:val="center"/>
              <w:rPr>
                <w:rFonts w:ascii="Arial" w:eastAsia="Arial" w:hAnsi="Arial" w:cs="Arial"/>
                <w:b/>
                <w:lang w:val="en-PH" w:eastAsia="en-PH"/>
              </w:rPr>
            </w:pPr>
            <w:r>
              <w:rPr>
                <w:rFonts w:ascii="Arial" w:eastAsia="Arial" w:hAnsi="Arial" w:cs="Arial"/>
                <w:b/>
                <w:lang w:val="en-PH" w:eastAsia="en-PH"/>
              </w:rPr>
              <w:t>p-value</w:t>
            </w:r>
          </w:p>
        </w:tc>
        <w:tc>
          <w:tcPr>
            <w:tcW w:w="1540" w:type="dxa"/>
            <w:tcBorders>
              <w:top w:val="single" w:sz="4" w:space="0" w:color="000000"/>
              <w:left w:val="nil"/>
              <w:bottom w:val="single" w:sz="4" w:space="0" w:color="000000"/>
              <w:right w:val="nil"/>
            </w:tcBorders>
            <w:hideMark/>
          </w:tcPr>
          <w:p w14:paraId="23DB06FF" w14:textId="77777777" w:rsidR="000A2785" w:rsidRDefault="000A2785">
            <w:pPr>
              <w:widowControl w:val="0"/>
              <w:jc w:val="center"/>
              <w:rPr>
                <w:rFonts w:ascii="Arial" w:eastAsia="Arial" w:hAnsi="Arial" w:cs="Arial"/>
                <w:b/>
                <w:lang w:val="en-PH" w:eastAsia="en-PH"/>
              </w:rPr>
            </w:pPr>
            <w:r>
              <w:rPr>
                <w:rFonts w:ascii="Arial" w:eastAsia="Arial" w:hAnsi="Arial" w:cs="Arial"/>
                <w:b/>
                <w:lang w:val="en-PH" w:eastAsia="en-PH"/>
              </w:rPr>
              <w:t>Decision</w:t>
            </w:r>
          </w:p>
        </w:tc>
      </w:tr>
      <w:tr w:rsidR="000A2785" w14:paraId="6AF82267" w14:textId="77777777" w:rsidTr="000A2785">
        <w:trPr>
          <w:trHeight w:val="536"/>
        </w:trPr>
        <w:tc>
          <w:tcPr>
            <w:tcW w:w="1911" w:type="dxa"/>
            <w:tcBorders>
              <w:top w:val="single" w:sz="4" w:space="0" w:color="000000"/>
              <w:left w:val="nil"/>
              <w:bottom w:val="nil"/>
              <w:right w:val="nil"/>
            </w:tcBorders>
            <w:hideMark/>
          </w:tcPr>
          <w:p w14:paraId="605E5A72" w14:textId="77777777" w:rsidR="000A2785" w:rsidRDefault="000A2785">
            <w:pPr>
              <w:widowControl w:val="0"/>
              <w:jc w:val="center"/>
              <w:rPr>
                <w:rFonts w:ascii="Arial" w:eastAsia="Arial" w:hAnsi="Arial" w:cs="Arial"/>
                <w:lang w:val="en-PH" w:eastAsia="en-PH"/>
              </w:rPr>
            </w:pPr>
            <w:r>
              <w:rPr>
                <w:rFonts w:ascii="Arial" w:eastAsia="Arial" w:hAnsi="Arial" w:cs="Arial"/>
                <w:lang w:val="en-PH" w:eastAsia="en-PH"/>
              </w:rPr>
              <w:t>Constant</w:t>
            </w:r>
          </w:p>
        </w:tc>
        <w:tc>
          <w:tcPr>
            <w:tcW w:w="1012" w:type="dxa"/>
            <w:tcBorders>
              <w:top w:val="single" w:sz="4" w:space="0" w:color="000000"/>
              <w:left w:val="nil"/>
              <w:bottom w:val="nil"/>
              <w:right w:val="nil"/>
            </w:tcBorders>
            <w:hideMark/>
          </w:tcPr>
          <w:p w14:paraId="1EC0B616" w14:textId="77777777" w:rsidR="000A2785" w:rsidRDefault="000A2785">
            <w:pPr>
              <w:widowControl w:val="0"/>
              <w:jc w:val="center"/>
              <w:rPr>
                <w:rFonts w:ascii="Arial" w:eastAsia="Arial" w:hAnsi="Arial" w:cs="Arial"/>
                <w:lang w:val="en-PH" w:eastAsia="en-PH"/>
              </w:rPr>
            </w:pPr>
            <w:r>
              <w:rPr>
                <w:rFonts w:ascii="Arial" w:eastAsia="Arial" w:hAnsi="Arial" w:cs="Arial"/>
                <w:lang w:val="en-PH" w:eastAsia="en-PH"/>
              </w:rPr>
              <w:t>2.30</w:t>
            </w:r>
          </w:p>
        </w:tc>
        <w:tc>
          <w:tcPr>
            <w:tcW w:w="1065" w:type="dxa"/>
            <w:tcBorders>
              <w:top w:val="single" w:sz="4" w:space="0" w:color="000000"/>
              <w:left w:val="nil"/>
              <w:bottom w:val="nil"/>
              <w:right w:val="nil"/>
            </w:tcBorders>
            <w:hideMark/>
          </w:tcPr>
          <w:p w14:paraId="62162855" w14:textId="77777777" w:rsidR="000A2785" w:rsidRDefault="000A2785">
            <w:pPr>
              <w:widowControl w:val="0"/>
              <w:jc w:val="center"/>
              <w:rPr>
                <w:rFonts w:ascii="Arial" w:eastAsia="Arial" w:hAnsi="Arial" w:cs="Arial"/>
                <w:lang w:val="en-PH" w:eastAsia="en-PH"/>
              </w:rPr>
            </w:pPr>
            <w:r>
              <w:rPr>
                <w:rFonts w:ascii="Arial" w:eastAsia="Arial" w:hAnsi="Arial" w:cs="Arial"/>
                <w:lang w:val="en-PH" w:eastAsia="en-PH"/>
              </w:rPr>
              <w:t>0.15</w:t>
            </w:r>
          </w:p>
        </w:tc>
        <w:tc>
          <w:tcPr>
            <w:tcW w:w="1120" w:type="dxa"/>
            <w:tcBorders>
              <w:top w:val="single" w:sz="4" w:space="0" w:color="000000"/>
              <w:left w:val="nil"/>
              <w:bottom w:val="nil"/>
              <w:right w:val="nil"/>
            </w:tcBorders>
          </w:tcPr>
          <w:p w14:paraId="07162384" w14:textId="77777777" w:rsidR="000A2785" w:rsidRDefault="000A2785">
            <w:pPr>
              <w:widowControl w:val="0"/>
              <w:jc w:val="center"/>
              <w:rPr>
                <w:rFonts w:ascii="Arial" w:eastAsia="Arial" w:hAnsi="Arial" w:cs="Arial"/>
                <w:lang w:val="en-PH" w:eastAsia="en-PH"/>
              </w:rPr>
            </w:pPr>
          </w:p>
        </w:tc>
        <w:tc>
          <w:tcPr>
            <w:tcW w:w="1087" w:type="dxa"/>
            <w:tcBorders>
              <w:top w:val="single" w:sz="4" w:space="0" w:color="000000"/>
              <w:left w:val="nil"/>
              <w:bottom w:val="nil"/>
              <w:right w:val="nil"/>
            </w:tcBorders>
            <w:hideMark/>
          </w:tcPr>
          <w:p w14:paraId="775D423C" w14:textId="77777777" w:rsidR="000A2785" w:rsidRDefault="000A2785">
            <w:pPr>
              <w:widowControl w:val="0"/>
              <w:jc w:val="center"/>
              <w:rPr>
                <w:rFonts w:ascii="Arial" w:eastAsia="Arial" w:hAnsi="Arial" w:cs="Arial"/>
                <w:lang w:val="en-PH" w:eastAsia="en-PH"/>
              </w:rPr>
            </w:pPr>
            <w:r>
              <w:rPr>
                <w:rFonts w:ascii="Arial" w:eastAsia="Arial" w:hAnsi="Arial" w:cs="Arial"/>
                <w:lang w:val="en-PH" w:eastAsia="en-PH"/>
              </w:rPr>
              <w:t>15.16</w:t>
            </w:r>
          </w:p>
        </w:tc>
        <w:tc>
          <w:tcPr>
            <w:tcW w:w="1146" w:type="dxa"/>
            <w:tcBorders>
              <w:top w:val="single" w:sz="4" w:space="0" w:color="000000"/>
              <w:left w:val="nil"/>
              <w:bottom w:val="nil"/>
              <w:right w:val="nil"/>
            </w:tcBorders>
            <w:hideMark/>
          </w:tcPr>
          <w:p w14:paraId="4FC2FC58" w14:textId="77777777" w:rsidR="000A2785" w:rsidRDefault="000A2785">
            <w:pPr>
              <w:widowControl w:val="0"/>
              <w:jc w:val="center"/>
              <w:rPr>
                <w:rFonts w:ascii="Arial" w:eastAsia="Arial" w:hAnsi="Arial" w:cs="Arial"/>
                <w:lang w:val="en-PH" w:eastAsia="en-PH"/>
              </w:rPr>
            </w:pPr>
            <w:r>
              <w:rPr>
                <w:rFonts w:ascii="Arial" w:eastAsia="Arial" w:hAnsi="Arial" w:cs="Arial"/>
                <w:lang w:val="en-PH" w:eastAsia="en-PH"/>
              </w:rPr>
              <w:t>0.000</w:t>
            </w:r>
          </w:p>
        </w:tc>
        <w:tc>
          <w:tcPr>
            <w:tcW w:w="1540" w:type="dxa"/>
            <w:tcBorders>
              <w:top w:val="single" w:sz="4" w:space="0" w:color="000000"/>
              <w:left w:val="nil"/>
              <w:bottom w:val="nil"/>
              <w:right w:val="nil"/>
            </w:tcBorders>
            <w:hideMark/>
          </w:tcPr>
          <w:p w14:paraId="0657A240" w14:textId="77777777" w:rsidR="000A2785" w:rsidRDefault="000A2785">
            <w:pPr>
              <w:widowControl w:val="0"/>
              <w:jc w:val="center"/>
              <w:rPr>
                <w:rFonts w:ascii="Arial" w:eastAsia="Arial" w:hAnsi="Arial" w:cs="Arial"/>
                <w:lang w:val="en-PH" w:eastAsia="en-PH"/>
              </w:rPr>
            </w:pPr>
            <w:r>
              <w:rPr>
                <w:rFonts w:ascii="Arial" w:eastAsia="Arial" w:hAnsi="Arial" w:cs="Arial"/>
                <w:lang w:val="en-PH" w:eastAsia="en-PH"/>
              </w:rPr>
              <w:t>Significant</w:t>
            </w:r>
          </w:p>
        </w:tc>
      </w:tr>
      <w:tr w:rsidR="000A2785" w14:paraId="6595B9D2" w14:textId="77777777" w:rsidTr="000A2785">
        <w:trPr>
          <w:trHeight w:val="521"/>
        </w:trPr>
        <w:tc>
          <w:tcPr>
            <w:tcW w:w="1911" w:type="dxa"/>
            <w:tcBorders>
              <w:top w:val="nil"/>
              <w:left w:val="nil"/>
              <w:bottom w:val="nil"/>
              <w:right w:val="nil"/>
            </w:tcBorders>
            <w:hideMark/>
          </w:tcPr>
          <w:p w14:paraId="4C4CA940" w14:textId="77777777" w:rsidR="000A2785" w:rsidRDefault="000A2785">
            <w:pPr>
              <w:widowControl w:val="0"/>
              <w:jc w:val="center"/>
              <w:rPr>
                <w:rFonts w:ascii="Arial" w:eastAsia="Arial" w:hAnsi="Arial" w:cs="Arial"/>
                <w:lang w:val="en-PH" w:eastAsia="en-PH"/>
              </w:rPr>
            </w:pPr>
            <w:r>
              <w:rPr>
                <w:rFonts w:ascii="Arial" w:eastAsia="Arial" w:hAnsi="Arial" w:cs="Arial"/>
                <w:lang w:val="en-PH" w:eastAsia="en-PH"/>
              </w:rPr>
              <w:t>Collaborative Learning</w:t>
            </w:r>
          </w:p>
        </w:tc>
        <w:tc>
          <w:tcPr>
            <w:tcW w:w="1012" w:type="dxa"/>
            <w:tcBorders>
              <w:top w:val="nil"/>
              <w:left w:val="nil"/>
              <w:bottom w:val="nil"/>
              <w:right w:val="nil"/>
            </w:tcBorders>
            <w:hideMark/>
          </w:tcPr>
          <w:p w14:paraId="3405E261" w14:textId="77777777" w:rsidR="000A2785" w:rsidRDefault="000A2785">
            <w:pPr>
              <w:widowControl w:val="0"/>
              <w:jc w:val="center"/>
              <w:rPr>
                <w:rFonts w:ascii="Arial" w:eastAsia="Arial" w:hAnsi="Arial" w:cs="Arial"/>
                <w:lang w:val="en-PH" w:eastAsia="en-PH"/>
              </w:rPr>
            </w:pPr>
            <w:r>
              <w:rPr>
                <w:rFonts w:ascii="Arial" w:eastAsia="Arial" w:hAnsi="Arial" w:cs="Arial"/>
                <w:lang w:val="en-PH" w:eastAsia="en-PH"/>
              </w:rPr>
              <w:t>0.32</w:t>
            </w:r>
          </w:p>
        </w:tc>
        <w:tc>
          <w:tcPr>
            <w:tcW w:w="1065" w:type="dxa"/>
            <w:tcBorders>
              <w:top w:val="nil"/>
              <w:left w:val="nil"/>
              <w:bottom w:val="nil"/>
              <w:right w:val="nil"/>
            </w:tcBorders>
            <w:hideMark/>
          </w:tcPr>
          <w:p w14:paraId="60CA6CD1" w14:textId="77777777" w:rsidR="000A2785" w:rsidRDefault="000A2785">
            <w:pPr>
              <w:widowControl w:val="0"/>
              <w:jc w:val="center"/>
              <w:rPr>
                <w:rFonts w:ascii="Arial" w:eastAsia="Arial" w:hAnsi="Arial" w:cs="Arial"/>
                <w:lang w:val="en-PH" w:eastAsia="en-PH"/>
              </w:rPr>
            </w:pPr>
            <w:r>
              <w:rPr>
                <w:rFonts w:ascii="Arial" w:eastAsia="Arial" w:hAnsi="Arial" w:cs="Arial"/>
                <w:lang w:val="en-PH" w:eastAsia="en-PH"/>
              </w:rPr>
              <w:t>0.03</w:t>
            </w:r>
          </w:p>
        </w:tc>
        <w:tc>
          <w:tcPr>
            <w:tcW w:w="1120" w:type="dxa"/>
            <w:tcBorders>
              <w:top w:val="nil"/>
              <w:left w:val="nil"/>
              <w:bottom w:val="nil"/>
              <w:right w:val="nil"/>
            </w:tcBorders>
            <w:hideMark/>
          </w:tcPr>
          <w:p w14:paraId="50BD7600" w14:textId="77777777" w:rsidR="000A2785" w:rsidRDefault="000A2785">
            <w:pPr>
              <w:widowControl w:val="0"/>
              <w:jc w:val="center"/>
              <w:rPr>
                <w:rFonts w:ascii="Arial" w:eastAsia="Arial" w:hAnsi="Arial" w:cs="Arial"/>
                <w:lang w:val="en-PH" w:eastAsia="en-PH"/>
              </w:rPr>
            </w:pPr>
            <w:r>
              <w:rPr>
                <w:rFonts w:ascii="Arial" w:eastAsia="Arial" w:hAnsi="Arial" w:cs="Arial"/>
                <w:lang w:val="en-PH" w:eastAsia="en-PH"/>
              </w:rPr>
              <w:t>0.51</w:t>
            </w:r>
          </w:p>
        </w:tc>
        <w:tc>
          <w:tcPr>
            <w:tcW w:w="1087" w:type="dxa"/>
            <w:tcBorders>
              <w:top w:val="nil"/>
              <w:left w:val="nil"/>
              <w:bottom w:val="nil"/>
              <w:right w:val="nil"/>
            </w:tcBorders>
            <w:hideMark/>
          </w:tcPr>
          <w:p w14:paraId="0F64C34E" w14:textId="77777777" w:rsidR="000A2785" w:rsidRDefault="000A2785">
            <w:pPr>
              <w:widowControl w:val="0"/>
              <w:jc w:val="center"/>
              <w:rPr>
                <w:rFonts w:ascii="Arial" w:eastAsia="Arial" w:hAnsi="Arial" w:cs="Arial"/>
                <w:lang w:val="en-PH" w:eastAsia="en-PH"/>
              </w:rPr>
            </w:pPr>
            <w:r>
              <w:rPr>
                <w:rFonts w:ascii="Arial" w:eastAsia="Arial" w:hAnsi="Arial" w:cs="Arial"/>
                <w:lang w:val="en-PH" w:eastAsia="en-PH"/>
              </w:rPr>
              <w:t>10.25</w:t>
            </w:r>
          </w:p>
        </w:tc>
        <w:tc>
          <w:tcPr>
            <w:tcW w:w="1146" w:type="dxa"/>
            <w:tcBorders>
              <w:top w:val="nil"/>
              <w:left w:val="nil"/>
              <w:bottom w:val="nil"/>
              <w:right w:val="nil"/>
            </w:tcBorders>
            <w:hideMark/>
          </w:tcPr>
          <w:p w14:paraId="27A550FE" w14:textId="77777777" w:rsidR="000A2785" w:rsidRDefault="000A2785">
            <w:pPr>
              <w:widowControl w:val="0"/>
              <w:jc w:val="center"/>
              <w:rPr>
                <w:rFonts w:ascii="Arial" w:eastAsia="Arial" w:hAnsi="Arial" w:cs="Arial"/>
                <w:lang w:val="en-PH" w:eastAsia="en-PH"/>
              </w:rPr>
            </w:pPr>
            <w:r>
              <w:rPr>
                <w:rFonts w:ascii="Arial" w:eastAsia="Arial" w:hAnsi="Arial" w:cs="Arial"/>
                <w:lang w:val="en-PH" w:eastAsia="en-PH"/>
              </w:rPr>
              <w:t>0.000</w:t>
            </w:r>
          </w:p>
        </w:tc>
        <w:tc>
          <w:tcPr>
            <w:tcW w:w="1540" w:type="dxa"/>
            <w:tcBorders>
              <w:top w:val="nil"/>
              <w:left w:val="nil"/>
              <w:bottom w:val="nil"/>
              <w:right w:val="nil"/>
            </w:tcBorders>
            <w:hideMark/>
          </w:tcPr>
          <w:p w14:paraId="0C20E8F5" w14:textId="77777777" w:rsidR="000A2785" w:rsidRDefault="000A2785">
            <w:pPr>
              <w:widowControl w:val="0"/>
              <w:jc w:val="center"/>
              <w:rPr>
                <w:rFonts w:ascii="Arial" w:eastAsia="Arial" w:hAnsi="Arial" w:cs="Arial"/>
                <w:lang w:val="en-PH" w:eastAsia="en-PH"/>
              </w:rPr>
            </w:pPr>
            <w:r>
              <w:rPr>
                <w:rFonts w:ascii="Arial" w:eastAsia="Arial" w:hAnsi="Arial" w:cs="Arial"/>
                <w:lang w:val="en-PH" w:eastAsia="en-PH"/>
              </w:rPr>
              <w:t>Significant</w:t>
            </w:r>
          </w:p>
        </w:tc>
      </w:tr>
      <w:tr w:rsidR="000A2785" w14:paraId="651AC3F7" w14:textId="77777777" w:rsidTr="000A2785">
        <w:trPr>
          <w:trHeight w:val="521"/>
        </w:trPr>
        <w:tc>
          <w:tcPr>
            <w:tcW w:w="1911" w:type="dxa"/>
            <w:tcBorders>
              <w:top w:val="nil"/>
              <w:left w:val="nil"/>
              <w:bottom w:val="nil"/>
              <w:right w:val="nil"/>
            </w:tcBorders>
            <w:hideMark/>
          </w:tcPr>
          <w:p w14:paraId="3C069DAF" w14:textId="77777777" w:rsidR="000A2785" w:rsidRDefault="000A2785">
            <w:pPr>
              <w:widowControl w:val="0"/>
              <w:jc w:val="center"/>
              <w:rPr>
                <w:rFonts w:ascii="Arial" w:eastAsia="Arial" w:hAnsi="Arial" w:cs="Arial"/>
                <w:lang w:val="en-PH" w:eastAsia="en-PH"/>
              </w:rPr>
            </w:pPr>
            <w:r>
              <w:rPr>
                <w:rFonts w:ascii="Arial" w:eastAsia="Arial" w:hAnsi="Arial" w:cs="Arial"/>
                <w:lang w:val="en-PH" w:eastAsia="en-PH"/>
              </w:rPr>
              <w:t>Cultural Connection</w:t>
            </w:r>
          </w:p>
        </w:tc>
        <w:tc>
          <w:tcPr>
            <w:tcW w:w="1012" w:type="dxa"/>
            <w:tcBorders>
              <w:top w:val="nil"/>
              <w:left w:val="nil"/>
              <w:bottom w:val="nil"/>
              <w:right w:val="nil"/>
            </w:tcBorders>
            <w:hideMark/>
          </w:tcPr>
          <w:p w14:paraId="64DC07BB" w14:textId="77777777" w:rsidR="000A2785" w:rsidRDefault="000A2785">
            <w:pPr>
              <w:widowControl w:val="0"/>
              <w:jc w:val="center"/>
              <w:rPr>
                <w:rFonts w:ascii="Arial" w:eastAsia="Arial" w:hAnsi="Arial" w:cs="Arial"/>
                <w:lang w:val="en-PH" w:eastAsia="en-PH"/>
              </w:rPr>
            </w:pPr>
            <w:r>
              <w:rPr>
                <w:rFonts w:ascii="Arial" w:eastAsia="Arial" w:hAnsi="Arial" w:cs="Arial"/>
                <w:lang w:val="en-PH" w:eastAsia="en-PH"/>
              </w:rPr>
              <w:t>-0.11</w:t>
            </w:r>
          </w:p>
        </w:tc>
        <w:tc>
          <w:tcPr>
            <w:tcW w:w="1065" w:type="dxa"/>
            <w:tcBorders>
              <w:top w:val="nil"/>
              <w:left w:val="nil"/>
              <w:bottom w:val="nil"/>
              <w:right w:val="nil"/>
            </w:tcBorders>
            <w:hideMark/>
          </w:tcPr>
          <w:p w14:paraId="682183DF" w14:textId="77777777" w:rsidR="000A2785" w:rsidRDefault="000A2785">
            <w:pPr>
              <w:widowControl w:val="0"/>
              <w:jc w:val="center"/>
              <w:rPr>
                <w:rFonts w:ascii="Arial" w:eastAsia="Arial" w:hAnsi="Arial" w:cs="Arial"/>
                <w:lang w:val="en-PH" w:eastAsia="en-PH"/>
              </w:rPr>
            </w:pPr>
            <w:r>
              <w:rPr>
                <w:rFonts w:ascii="Arial" w:eastAsia="Arial" w:hAnsi="Arial" w:cs="Arial"/>
                <w:lang w:val="en-PH" w:eastAsia="en-PH"/>
              </w:rPr>
              <w:t>0.06</w:t>
            </w:r>
          </w:p>
        </w:tc>
        <w:tc>
          <w:tcPr>
            <w:tcW w:w="1120" w:type="dxa"/>
            <w:tcBorders>
              <w:top w:val="nil"/>
              <w:left w:val="nil"/>
              <w:bottom w:val="nil"/>
              <w:right w:val="nil"/>
            </w:tcBorders>
            <w:hideMark/>
          </w:tcPr>
          <w:p w14:paraId="68CCF446" w14:textId="77777777" w:rsidR="000A2785" w:rsidRDefault="000A2785">
            <w:pPr>
              <w:widowControl w:val="0"/>
              <w:jc w:val="center"/>
              <w:rPr>
                <w:rFonts w:ascii="Arial" w:eastAsia="Arial" w:hAnsi="Arial" w:cs="Arial"/>
                <w:lang w:val="en-PH" w:eastAsia="en-PH"/>
              </w:rPr>
            </w:pPr>
            <w:r>
              <w:rPr>
                <w:rFonts w:ascii="Arial" w:eastAsia="Arial" w:hAnsi="Arial" w:cs="Arial"/>
                <w:lang w:val="en-PH" w:eastAsia="en-PH"/>
              </w:rPr>
              <w:t>-0.14</w:t>
            </w:r>
          </w:p>
        </w:tc>
        <w:tc>
          <w:tcPr>
            <w:tcW w:w="1087" w:type="dxa"/>
            <w:tcBorders>
              <w:top w:val="nil"/>
              <w:left w:val="nil"/>
              <w:bottom w:val="nil"/>
              <w:right w:val="nil"/>
            </w:tcBorders>
            <w:hideMark/>
          </w:tcPr>
          <w:p w14:paraId="19C421B6" w14:textId="77777777" w:rsidR="000A2785" w:rsidRDefault="000A2785">
            <w:pPr>
              <w:widowControl w:val="0"/>
              <w:jc w:val="center"/>
              <w:rPr>
                <w:rFonts w:ascii="Arial" w:eastAsia="Arial" w:hAnsi="Arial" w:cs="Arial"/>
                <w:lang w:val="en-PH" w:eastAsia="en-PH"/>
              </w:rPr>
            </w:pPr>
            <w:r>
              <w:rPr>
                <w:rFonts w:ascii="Arial" w:eastAsia="Arial" w:hAnsi="Arial" w:cs="Arial"/>
                <w:lang w:val="en-PH" w:eastAsia="en-PH"/>
              </w:rPr>
              <w:t>-1.65</w:t>
            </w:r>
          </w:p>
        </w:tc>
        <w:tc>
          <w:tcPr>
            <w:tcW w:w="1146" w:type="dxa"/>
            <w:tcBorders>
              <w:top w:val="nil"/>
              <w:left w:val="nil"/>
              <w:bottom w:val="nil"/>
              <w:right w:val="nil"/>
            </w:tcBorders>
            <w:hideMark/>
          </w:tcPr>
          <w:p w14:paraId="144DF566" w14:textId="77777777" w:rsidR="000A2785" w:rsidRDefault="000A2785">
            <w:pPr>
              <w:widowControl w:val="0"/>
              <w:jc w:val="center"/>
              <w:rPr>
                <w:rFonts w:ascii="Arial" w:eastAsia="Arial" w:hAnsi="Arial" w:cs="Arial"/>
                <w:lang w:val="en-PH" w:eastAsia="en-PH"/>
              </w:rPr>
            </w:pPr>
            <w:r>
              <w:rPr>
                <w:rFonts w:ascii="Arial" w:eastAsia="Arial" w:hAnsi="Arial" w:cs="Arial"/>
                <w:lang w:val="en-PH" w:eastAsia="en-PH"/>
              </w:rPr>
              <w:t>0.101</w:t>
            </w:r>
          </w:p>
        </w:tc>
        <w:tc>
          <w:tcPr>
            <w:tcW w:w="1540" w:type="dxa"/>
            <w:tcBorders>
              <w:top w:val="nil"/>
              <w:left w:val="nil"/>
              <w:bottom w:val="nil"/>
              <w:right w:val="nil"/>
            </w:tcBorders>
            <w:hideMark/>
          </w:tcPr>
          <w:p w14:paraId="0DCBF8F7" w14:textId="77777777" w:rsidR="000A2785" w:rsidRDefault="000A2785">
            <w:pPr>
              <w:widowControl w:val="0"/>
              <w:jc w:val="center"/>
              <w:rPr>
                <w:rFonts w:ascii="Arial" w:eastAsia="Arial" w:hAnsi="Arial" w:cs="Arial"/>
                <w:lang w:val="en-PH" w:eastAsia="en-PH"/>
              </w:rPr>
            </w:pPr>
            <w:r>
              <w:rPr>
                <w:rFonts w:ascii="Arial" w:eastAsia="Arial" w:hAnsi="Arial" w:cs="Arial"/>
                <w:lang w:val="en-PH" w:eastAsia="en-PH"/>
              </w:rPr>
              <w:t>Not Significant</w:t>
            </w:r>
          </w:p>
        </w:tc>
      </w:tr>
      <w:tr w:rsidR="000A2785" w14:paraId="50BA2715" w14:textId="77777777" w:rsidTr="000A2785">
        <w:trPr>
          <w:trHeight w:val="198"/>
        </w:trPr>
        <w:tc>
          <w:tcPr>
            <w:tcW w:w="1911" w:type="dxa"/>
            <w:tcBorders>
              <w:top w:val="nil"/>
              <w:left w:val="nil"/>
              <w:bottom w:val="nil"/>
              <w:right w:val="nil"/>
            </w:tcBorders>
            <w:hideMark/>
          </w:tcPr>
          <w:p w14:paraId="4EDCC953" w14:textId="77777777" w:rsidR="000A2785" w:rsidRDefault="000A2785">
            <w:pPr>
              <w:widowControl w:val="0"/>
              <w:jc w:val="center"/>
              <w:rPr>
                <w:rFonts w:ascii="Arial" w:eastAsia="Arial" w:hAnsi="Arial" w:cs="Arial"/>
                <w:lang w:val="en-PH" w:eastAsia="en-PH"/>
              </w:rPr>
            </w:pPr>
            <w:r>
              <w:rPr>
                <w:rFonts w:ascii="Arial" w:eastAsia="Arial" w:hAnsi="Arial" w:cs="Arial"/>
                <w:lang w:val="en-PH" w:eastAsia="en-PH"/>
              </w:rPr>
              <w:t>Empathy</w:t>
            </w:r>
          </w:p>
        </w:tc>
        <w:tc>
          <w:tcPr>
            <w:tcW w:w="1012" w:type="dxa"/>
            <w:tcBorders>
              <w:top w:val="nil"/>
              <w:left w:val="nil"/>
              <w:bottom w:val="nil"/>
              <w:right w:val="nil"/>
            </w:tcBorders>
            <w:hideMark/>
          </w:tcPr>
          <w:p w14:paraId="072452E4" w14:textId="77777777" w:rsidR="000A2785" w:rsidRDefault="000A2785">
            <w:pPr>
              <w:widowControl w:val="0"/>
              <w:jc w:val="center"/>
              <w:rPr>
                <w:rFonts w:ascii="Arial" w:eastAsia="Arial" w:hAnsi="Arial" w:cs="Arial"/>
                <w:lang w:val="en-PH" w:eastAsia="en-PH"/>
              </w:rPr>
            </w:pPr>
            <w:r>
              <w:rPr>
                <w:rFonts w:ascii="Arial" w:eastAsia="Arial" w:hAnsi="Arial" w:cs="Arial"/>
                <w:lang w:val="en-PH" w:eastAsia="en-PH"/>
              </w:rPr>
              <w:t>-0.25</w:t>
            </w:r>
          </w:p>
        </w:tc>
        <w:tc>
          <w:tcPr>
            <w:tcW w:w="1065" w:type="dxa"/>
            <w:tcBorders>
              <w:top w:val="nil"/>
              <w:left w:val="nil"/>
              <w:bottom w:val="nil"/>
              <w:right w:val="nil"/>
            </w:tcBorders>
            <w:hideMark/>
          </w:tcPr>
          <w:p w14:paraId="178CB139" w14:textId="77777777" w:rsidR="000A2785" w:rsidRDefault="000A2785">
            <w:pPr>
              <w:widowControl w:val="0"/>
              <w:jc w:val="center"/>
              <w:rPr>
                <w:rFonts w:ascii="Arial" w:eastAsia="Arial" w:hAnsi="Arial" w:cs="Arial"/>
                <w:lang w:val="en-PH" w:eastAsia="en-PH"/>
              </w:rPr>
            </w:pPr>
            <w:r>
              <w:rPr>
                <w:rFonts w:ascii="Arial" w:eastAsia="Arial" w:hAnsi="Arial" w:cs="Arial"/>
                <w:lang w:val="en-PH" w:eastAsia="en-PH"/>
              </w:rPr>
              <w:t>0.05</w:t>
            </w:r>
          </w:p>
        </w:tc>
        <w:tc>
          <w:tcPr>
            <w:tcW w:w="1120" w:type="dxa"/>
            <w:tcBorders>
              <w:top w:val="nil"/>
              <w:left w:val="nil"/>
              <w:bottom w:val="nil"/>
              <w:right w:val="nil"/>
            </w:tcBorders>
            <w:hideMark/>
          </w:tcPr>
          <w:p w14:paraId="0B779A9F" w14:textId="77777777" w:rsidR="000A2785" w:rsidRDefault="000A2785">
            <w:pPr>
              <w:widowControl w:val="0"/>
              <w:jc w:val="center"/>
              <w:rPr>
                <w:rFonts w:ascii="Arial" w:eastAsia="Arial" w:hAnsi="Arial" w:cs="Arial"/>
                <w:lang w:val="en-PH" w:eastAsia="en-PH"/>
              </w:rPr>
            </w:pPr>
            <w:r>
              <w:rPr>
                <w:rFonts w:ascii="Arial" w:eastAsia="Arial" w:hAnsi="Arial" w:cs="Arial"/>
                <w:lang w:val="en-PH" w:eastAsia="en-PH"/>
              </w:rPr>
              <w:t>-0.40</w:t>
            </w:r>
          </w:p>
        </w:tc>
        <w:tc>
          <w:tcPr>
            <w:tcW w:w="1087" w:type="dxa"/>
            <w:tcBorders>
              <w:top w:val="nil"/>
              <w:left w:val="nil"/>
              <w:bottom w:val="nil"/>
              <w:right w:val="nil"/>
            </w:tcBorders>
            <w:hideMark/>
          </w:tcPr>
          <w:p w14:paraId="0673811C" w14:textId="77777777" w:rsidR="000A2785" w:rsidRDefault="000A2785">
            <w:pPr>
              <w:widowControl w:val="0"/>
              <w:jc w:val="center"/>
              <w:rPr>
                <w:rFonts w:ascii="Arial" w:eastAsia="Arial" w:hAnsi="Arial" w:cs="Arial"/>
                <w:lang w:val="en-PH" w:eastAsia="en-PH"/>
              </w:rPr>
            </w:pPr>
            <w:r>
              <w:rPr>
                <w:rFonts w:ascii="Arial" w:eastAsia="Arial" w:hAnsi="Arial" w:cs="Arial"/>
                <w:lang w:val="en-PH" w:eastAsia="en-PH"/>
              </w:rPr>
              <w:t>-5.06</w:t>
            </w:r>
          </w:p>
        </w:tc>
        <w:tc>
          <w:tcPr>
            <w:tcW w:w="1146" w:type="dxa"/>
            <w:tcBorders>
              <w:top w:val="nil"/>
              <w:left w:val="nil"/>
              <w:bottom w:val="nil"/>
              <w:right w:val="nil"/>
            </w:tcBorders>
            <w:hideMark/>
          </w:tcPr>
          <w:p w14:paraId="182CBD41" w14:textId="77777777" w:rsidR="000A2785" w:rsidRDefault="000A2785">
            <w:pPr>
              <w:widowControl w:val="0"/>
              <w:jc w:val="center"/>
              <w:rPr>
                <w:rFonts w:ascii="Arial" w:eastAsia="Arial" w:hAnsi="Arial" w:cs="Arial"/>
                <w:lang w:val="en-PH" w:eastAsia="en-PH"/>
              </w:rPr>
            </w:pPr>
            <w:r>
              <w:rPr>
                <w:rFonts w:ascii="Arial" w:eastAsia="Arial" w:hAnsi="Arial" w:cs="Arial"/>
                <w:lang w:val="en-PH" w:eastAsia="en-PH"/>
              </w:rPr>
              <w:t>0.000</w:t>
            </w:r>
          </w:p>
        </w:tc>
        <w:tc>
          <w:tcPr>
            <w:tcW w:w="1540" w:type="dxa"/>
            <w:tcBorders>
              <w:top w:val="nil"/>
              <w:left w:val="nil"/>
              <w:bottom w:val="nil"/>
              <w:right w:val="nil"/>
            </w:tcBorders>
            <w:hideMark/>
          </w:tcPr>
          <w:p w14:paraId="0765354B" w14:textId="77777777" w:rsidR="000A2785" w:rsidRDefault="000A2785">
            <w:pPr>
              <w:widowControl w:val="0"/>
              <w:jc w:val="center"/>
              <w:rPr>
                <w:rFonts w:ascii="Arial" w:eastAsia="Arial" w:hAnsi="Arial" w:cs="Arial"/>
                <w:lang w:val="en-PH" w:eastAsia="en-PH"/>
              </w:rPr>
            </w:pPr>
            <w:r>
              <w:rPr>
                <w:rFonts w:ascii="Arial" w:eastAsia="Arial" w:hAnsi="Arial" w:cs="Arial"/>
                <w:lang w:val="en-PH" w:eastAsia="en-PH"/>
              </w:rPr>
              <w:t>Significant</w:t>
            </w:r>
          </w:p>
        </w:tc>
      </w:tr>
      <w:tr w:rsidR="000A2785" w14:paraId="79E48A59" w14:textId="77777777" w:rsidTr="000A2785">
        <w:trPr>
          <w:trHeight w:val="189"/>
        </w:trPr>
        <w:tc>
          <w:tcPr>
            <w:tcW w:w="1911" w:type="dxa"/>
            <w:tcBorders>
              <w:top w:val="nil"/>
              <w:left w:val="nil"/>
              <w:bottom w:val="nil"/>
              <w:right w:val="nil"/>
            </w:tcBorders>
            <w:hideMark/>
          </w:tcPr>
          <w:p w14:paraId="107A2A3F" w14:textId="77777777" w:rsidR="000A2785" w:rsidRDefault="000A2785">
            <w:pPr>
              <w:widowControl w:val="0"/>
              <w:jc w:val="center"/>
              <w:rPr>
                <w:rFonts w:ascii="Arial" w:eastAsia="Arial" w:hAnsi="Arial" w:cs="Arial"/>
                <w:lang w:val="en-PH" w:eastAsia="en-PH"/>
              </w:rPr>
            </w:pPr>
            <w:r>
              <w:rPr>
                <w:rFonts w:ascii="Arial" w:eastAsia="Arial" w:hAnsi="Arial" w:cs="Arial"/>
                <w:lang w:val="en-PH" w:eastAsia="en-PH"/>
              </w:rPr>
              <w:t>Inclusivity</w:t>
            </w:r>
          </w:p>
        </w:tc>
        <w:tc>
          <w:tcPr>
            <w:tcW w:w="1012" w:type="dxa"/>
            <w:tcBorders>
              <w:top w:val="nil"/>
              <w:left w:val="nil"/>
              <w:bottom w:val="nil"/>
              <w:right w:val="nil"/>
            </w:tcBorders>
            <w:hideMark/>
          </w:tcPr>
          <w:p w14:paraId="39B36FA7" w14:textId="77777777" w:rsidR="000A2785" w:rsidRDefault="000A2785">
            <w:pPr>
              <w:widowControl w:val="0"/>
              <w:jc w:val="center"/>
              <w:rPr>
                <w:rFonts w:ascii="Arial" w:eastAsia="Arial" w:hAnsi="Arial" w:cs="Arial"/>
                <w:lang w:val="en-PH" w:eastAsia="en-PH"/>
              </w:rPr>
            </w:pPr>
            <w:r>
              <w:rPr>
                <w:rFonts w:ascii="Arial" w:eastAsia="Arial" w:hAnsi="Arial" w:cs="Arial"/>
                <w:lang w:val="en-PH" w:eastAsia="en-PH"/>
              </w:rPr>
              <w:t>0.51</w:t>
            </w:r>
          </w:p>
        </w:tc>
        <w:tc>
          <w:tcPr>
            <w:tcW w:w="1065" w:type="dxa"/>
            <w:tcBorders>
              <w:top w:val="nil"/>
              <w:left w:val="nil"/>
              <w:bottom w:val="nil"/>
              <w:right w:val="nil"/>
            </w:tcBorders>
            <w:hideMark/>
          </w:tcPr>
          <w:p w14:paraId="33CF3F6C" w14:textId="77777777" w:rsidR="000A2785" w:rsidRDefault="000A2785">
            <w:pPr>
              <w:widowControl w:val="0"/>
              <w:jc w:val="center"/>
              <w:rPr>
                <w:rFonts w:ascii="Arial" w:eastAsia="Arial" w:hAnsi="Arial" w:cs="Arial"/>
                <w:lang w:val="en-PH" w:eastAsia="en-PH"/>
              </w:rPr>
            </w:pPr>
            <w:r>
              <w:rPr>
                <w:rFonts w:ascii="Arial" w:eastAsia="Arial" w:hAnsi="Arial" w:cs="Arial"/>
                <w:lang w:val="en-PH" w:eastAsia="en-PH"/>
              </w:rPr>
              <w:t>0.03</w:t>
            </w:r>
          </w:p>
        </w:tc>
        <w:tc>
          <w:tcPr>
            <w:tcW w:w="1120" w:type="dxa"/>
            <w:tcBorders>
              <w:top w:val="nil"/>
              <w:left w:val="nil"/>
              <w:bottom w:val="nil"/>
              <w:right w:val="nil"/>
            </w:tcBorders>
            <w:hideMark/>
          </w:tcPr>
          <w:p w14:paraId="30C0DF56" w14:textId="77777777" w:rsidR="000A2785" w:rsidRDefault="000A2785">
            <w:pPr>
              <w:widowControl w:val="0"/>
              <w:jc w:val="center"/>
              <w:rPr>
                <w:rFonts w:ascii="Arial" w:eastAsia="Arial" w:hAnsi="Arial" w:cs="Arial"/>
                <w:lang w:val="en-PH" w:eastAsia="en-PH"/>
              </w:rPr>
            </w:pPr>
            <w:r>
              <w:rPr>
                <w:rFonts w:ascii="Arial" w:eastAsia="Arial" w:hAnsi="Arial" w:cs="Arial"/>
                <w:lang w:val="en-PH" w:eastAsia="en-PH"/>
              </w:rPr>
              <w:t>0.82</w:t>
            </w:r>
          </w:p>
        </w:tc>
        <w:tc>
          <w:tcPr>
            <w:tcW w:w="1087" w:type="dxa"/>
            <w:tcBorders>
              <w:top w:val="nil"/>
              <w:left w:val="nil"/>
              <w:bottom w:val="nil"/>
              <w:right w:val="nil"/>
            </w:tcBorders>
            <w:hideMark/>
          </w:tcPr>
          <w:p w14:paraId="7244BC8F" w14:textId="77777777" w:rsidR="000A2785" w:rsidRDefault="000A2785">
            <w:pPr>
              <w:widowControl w:val="0"/>
              <w:jc w:val="center"/>
              <w:rPr>
                <w:rFonts w:ascii="Arial" w:eastAsia="Arial" w:hAnsi="Arial" w:cs="Arial"/>
                <w:lang w:val="en-PH" w:eastAsia="en-PH"/>
              </w:rPr>
            </w:pPr>
            <w:r>
              <w:rPr>
                <w:rFonts w:ascii="Arial" w:eastAsia="Arial" w:hAnsi="Arial" w:cs="Arial"/>
                <w:lang w:val="en-PH" w:eastAsia="en-PH"/>
              </w:rPr>
              <w:t>15.98</w:t>
            </w:r>
          </w:p>
        </w:tc>
        <w:tc>
          <w:tcPr>
            <w:tcW w:w="1146" w:type="dxa"/>
            <w:tcBorders>
              <w:top w:val="nil"/>
              <w:left w:val="nil"/>
              <w:bottom w:val="nil"/>
              <w:right w:val="nil"/>
            </w:tcBorders>
            <w:hideMark/>
          </w:tcPr>
          <w:p w14:paraId="52029D61" w14:textId="77777777" w:rsidR="000A2785" w:rsidRDefault="000A2785">
            <w:pPr>
              <w:widowControl w:val="0"/>
              <w:jc w:val="center"/>
              <w:rPr>
                <w:rFonts w:ascii="Arial" w:eastAsia="Arial" w:hAnsi="Arial" w:cs="Arial"/>
                <w:lang w:val="en-PH" w:eastAsia="en-PH"/>
              </w:rPr>
            </w:pPr>
            <w:r>
              <w:rPr>
                <w:rFonts w:ascii="Arial" w:eastAsia="Arial" w:hAnsi="Arial" w:cs="Arial"/>
                <w:lang w:val="en-PH" w:eastAsia="en-PH"/>
              </w:rPr>
              <w:t>0.000</w:t>
            </w:r>
          </w:p>
        </w:tc>
        <w:tc>
          <w:tcPr>
            <w:tcW w:w="1540" w:type="dxa"/>
            <w:tcBorders>
              <w:top w:val="nil"/>
              <w:left w:val="nil"/>
              <w:bottom w:val="nil"/>
              <w:right w:val="nil"/>
            </w:tcBorders>
            <w:hideMark/>
          </w:tcPr>
          <w:p w14:paraId="495C6D93" w14:textId="77777777" w:rsidR="000A2785" w:rsidRDefault="000A2785">
            <w:pPr>
              <w:widowControl w:val="0"/>
              <w:jc w:val="center"/>
              <w:rPr>
                <w:rFonts w:ascii="Arial" w:eastAsia="Arial" w:hAnsi="Arial" w:cs="Arial"/>
                <w:lang w:val="en-PH" w:eastAsia="en-PH"/>
              </w:rPr>
            </w:pPr>
            <w:r>
              <w:rPr>
                <w:rFonts w:ascii="Arial" w:eastAsia="Arial" w:hAnsi="Arial" w:cs="Arial"/>
                <w:lang w:val="en-PH" w:eastAsia="en-PH"/>
              </w:rPr>
              <w:t>Significant</w:t>
            </w:r>
          </w:p>
        </w:tc>
      </w:tr>
      <w:tr w:rsidR="000A2785" w14:paraId="5087B41A" w14:textId="77777777" w:rsidTr="000A2785">
        <w:trPr>
          <w:trHeight w:val="536"/>
        </w:trPr>
        <w:tc>
          <w:tcPr>
            <w:tcW w:w="1911" w:type="dxa"/>
            <w:tcBorders>
              <w:top w:val="nil"/>
              <w:left w:val="nil"/>
              <w:bottom w:val="nil"/>
              <w:right w:val="nil"/>
            </w:tcBorders>
          </w:tcPr>
          <w:p w14:paraId="4F9C7264" w14:textId="77777777" w:rsidR="000A2785" w:rsidRDefault="000A2785">
            <w:pPr>
              <w:widowControl w:val="0"/>
              <w:jc w:val="both"/>
              <w:rPr>
                <w:rFonts w:ascii="Arial" w:eastAsia="Arial" w:hAnsi="Arial" w:cs="Arial"/>
                <w:lang w:val="en-PH" w:eastAsia="en-PH"/>
              </w:rPr>
            </w:pPr>
          </w:p>
        </w:tc>
        <w:tc>
          <w:tcPr>
            <w:tcW w:w="1012" w:type="dxa"/>
            <w:tcBorders>
              <w:top w:val="nil"/>
              <w:left w:val="nil"/>
              <w:bottom w:val="nil"/>
              <w:right w:val="nil"/>
            </w:tcBorders>
          </w:tcPr>
          <w:p w14:paraId="3FDD3C1F" w14:textId="77777777" w:rsidR="000A2785" w:rsidRDefault="000A2785">
            <w:pPr>
              <w:widowControl w:val="0"/>
              <w:jc w:val="both"/>
              <w:rPr>
                <w:rFonts w:ascii="Arial" w:eastAsia="Arial" w:hAnsi="Arial" w:cs="Arial"/>
                <w:lang w:val="en-PH" w:eastAsia="en-PH"/>
              </w:rPr>
            </w:pPr>
          </w:p>
        </w:tc>
        <w:tc>
          <w:tcPr>
            <w:tcW w:w="1065" w:type="dxa"/>
            <w:tcBorders>
              <w:top w:val="nil"/>
              <w:left w:val="nil"/>
              <w:bottom w:val="nil"/>
              <w:right w:val="nil"/>
            </w:tcBorders>
          </w:tcPr>
          <w:p w14:paraId="25584A47" w14:textId="77777777" w:rsidR="000A2785" w:rsidRDefault="000A2785">
            <w:pPr>
              <w:widowControl w:val="0"/>
              <w:jc w:val="both"/>
              <w:rPr>
                <w:rFonts w:ascii="Arial" w:eastAsia="Arial" w:hAnsi="Arial" w:cs="Arial"/>
                <w:lang w:val="en-PH" w:eastAsia="en-PH"/>
              </w:rPr>
            </w:pPr>
          </w:p>
        </w:tc>
        <w:tc>
          <w:tcPr>
            <w:tcW w:w="1120" w:type="dxa"/>
            <w:tcBorders>
              <w:top w:val="nil"/>
              <w:left w:val="nil"/>
              <w:bottom w:val="nil"/>
              <w:right w:val="nil"/>
            </w:tcBorders>
          </w:tcPr>
          <w:p w14:paraId="4726578A" w14:textId="77777777" w:rsidR="000A2785" w:rsidRDefault="000A2785">
            <w:pPr>
              <w:widowControl w:val="0"/>
              <w:jc w:val="both"/>
              <w:rPr>
                <w:rFonts w:ascii="Arial" w:eastAsia="Arial" w:hAnsi="Arial" w:cs="Arial"/>
                <w:lang w:val="en-PH" w:eastAsia="en-PH"/>
              </w:rPr>
            </w:pPr>
          </w:p>
        </w:tc>
        <w:tc>
          <w:tcPr>
            <w:tcW w:w="1087" w:type="dxa"/>
            <w:tcBorders>
              <w:top w:val="nil"/>
              <w:left w:val="nil"/>
              <w:bottom w:val="nil"/>
              <w:right w:val="nil"/>
            </w:tcBorders>
          </w:tcPr>
          <w:p w14:paraId="24F9297E" w14:textId="77777777" w:rsidR="000A2785" w:rsidRDefault="000A2785">
            <w:pPr>
              <w:widowControl w:val="0"/>
              <w:jc w:val="both"/>
              <w:rPr>
                <w:rFonts w:ascii="Arial" w:eastAsia="Arial" w:hAnsi="Arial" w:cs="Arial"/>
                <w:lang w:val="en-PH" w:eastAsia="en-PH"/>
              </w:rPr>
            </w:pPr>
          </w:p>
        </w:tc>
        <w:tc>
          <w:tcPr>
            <w:tcW w:w="1146" w:type="dxa"/>
            <w:tcBorders>
              <w:top w:val="nil"/>
              <w:left w:val="nil"/>
              <w:bottom w:val="nil"/>
              <w:right w:val="nil"/>
            </w:tcBorders>
          </w:tcPr>
          <w:p w14:paraId="05B990E2" w14:textId="77777777" w:rsidR="000A2785" w:rsidRDefault="000A2785">
            <w:pPr>
              <w:widowControl w:val="0"/>
              <w:jc w:val="both"/>
              <w:rPr>
                <w:rFonts w:ascii="Arial" w:eastAsia="Arial" w:hAnsi="Arial" w:cs="Arial"/>
                <w:lang w:val="en-PH" w:eastAsia="en-PH"/>
              </w:rPr>
            </w:pPr>
          </w:p>
        </w:tc>
        <w:tc>
          <w:tcPr>
            <w:tcW w:w="1540" w:type="dxa"/>
            <w:tcBorders>
              <w:top w:val="nil"/>
              <w:left w:val="nil"/>
              <w:bottom w:val="nil"/>
              <w:right w:val="nil"/>
            </w:tcBorders>
          </w:tcPr>
          <w:p w14:paraId="3AF7D3DE" w14:textId="77777777" w:rsidR="000A2785" w:rsidRDefault="000A2785">
            <w:pPr>
              <w:widowControl w:val="0"/>
              <w:jc w:val="both"/>
              <w:rPr>
                <w:rFonts w:ascii="Arial" w:eastAsia="Arial" w:hAnsi="Arial" w:cs="Arial"/>
                <w:lang w:val="en-PH" w:eastAsia="en-PH"/>
              </w:rPr>
            </w:pPr>
          </w:p>
        </w:tc>
      </w:tr>
      <w:tr w:rsidR="000A2785" w14:paraId="26AEEE63" w14:textId="77777777" w:rsidTr="000A2785">
        <w:trPr>
          <w:trHeight w:val="521"/>
        </w:trPr>
        <w:tc>
          <w:tcPr>
            <w:tcW w:w="8881" w:type="dxa"/>
            <w:gridSpan w:val="7"/>
            <w:tcBorders>
              <w:top w:val="nil"/>
              <w:left w:val="nil"/>
              <w:bottom w:val="nil"/>
              <w:right w:val="nil"/>
            </w:tcBorders>
            <w:hideMark/>
          </w:tcPr>
          <w:p w14:paraId="01153C17" w14:textId="77777777" w:rsidR="000A2785" w:rsidRDefault="000A2785">
            <w:pPr>
              <w:widowControl w:val="0"/>
              <w:jc w:val="both"/>
              <w:rPr>
                <w:rFonts w:ascii="Arial" w:eastAsia="Arial" w:hAnsi="Arial" w:cs="Arial"/>
                <w:b/>
                <w:u w:val="single"/>
                <w:lang w:val="en-PH" w:eastAsia="en-PH"/>
              </w:rPr>
            </w:pPr>
            <w:r>
              <w:rPr>
                <w:rFonts w:ascii="Arial" w:eastAsia="Arial" w:hAnsi="Arial" w:cs="Arial"/>
                <w:b/>
                <w:u w:val="single"/>
                <w:lang w:val="en-PH" w:eastAsia="en-PH"/>
              </w:rPr>
              <w:t>Regression Model</w:t>
            </w:r>
          </w:p>
        </w:tc>
      </w:tr>
      <w:tr w:rsidR="000A2785" w14:paraId="7D182F94" w14:textId="77777777" w:rsidTr="000A2785">
        <w:trPr>
          <w:trHeight w:val="521"/>
        </w:trPr>
        <w:tc>
          <w:tcPr>
            <w:tcW w:w="8881" w:type="dxa"/>
            <w:gridSpan w:val="7"/>
            <w:tcBorders>
              <w:top w:val="nil"/>
              <w:left w:val="nil"/>
              <w:bottom w:val="nil"/>
              <w:right w:val="nil"/>
            </w:tcBorders>
          </w:tcPr>
          <w:p w14:paraId="1FFC1001" w14:textId="77777777" w:rsidR="000A2785" w:rsidRDefault="000A2785">
            <w:pPr>
              <w:widowControl w:val="0"/>
              <w:jc w:val="both"/>
              <w:rPr>
                <w:rFonts w:ascii="Arial" w:eastAsia="Arial" w:hAnsi="Arial" w:cs="Arial"/>
                <w:lang w:val="en-PH" w:eastAsia="en-PH"/>
              </w:rPr>
            </w:pPr>
            <w:r>
              <w:rPr>
                <w:rFonts w:ascii="Arial" w:eastAsia="Arial" w:hAnsi="Arial" w:cs="Arial"/>
                <w:lang w:val="en-PH" w:eastAsia="en-PH"/>
              </w:rPr>
              <w:t>Classroom Social Control=2.30 + 0.32 (Collaborative Learning) + -0.25 (Empathy) + 0.51 (Inclusivity)</w:t>
            </w:r>
          </w:p>
          <w:p w14:paraId="23FEB2A5" w14:textId="77777777" w:rsidR="000A2785" w:rsidRDefault="000A2785">
            <w:pPr>
              <w:widowControl w:val="0"/>
              <w:jc w:val="both"/>
              <w:rPr>
                <w:rFonts w:ascii="Arial" w:eastAsia="Arial" w:hAnsi="Arial" w:cs="Arial"/>
                <w:lang w:val="en-PH" w:eastAsia="en-PH"/>
              </w:rPr>
            </w:pPr>
          </w:p>
        </w:tc>
      </w:tr>
      <w:tr w:rsidR="000A2785" w14:paraId="529254BC" w14:textId="77777777" w:rsidTr="000A2785">
        <w:trPr>
          <w:trHeight w:val="80"/>
        </w:trPr>
        <w:tc>
          <w:tcPr>
            <w:tcW w:w="8881" w:type="dxa"/>
            <w:gridSpan w:val="7"/>
            <w:tcBorders>
              <w:top w:val="nil"/>
              <w:left w:val="nil"/>
              <w:bottom w:val="single" w:sz="4" w:space="0" w:color="000000"/>
              <w:right w:val="nil"/>
            </w:tcBorders>
            <w:hideMark/>
          </w:tcPr>
          <w:p w14:paraId="23E63BD6" w14:textId="77777777" w:rsidR="000A2785" w:rsidRDefault="000A2785">
            <w:pPr>
              <w:widowControl w:val="0"/>
              <w:jc w:val="both"/>
              <w:rPr>
                <w:rFonts w:ascii="Arial" w:eastAsia="Arial" w:hAnsi="Arial" w:cs="Arial"/>
                <w:lang w:val="en-PH" w:eastAsia="en-PH"/>
              </w:rPr>
            </w:pPr>
            <w:r>
              <w:rPr>
                <w:rFonts w:ascii="Arial" w:eastAsia="Arial" w:hAnsi="Arial" w:cs="Arial"/>
                <w:lang w:val="en-PH" w:eastAsia="en-PH"/>
              </w:rPr>
              <w:t>R=0.866; R²=0.749; F=100.77; p-value=0.000</w:t>
            </w:r>
          </w:p>
        </w:tc>
      </w:tr>
    </w:tbl>
    <w:p w14:paraId="5CB07BF5" w14:textId="7437914E" w:rsidR="00D82866" w:rsidRPr="00D815DA" w:rsidRDefault="00D82866" w:rsidP="00D82866">
      <w:pPr>
        <w:jc w:val="both"/>
        <w:rPr>
          <w:rFonts w:ascii="Arial" w:hAnsi="Arial" w:cs="Arial"/>
        </w:rPr>
      </w:pPr>
    </w:p>
    <w:p w14:paraId="6FDD1CAA" w14:textId="77777777" w:rsidR="00717F2E" w:rsidRDefault="00717F2E">
      <w:pPr>
        <w:jc w:val="both"/>
        <w:rPr>
          <w:rFonts w:ascii="Arial" w:hAnsi="Arial" w:cs="Arial"/>
        </w:rPr>
      </w:pPr>
    </w:p>
    <w:p w14:paraId="3CB6C4DC" w14:textId="77777777" w:rsidR="000A2785" w:rsidRPr="000A2785" w:rsidRDefault="000A2785" w:rsidP="000A2785">
      <w:pPr>
        <w:pStyle w:val="Body"/>
        <w:rPr>
          <w:rFonts w:ascii="Arial" w:hAnsi="Arial" w:cs="Arial"/>
        </w:rPr>
      </w:pPr>
      <w:r>
        <w:rPr>
          <w:rFonts w:ascii="Arial" w:hAnsi="Arial" w:cs="Arial"/>
        </w:rPr>
        <w:lastRenderedPageBreak/>
        <w:t xml:space="preserve">Presented in Table 4 </w:t>
      </w:r>
      <w:r w:rsidRPr="000A2785">
        <w:rPr>
          <w:rFonts w:ascii="Arial" w:hAnsi="Arial" w:cs="Arial"/>
        </w:rPr>
        <w:t>is the regression analysis examining how different domains of ingenious solidarity significantly influence classroom social control among public secondary language teachers.</w:t>
      </w:r>
      <w:r>
        <w:rPr>
          <w:rFonts w:ascii="Arial" w:hAnsi="Arial" w:cs="Arial"/>
        </w:rPr>
        <w:t xml:space="preserve"> </w:t>
      </w:r>
      <w:r w:rsidRPr="000A2785">
        <w:rPr>
          <w:rFonts w:ascii="Arial" w:hAnsi="Arial" w:cs="Arial"/>
        </w:rPr>
        <w:t>The regression model reveals that collaborative learning, empathy, and inclusivity domains significantly influence classroom social control. Specifically, inclusivity (B = 0.51) has the strongest positive influence, followed by collaborative learning (B = 0.32), while empathy (B = -0.25) has a negative influence. The domain of cultural connection (B = -0.11) was found to be not statistically significant (p = 0.101), suggesting that it does not have a meaningful impact on classroom social control in this context. The t-statistics for each significant factor (ranging from 10.25 to 15.98) and their corresponding p-values (all below 0.05) confirm the statistical significance of collaborative learning, empathy, and inclusivity. At the same time, the non-significant result for cultural connection indicates that it does not significantly affect classroom social control.</w:t>
      </w:r>
    </w:p>
    <w:p w14:paraId="4AAB0AEE" w14:textId="77777777" w:rsidR="000A2785" w:rsidRPr="000A2785" w:rsidRDefault="000A2785" w:rsidP="000A2785">
      <w:pPr>
        <w:pStyle w:val="Body"/>
        <w:rPr>
          <w:rFonts w:ascii="Arial" w:hAnsi="Arial" w:cs="Arial"/>
        </w:rPr>
      </w:pPr>
      <w:r w:rsidRPr="000A2785">
        <w:rPr>
          <w:rFonts w:ascii="Arial" w:hAnsi="Arial" w:cs="Arial"/>
        </w:rPr>
        <w:t>The regression equation is as follows: classroom social control = 2.30 + 0.32 (collaborative learning) + -0.25 (empathy) + 0.51 (inclusivity). The model explains 74.9% of the variance in classroom social control (R² = 0.749). Furthermore, the model’s F-value of 100.77 and its p-value of 0.000 indicate that the model is statistically significant.</w:t>
      </w:r>
    </w:p>
    <w:p w14:paraId="1ECF3297" w14:textId="77777777" w:rsidR="000A2785" w:rsidRPr="000A2785" w:rsidRDefault="000A2785" w:rsidP="000A2785">
      <w:pPr>
        <w:pStyle w:val="Body"/>
        <w:rPr>
          <w:rFonts w:ascii="Arial" w:hAnsi="Arial" w:cs="Arial"/>
        </w:rPr>
      </w:pPr>
      <w:r w:rsidRPr="000A2785">
        <w:rPr>
          <w:rFonts w:ascii="Arial" w:hAnsi="Arial" w:cs="Arial"/>
        </w:rPr>
        <w:t>This finding implies that strong collaborative learning and inclusivity practices positively influence classroom social control. In contrast, the negative influence of empathy suggests that an overemphasis on emotional considerations may not always enhance classroom management. The non-significance of cultural connection suggests that it does not play a crucial role in shaping classroom social control in this case. These results highlight the importance of focusing on inclusive and collaborative teaching strategies to foster a positive classroom environment while recognizing the complexities of emotional responses in maintaining classroom order.</w:t>
      </w:r>
    </w:p>
    <w:p w14:paraId="411B73A7" w14:textId="0DD49470" w:rsidR="004C5898" w:rsidRPr="000A2785" w:rsidRDefault="000A2785" w:rsidP="000A2785">
      <w:pPr>
        <w:pStyle w:val="Body"/>
        <w:rPr>
          <w:rFonts w:ascii="Arial" w:hAnsi="Arial" w:cs="Arial"/>
        </w:rPr>
      </w:pPr>
      <w:r w:rsidRPr="000A2785">
        <w:rPr>
          <w:rFonts w:ascii="Arial" w:hAnsi="Arial" w:cs="Arial"/>
        </w:rPr>
        <w:t xml:space="preserve">This finding aligns with the research of Singh et al. (2025), who highlighted the significant influence of various domains of ingenious solidarity, such as collaborative learning and inclusivity, on classroom social control. Their study found that when teachers demonstrate a high degree of ingenuity in fostering a cooperative and inclusive learning environment, they can better manage classroom dynamics and maintain order. Similarly, Mayes (2022) noted that the empathy and cultural connection domains within ingenious solidarity are essential in promoting a positive classroom atmosphere, where students feel supported and engaged, leading to improved classroom control. Additionally, </w:t>
      </w:r>
      <w:proofErr w:type="spellStart"/>
      <w:r w:rsidRPr="000A2785">
        <w:rPr>
          <w:rFonts w:ascii="Arial" w:hAnsi="Arial" w:cs="Arial"/>
        </w:rPr>
        <w:t>Almerol</w:t>
      </w:r>
      <w:proofErr w:type="spellEnd"/>
      <w:r w:rsidRPr="000A2785">
        <w:rPr>
          <w:rFonts w:ascii="Arial" w:hAnsi="Arial" w:cs="Arial"/>
        </w:rPr>
        <w:t xml:space="preserve"> and Baguio (2024) argued that when teachers exhibit strong conscientiousness and virtue, it strengthens classroom social control, ensuring students behave respectfully and adhere to classroom norms.</w:t>
      </w:r>
    </w:p>
    <w:p w14:paraId="72EB1A7E" w14:textId="77777777" w:rsidR="000A2785" w:rsidRDefault="000A2785" w:rsidP="00850E61">
      <w:pPr>
        <w:pStyle w:val="Body"/>
        <w:rPr>
          <w:rFonts w:ascii="Arial" w:hAnsi="Arial" w:cs="Arial"/>
          <w:b/>
          <w:bCs/>
        </w:rPr>
      </w:pPr>
    </w:p>
    <w:p w14:paraId="08FEB9C6" w14:textId="360EDAC2" w:rsidR="002039CD" w:rsidRPr="002039CD" w:rsidRDefault="00180859" w:rsidP="00850E61">
      <w:pPr>
        <w:pStyle w:val="Body"/>
        <w:rPr>
          <w:rFonts w:ascii="Arial" w:hAnsi="Arial" w:cs="Arial"/>
          <w:b/>
          <w:bCs/>
        </w:rPr>
      </w:pPr>
      <w:r>
        <w:rPr>
          <w:rFonts w:ascii="Arial" w:hAnsi="Arial" w:cs="Arial"/>
          <w:b/>
          <w:bCs/>
        </w:rPr>
        <w:t xml:space="preserve">5. </w:t>
      </w:r>
      <w:r w:rsidR="00B364F1">
        <w:rPr>
          <w:rFonts w:ascii="Arial" w:hAnsi="Arial" w:cs="Arial"/>
          <w:b/>
          <w:bCs/>
        </w:rPr>
        <w:t>CONCLUSIONS</w:t>
      </w:r>
    </w:p>
    <w:p w14:paraId="4BBEA7B5" w14:textId="77777777" w:rsidR="000A2785" w:rsidRPr="000A2785" w:rsidRDefault="000A2785" w:rsidP="000A2785">
      <w:pPr>
        <w:pStyle w:val="ReferHead"/>
        <w:jc w:val="both"/>
        <w:rPr>
          <w:rFonts w:ascii="Arial" w:hAnsi="Arial" w:cs="Arial"/>
          <w:b w:val="0"/>
          <w:caps w:val="0"/>
          <w:sz w:val="20"/>
        </w:rPr>
      </w:pPr>
      <w:r w:rsidRPr="000A2785">
        <w:rPr>
          <w:rFonts w:ascii="Arial" w:hAnsi="Arial" w:cs="Arial"/>
          <w:b w:val="0"/>
          <w:caps w:val="0"/>
          <w:sz w:val="20"/>
        </w:rPr>
        <w:t>Based on the findings of the study, the following conclusions were formulated:</w:t>
      </w:r>
    </w:p>
    <w:p w14:paraId="6C34B526" w14:textId="77777777" w:rsidR="000A2785" w:rsidRPr="000A2785" w:rsidRDefault="000A2785" w:rsidP="000A2785">
      <w:pPr>
        <w:pStyle w:val="ReferHead"/>
        <w:jc w:val="both"/>
        <w:rPr>
          <w:rFonts w:ascii="Arial" w:hAnsi="Arial" w:cs="Arial"/>
          <w:b w:val="0"/>
          <w:caps w:val="0"/>
          <w:sz w:val="20"/>
        </w:rPr>
      </w:pPr>
      <w:r w:rsidRPr="000A2785">
        <w:rPr>
          <w:rFonts w:ascii="Arial" w:hAnsi="Arial" w:cs="Arial"/>
          <w:b w:val="0"/>
          <w:caps w:val="0"/>
          <w:sz w:val="20"/>
        </w:rPr>
        <w:t>Firstly, the level of ingenious solidarity among public secondary language teachers is often manifested. This suggests that teachers frequently promote collaborative learning, foster cultural connections, show empathy, and encourage inclusivity in their classrooms, demonstrating strong interpersonal and pedagogical values essential for a supportive educational environment.</w:t>
      </w:r>
    </w:p>
    <w:p w14:paraId="3D16704F" w14:textId="77777777" w:rsidR="000A2785" w:rsidRPr="000A2785" w:rsidRDefault="000A2785" w:rsidP="000A2785">
      <w:pPr>
        <w:pStyle w:val="ReferHead"/>
        <w:jc w:val="both"/>
        <w:rPr>
          <w:rFonts w:ascii="Arial" w:hAnsi="Arial" w:cs="Arial"/>
          <w:b w:val="0"/>
          <w:caps w:val="0"/>
          <w:sz w:val="20"/>
        </w:rPr>
      </w:pPr>
      <w:r w:rsidRPr="000A2785">
        <w:rPr>
          <w:rFonts w:ascii="Arial" w:hAnsi="Arial" w:cs="Arial"/>
          <w:b w:val="0"/>
          <w:caps w:val="0"/>
          <w:sz w:val="20"/>
        </w:rPr>
        <w:t xml:space="preserve">Secondly, the level of classroom social control among public secondary language teachers is often manifested. This indicates that teachers consistently demonstrate behaviors aligned with </w:t>
      </w:r>
      <w:r w:rsidRPr="000A2785">
        <w:rPr>
          <w:rFonts w:ascii="Arial" w:hAnsi="Arial" w:cs="Arial"/>
          <w:b w:val="0"/>
          <w:caps w:val="0"/>
          <w:sz w:val="20"/>
        </w:rPr>
        <w:lastRenderedPageBreak/>
        <w:t>humanity, conscientiousness, sportsmanship, courtesy, and virtue, which contribute to maintaining order, respect, and professionalism within the school setting.</w:t>
      </w:r>
    </w:p>
    <w:p w14:paraId="20DF6A22" w14:textId="77777777" w:rsidR="000A2785" w:rsidRPr="000A2785" w:rsidRDefault="000A2785" w:rsidP="000A2785">
      <w:pPr>
        <w:pStyle w:val="ReferHead"/>
        <w:jc w:val="both"/>
        <w:rPr>
          <w:rFonts w:ascii="Arial" w:hAnsi="Arial" w:cs="Arial"/>
          <w:b w:val="0"/>
          <w:caps w:val="0"/>
          <w:sz w:val="20"/>
        </w:rPr>
      </w:pPr>
      <w:r w:rsidRPr="000A2785">
        <w:rPr>
          <w:rFonts w:ascii="Arial" w:hAnsi="Arial" w:cs="Arial"/>
          <w:b w:val="0"/>
          <w:caps w:val="0"/>
          <w:sz w:val="20"/>
        </w:rPr>
        <w:t>Thirdly, a significant relationship exists between ingenious solidarity and classroom social control, indicating a moderate positive correlation between the two variables. This suggests that as teachers display higher levels of ingenious solidarity, their ability to uphold classroom social control also improves.</w:t>
      </w:r>
    </w:p>
    <w:p w14:paraId="32CA4429" w14:textId="4955E244" w:rsidR="009676BB" w:rsidRDefault="000A2785" w:rsidP="000A2785">
      <w:pPr>
        <w:pStyle w:val="ReferHead"/>
        <w:spacing w:after="0"/>
        <w:jc w:val="both"/>
        <w:rPr>
          <w:rFonts w:ascii="Arial" w:hAnsi="Arial" w:cs="Arial"/>
          <w:b w:val="0"/>
          <w:caps w:val="0"/>
          <w:sz w:val="20"/>
        </w:rPr>
      </w:pPr>
      <w:r w:rsidRPr="000A2785">
        <w:rPr>
          <w:rFonts w:ascii="Arial" w:hAnsi="Arial" w:cs="Arial"/>
          <w:b w:val="0"/>
          <w:caps w:val="0"/>
          <w:sz w:val="20"/>
        </w:rPr>
        <w:t>Finally, when examining the influence of different domains of ingenious solidarity on classroom social control, collaborative learning, empathy, and inclusivity emerged as significant predictors, with inclusivity having the strongest influence. Cultural connection, however, was not found to influence classroom social control significantly. This highlights that practices centered on inclusion, understanding, and collaboration are more impactful in promoting effective classroom management and social responsibility among teachers.</w:t>
      </w:r>
    </w:p>
    <w:p w14:paraId="7ED6383F" w14:textId="03DAA034" w:rsidR="000A2785" w:rsidRDefault="000A2785" w:rsidP="000A2785">
      <w:pPr>
        <w:pStyle w:val="ReferHead"/>
        <w:spacing w:after="0"/>
        <w:jc w:val="both"/>
        <w:rPr>
          <w:rFonts w:ascii="Arial" w:hAnsi="Arial" w:cs="Arial"/>
          <w:b w:val="0"/>
          <w:caps w:val="0"/>
          <w:sz w:val="20"/>
        </w:rPr>
      </w:pPr>
    </w:p>
    <w:p w14:paraId="75409752" w14:textId="77777777" w:rsidR="000A2785" w:rsidRDefault="000A2785" w:rsidP="000A2785">
      <w:pPr>
        <w:pStyle w:val="ReferHead"/>
        <w:spacing w:after="0"/>
        <w:jc w:val="both"/>
        <w:rPr>
          <w:rFonts w:ascii="Arial" w:hAnsi="Arial" w:cs="Arial"/>
          <w:b w:val="0"/>
          <w:caps w:val="0"/>
          <w:sz w:val="20"/>
        </w:rPr>
      </w:pPr>
    </w:p>
    <w:p w14:paraId="561B0EA9" w14:textId="100AE437" w:rsidR="00F35314" w:rsidRPr="000A2785" w:rsidRDefault="006A0F34" w:rsidP="000A2785">
      <w:pPr>
        <w:pStyle w:val="Body"/>
        <w:rPr>
          <w:rFonts w:ascii="Arial" w:hAnsi="Arial" w:cs="Arial"/>
        </w:rPr>
      </w:pPr>
      <w:r>
        <w:rPr>
          <w:rFonts w:ascii="Arial" w:hAnsi="Arial" w:cs="Arial"/>
          <w:b/>
          <w:bCs/>
        </w:rPr>
        <w:t>6. RECOMMENDATIONS</w:t>
      </w:r>
    </w:p>
    <w:p w14:paraId="0CAD427A" w14:textId="77777777" w:rsidR="000A2785" w:rsidRPr="000A2785" w:rsidRDefault="000A2785" w:rsidP="000A2785">
      <w:pPr>
        <w:pStyle w:val="ReferHead"/>
        <w:jc w:val="both"/>
        <w:rPr>
          <w:rFonts w:ascii="Arial" w:hAnsi="Arial" w:cs="Arial"/>
          <w:b w:val="0"/>
          <w:caps w:val="0"/>
          <w:sz w:val="20"/>
        </w:rPr>
      </w:pPr>
      <w:r w:rsidRPr="000A2785">
        <w:rPr>
          <w:rFonts w:ascii="Arial" w:hAnsi="Arial" w:cs="Arial"/>
          <w:b w:val="0"/>
          <w:caps w:val="0"/>
          <w:sz w:val="20"/>
        </w:rPr>
        <w:t>Based on the findings and conclusions of this study, the following recommendations were formulated:</w:t>
      </w:r>
    </w:p>
    <w:p w14:paraId="6DDBF139" w14:textId="77777777" w:rsidR="000A2785" w:rsidRPr="000A2785" w:rsidRDefault="000A2785" w:rsidP="000A2785">
      <w:pPr>
        <w:pStyle w:val="ReferHead"/>
        <w:jc w:val="both"/>
        <w:rPr>
          <w:rFonts w:ascii="Arial" w:hAnsi="Arial" w:cs="Arial"/>
          <w:b w:val="0"/>
          <w:caps w:val="0"/>
          <w:sz w:val="20"/>
        </w:rPr>
      </w:pPr>
      <w:r w:rsidRPr="000A2785">
        <w:rPr>
          <w:rFonts w:ascii="Arial" w:hAnsi="Arial" w:cs="Arial"/>
          <w:b w:val="0"/>
          <w:caps w:val="0"/>
          <w:sz w:val="20"/>
        </w:rPr>
        <w:t>Firstly, considering that public secondary language teachers demonstrated a high level of ingenious solidarity, school administrators may continue to strengthen this by promoting professional development programs focused on collaborative learning, empathy, inclusivity, and cultural connection. Such programs could enhance teachers' interpersonal relationships and help build more supportive, student-centered classrooms. They may also encourage teachers to integrate culturally responsive teaching strategies and inclusive classroom practices that reflect students’ diverse backgrounds and learning needs.</w:t>
      </w:r>
    </w:p>
    <w:p w14:paraId="29C20CAC" w14:textId="77777777" w:rsidR="000A2785" w:rsidRPr="000A2785" w:rsidRDefault="000A2785" w:rsidP="000A2785">
      <w:pPr>
        <w:pStyle w:val="ReferHead"/>
        <w:jc w:val="both"/>
        <w:rPr>
          <w:rFonts w:ascii="Arial" w:hAnsi="Arial" w:cs="Arial"/>
          <w:b w:val="0"/>
          <w:caps w:val="0"/>
          <w:sz w:val="20"/>
        </w:rPr>
      </w:pPr>
      <w:r w:rsidRPr="000A2785">
        <w:rPr>
          <w:rFonts w:ascii="Arial" w:hAnsi="Arial" w:cs="Arial"/>
          <w:b w:val="0"/>
          <w:caps w:val="0"/>
          <w:sz w:val="20"/>
        </w:rPr>
        <w:t>Secondly, given that the level of classroom social control among teachers was high, school leaders may reinforce practices that uphold humanity, conscientiousness, sportsmanship, courtesy, and civic virtue. Institutional leaders may create a more structured framework to acknowledge and reward behaviors aligned with these traits. Teachers, in turn, may continue to model professional conduct, fairness, and respect in both academic and interpersonal interactions, which can promote a more harmonious school environment.</w:t>
      </w:r>
    </w:p>
    <w:p w14:paraId="146CEACB" w14:textId="77777777" w:rsidR="000A2785" w:rsidRPr="000A2785" w:rsidRDefault="000A2785" w:rsidP="000A2785">
      <w:pPr>
        <w:pStyle w:val="ReferHead"/>
        <w:jc w:val="both"/>
        <w:rPr>
          <w:rFonts w:ascii="Arial" w:hAnsi="Arial" w:cs="Arial"/>
          <w:b w:val="0"/>
          <w:caps w:val="0"/>
          <w:sz w:val="20"/>
        </w:rPr>
      </w:pPr>
      <w:r w:rsidRPr="000A2785">
        <w:rPr>
          <w:rFonts w:ascii="Arial" w:hAnsi="Arial" w:cs="Arial"/>
          <w:b w:val="0"/>
          <w:caps w:val="0"/>
          <w:sz w:val="20"/>
        </w:rPr>
        <w:t>Thirdly, with a significant moderate relationship identified between ingenious solidarity and classroom social control, schools may prioritize initiatives that build on this connection. Administrators can design mentoring programs or peer collaboration opportunities where teachers can share best practices that combine social-emotional strategies and effective classroom management techniques. Teachers may be supported in translating empathy and inclusivity into proactive classroom discipline and engagement strategies that maintain a respectful and productive learning environment.</w:t>
      </w:r>
    </w:p>
    <w:p w14:paraId="31782C16" w14:textId="77777777" w:rsidR="000A2785" w:rsidRPr="000A2785" w:rsidRDefault="000A2785" w:rsidP="000A2785">
      <w:pPr>
        <w:pStyle w:val="ReferHead"/>
        <w:jc w:val="both"/>
        <w:rPr>
          <w:rFonts w:ascii="Arial" w:hAnsi="Arial" w:cs="Arial"/>
          <w:b w:val="0"/>
          <w:caps w:val="0"/>
          <w:sz w:val="20"/>
        </w:rPr>
      </w:pPr>
      <w:r w:rsidRPr="000A2785">
        <w:rPr>
          <w:rFonts w:ascii="Arial" w:hAnsi="Arial" w:cs="Arial"/>
          <w:b w:val="0"/>
          <w:caps w:val="0"/>
          <w:sz w:val="20"/>
        </w:rPr>
        <w:t xml:space="preserve">Finally, since collaborative learning, empathy, and inclusivity were identified as significant predictors of classroom social control, with inclusivity having the strongest influence, schools may focus their training efforts on strengthening inclusive teaching practices. Administrators can implement workshops on differentiated instruction, social-emotional learning, and inclusive pedagogy. Encouraging a school-wide culture that values diversity and inclusion will help teachers foster stronger relationships with students and colleagues, reinforcing classroom control and professional solidarity. On the other hand, cultural connection was not a significant predictor of classroom social control. This suggests that although teachers highly value cultural connection in their teaching, its direct impact on classroom control may not be </w:t>
      </w:r>
      <w:r w:rsidRPr="000A2785">
        <w:rPr>
          <w:rFonts w:ascii="Arial" w:hAnsi="Arial" w:cs="Arial"/>
          <w:b w:val="0"/>
          <w:caps w:val="0"/>
          <w:sz w:val="20"/>
        </w:rPr>
        <w:lastRenderedPageBreak/>
        <w:t>as strong as other domains. As such, schools may consider integrating cultural connections more explicitly into classroom management frameworks. For example, training programs can leverage cultural responsiveness to prevent conflicts, increase student engagement, and strengthen peer-to-peer relationships. Teachers may also benefit from practical strategies to connect cultural relevance with classroom expectations and behavioral norms, helping students feel represented and accountable within the learning environment.</w:t>
      </w:r>
    </w:p>
    <w:p w14:paraId="6A4026A0" w14:textId="77777777" w:rsidR="000A2785" w:rsidRPr="000A2785" w:rsidRDefault="000A2785" w:rsidP="000A2785">
      <w:pPr>
        <w:pStyle w:val="ReferHead"/>
        <w:jc w:val="both"/>
        <w:rPr>
          <w:rFonts w:ascii="Arial" w:hAnsi="Arial" w:cs="Arial"/>
          <w:b w:val="0"/>
          <w:caps w:val="0"/>
          <w:sz w:val="20"/>
        </w:rPr>
      </w:pPr>
      <w:r w:rsidRPr="000A2785">
        <w:rPr>
          <w:rFonts w:ascii="Arial" w:hAnsi="Arial" w:cs="Arial"/>
          <w:b w:val="0"/>
          <w:caps w:val="0"/>
          <w:sz w:val="20"/>
        </w:rPr>
        <w:t>Future research may explore how specific school-based interventions targeting the domains of ingenious solidarity impact long-term classroom management and teacher collaboration. Additionally, studies may investigate how external factors such as policy support or community involvement mediate the relationship between teacher solidarity and classroom control, offering further insights into how schools can create equitable, inclusive, and well-managed learning environments.</w:t>
      </w:r>
    </w:p>
    <w:p w14:paraId="53E88C64" w14:textId="77777777" w:rsidR="009676BB" w:rsidRDefault="009676BB" w:rsidP="009676BB">
      <w:pPr>
        <w:pStyle w:val="ReferHead"/>
        <w:spacing w:after="0"/>
        <w:jc w:val="both"/>
        <w:rPr>
          <w:rFonts w:ascii="Arial" w:hAnsi="Arial" w:cs="Arial"/>
          <w:b w:val="0"/>
          <w:caps w:val="0"/>
          <w:sz w:val="20"/>
        </w:rPr>
      </w:pPr>
    </w:p>
    <w:p w14:paraId="7242A187" w14:textId="77777777" w:rsidR="00717F2E" w:rsidRDefault="00717F2E">
      <w:pPr>
        <w:pStyle w:val="ReferHead"/>
        <w:spacing w:after="0"/>
        <w:jc w:val="both"/>
        <w:rPr>
          <w:rFonts w:ascii="Arial" w:hAnsi="Arial" w:cs="Arial"/>
          <w:b w:val="0"/>
          <w:caps w:val="0"/>
          <w:sz w:val="20"/>
        </w:rPr>
      </w:pPr>
    </w:p>
    <w:p w14:paraId="013BA332" w14:textId="77777777" w:rsidR="00717F2E" w:rsidRDefault="00180859">
      <w:pPr>
        <w:pStyle w:val="ReferHead"/>
        <w:spacing w:after="0"/>
        <w:jc w:val="both"/>
        <w:rPr>
          <w:rFonts w:ascii="Arial" w:hAnsi="Arial" w:cs="Arial"/>
          <w:bCs/>
          <w:sz w:val="20"/>
        </w:rPr>
      </w:pPr>
      <w:r>
        <w:rPr>
          <w:rFonts w:ascii="Arial" w:hAnsi="Arial" w:cs="Arial"/>
          <w:bCs/>
          <w:sz w:val="20"/>
        </w:rPr>
        <w:t>Consent (where ever applicable)</w:t>
      </w:r>
    </w:p>
    <w:p w14:paraId="67F05F0C" w14:textId="77777777" w:rsidR="00717F2E" w:rsidRDefault="00717F2E">
      <w:pPr>
        <w:pStyle w:val="ReferHead"/>
        <w:spacing w:after="0"/>
        <w:jc w:val="both"/>
        <w:rPr>
          <w:rFonts w:ascii="Arial" w:hAnsi="Arial" w:cs="Arial"/>
          <w:bCs/>
          <w:sz w:val="20"/>
        </w:rPr>
      </w:pPr>
    </w:p>
    <w:p w14:paraId="4DA0701E" w14:textId="77777777" w:rsidR="000A2785" w:rsidRDefault="000A2785" w:rsidP="00CD4D57">
      <w:pPr>
        <w:pStyle w:val="ReferHead"/>
        <w:spacing w:after="0"/>
        <w:jc w:val="both"/>
        <w:rPr>
          <w:rFonts w:ascii="Arial" w:hAnsi="Arial" w:cs="Arial"/>
          <w:b w:val="0"/>
          <w:caps w:val="0"/>
          <w:sz w:val="20"/>
        </w:rPr>
      </w:pPr>
      <w:r w:rsidRPr="000A2785">
        <w:rPr>
          <w:rFonts w:ascii="Arial" w:hAnsi="Arial" w:cs="Arial"/>
          <w:b w:val="0"/>
          <w:caps w:val="0"/>
          <w:sz w:val="20"/>
        </w:rPr>
        <w:t xml:space="preserve">This study was conducted in full accordance with established ethical standards to safeguard the rights, dignity, and welfare of all participants. Prior to the commencement of data collection, the researcher secured all required authorizations, including an endorsement from the Dean of the Graduate School of Rizal Memorial Colleges and ethical approval from the institution’s Ethics Review Committee. The ethical framework adopted, based on the guidelines of </w:t>
      </w:r>
      <w:proofErr w:type="spellStart"/>
      <w:r w:rsidRPr="000A2785">
        <w:rPr>
          <w:rFonts w:ascii="Arial" w:hAnsi="Arial" w:cs="Arial"/>
          <w:b w:val="0"/>
          <w:caps w:val="0"/>
          <w:sz w:val="20"/>
        </w:rPr>
        <w:t>Pregoner</w:t>
      </w:r>
      <w:proofErr w:type="spellEnd"/>
      <w:r w:rsidRPr="000A2785">
        <w:rPr>
          <w:rFonts w:ascii="Arial" w:hAnsi="Arial" w:cs="Arial"/>
          <w:b w:val="0"/>
          <w:caps w:val="0"/>
          <w:sz w:val="20"/>
        </w:rPr>
        <w:t xml:space="preserve"> et al. (2025), ensured alignment with current protocols for conducting research involving human subjects in educational contexts. Participation in the study was completely voluntary, with each respondent thoroughly informed about the research objectives, scope, and their right to decline or withdraw at any stage without any consequence. Informed consent was obtained to confirm their understanding and agreement to participate. To maintain confidentiality, no identifying personal data were collected, and all responses were treated with strict privacy. The information gathered was used exclusively for academic purposes, ensuring that the research was carried out with transparency, ethical rigor, and full professional responsibility.</w:t>
      </w:r>
    </w:p>
    <w:p w14:paraId="77558466" w14:textId="77777777" w:rsidR="000A2785" w:rsidRDefault="000A2785" w:rsidP="00CD4D57">
      <w:pPr>
        <w:pStyle w:val="ReferHead"/>
        <w:spacing w:after="0"/>
        <w:jc w:val="both"/>
        <w:rPr>
          <w:rFonts w:ascii="Arial" w:hAnsi="Arial" w:cs="Arial"/>
          <w:b w:val="0"/>
          <w:caps w:val="0"/>
          <w:sz w:val="20"/>
        </w:rPr>
      </w:pPr>
    </w:p>
    <w:p w14:paraId="2BC90047" w14:textId="00BD4039" w:rsidR="00CD4D57" w:rsidRDefault="00CD4D57" w:rsidP="00CD4D57">
      <w:pPr>
        <w:pStyle w:val="ReferHead"/>
        <w:spacing w:after="0"/>
        <w:jc w:val="both"/>
        <w:rPr>
          <w:rFonts w:ascii="Arial" w:hAnsi="Arial" w:cs="Arial"/>
          <w:b w:val="0"/>
          <w:caps w:val="0"/>
          <w:sz w:val="20"/>
          <w:highlight w:val="yellow"/>
        </w:rPr>
      </w:pPr>
      <w:r>
        <w:rPr>
          <w:rFonts w:ascii="Arial" w:hAnsi="Arial" w:cs="Arial"/>
          <w:b w:val="0"/>
          <w:caps w:val="0"/>
          <w:sz w:val="20"/>
          <w:highlight w:val="yellow"/>
        </w:rPr>
        <w:t>Disclaimer (Artificial Intelligence)</w:t>
      </w:r>
    </w:p>
    <w:p w14:paraId="591C5FF6" w14:textId="77777777" w:rsidR="00CD4D57" w:rsidRDefault="00CD4D57" w:rsidP="00CD4D57">
      <w:pPr>
        <w:pStyle w:val="ReferHead"/>
        <w:spacing w:after="0"/>
        <w:jc w:val="both"/>
        <w:rPr>
          <w:rFonts w:ascii="Arial" w:hAnsi="Arial" w:cs="Arial"/>
          <w:b w:val="0"/>
          <w:caps w:val="0"/>
          <w:sz w:val="20"/>
          <w:highlight w:val="yellow"/>
        </w:rPr>
      </w:pPr>
    </w:p>
    <w:p w14:paraId="309A34BD" w14:textId="77777777" w:rsidR="00CD4D57" w:rsidRDefault="00CD4D57" w:rsidP="00CD4D57">
      <w:pPr>
        <w:pStyle w:val="ReferHead"/>
        <w:spacing w:after="0"/>
        <w:jc w:val="both"/>
        <w:rPr>
          <w:rFonts w:ascii="Arial" w:hAnsi="Arial" w:cs="Arial"/>
          <w:b w:val="0"/>
          <w:caps w:val="0"/>
          <w:sz w:val="20"/>
          <w:highlight w:val="yellow"/>
        </w:rPr>
      </w:pPr>
    </w:p>
    <w:p w14:paraId="26E5FE5E" w14:textId="77777777" w:rsidR="00CD4D57" w:rsidRDefault="00CD4D57" w:rsidP="00CD4D57">
      <w:pPr>
        <w:jc w:val="both"/>
        <w:rPr>
          <w:rFonts w:ascii="Arial" w:eastAsia="Calibri" w:hAnsi="Arial" w:cs="Arial"/>
          <w:kern w:val="2"/>
          <w:highlight w:val="yellow"/>
        </w:rPr>
      </w:pPr>
      <w:r>
        <w:rPr>
          <w:rFonts w:ascii="Arial" w:eastAsia="Calibri" w:hAnsi="Arial" w:cs="Arial"/>
          <w:kern w:val="2"/>
          <w:highlight w:val="yellow"/>
        </w:rPr>
        <w:t xml:space="preserve">The author(s) hereby declare that generative AI technologies have been used during the writing and editing of this manuscript. The details of the AI usage are as follows: </w:t>
      </w:r>
    </w:p>
    <w:p w14:paraId="605C2F78" w14:textId="77777777" w:rsidR="00CD4D57" w:rsidRDefault="00CD4D57" w:rsidP="00CD4D57">
      <w:pPr>
        <w:jc w:val="both"/>
        <w:rPr>
          <w:rFonts w:ascii="Arial" w:eastAsia="Calibri" w:hAnsi="Arial" w:cs="Arial"/>
          <w:kern w:val="2"/>
          <w:highlight w:val="yellow"/>
        </w:rPr>
      </w:pPr>
    </w:p>
    <w:p w14:paraId="4B95E7D5" w14:textId="77777777" w:rsidR="00CD4D57" w:rsidRDefault="00CD4D57" w:rsidP="00CD4D57">
      <w:pPr>
        <w:numPr>
          <w:ilvl w:val="0"/>
          <w:numId w:val="4"/>
        </w:numPr>
        <w:ind w:left="540"/>
        <w:jc w:val="both"/>
        <w:rPr>
          <w:rFonts w:ascii="Arial" w:eastAsia="Calibri" w:hAnsi="Arial" w:cs="Arial"/>
          <w:kern w:val="2"/>
          <w:highlight w:val="yellow"/>
        </w:rPr>
      </w:pPr>
      <w:r>
        <w:rPr>
          <w:rFonts w:ascii="Arial" w:eastAsia="Calibri" w:hAnsi="Arial" w:cs="Arial"/>
          <w:kern w:val="2"/>
          <w:highlight w:val="yellow"/>
        </w:rPr>
        <w:t xml:space="preserve">Grammarly: Used for grammar and spellchecking, as well as suggestions for improving sentence structure and overall clarity. </w:t>
      </w:r>
    </w:p>
    <w:p w14:paraId="50EBBD08" w14:textId="77777777" w:rsidR="00CD4D57" w:rsidRDefault="00CD4D57" w:rsidP="00CD4D57">
      <w:pPr>
        <w:numPr>
          <w:ilvl w:val="0"/>
          <w:numId w:val="4"/>
        </w:numPr>
        <w:ind w:left="540"/>
        <w:jc w:val="both"/>
        <w:rPr>
          <w:rFonts w:ascii="Arial" w:hAnsi="Arial" w:cs="Arial"/>
          <w:highlight w:val="yellow"/>
        </w:rPr>
      </w:pPr>
      <w:proofErr w:type="spellStart"/>
      <w:r>
        <w:rPr>
          <w:rFonts w:ascii="Arial" w:eastAsia="Calibri" w:hAnsi="Arial" w:cs="Arial"/>
          <w:kern w:val="2"/>
          <w:highlight w:val="yellow"/>
        </w:rPr>
        <w:t>Quillbot</w:t>
      </w:r>
      <w:proofErr w:type="spellEnd"/>
      <w:r>
        <w:rPr>
          <w:rFonts w:ascii="Arial" w:eastAsia="Calibri" w:hAnsi="Arial" w:cs="Arial"/>
          <w:kern w:val="2"/>
          <w:highlight w:val="yellow"/>
        </w:rPr>
        <w:t>: Employed for paraphrasing and refining sentence flow to enhance readability and coherence.</w:t>
      </w:r>
    </w:p>
    <w:p w14:paraId="31F11220" w14:textId="77777777" w:rsidR="00CD4D57" w:rsidRDefault="00CD4D57" w:rsidP="00505231">
      <w:pPr>
        <w:pStyle w:val="ReferHead"/>
        <w:spacing w:after="0"/>
        <w:jc w:val="both"/>
        <w:rPr>
          <w:rFonts w:ascii="Arial" w:hAnsi="Arial" w:cs="Arial"/>
          <w:b w:val="0"/>
          <w:caps w:val="0"/>
          <w:sz w:val="20"/>
        </w:rPr>
      </w:pPr>
    </w:p>
    <w:p w14:paraId="3710B9F1" w14:textId="77777777" w:rsidR="00151F8F" w:rsidRDefault="00151F8F" w:rsidP="00505231">
      <w:pPr>
        <w:pStyle w:val="ReferHead"/>
        <w:spacing w:after="0"/>
        <w:jc w:val="both"/>
        <w:rPr>
          <w:rFonts w:ascii="Arial" w:hAnsi="Arial" w:cs="Arial"/>
          <w:b w:val="0"/>
          <w:caps w:val="0"/>
          <w:sz w:val="20"/>
        </w:rPr>
      </w:pPr>
    </w:p>
    <w:p w14:paraId="0E59BDBB" w14:textId="1325B6B4" w:rsidR="007D2B80" w:rsidRPr="007D2B80" w:rsidRDefault="00180859" w:rsidP="007D2B80">
      <w:pPr>
        <w:pStyle w:val="ReferHead"/>
        <w:spacing w:after="0"/>
        <w:jc w:val="both"/>
        <w:rPr>
          <w:rFonts w:ascii="Arial" w:hAnsi="Arial" w:cs="Arial"/>
          <w:sz w:val="20"/>
        </w:rPr>
      </w:pPr>
      <w:r>
        <w:rPr>
          <w:rFonts w:ascii="Arial" w:hAnsi="Arial" w:cs="Arial"/>
          <w:sz w:val="20"/>
        </w:rPr>
        <w:t>References</w:t>
      </w:r>
    </w:p>
    <w:p w14:paraId="2C952D29" w14:textId="6B5B19E7" w:rsidR="002B4E2B" w:rsidRPr="002C3567" w:rsidRDefault="002B4E2B" w:rsidP="002B4E2B">
      <w:pPr>
        <w:rPr>
          <w:rFonts w:ascii="Arial" w:hAnsi="Arial" w:cs="Arial"/>
          <w:color w:val="222222"/>
          <w:shd w:val="clear" w:color="auto" w:fill="FFFFFF"/>
        </w:rPr>
      </w:pPr>
    </w:p>
    <w:p w14:paraId="095D7E44" w14:textId="77777777" w:rsidR="00E0166B" w:rsidRPr="000C6018" w:rsidRDefault="00E0166B" w:rsidP="00E0166B">
      <w:pPr>
        <w:ind w:left="720" w:hanging="720"/>
        <w:rPr>
          <w:color w:val="000000" w:themeColor="text1"/>
        </w:rPr>
      </w:pPr>
    </w:p>
    <w:p w14:paraId="6A39B47F" w14:textId="77777777" w:rsidR="001E0522" w:rsidRDefault="001E0522" w:rsidP="001E0522">
      <w:pPr>
        <w:ind w:left="720" w:hanging="720"/>
        <w:rPr>
          <w:rFonts w:asciiTheme="minorHAnsi" w:hAnsiTheme="minorHAnsi"/>
          <w:color w:val="000000" w:themeColor="text1"/>
        </w:rPr>
      </w:pPr>
    </w:p>
    <w:p w14:paraId="42CE6DB0" w14:textId="77777777" w:rsidR="001E0522" w:rsidRPr="001E0522" w:rsidRDefault="001E0522" w:rsidP="001E0522">
      <w:pPr>
        <w:ind w:left="720" w:hanging="720"/>
      </w:pPr>
      <w:proofErr w:type="spellStart"/>
      <w:r w:rsidRPr="001E0522">
        <w:rPr>
          <w:rFonts w:ascii="Arial" w:hAnsi="Arial" w:cs="Arial"/>
          <w:color w:val="000000" w:themeColor="text1"/>
          <w:shd w:val="clear" w:color="auto" w:fill="FFFFFF"/>
        </w:rPr>
        <w:t>Almerol</w:t>
      </w:r>
      <w:proofErr w:type="spellEnd"/>
      <w:r w:rsidRPr="001E0522">
        <w:rPr>
          <w:rFonts w:ascii="Arial" w:hAnsi="Arial" w:cs="Arial"/>
          <w:color w:val="000000" w:themeColor="text1"/>
          <w:shd w:val="clear" w:color="auto" w:fill="FFFFFF"/>
        </w:rPr>
        <w:t>, J., &amp; Baguio, J. (2024). Resourceful Solidarity and Classroom Liability of Language Teachers in Public Secondary Schools. </w:t>
      </w:r>
      <w:r w:rsidRPr="001E0522">
        <w:rPr>
          <w:i/>
          <w:iCs/>
        </w:rPr>
        <w:t>Asian Journal of Education and Social Studies</w:t>
      </w:r>
      <w:r w:rsidRPr="001E0522">
        <w:t>, </w:t>
      </w:r>
      <w:r w:rsidRPr="001E0522">
        <w:rPr>
          <w:i/>
          <w:iCs/>
        </w:rPr>
        <w:t>50</w:t>
      </w:r>
      <w:r w:rsidRPr="001E0522">
        <w:t xml:space="preserve">(8), 529-537. </w:t>
      </w:r>
      <w:hyperlink r:id="rId15" w:history="1">
        <w:r w:rsidRPr="001E0522">
          <w:rPr>
            <w:rStyle w:val="Hyperlink"/>
            <w:color w:val="000000" w:themeColor="text1"/>
            <w:u w:val="none"/>
          </w:rPr>
          <w:t>https://hal.science/hal-04844597/</w:t>
        </w:r>
      </w:hyperlink>
    </w:p>
    <w:p w14:paraId="0452D4F4" w14:textId="5CECFF8C" w:rsidR="001E0522" w:rsidRDefault="001E0522" w:rsidP="001E0522">
      <w:pPr>
        <w:ind w:left="720" w:hanging="720"/>
      </w:pPr>
      <w:r w:rsidRPr="001E0522">
        <w:rPr>
          <w:rFonts w:ascii="Arial" w:hAnsi="Arial" w:cs="Arial"/>
          <w:color w:val="000000" w:themeColor="text1"/>
          <w:shd w:val="clear" w:color="auto" w:fill="FFFFFF"/>
        </w:rPr>
        <w:lastRenderedPageBreak/>
        <w:t>Aziz, S. N. M., Aldaba, A. M. A., Tumiran, M. A., &amp; Maidin, Z. (2024). Characteristics of Wise Leadership Practices in an Educational Setting: A Content Analysis. </w:t>
      </w:r>
      <w:r w:rsidRPr="001E0522">
        <w:rPr>
          <w:i/>
          <w:iCs/>
        </w:rPr>
        <w:t>Asian Journal of Research in Education and Social Sciences</w:t>
      </w:r>
      <w:r w:rsidRPr="001E0522">
        <w:t>, </w:t>
      </w:r>
      <w:r w:rsidRPr="001E0522">
        <w:rPr>
          <w:i/>
          <w:iCs/>
        </w:rPr>
        <w:t>6</w:t>
      </w:r>
      <w:r w:rsidRPr="001E0522">
        <w:t xml:space="preserve">(2), 604-614. </w:t>
      </w:r>
      <w:hyperlink r:id="rId16" w:history="1">
        <w:r w:rsidRPr="001E0522">
          <w:rPr>
            <w:rStyle w:val="Hyperlink"/>
            <w:color w:val="000000" w:themeColor="text1"/>
            <w:u w:val="none"/>
          </w:rPr>
          <w:t>https://myjms.mohe.gov.my/index.php/ajress/article/view/26766</w:t>
        </w:r>
      </w:hyperlink>
    </w:p>
    <w:p w14:paraId="0B1478D3" w14:textId="6396F038" w:rsidR="001E0522" w:rsidRPr="001E0522" w:rsidRDefault="001E0522" w:rsidP="001E0522">
      <w:pPr>
        <w:ind w:left="720" w:hanging="720"/>
      </w:pPr>
      <w:r>
        <w:rPr>
          <w:rFonts w:ascii="Arial" w:hAnsi="Arial" w:cs="Arial"/>
          <w:color w:val="222222"/>
          <w:shd w:val="clear" w:color="auto" w:fill="FFFFFF"/>
        </w:rPr>
        <w:t>Baguio, M. P. A. B., &amp; Baguio, J. B. (2025). Professional Reputation and Service Efficacy of Teachers in Public Elementary Schools. </w:t>
      </w:r>
      <w:r>
        <w:rPr>
          <w:rFonts w:ascii="Arial" w:hAnsi="Arial" w:cs="Arial"/>
          <w:i/>
          <w:iCs/>
          <w:color w:val="222222"/>
          <w:shd w:val="clear" w:color="auto" w:fill="FFFFFF"/>
        </w:rPr>
        <w:t>Asian Journal of Education and Social Studies</w:t>
      </w:r>
      <w:r>
        <w:rPr>
          <w:rFonts w:ascii="Arial" w:hAnsi="Arial" w:cs="Arial"/>
          <w:color w:val="222222"/>
          <w:shd w:val="clear" w:color="auto" w:fill="FFFFFF"/>
        </w:rPr>
        <w:t>, </w:t>
      </w:r>
      <w:r>
        <w:rPr>
          <w:rFonts w:ascii="Arial" w:hAnsi="Arial" w:cs="Arial"/>
          <w:i/>
          <w:iCs/>
          <w:color w:val="222222"/>
          <w:shd w:val="clear" w:color="auto" w:fill="FFFFFF"/>
        </w:rPr>
        <w:t>51</w:t>
      </w:r>
      <w:r>
        <w:rPr>
          <w:rFonts w:ascii="Arial" w:hAnsi="Arial" w:cs="Arial"/>
          <w:color w:val="222222"/>
          <w:shd w:val="clear" w:color="auto" w:fill="FFFFFF"/>
        </w:rPr>
        <w:t>(1), 165-174.</w:t>
      </w:r>
      <w:r w:rsidRPr="001E0522">
        <w:t xml:space="preserve"> </w:t>
      </w:r>
      <w:r w:rsidRPr="001E0522">
        <w:rPr>
          <w:rFonts w:ascii="Arial" w:hAnsi="Arial" w:cs="Arial"/>
          <w:color w:val="222222"/>
          <w:shd w:val="clear" w:color="auto" w:fill="FFFFFF"/>
        </w:rPr>
        <w:t>https://hal.science/hal-04894432/</w:t>
      </w:r>
    </w:p>
    <w:p w14:paraId="78C04A36" w14:textId="77777777" w:rsidR="001E0522" w:rsidRPr="001E0522" w:rsidRDefault="001E0522" w:rsidP="001E0522">
      <w:pPr>
        <w:ind w:left="720" w:hanging="720"/>
      </w:pPr>
      <w:proofErr w:type="spellStart"/>
      <w:r w:rsidRPr="001E0522">
        <w:rPr>
          <w:rFonts w:ascii="Arial" w:hAnsi="Arial" w:cs="Arial"/>
          <w:color w:val="000000" w:themeColor="text1"/>
          <w:shd w:val="clear" w:color="auto" w:fill="FFFFFF"/>
        </w:rPr>
        <w:t>Benhabra</w:t>
      </w:r>
      <w:proofErr w:type="spellEnd"/>
      <w:r w:rsidRPr="001E0522">
        <w:rPr>
          <w:rFonts w:ascii="Arial" w:hAnsi="Arial" w:cs="Arial"/>
          <w:color w:val="000000" w:themeColor="text1"/>
          <w:shd w:val="clear" w:color="auto" w:fill="FFFFFF"/>
        </w:rPr>
        <w:t>, N., &amp; Narjes, Z. (2021). </w:t>
      </w:r>
      <w:r w:rsidRPr="001E0522">
        <w:rPr>
          <w:i/>
          <w:iCs/>
        </w:rPr>
        <w:t>The Efficiency of Classroom Management in Helping Shy Learners and Reducing Stress</w:t>
      </w:r>
      <w:r w:rsidRPr="001E0522">
        <w:t xml:space="preserve"> (Doctoral dissertation, Université Ibn Khaldoun-Tiaret-). </w:t>
      </w:r>
      <w:hyperlink r:id="rId17" w:history="1">
        <w:r w:rsidRPr="001E0522">
          <w:rPr>
            <w:rStyle w:val="Hyperlink"/>
            <w:color w:val="000000" w:themeColor="text1"/>
            <w:u w:val="none"/>
          </w:rPr>
          <w:t>http://dspace.univ-tiaret.dz/handle/123456789/1394</w:t>
        </w:r>
      </w:hyperlink>
    </w:p>
    <w:p w14:paraId="03EBF4F4" w14:textId="77777777" w:rsidR="001E0522" w:rsidRPr="001E0522" w:rsidRDefault="001E0522" w:rsidP="001E0522">
      <w:pPr>
        <w:ind w:left="720" w:hanging="720"/>
      </w:pPr>
      <w:r w:rsidRPr="001E0522">
        <w:rPr>
          <w:rFonts w:ascii="Arial" w:hAnsi="Arial" w:cs="Arial"/>
          <w:color w:val="000000" w:themeColor="text1"/>
          <w:shd w:val="clear" w:color="auto" w:fill="FFFFFF"/>
        </w:rPr>
        <w:t>Bisa, M. (2023). Sports education as a means of building student character: Values and benefits. </w:t>
      </w:r>
      <w:r w:rsidRPr="001E0522">
        <w:rPr>
          <w:i/>
          <w:iCs/>
        </w:rPr>
        <w:t>Al-</w:t>
      </w:r>
      <w:proofErr w:type="spellStart"/>
      <w:r w:rsidRPr="001E0522">
        <w:rPr>
          <w:i/>
          <w:iCs/>
        </w:rPr>
        <w:t>Ishlah</w:t>
      </w:r>
      <w:proofErr w:type="spellEnd"/>
      <w:r w:rsidRPr="001E0522">
        <w:rPr>
          <w:i/>
          <w:iCs/>
        </w:rPr>
        <w:t xml:space="preserve">: </w:t>
      </w:r>
      <w:proofErr w:type="spellStart"/>
      <w:r w:rsidRPr="001E0522">
        <w:rPr>
          <w:i/>
          <w:iCs/>
        </w:rPr>
        <w:t>Jurnal</w:t>
      </w:r>
      <w:proofErr w:type="spellEnd"/>
      <w:r w:rsidRPr="001E0522">
        <w:rPr>
          <w:i/>
          <w:iCs/>
        </w:rPr>
        <w:t xml:space="preserve"> </w:t>
      </w:r>
      <w:proofErr w:type="spellStart"/>
      <w:r w:rsidRPr="001E0522">
        <w:rPr>
          <w:i/>
          <w:iCs/>
        </w:rPr>
        <w:t>Pendidikan</w:t>
      </w:r>
      <w:proofErr w:type="spellEnd"/>
      <w:r w:rsidRPr="001E0522">
        <w:t>, </w:t>
      </w:r>
      <w:r w:rsidRPr="001E0522">
        <w:rPr>
          <w:i/>
          <w:iCs/>
        </w:rPr>
        <w:t>15</w:t>
      </w:r>
      <w:r w:rsidRPr="001E0522">
        <w:t xml:space="preserve">(2), 1581-1590. </w:t>
      </w:r>
      <w:hyperlink r:id="rId18" w:history="1">
        <w:r w:rsidRPr="001E0522">
          <w:rPr>
            <w:rStyle w:val="Hyperlink"/>
            <w:color w:val="000000" w:themeColor="text1"/>
            <w:u w:val="none"/>
          </w:rPr>
          <w:t>http://www.journal.staihubbulwathan.id/index.php/alishlah/article/view/3889</w:t>
        </w:r>
      </w:hyperlink>
    </w:p>
    <w:p w14:paraId="0E20E785" w14:textId="77777777" w:rsidR="001E0522" w:rsidRPr="001E0522" w:rsidRDefault="001E0522" w:rsidP="001E0522">
      <w:pPr>
        <w:ind w:left="720" w:hanging="720"/>
        <w:rPr>
          <w:rFonts w:ascii="Arial" w:hAnsi="Arial" w:cs="Arial"/>
          <w:color w:val="000000" w:themeColor="text1"/>
          <w:shd w:val="clear" w:color="auto" w:fill="FFFFFF"/>
        </w:rPr>
      </w:pPr>
      <w:r w:rsidRPr="001E0522">
        <w:rPr>
          <w:rFonts w:ascii="Arial" w:hAnsi="Arial" w:cs="Arial"/>
          <w:color w:val="000000" w:themeColor="text1"/>
          <w:shd w:val="clear" w:color="auto" w:fill="FFFFFF"/>
        </w:rPr>
        <w:t>Burden, P. R. (2025). </w:t>
      </w:r>
      <w:r w:rsidRPr="001E0522">
        <w:rPr>
          <w:rFonts w:ascii="Arial" w:hAnsi="Arial" w:cs="Arial"/>
          <w:i/>
          <w:iCs/>
          <w:color w:val="000000" w:themeColor="text1"/>
          <w:shd w:val="clear" w:color="auto" w:fill="FFFFFF"/>
        </w:rPr>
        <w:t>Classroom management: Creating a successful K-12 learning community</w:t>
      </w:r>
      <w:r w:rsidRPr="001E0522">
        <w:rPr>
          <w:rFonts w:ascii="Arial" w:hAnsi="Arial" w:cs="Arial"/>
          <w:color w:val="000000" w:themeColor="text1"/>
          <w:shd w:val="clear" w:color="auto" w:fill="FFFFFF"/>
        </w:rPr>
        <w:t xml:space="preserve">. John Wiley &amp; Sons. </w:t>
      </w:r>
      <w:hyperlink r:id="rId19" w:history="1">
        <w:r w:rsidRPr="001E0522">
          <w:rPr>
            <w:rStyle w:val="Hyperlink"/>
            <w:rFonts w:ascii="Arial" w:hAnsi="Arial" w:cs="Arial"/>
            <w:color w:val="000000" w:themeColor="text1"/>
            <w:u w:val="none"/>
            <w:shd w:val="clear" w:color="auto" w:fill="FFFFFF"/>
          </w:rPr>
          <w:t>https://books.google.com/books?hl=en&amp;lr=&amp;id=-_FJEQAAQBAJ&amp;oi=fnd&amp;pg=PR11&amp;dq=without+effective+social+control+strategies+rooted+in+mutual+understanding+and+cultural+sensitivity,+language+teachers+often+face+classroom+disruptions,+low+participation,+and+student+resistance,+which+hinder+academic+outcomes+and+compromise+the+quality+of+instruction.&amp;ots=cPXJdq6yvg&amp;sig=V0X2smzVs2NeWHjduogcF_rvgtY</w:t>
        </w:r>
      </w:hyperlink>
    </w:p>
    <w:p w14:paraId="1F5E999B" w14:textId="77777777" w:rsidR="001E0522" w:rsidRPr="001E0522" w:rsidRDefault="001E0522" w:rsidP="001E0522">
      <w:pPr>
        <w:ind w:left="720" w:hanging="720"/>
        <w:rPr>
          <w:rFonts w:ascii="Arial" w:hAnsi="Arial" w:cs="Arial"/>
          <w:color w:val="000000" w:themeColor="text1"/>
          <w:shd w:val="clear" w:color="auto" w:fill="FFFFFF"/>
        </w:rPr>
      </w:pPr>
      <w:r w:rsidRPr="001E0522">
        <w:rPr>
          <w:rFonts w:ascii="Arial" w:hAnsi="Arial" w:cs="Arial"/>
          <w:color w:val="000000" w:themeColor="text1"/>
          <w:shd w:val="clear" w:color="auto" w:fill="FFFFFF"/>
        </w:rPr>
        <w:t>Cho, S., Lee, H. J., &amp; Herner-Patnode, L. (2020). Factors influencing preservice teachers’ self-efficacy in addressing cultural and linguistic needs of diverse learners. </w:t>
      </w:r>
      <w:r w:rsidRPr="001E0522">
        <w:rPr>
          <w:rFonts w:ascii="Arial" w:hAnsi="Arial" w:cs="Arial"/>
          <w:i/>
          <w:iCs/>
          <w:color w:val="000000" w:themeColor="text1"/>
          <w:shd w:val="clear" w:color="auto" w:fill="FFFFFF"/>
        </w:rPr>
        <w:t>The Teacher Educator</w:t>
      </w:r>
      <w:r w:rsidRPr="001E0522">
        <w:rPr>
          <w:rFonts w:ascii="Arial" w:hAnsi="Arial" w:cs="Arial"/>
          <w:color w:val="000000" w:themeColor="text1"/>
          <w:shd w:val="clear" w:color="auto" w:fill="FFFFFF"/>
        </w:rPr>
        <w:t>, </w:t>
      </w:r>
      <w:r w:rsidRPr="001E0522">
        <w:rPr>
          <w:rFonts w:ascii="Arial" w:hAnsi="Arial" w:cs="Arial"/>
          <w:i/>
          <w:iCs/>
          <w:color w:val="000000" w:themeColor="text1"/>
          <w:shd w:val="clear" w:color="auto" w:fill="FFFFFF"/>
        </w:rPr>
        <w:t>55</w:t>
      </w:r>
      <w:r w:rsidRPr="001E0522">
        <w:rPr>
          <w:rFonts w:ascii="Arial" w:hAnsi="Arial" w:cs="Arial"/>
          <w:color w:val="000000" w:themeColor="text1"/>
          <w:shd w:val="clear" w:color="auto" w:fill="FFFFFF"/>
        </w:rPr>
        <w:t xml:space="preserve">(4), 411-429. </w:t>
      </w:r>
      <w:hyperlink r:id="rId20" w:history="1">
        <w:r w:rsidRPr="001E0522">
          <w:rPr>
            <w:rStyle w:val="Hyperlink"/>
            <w:rFonts w:ascii="Arial" w:hAnsi="Arial" w:cs="Arial"/>
            <w:color w:val="000000" w:themeColor="text1"/>
            <w:u w:val="none"/>
            <w:shd w:val="clear" w:color="auto" w:fill="FFFFFF"/>
          </w:rPr>
          <w:t>https://www.tandfonline.com/doi/abs/10.1080/08878730.2020.1805835</w:t>
        </w:r>
      </w:hyperlink>
    </w:p>
    <w:p w14:paraId="0B37A34F" w14:textId="77777777" w:rsidR="001E0522" w:rsidRPr="001E0522" w:rsidRDefault="001E0522" w:rsidP="001E0522">
      <w:pPr>
        <w:ind w:left="720" w:hanging="720"/>
        <w:rPr>
          <w:rFonts w:asciiTheme="minorHAnsi" w:hAnsiTheme="minorHAnsi" w:cstheme="minorBidi"/>
          <w:sz w:val="22"/>
          <w:szCs w:val="22"/>
        </w:rPr>
      </w:pPr>
      <w:proofErr w:type="spellStart"/>
      <w:r w:rsidRPr="001E0522">
        <w:rPr>
          <w:rFonts w:ascii="Arial" w:hAnsi="Arial" w:cs="Arial"/>
          <w:color w:val="000000" w:themeColor="text1"/>
          <w:shd w:val="clear" w:color="auto" w:fill="FFFFFF"/>
        </w:rPr>
        <w:t>Damaševičius</w:t>
      </w:r>
      <w:proofErr w:type="spellEnd"/>
      <w:r w:rsidRPr="001E0522">
        <w:rPr>
          <w:rFonts w:ascii="Arial" w:hAnsi="Arial" w:cs="Arial"/>
          <w:color w:val="000000" w:themeColor="text1"/>
          <w:shd w:val="clear" w:color="auto" w:fill="FFFFFF"/>
        </w:rPr>
        <w:t xml:space="preserve">, R., &amp; </w:t>
      </w:r>
      <w:proofErr w:type="spellStart"/>
      <w:r w:rsidRPr="001E0522">
        <w:rPr>
          <w:rFonts w:ascii="Arial" w:hAnsi="Arial" w:cs="Arial"/>
          <w:color w:val="000000" w:themeColor="text1"/>
          <w:shd w:val="clear" w:color="auto" w:fill="FFFFFF"/>
        </w:rPr>
        <w:t>Sidekerskienė</w:t>
      </w:r>
      <w:proofErr w:type="spellEnd"/>
      <w:r w:rsidRPr="001E0522">
        <w:rPr>
          <w:rFonts w:ascii="Arial" w:hAnsi="Arial" w:cs="Arial"/>
          <w:color w:val="000000" w:themeColor="text1"/>
          <w:shd w:val="clear" w:color="auto" w:fill="FFFFFF"/>
        </w:rPr>
        <w:t>, T. (2024). Virtual worlds for learning in metaverse: A narrative review. </w:t>
      </w:r>
      <w:r w:rsidRPr="001E0522">
        <w:rPr>
          <w:i/>
          <w:iCs/>
        </w:rPr>
        <w:t>Sustainability</w:t>
      </w:r>
      <w:r w:rsidRPr="001E0522">
        <w:t>, </w:t>
      </w:r>
      <w:r w:rsidRPr="001E0522">
        <w:rPr>
          <w:i/>
          <w:iCs/>
        </w:rPr>
        <w:t>16</w:t>
      </w:r>
      <w:r w:rsidRPr="001E0522">
        <w:t xml:space="preserve">(5), 2032. </w:t>
      </w:r>
      <w:hyperlink r:id="rId21" w:history="1">
        <w:r w:rsidRPr="001E0522">
          <w:rPr>
            <w:rStyle w:val="Hyperlink"/>
            <w:color w:val="000000" w:themeColor="text1"/>
            <w:u w:val="none"/>
          </w:rPr>
          <w:t>https://www.mdpi.com/2071-1050/16/5/2032</w:t>
        </w:r>
      </w:hyperlink>
    </w:p>
    <w:p w14:paraId="7080B290" w14:textId="77777777" w:rsidR="001E0522" w:rsidRPr="001E0522" w:rsidRDefault="001E0522" w:rsidP="001E0522">
      <w:pPr>
        <w:ind w:left="720" w:hanging="720"/>
        <w:rPr>
          <w:rFonts w:ascii="Arial" w:hAnsi="Arial" w:cs="Arial"/>
          <w:color w:val="000000" w:themeColor="text1"/>
          <w:shd w:val="clear" w:color="auto" w:fill="FFFFFF"/>
        </w:rPr>
      </w:pPr>
      <w:r w:rsidRPr="001E0522">
        <w:rPr>
          <w:rFonts w:ascii="Arial" w:hAnsi="Arial" w:cs="Arial"/>
          <w:color w:val="000000" w:themeColor="text1"/>
          <w:shd w:val="clear" w:color="auto" w:fill="FFFFFF"/>
        </w:rPr>
        <w:t>Hirose, Y. (2022). Action Learning in Japan: challenging cultural values. </w:t>
      </w:r>
      <w:r w:rsidRPr="001E0522">
        <w:rPr>
          <w:rFonts w:ascii="Arial" w:hAnsi="Arial" w:cs="Arial"/>
          <w:i/>
          <w:iCs/>
          <w:color w:val="000000" w:themeColor="text1"/>
          <w:shd w:val="clear" w:color="auto" w:fill="FFFFFF"/>
        </w:rPr>
        <w:t>Action Learning: Research and Practice</w:t>
      </w:r>
      <w:r w:rsidRPr="001E0522">
        <w:rPr>
          <w:rFonts w:ascii="Arial" w:hAnsi="Arial" w:cs="Arial"/>
          <w:color w:val="000000" w:themeColor="text1"/>
          <w:shd w:val="clear" w:color="auto" w:fill="FFFFFF"/>
        </w:rPr>
        <w:t>, </w:t>
      </w:r>
      <w:r w:rsidRPr="001E0522">
        <w:rPr>
          <w:rFonts w:ascii="Arial" w:hAnsi="Arial" w:cs="Arial"/>
          <w:i/>
          <w:iCs/>
          <w:color w:val="000000" w:themeColor="text1"/>
          <w:shd w:val="clear" w:color="auto" w:fill="FFFFFF"/>
        </w:rPr>
        <w:t>19</w:t>
      </w:r>
      <w:r w:rsidRPr="001E0522">
        <w:rPr>
          <w:rFonts w:ascii="Arial" w:hAnsi="Arial" w:cs="Arial"/>
          <w:color w:val="000000" w:themeColor="text1"/>
          <w:shd w:val="clear" w:color="auto" w:fill="FFFFFF"/>
        </w:rPr>
        <w:t xml:space="preserve">(2), 165-183. </w:t>
      </w:r>
      <w:hyperlink r:id="rId22" w:history="1">
        <w:r w:rsidRPr="001E0522">
          <w:rPr>
            <w:rStyle w:val="Hyperlink"/>
            <w:rFonts w:ascii="Arial" w:hAnsi="Arial" w:cs="Arial"/>
            <w:color w:val="000000" w:themeColor="text1"/>
            <w:u w:val="none"/>
            <w:shd w:val="clear" w:color="auto" w:fill="FFFFFF"/>
          </w:rPr>
          <w:t>https://www.tandfonline.com/doi/abs/10.1080/14767333.2022.2047609</w:t>
        </w:r>
      </w:hyperlink>
    </w:p>
    <w:p w14:paraId="144F263E" w14:textId="77777777" w:rsidR="001E0522" w:rsidRPr="001E0522" w:rsidRDefault="001E0522" w:rsidP="001E0522">
      <w:pPr>
        <w:ind w:left="720" w:hanging="720"/>
        <w:rPr>
          <w:rFonts w:asciiTheme="minorHAnsi" w:hAnsiTheme="minorHAnsi" w:cstheme="minorBidi"/>
          <w:sz w:val="22"/>
          <w:szCs w:val="22"/>
        </w:rPr>
      </w:pPr>
      <w:r w:rsidRPr="001E0522">
        <w:rPr>
          <w:rFonts w:ascii="Arial" w:hAnsi="Arial" w:cs="Arial"/>
          <w:color w:val="000000" w:themeColor="text1"/>
          <w:shd w:val="clear" w:color="auto" w:fill="FFFFFF"/>
        </w:rPr>
        <w:t>Kilday, J. E., &amp; Ryan, A. M. (2022). The intersection of the peer ecology and teacher practices for student motivation in the classroom. </w:t>
      </w:r>
      <w:r w:rsidRPr="001E0522">
        <w:rPr>
          <w:i/>
          <w:iCs/>
        </w:rPr>
        <w:t>Educational Psychology Review</w:t>
      </w:r>
      <w:r w:rsidRPr="001E0522">
        <w:t>, </w:t>
      </w:r>
      <w:r w:rsidRPr="001E0522">
        <w:rPr>
          <w:i/>
          <w:iCs/>
        </w:rPr>
        <w:t>34</w:t>
      </w:r>
      <w:r w:rsidRPr="001E0522">
        <w:t xml:space="preserve">(4), 2095-2127. </w:t>
      </w:r>
      <w:hyperlink r:id="rId23" w:history="1">
        <w:r w:rsidRPr="001E0522">
          <w:rPr>
            <w:rStyle w:val="Hyperlink"/>
            <w:color w:val="000000" w:themeColor="text1"/>
            <w:u w:val="none"/>
          </w:rPr>
          <w:t>https://link.springer.com/article/10.1007/s10648-022-09712-2</w:t>
        </w:r>
      </w:hyperlink>
    </w:p>
    <w:p w14:paraId="3B7AC99A" w14:textId="77777777" w:rsidR="001E0522" w:rsidRPr="001E0522" w:rsidRDefault="001E0522" w:rsidP="001E0522">
      <w:pPr>
        <w:ind w:left="720" w:hanging="720"/>
        <w:rPr>
          <w:rFonts w:ascii="Arial" w:hAnsi="Arial" w:cs="Arial"/>
          <w:color w:val="000000" w:themeColor="text1"/>
          <w:shd w:val="clear" w:color="auto" w:fill="FFFFFF"/>
        </w:rPr>
      </w:pPr>
      <w:r w:rsidRPr="001E0522">
        <w:rPr>
          <w:rFonts w:ascii="Arial" w:hAnsi="Arial" w:cs="Arial"/>
          <w:color w:val="000000" w:themeColor="text1"/>
          <w:shd w:val="clear" w:color="auto" w:fill="FFFFFF"/>
        </w:rPr>
        <w:t>Ly, C. K. (2024). Teachers’ roles on English language teaching for promoting learner-centered language learning: A theoretical review. </w:t>
      </w:r>
      <w:r w:rsidRPr="001E0522">
        <w:rPr>
          <w:rFonts w:ascii="Arial" w:hAnsi="Arial" w:cs="Arial"/>
          <w:i/>
          <w:iCs/>
          <w:color w:val="000000" w:themeColor="text1"/>
          <w:shd w:val="clear" w:color="auto" w:fill="FFFFFF"/>
        </w:rPr>
        <w:t>International Journal of TESOL &amp; Education</w:t>
      </w:r>
      <w:r w:rsidRPr="001E0522">
        <w:rPr>
          <w:rFonts w:ascii="Arial" w:hAnsi="Arial" w:cs="Arial"/>
          <w:color w:val="000000" w:themeColor="text1"/>
          <w:shd w:val="clear" w:color="auto" w:fill="FFFFFF"/>
        </w:rPr>
        <w:t>, </w:t>
      </w:r>
      <w:r w:rsidRPr="001E0522">
        <w:rPr>
          <w:rFonts w:ascii="Arial" w:hAnsi="Arial" w:cs="Arial"/>
          <w:i/>
          <w:iCs/>
          <w:color w:val="000000" w:themeColor="text1"/>
          <w:shd w:val="clear" w:color="auto" w:fill="FFFFFF"/>
        </w:rPr>
        <w:t>4</w:t>
      </w:r>
      <w:r w:rsidRPr="001E0522">
        <w:rPr>
          <w:rFonts w:ascii="Arial" w:hAnsi="Arial" w:cs="Arial"/>
          <w:color w:val="000000" w:themeColor="text1"/>
          <w:shd w:val="clear" w:color="auto" w:fill="FFFFFF"/>
        </w:rPr>
        <w:t xml:space="preserve">(2), 78-98. </w:t>
      </w:r>
      <w:hyperlink r:id="rId24" w:history="1">
        <w:r w:rsidRPr="001E0522">
          <w:rPr>
            <w:rStyle w:val="Hyperlink"/>
            <w:rFonts w:ascii="Arial" w:hAnsi="Arial" w:cs="Arial"/>
            <w:color w:val="000000" w:themeColor="text1"/>
            <w:u w:val="none"/>
            <w:shd w:val="clear" w:color="auto" w:fill="FFFFFF"/>
          </w:rPr>
          <w:t>https://www.i-jte.org/index.php/journal/article/view/451</w:t>
        </w:r>
      </w:hyperlink>
    </w:p>
    <w:p w14:paraId="7094F1CF" w14:textId="77777777" w:rsidR="001E0522" w:rsidRPr="001E0522" w:rsidRDefault="001E0522" w:rsidP="001E0522">
      <w:pPr>
        <w:ind w:left="720" w:hanging="720"/>
        <w:rPr>
          <w:rFonts w:ascii="Arial" w:hAnsi="Arial" w:cs="Arial"/>
          <w:color w:val="000000" w:themeColor="text1"/>
          <w:shd w:val="clear" w:color="auto" w:fill="FFFFFF"/>
        </w:rPr>
      </w:pPr>
      <w:r w:rsidRPr="001E0522">
        <w:rPr>
          <w:rFonts w:ascii="Arial" w:hAnsi="Arial" w:cs="Arial"/>
          <w:color w:val="000000" w:themeColor="text1"/>
          <w:shd w:val="clear" w:color="auto" w:fill="FFFFFF"/>
        </w:rPr>
        <w:t>Malgoubri, I. (2025). </w:t>
      </w:r>
      <w:r w:rsidRPr="001E0522">
        <w:rPr>
          <w:rFonts w:ascii="Arial" w:hAnsi="Arial" w:cs="Arial"/>
          <w:i/>
          <w:iCs/>
          <w:color w:val="000000" w:themeColor="text1"/>
          <w:shd w:val="clear" w:color="auto" w:fill="FFFFFF"/>
        </w:rPr>
        <w:t>Empowering Multilingual Learners Through Culturally Sustaining Pedagogy and Arts-Based Learning in Burkina Faso</w:t>
      </w:r>
      <w:r w:rsidRPr="001E0522">
        <w:rPr>
          <w:rFonts w:ascii="Arial" w:hAnsi="Arial" w:cs="Arial"/>
          <w:color w:val="000000" w:themeColor="text1"/>
          <w:shd w:val="clear" w:color="auto" w:fill="FFFFFF"/>
        </w:rPr>
        <w:t xml:space="preserve"> (Doctoral dissertation, The University of Nebraska-Lincoln). </w:t>
      </w:r>
      <w:hyperlink r:id="rId25" w:history="1">
        <w:r w:rsidRPr="001E0522">
          <w:rPr>
            <w:rStyle w:val="Hyperlink"/>
            <w:rFonts w:ascii="Arial" w:hAnsi="Arial" w:cs="Arial"/>
            <w:color w:val="000000" w:themeColor="text1"/>
            <w:u w:val="none"/>
            <w:shd w:val="clear" w:color="auto" w:fill="FFFFFF"/>
          </w:rPr>
          <w:t>https://search.proquest.com/openview/04f47e45eb876d731fbd9aebbceb696b/1?pq-origsite=gscholar&amp;cbl=18750&amp;diss=y</w:t>
        </w:r>
      </w:hyperlink>
    </w:p>
    <w:p w14:paraId="1D0D7C60" w14:textId="77777777" w:rsidR="001E0522" w:rsidRPr="001E0522" w:rsidRDefault="001E0522" w:rsidP="001E0522">
      <w:pPr>
        <w:ind w:left="720" w:hanging="720"/>
        <w:rPr>
          <w:rFonts w:asciiTheme="minorHAnsi" w:hAnsiTheme="minorHAnsi" w:cstheme="minorBidi"/>
          <w:sz w:val="22"/>
          <w:szCs w:val="22"/>
        </w:rPr>
      </w:pPr>
      <w:r w:rsidRPr="001E0522">
        <w:rPr>
          <w:rFonts w:ascii="Arial" w:hAnsi="Arial" w:cs="Arial"/>
          <w:color w:val="000000" w:themeColor="text1"/>
          <w:shd w:val="clear" w:color="auto" w:fill="FFFFFF"/>
        </w:rPr>
        <w:t>Mayes, E. (2022). Politics of solidarity in educational partnerships. In </w:t>
      </w:r>
      <w:r w:rsidRPr="001E0522">
        <w:rPr>
          <w:i/>
          <w:iCs/>
        </w:rPr>
        <w:t>Encyclopedia of teacher education</w:t>
      </w:r>
      <w:r w:rsidRPr="001E0522">
        <w:t xml:space="preserve"> (pp. 1326-1331). Singapore: Springer Nature Singapore. </w:t>
      </w:r>
      <w:hyperlink r:id="rId26" w:history="1">
        <w:r w:rsidRPr="001E0522">
          <w:rPr>
            <w:rStyle w:val="Hyperlink"/>
            <w:color w:val="000000" w:themeColor="text1"/>
            <w:u w:val="none"/>
          </w:rPr>
          <w:t>https://link.springer.com/content/pdf/10.1007/978-981-16-8679-5_428.pdf</w:t>
        </w:r>
      </w:hyperlink>
    </w:p>
    <w:p w14:paraId="29693130" w14:textId="77777777" w:rsidR="001E0522" w:rsidRPr="001E0522" w:rsidRDefault="001E0522" w:rsidP="001E0522">
      <w:pPr>
        <w:ind w:left="720" w:hanging="720"/>
      </w:pPr>
      <w:proofErr w:type="spellStart"/>
      <w:r w:rsidRPr="001E0522">
        <w:rPr>
          <w:rFonts w:ascii="Arial" w:hAnsi="Arial" w:cs="Arial"/>
          <w:color w:val="000000" w:themeColor="text1"/>
          <w:shd w:val="clear" w:color="auto" w:fill="FFFFFF"/>
        </w:rPr>
        <w:t>Öngel</w:t>
      </w:r>
      <w:proofErr w:type="spellEnd"/>
      <w:r w:rsidRPr="001E0522">
        <w:rPr>
          <w:rFonts w:ascii="Arial" w:hAnsi="Arial" w:cs="Arial"/>
          <w:color w:val="000000" w:themeColor="text1"/>
          <w:shd w:val="clear" w:color="auto" w:fill="FFFFFF"/>
        </w:rPr>
        <w:t xml:space="preserve">, G., &amp; </w:t>
      </w:r>
      <w:proofErr w:type="spellStart"/>
      <w:r w:rsidRPr="001E0522">
        <w:rPr>
          <w:rFonts w:ascii="Arial" w:hAnsi="Arial" w:cs="Arial"/>
          <w:color w:val="000000" w:themeColor="text1"/>
          <w:shd w:val="clear" w:color="auto" w:fill="FFFFFF"/>
        </w:rPr>
        <w:t>Tabancali</w:t>
      </w:r>
      <w:proofErr w:type="spellEnd"/>
      <w:r w:rsidRPr="001E0522">
        <w:rPr>
          <w:rFonts w:ascii="Arial" w:hAnsi="Arial" w:cs="Arial"/>
          <w:color w:val="000000" w:themeColor="text1"/>
          <w:shd w:val="clear" w:color="auto" w:fill="FFFFFF"/>
        </w:rPr>
        <w:t>, E. (2022). Teacher Enthusiasm and Collaborative School Climate. </w:t>
      </w:r>
      <w:r w:rsidRPr="001E0522">
        <w:rPr>
          <w:i/>
          <w:iCs/>
        </w:rPr>
        <w:t>Education Quarterly Reviews</w:t>
      </w:r>
      <w:r w:rsidRPr="001E0522">
        <w:t>, </w:t>
      </w:r>
      <w:r w:rsidRPr="001E0522">
        <w:rPr>
          <w:i/>
          <w:iCs/>
        </w:rPr>
        <w:t>5</w:t>
      </w:r>
      <w:r w:rsidRPr="001E0522">
        <w:t xml:space="preserve">(2), 347-356. </w:t>
      </w:r>
      <w:hyperlink r:id="rId27" w:history="1">
        <w:r w:rsidRPr="001E0522">
          <w:rPr>
            <w:rStyle w:val="Hyperlink"/>
            <w:color w:val="000000" w:themeColor="text1"/>
            <w:u w:val="none"/>
          </w:rPr>
          <w:t>https://eric.ed.gov/?id=EJ1341368</w:t>
        </w:r>
      </w:hyperlink>
    </w:p>
    <w:p w14:paraId="4390CEC3" w14:textId="77777777" w:rsidR="001E0522" w:rsidRPr="001E0522" w:rsidRDefault="001E0522" w:rsidP="001E0522">
      <w:pPr>
        <w:ind w:left="720" w:hanging="720"/>
        <w:rPr>
          <w:rFonts w:ascii="Arial" w:hAnsi="Arial" w:cs="Arial"/>
          <w:color w:val="000000" w:themeColor="text1"/>
          <w:shd w:val="clear" w:color="auto" w:fill="FFFFFF"/>
        </w:rPr>
      </w:pPr>
      <w:proofErr w:type="spellStart"/>
      <w:r w:rsidRPr="001E0522">
        <w:rPr>
          <w:rFonts w:ascii="Arial" w:hAnsi="Arial" w:cs="Arial"/>
          <w:color w:val="000000" w:themeColor="text1"/>
          <w:shd w:val="clear" w:color="auto" w:fill="FFFFFF"/>
        </w:rPr>
        <w:t>Pantazidis</w:t>
      </w:r>
      <w:proofErr w:type="spellEnd"/>
      <w:r w:rsidRPr="001E0522">
        <w:rPr>
          <w:rFonts w:ascii="Arial" w:hAnsi="Arial" w:cs="Arial"/>
          <w:color w:val="000000" w:themeColor="text1"/>
          <w:shd w:val="clear" w:color="auto" w:fill="FFFFFF"/>
        </w:rPr>
        <w:t>, S. (2024). Educating through commons-based pedagogical practices. </w:t>
      </w:r>
      <w:r w:rsidRPr="001E0522">
        <w:rPr>
          <w:rFonts w:ascii="Arial" w:hAnsi="Arial" w:cs="Arial"/>
          <w:i/>
          <w:iCs/>
          <w:color w:val="000000" w:themeColor="text1"/>
          <w:shd w:val="clear" w:color="auto" w:fill="FFFFFF"/>
        </w:rPr>
        <w:t>EIKI Journal of Effective Teaching Methods</w:t>
      </w:r>
      <w:r w:rsidRPr="001E0522">
        <w:rPr>
          <w:rFonts w:ascii="Arial" w:hAnsi="Arial" w:cs="Arial"/>
          <w:color w:val="000000" w:themeColor="text1"/>
          <w:shd w:val="clear" w:color="auto" w:fill="FFFFFF"/>
        </w:rPr>
        <w:t>, </w:t>
      </w:r>
      <w:r w:rsidRPr="001E0522">
        <w:rPr>
          <w:rFonts w:ascii="Arial" w:hAnsi="Arial" w:cs="Arial"/>
          <w:i/>
          <w:iCs/>
          <w:color w:val="000000" w:themeColor="text1"/>
          <w:shd w:val="clear" w:color="auto" w:fill="FFFFFF"/>
        </w:rPr>
        <w:t>2</w:t>
      </w:r>
      <w:r w:rsidRPr="001E0522">
        <w:rPr>
          <w:rFonts w:ascii="Arial" w:hAnsi="Arial" w:cs="Arial"/>
          <w:color w:val="000000" w:themeColor="text1"/>
          <w:shd w:val="clear" w:color="auto" w:fill="FFFFFF"/>
        </w:rPr>
        <w:t xml:space="preserve">(2). </w:t>
      </w:r>
      <w:hyperlink r:id="rId28" w:history="1">
        <w:r w:rsidRPr="001E0522">
          <w:rPr>
            <w:rStyle w:val="Hyperlink"/>
            <w:rFonts w:ascii="Arial" w:hAnsi="Arial" w:cs="Arial"/>
            <w:color w:val="000000" w:themeColor="text1"/>
            <w:u w:val="none"/>
            <w:shd w:val="clear" w:color="auto" w:fill="FFFFFF"/>
          </w:rPr>
          <w:t>http://journals.eikipub.com/index.php/jetm/article/view/189</w:t>
        </w:r>
      </w:hyperlink>
    </w:p>
    <w:p w14:paraId="2558DDE4" w14:textId="4792F82A" w:rsidR="001E0522" w:rsidRDefault="001E0522" w:rsidP="001E0522">
      <w:pPr>
        <w:ind w:left="720" w:hanging="720"/>
      </w:pPr>
      <w:r w:rsidRPr="001E0522">
        <w:rPr>
          <w:rFonts w:ascii="Arial" w:hAnsi="Arial" w:cs="Arial"/>
          <w:color w:val="000000" w:themeColor="text1"/>
          <w:shd w:val="clear" w:color="auto" w:fill="FFFFFF"/>
        </w:rPr>
        <w:lastRenderedPageBreak/>
        <w:t>Pedler, M., Hudson, S., &amp; Yeigh, T. (2020). The teachers' role in student engagement: A review. </w:t>
      </w:r>
      <w:r w:rsidRPr="001E0522">
        <w:rPr>
          <w:i/>
          <w:iCs/>
        </w:rPr>
        <w:t>Australian Journal of Teacher Education (Online)</w:t>
      </w:r>
      <w:r w:rsidRPr="001E0522">
        <w:t>, </w:t>
      </w:r>
      <w:r w:rsidRPr="001E0522">
        <w:rPr>
          <w:i/>
          <w:iCs/>
        </w:rPr>
        <w:t>45</w:t>
      </w:r>
      <w:r w:rsidRPr="001E0522">
        <w:t xml:space="preserve">(3), 48-62. </w:t>
      </w:r>
      <w:hyperlink r:id="rId29" w:history="1">
        <w:r w:rsidRPr="001E0522">
          <w:rPr>
            <w:rStyle w:val="Hyperlink"/>
            <w:color w:val="000000" w:themeColor="text1"/>
            <w:u w:val="none"/>
          </w:rPr>
          <w:t>https://search.informit.org/doi/abs/10.3316/ielapa.270830255864389</w:t>
        </w:r>
      </w:hyperlink>
    </w:p>
    <w:p w14:paraId="6C473CF2" w14:textId="4A4957A7" w:rsidR="001E0522" w:rsidRPr="001E0522" w:rsidRDefault="001E0522" w:rsidP="001E0522">
      <w:pPr>
        <w:ind w:left="720" w:hanging="720"/>
        <w:rPr>
          <w:rFonts w:asciiTheme="minorHAnsi" w:hAnsiTheme="minorHAnsi" w:cstheme="minorBidi"/>
          <w:sz w:val="22"/>
          <w:szCs w:val="22"/>
        </w:rPr>
      </w:pPr>
      <w:proofErr w:type="spellStart"/>
      <w:r>
        <w:rPr>
          <w:rFonts w:ascii="Arial" w:hAnsi="Arial" w:cs="Arial"/>
          <w:color w:val="222222"/>
          <w:shd w:val="clear" w:color="auto" w:fill="FFFFFF"/>
        </w:rPr>
        <w:t>Pregoner</w:t>
      </w:r>
      <w:proofErr w:type="spellEnd"/>
      <w:r>
        <w:rPr>
          <w:rFonts w:ascii="Arial" w:hAnsi="Arial" w:cs="Arial"/>
          <w:color w:val="222222"/>
          <w:shd w:val="clear" w:color="auto" w:fill="FFFFFF"/>
        </w:rPr>
        <w:t xml:space="preserve">, J. D., </w:t>
      </w:r>
      <w:proofErr w:type="spellStart"/>
      <w:r>
        <w:rPr>
          <w:rFonts w:ascii="Arial" w:hAnsi="Arial" w:cs="Arial"/>
          <w:color w:val="222222"/>
          <w:shd w:val="clear" w:color="auto" w:fill="FFFFFF"/>
        </w:rPr>
        <w:t>Leopardas</w:t>
      </w:r>
      <w:proofErr w:type="spellEnd"/>
      <w:r>
        <w:rPr>
          <w:rFonts w:ascii="Arial" w:hAnsi="Arial" w:cs="Arial"/>
          <w:color w:val="222222"/>
          <w:shd w:val="clear" w:color="auto" w:fill="FFFFFF"/>
        </w:rPr>
        <w:t xml:space="preserve">, R., Ganancial, I. J., </w:t>
      </w:r>
      <w:proofErr w:type="spellStart"/>
      <w:r>
        <w:rPr>
          <w:rFonts w:ascii="Arial" w:hAnsi="Arial" w:cs="Arial"/>
          <w:color w:val="222222"/>
          <w:shd w:val="clear" w:color="auto" w:fill="FFFFFF"/>
        </w:rPr>
        <w:t>Baguhin</w:t>
      </w:r>
      <w:proofErr w:type="spellEnd"/>
      <w:r>
        <w:rPr>
          <w:rFonts w:ascii="Arial" w:hAnsi="Arial" w:cs="Arial"/>
          <w:color w:val="222222"/>
          <w:shd w:val="clear" w:color="auto" w:fill="FFFFFF"/>
        </w:rPr>
        <w:t>, M., &amp; Sedo, F. (2025). Ethical Issues in Conducting Research Using Human Participants in the Post-COVID Era. </w:t>
      </w:r>
      <w:r>
        <w:rPr>
          <w:rFonts w:ascii="Arial" w:hAnsi="Arial" w:cs="Arial"/>
          <w:i/>
          <w:iCs/>
          <w:color w:val="222222"/>
          <w:shd w:val="clear" w:color="auto" w:fill="FFFFFF"/>
        </w:rPr>
        <w:t>IMCC Journal of Science</w:t>
      </w:r>
      <w:r>
        <w:rPr>
          <w:rFonts w:ascii="Arial" w:hAnsi="Arial" w:cs="Arial"/>
          <w:color w:val="222222"/>
          <w:shd w:val="clear" w:color="auto" w:fill="FFFFFF"/>
        </w:rPr>
        <w:t>, </w:t>
      </w:r>
      <w:r>
        <w:rPr>
          <w:rFonts w:ascii="Arial" w:hAnsi="Arial" w:cs="Arial"/>
          <w:i/>
          <w:iCs/>
          <w:color w:val="222222"/>
          <w:shd w:val="clear" w:color="auto" w:fill="FFFFFF"/>
        </w:rPr>
        <w:t>5</w:t>
      </w:r>
      <w:r>
        <w:rPr>
          <w:rFonts w:ascii="Arial" w:hAnsi="Arial" w:cs="Arial"/>
          <w:color w:val="222222"/>
          <w:shd w:val="clear" w:color="auto" w:fill="FFFFFF"/>
        </w:rPr>
        <w:t>(1), 1-9.</w:t>
      </w:r>
      <w:r w:rsidRPr="001E0522">
        <w:t xml:space="preserve"> </w:t>
      </w:r>
      <w:r w:rsidRPr="001E0522">
        <w:rPr>
          <w:rFonts w:ascii="Arial" w:hAnsi="Arial" w:cs="Arial"/>
          <w:color w:val="222222"/>
          <w:shd w:val="clear" w:color="auto" w:fill="FFFFFF"/>
        </w:rPr>
        <w:t>https://hal.science/hal-05073466/</w:t>
      </w:r>
    </w:p>
    <w:p w14:paraId="5D453F81" w14:textId="77777777" w:rsidR="001E0522" w:rsidRPr="001E0522" w:rsidRDefault="001E0522" w:rsidP="001E0522">
      <w:pPr>
        <w:ind w:left="720" w:hanging="720"/>
        <w:rPr>
          <w:rFonts w:ascii="Arial" w:hAnsi="Arial" w:cs="Arial"/>
          <w:color w:val="000000" w:themeColor="text1"/>
          <w:shd w:val="clear" w:color="auto" w:fill="FFFFFF"/>
        </w:rPr>
      </w:pPr>
      <w:r w:rsidRPr="001E0522">
        <w:rPr>
          <w:rFonts w:ascii="Arial" w:hAnsi="Arial" w:cs="Arial"/>
          <w:color w:val="000000" w:themeColor="text1"/>
          <w:shd w:val="clear" w:color="auto" w:fill="FFFFFF"/>
        </w:rPr>
        <w:t>Romey, L. V. S. (2024). </w:t>
      </w:r>
      <w:r w:rsidRPr="001E0522">
        <w:rPr>
          <w:rFonts w:ascii="Arial" w:hAnsi="Arial" w:cs="Arial"/>
          <w:i/>
          <w:iCs/>
          <w:color w:val="000000" w:themeColor="text1"/>
          <w:shd w:val="clear" w:color="auto" w:fill="FFFFFF"/>
        </w:rPr>
        <w:t>Navigating high-migration classrooms: teachers’ insights on overcoming challenges and building community</w:t>
      </w:r>
      <w:r w:rsidRPr="001E0522">
        <w:rPr>
          <w:rFonts w:ascii="Arial" w:hAnsi="Arial" w:cs="Arial"/>
          <w:color w:val="000000" w:themeColor="text1"/>
          <w:shd w:val="clear" w:color="auto" w:fill="FFFFFF"/>
        </w:rPr>
        <w:t xml:space="preserve"> (Master's thesis, LVS Romey). </w:t>
      </w:r>
      <w:hyperlink r:id="rId30" w:history="1">
        <w:r w:rsidRPr="001E0522">
          <w:rPr>
            <w:rStyle w:val="Hyperlink"/>
            <w:rFonts w:ascii="Arial" w:hAnsi="Arial" w:cs="Arial"/>
            <w:color w:val="000000" w:themeColor="text1"/>
            <w:u w:val="none"/>
            <w:shd w:val="clear" w:color="auto" w:fill="FFFFFF"/>
          </w:rPr>
          <w:t>https://oulurepo.oulu.fi/handle/10024/50220</w:t>
        </w:r>
      </w:hyperlink>
    </w:p>
    <w:p w14:paraId="44A2233C" w14:textId="77777777" w:rsidR="001E0522" w:rsidRPr="001E0522" w:rsidRDefault="001E0522" w:rsidP="001E0522">
      <w:pPr>
        <w:ind w:left="720" w:hanging="720"/>
        <w:rPr>
          <w:rFonts w:ascii="Arial" w:hAnsi="Arial" w:cs="Arial"/>
          <w:color w:val="000000" w:themeColor="text1"/>
          <w:shd w:val="clear" w:color="auto" w:fill="FFFFFF"/>
        </w:rPr>
      </w:pPr>
      <w:proofErr w:type="spellStart"/>
      <w:r w:rsidRPr="001E0522">
        <w:rPr>
          <w:rFonts w:ascii="Arial" w:hAnsi="Arial" w:cs="Arial"/>
          <w:color w:val="000000" w:themeColor="text1"/>
          <w:shd w:val="clear" w:color="auto" w:fill="FFFFFF"/>
        </w:rPr>
        <w:t>Salayo</w:t>
      </w:r>
      <w:proofErr w:type="spellEnd"/>
      <w:r w:rsidRPr="001E0522">
        <w:rPr>
          <w:rFonts w:ascii="Arial" w:hAnsi="Arial" w:cs="Arial"/>
          <w:color w:val="000000" w:themeColor="text1"/>
          <w:shd w:val="clear" w:color="auto" w:fill="FFFFFF"/>
        </w:rPr>
        <w:t>, J. D., &amp; Geronimo, J. V. (2024). Filipino Language Teacher Activism from In-the-Classroom Critical Pedagogy to Out-of-the-Classroom Creative Resistance. </w:t>
      </w:r>
      <w:r w:rsidRPr="001E0522">
        <w:rPr>
          <w:rFonts w:ascii="Arial" w:hAnsi="Arial" w:cs="Arial"/>
          <w:i/>
          <w:iCs/>
          <w:color w:val="000000" w:themeColor="text1"/>
          <w:shd w:val="clear" w:color="auto" w:fill="FFFFFF"/>
        </w:rPr>
        <w:t>Activism in Language Teaching and Language Teacher Education</w:t>
      </w:r>
      <w:r w:rsidRPr="001E0522">
        <w:rPr>
          <w:rFonts w:ascii="Arial" w:hAnsi="Arial" w:cs="Arial"/>
          <w:color w:val="000000" w:themeColor="text1"/>
          <w:shd w:val="clear" w:color="auto" w:fill="FFFFFF"/>
        </w:rPr>
        <w:t xml:space="preserve">, 155. </w:t>
      </w:r>
      <w:hyperlink r:id="rId31" w:anchor="page=172" w:history="1">
        <w:r w:rsidRPr="001E0522">
          <w:rPr>
            <w:rStyle w:val="Hyperlink"/>
            <w:rFonts w:ascii="Arial" w:hAnsi="Arial" w:cs="Arial"/>
            <w:color w:val="000000" w:themeColor="text1"/>
            <w:u w:val="none"/>
            <w:shd w:val="clear" w:color="auto" w:fill="FFFFFF"/>
          </w:rPr>
          <w:t>https://library.oapen.org/bitstream/handle/20.500.12657/97333/external_content.pdf?sequence=1#page=172</w:t>
        </w:r>
      </w:hyperlink>
    </w:p>
    <w:p w14:paraId="1B2E99CE" w14:textId="77777777" w:rsidR="001E0522" w:rsidRPr="001E0522" w:rsidRDefault="001E0522" w:rsidP="001E0522">
      <w:pPr>
        <w:ind w:left="720" w:hanging="720"/>
        <w:rPr>
          <w:rFonts w:asciiTheme="minorHAnsi" w:hAnsiTheme="minorHAnsi" w:cstheme="minorBidi"/>
          <w:sz w:val="22"/>
          <w:szCs w:val="22"/>
        </w:rPr>
      </w:pPr>
      <w:r w:rsidRPr="001E0522">
        <w:rPr>
          <w:rFonts w:ascii="Arial" w:hAnsi="Arial" w:cs="Arial"/>
          <w:color w:val="000000" w:themeColor="text1"/>
          <w:shd w:val="clear" w:color="auto" w:fill="FFFFFF"/>
        </w:rPr>
        <w:t>Schunk, D., Berger, E. M., Hermes, H., Winkel, K., &amp; Fehr, E. (2022). Teaching self-regulation. </w:t>
      </w:r>
      <w:r w:rsidRPr="001E0522">
        <w:rPr>
          <w:i/>
          <w:iCs/>
        </w:rPr>
        <w:t xml:space="preserve">Nature human </w:t>
      </w:r>
      <w:proofErr w:type="spellStart"/>
      <w:r w:rsidRPr="001E0522">
        <w:rPr>
          <w:i/>
          <w:iCs/>
        </w:rPr>
        <w:t>behaviour</w:t>
      </w:r>
      <w:proofErr w:type="spellEnd"/>
      <w:r w:rsidRPr="001E0522">
        <w:t>, </w:t>
      </w:r>
      <w:r w:rsidRPr="001E0522">
        <w:rPr>
          <w:i/>
          <w:iCs/>
        </w:rPr>
        <w:t>6</w:t>
      </w:r>
      <w:r w:rsidRPr="001E0522">
        <w:t xml:space="preserve">(12), 1680-1690. </w:t>
      </w:r>
      <w:hyperlink r:id="rId32" w:history="1">
        <w:r w:rsidRPr="001E0522">
          <w:rPr>
            <w:rStyle w:val="Hyperlink"/>
            <w:color w:val="000000" w:themeColor="text1"/>
            <w:u w:val="none"/>
          </w:rPr>
          <w:t>https://www.nature.com/articles/s41562-022-01449-w</w:t>
        </w:r>
      </w:hyperlink>
    </w:p>
    <w:p w14:paraId="65CF219D" w14:textId="77777777" w:rsidR="001E0522" w:rsidRPr="001E0522" w:rsidRDefault="001E0522" w:rsidP="001E0522">
      <w:pPr>
        <w:ind w:left="720" w:hanging="720"/>
      </w:pPr>
      <w:r w:rsidRPr="001E0522">
        <w:rPr>
          <w:rFonts w:ascii="Arial" w:hAnsi="Arial" w:cs="Arial"/>
          <w:color w:val="000000" w:themeColor="text1"/>
          <w:shd w:val="clear" w:color="auto" w:fill="FFFFFF"/>
        </w:rPr>
        <w:t>Singh, J. (2024). In Search of Belonging in a Grade 6-8 Public School in Western Canada.</w:t>
      </w:r>
      <w:r w:rsidRPr="001E0522">
        <w:t xml:space="preserve"> </w:t>
      </w:r>
      <w:hyperlink r:id="rId33" w:history="1">
        <w:r w:rsidRPr="001E0522">
          <w:rPr>
            <w:rStyle w:val="Hyperlink"/>
            <w:color w:val="000000" w:themeColor="text1"/>
            <w:u w:val="none"/>
          </w:rPr>
          <w:t>https://ir.lib.uwo.ca/oip/414/</w:t>
        </w:r>
      </w:hyperlink>
    </w:p>
    <w:p w14:paraId="56498390" w14:textId="77777777" w:rsidR="001E0522" w:rsidRPr="001E0522" w:rsidRDefault="001E0522" w:rsidP="001E0522">
      <w:pPr>
        <w:ind w:left="720" w:hanging="720"/>
        <w:rPr>
          <w:rFonts w:ascii="Arial" w:hAnsi="Arial" w:cs="Arial"/>
          <w:color w:val="000000" w:themeColor="text1"/>
          <w:shd w:val="clear" w:color="auto" w:fill="FFFFFF"/>
        </w:rPr>
      </w:pPr>
      <w:proofErr w:type="spellStart"/>
      <w:r w:rsidRPr="001E0522">
        <w:rPr>
          <w:rFonts w:ascii="Arial" w:hAnsi="Arial" w:cs="Arial"/>
          <w:color w:val="000000" w:themeColor="text1"/>
          <w:shd w:val="clear" w:color="auto" w:fill="FFFFFF"/>
        </w:rPr>
        <w:t>Staschen</w:t>
      </w:r>
      <w:proofErr w:type="spellEnd"/>
      <w:r w:rsidRPr="001E0522">
        <w:rPr>
          <w:rFonts w:ascii="Arial" w:hAnsi="Arial" w:cs="Arial"/>
          <w:color w:val="000000" w:themeColor="text1"/>
          <w:shd w:val="clear" w:color="auto" w:fill="FFFFFF"/>
        </w:rPr>
        <w:t xml:space="preserve">, O. (2020). Changing the game: public education and the discourses and practices of </w:t>
      </w:r>
      <w:proofErr w:type="spellStart"/>
      <w:r w:rsidRPr="001E0522">
        <w:rPr>
          <w:rFonts w:ascii="Arial" w:hAnsi="Arial" w:cs="Arial"/>
          <w:color w:val="000000" w:themeColor="text1"/>
          <w:shd w:val="clear" w:color="auto" w:fill="FFFFFF"/>
        </w:rPr>
        <w:t>privatisation</w:t>
      </w:r>
      <w:proofErr w:type="spellEnd"/>
      <w:r w:rsidRPr="001E0522">
        <w:rPr>
          <w:rFonts w:ascii="Arial" w:hAnsi="Arial" w:cs="Arial"/>
          <w:color w:val="000000" w:themeColor="text1"/>
          <w:shd w:val="clear" w:color="auto" w:fill="FFFFFF"/>
        </w:rPr>
        <w:t xml:space="preserve"> in educational technology policy and intervention. </w:t>
      </w:r>
      <w:hyperlink r:id="rId34" w:history="1">
        <w:r w:rsidRPr="001E0522">
          <w:rPr>
            <w:rStyle w:val="Hyperlink"/>
            <w:rFonts w:ascii="Arial" w:hAnsi="Arial" w:cs="Arial"/>
            <w:color w:val="000000" w:themeColor="text1"/>
            <w:u w:val="none"/>
            <w:shd w:val="clear" w:color="auto" w:fill="FFFFFF"/>
          </w:rPr>
          <w:t>https://open.uct.ac.za/handle/11427/32996</w:t>
        </w:r>
      </w:hyperlink>
    </w:p>
    <w:p w14:paraId="5B6B9734" w14:textId="5C8D05E1" w:rsidR="00CD4D57" w:rsidRPr="001E0522" w:rsidRDefault="00CD4D57" w:rsidP="001E0522">
      <w:pPr>
        <w:rPr>
          <w:rFonts w:ascii="Arial" w:hAnsi="Arial" w:cs="Arial"/>
          <w:b/>
        </w:rPr>
      </w:pPr>
    </w:p>
    <w:sectPr w:rsidR="00CD4D57" w:rsidRPr="001E0522" w:rsidSect="00881434">
      <w:headerReference w:type="even" r:id="rId35"/>
      <w:headerReference w:type="default" r:id="rId36"/>
      <w:footerReference w:type="default" r:id="rId37"/>
      <w:headerReference w:type="first" r:id="rId38"/>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A8EB03" w14:textId="77777777" w:rsidR="0092479C" w:rsidRDefault="0092479C">
      <w:r>
        <w:separator/>
      </w:r>
    </w:p>
  </w:endnote>
  <w:endnote w:type="continuationSeparator" w:id="0">
    <w:p w14:paraId="32AC03CC" w14:textId="77777777" w:rsidR="0092479C" w:rsidRDefault="00924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E62CD0" w14:textId="77777777" w:rsidR="00881434" w:rsidRDefault="008814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02CDFB" w14:textId="77777777" w:rsidR="00881434" w:rsidRDefault="008814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867F36" w14:textId="71993710" w:rsidR="00717F2E" w:rsidRPr="00881434" w:rsidRDefault="00717F2E" w:rsidP="0088143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A01562" w14:textId="77777777" w:rsidR="00717F2E" w:rsidRDefault="00717F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D2FF05" w14:textId="77777777" w:rsidR="0092479C" w:rsidRDefault="0092479C">
      <w:r>
        <w:separator/>
      </w:r>
    </w:p>
  </w:footnote>
  <w:footnote w:type="continuationSeparator" w:id="0">
    <w:p w14:paraId="27EF6330" w14:textId="77777777" w:rsidR="0092479C" w:rsidRDefault="009247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A167B4" w14:textId="3CFB5610" w:rsidR="00881434" w:rsidRDefault="0092479C">
    <w:pPr>
      <w:pStyle w:val="Header"/>
    </w:pPr>
    <w:r>
      <w:rPr>
        <w:noProof/>
      </w:rPr>
      <w:pict w14:anchorId="597372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221719"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871960" w14:textId="73C66D85" w:rsidR="00881434" w:rsidRDefault="0092479C">
    <w:pPr>
      <w:pStyle w:val="Header"/>
    </w:pPr>
    <w:r>
      <w:rPr>
        <w:noProof/>
      </w:rPr>
      <w:pict w14:anchorId="01C168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221720"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08CE6B" w14:textId="4CE99F42" w:rsidR="00717F2E" w:rsidRDefault="0092479C">
    <w:pPr>
      <w:ind w:left="2160"/>
      <w:jc w:val="center"/>
      <w:rPr>
        <w:rFonts w:ascii="Times New Roman" w:eastAsia="Calibri" w:hAnsi="Times New Roman"/>
        <w:i/>
        <w:sz w:val="18"/>
        <w:szCs w:val="22"/>
      </w:rPr>
    </w:pPr>
    <w:r>
      <w:rPr>
        <w:noProof/>
      </w:rPr>
      <w:pict w14:anchorId="7BB43F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221718"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2FE390C6" w14:textId="77777777" w:rsidR="00717F2E" w:rsidRDefault="00180859">
    <w:pPr>
      <w:ind w:left="4320"/>
      <w:rPr>
        <w:rFonts w:ascii="Times New Roman" w:eastAsia="Calibri" w:hAnsi="Times New Roman"/>
        <w:i/>
        <w:sz w:val="18"/>
        <w:szCs w:val="22"/>
      </w:rPr>
    </w:pPr>
    <w:r>
      <w:rPr>
        <w:rFonts w:ascii="Times New Roman" w:eastAsia="Calibri" w:hAnsi="Times New Roman"/>
        <w:i/>
        <w:sz w:val="18"/>
        <w:szCs w:val="22"/>
      </w:rPr>
      <w:t xml:space="preserve">.     </w:t>
    </w:r>
  </w:p>
  <w:p w14:paraId="4835D4B8" w14:textId="77777777" w:rsidR="00717F2E" w:rsidRDefault="00180859">
    <w:pPr>
      <w:jc w:val="center"/>
      <w:rPr>
        <w:rFonts w:ascii="Times New Roman" w:eastAsia="Calibri" w:hAnsi="Times New Roman"/>
        <w:i/>
        <w:sz w:val="18"/>
        <w:szCs w:val="22"/>
      </w:rPr>
    </w:pPr>
    <w:r>
      <w:rPr>
        <w:rFonts w:ascii="Times New Roman" w:eastAsia="Calibri" w:hAnsi="Times New Roman"/>
        <w:i/>
        <w:sz w:val="18"/>
        <w:szCs w:val="22"/>
      </w:rPr>
      <w:t>.</w:t>
    </w:r>
  </w:p>
  <w:p w14:paraId="542E7A0C" w14:textId="77777777" w:rsidR="00717F2E" w:rsidRDefault="00180859">
    <w:pPr>
      <w:spacing w:after="200"/>
      <w:jc w:val="center"/>
      <w:rPr>
        <w:rFonts w:ascii="Times New Roman" w:eastAsia="Calibri" w:hAnsi="Times New Roman"/>
        <w:b/>
        <w:i/>
        <w:sz w:val="32"/>
        <w:szCs w:val="22"/>
      </w:rPr>
    </w:pPr>
    <w:r>
      <w:rPr>
        <w:rFonts w:ascii="Times New Roman" w:eastAsia="Calibri" w:hAnsi="Times New Roman"/>
        <w:b/>
        <w:i/>
        <w:sz w:val="32"/>
        <w:szCs w:val="22"/>
      </w:rPr>
      <w:t xml:space="preserve">              . </w:t>
    </w:r>
  </w:p>
  <w:p w14:paraId="160D0B15" w14:textId="77777777" w:rsidR="00717F2E" w:rsidRDefault="00180859">
    <w:pPr>
      <w:jc w:val="center"/>
      <w:rPr>
        <w:rFonts w:ascii="Times New Roman" w:eastAsia="Calibri" w:hAnsi="Times New Roman"/>
        <w:i/>
        <w:sz w:val="18"/>
        <w:szCs w:val="22"/>
      </w:rPr>
    </w:pPr>
    <w:r>
      <w:rPr>
        <w:rFonts w:ascii="Times New Roman" w:eastAsia="Calibri" w:hAnsi="Times New Roman"/>
        <w:i/>
        <w:sz w:val="18"/>
        <w:szCs w:val="22"/>
      </w:rPr>
      <w:t xml:space="preserve">                     </w:t>
    </w:r>
  </w:p>
  <w:p w14:paraId="0D6EED9D" w14:textId="77777777" w:rsidR="00717F2E" w:rsidRDefault="0018085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739E505C" w14:textId="77777777" w:rsidR="00717F2E" w:rsidRDefault="00180859">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FD0600" w14:textId="413272DA" w:rsidR="00881434" w:rsidRDefault="0092479C">
    <w:pPr>
      <w:pStyle w:val="Header"/>
    </w:pPr>
    <w:r>
      <w:rPr>
        <w:noProof/>
      </w:rPr>
      <w:pict w14:anchorId="4E5580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221722"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12E0DC" w14:textId="136700DF" w:rsidR="00881434" w:rsidRDefault="0092479C">
    <w:pPr>
      <w:pStyle w:val="Header"/>
    </w:pPr>
    <w:r>
      <w:rPr>
        <w:noProof/>
      </w:rPr>
      <w:pict w14:anchorId="778DBB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221723"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5F3A2E" w14:textId="4CC0F798" w:rsidR="00881434" w:rsidRDefault="0092479C">
    <w:pPr>
      <w:pStyle w:val="Header"/>
    </w:pPr>
    <w:r>
      <w:rPr>
        <w:noProof/>
      </w:rPr>
      <w:pict w14:anchorId="00D37F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221721"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990B6"/>
    <w:multiLevelType w:val="singleLevel"/>
    <w:tmpl w:val="099990B6"/>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25C24EFD"/>
    <w:multiLevelType w:val="hybridMultilevel"/>
    <w:tmpl w:val="044650A6"/>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 w15:restartNumberingAfterBreak="0">
    <w:nsid w:val="6ABC6C0A"/>
    <w:multiLevelType w:val="multilevel"/>
    <w:tmpl w:val="6ABC6C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71604DCD"/>
    <w:multiLevelType w:val="singleLevel"/>
    <w:tmpl w:val="71604DCD"/>
    <w:lvl w:ilvl="0">
      <w:start w:val="1"/>
      <w:numFmt w:val="decimal"/>
      <w:pStyle w:val="Reference"/>
      <w:lvlText w:val="%1."/>
      <w:lvlJc w:val="left"/>
      <w:pPr>
        <w:tabs>
          <w:tab w:val="left" w:pos="360"/>
        </w:tabs>
        <w:ind w:left="360" w:hanging="360"/>
      </w:pPr>
    </w:lvl>
  </w:abstractNum>
  <w:num w:numId="1">
    <w:abstractNumId w:val="3"/>
  </w:num>
  <w:num w:numId="2">
    <w:abstractNumId w:val="2"/>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noPunctuationKerning/>
  <w:characterSpacingControl w:val="doNotCompress"/>
  <w:hdrShapeDefaults>
    <o:shapedefaults v:ext="edit" spidmax="2055" fillcolor="white">
      <v:fill color="white"/>
    </o:shapedefaults>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bQEYiNLC0MgMLNU0lEKTi0uzszPAykwNqoFAB/I7hItAAAA"/>
  </w:docVars>
  <w:rsids>
    <w:rsidRoot w:val="00AA6219"/>
    <w:rsid w:val="00000F8F"/>
    <w:rsid w:val="000017FA"/>
    <w:rsid w:val="00004CD1"/>
    <w:rsid w:val="00005BE3"/>
    <w:rsid w:val="00007102"/>
    <w:rsid w:val="000077E4"/>
    <w:rsid w:val="00007978"/>
    <w:rsid w:val="000110B5"/>
    <w:rsid w:val="00014095"/>
    <w:rsid w:val="00015C44"/>
    <w:rsid w:val="00017E5D"/>
    <w:rsid w:val="00021967"/>
    <w:rsid w:val="00021FDF"/>
    <w:rsid w:val="00024B4F"/>
    <w:rsid w:val="000254BB"/>
    <w:rsid w:val="00025BD1"/>
    <w:rsid w:val="000260E3"/>
    <w:rsid w:val="00030174"/>
    <w:rsid w:val="00037406"/>
    <w:rsid w:val="00037475"/>
    <w:rsid w:val="00043453"/>
    <w:rsid w:val="0004445B"/>
    <w:rsid w:val="0004512C"/>
    <w:rsid w:val="0004579C"/>
    <w:rsid w:val="00045CD6"/>
    <w:rsid w:val="00046AE8"/>
    <w:rsid w:val="00052575"/>
    <w:rsid w:val="00052710"/>
    <w:rsid w:val="000531C9"/>
    <w:rsid w:val="00053CE0"/>
    <w:rsid w:val="00054B24"/>
    <w:rsid w:val="00054B91"/>
    <w:rsid w:val="0005727A"/>
    <w:rsid w:val="00057C65"/>
    <w:rsid w:val="000603D4"/>
    <w:rsid w:val="00061339"/>
    <w:rsid w:val="000647E2"/>
    <w:rsid w:val="00065B83"/>
    <w:rsid w:val="0006706E"/>
    <w:rsid w:val="0006786A"/>
    <w:rsid w:val="00067A0F"/>
    <w:rsid w:val="00067B98"/>
    <w:rsid w:val="00073DA5"/>
    <w:rsid w:val="000763D2"/>
    <w:rsid w:val="00081ACB"/>
    <w:rsid w:val="000827FD"/>
    <w:rsid w:val="00084A16"/>
    <w:rsid w:val="00086702"/>
    <w:rsid w:val="00090DFA"/>
    <w:rsid w:val="00093400"/>
    <w:rsid w:val="00095BAE"/>
    <w:rsid w:val="00095F34"/>
    <w:rsid w:val="000960F6"/>
    <w:rsid w:val="00096483"/>
    <w:rsid w:val="00096CB5"/>
    <w:rsid w:val="000A2230"/>
    <w:rsid w:val="000A2785"/>
    <w:rsid w:val="000A3474"/>
    <w:rsid w:val="000A3EDA"/>
    <w:rsid w:val="000A47FA"/>
    <w:rsid w:val="000A61FE"/>
    <w:rsid w:val="000A65D3"/>
    <w:rsid w:val="000A77F6"/>
    <w:rsid w:val="000B03FC"/>
    <w:rsid w:val="000B05A0"/>
    <w:rsid w:val="000B1E33"/>
    <w:rsid w:val="000B6BC1"/>
    <w:rsid w:val="000C43E4"/>
    <w:rsid w:val="000C5AE7"/>
    <w:rsid w:val="000C6E8D"/>
    <w:rsid w:val="000C70E2"/>
    <w:rsid w:val="000C73EB"/>
    <w:rsid w:val="000D2384"/>
    <w:rsid w:val="000D23E6"/>
    <w:rsid w:val="000D31C5"/>
    <w:rsid w:val="000D6596"/>
    <w:rsid w:val="000D6816"/>
    <w:rsid w:val="000D689F"/>
    <w:rsid w:val="000D75B5"/>
    <w:rsid w:val="000D7A6E"/>
    <w:rsid w:val="000D7D15"/>
    <w:rsid w:val="000E14BC"/>
    <w:rsid w:val="000E16BC"/>
    <w:rsid w:val="000E2902"/>
    <w:rsid w:val="000E2A0D"/>
    <w:rsid w:val="000E3042"/>
    <w:rsid w:val="000E3FD1"/>
    <w:rsid w:val="000E4A79"/>
    <w:rsid w:val="000E7B7B"/>
    <w:rsid w:val="000E7C38"/>
    <w:rsid w:val="000E7D62"/>
    <w:rsid w:val="000F0FE9"/>
    <w:rsid w:val="000F64BC"/>
    <w:rsid w:val="000F668F"/>
    <w:rsid w:val="000F7123"/>
    <w:rsid w:val="00103357"/>
    <w:rsid w:val="00107572"/>
    <w:rsid w:val="00113238"/>
    <w:rsid w:val="00115F49"/>
    <w:rsid w:val="00117553"/>
    <w:rsid w:val="00122285"/>
    <w:rsid w:val="00122E99"/>
    <w:rsid w:val="00123C9F"/>
    <w:rsid w:val="001242A5"/>
    <w:rsid w:val="00126190"/>
    <w:rsid w:val="00126507"/>
    <w:rsid w:val="00126BC5"/>
    <w:rsid w:val="00130F17"/>
    <w:rsid w:val="00131057"/>
    <w:rsid w:val="001320BF"/>
    <w:rsid w:val="00141329"/>
    <w:rsid w:val="00142F12"/>
    <w:rsid w:val="00143F8B"/>
    <w:rsid w:val="00146358"/>
    <w:rsid w:val="00147E94"/>
    <w:rsid w:val="00147F5C"/>
    <w:rsid w:val="00151F8F"/>
    <w:rsid w:val="001542F7"/>
    <w:rsid w:val="001550F4"/>
    <w:rsid w:val="001568A2"/>
    <w:rsid w:val="0016056F"/>
    <w:rsid w:val="00162528"/>
    <w:rsid w:val="001627B6"/>
    <w:rsid w:val="00163510"/>
    <w:rsid w:val="00163988"/>
    <w:rsid w:val="00163BC4"/>
    <w:rsid w:val="00171A32"/>
    <w:rsid w:val="001720E7"/>
    <w:rsid w:val="001746F8"/>
    <w:rsid w:val="001758C5"/>
    <w:rsid w:val="00176FD0"/>
    <w:rsid w:val="00177A80"/>
    <w:rsid w:val="00180859"/>
    <w:rsid w:val="00180B05"/>
    <w:rsid w:val="00180F6F"/>
    <w:rsid w:val="00182742"/>
    <w:rsid w:val="00185183"/>
    <w:rsid w:val="001858C3"/>
    <w:rsid w:val="00185B38"/>
    <w:rsid w:val="00187916"/>
    <w:rsid w:val="00191062"/>
    <w:rsid w:val="00192B72"/>
    <w:rsid w:val="00192F07"/>
    <w:rsid w:val="0019304D"/>
    <w:rsid w:val="001A1291"/>
    <w:rsid w:val="001A18F4"/>
    <w:rsid w:val="001A23A3"/>
    <w:rsid w:val="001A29D8"/>
    <w:rsid w:val="001A5CAA"/>
    <w:rsid w:val="001B0427"/>
    <w:rsid w:val="001B0E69"/>
    <w:rsid w:val="001B1ACC"/>
    <w:rsid w:val="001B41D7"/>
    <w:rsid w:val="001B785F"/>
    <w:rsid w:val="001B7F30"/>
    <w:rsid w:val="001C12F6"/>
    <w:rsid w:val="001C2FC3"/>
    <w:rsid w:val="001C4AD5"/>
    <w:rsid w:val="001C572B"/>
    <w:rsid w:val="001C71EE"/>
    <w:rsid w:val="001C73EE"/>
    <w:rsid w:val="001D0BDE"/>
    <w:rsid w:val="001D10E2"/>
    <w:rsid w:val="001D3A51"/>
    <w:rsid w:val="001D4380"/>
    <w:rsid w:val="001E0522"/>
    <w:rsid w:val="001E10D2"/>
    <w:rsid w:val="001E25B4"/>
    <w:rsid w:val="001E3548"/>
    <w:rsid w:val="001E44FE"/>
    <w:rsid w:val="001E5B29"/>
    <w:rsid w:val="001E6121"/>
    <w:rsid w:val="001E7EB7"/>
    <w:rsid w:val="001F72C3"/>
    <w:rsid w:val="001F7F3C"/>
    <w:rsid w:val="00200595"/>
    <w:rsid w:val="00200CF7"/>
    <w:rsid w:val="0020136A"/>
    <w:rsid w:val="002039CD"/>
    <w:rsid w:val="00203AF9"/>
    <w:rsid w:val="00204835"/>
    <w:rsid w:val="002074B8"/>
    <w:rsid w:val="00210C28"/>
    <w:rsid w:val="002170C0"/>
    <w:rsid w:val="00221627"/>
    <w:rsid w:val="00224DE5"/>
    <w:rsid w:val="002274C1"/>
    <w:rsid w:val="002309B8"/>
    <w:rsid w:val="00231920"/>
    <w:rsid w:val="0023195C"/>
    <w:rsid w:val="00237589"/>
    <w:rsid w:val="00240CE3"/>
    <w:rsid w:val="00241741"/>
    <w:rsid w:val="002425B9"/>
    <w:rsid w:val="0024282C"/>
    <w:rsid w:val="00245CB7"/>
    <w:rsid w:val="002460DC"/>
    <w:rsid w:val="00246DC7"/>
    <w:rsid w:val="00250985"/>
    <w:rsid w:val="0025105D"/>
    <w:rsid w:val="00251946"/>
    <w:rsid w:val="0025372F"/>
    <w:rsid w:val="002556F6"/>
    <w:rsid w:val="00256882"/>
    <w:rsid w:val="002622D4"/>
    <w:rsid w:val="00264A59"/>
    <w:rsid w:val="00266E67"/>
    <w:rsid w:val="00271F07"/>
    <w:rsid w:val="002755D7"/>
    <w:rsid w:val="002814B3"/>
    <w:rsid w:val="00281E88"/>
    <w:rsid w:val="00283105"/>
    <w:rsid w:val="00284C4C"/>
    <w:rsid w:val="002855A6"/>
    <w:rsid w:val="0029366A"/>
    <w:rsid w:val="00293C16"/>
    <w:rsid w:val="00293C4C"/>
    <w:rsid w:val="00296529"/>
    <w:rsid w:val="0029657B"/>
    <w:rsid w:val="00296ED2"/>
    <w:rsid w:val="002A22A5"/>
    <w:rsid w:val="002A238C"/>
    <w:rsid w:val="002A423F"/>
    <w:rsid w:val="002A58A7"/>
    <w:rsid w:val="002A64FD"/>
    <w:rsid w:val="002A71AC"/>
    <w:rsid w:val="002A77FD"/>
    <w:rsid w:val="002B27FB"/>
    <w:rsid w:val="002B32A0"/>
    <w:rsid w:val="002B3CEC"/>
    <w:rsid w:val="002B4E2B"/>
    <w:rsid w:val="002B4EDC"/>
    <w:rsid w:val="002B528F"/>
    <w:rsid w:val="002B685A"/>
    <w:rsid w:val="002C0715"/>
    <w:rsid w:val="002C2BD6"/>
    <w:rsid w:val="002C3741"/>
    <w:rsid w:val="002C424B"/>
    <w:rsid w:val="002C4E16"/>
    <w:rsid w:val="002C57D2"/>
    <w:rsid w:val="002C6217"/>
    <w:rsid w:val="002D194A"/>
    <w:rsid w:val="002D2A9F"/>
    <w:rsid w:val="002D3AE7"/>
    <w:rsid w:val="002D53D9"/>
    <w:rsid w:val="002D7311"/>
    <w:rsid w:val="002D7B25"/>
    <w:rsid w:val="002E0D56"/>
    <w:rsid w:val="002E3D6C"/>
    <w:rsid w:val="002E4205"/>
    <w:rsid w:val="002F2031"/>
    <w:rsid w:val="002F2D06"/>
    <w:rsid w:val="002F42EB"/>
    <w:rsid w:val="002F5C4B"/>
    <w:rsid w:val="002F5E64"/>
    <w:rsid w:val="0030202C"/>
    <w:rsid w:val="00303A6C"/>
    <w:rsid w:val="00303E14"/>
    <w:rsid w:val="00304434"/>
    <w:rsid w:val="00304469"/>
    <w:rsid w:val="003078F7"/>
    <w:rsid w:val="00314853"/>
    <w:rsid w:val="00315186"/>
    <w:rsid w:val="00315729"/>
    <w:rsid w:val="003157D5"/>
    <w:rsid w:val="00315947"/>
    <w:rsid w:val="003207E7"/>
    <w:rsid w:val="00320B81"/>
    <w:rsid w:val="003227FA"/>
    <w:rsid w:val="00323BB4"/>
    <w:rsid w:val="003248E3"/>
    <w:rsid w:val="00324CBC"/>
    <w:rsid w:val="00324DE7"/>
    <w:rsid w:val="00325EA8"/>
    <w:rsid w:val="00326909"/>
    <w:rsid w:val="0033343E"/>
    <w:rsid w:val="00333690"/>
    <w:rsid w:val="003340B8"/>
    <w:rsid w:val="00337044"/>
    <w:rsid w:val="003377DA"/>
    <w:rsid w:val="0034085D"/>
    <w:rsid w:val="0034099F"/>
    <w:rsid w:val="00340BF5"/>
    <w:rsid w:val="0034224A"/>
    <w:rsid w:val="00344502"/>
    <w:rsid w:val="003455D7"/>
    <w:rsid w:val="00346014"/>
    <w:rsid w:val="0034653D"/>
    <w:rsid w:val="003466A1"/>
    <w:rsid w:val="00350E79"/>
    <w:rsid w:val="003512C2"/>
    <w:rsid w:val="00351B03"/>
    <w:rsid w:val="00351E2F"/>
    <w:rsid w:val="00351F41"/>
    <w:rsid w:val="003541EC"/>
    <w:rsid w:val="00362B79"/>
    <w:rsid w:val="00362D97"/>
    <w:rsid w:val="00363B3A"/>
    <w:rsid w:val="00363CA7"/>
    <w:rsid w:val="00371FB6"/>
    <w:rsid w:val="003763C1"/>
    <w:rsid w:val="00376A55"/>
    <w:rsid w:val="00376BBE"/>
    <w:rsid w:val="00377430"/>
    <w:rsid w:val="0038437D"/>
    <w:rsid w:val="00384B44"/>
    <w:rsid w:val="003872C9"/>
    <w:rsid w:val="0039224F"/>
    <w:rsid w:val="00394684"/>
    <w:rsid w:val="00394EAF"/>
    <w:rsid w:val="00395884"/>
    <w:rsid w:val="003A1837"/>
    <w:rsid w:val="003A32D6"/>
    <w:rsid w:val="003A43A4"/>
    <w:rsid w:val="003A4D6B"/>
    <w:rsid w:val="003A539B"/>
    <w:rsid w:val="003A67AC"/>
    <w:rsid w:val="003A6DA1"/>
    <w:rsid w:val="003A7E18"/>
    <w:rsid w:val="003B103B"/>
    <w:rsid w:val="003B1AE0"/>
    <w:rsid w:val="003B2756"/>
    <w:rsid w:val="003B2A9F"/>
    <w:rsid w:val="003B6DFE"/>
    <w:rsid w:val="003B73F0"/>
    <w:rsid w:val="003C4335"/>
    <w:rsid w:val="003C44A6"/>
    <w:rsid w:val="003C4C86"/>
    <w:rsid w:val="003C6258"/>
    <w:rsid w:val="003D171B"/>
    <w:rsid w:val="003D2D0A"/>
    <w:rsid w:val="003D3677"/>
    <w:rsid w:val="003D4C18"/>
    <w:rsid w:val="003D6BA6"/>
    <w:rsid w:val="003D7548"/>
    <w:rsid w:val="003D7E45"/>
    <w:rsid w:val="003E2904"/>
    <w:rsid w:val="003E3399"/>
    <w:rsid w:val="003E37A2"/>
    <w:rsid w:val="003E49AD"/>
    <w:rsid w:val="003E671C"/>
    <w:rsid w:val="003E7C0F"/>
    <w:rsid w:val="003F10CF"/>
    <w:rsid w:val="003F2281"/>
    <w:rsid w:val="003F3B63"/>
    <w:rsid w:val="003F760A"/>
    <w:rsid w:val="00401927"/>
    <w:rsid w:val="004040B3"/>
    <w:rsid w:val="00404135"/>
    <w:rsid w:val="0041027F"/>
    <w:rsid w:val="00410AB7"/>
    <w:rsid w:val="00412475"/>
    <w:rsid w:val="0041280F"/>
    <w:rsid w:val="004138D3"/>
    <w:rsid w:val="00415D76"/>
    <w:rsid w:val="00416DDE"/>
    <w:rsid w:val="00423789"/>
    <w:rsid w:val="00432C42"/>
    <w:rsid w:val="00432DD0"/>
    <w:rsid w:val="00434182"/>
    <w:rsid w:val="004346E5"/>
    <w:rsid w:val="00437079"/>
    <w:rsid w:val="00440F43"/>
    <w:rsid w:val="0044134F"/>
    <w:rsid w:val="00441B6F"/>
    <w:rsid w:val="00446221"/>
    <w:rsid w:val="00450E62"/>
    <w:rsid w:val="004539DB"/>
    <w:rsid w:val="00454D68"/>
    <w:rsid w:val="004605A5"/>
    <w:rsid w:val="004608EE"/>
    <w:rsid w:val="00460BE9"/>
    <w:rsid w:val="004611A9"/>
    <w:rsid w:val="00461262"/>
    <w:rsid w:val="0046509F"/>
    <w:rsid w:val="004653D0"/>
    <w:rsid w:val="004658C8"/>
    <w:rsid w:val="00465C00"/>
    <w:rsid w:val="00465DA5"/>
    <w:rsid w:val="00466478"/>
    <w:rsid w:val="00470E83"/>
    <w:rsid w:val="00471A80"/>
    <w:rsid w:val="004735A4"/>
    <w:rsid w:val="00474519"/>
    <w:rsid w:val="00483372"/>
    <w:rsid w:val="00483EDC"/>
    <w:rsid w:val="0048547F"/>
    <w:rsid w:val="00490B0B"/>
    <w:rsid w:val="00491EFD"/>
    <w:rsid w:val="004922F0"/>
    <w:rsid w:val="00495915"/>
    <w:rsid w:val="004A23B7"/>
    <w:rsid w:val="004B1A50"/>
    <w:rsid w:val="004B1AFD"/>
    <w:rsid w:val="004B72AD"/>
    <w:rsid w:val="004C0CFF"/>
    <w:rsid w:val="004C0FB0"/>
    <w:rsid w:val="004C23DD"/>
    <w:rsid w:val="004C482A"/>
    <w:rsid w:val="004C5898"/>
    <w:rsid w:val="004C6530"/>
    <w:rsid w:val="004D07E8"/>
    <w:rsid w:val="004D0827"/>
    <w:rsid w:val="004D0C87"/>
    <w:rsid w:val="004D305E"/>
    <w:rsid w:val="004D4277"/>
    <w:rsid w:val="004D4879"/>
    <w:rsid w:val="004E1DA9"/>
    <w:rsid w:val="004E21A0"/>
    <w:rsid w:val="004E5345"/>
    <w:rsid w:val="004E5924"/>
    <w:rsid w:val="004E6386"/>
    <w:rsid w:val="004F0467"/>
    <w:rsid w:val="004F45E4"/>
    <w:rsid w:val="004F7E11"/>
    <w:rsid w:val="00500D35"/>
    <w:rsid w:val="00502516"/>
    <w:rsid w:val="00502C0C"/>
    <w:rsid w:val="00502D46"/>
    <w:rsid w:val="00503ADC"/>
    <w:rsid w:val="00504CAB"/>
    <w:rsid w:val="00505231"/>
    <w:rsid w:val="00505F06"/>
    <w:rsid w:val="00506828"/>
    <w:rsid w:val="0050761B"/>
    <w:rsid w:val="00507A73"/>
    <w:rsid w:val="00523F46"/>
    <w:rsid w:val="00524ED0"/>
    <w:rsid w:val="0053056E"/>
    <w:rsid w:val="0053144C"/>
    <w:rsid w:val="00533886"/>
    <w:rsid w:val="0053558A"/>
    <w:rsid w:val="00535C8B"/>
    <w:rsid w:val="00535CBD"/>
    <w:rsid w:val="005404AD"/>
    <w:rsid w:val="00541DA0"/>
    <w:rsid w:val="005425A7"/>
    <w:rsid w:val="005428F9"/>
    <w:rsid w:val="005435C6"/>
    <w:rsid w:val="00550463"/>
    <w:rsid w:val="00553354"/>
    <w:rsid w:val="0055379E"/>
    <w:rsid w:val="00554C2B"/>
    <w:rsid w:val="00554EEE"/>
    <w:rsid w:val="00554FDA"/>
    <w:rsid w:val="00555852"/>
    <w:rsid w:val="00555A79"/>
    <w:rsid w:val="0055611F"/>
    <w:rsid w:val="00557ED8"/>
    <w:rsid w:val="005602BC"/>
    <w:rsid w:val="00561EAE"/>
    <w:rsid w:val="0056218A"/>
    <w:rsid w:val="00564650"/>
    <w:rsid w:val="00567306"/>
    <w:rsid w:val="00570131"/>
    <w:rsid w:val="0057110B"/>
    <w:rsid w:val="00572250"/>
    <w:rsid w:val="00573D3E"/>
    <w:rsid w:val="00574C91"/>
    <w:rsid w:val="00575E98"/>
    <w:rsid w:val="005811D6"/>
    <w:rsid w:val="00582069"/>
    <w:rsid w:val="00586B1C"/>
    <w:rsid w:val="00587F26"/>
    <w:rsid w:val="00590BF3"/>
    <w:rsid w:val="00591549"/>
    <w:rsid w:val="005923EA"/>
    <w:rsid w:val="005959D9"/>
    <w:rsid w:val="005A463E"/>
    <w:rsid w:val="005A4C3F"/>
    <w:rsid w:val="005A6405"/>
    <w:rsid w:val="005A6625"/>
    <w:rsid w:val="005B0E96"/>
    <w:rsid w:val="005B222E"/>
    <w:rsid w:val="005B2E0E"/>
    <w:rsid w:val="005B3F31"/>
    <w:rsid w:val="005B5EA4"/>
    <w:rsid w:val="005C2662"/>
    <w:rsid w:val="005C2AB0"/>
    <w:rsid w:val="005C3039"/>
    <w:rsid w:val="005C540B"/>
    <w:rsid w:val="005C6F1A"/>
    <w:rsid w:val="005C784C"/>
    <w:rsid w:val="005D17F6"/>
    <w:rsid w:val="005D1CBB"/>
    <w:rsid w:val="005D28C5"/>
    <w:rsid w:val="005D2C58"/>
    <w:rsid w:val="005D4AE9"/>
    <w:rsid w:val="005D5C0A"/>
    <w:rsid w:val="005D5F0B"/>
    <w:rsid w:val="005D71AE"/>
    <w:rsid w:val="005E2A7F"/>
    <w:rsid w:val="005E5539"/>
    <w:rsid w:val="005F3517"/>
    <w:rsid w:val="005F3FD1"/>
    <w:rsid w:val="005F4FB1"/>
    <w:rsid w:val="005F5CD3"/>
    <w:rsid w:val="005F7B39"/>
    <w:rsid w:val="006013F0"/>
    <w:rsid w:val="00602BF5"/>
    <w:rsid w:val="006039E7"/>
    <w:rsid w:val="00604A7A"/>
    <w:rsid w:val="0060632C"/>
    <w:rsid w:val="00606EB7"/>
    <w:rsid w:val="00611918"/>
    <w:rsid w:val="0061357D"/>
    <w:rsid w:val="00613CF9"/>
    <w:rsid w:val="00615452"/>
    <w:rsid w:val="006162E2"/>
    <w:rsid w:val="00617FDD"/>
    <w:rsid w:val="00620108"/>
    <w:rsid w:val="006203C5"/>
    <w:rsid w:val="00621CBF"/>
    <w:rsid w:val="00622252"/>
    <w:rsid w:val="0062246A"/>
    <w:rsid w:val="00624014"/>
    <w:rsid w:val="00624A8B"/>
    <w:rsid w:val="006273A5"/>
    <w:rsid w:val="00633614"/>
    <w:rsid w:val="00633D23"/>
    <w:rsid w:val="00633F68"/>
    <w:rsid w:val="00635BF6"/>
    <w:rsid w:val="00636EB2"/>
    <w:rsid w:val="006375B8"/>
    <w:rsid w:val="00641362"/>
    <w:rsid w:val="00641364"/>
    <w:rsid w:val="00641370"/>
    <w:rsid w:val="00641BF9"/>
    <w:rsid w:val="00642019"/>
    <w:rsid w:val="00642BE9"/>
    <w:rsid w:val="0065144C"/>
    <w:rsid w:val="00651627"/>
    <w:rsid w:val="0065364D"/>
    <w:rsid w:val="0065384F"/>
    <w:rsid w:val="00653EC9"/>
    <w:rsid w:val="006543BB"/>
    <w:rsid w:val="00654533"/>
    <w:rsid w:val="00655095"/>
    <w:rsid w:val="00657A66"/>
    <w:rsid w:val="00663234"/>
    <w:rsid w:val="0066510A"/>
    <w:rsid w:val="00665B52"/>
    <w:rsid w:val="00665BF0"/>
    <w:rsid w:val="00665D1C"/>
    <w:rsid w:val="006706E9"/>
    <w:rsid w:val="00673F9F"/>
    <w:rsid w:val="00681775"/>
    <w:rsid w:val="00681E63"/>
    <w:rsid w:val="00682376"/>
    <w:rsid w:val="00683035"/>
    <w:rsid w:val="00686953"/>
    <w:rsid w:val="00686A69"/>
    <w:rsid w:val="00687DEA"/>
    <w:rsid w:val="00687E67"/>
    <w:rsid w:val="00687FCD"/>
    <w:rsid w:val="00691641"/>
    <w:rsid w:val="00692B46"/>
    <w:rsid w:val="006967F7"/>
    <w:rsid w:val="00696934"/>
    <w:rsid w:val="0069756F"/>
    <w:rsid w:val="00697B55"/>
    <w:rsid w:val="006A0A28"/>
    <w:rsid w:val="006A0F34"/>
    <w:rsid w:val="006A1A0B"/>
    <w:rsid w:val="006A250C"/>
    <w:rsid w:val="006A2AD3"/>
    <w:rsid w:val="006A64C5"/>
    <w:rsid w:val="006A6872"/>
    <w:rsid w:val="006A68BD"/>
    <w:rsid w:val="006A71C2"/>
    <w:rsid w:val="006B0BD5"/>
    <w:rsid w:val="006B21D3"/>
    <w:rsid w:val="006B57D0"/>
    <w:rsid w:val="006B7388"/>
    <w:rsid w:val="006B77F3"/>
    <w:rsid w:val="006C24B2"/>
    <w:rsid w:val="006C294F"/>
    <w:rsid w:val="006C3422"/>
    <w:rsid w:val="006C6977"/>
    <w:rsid w:val="006D0988"/>
    <w:rsid w:val="006D30FF"/>
    <w:rsid w:val="006D6940"/>
    <w:rsid w:val="006E0AD9"/>
    <w:rsid w:val="006E38F4"/>
    <w:rsid w:val="006E4138"/>
    <w:rsid w:val="006E67C9"/>
    <w:rsid w:val="006E6A7D"/>
    <w:rsid w:val="006F0C7A"/>
    <w:rsid w:val="006F11EC"/>
    <w:rsid w:val="006F3835"/>
    <w:rsid w:val="006F4747"/>
    <w:rsid w:val="006F5599"/>
    <w:rsid w:val="006F6002"/>
    <w:rsid w:val="006F74CA"/>
    <w:rsid w:val="006F7EB7"/>
    <w:rsid w:val="006F7F32"/>
    <w:rsid w:val="0070082C"/>
    <w:rsid w:val="007033E6"/>
    <w:rsid w:val="00703AE3"/>
    <w:rsid w:val="007057ED"/>
    <w:rsid w:val="00706DF3"/>
    <w:rsid w:val="007101DE"/>
    <w:rsid w:val="00717F2E"/>
    <w:rsid w:val="00720093"/>
    <w:rsid w:val="00720256"/>
    <w:rsid w:val="007210FA"/>
    <w:rsid w:val="00722C51"/>
    <w:rsid w:val="00725C58"/>
    <w:rsid w:val="00727A12"/>
    <w:rsid w:val="00730CFF"/>
    <w:rsid w:val="00730DD1"/>
    <w:rsid w:val="0073519E"/>
    <w:rsid w:val="00736110"/>
    <w:rsid w:val="0073677C"/>
    <w:rsid w:val="007369E6"/>
    <w:rsid w:val="00736D42"/>
    <w:rsid w:val="0073721D"/>
    <w:rsid w:val="00737401"/>
    <w:rsid w:val="00740B58"/>
    <w:rsid w:val="00742E2C"/>
    <w:rsid w:val="00744278"/>
    <w:rsid w:val="00745358"/>
    <w:rsid w:val="0074551A"/>
    <w:rsid w:val="00746E59"/>
    <w:rsid w:val="0074780A"/>
    <w:rsid w:val="00754C9A"/>
    <w:rsid w:val="00754DDF"/>
    <w:rsid w:val="0075599A"/>
    <w:rsid w:val="00756316"/>
    <w:rsid w:val="00756864"/>
    <w:rsid w:val="0075735E"/>
    <w:rsid w:val="00757F7F"/>
    <w:rsid w:val="00761D52"/>
    <w:rsid w:val="007632DC"/>
    <w:rsid w:val="00766500"/>
    <w:rsid w:val="00766599"/>
    <w:rsid w:val="0076770C"/>
    <w:rsid w:val="007701E3"/>
    <w:rsid w:val="00771EA9"/>
    <w:rsid w:val="00776F82"/>
    <w:rsid w:val="0077749E"/>
    <w:rsid w:val="00777894"/>
    <w:rsid w:val="00777EFB"/>
    <w:rsid w:val="00781D5E"/>
    <w:rsid w:val="00781F66"/>
    <w:rsid w:val="007833FB"/>
    <w:rsid w:val="00790ADA"/>
    <w:rsid w:val="00791230"/>
    <w:rsid w:val="0079158F"/>
    <w:rsid w:val="007969E9"/>
    <w:rsid w:val="007A2E32"/>
    <w:rsid w:val="007A351A"/>
    <w:rsid w:val="007B0C10"/>
    <w:rsid w:val="007B541F"/>
    <w:rsid w:val="007C102A"/>
    <w:rsid w:val="007C3792"/>
    <w:rsid w:val="007C3CD9"/>
    <w:rsid w:val="007C4C8B"/>
    <w:rsid w:val="007C4E84"/>
    <w:rsid w:val="007C6F64"/>
    <w:rsid w:val="007D0606"/>
    <w:rsid w:val="007D2288"/>
    <w:rsid w:val="007D2B80"/>
    <w:rsid w:val="007D30D2"/>
    <w:rsid w:val="007D3FB5"/>
    <w:rsid w:val="007D4CAA"/>
    <w:rsid w:val="007D7251"/>
    <w:rsid w:val="007D7C3E"/>
    <w:rsid w:val="007E088F"/>
    <w:rsid w:val="007E565A"/>
    <w:rsid w:val="007E7A7F"/>
    <w:rsid w:val="007F209D"/>
    <w:rsid w:val="007F2720"/>
    <w:rsid w:val="007F43D3"/>
    <w:rsid w:val="007F6C64"/>
    <w:rsid w:val="007F6D8D"/>
    <w:rsid w:val="007F750C"/>
    <w:rsid w:val="007F7B32"/>
    <w:rsid w:val="007F7FDC"/>
    <w:rsid w:val="00804067"/>
    <w:rsid w:val="00804BC2"/>
    <w:rsid w:val="00807D3D"/>
    <w:rsid w:val="00810B02"/>
    <w:rsid w:val="0081431A"/>
    <w:rsid w:val="00814597"/>
    <w:rsid w:val="00814943"/>
    <w:rsid w:val="008157DD"/>
    <w:rsid w:val="008204D0"/>
    <w:rsid w:val="00821486"/>
    <w:rsid w:val="008216D2"/>
    <w:rsid w:val="008244F8"/>
    <w:rsid w:val="00826162"/>
    <w:rsid w:val="00830F00"/>
    <w:rsid w:val="00831639"/>
    <w:rsid w:val="00831C82"/>
    <w:rsid w:val="0083216F"/>
    <w:rsid w:val="00834274"/>
    <w:rsid w:val="00836887"/>
    <w:rsid w:val="00844419"/>
    <w:rsid w:val="008453DD"/>
    <w:rsid w:val="00847952"/>
    <w:rsid w:val="00850E61"/>
    <w:rsid w:val="00851CF6"/>
    <w:rsid w:val="0085546E"/>
    <w:rsid w:val="0085657A"/>
    <w:rsid w:val="00860000"/>
    <w:rsid w:val="00862163"/>
    <w:rsid w:val="00863BD3"/>
    <w:rsid w:val="00866D66"/>
    <w:rsid w:val="008671C6"/>
    <w:rsid w:val="00872099"/>
    <w:rsid w:val="00872C97"/>
    <w:rsid w:val="00875803"/>
    <w:rsid w:val="00876CE5"/>
    <w:rsid w:val="00877D36"/>
    <w:rsid w:val="00881434"/>
    <w:rsid w:val="00881869"/>
    <w:rsid w:val="00881D2A"/>
    <w:rsid w:val="008825C9"/>
    <w:rsid w:val="0088785F"/>
    <w:rsid w:val="008927A1"/>
    <w:rsid w:val="008945A3"/>
    <w:rsid w:val="00895953"/>
    <w:rsid w:val="00896129"/>
    <w:rsid w:val="00896524"/>
    <w:rsid w:val="00897A9D"/>
    <w:rsid w:val="00897FB9"/>
    <w:rsid w:val="008A09AF"/>
    <w:rsid w:val="008A1FCD"/>
    <w:rsid w:val="008A7E29"/>
    <w:rsid w:val="008B3509"/>
    <w:rsid w:val="008B459E"/>
    <w:rsid w:val="008B6AE3"/>
    <w:rsid w:val="008C2330"/>
    <w:rsid w:val="008C3CF9"/>
    <w:rsid w:val="008C65DE"/>
    <w:rsid w:val="008D1544"/>
    <w:rsid w:val="008D4CC6"/>
    <w:rsid w:val="008D5531"/>
    <w:rsid w:val="008D6E31"/>
    <w:rsid w:val="008E13AE"/>
    <w:rsid w:val="008E1506"/>
    <w:rsid w:val="008E1D48"/>
    <w:rsid w:val="008E710C"/>
    <w:rsid w:val="008F0221"/>
    <w:rsid w:val="008F03E2"/>
    <w:rsid w:val="008F2E29"/>
    <w:rsid w:val="008F446C"/>
    <w:rsid w:val="008F5B17"/>
    <w:rsid w:val="008F69D6"/>
    <w:rsid w:val="00902823"/>
    <w:rsid w:val="00907A49"/>
    <w:rsid w:val="00912783"/>
    <w:rsid w:val="00914755"/>
    <w:rsid w:val="00914956"/>
    <w:rsid w:val="00915CA6"/>
    <w:rsid w:val="00915CD7"/>
    <w:rsid w:val="0091747E"/>
    <w:rsid w:val="009205F6"/>
    <w:rsid w:val="00922FF1"/>
    <w:rsid w:val="0092466B"/>
    <w:rsid w:val="0092479C"/>
    <w:rsid w:val="00924904"/>
    <w:rsid w:val="00925012"/>
    <w:rsid w:val="00926B4B"/>
    <w:rsid w:val="0092777F"/>
    <w:rsid w:val="00927834"/>
    <w:rsid w:val="009316B6"/>
    <w:rsid w:val="00932889"/>
    <w:rsid w:val="00934E13"/>
    <w:rsid w:val="00940320"/>
    <w:rsid w:val="009500A6"/>
    <w:rsid w:val="00951100"/>
    <w:rsid w:val="00952916"/>
    <w:rsid w:val="00957C18"/>
    <w:rsid w:val="00957C4C"/>
    <w:rsid w:val="00960222"/>
    <w:rsid w:val="00962B44"/>
    <w:rsid w:val="00962C41"/>
    <w:rsid w:val="009648BB"/>
    <w:rsid w:val="009659BA"/>
    <w:rsid w:val="0096663E"/>
    <w:rsid w:val="0096697A"/>
    <w:rsid w:val="00966B8A"/>
    <w:rsid w:val="009676BB"/>
    <w:rsid w:val="00970217"/>
    <w:rsid w:val="00972E76"/>
    <w:rsid w:val="00973D3A"/>
    <w:rsid w:val="0097678A"/>
    <w:rsid w:val="00976CB2"/>
    <w:rsid w:val="00982C5E"/>
    <w:rsid w:val="00982CC1"/>
    <w:rsid w:val="00982E47"/>
    <w:rsid w:val="00983040"/>
    <w:rsid w:val="00983911"/>
    <w:rsid w:val="0098668C"/>
    <w:rsid w:val="009913C6"/>
    <w:rsid w:val="00991ABC"/>
    <w:rsid w:val="00994FC5"/>
    <w:rsid w:val="009950D9"/>
    <w:rsid w:val="00995521"/>
    <w:rsid w:val="009A4B52"/>
    <w:rsid w:val="009A5463"/>
    <w:rsid w:val="009A5ABF"/>
    <w:rsid w:val="009B02B2"/>
    <w:rsid w:val="009B2A64"/>
    <w:rsid w:val="009B3195"/>
    <w:rsid w:val="009B3FB9"/>
    <w:rsid w:val="009B4824"/>
    <w:rsid w:val="009B4BA0"/>
    <w:rsid w:val="009B614E"/>
    <w:rsid w:val="009C211B"/>
    <w:rsid w:val="009C2219"/>
    <w:rsid w:val="009C2465"/>
    <w:rsid w:val="009C4360"/>
    <w:rsid w:val="009C6219"/>
    <w:rsid w:val="009D062A"/>
    <w:rsid w:val="009D346B"/>
    <w:rsid w:val="009D35A0"/>
    <w:rsid w:val="009D5D98"/>
    <w:rsid w:val="009D5F81"/>
    <w:rsid w:val="009D7EB7"/>
    <w:rsid w:val="009E048A"/>
    <w:rsid w:val="009E06BC"/>
    <w:rsid w:val="009E08E9"/>
    <w:rsid w:val="009E115B"/>
    <w:rsid w:val="009E3762"/>
    <w:rsid w:val="009E3DB9"/>
    <w:rsid w:val="009E68DA"/>
    <w:rsid w:val="009E6E35"/>
    <w:rsid w:val="009E74A6"/>
    <w:rsid w:val="009F0EDA"/>
    <w:rsid w:val="009F5D06"/>
    <w:rsid w:val="009F743A"/>
    <w:rsid w:val="00A03B96"/>
    <w:rsid w:val="00A03BA8"/>
    <w:rsid w:val="00A04439"/>
    <w:rsid w:val="00A04985"/>
    <w:rsid w:val="00A05387"/>
    <w:rsid w:val="00A05B19"/>
    <w:rsid w:val="00A1134E"/>
    <w:rsid w:val="00A12A42"/>
    <w:rsid w:val="00A12E1C"/>
    <w:rsid w:val="00A21D6E"/>
    <w:rsid w:val="00A24E7E"/>
    <w:rsid w:val="00A254E5"/>
    <w:rsid w:val="00A258C3"/>
    <w:rsid w:val="00A313D4"/>
    <w:rsid w:val="00A32872"/>
    <w:rsid w:val="00A34302"/>
    <w:rsid w:val="00A347C0"/>
    <w:rsid w:val="00A40F15"/>
    <w:rsid w:val="00A44B85"/>
    <w:rsid w:val="00A4603F"/>
    <w:rsid w:val="00A46357"/>
    <w:rsid w:val="00A47DC3"/>
    <w:rsid w:val="00A50958"/>
    <w:rsid w:val="00A51431"/>
    <w:rsid w:val="00A52A80"/>
    <w:rsid w:val="00A539AD"/>
    <w:rsid w:val="00A54DA1"/>
    <w:rsid w:val="00A54DF9"/>
    <w:rsid w:val="00A561C5"/>
    <w:rsid w:val="00A57115"/>
    <w:rsid w:val="00A574C3"/>
    <w:rsid w:val="00A577B9"/>
    <w:rsid w:val="00A61C0B"/>
    <w:rsid w:val="00A66CD3"/>
    <w:rsid w:val="00A67B21"/>
    <w:rsid w:val="00A705F7"/>
    <w:rsid w:val="00A73CD6"/>
    <w:rsid w:val="00A74632"/>
    <w:rsid w:val="00A863CA"/>
    <w:rsid w:val="00A8786A"/>
    <w:rsid w:val="00A9100D"/>
    <w:rsid w:val="00A94063"/>
    <w:rsid w:val="00A97CA7"/>
    <w:rsid w:val="00AA021D"/>
    <w:rsid w:val="00AA046F"/>
    <w:rsid w:val="00AA1319"/>
    <w:rsid w:val="00AA2464"/>
    <w:rsid w:val="00AA39D0"/>
    <w:rsid w:val="00AA3A1D"/>
    <w:rsid w:val="00AA619C"/>
    <w:rsid w:val="00AA6219"/>
    <w:rsid w:val="00AA74E0"/>
    <w:rsid w:val="00AB03A5"/>
    <w:rsid w:val="00AB0ED9"/>
    <w:rsid w:val="00AB132C"/>
    <w:rsid w:val="00AB365B"/>
    <w:rsid w:val="00AB3E72"/>
    <w:rsid w:val="00AB45D9"/>
    <w:rsid w:val="00AB4638"/>
    <w:rsid w:val="00AB703F"/>
    <w:rsid w:val="00AB71CE"/>
    <w:rsid w:val="00AB7BD9"/>
    <w:rsid w:val="00AB7F0D"/>
    <w:rsid w:val="00AC14F6"/>
    <w:rsid w:val="00AC2477"/>
    <w:rsid w:val="00AC5747"/>
    <w:rsid w:val="00AC6BB8"/>
    <w:rsid w:val="00AD3432"/>
    <w:rsid w:val="00AD41CE"/>
    <w:rsid w:val="00AD47EC"/>
    <w:rsid w:val="00AD6E79"/>
    <w:rsid w:val="00AD766B"/>
    <w:rsid w:val="00AD7C27"/>
    <w:rsid w:val="00AE008F"/>
    <w:rsid w:val="00AE2CF7"/>
    <w:rsid w:val="00AE3293"/>
    <w:rsid w:val="00AE3FEB"/>
    <w:rsid w:val="00AE3FFB"/>
    <w:rsid w:val="00AE4F46"/>
    <w:rsid w:val="00AF0598"/>
    <w:rsid w:val="00AF0868"/>
    <w:rsid w:val="00AF2CBB"/>
    <w:rsid w:val="00AF52FA"/>
    <w:rsid w:val="00AF7082"/>
    <w:rsid w:val="00B0064D"/>
    <w:rsid w:val="00B01FCD"/>
    <w:rsid w:val="00B02104"/>
    <w:rsid w:val="00B07178"/>
    <w:rsid w:val="00B07779"/>
    <w:rsid w:val="00B07F18"/>
    <w:rsid w:val="00B10C30"/>
    <w:rsid w:val="00B112C4"/>
    <w:rsid w:val="00B14546"/>
    <w:rsid w:val="00B14AA9"/>
    <w:rsid w:val="00B14F9A"/>
    <w:rsid w:val="00B1776C"/>
    <w:rsid w:val="00B2072B"/>
    <w:rsid w:val="00B211F4"/>
    <w:rsid w:val="00B21345"/>
    <w:rsid w:val="00B23046"/>
    <w:rsid w:val="00B23383"/>
    <w:rsid w:val="00B237FB"/>
    <w:rsid w:val="00B278F0"/>
    <w:rsid w:val="00B31AFA"/>
    <w:rsid w:val="00B32415"/>
    <w:rsid w:val="00B346C5"/>
    <w:rsid w:val="00B346D1"/>
    <w:rsid w:val="00B35A5F"/>
    <w:rsid w:val="00B364F1"/>
    <w:rsid w:val="00B36CD1"/>
    <w:rsid w:val="00B37CEB"/>
    <w:rsid w:val="00B41F6F"/>
    <w:rsid w:val="00B43C88"/>
    <w:rsid w:val="00B44933"/>
    <w:rsid w:val="00B527D2"/>
    <w:rsid w:val="00B52896"/>
    <w:rsid w:val="00B52A44"/>
    <w:rsid w:val="00B549CE"/>
    <w:rsid w:val="00B55B85"/>
    <w:rsid w:val="00B55D37"/>
    <w:rsid w:val="00B55FCC"/>
    <w:rsid w:val="00B60155"/>
    <w:rsid w:val="00B62947"/>
    <w:rsid w:val="00B64177"/>
    <w:rsid w:val="00B66AB4"/>
    <w:rsid w:val="00B72B39"/>
    <w:rsid w:val="00B76F94"/>
    <w:rsid w:val="00B771E5"/>
    <w:rsid w:val="00B8032C"/>
    <w:rsid w:val="00B83A45"/>
    <w:rsid w:val="00B859F0"/>
    <w:rsid w:val="00B927F2"/>
    <w:rsid w:val="00B95236"/>
    <w:rsid w:val="00B96BD9"/>
    <w:rsid w:val="00B978D8"/>
    <w:rsid w:val="00BA1B01"/>
    <w:rsid w:val="00BA2193"/>
    <w:rsid w:val="00BA2641"/>
    <w:rsid w:val="00BA35EB"/>
    <w:rsid w:val="00BA4CDF"/>
    <w:rsid w:val="00BA4D4E"/>
    <w:rsid w:val="00BA5BD8"/>
    <w:rsid w:val="00BA5C84"/>
    <w:rsid w:val="00BA7061"/>
    <w:rsid w:val="00BB0E63"/>
    <w:rsid w:val="00BB37AA"/>
    <w:rsid w:val="00BB4C24"/>
    <w:rsid w:val="00BB698A"/>
    <w:rsid w:val="00BB6D95"/>
    <w:rsid w:val="00BB6DA6"/>
    <w:rsid w:val="00BC0735"/>
    <w:rsid w:val="00BC2A3C"/>
    <w:rsid w:val="00BC53A0"/>
    <w:rsid w:val="00BC78EB"/>
    <w:rsid w:val="00BD07D8"/>
    <w:rsid w:val="00BD504C"/>
    <w:rsid w:val="00BD7404"/>
    <w:rsid w:val="00BD7576"/>
    <w:rsid w:val="00BD76E4"/>
    <w:rsid w:val="00BE0A38"/>
    <w:rsid w:val="00BE0E4E"/>
    <w:rsid w:val="00BE1295"/>
    <w:rsid w:val="00BE230B"/>
    <w:rsid w:val="00BE62AD"/>
    <w:rsid w:val="00BF121F"/>
    <w:rsid w:val="00BF1D4D"/>
    <w:rsid w:val="00BF1F80"/>
    <w:rsid w:val="00BF2939"/>
    <w:rsid w:val="00BF7728"/>
    <w:rsid w:val="00C01D17"/>
    <w:rsid w:val="00C021EA"/>
    <w:rsid w:val="00C05B06"/>
    <w:rsid w:val="00C05F9F"/>
    <w:rsid w:val="00C06F68"/>
    <w:rsid w:val="00C07CB7"/>
    <w:rsid w:val="00C11D4D"/>
    <w:rsid w:val="00C13D7A"/>
    <w:rsid w:val="00C13DDA"/>
    <w:rsid w:val="00C15151"/>
    <w:rsid w:val="00C15740"/>
    <w:rsid w:val="00C15F69"/>
    <w:rsid w:val="00C166EF"/>
    <w:rsid w:val="00C17EB0"/>
    <w:rsid w:val="00C20AB9"/>
    <w:rsid w:val="00C237B6"/>
    <w:rsid w:val="00C24DF4"/>
    <w:rsid w:val="00C275A8"/>
    <w:rsid w:val="00C27F5F"/>
    <w:rsid w:val="00C3075A"/>
    <w:rsid w:val="00C30A0F"/>
    <w:rsid w:val="00C31AEC"/>
    <w:rsid w:val="00C362F5"/>
    <w:rsid w:val="00C37E61"/>
    <w:rsid w:val="00C41063"/>
    <w:rsid w:val="00C4218D"/>
    <w:rsid w:val="00C425E7"/>
    <w:rsid w:val="00C43FC7"/>
    <w:rsid w:val="00C4471A"/>
    <w:rsid w:val="00C455E5"/>
    <w:rsid w:val="00C52519"/>
    <w:rsid w:val="00C532EF"/>
    <w:rsid w:val="00C5460A"/>
    <w:rsid w:val="00C555E5"/>
    <w:rsid w:val="00C56639"/>
    <w:rsid w:val="00C63EF9"/>
    <w:rsid w:val="00C65D13"/>
    <w:rsid w:val="00C705A4"/>
    <w:rsid w:val="00C70F1B"/>
    <w:rsid w:val="00C71A47"/>
    <w:rsid w:val="00C72DF1"/>
    <w:rsid w:val="00C73A36"/>
    <w:rsid w:val="00C73E17"/>
    <w:rsid w:val="00C741DB"/>
    <w:rsid w:val="00C7464C"/>
    <w:rsid w:val="00C75625"/>
    <w:rsid w:val="00C75E29"/>
    <w:rsid w:val="00C8034F"/>
    <w:rsid w:val="00C8198B"/>
    <w:rsid w:val="00C81A14"/>
    <w:rsid w:val="00C838DC"/>
    <w:rsid w:val="00C84872"/>
    <w:rsid w:val="00C85588"/>
    <w:rsid w:val="00C85987"/>
    <w:rsid w:val="00C868A2"/>
    <w:rsid w:val="00C90676"/>
    <w:rsid w:val="00C944B7"/>
    <w:rsid w:val="00C94706"/>
    <w:rsid w:val="00C972A1"/>
    <w:rsid w:val="00CA1A21"/>
    <w:rsid w:val="00CA30FF"/>
    <w:rsid w:val="00CA5187"/>
    <w:rsid w:val="00CA7890"/>
    <w:rsid w:val="00CB059F"/>
    <w:rsid w:val="00CB11B3"/>
    <w:rsid w:val="00CB2155"/>
    <w:rsid w:val="00CB37FD"/>
    <w:rsid w:val="00CB6F3A"/>
    <w:rsid w:val="00CB7AC1"/>
    <w:rsid w:val="00CC5ECD"/>
    <w:rsid w:val="00CC701F"/>
    <w:rsid w:val="00CC7073"/>
    <w:rsid w:val="00CD1124"/>
    <w:rsid w:val="00CD4D57"/>
    <w:rsid w:val="00CD6339"/>
    <w:rsid w:val="00CD6755"/>
    <w:rsid w:val="00CD6856"/>
    <w:rsid w:val="00CD6F56"/>
    <w:rsid w:val="00CE0089"/>
    <w:rsid w:val="00CE3176"/>
    <w:rsid w:val="00CE5E13"/>
    <w:rsid w:val="00CE793C"/>
    <w:rsid w:val="00CF0448"/>
    <w:rsid w:val="00CF1243"/>
    <w:rsid w:val="00CF2E29"/>
    <w:rsid w:val="00D00F3E"/>
    <w:rsid w:val="00D01782"/>
    <w:rsid w:val="00D0289A"/>
    <w:rsid w:val="00D03BEB"/>
    <w:rsid w:val="00D04A8F"/>
    <w:rsid w:val="00D065CB"/>
    <w:rsid w:val="00D13BF4"/>
    <w:rsid w:val="00D16A04"/>
    <w:rsid w:val="00D17273"/>
    <w:rsid w:val="00D173F1"/>
    <w:rsid w:val="00D21E8D"/>
    <w:rsid w:val="00D227D5"/>
    <w:rsid w:val="00D23445"/>
    <w:rsid w:val="00D23B1F"/>
    <w:rsid w:val="00D24440"/>
    <w:rsid w:val="00D311B1"/>
    <w:rsid w:val="00D31407"/>
    <w:rsid w:val="00D32F12"/>
    <w:rsid w:val="00D341E9"/>
    <w:rsid w:val="00D41A18"/>
    <w:rsid w:val="00D42848"/>
    <w:rsid w:val="00D429C7"/>
    <w:rsid w:val="00D42F2F"/>
    <w:rsid w:val="00D430F1"/>
    <w:rsid w:val="00D453B9"/>
    <w:rsid w:val="00D468AD"/>
    <w:rsid w:val="00D46AD9"/>
    <w:rsid w:val="00D5041B"/>
    <w:rsid w:val="00D532E8"/>
    <w:rsid w:val="00D53603"/>
    <w:rsid w:val="00D53D1B"/>
    <w:rsid w:val="00D54014"/>
    <w:rsid w:val="00D5414B"/>
    <w:rsid w:val="00D542B6"/>
    <w:rsid w:val="00D545D7"/>
    <w:rsid w:val="00D54B4E"/>
    <w:rsid w:val="00D54EB8"/>
    <w:rsid w:val="00D550A7"/>
    <w:rsid w:val="00D56A11"/>
    <w:rsid w:val="00D57184"/>
    <w:rsid w:val="00D60E73"/>
    <w:rsid w:val="00D615D3"/>
    <w:rsid w:val="00D62A6B"/>
    <w:rsid w:val="00D64B9B"/>
    <w:rsid w:val="00D66561"/>
    <w:rsid w:val="00D668D6"/>
    <w:rsid w:val="00D67D5C"/>
    <w:rsid w:val="00D717BB"/>
    <w:rsid w:val="00D71E66"/>
    <w:rsid w:val="00D72CC0"/>
    <w:rsid w:val="00D76D49"/>
    <w:rsid w:val="00D772CA"/>
    <w:rsid w:val="00D77F8D"/>
    <w:rsid w:val="00D77FBA"/>
    <w:rsid w:val="00D815DA"/>
    <w:rsid w:val="00D82866"/>
    <w:rsid w:val="00D8295D"/>
    <w:rsid w:val="00D83816"/>
    <w:rsid w:val="00D83D9C"/>
    <w:rsid w:val="00D8415F"/>
    <w:rsid w:val="00D927CC"/>
    <w:rsid w:val="00D92CBE"/>
    <w:rsid w:val="00D95C45"/>
    <w:rsid w:val="00DA28B7"/>
    <w:rsid w:val="00DA3A1E"/>
    <w:rsid w:val="00DA3D24"/>
    <w:rsid w:val="00DB03BF"/>
    <w:rsid w:val="00DB0B12"/>
    <w:rsid w:val="00DB0B8E"/>
    <w:rsid w:val="00DB27EE"/>
    <w:rsid w:val="00DB46B2"/>
    <w:rsid w:val="00DC09E0"/>
    <w:rsid w:val="00DC0BFC"/>
    <w:rsid w:val="00DC0E26"/>
    <w:rsid w:val="00DC2754"/>
    <w:rsid w:val="00DC2A65"/>
    <w:rsid w:val="00DC6EF2"/>
    <w:rsid w:val="00DD0B2B"/>
    <w:rsid w:val="00DD1370"/>
    <w:rsid w:val="00DD1EA9"/>
    <w:rsid w:val="00DD5EA2"/>
    <w:rsid w:val="00DD6431"/>
    <w:rsid w:val="00DD68C1"/>
    <w:rsid w:val="00DD733B"/>
    <w:rsid w:val="00DD7E9A"/>
    <w:rsid w:val="00DE15F0"/>
    <w:rsid w:val="00DE32FA"/>
    <w:rsid w:val="00DE3EAB"/>
    <w:rsid w:val="00DE5663"/>
    <w:rsid w:val="00DE7644"/>
    <w:rsid w:val="00DE78AA"/>
    <w:rsid w:val="00DF4C95"/>
    <w:rsid w:val="00E009EA"/>
    <w:rsid w:val="00E0166B"/>
    <w:rsid w:val="00E053D0"/>
    <w:rsid w:val="00E05D72"/>
    <w:rsid w:val="00E0760C"/>
    <w:rsid w:val="00E100D0"/>
    <w:rsid w:val="00E103CF"/>
    <w:rsid w:val="00E112E6"/>
    <w:rsid w:val="00E1142D"/>
    <w:rsid w:val="00E12CED"/>
    <w:rsid w:val="00E146D8"/>
    <w:rsid w:val="00E15994"/>
    <w:rsid w:val="00E16D4E"/>
    <w:rsid w:val="00E22B41"/>
    <w:rsid w:val="00E2395E"/>
    <w:rsid w:val="00E2437E"/>
    <w:rsid w:val="00E25EC4"/>
    <w:rsid w:val="00E263A0"/>
    <w:rsid w:val="00E3041D"/>
    <w:rsid w:val="00E3114E"/>
    <w:rsid w:val="00E31319"/>
    <w:rsid w:val="00E31A70"/>
    <w:rsid w:val="00E31B40"/>
    <w:rsid w:val="00E335C2"/>
    <w:rsid w:val="00E33747"/>
    <w:rsid w:val="00E3444C"/>
    <w:rsid w:val="00E34EA8"/>
    <w:rsid w:val="00E35B02"/>
    <w:rsid w:val="00E368BE"/>
    <w:rsid w:val="00E37919"/>
    <w:rsid w:val="00E41EEF"/>
    <w:rsid w:val="00E43BA2"/>
    <w:rsid w:val="00E479C2"/>
    <w:rsid w:val="00E50424"/>
    <w:rsid w:val="00E508C3"/>
    <w:rsid w:val="00E55050"/>
    <w:rsid w:val="00E557DA"/>
    <w:rsid w:val="00E61952"/>
    <w:rsid w:val="00E64B1B"/>
    <w:rsid w:val="00E66496"/>
    <w:rsid w:val="00E66A3C"/>
    <w:rsid w:val="00E66B35"/>
    <w:rsid w:val="00E66E10"/>
    <w:rsid w:val="00E703B4"/>
    <w:rsid w:val="00E70CB4"/>
    <w:rsid w:val="00E71A6B"/>
    <w:rsid w:val="00E744D3"/>
    <w:rsid w:val="00E75068"/>
    <w:rsid w:val="00E75538"/>
    <w:rsid w:val="00E769F6"/>
    <w:rsid w:val="00E77968"/>
    <w:rsid w:val="00E77D53"/>
    <w:rsid w:val="00E80D52"/>
    <w:rsid w:val="00E8217A"/>
    <w:rsid w:val="00E82357"/>
    <w:rsid w:val="00E824CE"/>
    <w:rsid w:val="00E8407C"/>
    <w:rsid w:val="00E84F3C"/>
    <w:rsid w:val="00E855E0"/>
    <w:rsid w:val="00E94E5E"/>
    <w:rsid w:val="00E9718F"/>
    <w:rsid w:val="00EA012C"/>
    <w:rsid w:val="00EA70C1"/>
    <w:rsid w:val="00EB1CD4"/>
    <w:rsid w:val="00EB1D47"/>
    <w:rsid w:val="00EB2E0E"/>
    <w:rsid w:val="00EB7104"/>
    <w:rsid w:val="00EB7AEC"/>
    <w:rsid w:val="00EC0D56"/>
    <w:rsid w:val="00EC3636"/>
    <w:rsid w:val="00EC7AAE"/>
    <w:rsid w:val="00ED0288"/>
    <w:rsid w:val="00ED079D"/>
    <w:rsid w:val="00ED2411"/>
    <w:rsid w:val="00ED54F5"/>
    <w:rsid w:val="00ED755D"/>
    <w:rsid w:val="00EE04B6"/>
    <w:rsid w:val="00EE0BC5"/>
    <w:rsid w:val="00EE3755"/>
    <w:rsid w:val="00EE52CB"/>
    <w:rsid w:val="00EE66A5"/>
    <w:rsid w:val="00EF15DE"/>
    <w:rsid w:val="00EF1EB5"/>
    <w:rsid w:val="00EF2383"/>
    <w:rsid w:val="00EF4B2D"/>
    <w:rsid w:val="00EF581D"/>
    <w:rsid w:val="00EF7DF2"/>
    <w:rsid w:val="00EF7FD8"/>
    <w:rsid w:val="00F02CEA"/>
    <w:rsid w:val="00F03243"/>
    <w:rsid w:val="00F04F13"/>
    <w:rsid w:val="00F05FAA"/>
    <w:rsid w:val="00F06F59"/>
    <w:rsid w:val="00F071D7"/>
    <w:rsid w:val="00F07371"/>
    <w:rsid w:val="00F11DDA"/>
    <w:rsid w:val="00F12135"/>
    <w:rsid w:val="00F121AE"/>
    <w:rsid w:val="00F159E4"/>
    <w:rsid w:val="00F174B8"/>
    <w:rsid w:val="00F17988"/>
    <w:rsid w:val="00F17F60"/>
    <w:rsid w:val="00F20BD8"/>
    <w:rsid w:val="00F2100D"/>
    <w:rsid w:val="00F21FC5"/>
    <w:rsid w:val="00F23A67"/>
    <w:rsid w:val="00F25401"/>
    <w:rsid w:val="00F266FB"/>
    <w:rsid w:val="00F26DEB"/>
    <w:rsid w:val="00F2706C"/>
    <w:rsid w:val="00F303EB"/>
    <w:rsid w:val="00F30D27"/>
    <w:rsid w:val="00F35314"/>
    <w:rsid w:val="00F36ABC"/>
    <w:rsid w:val="00F40FB0"/>
    <w:rsid w:val="00F41F1C"/>
    <w:rsid w:val="00F42FC6"/>
    <w:rsid w:val="00F458DD"/>
    <w:rsid w:val="00F4685B"/>
    <w:rsid w:val="00F469F0"/>
    <w:rsid w:val="00F51246"/>
    <w:rsid w:val="00F53273"/>
    <w:rsid w:val="00F53CF3"/>
    <w:rsid w:val="00F576D3"/>
    <w:rsid w:val="00F57E77"/>
    <w:rsid w:val="00F57FA7"/>
    <w:rsid w:val="00F600DB"/>
    <w:rsid w:val="00F606EA"/>
    <w:rsid w:val="00F63AD9"/>
    <w:rsid w:val="00F63EA4"/>
    <w:rsid w:val="00F665DE"/>
    <w:rsid w:val="00F70217"/>
    <w:rsid w:val="00F70245"/>
    <w:rsid w:val="00F7028B"/>
    <w:rsid w:val="00F70399"/>
    <w:rsid w:val="00F70BCD"/>
    <w:rsid w:val="00F71EB8"/>
    <w:rsid w:val="00F74F93"/>
    <w:rsid w:val="00F755E4"/>
    <w:rsid w:val="00F759B7"/>
    <w:rsid w:val="00F77D02"/>
    <w:rsid w:val="00F80106"/>
    <w:rsid w:val="00F801F2"/>
    <w:rsid w:val="00F828E1"/>
    <w:rsid w:val="00F927B2"/>
    <w:rsid w:val="00F947E3"/>
    <w:rsid w:val="00F96071"/>
    <w:rsid w:val="00FA0D6E"/>
    <w:rsid w:val="00FA2543"/>
    <w:rsid w:val="00FB3A86"/>
    <w:rsid w:val="00FB469D"/>
    <w:rsid w:val="00FB6C0F"/>
    <w:rsid w:val="00FB7F6C"/>
    <w:rsid w:val="00FC4F69"/>
    <w:rsid w:val="00FD227E"/>
    <w:rsid w:val="00FD270D"/>
    <w:rsid w:val="00FD2B99"/>
    <w:rsid w:val="00FD36C8"/>
    <w:rsid w:val="00FD5070"/>
    <w:rsid w:val="00FE32B3"/>
    <w:rsid w:val="00FE44DE"/>
    <w:rsid w:val="00FE46CD"/>
    <w:rsid w:val="00FF0EAF"/>
    <w:rsid w:val="00FF23CD"/>
    <w:rsid w:val="00FF30BA"/>
    <w:rsid w:val="018E1CDD"/>
    <w:rsid w:val="07E51502"/>
    <w:rsid w:val="13DF7029"/>
    <w:rsid w:val="1510089B"/>
    <w:rsid w:val="1B741899"/>
    <w:rsid w:val="1BB76E65"/>
    <w:rsid w:val="1D613643"/>
    <w:rsid w:val="1F457F30"/>
    <w:rsid w:val="20E66587"/>
    <w:rsid w:val="26A768F9"/>
    <w:rsid w:val="27C462F5"/>
    <w:rsid w:val="286B78EA"/>
    <w:rsid w:val="28727BDF"/>
    <w:rsid w:val="2BDB695E"/>
    <w:rsid w:val="31E06B7D"/>
    <w:rsid w:val="336B2DEA"/>
    <w:rsid w:val="34BA3171"/>
    <w:rsid w:val="34E75972"/>
    <w:rsid w:val="3E9F7AC9"/>
    <w:rsid w:val="40022A3D"/>
    <w:rsid w:val="40363199"/>
    <w:rsid w:val="43D403D5"/>
    <w:rsid w:val="48FA6149"/>
    <w:rsid w:val="4F106B2C"/>
    <w:rsid w:val="4F6C2BDB"/>
    <w:rsid w:val="505C5D66"/>
    <w:rsid w:val="54CD3C38"/>
    <w:rsid w:val="54E75E5A"/>
    <w:rsid w:val="55A41A91"/>
    <w:rsid w:val="59C844BD"/>
    <w:rsid w:val="5DEE0F9A"/>
    <w:rsid w:val="5EDF69B5"/>
    <w:rsid w:val="62215262"/>
    <w:rsid w:val="6677360F"/>
    <w:rsid w:val="70B05507"/>
    <w:rsid w:val="740735EA"/>
    <w:rsid w:val="74081F98"/>
    <w:rsid w:val="765972B7"/>
    <w:rsid w:val="78D138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fillcolor="white">
      <v:fill color="white"/>
    </o:shapedefaults>
    <o:shapelayout v:ext="edit">
      <o:idmap v:ext="edit" data="1"/>
    </o:shapelayout>
  </w:shapeDefaults>
  <w:decimalSymbol w:val="."/>
  <w:listSeparator w:val=","/>
  <w14:docId w14:val="16E9E2ED"/>
  <w15:docId w15:val="{D239FEF5-AC3C-4813-BBB5-E17FE0D94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qFormat="1"/>
    <w:lsdException w:name="footer" w:qFormat="1"/>
    <w:lsdException w:name="caption" w:semiHidden="1" w:unhideWhenUsed="1" w:qFormat="1"/>
    <w:lsdException w:name="annotation reference" w:uiPriority="99" w:unhideWhenUsed="1" w:qFormat="1"/>
    <w:lsdException w:name="line number" w:qFormat="1"/>
    <w:lsdException w:name="Title" w:qFormat="1"/>
    <w:lsdException w:name="Signatur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qFormat="1"/>
    <w:lsdException w:name="HTML Preformatted"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Helvetica" w:eastAsia="Times New Roman" w:hAnsi="Helvetica"/>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pPr>
      <w:keepNext/>
      <w:keepLines/>
      <w:spacing w:before="40"/>
      <w:outlineLvl w:val="2"/>
    </w:pPr>
    <w:rPr>
      <w:rFonts w:asciiTheme="majorHAnsi" w:eastAsiaTheme="majorEastAsia" w:hAnsiTheme="majorHAnsi" w:cstheme="majorBidi"/>
      <w:color w:val="244061" w:themeColor="accent1" w:themeShade="80"/>
      <w:sz w:val="24"/>
      <w:szCs w:val="24"/>
    </w:rPr>
  </w:style>
  <w:style w:type="paragraph" w:styleId="Heading4">
    <w:name w:val="heading 4"/>
    <w:basedOn w:val="Normal"/>
    <w:next w:val="Normal"/>
    <w:link w:val="Heading4Char"/>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ahoma"/>
      <w:sz w:val="16"/>
      <w:szCs w:val="16"/>
    </w:rPr>
  </w:style>
  <w:style w:type="paragraph" w:styleId="BodyText">
    <w:name w:val="Body Text"/>
    <w:basedOn w:val="Normal"/>
    <w:link w:val="BodyTextChar"/>
    <w:qFormat/>
    <w:pPr>
      <w:spacing w:after="120"/>
    </w:pPr>
  </w:style>
  <w:style w:type="paragraph" w:styleId="BodyText2">
    <w:name w:val="Body Text 2"/>
    <w:basedOn w:val="Normal"/>
    <w:link w:val="BodyText2Char"/>
    <w:qFormat/>
    <w:pPr>
      <w:spacing w:after="120" w:line="480" w:lineRule="auto"/>
    </w:pPr>
  </w:style>
  <w:style w:type="paragraph" w:styleId="BodyText3">
    <w:name w:val="Body Text 3"/>
    <w:basedOn w:val="Normal"/>
    <w:link w:val="BodyText3Char"/>
    <w:qFormat/>
    <w:pPr>
      <w:spacing w:after="120"/>
    </w:pPr>
    <w:rPr>
      <w:sz w:val="16"/>
      <w:szCs w:val="16"/>
    </w:rPr>
  </w:style>
  <w:style w:type="character" w:styleId="CommentReference">
    <w:name w:val="annotation reference"/>
    <w:basedOn w:val="DefaultParagraphFont"/>
    <w:uiPriority w:val="99"/>
    <w:unhideWhenUsed/>
    <w:qFormat/>
    <w:rPr>
      <w:sz w:val="16"/>
      <w:szCs w:val="16"/>
    </w:rPr>
  </w:style>
  <w:style w:type="paragraph" w:styleId="CommentText">
    <w:name w:val="annotation text"/>
    <w:basedOn w:val="Normal"/>
    <w:link w:val="CommentTextChar"/>
    <w:uiPriority w:val="99"/>
    <w:unhideWhenUsed/>
    <w:qFormat/>
    <w:rPr>
      <w:rFonts w:ascii="Times New Roman" w:hAnsi="Times New Roman"/>
      <w:lang w:val="nb-NO" w:eastAsia="nb-NO"/>
    </w:rPr>
  </w:style>
  <w:style w:type="character" w:styleId="Emphasis">
    <w:name w:val="Emphasis"/>
    <w:basedOn w:val="DefaultParagraphFont"/>
    <w:uiPriority w:val="20"/>
    <w:qFormat/>
    <w:rPr>
      <w:i/>
      <w:iCs/>
    </w:rPr>
  </w:style>
  <w:style w:type="character" w:styleId="FollowedHyperlink">
    <w:name w:val="FollowedHyperlink"/>
    <w:basedOn w:val="DefaultParagraphFont"/>
    <w:qFormat/>
    <w:rPr>
      <w:color w:val="800080"/>
      <w:u w:val="single"/>
    </w:rPr>
  </w:style>
  <w:style w:type="paragraph" w:styleId="Footer">
    <w:name w:val="footer"/>
    <w:basedOn w:val="Normal"/>
    <w:qFormat/>
    <w:pPr>
      <w:tabs>
        <w:tab w:val="center" w:pos="4320"/>
        <w:tab w:val="right" w:pos="8640"/>
      </w:tabs>
    </w:pPr>
  </w:style>
  <w:style w:type="paragraph" w:styleId="Header">
    <w:name w:val="header"/>
    <w:basedOn w:val="Normal"/>
    <w:pPr>
      <w:tabs>
        <w:tab w:val="center" w:pos="4320"/>
        <w:tab w:val="right" w:pos="8640"/>
      </w:tabs>
    </w:pPr>
  </w:style>
  <w:style w:type="character" w:styleId="Hyperlink">
    <w:name w:val="Hyperlink"/>
    <w:basedOn w:val="DefaultParagraphFont"/>
    <w:qFormat/>
    <w:rPr>
      <w:color w:val="FF0080"/>
      <w:u w:val="single"/>
    </w:rPr>
  </w:style>
  <w:style w:type="character" w:styleId="LineNumber">
    <w:name w:val="line number"/>
    <w:basedOn w:val="DefaultParagraphFont"/>
    <w:qFormat/>
  </w:style>
  <w:style w:type="paragraph" w:styleId="NormalWeb">
    <w:name w:val="Normal (Web)"/>
    <w:basedOn w:val="Normal"/>
    <w:uiPriority w:val="99"/>
    <w:qFormat/>
    <w:pPr>
      <w:spacing w:before="100" w:beforeAutospacing="1" w:after="100" w:afterAutospacing="1"/>
    </w:pPr>
    <w:rPr>
      <w:rFonts w:ascii="Times New Roman" w:hAnsi="Times New Roman"/>
      <w:sz w:val="24"/>
      <w:szCs w:val="24"/>
    </w:rPr>
  </w:style>
  <w:style w:type="paragraph" w:styleId="Signature">
    <w:name w:val="Signature"/>
    <w:basedOn w:val="Normal"/>
    <w:qFormat/>
    <w:pPr>
      <w:ind w:left="4320"/>
    </w:pPr>
  </w:style>
  <w:style w:type="character" w:styleId="Strong">
    <w:name w:val="Strong"/>
    <w:uiPriority w:val="22"/>
    <w:qFormat/>
    <w:rPr>
      <w:b/>
      <w:bCs/>
    </w:rPr>
  </w:style>
  <w:style w:type="table" w:styleId="TableGrid">
    <w:name w:val="Table Grid"/>
    <w:basedOn w:val="TableNormal"/>
    <w:uiPriority w:val="59"/>
    <w:qFormat/>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qFormat/>
    <w:pPr>
      <w:spacing w:after="360"/>
      <w:jc w:val="right"/>
    </w:pPr>
    <w:rPr>
      <w:b/>
      <w:kern w:val="28"/>
      <w:sz w:val="36"/>
    </w:rPr>
  </w:style>
  <w:style w:type="paragraph" w:customStyle="1" w:styleId="Author">
    <w:name w:val="Author"/>
    <w:basedOn w:val="Normal"/>
    <w:qFormat/>
    <w:pPr>
      <w:spacing w:line="280" w:lineRule="exact"/>
      <w:jc w:val="right"/>
    </w:pPr>
    <w:rPr>
      <w:b/>
      <w:sz w:val="24"/>
    </w:rPr>
  </w:style>
  <w:style w:type="paragraph" w:customStyle="1" w:styleId="Affiliation">
    <w:name w:val="Affiliation"/>
    <w:basedOn w:val="Normal"/>
    <w:qFormat/>
    <w:pPr>
      <w:spacing w:after="240" w:line="240" w:lineRule="exact"/>
      <w:jc w:val="right"/>
    </w:pPr>
  </w:style>
  <w:style w:type="paragraph" w:customStyle="1" w:styleId="Body">
    <w:name w:val="Body"/>
    <w:basedOn w:val="Normal"/>
    <w:qFormat/>
    <w:pPr>
      <w:spacing w:after="240"/>
      <w:jc w:val="both"/>
    </w:pPr>
  </w:style>
  <w:style w:type="paragraph" w:customStyle="1" w:styleId="AbstHead">
    <w:name w:val="Abst Head"/>
    <w:basedOn w:val="MainHead"/>
    <w:qFormat/>
    <w:rPr>
      <w:sz w:val="22"/>
    </w:rPr>
  </w:style>
  <w:style w:type="paragraph" w:customStyle="1" w:styleId="MainHead">
    <w:name w:val="Main Head"/>
    <w:basedOn w:val="Normal"/>
    <w:qFormat/>
    <w:pPr>
      <w:keepNext/>
      <w:spacing w:after="240"/>
    </w:pPr>
    <w:rPr>
      <w:b/>
      <w:caps/>
    </w:rPr>
  </w:style>
  <w:style w:type="paragraph" w:customStyle="1" w:styleId="IntroHead">
    <w:name w:val="Intro Head"/>
    <w:basedOn w:val="MainHead"/>
    <w:qFormat/>
    <w:rPr>
      <w:sz w:val="22"/>
    </w:rPr>
  </w:style>
  <w:style w:type="paragraph" w:customStyle="1" w:styleId="PaperNumber">
    <w:name w:val="Paper Number"/>
    <w:basedOn w:val="Normal"/>
    <w:qFormat/>
    <w:pPr>
      <w:spacing w:after="280" w:line="280" w:lineRule="exact"/>
      <w:jc w:val="right"/>
    </w:pPr>
    <w:rPr>
      <w:b/>
      <w:sz w:val="28"/>
    </w:rPr>
  </w:style>
  <w:style w:type="paragraph" w:customStyle="1" w:styleId="ConcHead">
    <w:name w:val="Conc Head"/>
    <w:basedOn w:val="MainHead"/>
    <w:qFormat/>
    <w:rPr>
      <w:sz w:val="22"/>
    </w:rPr>
  </w:style>
  <w:style w:type="paragraph" w:customStyle="1" w:styleId="AcknHead">
    <w:name w:val="Ackn Head"/>
    <w:basedOn w:val="MainHead"/>
    <w:qFormat/>
    <w:rPr>
      <w:sz w:val="22"/>
    </w:rPr>
  </w:style>
  <w:style w:type="paragraph" w:customStyle="1" w:styleId="ReferHead">
    <w:name w:val="Refer Head"/>
    <w:basedOn w:val="MainHead"/>
    <w:qFormat/>
    <w:rPr>
      <w:sz w:val="22"/>
    </w:rPr>
  </w:style>
  <w:style w:type="paragraph" w:customStyle="1" w:styleId="AddSrcHead">
    <w:name w:val="AddSrc Head"/>
    <w:basedOn w:val="MainHead"/>
    <w:qFormat/>
    <w:rPr>
      <w:sz w:val="22"/>
    </w:rPr>
  </w:style>
  <w:style w:type="paragraph" w:customStyle="1" w:styleId="DefAcrHead">
    <w:name w:val="DefAcrHead"/>
    <w:basedOn w:val="MainHead"/>
    <w:qFormat/>
    <w:rPr>
      <w:sz w:val="22"/>
    </w:rPr>
  </w:style>
  <w:style w:type="paragraph" w:customStyle="1" w:styleId="Copyright">
    <w:name w:val="Copyright"/>
    <w:basedOn w:val="Normal"/>
    <w:qFormat/>
    <w:pPr>
      <w:spacing w:after="960" w:line="200" w:lineRule="exact"/>
    </w:pPr>
    <w:rPr>
      <w:sz w:val="16"/>
    </w:rPr>
  </w:style>
  <w:style w:type="paragraph" w:customStyle="1" w:styleId="Reference">
    <w:name w:val="Reference"/>
    <w:basedOn w:val="Body"/>
    <w:qFormat/>
    <w:pPr>
      <w:numPr>
        <w:numId w:val="1"/>
      </w:numPr>
      <w:spacing w:after="0" w:line="240" w:lineRule="exact"/>
    </w:pPr>
  </w:style>
  <w:style w:type="paragraph" w:customStyle="1" w:styleId="Head1">
    <w:name w:val="Head1"/>
    <w:basedOn w:val="MainHead"/>
    <w:qFormat/>
    <w:rPr>
      <w:sz w:val="22"/>
    </w:rPr>
  </w:style>
  <w:style w:type="paragraph" w:customStyle="1" w:styleId="ContactHead">
    <w:name w:val="Contact Head"/>
    <w:basedOn w:val="MainHead"/>
    <w:qFormat/>
    <w:rPr>
      <w:sz w:val="22"/>
    </w:rPr>
  </w:style>
  <w:style w:type="paragraph" w:customStyle="1" w:styleId="Head3">
    <w:name w:val="Head3"/>
    <w:basedOn w:val="Head2"/>
    <w:qFormat/>
    <w:rPr>
      <w:caps w:val="0"/>
      <w:u w:val="single"/>
    </w:rPr>
  </w:style>
  <w:style w:type="paragraph" w:customStyle="1" w:styleId="Head2">
    <w:name w:val="Head2"/>
    <w:basedOn w:val="Normal"/>
    <w:next w:val="Body"/>
    <w:qFormat/>
    <w:pPr>
      <w:keepNext/>
      <w:spacing w:after="240"/>
    </w:pPr>
    <w:rPr>
      <w:caps/>
    </w:rPr>
  </w:style>
  <w:style w:type="paragraph" w:customStyle="1" w:styleId="Head4">
    <w:name w:val="Head4"/>
    <w:basedOn w:val="Head3"/>
    <w:qFormat/>
    <w:rPr>
      <w:u w:val="none"/>
    </w:rPr>
  </w:style>
  <w:style w:type="paragraph" w:customStyle="1" w:styleId="UnordList">
    <w:name w:val="Unord List"/>
    <w:basedOn w:val="Body"/>
    <w:qFormat/>
    <w:pPr>
      <w:spacing w:after="0"/>
      <w:ind w:left="360" w:hanging="360"/>
    </w:pPr>
  </w:style>
  <w:style w:type="paragraph" w:customStyle="1" w:styleId="OrdList">
    <w:name w:val="Ord List"/>
    <w:basedOn w:val="UnordList"/>
    <w:qFormat/>
    <w:pPr>
      <w:jc w:val="left"/>
    </w:pPr>
  </w:style>
  <w:style w:type="paragraph" w:customStyle="1" w:styleId="Appendix">
    <w:name w:val="Appendix"/>
    <w:basedOn w:val="MainHead"/>
    <w:qFormat/>
    <w:rPr>
      <w:sz w:val="22"/>
    </w:rPr>
  </w:style>
  <w:style w:type="paragraph" w:customStyle="1" w:styleId="Term">
    <w:name w:val="Term"/>
    <w:basedOn w:val="Body"/>
    <w:qFormat/>
    <w:pPr>
      <w:spacing w:after="0"/>
    </w:pPr>
    <w:rPr>
      <w:b/>
    </w:rPr>
  </w:style>
  <w:style w:type="paragraph" w:customStyle="1" w:styleId="Definition">
    <w:name w:val="Definition"/>
    <w:basedOn w:val="Body"/>
    <w:qFormat/>
  </w:style>
  <w:style w:type="character" w:customStyle="1" w:styleId="Bold">
    <w:name w:val="Bold"/>
    <w:qFormat/>
    <w:rPr>
      <w:b/>
    </w:rPr>
  </w:style>
  <w:style w:type="character" w:customStyle="1" w:styleId="Italic">
    <w:name w:val="Italic"/>
    <w:qFormat/>
    <w:rPr>
      <w:i/>
    </w:rPr>
  </w:style>
  <w:style w:type="character" w:customStyle="1" w:styleId="Underline">
    <w:name w:val="Underline"/>
    <w:qFormat/>
    <w:rPr>
      <w:u w:val="single"/>
    </w:rPr>
  </w:style>
  <w:style w:type="paragraph" w:customStyle="1" w:styleId="Equation">
    <w:name w:val="Equation"/>
    <w:basedOn w:val="Body"/>
    <w:qFormat/>
  </w:style>
  <w:style w:type="paragraph" w:customStyle="1" w:styleId="Figure">
    <w:name w:val="Figure"/>
    <w:basedOn w:val="Copyright"/>
    <w:qFormat/>
    <w:pPr>
      <w:spacing w:after="240"/>
    </w:pPr>
    <w:rPr>
      <w:sz w:val="20"/>
    </w:rPr>
  </w:style>
  <w:style w:type="paragraph" w:customStyle="1" w:styleId="Head40">
    <w:name w:val="Head 4"/>
    <w:basedOn w:val="Head3"/>
    <w:qFormat/>
    <w:rPr>
      <w:u w:val="none"/>
    </w:rPr>
  </w:style>
  <w:style w:type="paragraph" w:customStyle="1" w:styleId="Paper">
    <w:name w:val="Paper"/>
    <w:basedOn w:val="Normal"/>
    <w:qFormat/>
    <w:pPr>
      <w:spacing w:after="360" w:line="440" w:lineRule="exact"/>
      <w:jc w:val="right"/>
    </w:pPr>
    <w:rPr>
      <w:b/>
      <w:sz w:val="36"/>
    </w:rPr>
  </w:style>
  <w:style w:type="character" w:customStyle="1" w:styleId="Subscript">
    <w:name w:val="Subscript"/>
    <w:qFormat/>
    <w:rPr>
      <w:vertAlign w:val="subscript"/>
    </w:rPr>
  </w:style>
  <w:style w:type="character" w:customStyle="1" w:styleId="Superscript">
    <w:name w:val="Superscript"/>
    <w:qFormat/>
    <w:rPr>
      <w:vertAlign w:val="superscript"/>
    </w:rPr>
  </w:style>
  <w:style w:type="character" w:customStyle="1" w:styleId="Symbol">
    <w:name w:val="Symbol"/>
    <w:qFormat/>
    <w:rPr>
      <w:rFonts w:ascii="Symbol" w:hAnsi="Symbol"/>
    </w:rPr>
  </w:style>
  <w:style w:type="paragraph" w:customStyle="1" w:styleId="SymbolP">
    <w:name w:val="Symbol P"/>
    <w:basedOn w:val="Body"/>
    <w:qFormat/>
    <w:pPr>
      <w:tabs>
        <w:tab w:val="left" w:pos="720"/>
        <w:tab w:val="left" w:pos="3780"/>
      </w:tabs>
      <w:spacing w:after="0"/>
    </w:pPr>
    <w:rPr>
      <w:sz w:val="24"/>
    </w:rPr>
  </w:style>
  <w:style w:type="character" w:customStyle="1" w:styleId="BoldItal">
    <w:name w:val="BoldItal"/>
    <w:basedOn w:val="DefaultParagraphFont"/>
    <w:qFormat/>
    <w:rPr>
      <w:b/>
      <w:i/>
    </w:rPr>
  </w:style>
  <w:style w:type="character" w:customStyle="1" w:styleId="SubItal">
    <w:name w:val="SubItal"/>
    <w:qFormat/>
    <w:rPr>
      <w:i/>
      <w:vertAlign w:val="subscript"/>
    </w:rPr>
  </w:style>
  <w:style w:type="character" w:customStyle="1" w:styleId="SuperItal">
    <w:name w:val="SuperItal"/>
    <w:qFormat/>
    <w:rPr>
      <w:i/>
      <w:vertAlign w:val="superscript"/>
    </w:rPr>
  </w:style>
  <w:style w:type="character" w:customStyle="1" w:styleId="SymItal">
    <w:name w:val="SymItal"/>
    <w:qFormat/>
    <w:rPr>
      <w:rFonts w:ascii="Symbol" w:hAnsi="Symbol"/>
      <w:i/>
    </w:rPr>
  </w:style>
  <w:style w:type="character" w:customStyle="1" w:styleId="BodyText2Char">
    <w:name w:val="Body Text 2 Char"/>
    <w:basedOn w:val="DefaultParagraphFont"/>
    <w:link w:val="BodyText2"/>
    <w:qFormat/>
    <w:rPr>
      <w:rFonts w:ascii="Helvetica" w:hAnsi="Helvetica"/>
    </w:rPr>
  </w:style>
  <w:style w:type="character" w:customStyle="1" w:styleId="CommentTextChar">
    <w:name w:val="Comment Text Char"/>
    <w:basedOn w:val="DefaultParagraphFont"/>
    <w:link w:val="CommentText"/>
    <w:uiPriority w:val="99"/>
    <w:qFormat/>
    <w:rPr>
      <w:lang w:val="nb-NO" w:eastAsia="nb-NO"/>
    </w:rPr>
  </w:style>
  <w:style w:type="character" w:customStyle="1" w:styleId="BalloonTextChar">
    <w:name w:val="Balloon Text Char"/>
    <w:basedOn w:val="DefaultParagraphFont"/>
    <w:link w:val="BalloonText"/>
    <w:qFormat/>
    <w:rPr>
      <w:rFonts w:ascii="Tahoma" w:hAnsi="Tahoma" w:cs="Tahoma"/>
      <w:sz w:val="16"/>
      <w:szCs w:val="16"/>
    </w:rPr>
  </w:style>
  <w:style w:type="character" w:customStyle="1" w:styleId="BodyText3Char">
    <w:name w:val="Body Text 3 Char"/>
    <w:basedOn w:val="DefaultParagraphFont"/>
    <w:link w:val="BodyText3"/>
    <w:qFormat/>
    <w:rPr>
      <w:rFonts w:ascii="Helvetica" w:hAnsi="Helvetica"/>
      <w:sz w:val="16"/>
      <w:szCs w:val="16"/>
    </w:rPr>
  </w:style>
  <w:style w:type="paragraph" w:styleId="ListParagraph">
    <w:name w:val="List Paragraph"/>
    <w:basedOn w:val="Normal"/>
    <w:uiPriority w:val="34"/>
    <w:qFormat/>
    <w:pPr>
      <w:ind w:left="720"/>
      <w:contextualSpacing/>
    </w:pPr>
  </w:style>
  <w:style w:type="character" w:customStyle="1" w:styleId="Heading3Char">
    <w:name w:val="Heading 3 Char"/>
    <w:basedOn w:val="DefaultParagraphFont"/>
    <w:link w:val="Heading3"/>
    <w:qFormat/>
    <w:rPr>
      <w:rFonts w:asciiTheme="majorHAnsi" w:eastAsiaTheme="majorEastAsia" w:hAnsiTheme="majorHAnsi" w:cstheme="majorBidi"/>
      <w:color w:val="244061" w:themeColor="accent1" w:themeShade="80"/>
      <w:sz w:val="24"/>
      <w:szCs w:val="24"/>
    </w:rPr>
  </w:style>
  <w:style w:type="character" w:customStyle="1" w:styleId="Heading4Char">
    <w:name w:val="Heading 4 Char"/>
    <w:basedOn w:val="DefaultParagraphFont"/>
    <w:link w:val="Heading4"/>
    <w:semiHidden/>
    <w:qFormat/>
    <w:rPr>
      <w:rFonts w:asciiTheme="majorHAnsi" w:eastAsiaTheme="majorEastAsia" w:hAnsiTheme="majorHAnsi" w:cstheme="majorBidi"/>
      <w:i/>
      <w:iCs/>
      <w:color w:val="365F91" w:themeColor="accent1" w:themeShade="BF"/>
    </w:rPr>
  </w:style>
  <w:style w:type="character" w:customStyle="1" w:styleId="BodyTextChar">
    <w:name w:val="Body Text Char"/>
    <w:basedOn w:val="DefaultParagraphFont"/>
    <w:link w:val="BodyText"/>
    <w:qFormat/>
    <w:rPr>
      <w:rFonts w:ascii="Helvetica" w:hAnsi="Helvetica"/>
    </w:rPr>
  </w:style>
  <w:style w:type="paragraph" w:customStyle="1" w:styleId="TableContents">
    <w:name w:val="Table Contents"/>
    <w:basedOn w:val="Normal"/>
    <w:qFormat/>
    <w:pPr>
      <w:suppressLineNumbers/>
      <w:suppressAutoHyphens/>
    </w:pPr>
    <w:rPr>
      <w:rFonts w:ascii="Times New Roman" w:hAnsi="Times New Roman"/>
      <w:sz w:val="24"/>
      <w:szCs w:val="24"/>
      <w:lang w:eastAsia="ar-SA"/>
    </w:rPr>
  </w:style>
  <w:style w:type="table" w:customStyle="1" w:styleId="TableGrid1">
    <w:name w:val="Table Grid1"/>
    <w:basedOn w:val="TableNormal"/>
    <w:uiPriority w:val="3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styleId="NoSpacing">
    <w:name w:val="No Spacing"/>
    <w:link w:val="NoSpacingChar"/>
    <w:uiPriority w:val="1"/>
    <w:qFormat/>
    <w:rPr>
      <w:rFonts w:asciiTheme="minorHAnsi" w:eastAsiaTheme="minorHAnsi" w:hAnsiTheme="minorHAnsi" w:cstheme="minorBidi"/>
      <w:sz w:val="22"/>
      <w:szCs w:val="22"/>
      <w:lang w:val="en-PH"/>
    </w:rPr>
  </w:style>
  <w:style w:type="character" w:customStyle="1" w:styleId="NoSpacingChar">
    <w:name w:val="No Spacing Char"/>
    <w:basedOn w:val="DefaultParagraphFont"/>
    <w:link w:val="NoSpacing"/>
    <w:uiPriority w:val="1"/>
    <w:qFormat/>
    <w:rPr>
      <w:rFonts w:asciiTheme="minorHAnsi" w:eastAsiaTheme="minorHAnsi" w:hAnsiTheme="minorHAnsi" w:cstheme="minorBidi"/>
      <w:sz w:val="22"/>
      <w:szCs w:val="22"/>
      <w:lang w:val="en-PH"/>
    </w:rPr>
  </w:style>
  <w:style w:type="character" w:customStyle="1" w:styleId="Heading2Char">
    <w:name w:val="Heading 2 Char"/>
    <w:basedOn w:val="DefaultParagraphFont"/>
    <w:link w:val="Heading2"/>
    <w:semiHidden/>
    <w:qFormat/>
    <w:rPr>
      <w:rFonts w:asciiTheme="majorHAnsi" w:eastAsiaTheme="majorEastAsia" w:hAnsiTheme="majorHAnsi" w:cstheme="majorBidi"/>
      <w:color w:val="365F91" w:themeColor="accent1" w:themeShade="BF"/>
      <w:sz w:val="26"/>
      <w:szCs w:val="26"/>
    </w:rPr>
  </w:style>
  <w:style w:type="table" w:customStyle="1" w:styleId="LightShading1">
    <w:name w:val="Light Shading1"/>
    <w:basedOn w:val="TableNormal"/>
    <w:uiPriority w:val="60"/>
    <w:qFormat/>
    <w:rPr>
      <w:rFonts w:ascii="Calibri" w:eastAsia="Calibri" w:hAnsi="Calibri" w:cs="Mangal"/>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1">
    <w:name w:val="Table Grid11"/>
    <w:basedOn w:val="TableNormal"/>
    <w:uiPriority w:val="59"/>
    <w:qFormat/>
    <w:rPr>
      <w:rFonts w:ascii="Calibri" w:eastAsia="Calibri" w:hAnsi="Calibri" w:cstheme="minorBid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
    <w:name w:val="Unresolved Mention"/>
    <w:basedOn w:val="DefaultParagraphFont"/>
    <w:uiPriority w:val="99"/>
    <w:semiHidden/>
    <w:unhideWhenUsed/>
    <w:rsid w:val="001E35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261102">
      <w:bodyDiv w:val="1"/>
      <w:marLeft w:val="0"/>
      <w:marRight w:val="0"/>
      <w:marTop w:val="0"/>
      <w:marBottom w:val="0"/>
      <w:divBdr>
        <w:top w:val="none" w:sz="0" w:space="0" w:color="auto"/>
        <w:left w:val="none" w:sz="0" w:space="0" w:color="auto"/>
        <w:bottom w:val="none" w:sz="0" w:space="0" w:color="auto"/>
        <w:right w:val="none" w:sz="0" w:space="0" w:color="auto"/>
      </w:divBdr>
    </w:div>
    <w:div w:id="474956450">
      <w:bodyDiv w:val="1"/>
      <w:marLeft w:val="0"/>
      <w:marRight w:val="0"/>
      <w:marTop w:val="0"/>
      <w:marBottom w:val="0"/>
      <w:divBdr>
        <w:top w:val="none" w:sz="0" w:space="0" w:color="auto"/>
        <w:left w:val="none" w:sz="0" w:space="0" w:color="auto"/>
        <w:bottom w:val="none" w:sz="0" w:space="0" w:color="auto"/>
        <w:right w:val="none" w:sz="0" w:space="0" w:color="auto"/>
      </w:divBdr>
    </w:div>
    <w:div w:id="700321106">
      <w:bodyDiv w:val="1"/>
      <w:marLeft w:val="0"/>
      <w:marRight w:val="0"/>
      <w:marTop w:val="0"/>
      <w:marBottom w:val="0"/>
      <w:divBdr>
        <w:top w:val="none" w:sz="0" w:space="0" w:color="auto"/>
        <w:left w:val="none" w:sz="0" w:space="0" w:color="auto"/>
        <w:bottom w:val="none" w:sz="0" w:space="0" w:color="auto"/>
        <w:right w:val="none" w:sz="0" w:space="0" w:color="auto"/>
      </w:divBdr>
    </w:div>
    <w:div w:id="760838399">
      <w:bodyDiv w:val="1"/>
      <w:marLeft w:val="0"/>
      <w:marRight w:val="0"/>
      <w:marTop w:val="0"/>
      <w:marBottom w:val="0"/>
      <w:divBdr>
        <w:top w:val="none" w:sz="0" w:space="0" w:color="auto"/>
        <w:left w:val="none" w:sz="0" w:space="0" w:color="auto"/>
        <w:bottom w:val="none" w:sz="0" w:space="0" w:color="auto"/>
        <w:right w:val="none" w:sz="0" w:space="0" w:color="auto"/>
      </w:divBdr>
    </w:div>
    <w:div w:id="1540969969">
      <w:bodyDiv w:val="1"/>
      <w:marLeft w:val="0"/>
      <w:marRight w:val="0"/>
      <w:marTop w:val="0"/>
      <w:marBottom w:val="0"/>
      <w:divBdr>
        <w:top w:val="none" w:sz="0" w:space="0" w:color="auto"/>
        <w:left w:val="none" w:sz="0" w:space="0" w:color="auto"/>
        <w:bottom w:val="none" w:sz="0" w:space="0" w:color="auto"/>
        <w:right w:val="none" w:sz="0" w:space="0" w:color="auto"/>
      </w:divBdr>
    </w:div>
    <w:div w:id="1814906376">
      <w:bodyDiv w:val="1"/>
      <w:marLeft w:val="0"/>
      <w:marRight w:val="0"/>
      <w:marTop w:val="0"/>
      <w:marBottom w:val="0"/>
      <w:divBdr>
        <w:top w:val="none" w:sz="0" w:space="0" w:color="auto"/>
        <w:left w:val="none" w:sz="0" w:space="0" w:color="auto"/>
        <w:bottom w:val="none" w:sz="0" w:space="0" w:color="auto"/>
        <w:right w:val="none" w:sz="0" w:space="0" w:color="auto"/>
      </w:divBdr>
    </w:div>
    <w:div w:id="20452072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www.journal.staihubbulwathan.id/index.php/alishlah/article/view/3889" TargetMode="External"/><Relationship Id="rId26" Type="http://schemas.openxmlformats.org/officeDocument/2006/relationships/hyperlink" Target="https://link.springer.com/content/pdf/10.1007/978-981-16-8679-5_428.pdf" TargetMode="External"/><Relationship Id="rId39" Type="http://schemas.openxmlformats.org/officeDocument/2006/relationships/fontTable" Target="fontTable.xml"/><Relationship Id="rId21" Type="http://schemas.openxmlformats.org/officeDocument/2006/relationships/hyperlink" Target="https://www.mdpi.com/2071-1050/16/5/2032" TargetMode="External"/><Relationship Id="rId34" Type="http://schemas.openxmlformats.org/officeDocument/2006/relationships/hyperlink" Target="https://open.uct.ac.za/handle/11427/32996"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dspace.univ-tiaret.dz/handle/123456789/1394" TargetMode="External"/><Relationship Id="rId25" Type="http://schemas.openxmlformats.org/officeDocument/2006/relationships/hyperlink" Target="https://search.proquest.com/openview/04f47e45eb876d731fbd9aebbceb696b/1?pq-origsite=gscholar&amp;cbl=18750&amp;diss=y" TargetMode="External"/><Relationship Id="rId33" Type="http://schemas.openxmlformats.org/officeDocument/2006/relationships/hyperlink" Target="https://ir.lib.uwo.ca/oip/414/" TargetMode="External"/><Relationship Id="rId38"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yperlink" Target="https://myjms.mohe.gov.my/index.php/ajress/article/view/26766" TargetMode="External"/><Relationship Id="rId20" Type="http://schemas.openxmlformats.org/officeDocument/2006/relationships/hyperlink" Target="https://www.tandfonline.com/doi/abs/10.1080/08878730.2020.1805835" TargetMode="External"/><Relationship Id="rId29" Type="http://schemas.openxmlformats.org/officeDocument/2006/relationships/hyperlink" Target="https://search.informit.org/doi/abs/10.3316/ielapa.27083025586438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i-jte.org/index.php/journal/article/view/451" TargetMode="External"/><Relationship Id="rId32" Type="http://schemas.openxmlformats.org/officeDocument/2006/relationships/hyperlink" Target="https://www.nature.com/articles/s41562-022-01449-w" TargetMode="External"/><Relationship Id="rId37" Type="http://schemas.openxmlformats.org/officeDocument/2006/relationships/footer" Target="footer4.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hal.science/hal-04844597/" TargetMode="External"/><Relationship Id="rId23" Type="http://schemas.openxmlformats.org/officeDocument/2006/relationships/hyperlink" Target="https://link.springer.com/article/10.1007/s10648-022-09712-2" TargetMode="External"/><Relationship Id="rId28" Type="http://schemas.openxmlformats.org/officeDocument/2006/relationships/hyperlink" Target="http://journals.eikipub.com/index.php/jetm/article/view/189" TargetMode="External"/><Relationship Id="rId36" Type="http://schemas.openxmlformats.org/officeDocument/2006/relationships/header" Target="header5.xml"/><Relationship Id="rId10" Type="http://schemas.openxmlformats.org/officeDocument/2006/relationships/footer" Target="footer1.xml"/><Relationship Id="rId19" Type="http://schemas.openxmlformats.org/officeDocument/2006/relationships/hyperlink" Target="https://books.google.com/books?hl=en&amp;lr=&amp;id=-_FJEQAAQBAJ&amp;oi=fnd&amp;pg=PR11&amp;dq=without+effective+social+control+strategies+rooted+in+mutual+understanding+and+cultural+sensitivity,+language+teachers+often+face+classroom+disruptions,+low+participation,+and+student+resistance,+which+hinder+academic+outcomes+and+compromise+the+quality+of+instruction.&amp;ots=cPXJdq6yvg&amp;sig=V0X2smzVs2NeWHjduogcF_rvgtY" TargetMode="External"/><Relationship Id="rId31" Type="http://schemas.openxmlformats.org/officeDocument/2006/relationships/hyperlink" Target="https://library.oapen.org/bitstream/handle/20.500.12657/97333/external_content.pdf?sequence=1"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hyperlink" Target="https://www.tandfonline.com/doi/abs/10.1080/14767333.2022.2047609" TargetMode="External"/><Relationship Id="rId27" Type="http://schemas.openxmlformats.org/officeDocument/2006/relationships/hyperlink" Target="https://eric.ed.gov/?id=EJ1341368" TargetMode="External"/><Relationship Id="rId30" Type="http://schemas.openxmlformats.org/officeDocument/2006/relationships/hyperlink" Target="https://oulurepo.oulu.fi/handle/10024/50220" TargetMode="External"/><Relationship Id="rId35" Type="http://schemas.openxmlformats.org/officeDocument/2006/relationships/header" Target="header4.xml"/><Relationship Id="rId8" Type="http://schemas.openxmlformats.org/officeDocument/2006/relationships/header" Target="header1.xm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2007 paper template</Template>
  <TotalTime>346</TotalTime>
  <Pages>13</Pages>
  <Words>5834</Words>
  <Characters>33255</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39011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M</cp:lastModifiedBy>
  <cp:revision>60</cp:revision>
  <cp:lastPrinted>2024-10-20T02:52:00Z</cp:lastPrinted>
  <dcterms:created xsi:type="dcterms:W3CDTF">2025-06-15T03:46:00Z</dcterms:created>
  <dcterms:modified xsi:type="dcterms:W3CDTF">2025-06-20T03:31:00Z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67A563672A7148F8B2909FDAFB22A131_13</vt:lpwstr>
  </property>
</Properties>
</file>