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37C18">
      <w:pPr>
        <w:ind w:left="800" w:hanging="800" w:hangingChars="200"/>
        <w:rPr>
          <w:rFonts w:ascii="Arial" w:hAnsi="Arial" w:cs="Arial"/>
          <w:b/>
          <w:bCs/>
          <w:sz w:val="40"/>
          <w:szCs w:val="40"/>
        </w:rPr>
      </w:pPr>
      <w:r>
        <w:rPr>
          <w:rFonts w:ascii="Arial" w:hAnsi="Arial" w:cs="Arial"/>
          <w:b/>
          <w:bCs/>
          <w:sz w:val="40"/>
          <w:szCs w:val="40"/>
        </w:rPr>
        <w:t xml:space="preserve">    A RETROSPECTIVE STUDY ON</w:t>
      </w:r>
      <w:r>
        <w:rPr>
          <w:rFonts w:ascii="Arial" w:hAnsi="Arial" w:cs="Arial"/>
          <w:sz w:val="40"/>
          <w:szCs w:val="40"/>
        </w:rPr>
        <w:t xml:space="preserve"> </w:t>
      </w:r>
      <w:r>
        <w:rPr>
          <w:rFonts w:ascii="Arial" w:hAnsi="Arial" w:cs="Arial"/>
          <w:b/>
          <w:bCs/>
          <w:sz w:val="40"/>
          <w:szCs w:val="40"/>
        </w:rPr>
        <w:t>FIBROUS OSTEODYSTROPHY (FOD) IN GOATS</w:t>
      </w:r>
    </w:p>
    <w:p w14:paraId="7EED332D">
      <w:pPr>
        <w:rPr>
          <w:rFonts w:ascii="Arial" w:hAnsi="Arial" w:cs="Arial"/>
          <w:b/>
          <w:bCs/>
        </w:rPr>
      </w:pPr>
    </w:p>
    <w:p w14:paraId="59C8E460">
      <w:pPr>
        <w:rPr>
          <w:rFonts w:ascii="Arial" w:hAnsi="Arial" w:cs="Arial"/>
          <w:b/>
          <w:bCs/>
        </w:rPr>
      </w:pPr>
    </w:p>
    <w:p w14:paraId="50EFC2B2">
      <w:pPr>
        <w:rPr>
          <w:rFonts w:ascii="Arial" w:hAnsi="Arial" w:cs="Arial"/>
          <w:b/>
          <w:bCs/>
        </w:rPr>
      </w:pPr>
      <w:r>
        <w:rPr>
          <w:rFonts w:ascii="Arial" w:hAnsi="Arial" w:cs="Arial"/>
          <w:b/>
          <w:bCs/>
        </w:rPr>
        <w:t xml:space="preserve">                                                          ABSTRACT</w:t>
      </w:r>
    </w:p>
    <w:p w14:paraId="23352266">
      <w:pPr>
        <w:jc w:val="both"/>
        <w:rPr>
          <w:rFonts w:ascii="Arial" w:hAnsi="Arial" w:cs="Arial"/>
          <w:sz w:val="20"/>
          <w:szCs w:val="20"/>
        </w:rPr>
      </w:pPr>
      <w:r>
        <w:rPr>
          <w:rFonts w:ascii="Arial" w:hAnsi="Arial" w:cs="Arial"/>
          <w:b/>
          <w:bCs/>
          <w:sz w:val="20"/>
          <w:szCs w:val="20"/>
        </w:rPr>
        <w:t xml:space="preserve">Aim: </w:t>
      </w:r>
      <w:r>
        <w:rPr>
          <w:rFonts w:ascii="Arial" w:hAnsi="Arial" w:cs="Arial"/>
          <w:sz w:val="20"/>
          <w:szCs w:val="20"/>
        </w:rPr>
        <w:t>To know the occurrence of Fibrous Osteodystrophy (FOD) in goats in and around Hyderabad and to study the clinical signs and management of the FOD.</w:t>
      </w:r>
    </w:p>
    <w:p w14:paraId="5F7FFCCE">
      <w:pPr>
        <w:jc w:val="both"/>
        <w:rPr>
          <w:rFonts w:ascii="Arial" w:hAnsi="Arial" w:cs="Arial"/>
          <w:sz w:val="20"/>
          <w:szCs w:val="20"/>
        </w:rPr>
      </w:pPr>
      <w:r>
        <w:rPr>
          <w:rFonts w:ascii="Arial" w:hAnsi="Arial" w:cs="Arial"/>
          <w:b/>
          <w:bCs/>
          <w:sz w:val="20"/>
          <w:szCs w:val="20"/>
        </w:rPr>
        <w:t xml:space="preserve">Study design: </w:t>
      </w:r>
      <w:r>
        <w:rPr>
          <w:rFonts w:ascii="Arial" w:hAnsi="Arial" w:cs="Arial"/>
          <w:sz w:val="20"/>
          <w:szCs w:val="20"/>
        </w:rPr>
        <w:t>The goats that were presented to C.V.Sc, Rjendra</w:t>
      </w:r>
      <w:r>
        <w:rPr>
          <w:rFonts w:hint="default" w:ascii="Arial" w:hAnsi="Arial" w:cs="Arial"/>
          <w:sz w:val="20"/>
          <w:szCs w:val="20"/>
          <w:lang w:val="en-IN"/>
        </w:rPr>
        <w:t xml:space="preserve"> N</w:t>
      </w:r>
      <w:r>
        <w:rPr>
          <w:rFonts w:ascii="Arial" w:hAnsi="Arial" w:cs="Arial"/>
          <w:sz w:val="20"/>
          <w:szCs w:val="20"/>
        </w:rPr>
        <w:t xml:space="preserve">agar and referred from various dispensaries in and around Hyderabad with bilateral maxillary or mandibular swelling </w:t>
      </w:r>
      <w:r>
        <w:rPr>
          <w:rFonts w:ascii="Arial" w:hAnsi="Arial" w:cs="Arial"/>
          <w:spacing w:val="-57"/>
          <w:sz w:val="20"/>
          <w:szCs w:val="20"/>
        </w:rPr>
        <w:t xml:space="preserve">            </w:t>
      </w:r>
      <w:r>
        <w:rPr>
          <w:rFonts w:ascii="Arial" w:hAnsi="Arial" w:cs="Arial"/>
          <w:sz w:val="20"/>
          <w:szCs w:val="20"/>
        </w:rPr>
        <w:t>formed the material for the study. The</w:t>
      </w:r>
      <w:r>
        <w:rPr>
          <w:rFonts w:ascii="Arial" w:hAnsi="Arial" w:cs="Arial"/>
          <w:spacing w:val="1"/>
          <w:sz w:val="20"/>
          <w:szCs w:val="20"/>
        </w:rPr>
        <w:t xml:space="preserve"> </w:t>
      </w:r>
      <w:r>
        <w:rPr>
          <w:rFonts w:ascii="Arial" w:hAnsi="Arial" w:cs="Arial"/>
          <w:sz w:val="20"/>
          <w:szCs w:val="20"/>
        </w:rPr>
        <w:t>occurrence</w:t>
      </w:r>
      <w:r>
        <w:rPr>
          <w:rFonts w:ascii="Arial" w:hAnsi="Arial" w:cs="Arial"/>
          <w:spacing w:val="-2"/>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FOD</w:t>
      </w:r>
      <w:r>
        <w:rPr>
          <w:rFonts w:ascii="Arial" w:hAnsi="Arial" w:cs="Arial"/>
          <w:spacing w:val="-1"/>
          <w:sz w:val="20"/>
          <w:szCs w:val="20"/>
        </w:rPr>
        <w:t xml:space="preserve"> </w:t>
      </w:r>
      <w:r>
        <w:rPr>
          <w:rFonts w:ascii="Arial" w:hAnsi="Arial" w:cs="Arial"/>
          <w:sz w:val="20"/>
          <w:szCs w:val="20"/>
        </w:rPr>
        <w:t>based</w:t>
      </w:r>
      <w:r>
        <w:rPr>
          <w:rFonts w:ascii="Arial" w:hAnsi="Arial" w:cs="Arial"/>
          <w:spacing w:val="-1"/>
          <w:sz w:val="20"/>
          <w:szCs w:val="20"/>
        </w:rPr>
        <w:t xml:space="preserve"> </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breed,</w:t>
      </w:r>
      <w:r>
        <w:rPr>
          <w:rFonts w:ascii="Arial" w:hAnsi="Arial" w:cs="Arial"/>
          <w:spacing w:val="2"/>
          <w:sz w:val="20"/>
          <w:szCs w:val="20"/>
        </w:rPr>
        <w:t xml:space="preserve"> </w:t>
      </w:r>
      <w:r>
        <w:rPr>
          <w:rFonts w:ascii="Arial" w:hAnsi="Arial" w:cs="Arial"/>
          <w:sz w:val="20"/>
          <w:szCs w:val="20"/>
        </w:rPr>
        <w:t xml:space="preserve">age and gender was analyzed. </w:t>
      </w:r>
    </w:p>
    <w:p w14:paraId="7DF8E55E">
      <w:pPr>
        <w:jc w:val="both"/>
        <w:rPr>
          <w:rFonts w:ascii="Arial" w:hAnsi="Arial" w:cs="Arial"/>
          <w:sz w:val="20"/>
          <w:szCs w:val="20"/>
        </w:rPr>
      </w:pPr>
      <w:r>
        <w:rPr>
          <w:rFonts w:ascii="Arial" w:hAnsi="Arial" w:cs="Arial"/>
          <w:b/>
          <w:bCs/>
          <w:sz w:val="20"/>
          <w:szCs w:val="20"/>
        </w:rPr>
        <w:t>Place and Duration of Study:</w:t>
      </w:r>
      <w:r>
        <w:rPr>
          <w:rFonts w:ascii="Arial" w:hAnsi="Arial" w:cs="Arial"/>
          <w:sz w:val="20"/>
          <w:szCs w:val="20"/>
        </w:rPr>
        <w:t xml:space="preserve"> The present study was conducted on goats presented to Veterinary Clinical Complex (VCC), College of Veterinary Science, Rajendra</w:t>
      </w:r>
      <w:r>
        <w:rPr>
          <w:rFonts w:hint="default" w:ascii="Arial" w:hAnsi="Arial" w:cs="Arial"/>
          <w:sz w:val="20"/>
          <w:szCs w:val="20"/>
          <w:lang w:val="en-IN"/>
        </w:rPr>
        <w:t xml:space="preserve"> N</w:t>
      </w:r>
      <w:r>
        <w:rPr>
          <w:rFonts w:ascii="Arial" w:hAnsi="Arial" w:cs="Arial"/>
          <w:sz w:val="20"/>
          <w:szCs w:val="20"/>
        </w:rPr>
        <w:t>agar, Hyderabad during the period from April 2024 to September 2024.</w:t>
      </w:r>
    </w:p>
    <w:p w14:paraId="0813AF76">
      <w:pPr>
        <w:keepNext w:val="0"/>
        <w:keepLines w:val="0"/>
        <w:widowControl/>
        <w:suppressLineNumbers w:val="0"/>
        <w:jc w:val="left"/>
        <w:rPr>
          <w:rFonts w:hint="default" w:ascii="Arial" w:hAnsi="Arial" w:cs="Arial"/>
          <w:sz w:val="20"/>
          <w:szCs w:val="20"/>
          <w:lang w:val="en-IN"/>
        </w:rPr>
      </w:pPr>
      <w:r>
        <w:rPr>
          <w:rFonts w:ascii="Arial" w:hAnsi="Arial" w:cs="Arial"/>
          <w:b/>
          <w:bCs/>
          <w:sz w:val="20"/>
          <w:szCs w:val="20"/>
        </w:rPr>
        <w:t>Methodology:</w:t>
      </w:r>
      <w:r>
        <w:rPr>
          <w:rFonts w:ascii="Arial" w:hAnsi="Arial" w:cs="Arial"/>
          <w:sz w:val="20"/>
          <w:szCs w:val="20"/>
        </w:rPr>
        <w:t xml:space="preserve"> All the suspected goats were screened for FOD. They were subjected for hemato-biochemical, FNAC and Radiography. Feed analysis of the feed offered to these affected goats were also carried out.</w:t>
      </w:r>
      <w:r>
        <w:rPr>
          <w:rFonts w:hint="default" w:ascii="Arial" w:hAnsi="Arial" w:cs="Arial"/>
          <w:sz w:val="20"/>
          <w:szCs w:val="20"/>
          <w:lang w:val="en-IN"/>
        </w:rPr>
        <w:t xml:space="preserve"> </w:t>
      </w:r>
      <w:r>
        <w:rPr>
          <w:rFonts w:hint="default" w:ascii="Arial" w:hAnsi="Arial" w:eastAsia="SimSun" w:cs="Arial"/>
          <w:color w:val="000000"/>
          <w:kern w:val="0"/>
          <w:sz w:val="20"/>
          <w:szCs w:val="20"/>
          <w:lang w:val="en-US" w:eastAsia="zh-CN" w:bidi="ar"/>
          <w14:ligatures w14:val="standardContextual"/>
        </w:rPr>
        <w:t>The data obtained was subjected to statistical analysis</w:t>
      </w:r>
      <w:r>
        <w:rPr>
          <w:rFonts w:hint="default" w:ascii="Arial" w:hAnsi="Arial" w:eastAsia="SimSun" w:cs="Arial"/>
          <w:color w:val="000000"/>
          <w:kern w:val="0"/>
          <w:sz w:val="20"/>
          <w:szCs w:val="20"/>
          <w:lang w:val="en-IN" w:eastAsia="zh-CN" w:bidi="ar"/>
          <w14:ligatures w14:val="standardContextual"/>
        </w:rPr>
        <w:t>.</w:t>
      </w:r>
    </w:p>
    <w:p w14:paraId="306FFF8E">
      <w:pPr>
        <w:jc w:val="both"/>
        <w:rPr>
          <w:rFonts w:ascii="Arial" w:hAnsi="Arial" w:cs="Arial"/>
          <w:sz w:val="20"/>
          <w:szCs w:val="20"/>
        </w:rPr>
      </w:pPr>
      <w:r>
        <w:rPr>
          <w:rFonts w:ascii="Arial" w:hAnsi="Arial" w:cs="Arial"/>
          <w:b/>
          <w:bCs/>
          <w:sz w:val="20"/>
          <w:szCs w:val="20"/>
        </w:rPr>
        <w:t>Results:</w:t>
      </w:r>
      <w:r>
        <w:rPr>
          <w:rFonts w:ascii="Arial" w:hAnsi="Arial" w:cs="Arial"/>
          <w:sz w:val="20"/>
          <w:szCs w:val="20"/>
          <w:lang w:val="en-US"/>
        </w:rPr>
        <w:t xml:space="preserve"> Out of 552 goats screened, 14 were diagnosed with FOD. Male animals aged below 1 year and Malabari breed goats were most commonly affected. The major clinical sings recorded were difficulty in prehension and mastication,</w:t>
      </w:r>
      <w:r>
        <w:rPr>
          <w:rFonts w:ascii="Arial" w:hAnsi="Arial" w:cs="Arial"/>
          <w:sz w:val="20"/>
          <w:szCs w:val="20"/>
        </w:rPr>
        <w:t xml:space="preserve"> </w:t>
      </w:r>
      <w:r>
        <w:rPr>
          <w:rFonts w:ascii="Arial" w:hAnsi="Arial" w:cs="Arial"/>
          <w:sz w:val="20"/>
          <w:szCs w:val="20"/>
          <w:lang w:val="en-US"/>
        </w:rPr>
        <w:t>protrusion of tongue</w:t>
      </w:r>
      <w:r>
        <w:rPr>
          <w:rFonts w:ascii="Arial" w:hAnsi="Arial" w:cs="Arial"/>
          <w:sz w:val="20"/>
          <w:szCs w:val="20"/>
        </w:rPr>
        <w:t xml:space="preserve">, </w:t>
      </w:r>
      <w:r>
        <w:rPr>
          <w:rFonts w:ascii="Arial" w:hAnsi="Arial" w:cs="Arial"/>
          <w:sz w:val="20"/>
          <w:szCs w:val="20"/>
          <w:lang w:val="en-US"/>
        </w:rPr>
        <w:t>dyspnea,</w:t>
      </w:r>
      <w:r>
        <w:rPr>
          <w:rFonts w:ascii="Arial" w:hAnsi="Arial" w:cs="Arial"/>
          <w:sz w:val="20"/>
          <w:szCs w:val="20"/>
        </w:rPr>
        <w:t xml:space="preserve"> </w:t>
      </w:r>
      <w:r>
        <w:rPr>
          <w:rFonts w:ascii="Arial" w:hAnsi="Arial" w:cs="Arial"/>
          <w:sz w:val="20"/>
          <w:szCs w:val="20"/>
          <w:lang w:val="en-US"/>
        </w:rPr>
        <w:t>bilateral maxillary &amp; mandibular swelling. Clinical examination findings were unremarkable. Serum biochemical examination revealed hypocalcemia</w:t>
      </w:r>
      <w:r>
        <w:rPr>
          <w:rFonts w:ascii="Arial" w:hAnsi="Arial" w:eastAsia="Times New Roman" w:cs="Arial"/>
          <w:kern w:val="0"/>
          <w:sz w:val="20"/>
          <w:szCs w:val="20"/>
          <w:lang w:val="en-US"/>
          <w14:ligatures w14:val="none"/>
        </w:rPr>
        <w:t xml:space="preserve"> </w:t>
      </w:r>
      <w:r>
        <w:rPr>
          <w:rFonts w:ascii="Arial" w:hAnsi="Arial" w:cs="Arial"/>
          <w:sz w:val="20"/>
          <w:szCs w:val="20"/>
          <w:lang w:val="en-US"/>
        </w:rPr>
        <w:t>and hyperphosphatemia with elevation of ALP levels. FNAC of affected bones revealed osteoclasts, chondrocytes and occasional fibroblasts. Radiographic findings in affected goats were radiolucent and decreased bone density at maxillary and mandibular areas.</w:t>
      </w:r>
      <w:r>
        <w:rPr>
          <w:rFonts w:ascii="Arial" w:hAnsi="Arial" w:cs="Arial"/>
          <w:sz w:val="20"/>
          <w:szCs w:val="20"/>
        </w:rPr>
        <w:t xml:space="preserve"> The nutritional origin of the disease was confirmed through reduced Ca:P ratio in the diet. Group I goats received treatment with 23% CBG, injection of Vitamin AD3E (once weekly), syrup Aluminium Hydroxide as a phosphate binder, and fluid therapy. In addition to the Group I protocol, Group II goats were also administered Inj. Nandrolone weekly. Notably, Group II goats showed marked clinical improvement compared to those in Group I.</w:t>
      </w:r>
    </w:p>
    <w:p w14:paraId="05C06599">
      <w:pPr>
        <w:jc w:val="both"/>
        <w:rPr>
          <w:rFonts w:ascii="Arial" w:hAnsi="Arial" w:cs="Arial"/>
          <w:sz w:val="20"/>
          <w:szCs w:val="20"/>
          <w:lang w:val="en-US"/>
        </w:rPr>
      </w:pPr>
      <w:r>
        <w:rPr>
          <w:rFonts w:ascii="Arial" w:hAnsi="Arial" w:cs="Arial"/>
          <w:b/>
          <w:bCs/>
          <w:sz w:val="20"/>
          <w:szCs w:val="20"/>
        </w:rPr>
        <w:t xml:space="preserve">Conclusion: </w:t>
      </w:r>
      <w:r>
        <w:rPr>
          <w:rFonts w:ascii="Arial" w:hAnsi="Arial" w:cs="Arial"/>
          <w:sz w:val="20"/>
          <w:szCs w:val="20"/>
          <w:lang w:val="en-US"/>
        </w:rPr>
        <w:t>High phosphorus and low calcium containing diets are attributed to FOD. Nandrolone decanoate can be used as novel therapy to promote bone mineralization and to increase bone density in FOD cases along with dietary correction.</w:t>
      </w:r>
    </w:p>
    <w:p w14:paraId="1DA04B2E">
      <w:pPr>
        <w:jc w:val="both"/>
        <w:rPr>
          <w:rFonts w:ascii="Arial" w:hAnsi="Arial" w:cs="Arial"/>
          <w:b/>
          <w:bCs/>
          <w:i/>
          <w:iCs/>
          <w:sz w:val="20"/>
          <w:szCs w:val="20"/>
        </w:rPr>
      </w:pPr>
      <w:r>
        <w:rPr>
          <w:rFonts w:ascii="Arial" w:hAnsi="Arial" w:cs="Arial"/>
          <w:b/>
          <w:bCs/>
          <w:i/>
          <w:iCs/>
          <w:sz w:val="20"/>
          <w:szCs w:val="20"/>
          <w:lang w:val="en-US"/>
        </w:rPr>
        <w:t>Key words: FOD, Goats, Nandrol</w:t>
      </w:r>
      <w:r>
        <w:rPr>
          <w:rFonts w:hint="default" w:ascii="Arial" w:hAnsi="Arial" w:cs="Arial"/>
          <w:b/>
          <w:bCs/>
          <w:i/>
          <w:iCs/>
          <w:sz w:val="20"/>
          <w:szCs w:val="20"/>
          <w:lang w:val="en-IN"/>
        </w:rPr>
        <w:t>o</w:t>
      </w:r>
      <w:r>
        <w:rPr>
          <w:rFonts w:ascii="Arial" w:hAnsi="Arial" w:cs="Arial"/>
          <w:b/>
          <w:bCs/>
          <w:i/>
          <w:iCs/>
          <w:sz w:val="20"/>
          <w:szCs w:val="20"/>
          <w:lang w:val="en-US"/>
        </w:rPr>
        <w:t>ne, Aluminium hydroxide</w:t>
      </w:r>
    </w:p>
    <w:p w14:paraId="4EDB9DCD">
      <w:pPr>
        <w:rPr>
          <w:rFonts w:ascii="Arial" w:hAnsi="Arial" w:cs="Arial"/>
          <w:b/>
          <w:bCs/>
        </w:rPr>
      </w:pPr>
      <w:r>
        <w:rPr>
          <w:rFonts w:ascii="Arial" w:hAnsi="Arial" w:cs="Arial"/>
          <w:b/>
          <w:bCs/>
        </w:rPr>
        <w:t xml:space="preserve">1.INTRODUCTION </w:t>
      </w:r>
    </w:p>
    <w:p w14:paraId="2A48648E">
      <w:pPr>
        <w:pStyle w:val="12"/>
        <w:keepNext w:val="0"/>
        <w:keepLines w:val="0"/>
        <w:widowControl/>
        <w:suppressLineNumbers w:val="0"/>
        <w:spacing w:beforeAutospacing="1"/>
        <w:jc w:val="both"/>
        <w:rPr>
          <w:rFonts w:ascii="Arial" w:hAnsi="Arial" w:cs="Arial"/>
          <w:sz w:val="20"/>
          <w:szCs w:val="20"/>
        </w:rPr>
      </w:pPr>
      <w:r>
        <w:rPr>
          <w:rFonts w:hint="default" w:ascii="Arial" w:hAnsi="Arial" w:cs="Arial"/>
          <w:sz w:val="20"/>
          <w:szCs w:val="20"/>
        </w:rPr>
        <w:t xml:space="preserve">Fibrous osteodystrophy (FOD) or Osteodystrophia fibrosa or Osteitis fibrosa cystica is a metabolic disorder characterized by secondary calcium deficiency due to chronic consumption of excess dietary phosphorous leading to demineralization, extensive bone resorption, and replacement of bones by the fibrous connective tissue. This condition is principally a disease of horses but can also seen in porcine, caprine, feline, canine, and other species [15,4,3]. </w:t>
      </w:r>
      <w:r>
        <w:rPr>
          <w:rFonts w:hint="default" w:ascii="Arial" w:hAnsi="Arial" w:eastAsia="SimSun" w:cs="Arial"/>
          <w:b w:val="0"/>
          <w:bCs w:val="0"/>
          <w:sz w:val="20"/>
          <w:szCs w:val="20"/>
          <w:lang w:val="en-IN"/>
        </w:rPr>
        <w:t xml:space="preserve"> </w:t>
      </w:r>
      <w:r>
        <w:rPr>
          <w:rFonts w:hint="default" w:ascii="Arial" w:hAnsi="Arial" w:cs="Arial"/>
          <w:sz w:val="20"/>
          <w:szCs w:val="20"/>
        </w:rPr>
        <w:t>All breeds and ages of goats are susceptible after weaning [2</w:t>
      </w:r>
      <w:r>
        <w:rPr>
          <w:rFonts w:hint="default" w:ascii="Arial" w:hAnsi="Arial" w:cs="Arial"/>
          <w:sz w:val="20"/>
          <w:szCs w:val="20"/>
          <w:lang w:val="en-IN"/>
        </w:rPr>
        <w:t>2</w:t>
      </w:r>
      <w:r>
        <w:rPr>
          <w:rFonts w:hint="default" w:ascii="Arial" w:hAnsi="Arial" w:cs="Arial"/>
          <w:sz w:val="20"/>
          <w:szCs w:val="20"/>
        </w:rPr>
        <w:t xml:space="preserve">]. </w:t>
      </w:r>
      <w:r>
        <w:rPr>
          <w:rFonts w:hint="default" w:ascii="Arial" w:hAnsi="Arial" w:eastAsia="SimSun" w:cs="Arial"/>
          <w:sz w:val="20"/>
          <w:szCs w:val="20"/>
        </w:rPr>
        <w:t>The pathophysiology involves a decrease in serum ionized calcium concentrations, which stimulates increased synthesis and secretion of parathyroid hormone (PTH) [18]. PTH, a polypeptide hormone produced by the parathyroid gland, plays a crucial role in maintaining calcium homeostasis in conjunction with vitamin D and calcitonin.</w:t>
      </w:r>
      <w:r>
        <w:rPr>
          <w:rFonts w:ascii="Arial" w:hAnsi="Arial" w:cs="Arial"/>
          <w:sz w:val="20"/>
          <w:szCs w:val="20"/>
        </w:rPr>
        <w:t>The increase in the parathormone (PTH) levels in the plasma might be due to primary or secondary hyperparathyroidism [2</w:t>
      </w:r>
      <w:r>
        <w:rPr>
          <w:rFonts w:hint="default" w:ascii="Arial" w:hAnsi="Arial" w:cs="Arial"/>
          <w:sz w:val="20"/>
          <w:szCs w:val="20"/>
          <w:lang w:val="en-IN"/>
        </w:rPr>
        <w:t>5</w:t>
      </w:r>
      <w:r>
        <w:rPr>
          <w:rFonts w:ascii="Arial" w:hAnsi="Arial" w:cs="Arial"/>
          <w:sz w:val="20"/>
          <w:szCs w:val="20"/>
        </w:rPr>
        <w:t>]. Primary hyperparathyroidism is rare in domestic animals which could be attributed to parathyroid tumours (adenoma and carcinoma) or idiopathic bilateral parathyroid hyperplasia whereas secondary hyperparathyroidism occurs sporadically and could be attributed to nutritional imbalances or chronic renal disease [2</w:t>
      </w:r>
      <w:r>
        <w:rPr>
          <w:rFonts w:hint="default" w:ascii="Arial" w:hAnsi="Arial" w:cs="Arial"/>
          <w:sz w:val="20"/>
          <w:szCs w:val="20"/>
          <w:lang w:val="en-IN"/>
        </w:rPr>
        <w:t>9</w:t>
      </w:r>
      <w:r>
        <w:rPr>
          <w:rFonts w:ascii="Arial" w:hAnsi="Arial" w:cs="Arial"/>
          <w:sz w:val="20"/>
          <w:szCs w:val="20"/>
        </w:rPr>
        <w:t xml:space="preserve">]. Compensatory increase in the synthesis and secretion of PTH, which acts on bones, kidneys, and intestines increases calcium absorption and promotes bone resorption [19]. </w:t>
      </w:r>
      <w:r>
        <w:rPr>
          <w:rFonts w:hint="default" w:ascii="Arial" w:hAnsi="Arial" w:cs="Arial"/>
          <w:sz w:val="20"/>
          <w:szCs w:val="20"/>
        </w:rPr>
        <w:t>Clinical manifestations of the disease include bone deformities</w:t>
      </w:r>
      <w:r>
        <w:t xml:space="preserve"> </w:t>
      </w:r>
      <w:r>
        <w:rPr>
          <w:rFonts w:hint="default" w:ascii="Arial" w:hAnsi="Arial" w:cs="Arial"/>
          <w:sz w:val="20"/>
          <w:szCs w:val="20"/>
        </w:rPr>
        <w:t>and enlargements, particularly of the maxillary and mandibular bones</w:t>
      </w:r>
      <w:r>
        <w:rPr>
          <w:rFonts w:hint="default" w:ascii="Arial" w:hAnsi="Arial" w:cs="Arial"/>
          <w:sz w:val="20"/>
          <w:szCs w:val="20"/>
          <w:lang w:val="en-IN"/>
        </w:rPr>
        <w:t xml:space="preserve"> with</w:t>
      </w:r>
      <w:r>
        <w:rPr>
          <w:rFonts w:hint="default" w:ascii="Arial" w:hAnsi="Arial" w:cs="Arial"/>
          <w:sz w:val="20"/>
          <w:szCs w:val="20"/>
        </w:rPr>
        <w:t xml:space="preserve"> increased susceptibility to fractures, tongue protrusion, and difficulty in prehension and mastication. Locomotor and postural disturbances are also frequently observed [18]. An imbalance in mineral-hormonal metabolism, i.e., nutritional secondary hyperparathyroidism, due to excessive dietary phosphorus intake, is suggested as the prominent etiology in goats and the reduced Ca:P ratio is considered as prominent marker of FOD [2</w:t>
      </w:r>
      <w:r>
        <w:rPr>
          <w:rFonts w:hint="default" w:ascii="Arial" w:hAnsi="Arial" w:cs="Arial"/>
          <w:sz w:val="20"/>
          <w:szCs w:val="20"/>
          <w:lang w:val="en-IN"/>
        </w:rPr>
        <w:t>7</w:t>
      </w:r>
      <w:r>
        <w:rPr>
          <w:rFonts w:hint="default" w:ascii="Arial" w:hAnsi="Arial" w:cs="Arial"/>
          <w:sz w:val="20"/>
          <w:szCs w:val="20"/>
        </w:rPr>
        <w:t>].The economic impact of FOD is substantial. Growth retardation and poor weight gain in young goats delay market readiness and reduce carcass quality, with significant consequences for meat production operations. This is especially detrimental in commercial or semi-intensive goat farming systems, where optimal growth performance is crucial. Studies conducted in India and Africa estimate that FOD-related losses may account for approximately 10–15% of the total production value of affected herds.</w:t>
      </w:r>
    </w:p>
    <w:p w14:paraId="1187B50D">
      <w:pPr>
        <w:rPr>
          <w:rFonts w:ascii="Arial" w:hAnsi="Arial" w:cs="Arial"/>
          <w:b/>
          <w:bCs/>
        </w:rPr>
      </w:pPr>
      <w:r>
        <w:rPr>
          <w:rFonts w:ascii="Arial" w:hAnsi="Arial" w:cs="Arial"/>
          <w:b/>
          <w:bCs/>
        </w:rPr>
        <w:t>2.MATERIALS AND METHODS</w:t>
      </w:r>
    </w:p>
    <w:p w14:paraId="4AAC58F3">
      <w:pPr>
        <w:ind w:firstLine="720"/>
        <w:jc w:val="both"/>
        <w:rPr>
          <w:rFonts w:ascii="Arial" w:hAnsi="Arial" w:cs="Arial"/>
          <w:sz w:val="20"/>
          <w:szCs w:val="20"/>
        </w:rPr>
      </w:pPr>
      <w:r>
        <w:rPr>
          <w:rFonts w:ascii="Arial" w:hAnsi="Arial" w:cs="Arial"/>
          <w:sz w:val="20"/>
          <w:szCs w:val="20"/>
        </w:rPr>
        <w:t xml:space="preserve">The present study was conducted on goats presented and referred from various veterinary dispensaries of Hyderabad to Veterinary Clinical Complex (VCC), College of Veterinary Science, Rajendranagar, Hyderabad during the period from April 2024 to September 2024. The data pertaining to breed, age and sex was recorded. Necessary information regarding managemental practices such as deworming and vaccination status, feed and water intake, defecation and urination were documented. </w:t>
      </w:r>
      <w:r>
        <w:rPr>
          <w:rFonts w:ascii="Arial" w:hAnsi="Arial" w:cs="Arial"/>
          <w:sz w:val="20"/>
          <w:szCs w:val="20"/>
          <w:lang w:val="en-US"/>
        </w:rPr>
        <w:t xml:space="preserve">In affected animals, history of feeding with pea husk, wheat bran, rice bran, sorghum and red gram chunni and were confined to stall. </w:t>
      </w:r>
      <w:r>
        <w:rPr>
          <w:rFonts w:ascii="Arial" w:hAnsi="Arial" w:cs="Arial"/>
          <w:sz w:val="20"/>
          <w:szCs w:val="20"/>
        </w:rPr>
        <w:t>Feed samples from household were collected for laboratory analysis. Detailed physical and clinical examination was done and observations were recorded. Blood and serum samples were collected from goats in a sterile vials with and without EDTA</w:t>
      </w:r>
      <w:r>
        <w:rPr>
          <w:rFonts w:hint="default" w:ascii="Arial" w:hAnsi="Arial" w:cs="Arial"/>
          <w:sz w:val="20"/>
          <w:szCs w:val="20"/>
          <w:lang w:val="en-IN"/>
        </w:rPr>
        <w:t>.Serum samples were stored in refrigerator at  -20</w:t>
      </w:r>
      <w:r>
        <w:rPr>
          <w:rFonts w:hint="default" w:ascii="Arial" w:hAnsi="Arial" w:cs="Arial"/>
          <w:sz w:val="20"/>
          <w:szCs w:val="20"/>
          <w:vertAlign w:val="superscript"/>
          <w:lang w:val="en-IN"/>
        </w:rPr>
        <w:t>0</w:t>
      </w:r>
      <w:r>
        <w:rPr>
          <w:rFonts w:hint="default" w:ascii="Arial" w:hAnsi="Arial" w:cs="Arial"/>
          <w:sz w:val="20"/>
          <w:szCs w:val="20"/>
          <w:vertAlign w:val="baseline"/>
          <w:lang w:val="en-IN"/>
        </w:rPr>
        <w:t xml:space="preserve">C and subjected to further analysis. </w:t>
      </w:r>
      <w:r>
        <w:rPr>
          <w:rFonts w:hint="default" w:ascii="Arial" w:hAnsi="Arial" w:cs="Arial"/>
          <w:sz w:val="20"/>
          <w:szCs w:val="20"/>
          <w:lang w:val="en-IN"/>
        </w:rPr>
        <w:t>Heamtological parameters were estimated using EDAN haematology analyzer and biochemical parameters were estimated using EXIGO Veterinary biochemistry analyzer.</w:t>
      </w:r>
      <w:r>
        <w:rPr>
          <w:rFonts w:ascii="Arial" w:hAnsi="Arial" w:cs="Arial"/>
          <w:sz w:val="20"/>
          <w:szCs w:val="20"/>
        </w:rPr>
        <w:t xml:space="preserve"> Fine needle aspiration cytology was performed under sterile conditions using 22 G needle</w:t>
      </w:r>
      <w:r>
        <w:rPr>
          <w:rFonts w:hint="default" w:ascii="Arial" w:hAnsi="Arial" w:cs="Arial"/>
          <w:sz w:val="20"/>
          <w:szCs w:val="20"/>
          <w:lang w:val="en-IN"/>
        </w:rPr>
        <w:t xml:space="preserve"> to rule out other causes of maxillary or mandiblular swellings (Ex. Actinomycosis, Abscess, Cyst etc..) </w:t>
      </w:r>
      <w:r>
        <w:rPr>
          <w:rFonts w:ascii="Arial" w:hAnsi="Arial" w:cs="Arial"/>
          <w:sz w:val="20"/>
          <w:szCs w:val="20"/>
        </w:rPr>
        <w:t>(Figure1). Affected animals were subjected to radiography to detect pathological abnormalities of bones. Six apparently healthy animals were taken as a control.</w:t>
      </w:r>
      <w:r>
        <w:rPr>
          <w:rFonts w:hint="default" w:ascii="Arial" w:hAnsi="Arial" w:eastAsia="SimSun" w:cs="Arial"/>
          <w:color w:val="000000"/>
          <w:kern w:val="0"/>
          <w:sz w:val="20"/>
          <w:szCs w:val="20"/>
          <w:lang w:val="en-US" w:eastAsia="zh-CN" w:bidi="ar"/>
          <w14:ligatures w14:val="standardContextual"/>
        </w:rPr>
        <w:t>The data obtained was subjected to statistical analysis as per the method described by Snedecor and Cochran (1994)</w:t>
      </w:r>
      <w:r>
        <w:rPr>
          <w:rFonts w:hint="default" w:ascii="Arial" w:hAnsi="Arial" w:eastAsia="SimSun" w:cs="Arial"/>
          <w:color w:val="000000"/>
          <w:kern w:val="0"/>
          <w:sz w:val="20"/>
          <w:szCs w:val="20"/>
          <w:lang w:val="en-IN" w:eastAsia="zh-CN" w:bidi="ar"/>
          <w14:ligatures w14:val="standardContextual"/>
        </w:rPr>
        <w:t>[21]</w:t>
      </w:r>
      <w:r>
        <w:rPr>
          <w:rFonts w:hint="default" w:ascii="Arial" w:hAnsi="Arial" w:eastAsia="SimSun" w:cs="Arial"/>
          <w:color w:val="000000"/>
          <w:kern w:val="0"/>
          <w:sz w:val="20"/>
          <w:szCs w:val="20"/>
          <w:lang w:val="en-US" w:eastAsia="zh-CN" w:bidi="ar"/>
          <w14:ligatures w14:val="standardContextual"/>
        </w:rPr>
        <w:t xml:space="preserve"> by using SPSS 20.00 version</w:t>
      </w:r>
      <w:r>
        <w:rPr>
          <w:rFonts w:hint="default" w:ascii="Times New Roman" w:hAnsi="Times New Roman" w:eastAsia="SimSun" w:cs="Times New Roman"/>
          <w:color w:val="000000"/>
          <w:kern w:val="0"/>
          <w:sz w:val="24"/>
          <w:szCs w:val="24"/>
          <w:lang w:val="en-US" w:eastAsia="zh-CN" w:bidi="ar"/>
          <w14:ligatures w14:val="standardContextual"/>
        </w:rPr>
        <w:t>.</w:t>
      </w:r>
    </w:p>
    <w:p w14:paraId="756D08B3">
      <w:pPr>
        <w:jc w:val="both"/>
        <w:rPr>
          <w:rFonts w:ascii="Arial" w:hAnsi="Arial" w:cs="Arial"/>
          <w:sz w:val="20"/>
          <w:szCs w:val="20"/>
        </w:rPr>
      </w:pPr>
      <w:r>
        <w:rPr>
          <w:rFonts w:ascii="Arial" w:hAnsi="Arial" w:cs="Arial"/>
          <w:sz w:val="20"/>
          <w:szCs w:val="20"/>
        </w:rPr>
        <w:t>Goats affected with FOD were divided into two groups (n=7 per group) for therapeutic evaluation.</w:t>
      </w:r>
    </w:p>
    <w:p w14:paraId="72F3C0C6">
      <w:pPr>
        <w:jc w:val="both"/>
        <w:rPr>
          <w:rFonts w:ascii="Arial" w:hAnsi="Arial" w:cs="Arial"/>
          <w:sz w:val="20"/>
          <w:szCs w:val="20"/>
        </w:rPr>
      </w:pPr>
      <w:r>
        <w:rPr>
          <w:rFonts w:ascii="Arial" w:hAnsi="Arial" w:cs="Arial"/>
          <w:b/>
          <w:bCs/>
          <w:sz w:val="20"/>
          <w:szCs w:val="20"/>
        </w:rPr>
        <w:t>Group I</w:t>
      </w:r>
      <w:r>
        <w:rPr>
          <w:rFonts w:ascii="Arial" w:hAnsi="Arial" w:cs="Arial"/>
          <w:sz w:val="20"/>
          <w:szCs w:val="20"/>
        </w:rPr>
        <w:t xml:space="preserve"> received the following treatment regimen:</w:t>
      </w:r>
    </w:p>
    <w:p w14:paraId="0C375A27">
      <w:pPr>
        <w:numPr>
          <w:ilvl w:val="0"/>
          <w:numId w:val="1"/>
        </w:numPr>
        <w:jc w:val="both"/>
        <w:rPr>
          <w:rFonts w:ascii="Arial" w:hAnsi="Arial" w:cs="Arial"/>
          <w:sz w:val="20"/>
          <w:szCs w:val="20"/>
        </w:rPr>
      </w:pPr>
      <w:r>
        <w:rPr>
          <w:rFonts w:ascii="Arial" w:hAnsi="Arial" w:cs="Arial"/>
          <w:sz w:val="20"/>
          <w:szCs w:val="20"/>
        </w:rPr>
        <w:t>Intravenous administration of 23% CBG (CALBOROL) at a dose of 1 mL/kg body weight for 5 consecutive days.</w:t>
      </w:r>
    </w:p>
    <w:p w14:paraId="428A4523">
      <w:pPr>
        <w:numPr>
          <w:ilvl w:val="0"/>
          <w:numId w:val="1"/>
        </w:numPr>
        <w:jc w:val="both"/>
        <w:rPr>
          <w:rFonts w:ascii="Arial" w:hAnsi="Arial" w:cs="Arial"/>
          <w:sz w:val="20"/>
          <w:szCs w:val="20"/>
        </w:rPr>
      </w:pPr>
      <w:r>
        <w:rPr>
          <w:rFonts w:ascii="Arial" w:hAnsi="Arial" w:cs="Arial"/>
          <w:sz w:val="20"/>
          <w:szCs w:val="20"/>
        </w:rPr>
        <w:t>Inj. Vitamin AD</w:t>
      </w:r>
      <w:r>
        <w:rPr>
          <w:rFonts w:ascii="Cambria Math" w:hAnsi="Cambria Math" w:cs="Cambria Math"/>
          <w:sz w:val="20"/>
          <w:szCs w:val="20"/>
        </w:rPr>
        <w:t>₃</w:t>
      </w:r>
      <w:r>
        <w:rPr>
          <w:rFonts w:ascii="Arial" w:hAnsi="Arial" w:cs="Arial"/>
          <w:sz w:val="20"/>
          <w:szCs w:val="20"/>
        </w:rPr>
        <w:t>E as a source of Vitamin D</w:t>
      </w:r>
      <w:r>
        <w:rPr>
          <w:rFonts w:ascii="Cambria Math" w:hAnsi="Cambria Math" w:cs="Cambria Math"/>
          <w:sz w:val="20"/>
          <w:szCs w:val="20"/>
        </w:rPr>
        <w:t>₃</w:t>
      </w:r>
      <w:r>
        <w:rPr>
          <w:rFonts w:ascii="Arial" w:hAnsi="Arial" w:cs="Arial"/>
          <w:sz w:val="20"/>
          <w:szCs w:val="20"/>
        </w:rPr>
        <w:t xml:space="preserve"> at 4400 IU/kg body weight, administered once weekly.</w:t>
      </w:r>
    </w:p>
    <w:p w14:paraId="4D8B27AE">
      <w:pPr>
        <w:numPr>
          <w:ilvl w:val="0"/>
          <w:numId w:val="1"/>
        </w:numPr>
        <w:jc w:val="both"/>
        <w:rPr>
          <w:rFonts w:ascii="Arial" w:hAnsi="Arial" w:cs="Arial"/>
          <w:sz w:val="20"/>
          <w:szCs w:val="20"/>
        </w:rPr>
      </w:pPr>
      <w:r>
        <w:rPr>
          <w:rFonts w:ascii="Arial" w:hAnsi="Arial" w:cs="Arial"/>
          <w:sz w:val="20"/>
          <w:szCs w:val="20"/>
        </w:rPr>
        <w:t>Syrup Aluminium Hydroxide (OMEFER) at 35 mg/kg body weight orally, twice daily, as a</w:t>
      </w:r>
      <w:r>
        <w:rPr>
          <w:rFonts w:hint="default" w:ascii="Arial" w:hAnsi="Arial" w:cs="Arial"/>
          <w:sz w:val="20"/>
          <w:szCs w:val="20"/>
          <w:lang w:val="en-IN"/>
        </w:rPr>
        <w:t xml:space="preserve"> source of</w:t>
      </w:r>
      <w:r>
        <w:rPr>
          <w:rFonts w:ascii="Arial" w:hAnsi="Arial" w:cs="Arial"/>
          <w:sz w:val="20"/>
          <w:szCs w:val="20"/>
        </w:rPr>
        <w:t xml:space="preserve"> phosphate binder.</w:t>
      </w:r>
    </w:p>
    <w:p w14:paraId="6E7E217D">
      <w:pPr>
        <w:numPr>
          <w:ilvl w:val="0"/>
          <w:numId w:val="1"/>
        </w:numPr>
        <w:jc w:val="both"/>
        <w:rPr>
          <w:rFonts w:ascii="Arial" w:hAnsi="Arial" w:cs="Arial"/>
          <w:sz w:val="20"/>
          <w:szCs w:val="20"/>
        </w:rPr>
      </w:pPr>
      <w:r>
        <w:rPr>
          <w:rFonts w:ascii="Arial" w:hAnsi="Arial" w:cs="Arial"/>
          <w:sz w:val="20"/>
          <w:szCs w:val="20"/>
        </w:rPr>
        <w:t>Supportive fluid therapy</w:t>
      </w:r>
      <w:r>
        <w:rPr>
          <w:rFonts w:hint="default" w:ascii="Arial" w:hAnsi="Arial" w:cs="Arial"/>
          <w:sz w:val="20"/>
          <w:szCs w:val="20"/>
          <w:lang w:val="en-IN"/>
        </w:rPr>
        <w:t xml:space="preserve"> ( INJ DNS and TRIBIVET)</w:t>
      </w:r>
      <w:r>
        <w:rPr>
          <w:rFonts w:ascii="Arial" w:hAnsi="Arial" w:cs="Arial"/>
          <w:sz w:val="20"/>
          <w:szCs w:val="20"/>
        </w:rPr>
        <w:t>.</w:t>
      </w:r>
    </w:p>
    <w:p w14:paraId="77D7AC19">
      <w:pPr>
        <w:jc w:val="both"/>
        <w:rPr>
          <w:rFonts w:ascii="Arial" w:hAnsi="Arial" w:cs="Arial"/>
          <w:sz w:val="20"/>
          <w:szCs w:val="20"/>
        </w:rPr>
      </w:pPr>
      <w:r>
        <w:rPr>
          <w:rFonts w:ascii="Arial" w:hAnsi="Arial" w:cs="Arial"/>
          <w:b/>
          <w:bCs/>
          <w:sz w:val="20"/>
          <w:szCs w:val="20"/>
        </w:rPr>
        <w:t>Group II</w:t>
      </w:r>
      <w:r>
        <w:rPr>
          <w:rFonts w:ascii="Arial" w:hAnsi="Arial" w:cs="Arial"/>
          <w:sz w:val="20"/>
          <w:szCs w:val="20"/>
        </w:rPr>
        <w:t xml:space="preserve"> received the same treatment as Group I, with the addition of:</w:t>
      </w:r>
    </w:p>
    <w:p w14:paraId="27F2264E">
      <w:pPr>
        <w:numPr>
          <w:ilvl w:val="0"/>
          <w:numId w:val="2"/>
        </w:numPr>
        <w:jc w:val="both"/>
        <w:rPr>
          <w:rFonts w:ascii="Arial" w:hAnsi="Arial" w:cs="Arial"/>
          <w:sz w:val="20"/>
          <w:szCs w:val="20"/>
        </w:rPr>
      </w:pPr>
      <w:r>
        <w:rPr>
          <w:rFonts w:ascii="Arial" w:hAnsi="Arial" w:cs="Arial"/>
          <w:sz w:val="20"/>
          <w:szCs w:val="20"/>
        </w:rPr>
        <w:t>Inj. Nandrolone (DECA-INSTABOLIN 50) at 1 mg/kg body weight, administered once weekly.</w:t>
      </w:r>
    </w:p>
    <w:p w14:paraId="0FB4557B">
      <w:pPr>
        <w:ind w:firstLine="720"/>
        <w:jc w:val="both"/>
        <w:rPr>
          <w:rFonts w:ascii="Arial" w:hAnsi="Arial" w:cs="Arial"/>
          <w:sz w:val="20"/>
          <w:szCs w:val="20"/>
        </w:rPr>
      </w:pPr>
      <w:r>
        <w:rPr>
          <w:rFonts w:ascii="Arial" w:hAnsi="Arial" w:cs="Arial"/>
          <w:sz w:val="20"/>
          <w:szCs w:val="20"/>
        </w:rPr>
        <w:t>Following the 5-day intravenous calcium therapy, both groups were transitioned to oral Calcium Gluconate at 80 mg/kg body weight once daily for a duration of three months. Therapeutic monitoring was evaluated based on clinical improvement and biochemical parameters.</w:t>
      </w:r>
    </w:p>
    <w:p w14:paraId="703E62FB">
      <w:pPr>
        <w:jc w:val="both"/>
        <w:rPr>
          <w:rFonts w:ascii="Arial" w:hAnsi="Arial" w:cs="Arial"/>
          <w:b/>
          <w:bCs/>
        </w:rPr>
      </w:pPr>
      <w:r>
        <w:rPr>
          <w:rFonts w:ascii="Arial" w:hAnsi="Arial" w:cs="Arial"/>
          <w:b/>
          <w:bCs/>
        </w:rPr>
        <w:t>3.RESULTS</w:t>
      </w:r>
    </w:p>
    <w:p w14:paraId="13DD888C">
      <w:pPr>
        <w:ind w:firstLine="720"/>
        <w:jc w:val="both"/>
        <w:rPr>
          <w:rFonts w:ascii="Arial" w:hAnsi="Arial" w:cs="Arial"/>
          <w:sz w:val="20"/>
          <w:szCs w:val="20"/>
          <w:lang w:val="en-US"/>
        </w:rPr>
      </w:pPr>
      <w:r>
        <w:rPr>
          <w:rFonts w:ascii="Arial" w:hAnsi="Arial" w:cs="Arial"/>
          <w:sz w:val="20"/>
          <w:szCs w:val="20"/>
        </w:rPr>
        <w:t xml:space="preserve">A total 14 out of 552 goats are found to be affected with fibrous osteodystrophy due to dietary imbalance and occurence of FOD was found to be 2.53% (Figure-2). Among the affected goats eight were below 1 year of age and six were above 1 year of age. Male animals (70%) were most commonly affected when compared to female animals (30%). Affected breeds include Malabari (6/14), Jamunapari (1/14), Barbari (1/14),osmanabadi (2/14) and Non -descript goats (4/14).Clinical sings recorded were anorexia (7/14), </w:t>
      </w:r>
      <w:r>
        <w:rPr>
          <w:rFonts w:ascii="Arial" w:hAnsi="Arial" w:cs="Arial"/>
          <w:sz w:val="20"/>
          <w:szCs w:val="20"/>
          <w:lang w:val="en-US"/>
        </w:rPr>
        <w:t>inappetence (7/14),</w:t>
      </w:r>
      <w:r>
        <w:rPr>
          <w:rFonts w:ascii="Arial" w:hAnsi="Arial" w:cs="Arial"/>
          <w:sz w:val="20"/>
          <w:szCs w:val="20"/>
        </w:rPr>
        <w:t xml:space="preserve"> salivation (4/14), </w:t>
      </w:r>
      <w:r>
        <w:rPr>
          <w:rFonts w:ascii="Arial" w:hAnsi="Arial" w:cs="Arial"/>
          <w:sz w:val="20"/>
          <w:szCs w:val="20"/>
          <w:lang w:val="en-US"/>
        </w:rPr>
        <w:t>difficulty in prehension and mastication (14/14),</w:t>
      </w:r>
      <w:r>
        <w:rPr>
          <w:rFonts w:ascii="Arial" w:hAnsi="Arial" w:cs="Arial"/>
          <w:sz w:val="20"/>
          <w:szCs w:val="20"/>
        </w:rPr>
        <w:t xml:space="preserve"> </w:t>
      </w:r>
      <w:r>
        <w:rPr>
          <w:rFonts w:ascii="Arial" w:hAnsi="Arial" w:cs="Arial"/>
          <w:sz w:val="20"/>
          <w:szCs w:val="20"/>
          <w:lang w:val="en-US"/>
        </w:rPr>
        <w:t>protrusion of tongue (11/14)</w:t>
      </w:r>
      <w:r>
        <w:rPr>
          <w:rFonts w:ascii="Arial" w:hAnsi="Arial" w:cs="Arial"/>
          <w:sz w:val="20"/>
          <w:szCs w:val="20"/>
        </w:rPr>
        <w:t xml:space="preserve">, </w:t>
      </w:r>
      <w:r>
        <w:rPr>
          <w:rFonts w:ascii="Arial" w:hAnsi="Arial" w:cs="Arial"/>
          <w:sz w:val="20"/>
          <w:szCs w:val="20"/>
          <w:lang w:val="en-US"/>
        </w:rPr>
        <w:t>dyspnea (11/14),</w:t>
      </w:r>
      <w:r>
        <w:rPr>
          <w:rFonts w:ascii="Arial" w:hAnsi="Arial" w:cs="Arial"/>
          <w:sz w:val="20"/>
          <w:szCs w:val="20"/>
        </w:rPr>
        <w:t xml:space="preserve"> </w:t>
      </w:r>
      <w:r>
        <w:rPr>
          <w:rFonts w:ascii="Arial" w:hAnsi="Arial" w:cs="Arial"/>
          <w:sz w:val="20"/>
          <w:szCs w:val="20"/>
          <w:lang w:val="en-US"/>
        </w:rPr>
        <w:t>bilateral maxillary &amp;mandibular swelling (10/14), maxillary swelling (4/14), exophthalmos (4/14), postural abnormalities like out ward deviation of forelimb (3/14),</w:t>
      </w:r>
      <w:r>
        <w:rPr>
          <w:rFonts w:ascii="Arial" w:hAnsi="Arial" w:cs="Arial"/>
          <w:sz w:val="20"/>
          <w:szCs w:val="20"/>
        </w:rPr>
        <w:t xml:space="preserve"> loosening of teeth (2/14). However, out </w:t>
      </w:r>
      <w:r>
        <w:rPr>
          <w:rFonts w:ascii="Arial" w:hAnsi="Arial" w:cs="Arial"/>
          <w:sz w:val="20"/>
          <w:szCs w:val="20"/>
          <w:lang w:val="en-US"/>
        </w:rPr>
        <w:t>of which difficulty in prehension and mastication,</w:t>
      </w:r>
      <w:r>
        <w:rPr>
          <w:rFonts w:ascii="Arial" w:hAnsi="Arial" w:cs="Arial"/>
          <w:sz w:val="20"/>
          <w:szCs w:val="20"/>
        </w:rPr>
        <w:t xml:space="preserve"> </w:t>
      </w:r>
      <w:r>
        <w:rPr>
          <w:rFonts w:ascii="Arial" w:hAnsi="Arial" w:cs="Arial"/>
          <w:sz w:val="20"/>
          <w:szCs w:val="20"/>
          <w:lang w:val="en-US"/>
        </w:rPr>
        <w:t>protrusion of tongue</w:t>
      </w:r>
      <w:r>
        <w:rPr>
          <w:rFonts w:ascii="Arial" w:hAnsi="Arial" w:cs="Arial"/>
          <w:sz w:val="20"/>
          <w:szCs w:val="20"/>
        </w:rPr>
        <w:t xml:space="preserve">, </w:t>
      </w:r>
      <w:r>
        <w:rPr>
          <w:rFonts w:ascii="Arial" w:hAnsi="Arial" w:cs="Arial"/>
          <w:sz w:val="20"/>
          <w:szCs w:val="20"/>
          <w:lang w:val="en-US"/>
        </w:rPr>
        <w:t>dyspnea,</w:t>
      </w:r>
      <w:r>
        <w:rPr>
          <w:rFonts w:ascii="Arial" w:hAnsi="Arial" w:cs="Arial"/>
          <w:sz w:val="20"/>
          <w:szCs w:val="20"/>
        </w:rPr>
        <w:t xml:space="preserve"> </w:t>
      </w:r>
      <w:r>
        <w:rPr>
          <w:rFonts w:ascii="Arial" w:hAnsi="Arial" w:cs="Arial"/>
          <w:sz w:val="20"/>
          <w:szCs w:val="20"/>
          <w:lang w:val="en-US"/>
        </w:rPr>
        <w:t xml:space="preserve">bilateral maxillary &amp; mandibular swelling were the most common manifestations recorded in FOD Goats (Figure-3). On physical examination pain on palpation of swollen areas (maxillary, mandibular or both) was evident. On clinical examination vitals were within normal range. Hematological findings were unremarkable. Blood smear examination got negative for hemoprotozoa. On coprological examination no parasitic ova detected. </w:t>
      </w:r>
    </w:p>
    <w:p w14:paraId="71E33E30">
      <w:pPr>
        <w:ind w:firstLine="720"/>
        <w:jc w:val="both"/>
        <w:rPr>
          <w:rFonts w:ascii="Arial" w:hAnsi="Arial" w:cs="Arial"/>
          <w:sz w:val="20"/>
          <w:szCs w:val="20"/>
          <w:lang w:val="en-US"/>
        </w:rPr>
      </w:pPr>
      <w:r>
        <w:rPr>
          <w:rFonts w:ascii="Arial" w:hAnsi="Arial" w:cs="Arial"/>
          <w:sz w:val="20"/>
          <w:szCs w:val="20"/>
          <w:lang w:val="en-US"/>
        </w:rPr>
        <mc:AlternateContent>
          <mc:Choice Requires="wps">
            <w:drawing>
              <wp:anchor distT="0" distB="0" distL="114300" distR="114300" simplePos="0" relativeHeight="251666432" behindDoc="0" locked="0" layoutInCell="1" allowOverlap="1">
                <wp:simplePos x="0" y="0"/>
                <wp:positionH relativeFrom="column">
                  <wp:posOffset>-2294255</wp:posOffset>
                </wp:positionH>
                <wp:positionV relativeFrom="paragraph">
                  <wp:posOffset>86360</wp:posOffset>
                </wp:positionV>
                <wp:extent cx="635" cy="635"/>
                <wp:effectExtent l="57150" t="57150" r="57150" b="57150"/>
                <wp:wrapNone/>
                <wp:docPr id="960731120" name="Ink 7"/>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Pr id="960731120" name="Ink 7"/>
                            <w14:cNvContentPartPr/>
                          </w14:nvContentPartPr>
                          <w14:xfrm>
                            <a:off x="0" y="0"/>
                            <a:ext cx="360" cy="360"/>
                          </w14:xfrm>
                        </w14:contentPart>
                      </mc:Choice>
                    </mc:AlternateContent>
                  </a:graphicData>
                </a:graphic>
              </wp:anchor>
            </w:drawing>
          </mc:Choice>
          <mc:Fallback>
            <w:pict>
              <v:shape id="Ink 7" o:spid="_x0000_s1026" o:spt="75" style="position:absolute;left:0pt;margin-left:-180.65pt;margin-top:6.8pt;height:0.05pt;width:0.05pt;z-index:251666432;mso-width-relative:page;mso-height-relative:page;" coordsize="21600,21600" o:gfxdata="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&#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">
                <v:imagedata r:id="rId13" o:title=""/>
                <o:lock v:ext="edit"/>
              </v:shape>
            </w:pict>
          </mc:Fallback>
        </mc:AlternateContent>
      </w:r>
    </w:p>
    <w:p w14:paraId="6188B09E">
      <w:pPr>
        <w:ind w:firstLine="720"/>
        <w:jc w:val="both"/>
        <w:rPr>
          <w:rFonts w:ascii="Arial" w:hAnsi="Arial" w:cs="Arial"/>
          <w:sz w:val="20"/>
          <w:szCs w:val="20"/>
          <w:lang w:val="en-US"/>
        </w:rPr>
      </w:pPr>
      <w:r>
        <w:rPr>
          <w:lang w:val="en-US"/>
        </w:rPr>
        <mc:AlternateContent>
          <mc:Choice Requires="wps">
            <w:drawing>
              <wp:anchor distT="0" distB="0" distL="114300" distR="114300" simplePos="0" relativeHeight="251672576" behindDoc="0" locked="0" layoutInCell="1" allowOverlap="1">
                <wp:simplePos x="0" y="0"/>
                <wp:positionH relativeFrom="column">
                  <wp:posOffset>-862330</wp:posOffset>
                </wp:positionH>
                <wp:positionV relativeFrom="paragraph">
                  <wp:posOffset>327660</wp:posOffset>
                </wp:positionV>
                <wp:extent cx="635" cy="635"/>
                <wp:effectExtent l="57150" t="57150" r="57150" b="57150"/>
                <wp:wrapNone/>
                <wp:docPr id="1379666613" name="Ink 13"/>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Pr id="1379666613" name="Ink 13"/>
                            <w14:cNvContentPartPr/>
                          </w14:nvContentPartPr>
                          <w14:xfrm>
                            <a:off x="0" y="0"/>
                            <a:ext cx="360" cy="360"/>
                          </w14:xfrm>
                        </w14:contentPart>
                      </mc:Choice>
                    </mc:AlternateContent>
                  </a:graphicData>
                </a:graphic>
              </wp:anchor>
            </w:drawing>
          </mc:Choice>
          <mc:Fallback>
            <w:pict>
              <v:shape id="Ink 13" o:spid="_x0000_s1026" o:spt="75" style="position:absolute;left:0pt;margin-left:-67.9pt;margin-top:25.8pt;height:0.05pt;width:0.05pt;z-index:251672576;mso-width-relative:page;mso-height-relative:page;" coordsize="21600,21600" o:gfxdata="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">
                <v:imagedata r:id="rId13" o:title=""/>
                <o:lock v:ext="edit"/>
              </v:shape>
            </w:pict>
          </mc:Fallback>
        </mc:AlternateContent>
      </w:r>
    </w:p>
    <w:p w14:paraId="29907220">
      <w:pPr>
        <w:ind w:firstLine="720"/>
        <w:jc w:val="both"/>
        <w:rPr>
          <w:rFonts w:ascii="Arial" w:hAnsi="Arial" w:cs="Arial"/>
          <w:sz w:val="20"/>
          <w:szCs w:val="20"/>
          <w:lang w:val="en-US"/>
        </w:rPr>
      </w:pPr>
      <w:r>
        <w:rPr>
          <w:lang w:val="en-US"/>
        </w:rPr>
        <w:drawing>
          <wp:anchor distT="0" distB="0" distL="114300" distR="114300" simplePos="0" relativeHeight="251664384" behindDoc="0" locked="0" layoutInCell="1" allowOverlap="1">
            <wp:simplePos x="0" y="0"/>
            <wp:positionH relativeFrom="column">
              <wp:posOffset>3449955</wp:posOffset>
            </wp:positionH>
            <wp:positionV relativeFrom="paragraph">
              <wp:posOffset>17145</wp:posOffset>
            </wp:positionV>
            <wp:extent cx="2745740" cy="1837055"/>
            <wp:effectExtent l="0" t="0" r="16510" b="11430"/>
            <wp:wrapNone/>
            <wp:docPr id="940295277" name="Chart 9402952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lang w:val="en-US"/>
        </w:rPr>
        <w:drawing>
          <wp:inline distT="0" distB="0" distL="0" distR="0">
            <wp:extent cx="1790700" cy="2595245"/>
            <wp:effectExtent l="73977" t="78423" r="131128" b="131127"/>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6" cstate="print">
                      <a:extLst>
                        <a:ext uri="{28A0092B-C50C-407E-A947-70E740481C1C}">
                          <a14:useLocalDpi xmlns:a14="http://schemas.microsoft.com/office/drawing/2010/main" val="0"/>
                        </a:ext>
                      </a:extLst>
                    </a:blip>
                    <a:srcRect l="2814" t="6152" r="12813" b="33522"/>
                    <a:stretch>
                      <a:fillRect/>
                    </a:stretch>
                  </pic:blipFill>
                  <pic:spPr>
                    <a:xfrm rot="16200000">
                      <a:off x="0" y="0"/>
                      <a:ext cx="1797772" cy="2605841"/>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r>
        <w:rPr>
          <w:lang w:val="en-US"/>
        </w:rPr>
        <mc:AlternateContent>
          <mc:Choice Requires="wps">
            <w:drawing>
              <wp:anchor distT="0" distB="0" distL="114300" distR="114300" simplePos="0" relativeHeight="251671552" behindDoc="0" locked="0" layoutInCell="1" allowOverlap="1">
                <wp:simplePos x="0" y="0"/>
                <wp:positionH relativeFrom="column">
                  <wp:posOffset>1103630</wp:posOffset>
                </wp:positionH>
                <wp:positionV relativeFrom="paragraph">
                  <wp:posOffset>715645</wp:posOffset>
                </wp:positionV>
                <wp:extent cx="635" cy="635"/>
                <wp:effectExtent l="57150" t="57150" r="57150" b="57150"/>
                <wp:wrapNone/>
                <wp:docPr id="1777388773" name="Ink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Pr id="1777388773" name="Ink 12"/>
                            <w14:cNvContentPartPr/>
                          </w14:nvContentPartPr>
                          <w14:xfrm>
                            <a:off x="0" y="0"/>
                            <a:ext cx="360" cy="360"/>
                          </w14:xfrm>
                        </w14:contentPart>
                      </mc:Choice>
                    </mc:AlternateContent>
                  </a:graphicData>
                </a:graphic>
              </wp:anchor>
            </w:drawing>
          </mc:Choice>
          <mc:Fallback>
            <w:pict>
              <v:shape id="Ink 12" o:spid="_x0000_s1026" o:spt="75" style="position:absolute;left:0pt;margin-left:86.9pt;margin-top:56.35pt;height:0.05pt;width:0.05pt;z-index:251671552;mso-width-relative:page;mso-height-relative:page;" coordsize="21600,21600" o:gfxdata="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">
                <v:imagedata r:id="rId13" o:title=""/>
                <o:lock v:ext="edit"/>
              </v:shape>
            </w:pict>
          </mc:Fallback>
        </mc:AlternateContent>
      </w:r>
      <w:r>
        <w:rPr>
          <w:lang w:val="en-US"/>
        </w:rPr>
        <mc:AlternateContent>
          <mc:Choice Requires="wps">
            <w:drawing>
              <wp:anchor distT="0" distB="0" distL="114300" distR="114300" simplePos="0" relativeHeight="251670528" behindDoc="0" locked="0" layoutInCell="1" allowOverlap="1">
                <wp:simplePos x="0" y="0"/>
                <wp:positionH relativeFrom="column">
                  <wp:posOffset>741045</wp:posOffset>
                </wp:positionH>
                <wp:positionV relativeFrom="paragraph">
                  <wp:posOffset>172085</wp:posOffset>
                </wp:positionV>
                <wp:extent cx="635" cy="635"/>
                <wp:effectExtent l="57150" t="57150" r="57150" b="57150"/>
                <wp:wrapNone/>
                <wp:docPr id="288200080" name="Ink 1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8">
                          <w14:nvContentPartPr>
                            <w14:cNvPr id="288200080" name="Ink 11"/>
                            <w14:cNvContentPartPr/>
                          </w14:nvContentPartPr>
                          <w14:xfrm>
                            <a:off x="0" y="0"/>
                            <a:ext cx="360" cy="360"/>
                          </w14:xfrm>
                        </w14:contentPart>
                      </mc:Choice>
                    </mc:AlternateContent>
                  </a:graphicData>
                </a:graphic>
              </wp:anchor>
            </w:drawing>
          </mc:Choice>
          <mc:Fallback>
            <w:pict>
              <v:shape id="Ink 11" o:spid="_x0000_s1026" o:spt="75" style="position:absolute;left:0pt;margin-left:58.35pt;margin-top:13.55pt;height:0.05pt;width:0.05pt;z-index:251670528;mso-width-relative:page;mso-height-relative:page;" coordsize="21600,21600" o:gfxdata="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">
                <v:imagedata r:id="rId13" o:title=""/>
                <o:lock v:ext="edit"/>
              </v:shape>
            </w:pict>
          </mc:Fallback>
        </mc:AlternateContent>
      </w:r>
      <w:r>
        <w:rPr>
          <w:lang w:val="en-US"/>
        </w:rPr>
        <mc:AlternateContent>
          <mc:Choice Requires="wps">
            <w:drawing>
              <wp:anchor distT="0" distB="0" distL="114300" distR="114300" simplePos="0" relativeHeight="251669504" behindDoc="0" locked="0" layoutInCell="1" allowOverlap="1">
                <wp:simplePos x="0" y="0"/>
                <wp:positionH relativeFrom="column">
                  <wp:posOffset>1569720</wp:posOffset>
                </wp:positionH>
                <wp:positionV relativeFrom="paragraph">
                  <wp:posOffset>1086485</wp:posOffset>
                </wp:positionV>
                <wp:extent cx="635" cy="635"/>
                <wp:effectExtent l="57150" t="57150" r="57150" b="57150"/>
                <wp:wrapNone/>
                <wp:docPr id="822253590" name="Ink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9">
                          <w14:nvContentPartPr>
                            <w14:cNvPr id="822253590" name="Ink 10"/>
                            <w14:cNvContentPartPr/>
                          </w14:nvContentPartPr>
                          <w14:xfrm>
                            <a:off x="0" y="0"/>
                            <a:ext cx="360" cy="360"/>
                          </w14:xfrm>
                        </w14:contentPart>
                      </mc:Choice>
                    </mc:AlternateContent>
                  </a:graphicData>
                </a:graphic>
              </wp:anchor>
            </w:drawing>
          </mc:Choice>
          <mc:Fallback>
            <w:pict>
              <v:shape id="Ink 10" o:spid="_x0000_s1026" o:spt="75" style="position:absolute;left:0pt;margin-left:123.6pt;margin-top:85.55pt;height:0.05pt;width:0.05pt;z-index:251669504;mso-width-relative:page;mso-height-relative:page;" coordsize="21600,21600" o:gfxdata="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">
                <v:imagedata r:id="rId13" o:title=""/>
                <o:lock v:ext="edit"/>
              </v:shape>
            </w:pict>
          </mc:Fallback>
        </mc:AlternateContent>
      </w:r>
      <w:r>
        <w:rPr>
          <w:lang w:val="en-US"/>
        </w:rPr>
        <mc:AlternateContent>
          <mc:Choice Requires="wps">
            <w:drawing>
              <wp:anchor distT="0" distB="0" distL="114300" distR="114300" simplePos="0" relativeHeight="251668480" behindDoc="0" locked="0" layoutInCell="1" allowOverlap="1">
                <wp:simplePos x="0" y="0"/>
                <wp:positionH relativeFrom="column">
                  <wp:posOffset>939800</wp:posOffset>
                </wp:positionH>
                <wp:positionV relativeFrom="paragraph">
                  <wp:posOffset>223520</wp:posOffset>
                </wp:positionV>
                <wp:extent cx="635" cy="635"/>
                <wp:effectExtent l="57150" t="57150" r="57150" b="57150"/>
                <wp:wrapNone/>
                <wp:docPr id="1901360470" name="Ink 9"/>
                <wp:cNvGraphicFramePr/>
                <a:graphic xmlns:a="http://schemas.openxmlformats.org/drawingml/2006/main">
                  <a:graphicData uri="http://schemas.microsoft.com/office/word/2010/wordprocessingInk">
                    <mc:AlternateContent xmlns:a14="http://schemas.microsoft.com/office/drawing/2010/main">
                      <mc:Choice Requires="a14">
                        <w14:contentPart bwMode="auto" r:id="rId20">
                          <w14:nvContentPartPr>
                            <w14:cNvPr id="1901360470" name="Ink 9"/>
                            <w14:cNvContentPartPr/>
                          </w14:nvContentPartPr>
                          <w14:xfrm>
                            <a:off x="0" y="0"/>
                            <a:ext cx="360" cy="360"/>
                          </w14:xfrm>
                        </w14:contentPart>
                      </mc:Choice>
                    </mc:AlternateContent>
                  </a:graphicData>
                </a:graphic>
              </wp:anchor>
            </w:drawing>
          </mc:Choice>
          <mc:Fallback>
            <w:pict>
              <v:shape id="Ink 9" o:spid="_x0000_s1026" o:spt="75" style="position:absolute;left:0pt;margin-left:74pt;margin-top:17.6pt;height:0.05pt;width:0.05pt;z-index:251668480;mso-width-relative:page;mso-height-relative:page;" coordsize="21600,21600" o:gfxdata="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&#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">
                <v:imagedata r:id="rId13" o:title=""/>
                <o:lock v:ext="edit"/>
              </v:shape>
            </w:pict>
          </mc:Fallback>
        </mc:AlternateContent>
      </w:r>
      <w:r>
        <w:rPr>
          <w:lang w:val="en-US"/>
        </w:rPr>
        <mc:AlternateContent>
          <mc:Choice Requires="wps">
            <w:drawing>
              <wp:anchor distT="0" distB="0" distL="114300" distR="114300" simplePos="0" relativeHeight="251667456" behindDoc="0" locked="0" layoutInCell="1" allowOverlap="1">
                <wp:simplePos x="0" y="0"/>
                <wp:positionH relativeFrom="column">
                  <wp:posOffset>1948815</wp:posOffset>
                </wp:positionH>
                <wp:positionV relativeFrom="paragraph">
                  <wp:posOffset>956945</wp:posOffset>
                </wp:positionV>
                <wp:extent cx="635" cy="635"/>
                <wp:effectExtent l="57150" t="57150" r="57150" b="57150"/>
                <wp:wrapNone/>
                <wp:docPr id="565610716" name="Ink 8"/>
                <wp:cNvGraphicFramePr/>
                <a:graphic xmlns:a="http://schemas.openxmlformats.org/drawingml/2006/main">
                  <a:graphicData uri="http://schemas.microsoft.com/office/word/2010/wordprocessingInk">
                    <mc:AlternateContent xmlns:a14="http://schemas.microsoft.com/office/drawing/2010/main">
                      <mc:Choice Requires="a14">
                        <w14:contentPart bwMode="auto" r:id="rId21">
                          <w14:nvContentPartPr>
                            <w14:cNvPr id="565610716" name="Ink 8"/>
                            <w14:cNvContentPartPr/>
                          </w14:nvContentPartPr>
                          <w14:xfrm>
                            <a:off x="0" y="0"/>
                            <a:ext cx="360" cy="360"/>
                          </w14:xfrm>
                        </w14:contentPart>
                      </mc:Choice>
                    </mc:AlternateContent>
                  </a:graphicData>
                </a:graphic>
              </wp:anchor>
            </w:drawing>
          </mc:Choice>
          <mc:Fallback>
            <w:pict>
              <v:shape id="Ink 8" o:spid="_x0000_s1026" o:spt="75" style="position:absolute;left:0pt;margin-left:153.45pt;margin-top:75.35pt;height:0.05pt;width:0.05pt;z-index:251667456;mso-width-relative:page;mso-height-relative:page;" coordsize="21600,21600" o:gfxdata="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">
                <v:imagedata r:id="rId13" o:title=""/>
                <o:lock v:ext="edit"/>
              </v:shape>
            </w:pict>
          </mc:Fallback>
        </mc:AlternateContent>
      </w:r>
      <w:r>
        <w:rPr>
          <w:lang w:val="en-US"/>
        </w:rPr>
        <mc:AlternateContent>
          <mc:Choice Requires="wps">
            <w:drawing>
              <wp:anchor distT="0" distB="0" distL="114300" distR="114300" simplePos="0" relativeHeight="251665408" behindDoc="0" locked="0" layoutInCell="1" allowOverlap="1">
                <wp:simplePos x="0" y="0"/>
                <wp:positionH relativeFrom="column">
                  <wp:posOffset>2742565</wp:posOffset>
                </wp:positionH>
                <wp:positionV relativeFrom="paragraph">
                  <wp:posOffset>223520</wp:posOffset>
                </wp:positionV>
                <wp:extent cx="635" cy="635"/>
                <wp:effectExtent l="57150" t="57150" r="57150" b="57150"/>
                <wp:wrapNone/>
                <wp:docPr id="1693777118" name="Ink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22">
                          <w14:nvContentPartPr>
                            <w14:cNvPr id="1693777118" name="Ink 4"/>
                            <w14:cNvContentPartPr/>
                          </w14:nvContentPartPr>
                          <w14:xfrm>
                            <a:off x="0" y="0"/>
                            <a:ext cx="360" cy="360"/>
                          </w14:xfrm>
                        </w14:contentPart>
                      </mc:Choice>
                    </mc:AlternateContent>
                  </a:graphicData>
                </a:graphic>
              </wp:anchor>
            </w:drawing>
          </mc:Choice>
          <mc:Fallback>
            <w:pict>
              <v:shape id="Ink 4" o:spid="_x0000_s1026" o:spt="75" style="position:absolute;left:0pt;margin-left:215.95pt;margin-top:17.6pt;height:0.05pt;width:0.05pt;z-index:251665408;mso-width-relative:page;mso-height-relative:page;" coordsize="21600,21600" o:gfxdata="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">
                <v:imagedata r:id="rId13" o:title=""/>
                <o:lock v:ext="edit"/>
              </v:shape>
            </w:pict>
          </mc:Fallback>
        </mc:AlternateContent>
      </w:r>
    </w:p>
    <w:p w14:paraId="3EAE3F33">
      <w:pPr>
        <w:jc w:val="both"/>
        <w:rPr>
          <w:rFonts w:ascii="Arial" w:hAnsi="Arial" w:cs="Arial"/>
          <w:b/>
          <w:bCs/>
          <w:sz w:val="20"/>
          <w:szCs w:val="20"/>
          <w:lang w:val="en-US"/>
        </w:rPr>
      </w:pPr>
      <w:r>
        <w:rPr>
          <w:rFonts w:ascii="Arial" w:hAnsi="Arial" w:cs="Arial"/>
          <w:b/>
          <w:bCs/>
          <w:sz w:val="20"/>
          <w:szCs w:val="20"/>
          <w:lang w:val="en-US"/>
        </w:rPr>
        <w:t xml:space="preserve">   Figure-1 Collection of FNAC from FOD affected goat</w:t>
      </w:r>
      <w:r>
        <w:rPr>
          <w:rFonts w:ascii="Arial" w:hAnsi="Arial" w:cs="Arial"/>
          <w:sz w:val="20"/>
          <w:szCs w:val="20"/>
          <w:lang w:val="en-US"/>
        </w:rPr>
        <w:t>.</w:t>
      </w:r>
      <w:r>
        <w:rPr>
          <w:rFonts w:ascii="Arial" w:hAnsi="Arial" w:cs="Arial"/>
          <w:b/>
          <w:bCs/>
          <w:sz w:val="20"/>
          <w:szCs w:val="20"/>
          <w:lang w:val="en-US"/>
        </w:rPr>
        <w:t xml:space="preserve">         Figure-2 Occurrence of FOD in Goats</w:t>
      </w:r>
    </w:p>
    <w:p w14:paraId="292469BC">
      <w:pPr>
        <w:jc w:val="both"/>
        <w:rPr>
          <w:rFonts w:ascii="Arial" w:hAnsi="Arial" w:cs="Arial"/>
          <w:sz w:val="20"/>
          <w:szCs w:val="20"/>
          <w:lang w:val="en-US"/>
        </w:rPr>
      </w:pPr>
      <w:r>
        <w:rPr>
          <w:rFonts w:ascii="Arial" w:hAnsi="Arial" w:cs="Arial"/>
          <w:b/>
          <w:bCs/>
          <w:sz w:val="20"/>
          <w:szCs w:val="20"/>
          <w:lang w:val="en-US"/>
        </w:rPr>
        <w:t xml:space="preserve">                                               </w:t>
      </w:r>
    </w:p>
    <w:tbl>
      <w:tblPr>
        <w:tblStyle w:val="14"/>
        <w:tblpPr w:leftFromText="180" w:rightFromText="180" w:vertAnchor="text" w:horzAnchor="margin" w:tblpY="1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3013"/>
        <w:gridCol w:w="3071"/>
      </w:tblGrid>
      <w:tr w14:paraId="0FAF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14:paraId="79B468C5">
            <w:pPr>
              <w:pStyle w:val="12"/>
              <w:spacing w:after="0" w:line="240" w:lineRule="auto"/>
              <w:rPr>
                <w:rFonts w:eastAsia="Times New Roman"/>
                <w:kern w:val="0"/>
                <w:lang w:eastAsia="en-IN"/>
                <w14:ligatures w14:val="none"/>
              </w:rPr>
            </w:pPr>
          </w:p>
          <w:p w14:paraId="1924471A">
            <w:pPr>
              <w:pStyle w:val="12"/>
              <w:spacing w:after="0" w:line="240" w:lineRule="auto"/>
              <w:rPr>
                <w:rFonts w:eastAsia="Times New Roman"/>
                <w:kern w:val="0"/>
                <w:lang w:eastAsia="en-IN"/>
                <w14:ligatures w14:val="none"/>
              </w:rPr>
            </w:pPr>
            <w:r>
              <w:rPr>
                <w:sz w:val="20"/>
                <w:szCs w:val="20"/>
                <w:lang w:val="en-US"/>
              </w:rPr>
              <w:drawing>
                <wp:inline distT="0" distB="0" distL="0" distR="0">
                  <wp:extent cx="1706880" cy="1966595"/>
                  <wp:effectExtent l="76200" t="76200" r="140970" b="128905"/>
                  <wp:docPr id="12124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3318" name="Picture 1"/>
                          <pic:cNvPicPr>
                            <a:picLocks noChangeAspect="1"/>
                          </pic:cNvPicPr>
                        </pic:nvPicPr>
                        <pic:blipFill>
                          <a:blip r:embed="rId23"/>
                          <a:stretch>
                            <a:fillRect/>
                          </a:stretch>
                        </pic:blipFill>
                        <pic:spPr>
                          <a:xfrm>
                            <a:off x="0" y="0"/>
                            <a:ext cx="1707505" cy="19666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2939" w:type="dxa"/>
          </w:tcPr>
          <w:p w14:paraId="1FC87BE7">
            <w:pPr>
              <w:pStyle w:val="12"/>
              <w:spacing w:after="0" w:line="240" w:lineRule="auto"/>
              <w:rPr>
                <w:rFonts w:eastAsia="Times New Roman"/>
                <w:kern w:val="0"/>
                <w:lang w:eastAsia="en-IN"/>
                <w14:ligatures w14:val="none"/>
              </w:rPr>
            </w:pPr>
          </w:p>
          <w:p w14:paraId="6945FD05">
            <w:pPr>
              <w:spacing w:after="0" w:line="240" w:lineRule="auto"/>
              <w:rPr>
                <w:lang w:eastAsia="en-IN"/>
              </w:rPr>
            </w:pPr>
            <w:r>
              <w:rPr>
                <w:sz w:val="20"/>
                <w:szCs w:val="20"/>
                <w:lang w:val="en-US"/>
              </w:rPr>
              <w:drawing>
                <wp:inline distT="0" distB="0" distL="0" distR="0">
                  <wp:extent cx="1614170" cy="1924685"/>
                  <wp:effectExtent l="76200" t="76200" r="138430" b="132715"/>
                  <wp:docPr id="574221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1330" name="Picture 2"/>
                          <pic:cNvPicPr>
                            <a:picLocks noChangeAspect="1" noChangeArrowheads="1"/>
                          </pic:cNvPicPr>
                        </pic:nvPicPr>
                        <pic:blipFill>
                          <a:blip r:embed="rId24"/>
                          <a:srcRect l="718" r="718"/>
                          <a:stretch>
                            <a:fillRect/>
                          </a:stretch>
                        </pic:blipFill>
                        <pic:spPr>
                          <a:xfrm>
                            <a:off x="0" y="0"/>
                            <a:ext cx="1617158" cy="192827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tc>
        <w:tc>
          <w:tcPr>
            <w:tcW w:w="2996" w:type="dxa"/>
          </w:tcPr>
          <w:p w14:paraId="3D089A2F">
            <w:pPr>
              <w:pStyle w:val="12"/>
              <w:spacing w:after="0" w:line="240" w:lineRule="auto"/>
              <w:rPr>
                <w:rFonts w:eastAsia="Times New Roman"/>
                <w:kern w:val="0"/>
                <w:lang w:eastAsia="en-IN"/>
                <w14:ligatures w14:val="none"/>
              </w:rPr>
            </w:pPr>
          </w:p>
          <w:p w14:paraId="0E0FD019">
            <w:pPr>
              <w:spacing w:after="0" w:line="240" w:lineRule="auto"/>
              <w:rPr>
                <w:lang w:eastAsia="en-IN"/>
              </w:rPr>
            </w:pPr>
            <w:r>
              <w:rPr>
                <w:rFonts w:eastAsia="Times New Roman"/>
                <w:kern w:val="0"/>
                <w:lang w:val="en-US"/>
                <w14:ligatures w14:val="none"/>
              </w:rPr>
              <w:drawing>
                <wp:inline distT="0" distB="0" distL="0" distR="0">
                  <wp:extent cx="1660525" cy="1966595"/>
                  <wp:effectExtent l="76200" t="76200" r="130175" b="128905"/>
                  <wp:docPr id="16967131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13110" name="Picture 9"/>
                          <pic:cNvPicPr>
                            <a:picLocks noChangeAspect="1" noChangeArrowheads="1"/>
                          </pic:cNvPicPr>
                        </pic:nvPicPr>
                        <pic:blipFill>
                          <a:blip r:embed="rId25"/>
                          <a:srcRect l="165" r="165"/>
                          <a:stretch>
                            <a:fillRect/>
                          </a:stretch>
                        </pic:blipFill>
                        <pic:spPr>
                          <a:xfrm>
                            <a:off x="0" y="0"/>
                            <a:ext cx="1661061" cy="196723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61CE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3"/>
          </w:tcPr>
          <w:p w14:paraId="497D688D">
            <w:pPr>
              <w:pStyle w:val="12"/>
              <w:spacing w:after="0" w:line="240" w:lineRule="auto"/>
              <w:rPr>
                <w:rFonts w:eastAsia="Times New Roman"/>
                <w:kern w:val="0"/>
                <w:lang w:eastAsia="en-IN"/>
                <w14:ligatures w14:val="none"/>
              </w:rPr>
            </w:pPr>
          </w:p>
          <w:p w14:paraId="6B20BBB7">
            <w:pPr>
              <w:pStyle w:val="12"/>
              <w:spacing w:after="0" w:line="240" w:lineRule="auto"/>
              <w:rPr>
                <w:rFonts w:eastAsia="Times New Roman"/>
                <w:kern w:val="0"/>
                <w:lang w:eastAsia="en-IN"/>
                <w14:ligatures w14:val="none"/>
              </w:rPr>
            </w:pPr>
            <w:r>
              <w:rPr>
                <w:rFonts w:eastAsia="Times New Roman"/>
                <w:kern w:val="0"/>
                <w:lang w:val="en-US"/>
                <w14:ligatures w14:val="none"/>
              </w:rPr>
              <w:drawing>
                <wp:anchor distT="0" distB="0" distL="114300" distR="114300" simplePos="0" relativeHeight="251674624" behindDoc="0" locked="0" layoutInCell="1" allowOverlap="1">
                  <wp:simplePos x="0" y="0"/>
                  <wp:positionH relativeFrom="column">
                    <wp:posOffset>3148965</wp:posOffset>
                  </wp:positionH>
                  <wp:positionV relativeFrom="paragraph">
                    <wp:posOffset>75565</wp:posOffset>
                  </wp:positionV>
                  <wp:extent cx="1600200" cy="1823720"/>
                  <wp:effectExtent l="76200" t="76200" r="133350" b="138430"/>
                  <wp:wrapSquare wrapText="bothSides"/>
                  <wp:docPr id="115171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7125" name="Picture 5"/>
                          <pic:cNvPicPr>
                            <a:picLocks noChangeAspect="1" noChangeArrowheads="1"/>
                          </pic:cNvPicPr>
                        </pic:nvPicPr>
                        <pic:blipFill>
                          <a:blip r:embed="rId26"/>
                          <a:srcRect t="45" b="45"/>
                          <a:stretch>
                            <a:fillRect/>
                          </a:stretch>
                        </pic:blipFill>
                        <pic:spPr>
                          <a:xfrm>
                            <a:off x="0" y="0"/>
                            <a:ext cx="1600200" cy="182372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anchor>
              </w:drawing>
            </w:r>
            <w:r>
              <w:rPr>
                <w:rFonts w:eastAsia="Times New Roman"/>
                <w:kern w:val="0"/>
                <w:lang w:eastAsia="en-IN"/>
                <w14:ligatures w14:val="none"/>
              </w:rPr>
              <w:t xml:space="preserve">                          </w:t>
            </w:r>
            <w:r>
              <w:rPr>
                <w:rFonts w:eastAsia="Times New Roman"/>
                <w:kern w:val="0"/>
                <w:lang w:val="en-US"/>
                <w14:ligatures w14:val="none"/>
              </w:rPr>
              <w:drawing>
                <wp:inline distT="0" distB="0" distL="0" distR="0">
                  <wp:extent cx="1707515" cy="1840865"/>
                  <wp:effectExtent l="76200" t="76200" r="140335" b="140335"/>
                  <wp:docPr id="285099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99283" name="Picture 1"/>
                          <pic:cNvPicPr>
                            <a:picLocks noChangeAspect="1" noChangeArrowheads="1"/>
                          </pic:cNvPicPr>
                        </pic:nvPicPr>
                        <pic:blipFill>
                          <a:blip r:embed="rId27"/>
                          <a:srcRect l="15" r="15"/>
                          <a:stretch>
                            <a:fillRect/>
                          </a:stretch>
                        </pic:blipFill>
                        <pic:spPr>
                          <a:xfrm>
                            <a:off x="0" y="0"/>
                            <a:ext cx="1707868" cy="184147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tc>
      </w:tr>
      <w:tr w14:paraId="24FC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16" w:type="dxa"/>
            <w:gridSpan w:val="3"/>
          </w:tcPr>
          <w:p w14:paraId="448BFB27">
            <w:pPr>
              <w:pStyle w:val="12"/>
              <w:spacing w:after="0" w:line="240" w:lineRule="auto"/>
              <w:rPr>
                <w:rFonts w:ascii="Arial" w:hAnsi="Arial" w:eastAsia="Times New Roman" w:cs="Arial"/>
                <w:kern w:val="0"/>
                <w:sz w:val="20"/>
                <w:szCs w:val="20"/>
                <w:lang w:eastAsia="en-IN"/>
                <w14:ligatures w14:val="none"/>
              </w:rPr>
            </w:pPr>
            <w:r>
              <w:rPr>
                <w:rFonts w:ascii="Arial" w:hAnsi="Arial" w:eastAsia="Times New Roman" w:cs="Arial"/>
                <w:b/>
                <w:bCs/>
                <w:kern w:val="0"/>
                <w:sz w:val="20"/>
                <w:szCs w:val="20"/>
                <w:lang w:eastAsia="en-IN"/>
                <w14:ligatures w14:val="none"/>
              </w:rPr>
              <w:t>Figure 3</w:t>
            </w:r>
            <w:r>
              <w:rPr>
                <w:rFonts w:ascii="Arial" w:hAnsi="Arial" w:eastAsia="Times New Roman" w:cs="Arial"/>
                <w:kern w:val="0"/>
                <w:sz w:val="20"/>
                <w:szCs w:val="20"/>
                <w:lang w:eastAsia="en-IN"/>
                <w14:ligatures w14:val="none"/>
              </w:rPr>
              <w:t xml:space="preserve">: Clinical signs exhibited by FOD affected goats A) Bilateral maxillary &amp; Mandibular swelling B) Bilateral maxillary swelling C) Protrusion of tongue D) Deviation of fore limb </w:t>
            </w:r>
          </w:p>
          <w:p w14:paraId="492ED70B">
            <w:pPr>
              <w:pStyle w:val="12"/>
              <w:spacing w:after="0" w:line="240" w:lineRule="auto"/>
              <w:rPr>
                <w:rFonts w:ascii="Arial" w:hAnsi="Arial" w:eastAsia="Times New Roman" w:cs="Arial"/>
                <w:kern w:val="0"/>
                <w:sz w:val="20"/>
                <w:szCs w:val="20"/>
                <w:lang w:eastAsia="en-IN"/>
                <w14:ligatures w14:val="none"/>
              </w:rPr>
            </w:pPr>
            <w:r>
              <w:rPr>
                <w:rFonts w:ascii="Arial" w:hAnsi="Arial" w:eastAsia="Times New Roman" w:cs="Arial"/>
                <w:kern w:val="0"/>
                <w:sz w:val="20"/>
                <w:szCs w:val="20"/>
                <w:lang w:eastAsia="en-IN"/>
                <w14:ligatures w14:val="none"/>
              </w:rPr>
              <w:t xml:space="preserve">                                        E) Exopthalmos </w:t>
            </w:r>
          </w:p>
        </w:tc>
      </w:tr>
    </w:tbl>
    <w:p w14:paraId="128BF6D6">
      <w:pPr>
        <w:ind w:firstLine="720"/>
        <w:jc w:val="both"/>
        <w:rPr>
          <w:rFonts w:ascii="Arial" w:hAnsi="Arial" w:cs="Arial"/>
          <w:sz w:val="20"/>
          <w:szCs w:val="20"/>
          <w:lang w:val="en-US"/>
        </w:rPr>
      </w:pPr>
    </w:p>
    <w:p w14:paraId="0AAE71E6">
      <w:pPr>
        <w:ind w:firstLine="720"/>
        <w:jc w:val="both"/>
        <w:rPr>
          <w:rFonts w:ascii="Arial" w:hAnsi="Arial" w:cs="Arial"/>
          <w:sz w:val="20"/>
          <w:szCs w:val="20"/>
          <w:lang w:val="en-US"/>
        </w:rPr>
      </w:pPr>
    </w:p>
    <w:p w14:paraId="4711D645">
      <w:pPr>
        <w:rPr>
          <w:rFonts w:ascii="Arial" w:hAnsi="Arial" w:cs="Arial"/>
          <w:sz w:val="20"/>
          <w:szCs w:val="20"/>
          <w:lang w:val="en-US"/>
        </w:rPr>
      </w:pPr>
    </w:p>
    <w:p w14:paraId="3418467E">
      <w:pPr>
        <w:jc w:val="both"/>
        <w:rPr>
          <w:rFonts w:ascii="Arial" w:hAnsi="Arial" w:cs="Arial"/>
          <w:sz w:val="20"/>
          <w:szCs w:val="20"/>
          <w:lang w:val="en-US"/>
        </w:rPr>
      </w:pPr>
      <w:r>
        <w:rPr>
          <w:rFonts w:ascii="Arial" w:hAnsi="Arial" w:cs="Arial"/>
          <w:sz w:val="20"/>
          <w:szCs w:val="20"/>
          <w:lang w:val="en-US"/>
        </w:rPr>
        <w:t xml:space="preserve">            </w:t>
      </w:r>
    </w:p>
    <w:p w14:paraId="371929FE">
      <w:pPr>
        <w:jc w:val="both"/>
        <w:rPr>
          <w:rFonts w:ascii="Arial" w:hAnsi="Arial" w:cs="Arial"/>
          <w:sz w:val="20"/>
          <w:szCs w:val="20"/>
          <w:lang w:val="en-US"/>
        </w:rPr>
      </w:pPr>
    </w:p>
    <w:p w14:paraId="7885F33D">
      <w:pPr>
        <w:jc w:val="both"/>
        <w:rPr>
          <w:rFonts w:ascii="Arial" w:hAnsi="Arial" w:cs="Arial"/>
          <w:sz w:val="20"/>
          <w:szCs w:val="20"/>
          <w:lang w:val="en-US"/>
        </w:rPr>
      </w:pPr>
      <w:r>
        <w:t xml:space="preserve">                                           </w:t>
      </w:r>
      <w:r>
        <w:rPr>
          <w:rFonts w:ascii="Arial" w:hAnsi="Arial" w:cs="Arial"/>
          <w:sz w:val="20"/>
          <w:szCs w:val="20"/>
          <w:lang w:val="en-US"/>
        </w:rPr>
        <w:drawing>
          <wp:inline distT="0" distB="0" distL="0" distR="0">
            <wp:extent cx="3343275" cy="2296795"/>
            <wp:effectExtent l="0" t="0" r="0" b="8255"/>
            <wp:docPr id="118515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53535" name="Picture 1"/>
                    <pic:cNvPicPr>
                      <a:picLocks noChangeAspect="1"/>
                    </pic:cNvPicPr>
                  </pic:nvPicPr>
                  <pic:blipFill>
                    <a:blip r:embed="rId28"/>
                    <a:stretch>
                      <a:fillRect/>
                    </a:stretch>
                  </pic:blipFill>
                  <pic:spPr>
                    <a:xfrm>
                      <a:off x="0" y="0"/>
                      <a:ext cx="3418635" cy="2348629"/>
                    </a:xfrm>
                    <a:prstGeom prst="rect">
                      <a:avLst/>
                    </a:prstGeom>
                  </pic:spPr>
                </pic:pic>
              </a:graphicData>
            </a:graphic>
          </wp:inline>
        </w:drawing>
      </w:r>
    </w:p>
    <w:p w14:paraId="3D69CC4D">
      <w:pPr>
        <w:jc w:val="both"/>
        <w:rPr>
          <w:rFonts w:ascii="Arial" w:hAnsi="Arial" w:cs="Arial"/>
          <w:b/>
          <w:bCs/>
          <w:sz w:val="20"/>
          <w:szCs w:val="20"/>
          <w:lang w:val="en-US"/>
        </w:rPr>
      </w:pPr>
      <w:r>
        <w:rPr>
          <w:rFonts w:ascii="Arial" w:hAnsi="Arial" w:cs="Arial"/>
          <w:b/>
          <w:bCs/>
          <w:sz w:val="20"/>
          <w:szCs w:val="20"/>
          <w:lang w:val="en-US"/>
        </w:rPr>
        <w:t xml:space="preserve">                                Figure:4 Breed wise incidence of FOD in goats(n=14) </w:t>
      </w:r>
    </w:p>
    <w:p w14:paraId="77A5B4B0">
      <w:pPr>
        <w:jc w:val="both"/>
        <w:rPr>
          <w:rFonts w:ascii="Arial" w:hAnsi="Arial" w:cs="Arial"/>
          <w:sz w:val="20"/>
          <w:szCs w:val="20"/>
          <w:lang w:val="en-US"/>
        </w:rPr>
      </w:pPr>
      <w:r>
        <w:rPr>
          <w:rFonts w:ascii="Arial" w:hAnsi="Arial" w:cs="Arial"/>
          <w:sz w:val="20"/>
          <w:szCs w:val="20"/>
          <w:lang w:val="en-US"/>
        </w:rPr>
        <w:t xml:space="preserve">                                                                                       </w:t>
      </w:r>
    </w:p>
    <w:p w14:paraId="23283C7B">
      <w:pPr>
        <w:pStyle w:val="12"/>
        <w:spacing w:after="0"/>
        <w:ind w:left="360" w:firstLine="360"/>
        <w:jc w:val="both"/>
        <w:rPr>
          <w:rFonts w:ascii="Arial" w:hAnsi="Arial" w:cs="Arial"/>
          <w:sz w:val="20"/>
          <w:szCs w:val="20"/>
        </w:rPr>
      </w:pPr>
      <w:r>
        <w:rPr>
          <w:rFonts w:ascii="Arial" w:hAnsi="Arial" w:cs="Arial"/>
          <w:sz w:val="20"/>
          <w:szCs w:val="20"/>
          <w:lang w:val="en-US"/>
        </w:rPr>
        <w:t>Serum biochemical examination of the affected goats revealed hypocalcemia (</w:t>
      </w:r>
      <w:r>
        <w:rPr>
          <w:rFonts w:ascii="Arial" w:hAnsi="Arial" w:eastAsia="Times New Roman" w:cs="Arial"/>
          <w:kern w:val="0"/>
          <w:sz w:val="20"/>
          <w:szCs w:val="20"/>
          <w:lang w:val="en-US"/>
          <w14:ligatures w14:val="none"/>
        </w:rPr>
        <w:t xml:space="preserve">5.87±0.29) </w:t>
      </w:r>
      <w:r>
        <w:rPr>
          <w:rFonts w:ascii="Arial" w:hAnsi="Arial" w:cs="Arial"/>
          <w:sz w:val="20"/>
          <w:szCs w:val="20"/>
          <w:lang w:val="en-US"/>
        </w:rPr>
        <w:t>and hyperphosphatemia (</w:t>
      </w:r>
      <w:r>
        <w:rPr>
          <w:rFonts w:ascii="Arial" w:hAnsi="Arial" w:eastAsia="Times New Roman" w:cs="Arial"/>
          <w:kern w:val="0"/>
          <w:sz w:val="20"/>
          <w:szCs w:val="20"/>
          <w:lang w:val="en-US"/>
          <w14:ligatures w14:val="none"/>
        </w:rPr>
        <w:t>9.34±0.18)</w:t>
      </w:r>
      <w:r>
        <w:rPr>
          <w:rFonts w:ascii="Arial" w:hAnsi="Arial" w:cs="Arial"/>
          <w:sz w:val="20"/>
          <w:szCs w:val="20"/>
          <w:lang w:val="en-US"/>
        </w:rPr>
        <w:t xml:space="preserve"> with significant elevation (P&lt; 0.05)</w:t>
      </w:r>
      <w:r>
        <w:rPr>
          <w:rFonts w:ascii="Arial" w:hAnsi="Arial" w:cs="Arial"/>
          <w:b/>
          <w:bCs/>
          <w:sz w:val="16"/>
          <w:szCs w:val="16"/>
          <w:lang w:val="en-US"/>
        </w:rPr>
        <w:t xml:space="preserve"> </w:t>
      </w:r>
      <w:r>
        <w:rPr>
          <w:rFonts w:ascii="Arial" w:hAnsi="Arial" w:cs="Arial"/>
          <w:sz w:val="20"/>
          <w:szCs w:val="20"/>
          <w:lang w:val="en-US"/>
        </w:rPr>
        <w:t>of ALP</w:t>
      </w:r>
      <w:r>
        <w:rPr>
          <w:rFonts w:ascii="Arial" w:hAnsi="Arial" w:eastAsia="Times New Roman" w:cs="Arial"/>
          <w:kern w:val="0"/>
          <w:sz w:val="20"/>
          <w:szCs w:val="20"/>
          <w:lang w:val="en-US"/>
          <w14:ligatures w14:val="none"/>
        </w:rPr>
        <w:t xml:space="preserve"> (593±18.74)</w:t>
      </w:r>
      <w:r>
        <w:rPr>
          <w:rFonts w:ascii="Arial" w:hAnsi="Arial" w:cs="Arial"/>
          <w:sz w:val="20"/>
          <w:szCs w:val="20"/>
          <w:lang w:val="en-US"/>
        </w:rPr>
        <w:t xml:space="preserve"> levels (Table1). Radiographic findings recorded were increased soft tissue opacity at maxillary and mandibular areas (50%)</w:t>
      </w:r>
      <w:r>
        <w:rPr>
          <w:rFonts w:ascii="Arial" w:hAnsi="Arial" w:cs="Arial"/>
          <w:sz w:val="20"/>
          <w:szCs w:val="20"/>
        </w:rPr>
        <w:t xml:space="preserve">, </w:t>
      </w:r>
      <w:r>
        <w:rPr>
          <w:rFonts w:ascii="Arial" w:hAnsi="Arial" w:cs="Arial"/>
          <w:sz w:val="20"/>
          <w:szCs w:val="20"/>
          <w:lang w:val="en-US"/>
        </w:rPr>
        <w:t>radiolucent decreased bone density at maxillary and mandibular regions (35.71%)</w:t>
      </w:r>
      <w:r>
        <w:rPr>
          <w:rFonts w:ascii="Arial" w:hAnsi="Arial" w:cs="Arial"/>
          <w:sz w:val="20"/>
          <w:szCs w:val="20"/>
        </w:rPr>
        <w:t xml:space="preserve"> and </w:t>
      </w:r>
      <w:r>
        <w:rPr>
          <w:rFonts w:ascii="Arial" w:hAnsi="Arial" w:cs="Arial"/>
          <w:sz w:val="20"/>
          <w:szCs w:val="20"/>
          <w:lang w:val="en-US"/>
        </w:rPr>
        <w:t>Irregular teeth (14.28%)</w:t>
      </w:r>
      <w:r>
        <w:rPr>
          <w:rFonts w:ascii="Arial" w:hAnsi="Arial" w:cs="Arial"/>
          <w:sz w:val="20"/>
          <w:szCs w:val="20"/>
        </w:rPr>
        <w:t xml:space="preserve"> </w:t>
      </w:r>
      <w:r>
        <w:rPr>
          <w:rFonts w:ascii="Arial" w:hAnsi="Arial" w:cs="Arial"/>
          <w:sz w:val="20"/>
          <w:szCs w:val="20"/>
          <w:lang w:val="en-US"/>
        </w:rPr>
        <w:t xml:space="preserve">(Figure-5). FNAC of affected bones revealed osteoclasts (57.14%), chondrocytes (35.71%) and occasional fibroblasts (28.57%) (Figure-6). </w:t>
      </w:r>
    </w:p>
    <w:p w14:paraId="740B9FE2">
      <w:pPr>
        <w:pStyle w:val="12"/>
        <w:ind w:firstLine="720"/>
        <w:jc w:val="both"/>
        <w:rPr>
          <w:b/>
          <w:bCs/>
          <w:sz w:val="20"/>
          <w:szCs w:val="20"/>
        </w:rPr>
      </w:pPr>
      <w:r>
        <w:rPr>
          <w:b/>
          <w:bCs/>
          <w:sz w:val="20"/>
          <w:szCs w:val="20"/>
        </w:rPr>
        <w:t xml:space="preserve">                 </w:t>
      </w:r>
    </w:p>
    <w:p w14:paraId="3923B26F">
      <w:pPr>
        <w:pStyle w:val="12"/>
        <w:ind w:firstLine="720"/>
        <w:jc w:val="both"/>
        <w:rPr>
          <w:rFonts w:ascii="Arial" w:hAnsi="Arial" w:cs="Arial"/>
          <w:sz w:val="20"/>
          <w:szCs w:val="20"/>
          <w:lang w:val="en-US"/>
        </w:rPr>
      </w:pPr>
      <w:r>
        <w:rPr>
          <w:b/>
          <w:bCs/>
          <w:sz w:val="20"/>
          <w:szCs w:val="20"/>
        </w:rPr>
        <w:t xml:space="preserve">               </w:t>
      </w:r>
      <w:r>
        <w:rPr>
          <w:rFonts w:ascii="Arial" w:hAnsi="Arial" w:cs="Arial"/>
          <w:b/>
          <w:bCs/>
          <w:sz w:val="20"/>
          <w:szCs w:val="20"/>
        </w:rPr>
        <w:t>Table: 1 Mean ±SE values of biochemical values in FOD affected goats</w:t>
      </w:r>
    </w:p>
    <w:tbl>
      <w:tblPr>
        <w:tblStyle w:val="14"/>
        <w:tblW w:w="0" w:type="auto"/>
        <w:tblInd w:w="1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1965"/>
      </w:tblGrid>
      <w:tr w14:paraId="22AB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14:paraId="2F6D8BB2">
            <w:pPr>
              <w:pStyle w:val="15"/>
              <w:ind w:left="0"/>
              <w:jc w:val="both"/>
              <w:rPr>
                <w:rFonts w:ascii="Arial" w:hAnsi="Arial" w:cs="Arial"/>
                <w:b/>
                <w:bCs/>
                <w:sz w:val="20"/>
                <w:szCs w:val="20"/>
              </w:rPr>
            </w:pPr>
            <w:r>
              <w:rPr>
                <w:rFonts w:ascii="Arial" w:hAnsi="Arial" w:cs="Arial"/>
                <w:b/>
                <w:bCs/>
                <w:sz w:val="20"/>
                <w:szCs w:val="20"/>
              </w:rPr>
              <w:t xml:space="preserve">   Parameter</w:t>
            </w:r>
          </w:p>
        </w:tc>
        <w:tc>
          <w:tcPr>
            <w:tcW w:w="2480" w:type="dxa"/>
          </w:tcPr>
          <w:p w14:paraId="189507D4">
            <w:pPr>
              <w:pStyle w:val="15"/>
              <w:ind w:left="0"/>
              <w:rPr>
                <w:rFonts w:ascii="Arial" w:hAnsi="Arial" w:cs="Arial"/>
                <w:b/>
                <w:bCs/>
                <w:sz w:val="20"/>
                <w:szCs w:val="20"/>
              </w:rPr>
            </w:pPr>
            <w:r>
              <w:rPr>
                <w:rFonts w:ascii="Arial" w:hAnsi="Arial" w:cs="Arial"/>
                <w:b/>
                <w:bCs/>
                <w:sz w:val="20"/>
                <w:szCs w:val="20"/>
              </w:rPr>
              <w:t>Healthy goats (n=6)</w:t>
            </w:r>
          </w:p>
        </w:tc>
        <w:tc>
          <w:tcPr>
            <w:tcW w:w="1965" w:type="dxa"/>
          </w:tcPr>
          <w:p w14:paraId="285A1387">
            <w:pPr>
              <w:pStyle w:val="15"/>
              <w:ind w:left="0"/>
              <w:jc w:val="center"/>
              <w:rPr>
                <w:rFonts w:ascii="Arial" w:hAnsi="Arial" w:cs="Arial"/>
                <w:b/>
                <w:bCs/>
                <w:sz w:val="20"/>
                <w:szCs w:val="20"/>
              </w:rPr>
            </w:pPr>
            <w:r>
              <w:rPr>
                <w:rFonts w:ascii="Arial" w:hAnsi="Arial" w:cs="Arial"/>
                <w:b/>
                <w:bCs/>
                <w:sz w:val="20"/>
                <w:szCs w:val="20"/>
              </w:rPr>
              <w:t>FOD affected goats (n=14)</w:t>
            </w:r>
          </w:p>
        </w:tc>
      </w:tr>
      <w:tr w14:paraId="366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38F3D568">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ALT (U/L)</w:t>
            </w:r>
          </w:p>
        </w:tc>
        <w:tc>
          <w:tcPr>
            <w:tcW w:w="2480" w:type="dxa"/>
          </w:tcPr>
          <w:p w14:paraId="7D4EC873">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15.19±7.04</w:t>
            </w:r>
            <w:r>
              <w:rPr>
                <w:rFonts w:ascii="Arial" w:hAnsi="Arial" w:cs="Arial"/>
                <w:color w:val="000000" w:themeColor="dark1"/>
                <w:position w:val="10"/>
                <w:sz w:val="20"/>
                <w:szCs w:val="20"/>
                <w:vertAlign w:val="superscript"/>
                <w14:textFill>
                  <w14:solidFill>
                    <w14:schemeClr w14:val="dk1"/>
                  </w14:solidFill>
                </w14:textFill>
              </w:rPr>
              <w:t>a</w:t>
            </w:r>
          </w:p>
        </w:tc>
        <w:tc>
          <w:tcPr>
            <w:tcW w:w="1965" w:type="dxa"/>
          </w:tcPr>
          <w:p w14:paraId="526CE387">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14.19±7.04</w:t>
            </w:r>
            <w:r>
              <w:rPr>
                <w:rFonts w:ascii="Arial" w:hAnsi="Arial" w:cs="Arial"/>
                <w:color w:val="000000" w:themeColor="dark1"/>
                <w:position w:val="10"/>
                <w:sz w:val="20"/>
                <w:szCs w:val="20"/>
                <w:vertAlign w:val="superscript"/>
                <w14:textFill>
                  <w14:solidFill>
                    <w14:schemeClr w14:val="dk1"/>
                  </w14:solidFill>
                </w14:textFill>
              </w:rPr>
              <w:t>a</w:t>
            </w:r>
          </w:p>
        </w:tc>
      </w:tr>
      <w:tr w14:paraId="276C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5B454079">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AST (U/L)</w:t>
            </w:r>
          </w:p>
        </w:tc>
        <w:tc>
          <w:tcPr>
            <w:tcW w:w="2480" w:type="dxa"/>
          </w:tcPr>
          <w:p w14:paraId="0AC7502E">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184.87±9.22</w:t>
            </w:r>
            <w:r>
              <w:rPr>
                <w:rFonts w:ascii="Arial" w:hAnsi="Arial" w:cs="Arial"/>
                <w:color w:val="000000" w:themeColor="dark1"/>
                <w:position w:val="10"/>
                <w:sz w:val="20"/>
                <w:szCs w:val="20"/>
                <w:vertAlign w:val="superscript"/>
                <w14:textFill>
                  <w14:solidFill>
                    <w14:schemeClr w14:val="dk1"/>
                  </w14:solidFill>
                </w14:textFill>
              </w:rPr>
              <w:t>a</w:t>
            </w:r>
          </w:p>
        </w:tc>
        <w:tc>
          <w:tcPr>
            <w:tcW w:w="1965" w:type="dxa"/>
          </w:tcPr>
          <w:p w14:paraId="1B5BAF9B">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185.20±9.61</w:t>
            </w:r>
            <w:r>
              <w:rPr>
                <w:rFonts w:ascii="Arial" w:hAnsi="Arial" w:cs="Arial"/>
                <w:color w:val="000000" w:themeColor="dark1"/>
                <w:position w:val="10"/>
                <w:sz w:val="20"/>
                <w:szCs w:val="20"/>
                <w:vertAlign w:val="superscript"/>
                <w14:textFill>
                  <w14:solidFill>
                    <w14:schemeClr w14:val="dk1"/>
                  </w14:solidFill>
                </w14:textFill>
              </w:rPr>
              <w:t>a</w:t>
            </w:r>
          </w:p>
        </w:tc>
      </w:tr>
      <w:tr w14:paraId="00E5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0D01FDBE">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ALP (U/L)</w:t>
            </w:r>
          </w:p>
        </w:tc>
        <w:tc>
          <w:tcPr>
            <w:tcW w:w="2480" w:type="dxa"/>
          </w:tcPr>
          <w:p w14:paraId="2070089D">
            <w:pPr>
              <w:pStyle w:val="15"/>
              <w:ind w:left="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195.12±12.5</w:t>
            </w:r>
            <w:r>
              <w:rPr>
                <w:rFonts w:ascii="Arial" w:hAnsi="Arial" w:cs="Arial"/>
                <w:b/>
                <w:bCs/>
                <w:color w:val="000000" w:themeColor="text1"/>
                <w:position w:val="10"/>
                <w:sz w:val="20"/>
                <w:szCs w:val="20"/>
                <w:vertAlign w:val="superscript"/>
                <w14:textFill>
                  <w14:solidFill>
                    <w14:schemeClr w14:val="tx1"/>
                  </w14:solidFill>
                </w14:textFill>
              </w:rPr>
              <w:t>a</w:t>
            </w:r>
          </w:p>
        </w:tc>
        <w:tc>
          <w:tcPr>
            <w:tcW w:w="1965" w:type="dxa"/>
          </w:tcPr>
          <w:p w14:paraId="0507376B">
            <w:pPr>
              <w:pStyle w:val="15"/>
              <w:ind w:left="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593.78±18.74</w:t>
            </w:r>
            <w:r>
              <w:rPr>
                <w:rFonts w:ascii="Arial" w:hAnsi="Arial" w:cs="Arial"/>
                <w:b/>
                <w:bCs/>
                <w:color w:val="000000" w:themeColor="text1"/>
                <w:position w:val="10"/>
                <w:sz w:val="20"/>
                <w:szCs w:val="20"/>
                <w:vertAlign w:val="superscript"/>
                <w14:textFill>
                  <w14:solidFill>
                    <w14:schemeClr w14:val="tx1"/>
                  </w14:solidFill>
                </w14:textFill>
              </w:rPr>
              <w:t>b</w:t>
            </w:r>
          </w:p>
        </w:tc>
      </w:tr>
      <w:tr w14:paraId="6385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0A63C43A">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Total bilirubin (mg/dl)</w:t>
            </w:r>
          </w:p>
        </w:tc>
        <w:tc>
          <w:tcPr>
            <w:tcW w:w="2480" w:type="dxa"/>
          </w:tcPr>
          <w:p w14:paraId="306BA8BC">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0.07±0.01</w:t>
            </w:r>
            <w:r>
              <w:rPr>
                <w:rFonts w:ascii="Arial" w:hAnsi="Arial" w:cs="Arial"/>
                <w:color w:val="000000" w:themeColor="dark1"/>
                <w:position w:val="10"/>
                <w:sz w:val="20"/>
                <w:szCs w:val="20"/>
                <w:vertAlign w:val="superscript"/>
                <w14:textFill>
                  <w14:solidFill>
                    <w14:schemeClr w14:val="dk1"/>
                  </w14:solidFill>
                </w14:textFill>
              </w:rPr>
              <w:t>a</w:t>
            </w:r>
          </w:p>
        </w:tc>
        <w:tc>
          <w:tcPr>
            <w:tcW w:w="1965" w:type="dxa"/>
          </w:tcPr>
          <w:p w14:paraId="2D34F41A">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0.1±0.15</w:t>
            </w:r>
            <w:r>
              <w:rPr>
                <w:rFonts w:ascii="Arial" w:hAnsi="Arial" w:cs="Arial"/>
                <w:color w:val="000000" w:themeColor="dark1"/>
                <w:position w:val="10"/>
                <w:sz w:val="20"/>
                <w:szCs w:val="20"/>
                <w:vertAlign w:val="superscript"/>
                <w14:textFill>
                  <w14:solidFill>
                    <w14:schemeClr w14:val="dk1"/>
                  </w14:solidFill>
                </w14:textFill>
              </w:rPr>
              <w:t>a</w:t>
            </w:r>
          </w:p>
        </w:tc>
      </w:tr>
      <w:tr w14:paraId="2EB2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0A74C05A">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Total protein (g/dl)</w:t>
            </w:r>
          </w:p>
        </w:tc>
        <w:tc>
          <w:tcPr>
            <w:tcW w:w="2480" w:type="dxa"/>
          </w:tcPr>
          <w:p w14:paraId="3C03FBC9">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6.83±0.15</w:t>
            </w:r>
            <w:r>
              <w:rPr>
                <w:rFonts w:ascii="Arial" w:hAnsi="Arial" w:cs="Arial"/>
                <w:color w:val="000000" w:themeColor="dark1"/>
                <w:position w:val="10"/>
                <w:sz w:val="20"/>
                <w:szCs w:val="20"/>
                <w:vertAlign w:val="superscript"/>
                <w14:textFill>
                  <w14:solidFill>
                    <w14:schemeClr w14:val="dk1"/>
                  </w14:solidFill>
                </w14:textFill>
              </w:rPr>
              <w:t>a</w:t>
            </w:r>
          </w:p>
        </w:tc>
        <w:tc>
          <w:tcPr>
            <w:tcW w:w="1965" w:type="dxa"/>
          </w:tcPr>
          <w:p w14:paraId="7FDF259B">
            <w:pPr>
              <w:pStyle w:val="15"/>
              <w:ind w:left="0"/>
              <w:jc w:val="both"/>
              <w:rPr>
                <w:rFonts w:ascii="Arial" w:hAnsi="Arial" w:cs="Arial"/>
                <w:sz w:val="20"/>
                <w:szCs w:val="20"/>
              </w:rPr>
            </w:pPr>
            <w:r>
              <w:rPr>
                <w:rFonts w:ascii="Arial" w:hAnsi="Arial" w:cs="Arial"/>
                <w:color w:val="000000" w:themeColor="dark1"/>
                <w:sz w:val="20"/>
                <w:szCs w:val="20"/>
                <w14:textFill>
                  <w14:solidFill>
                    <w14:schemeClr w14:val="dk1"/>
                  </w14:solidFill>
                </w14:textFill>
              </w:rPr>
              <w:t>6.57±0.29</w:t>
            </w:r>
            <w:r>
              <w:rPr>
                <w:rFonts w:ascii="Arial" w:hAnsi="Arial" w:cs="Arial"/>
                <w:color w:val="000000" w:themeColor="dark1"/>
                <w:position w:val="10"/>
                <w:sz w:val="20"/>
                <w:szCs w:val="20"/>
                <w:vertAlign w:val="superscript"/>
                <w14:textFill>
                  <w14:solidFill>
                    <w14:schemeClr w14:val="dk1"/>
                  </w14:solidFill>
                </w14:textFill>
              </w:rPr>
              <w:t>a</w:t>
            </w:r>
          </w:p>
        </w:tc>
      </w:tr>
      <w:tr w14:paraId="0FEB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4C7FF624">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Creatinine (mg/dl)</w:t>
            </w:r>
          </w:p>
        </w:tc>
        <w:tc>
          <w:tcPr>
            <w:tcW w:w="2480" w:type="dxa"/>
          </w:tcPr>
          <w:p w14:paraId="641291D3">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1.01±0.01</w:t>
            </w:r>
            <w:r>
              <w:rPr>
                <w:rFonts w:ascii="Arial" w:hAnsi="Arial" w:cs="Arial"/>
                <w:color w:val="000000" w:themeColor="dark1"/>
                <w:position w:val="10"/>
                <w:sz w:val="20"/>
                <w:szCs w:val="20"/>
                <w:vertAlign w:val="superscript"/>
                <w14:textFill>
                  <w14:solidFill>
                    <w14:schemeClr w14:val="dk1"/>
                  </w14:solidFill>
                </w14:textFill>
              </w:rPr>
              <w:t>a</w:t>
            </w:r>
          </w:p>
        </w:tc>
        <w:tc>
          <w:tcPr>
            <w:tcW w:w="1965" w:type="dxa"/>
          </w:tcPr>
          <w:p w14:paraId="3771482F">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1.05±0.06</w:t>
            </w:r>
            <w:r>
              <w:rPr>
                <w:rFonts w:ascii="Arial" w:hAnsi="Arial" w:cs="Arial"/>
                <w:color w:val="000000" w:themeColor="dark1"/>
                <w:position w:val="10"/>
                <w:sz w:val="20"/>
                <w:szCs w:val="20"/>
                <w:vertAlign w:val="superscript"/>
                <w14:textFill>
                  <w14:solidFill>
                    <w14:schemeClr w14:val="dk1"/>
                  </w14:solidFill>
                </w14:textFill>
              </w:rPr>
              <w:t>a</w:t>
            </w:r>
          </w:p>
        </w:tc>
      </w:tr>
      <w:tr w14:paraId="0E3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4CA38C2F">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BUN (mg/dl)</w:t>
            </w:r>
          </w:p>
        </w:tc>
        <w:tc>
          <w:tcPr>
            <w:tcW w:w="2480" w:type="dxa"/>
          </w:tcPr>
          <w:p w14:paraId="3945D0E0">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14.87±2.22</w:t>
            </w:r>
            <w:r>
              <w:rPr>
                <w:rFonts w:ascii="Arial" w:hAnsi="Arial" w:cs="Arial"/>
                <w:color w:val="000000" w:themeColor="dark1"/>
                <w:position w:val="10"/>
                <w:sz w:val="20"/>
                <w:szCs w:val="20"/>
                <w:vertAlign w:val="superscript"/>
                <w14:textFill>
                  <w14:solidFill>
                    <w14:schemeClr w14:val="dk1"/>
                  </w14:solidFill>
                </w14:textFill>
              </w:rPr>
              <w:t>a</w:t>
            </w:r>
          </w:p>
        </w:tc>
        <w:tc>
          <w:tcPr>
            <w:tcW w:w="1965" w:type="dxa"/>
          </w:tcPr>
          <w:p w14:paraId="466AE722">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15.20±9.61</w:t>
            </w:r>
            <w:r>
              <w:rPr>
                <w:rFonts w:ascii="Arial" w:hAnsi="Arial" w:cs="Arial"/>
                <w:color w:val="000000" w:themeColor="dark1"/>
                <w:position w:val="10"/>
                <w:sz w:val="20"/>
                <w:szCs w:val="20"/>
                <w:vertAlign w:val="superscript"/>
                <w14:textFill>
                  <w14:solidFill>
                    <w14:schemeClr w14:val="dk1"/>
                  </w14:solidFill>
                </w14:textFill>
              </w:rPr>
              <w:t>a</w:t>
            </w:r>
          </w:p>
        </w:tc>
      </w:tr>
      <w:tr w14:paraId="71D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3603C1FF">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 xml:space="preserve">Calcium (mg/dl) </w:t>
            </w:r>
          </w:p>
        </w:tc>
        <w:tc>
          <w:tcPr>
            <w:tcW w:w="2480" w:type="dxa"/>
          </w:tcPr>
          <w:p w14:paraId="4936272E">
            <w:pPr>
              <w:pStyle w:val="15"/>
              <w:ind w:left="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9.33±0.15</w:t>
            </w:r>
            <w:r>
              <w:rPr>
                <w:rFonts w:ascii="Arial" w:hAnsi="Arial" w:cs="Arial"/>
                <w:b/>
                <w:bCs/>
                <w:color w:val="000000" w:themeColor="text1"/>
                <w:position w:val="10"/>
                <w:sz w:val="20"/>
                <w:szCs w:val="20"/>
                <w:vertAlign w:val="superscript"/>
                <w14:textFill>
                  <w14:solidFill>
                    <w14:schemeClr w14:val="tx1"/>
                  </w14:solidFill>
                </w14:textFill>
              </w:rPr>
              <w:t>a</w:t>
            </w:r>
          </w:p>
        </w:tc>
        <w:tc>
          <w:tcPr>
            <w:tcW w:w="1965" w:type="dxa"/>
          </w:tcPr>
          <w:p w14:paraId="3D89FDDB">
            <w:pPr>
              <w:pStyle w:val="15"/>
              <w:ind w:left="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5.87±0.29</w:t>
            </w:r>
            <w:r>
              <w:rPr>
                <w:rFonts w:ascii="Arial" w:hAnsi="Arial" w:cs="Arial"/>
                <w:b/>
                <w:bCs/>
                <w:color w:val="000000" w:themeColor="text1"/>
                <w:position w:val="10"/>
                <w:sz w:val="20"/>
                <w:szCs w:val="20"/>
                <w:vertAlign w:val="superscript"/>
                <w14:textFill>
                  <w14:solidFill>
                    <w14:schemeClr w14:val="tx1"/>
                  </w14:solidFill>
                </w14:textFill>
              </w:rPr>
              <w:t>b</w:t>
            </w:r>
          </w:p>
        </w:tc>
      </w:tr>
      <w:tr w14:paraId="61EE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14:paraId="105B1D39">
            <w:pPr>
              <w:pStyle w:val="15"/>
              <w:ind w:left="0"/>
              <w:jc w:val="both"/>
              <w:rPr>
                <w:rFonts w:ascii="Arial" w:hAnsi="Arial" w:cs="Arial"/>
                <w:color w:val="000000" w:themeColor="dark1"/>
                <w:sz w:val="20"/>
                <w:szCs w:val="20"/>
                <w14:textFill>
                  <w14:solidFill>
                    <w14:schemeClr w14:val="dk1"/>
                  </w14:solidFill>
                </w14:textFill>
              </w:rPr>
            </w:pPr>
            <w:r>
              <w:rPr>
                <w:rFonts w:ascii="Arial" w:hAnsi="Arial" w:cs="Arial"/>
                <w:color w:val="000000" w:themeColor="dark1"/>
                <w:sz w:val="20"/>
                <w:szCs w:val="20"/>
                <w14:textFill>
                  <w14:solidFill>
                    <w14:schemeClr w14:val="dk1"/>
                  </w14:solidFill>
                </w14:textFill>
              </w:rPr>
              <w:t xml:space="preserve">Phosphorous (mg/dl) </w:t>
            </w:r>
          </w:p>
        </w:tc>
        <w:tc>
          <w:tcPr>
            <w:tcW w:w="2480" w:type="dxa"/>
          </w:tcPr>
          <w:p w14:paraId="127CD92B">
            <w:pPr>
              <w:pStyle w:val="15"/>
              <w:ind w:left="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4.08±0.10</w:t>
            </w:r>
            <w:r>
              <w:rPr>
                <w:rFonts w:ascii="Arial" w:hAnsi="Arial" w:cs="Arial"/>
                <w:b/>
                <w:bCs/>
                <w:color w:val="000000" w:themeColor="text1"/>
                <w:position w:val="10"/>
                <w:sz w:val="20"/>
                <w:szCs w:val="20"/>
                <w:vertAlign w:val="superscript"/>
                <w14:textFill>
                  <w14:solidFill>
                    <w14:schemeClr w14:val="tx1"/>
                  </w14:solidFill>
                </w14:textFill>
              </w:rPr>
              <w:t>a</w:t>
            </w:r>
          </w:p>
        </w:tc>
        <w:tc>
          <w:tcPr>
            <w:tcW w:w="1965" w:type="dxa"/>
          </w:tcPr>
          <w:p w14:paraId="5AA408B5">
            <w:pPr>
              <w:pStyle w:val="15"/>
              <w:ind w:left="0"/>
              <w:jc w:val="both"/>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9.34±0.18</w:t>
            </w:r>
            <w:r>
              <w:rPr>
                <w:rFonts w:ascii="Arial" w:hAnsi="Arial" w:cs="Arial"/>
                <w:b/>
                <w:bCs/>
                <w:color w:val="000000" w:themeColor="text1"/>
                <w:position w:val="10"/>
                <w:sz w:val="20"/>
                <w:szCs w:val="20"/>
                <w:vertAlign w:val="superscript"/>
                <w14:textFill>
                  <w14:solidFill>
                    <w14:schemeClr w14:val="tx1"/>
                  </w14:solidFill>
                </w14:textFill>
              </w:rPr>
              <w:t>b</w:t>
            </w:r>
          </w:p>
        </w:tc>
      </w:tr>
    </w:tbl>
    <w:p w14:paraId="6A48883F">
      <w:pPr>
        <w:spacing w:after="0"/>
        <w:jc w:val="both"/>
        <w:rPr>
          <w:rFonts w:ascii="Arial" w:hAnsi="Arial" w:cs="Arial"/>
          <w:sz w:val="20"/>
          <w:szCs w:val="20"/>
        </w:rPr>
      </w:pPr>
      <w:r>
        <w:rPr>
          <w:rFonts w:ascii="Arial" w:hAnsi="Arial" w:cs="Arial"/>
          <w:sz w:val="20"/>
          <w:szCs w:val="20"/>
        </w:rPr>
        <w:t xml:space="preserve">                              </w:t>
      </w:r>
    </w:p>
    <w:p w14:paraId="29A0B125">
      <w:pPr>
        <w:spacing w:after="0"/>
        <w:jc w:val="both"/>
        <w:rPr>
          <w:rFonts w:ascii="Arial" w:hAnsi="Arial" w:cs="Arial"/>
          <w:b/>
          <w:bCs/>
          <w:sz w:val="16"/>
          <w:szCs w:val="16"/>
          <w:lang w:val="en-US"/>
        </w:rPr>
      </w:pPr>
      <w:r>
        <w:rPr>
          <w:rFonts w:ascii="Arial" w:hAnsi="Arial" w:cs="Arial"/>
          <w:sz w:val="20"/>
          <w:szCs w:val="20"/>
        </w:rPr>
        <w:t xml:space="preserve">                               </w:t>
      </w:r>
      <w:r>
        <w:rPr>
          <w:rFonts w:ascii="Arial" w:hAnsi="Arial" w:cs="Arial"/>
          <w:b/>
          <w:bCs/>
          <w:sz w:val="16"/>
          <w:szCs w:val="16"/>
          <w:lang w:val="en-US"/>
        </w:rPr>
        <w:t xml:space="preserve">Values bearing different superscripts in a row differ significantly (P&lt; 0.05)  </w:t>
      </w:r>
    </w:p>
    <w:p w14:paraId="055294BA">
      <w:pPr>
        <w:spacing w:after="0"/>
        <w:jc w:val="both"/>
        <w:rPr>
          <w:rFonts w:ascii="Arial" w:hAnsi="Arial" w:cs="Arial"/>
          <w:b/>
          <w:bCs/>
          <w:sz w:val="16"/>
          <w:szCs w:val="16"/>
        </w:rPr>
      </w:pPr>
      <w:r>
        <w:rPr>
          <w:rFonts w:ascii="Arial" w:hAnsi="Arial" w:cs="Arial"/>
          <w:b/>
          <w:bCs/>
          <w:sz w:val="16"/>
          <w:szCs w:val="16"/>
          <w:lang w:val="en-US"/>
        </w:rPr>
        <w:t xml:space="preserve">                                       Values bearing similar superscripts in a row did not differ significantly (P &gt;0.05)</w:t>
      </w:r>
    </w:p>
    <w:p w14:paraId="020E22B5">
      <w:pPr>
        <w:pStyle w:val="15"/>
        <w:ind w:left="1575"/>
        <w:jc w:val="both"/>
        <w:rPr>
          <w:rFonts w:ascii="Arial" w:hAnsi="Arial" w:cs="Arial"/>
          <w:sz w:val="20"/>
          <w:szCs w:val="20"/>
        </w:rPr>
      </w:pPr>
    </w:p>
    <w:p w14:paraId="7BE33BDF">
      <w:pPr>
        <w:pStyle w:val="15"/>
        <w:ind w:left="1575"/>
        <w:jc w:val="both"/>
        <w:rPr>
          <w:b/>
          <w:bCs/>
          <w:sz w:val="18"/>
          <w:szCs w:val="18"/>
        </w:rPr>
      </w:pPr>
    </w:p>
    <w:tbl>
      <w:tblPr>
        <w:tblStyle w:val="14"/>
        <w:tblpPr w:leftFromText="180" w:rightFromText="180" w:vertAnchor="text" w:horzAnchor="margin"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4"/>
        <w:gridCol w:w="2840"/>
        <w:gridCol w:w="3158"/>
      </w:tblGrid>
      <w:tr w14:paraId="6293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5" w:type="dxa"/>
          </w:tcPr>
          <w:p w14:paraId="523DADD8">
            <w:pPr>
              <w:pStyle w:val="12"/>
              <w:spacing w:after="0" w:line="240" w:lineRule="auto"/>
              <w:rPr>
                <w:rFonts w:eastAsia="Times New Roman"/>
                <w:kern w:val="0"/>
                <w:lang w:eastAsia="en-IN"/>
                <w14:ligatures w14:val="none"/>
              </w:rPr>
            </w:pPr>
            <w:r>
              <w:rPr>
                <w:color w:val="FF0000"/>
                <w:lang w:val="en-US"/>
              </w:rPr>
              <mc:AlternateContent>
                <mc:Choice Requires="wps">
                  <w:drawing>
                    <wp:anchor distT="0" distB="0" distL="114300" distR="114300" simplePos="0" relativeHeight="251673600" behindDoc="0" locked="0" layoutInCell="1" allowOverlap="1">
                      <wp:simplePos x="0" y="0"/>
                      <wp:positionH relativeFrom="column">
                        <wp:posOffset>1155700</wp:posOffset>
                      </wp:positionH>
                      <wp:positionV relativeFrom="paragraph">
                        <wp:posOffset>800100</wp:posOffset>
                      </wp:positionV>
                      <wp:extent cx="97155" cy="335915"/>
                      <wp:effectExtent l="19050" t="19050" r="36830" b="26670"/>
                      <wp:wrapNone/>
                      <wp:docPr id="2063419789" name="Arrow: Up 3"/>
                      <wp:cNvGraphicFramePr/>
                      <a:graphic xmlns:a="http://schemas.openxmlformats.org/drawingml/2006/main">
                        <a:graphicData uri="http://schemas.microsoft.com/office/word/2010/wordprocessingShape">
                          <wps:wsp>
                            <wps:cNvSpPr/>
                            <wps:spPr>
                              <a:xfrm>
                                <a:off x="0" y="0"/>
                                <a:ext cx="96956" cy="335792"/>
                              </a:xfrm>
                              <a:prstGeom prst="upArrow">
                                <a:avLst/>
                              </a:prstGeom>
                              <a:solidFill>
                                <a:srgbClr val="FF0000"/>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3" o:spid="_x0000_s1026" o:spt="68" type="#_x0000_t68" style="position:absolute;left:0pt;margin-left:91pt;margin-top:63pt;height:26.45pt;width:7.65pt;z-index:251673600;v-text-anchor:middle;mso-width-relative:page;mso-height-relative:page;" fillcolor="#FF0000" filled="t" stroked="t" coordsize="21600,21600" o:gfxdata="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5sjl+doAAAALAQAADwAAAAAAAAABACAA&#10;AAAiAAAAZHJzL2Rvd25yZXYueG1sUEsBAhQAFAAAAAgAh07iQK5yapB9AgAAIgUAAA4AAAAAAAAA&#10;AQAgAAAAKQEAAGRycy9lMm9Eb2MueG1sUEsFBgAAAAAGAAYAWQEAABgGAAAAAA==&#10;" adj="3118,5400">
                      <v:fill on="t" focussize="0,0"/>
                      <v:stroke weight="1pt" color="#000000 [3200]" miterlimit="8" joinstyle="miter"/>
                      <v:imagedata o:title=""/>
                      <o:lock v:ext="edit" aspectratio="f"/>
                    </v:shape>
                  </w:pict>
                </mc:Fallback>
              </mc:AlternateContent>
            </w:r>
            <w:r>
              <w:rPr>
                <w:lang w:val="en-US"/>
              </w:rPr>
              <w:drawing>
                <wp:inline distT="0" distB="0" distL="0" distR="0">
                  <wp:extent cx="1784985" cy="1266190"/>
                  <wp:effectExtent l="76200" t="76200" r="139065" b="124460"/>
                  <wp:docPr id="13483664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66461" name="Picture 13"/>
                          <pic:cNvPicPr>
                            <a:picLocks noChangeAspect="1"/>
                          </pic:cNvPicPr>
                        </pic:nvPicPr>
                        <pic:blipFill>
                          <a:blip r:embed="rId29"/>
                          <a:srcRect l="628" r="628"/>
                          <a:stretch>
                            <a:fillRect/>
                          </a:stretch>
                        </pic:blipFill>
                        <pic:spPr>
                          <a:xfrm>
                            <a:off x="0" y="0"/>
                            <a:ext cx="1825728" cy="1295437"/>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2771" w:type="dxa"/>
          </w:tcPr>
          <w:p w14:paraId="23432949">
            <w:pPr>
              <w:pStyle w:val="12"/>
              <w:spacing w:after="0" w:line="240" w:lineRule="auto"/>
              <w:rPr>
                <w:rFonts w:eastAsia="Times New Roman"/>
                <w:kern w:val="0"/>
                <w:lang w:eastAsia="en-IN"/>
                <w14:ligatures w14:val="none"/>
              </w:rPr>
            </w:pPr>
            <w:r>
              <w:rPr>
                <w:lang w:val="en-US"/>
              </w:rPr>
              <w:drawing>
                <wp:inline distT="0" distB="0" distL="0" distR="0">
                  <wp:extent cx="1532890" cy="1322070"/>
                  <wp:effectExtent l="76200" t="76200" r="124460" b="125730"/>
                  <wp:docPr id="20782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6784"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96315" cy="1376544"/>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3080" w:type="dxa"/>
          </w:tcPr>
          <w:p w14:paraId="5F0FEDDC">
            <w:pPr>
              <w:pStyle w:val="12"/>
              <w:keepNext/>
              <w:spacing w:after="0" w:line="240" w:lineRule="auto"/>
            </w:pPr>
            <w:r>
              <w:rPr>
                <w:lang w:val="en-US"/>
              </w:rPr>
              <mc:AlternateContent>
                <mc:Choice Requires="wps">
                  <w:drawing>
                    <wp:anchor distT="0" distB="0" distL="114300" distR="114300" simplePos="0" relativeHeight="251676672" behindDoc="0" locked="0" layoutInCell="1" allowOverlap="1">
                      <wp:simplePos x="0" y="0"/>
                      <wp:positionH relativeFrom="column">
                        <wp:posOffset>1602740</wp:posOffset>
                      </wp:positionH>
                      <wp:positionV relativeFrom="paragraph">
                        <wp:posOffset>166370</wp:posOffset>
                      </wp:positionV>
                      <wp:extent cx="69850" cy="89535"/>
                      <wp:effectExtent l="57150" t="57150" r="45085" b="44450"/>
                      <wp:wrapNone/>
                      <wp:docPr id="899049132" name="Ink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31">
                                <w14:nvContentPartPr>
                                  <w14:cNvPr id="899049132" name="Ink 10"/>
                                  <w14:cNvContentPartPr/>
                                </w14:nvContentPartPr>
                                <w14:xfrm>
                                  <a:off x="0" y="0"/>
                                  <a:ext cx="69840" cy="88900"/>
                                </w14:xfrm>
                              </w14:contentPart>
                            </mc:Choice>
                          </mc:AlternateContent>
                        </a:graphicData>
                      </a:graphic>
                    </wp:anchor>
                  </w:drawing>
                </mc:Choice>
                <mc:Fallback>
                  <w:pict>
                    <v:shape id="Ink 10" o:spid="_x0000_s1026" o:spt="75" style="position:absolute;left:0pt;margin-left:126.2pt;margin-top:13.1pt;height:7.05pt;width:5.5pt;z-index:251676672;mso-width-relative:page;mso-height-relative:page;" coordsize="21600,21600" o:gfxdata="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">
                      <v:imagedata r:id="rId32" o:title=""/>
                      <o:lock v:ext="edit"/>
                    </v:shape>
                  </w:pict>
                </mc:Fallback>
              </mc:AlternateContent>
            </w:r>
            <w:r>
              <w:rPr>
                <w:lang w:val="en-US"/>
              </w:rPr>
              <mc:AlternateContent>
                <mc:Choice Requires="wps">
                  <w:drawing>
                    <wp:anchor distT="0" distB="0" distL="114300" distR="114300" simplePos="0" relativeHeight="251675648" behindDoc="0" locked="0" layoutInCell="1" allowOverlap="1">
                      <wp:simplePos x="0" y="0"/>
                      <wp:positionH relativeFrom="column">
                        <wp:posOffset>614045</wp:posOffset>
                      </wp:positionH>
                      <wp:positionV relativeFrom="paragraph">
                        <wp:posOffset>977265</wp:posOffset>
                      </wp:positionV>
                      <wp:extent cx="107950" cy="211455"/>
                      <wp:effectExtent l="19050" t="19050" r="45085" b="17145"/>
                      <wp:wrapNone/>
                      <wp:docPr id="1235156" name="Arrow: Up 4"/>
                      <wp:cNvGraphicFramePr/>
                      <a:graphic xmlns:a="http://schemas.openxmlformats.org/drawingml/2006/main">
                        <a:graphicData uri="http://schemas.microsoft.com/office/word/2010/wordprocessingShape">
                          <wps:wsp>
                            <wps:cNvSpPr/>
                            <wps:spPr>
                              <a:xfrm flipH="1">
                                <a:off x="0" y="0"/>
                                <a:ext cx="107761" cy="211540"/>
                              </a:xfrm>
                              <a:prstGeom prst="up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4" o:spid="_x0000_s1026" o:spt="68" type="#_x0000_t68" style="position:absolute;left:0pt;flip:x;margin-left:48.35pt;margin-top:76.95pt;height:16.65pt;width:8.5pt;z-index:251675648;v-text-anchor:middle;mso-width-relative:page;mso-height-relative:page;" fillcolor="#EE0000" filled="t" stroked="t" coordsize="21600,21600" o:gfxdata="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10OPN1wAAAAoBAAAPAAAAAAAAAAEA&#10;IAAAACIAAABkcnMvZG93bnJldi54bWxQSwECFAAUAAAACACHTuJAwhdYB4ICAAAqBQAADgAAAAAA&#10;AAABACAAAAAmAQAAZHJzL2Uyb0RvYy54bWxQSwUGAAAAAAYABgBZAQAAGgYAAAAA&#10;" adj="5501,5400">
                      <v:fill on="t" focussize="0,0"/>
                      <v:stroke weight="1pt" color="#172C51 [3204]" miterlimit="8" joinstyle="miter"/>
                      <v:imagedata o:title=""/>
                      <o:lock v:ext="edit" aspectratio="f"/>
                    </v:shape>
                  </w:pict>
                </mc:Fallback>
              </mc:AlternateContent>
            </w:r>
            <w:r>
              <w:rPr>
                <w:lang w:val="en-US"/>
              </w:rPr>
              <w:drawing>
                <wp:inline distT="0" distB="0" distL="0" distR="0">
                  <wp:extent cx="1313815" cy="1720850"/>
                  <wp:effectExtent l="82233" t="70167" r="140017" b="140018"/>
                  <wp:docPr id="1004247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47779" name="Picture 5"/>
                          <pic:cNvPicPr>
                            <a:picLocks noChangeAspect="1"/>
                          </pic:cNvPicPr>
                        </pic:nvPicPr>
                        <pic:blipFill>
                          <a:blip r:embed="rId33" cstate="print">
                            <a:extLst>
                              <a:ext uri="{28A0092B-C50C-407E-A947-70E740481C1C}">
                                <a14:useLocalDpi xmlns:a14="http://schemas.microsoft.com/office/drawing/2010/main" val="0"/>
                              </a:ext>
                            </a:extLst>
                          </a:blip>
                          <a:srcRect l="19235" t="6478" r="31814" b="9079"/>
                          <a:stretch>
                            <a:fillRect/>
                          </a:stretch>
                        </pic:blipFill>
                        <pic:spPr>
                          <a:xfrm rot="5400000">
                            <a:off x="0" y="0"/>
                            <a:ext cx="1336144" cy="17495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771A3DDE">
            <w:pPr>
              <w:pStyle w:val="12"/>
              <w:spacing w:after="0" w:line="240" w:lineRule="auto"/>
            </w:pPr>
          </w:p>
        </w:tc>
      </w:tr>
      <w:tr w14:paraId="15AE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16" w:type="dxa"/>
            <w:gridSpan w:val="3"/>
          </w:tcPr>
          <w:p w14:paraId="69AEBF6B">
            <w:pPr>
              <w:pStyle w:val="12"/>
              <w:spacing w:after="0" w:line="240" w:lineRule="auto"/>
              <w:rPr>
                <w:rFonts w:ascii="Arial" w:hAnsi="Arial" w:eastAsia="Times New Roman" w:cs="Arial"/>
                <w:kern w:val="0"/>
                <w:sz w:val="20"/>
                <w:szCs w:val="20"/>
                <w:lang w:eastAsia="en-IN"/>
                <w14:ligatures w14:val="none"/>
              </w:rPr>
            </w:pPr>
            <w:r>
              <w:rPr>
                <w:rFonts w:ascii="Arial" w:hAnsi="Arial" w:eastAsia="Times New Roman" w:cs="Arial"/>
                <w:b/>
                <w:bCs/>
                <w:kern w:val="0"/>
                <w:sz w:val="20"/>
                <w:szCs w:val="20"/>
                <w:lang w:eastAsia="en-IN"/>
                <w14:ligatures w14:val="none"/>
              </w:rPr>
              <w:t>Figure -5</w:t>
            </w:r>
            <w:r>
              <w:rPr>
                <w:rFonts w:ascii="Arial" w:hAnsi="Arial" w:eastAsia="Times New Roman" w:cs="Arial"/>
                <w:kern w:val="0"/>
                <w:sz w:val="20"/>
                <w:szCs w:val="20"/>
                <w:lang w:eastAsia="en-IN"/>
                <w14:ligatures w14:val="none"/>
              </w:rPr>
              <w:t xml:space="preserve">: </w:t>
            </w:r>
          </w:p>
          <w:p w14:paraId="6FF25EBC">
            <w:pPr>
              <w:pStyle w:val="12"/>
              <w:spacing w:after="0" w:line="240" w:lineRule="auto"/>
              <w:rPr>
                <w:rFonts w:ascii="Arial" w:hAnsi="Arial" w:eastAsia="Times New Roman" w:cs="Arial"/>
                <w:kern w:val="0"/>
                <w:sz w:val="20"/>
                <w:szCs w:val="20"/>
                <w:lang w:eastAsia="en-IN"/>
                <w14:ligatures w14:val="none"/>
              </w:rPr>
            </w:pPr>
            <w:r>
              <w:rPr>
                <w:rFonts w:ascii="Arial" w:hAnsi="Arial" w:eastAsia="Times New Roman" w:cs="Arial"/>
                <w:kern w:val="0"/>
                <w:sz w:val="20"/>
                <w:szCs w:val="20"/>
                <w:lang w:eastAsia="en-IN"/>
                <w14:ligatures w14:val="none"/>
              </w:rPr>
              <w:t>A) Radiograph of skull, lateral view showing radiolucent &amp; decreased bone density at maxillary and mandibular regions.</w:t>
            </w:r>
          </w:p>
          <w:p w14:paraId="40293D98">
            <w:pPr>
              <w:pStyle w:val="12"/>
              <w:spacing w:after="0" w:line="240" w:lineRule="auto"/>
              <w:rPr>
                <w:rFonts w:ascii="Arial" w:hAnsi="Arial" w:eastAsia="Times New Roman" w:cs="Arial"/>
                <w:kern w:val="0"/>
                <w:sz w:val="20"/>
                <w:szCs w:val="20"/>
                <w:lang w:eastAsia="en-IN"/>
                <w14:ligatures w14:val="none"/>
              </w:rPr>
            </w:pPr>
            <w:r>
              <w:rPr>
                <w:rFonts w:ascii="Arial" w:hAnsi="Arial" w:eastAsia="Times New Roman" w:cs="Arial"/>
                <w:kern w:val="0"/>
                <w:sz w:val="20"/>
                <w:szCs w:val="20"/>
                <w:lang w:eastAsia="en-IN"/>
                <w14:ligatures w14:val="none"/>
              </w:rPr>
              <w:t xml:space="preserve">B) Radiograph of skull, ventro-dorsal view showing increased soft tissue opacity at maxillary and mandibular regions. </w:t>
            </w:r>
          </w:p>
          <w:p w14:paraId="4038449D">
            <w:pPr>
              <w:pStyle w:val="12"/>
              <w:spacing w:after="0" w:line="240" w:lineRule="auto"/>
              <w:rPr>
                <w:rFonts w:ascii="Arial" w:hAnsi="Arial" w:eastAsia="Times New Roman" w:cs="Arial"/>
                <w:b/>
                <w:bCs/>
                <w:kern w:val="0"/>
                <w:sz w:val="20"/>
                <w:szCs w:val="20"/>
                <w:lang w:eastAsia="en-IN"/>
                <w14:ligatures w14:val="none"/>
              </w:rPr>
            </w:pPr>
            <w:r>
              <w:rPr>
                <w:rFonts w:ascii="Arial" w:hAnsi="Arial" w:eastAsia="Times New Roman" w:cs="Arial"/>
                <w:kern w:val="0"/>
                <w:sz w:val="20"/>
                <w:szCs w:val="20"/>
                <w:lang w:eastAsia="en-IN"/>
                <w14:ligatures w14:val="none"/>
              </w:rPr>
              <w:t>C)  Radiograph of skull lateral view showing irregular teeth and increased bone density at maxillary and mandibular regions.</w:t>
            </w:r>
          </w:p>
        </w:tc>
      </w:tr>
    </w:tbl>
    <w:p w14:paraId="6C75DA2B">
      <w:pPr>
        <w:jc w:val="both"/>
        <w:rPr>
          <w:rFonts w:ascii="Times New Roman" w:hAnsi="Times New Roman" w:cs="Times New Roman"/>
          <w:b/>
          <w:bCs/>
          <w:sz w:val="18"/>
          <w:szCs w:val="18"/>
        </w:rPr>
      </w:pPr>
    </w:p>
    <w:p w14:paraId="191F4378">
      <w:pPr>
        <w:jc w:val="both"/>
        <w:rPr>
          <w:rFonts w:ascii="Times New Roman" w:hAnsi="Times New Roman" w:cs="Times New Roman"/>
          <w:b/>
          <w:bCs/>
          <w:sz w:val="18"/>
          <w:szCs w:val="18"/>
        </w:rPr>
      </w:pPr>
    </w:p>
    <w:p w14:paraId="4AE26297">
      <w:pPr>
        <w:jc w:val="both"/>
        <w:rPr>
          <w:rFonts w:ascii="Times New Roman" w:hAnsi="Times New Roman" w:cs="Times New Roman"/>
          <w:b/>
          <w:bCs/>
          <w:sz w:val="18"/>
          <w:szCs w:val="18"/>
        </w:rPr>
      </w:pPr>
    </w:p>
    <w:tbl>
      <w:tblPr>
        <w:tblStyle w:val="14"/>
        <w:tblpPr w:leftFromText="180" w:rightFromText="180" w:vertAnchor="text" w:horzAnchor="margin" w:tblpY="6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3366"/>
        <w:gridCol w:w="3126"/>
      </w:tblGrid>
      <w:tr w14:paraId="5F9D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tcPr>
          <w:p w14:paraId="7A2822D3">
            <w:pPr>
              <w:spacing w:after="0" w:line="240" w:lineRule="auto"/>
              <w:rPr>
                <w:rFonts w:ascii="Times New Roman" w:hAnsi="Times New Roman" w:cs="Times New Roman"/>
                <w:color w:val="FF0000"/>
                <w:sz w:val="20"/>
                <w:szCs w:val="20"/>
                <w:lang w:val="en-US"/>
              </w:rPr>
            </w:pPr>
          </w:p>
          <w:p w14:paraId="70CCFFAC">
            <w:pPr>
              <w:spacing w:after="0" w:line="240" w:lineRule="auto"/>
              <w:rPr>
                <w:rFonts w:ascii="Times New Roman" w:hAnsi="Times New Roman" w:cs="Times New Roman"/>
                <w:sz w:val="20"/>
                <w:szCs w:val="20"/>
                <w:lang w:val="en-US"/>
              </w:rPr>
            </w:pPr>
            <w:r>
              <w:rPr>
                <w:lang w:val="en-US"/>
              </w:rPr>
              <mc:AlternateContent>
                <mc:Choice Requires="wps">
                  <w:drawing>
                    <wp:anchor distT="0" distB="0" distL="114300" distR="114300" simplePos="0" relativeHeight="251662336" behindDoc="0" locked="0" layoutInCell="1" allowOverlap="1">
                      <wp:simplePos x="0" y="0"/>
                      <wp:positionH relativeFrom="column">
                        <wp:posOffset>403225</wp:posOffset>
                      </wp:positionH>
                      <wp:positionV relativeFrom="paragraph">
                        <wp:posOffset>890270</wp:posOffset>
                      </wp:positionV>
                      <wp:extent cx="245110" cy="46355"/>
                      <wp:effectExtent l="0" t="76200" r="3175" b="87630"/>
                      <wp:wrapNone/>
                      <wp:docPr id="920471609" name="Arrow: Right 2"/>
                      <wp:cNvGraphicFramePr/>
                      <a:graphic xmlns:a="http://schemas.openxmlformats.org/drawingml/2006/main">
                        <a:graphicData uri="http://schemas.microsoft.com/office/word/2010/wordprocessingShape">
                          <wps:wsp>
                            <wps:cNvSpPr/>
                            <wps:spPr>
                              <a:xfrm rot="19386617">
                                <a:off x="0" y="0"/>
                                <a:ext cx="244980" cy="46123"/>
                              </a:xfrm>
                              <a:prstGeom prs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 o:spid="_x0000_s1026" o:spt="13" type="#_x0000_t13" style="position:absolute;left:0pt;margin-left:31.75pt;margin-top:70.1pt;height:3.65pt;width:19.3pt;rotation:-2417604f;z-index:251662336;v-text-anchor:middle;mso-width-relative:page;mso-height-relative:page;" fillcolor="#000000" filled="t" stroked="t" coordsize="21600,21600" o:gfxdata="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s0P64tcAAAAKAQAADwAAAAAAAAABACAAAAAiAAAAZHJzL2Rvd25yZXYueG1sUEsBAhQA&#10;FAAAAAgAh07iQIpl/imeAgAAWAUAAA4AAAAAAAAAAQAgAAAAJgEAAGRycy9lMm9Eb2MueG1sUEsF&#10;BgAAAAAGAAYAWQEAADYGAAAAAA==&#10;" adj="19567,5400">
                      <v:fill on="t" focussize="0,0"/>
                      <v:stroke weight="1pt" color="#172C51" miterlimit="8" joinstyle="miter"/>
                      <v:imagedata o:title=""/>
                      <o:lock v:ext="edit" aspectratio="f"/>
                    </v:shape>
                  </w:pict>
                </mc:Fallback>
              </mc:AlternateContent>
            </w:r>
            <w:r>
              <w:rPr>
                <w:lang w:val="en-US"/>
              </w:rPr>
              <w:drawing>
                <wp:inline distT="0" distB="0" distL="0" distR="0">
                  <wp:extent cx="1655445" cy="1537970"/>
                  <wp:effectExtent l="76200" t="76200" r="124460" b="123825"/>
                  <wp:docPr id="4489587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8759" name="Picture 12"/>
                          <pic:cNvPicPr>
                            <a:picLocks noChangeAspect="1"/>
                          </pic:cNvPicPr>
                        </pic:nvPicPr>
                        <pic:blipFill>
                          <a:blip r:embed="rId34"/>
                          <a:srcRect t="418" b="418"/>
                          <a:stretch>
                            <a:fillRect/>
                          </a:stretch>
                        </pic:blipFill>
                        <pic:spPr>
                          <a:xfrm>
                            <a:off x="0" y="0"/>
                            <a:ext cx="1655551" cy="153844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03794F9E">
            <w:pPr>
              <w:spacing w:after="0" w:line="240" w:lineRule="auto"/>
              <w:rPr>
                <w:rFonts w:ascii="Times New Roman" w:hAnsi="Times New Roman" w:cs="Times New Roman"/>
                <w:sz w:val="20"/>
                <w:szCs w:val="20"/>
                <w:lang w:val="en-US"/>
              </w:rPr>
            </w:pPr>
          </w:p>
        </w:tc>
        <w:tc>
          <w:tcPr>
            <w:tcW w:w="3366" w:type="dxa"/>
          </w:tcPr>
          <w:p w14:paraId="5FF003B0">
            <w:pPr>
              <w:spacing w:after="0" w:line="240" w:lineRule="auto"/>
              <w:rPr>
                <w:rFonts w:ascii="Times New Roman" w:hAnsi="Times New Roman" w:cs="Times New Roman"/>
                <w:color w:val="FF0000"/>
                <w:sz w:val="20"/>
                <w:szCs w:val="20"/>
                <w:lang w:val="en-US"/>
              </w:rPr>
            </w:pPr>
          </w:p>
          <w:p w14:paraId="15CA65F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mc:AlternateContent>
                <mc:Choice Requires="wps">
                  <w:drawing>
                    <wp:anchor distT="0" distB="0" distL="114300" distR="114300" simplePos="0" relativeHeight="251663360" behindDoc="0" locked="0" layoutInCell="1" allowOverlap="1">
                      <wp:simplePos x="0" y="0"/>
                      <wp:positionH relativeFrom="column">
                        <wp:posOffset>764540</wp:posOffset>
                      </wp:positionH>
                      <wp:positionV relativeFrom="paragraph">
                        <wp:posOffset>628015</wp:posOffset>
                      </wp:positionV>
                      <wp:extent cx="283210" cy="65405"/>
                      <wp:effectExtent l="71120" t="5080" r="73660" b="16510"/>
                      <wp:wrapNone/>
                      <wp:docPr id="681950896" name="Arrow: Right 3"/>
                      <wp:cNvGraphicFramePr/>
                      <a:graphic xmlns:a="http://schemas.openxmlformats.org/drawingml/2006/main">
                        <a:graphicData uri="http://schemas.microsoft.com/office/word/2010/wordprocessingShape">
                          <wps:wsp>
                            <wps:cNvSpPr/>
                            <wps:spPr>
                              <a:xfrm rot="17946591">
                                <a:off x="0" y="0"/>
                                <a:ext cx="283416" cy="65329"/>
                              </a:xfrm>
                              <a:prstGeom prs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3" o:spid="_x0000_s1026" o:spt="13" type="#_x0000_t13" style="position:absolute;left:0pt;margin-left:60.2pt;margin-top:49.45pt;height:5.15pt;width:22.3pt;rotation:-3990497f;z-index:251663360;v-text-anchor:middle;mso-width-relative:page;mso-height-relative:page;" fillcolor="#000000" filled="t" stroked="t" coordsize="21600,21600" o:gfxdata="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k/2Zx9kAAAAKAQAADwAAAAAAAAABACAAAAAiAAAAZHJzL2Rvd25yZXYueG1sUEsB&#10;AhQAFAAAAAgAh07iQEn7RBqfAgAAWAUAAA4AAAAAAAAAAQAgAAAAKAEAAGRycy9lMm9Eb2MueG1s&#10;UEsFBgAAAAAGAAYAWQEAADkGAAAAAA==&#10;" adj="19111,5400">
                      <v:fill on="t" focussize="0,0"/>
                      <v:stroke weight="1pt" color="#172C51" miterlimit="8" joinstyle="miter"/>
                      <v:imagedata o:title=""/>
                      <o:lock v:ext="edit" aspectratio="f"/>
                    </v:shape>
                  </w:pict>
                </mc:Fallback>
              </mc:AlternateContent>
            </w:r>
            <w:r>
              <w:rPr>
                <w:rFonts w:ascii="Times New Roman" w:hAnsi="Times New Roman" w:cs="Times New Roman"/>
                <w:sz w:val="20"/>
                <w:szCs w:val="20"/>
                <w:lang w:val="en-US"/>
              </w:rPr>
              <w:drawing>
                <wp:inline distT="0" distB="0" distL="0" distR="0">
                  <wp:extent cx="1798955" cy="1537970"/>
                  <wp:effectExtent l="76200" t="76200" r="125095" b="13843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5"/>
                          <a:srcRect l="255" r="255"/>
                          <a:stretch>
                            <a:fillRect/>
                          </a:stretch>
                        </pic:blipFill>
                        <pic:spPr>
                          <a:xfrm>
                            <a:off x="0" y="0"/>
                            <a:ext cx="1798955" cy="153797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tc>
        <w:tc>
          <w:tcPr>
            <w:tcW w:w="3126" w:type="dxa"/>
          </w:tcPr>
          <w:p w14:paraId="10B72F5E">
            <w:pPr>
              <w:spacing w:after="0" w:line="240" w:lineRule="auto"/>
              <w:rPr>
                <w:rFonts w:ascii="Times New Roman" w:hAnsi="Times New Roman" w:cs="Times New Roman"/>
                <w:color w:val="FF0000"/>
                <w:sz w:val="20"/>
                <w:szCs w:val="20"/>
                <w:lang w:val="en-US"/>
              </w:rPr>
            </w:pPr>
          </w:p>
          <w:p w14:paraId="5EA0F32D">
            <w:pPr>
              <w:spacing w:after="0" w:line="240" w:lineRule="auto"/>
              <w:rPr>
                <w:rFonts w:ascii="Times New Roman" w:hAnsi="Times New Roman" w:cs="Times New Roman"/>
                <w:sz w:val="20"/>
                <w:szCs w:val="20"/>
                <w:lang w:val="en-US"/>
              </w:rPr>
            </w:pPr>
            <w:r>
              <w:rPr>
                <w:lang w:val="en-US"/>
              </w:rPr>
              <w:drawing>
                <wp:inline distT="0" distB="0" distL="0" distR="0">
                  <wp:extent cx="1644015" cy="1537970"/>
                  <wp:effectExtent l="76200" t="76200" r="127635" b="1384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708548" cy="159834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1448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31" w:type="dxa"/>
            <w:gridSpan w:val="3"/>
          </w:tcPr>
          <w:p w14:paraId="492E6797">
            <w:pPr>
              <w:spacing w:before="100" w:beforeAutospacing="1" w:after="100" w:afterAutospacing="1" w:line="240" w:lineRule="auto"/>
              <w:ind w:left="3702" w:hanging="3702" w:hangingChars="1850"/>
              <w:rPr>
                <w:rFonts w:ascii="Arial" w:hAnsi="Arial" w:eastAsia="Times New Roman" w:cs="Arial"/>
                <w:sz w:val="20"/>
                <w:szCs w:val="20"/>
                <w:lang w:eastAsia="en-IN"/>
              </w:rPr>
            </w:pPr>
            <w:r>
              <w:rPr>
                <w:rFonts w:ascii="Arial" w:hAnsi="Arial" w:eastAsia="Times New Roman" w:cs="Arial"/>
                <w:b/>
                <w:bCs/>
                <w:kern w:val="0"/>
                <w:sz w:val="20"/>
                <w:szCs w:val="20"/>
                <w:lang w:eastAsia="en-IN"/>
                <w14:ligatures w14:val="none"/>
              </w:rPr>
              <w:t>Figure-6</w:t>
            </w:r>
            <w:r>
              <w:rPr>
                <w:rFonts w:ascii="Arial" w:hAnsi="Arial" w:eastAsia="Times New Roman" w:cs="Arial"/>
                <w:kern w:val="0"/>
                <w:sz w:val="20"/>
                <w:szCs w:val="20"/>
                <w:lang w:eastAsia="en-IN"/>
                <w14:ligatures w14:val="none"/>
              </w:rPr>
              <w:t xml:space="preserve">:  FNAC of FOD affected goats showing A) Multinucleated osteoclast B) </w:t>
            </w:r>
            <w:r>
              <w:rPr>
                <w:rFonts w:ascii="Arial" w:hAnsi="Arial" w:eastAsia="Times New Roman" w:cs="Arial"/>
                <w:sz w:val="20"/>
                <w:szCs w:val="20"/>
                <w:lang w:eastAsia="en-IN"/>
              </w:rPr>
              <w:t>Chondrocytes C</w:t>
            </w:r>
            <w:r>
              <w:rPr>
                <w:rFonts w:hint="default" w:ascii="Arial" w:hAnsi="Arial" w:eastAsia="Times New Roman" w:cs="Arial"/>
                <w:sz w:val="20"/>
                <w:szCs w:val="20"/>
                <w:lang w:val="en-US" w:eastAsia="en-IN"/>
              </w:rPr>
              <w:t xml:space="preserve">) </w:t>
            </w:r>
            <w:r>
              <w:rPr>
                <w:rFonts w:ascii="Arial" w:hAnsi="Arial" w:eastAsia="Times New Roman" w:cs="Arial"/>
                <w:sz w:val="20"/>
                <w:szCs w:val="20"/>
                <w:lang w:eastAsia="en-IN"/>
              </w:rPr>
              <w:t>Fibroblast; Field stain ,100x magnification</w:t>
            </w:r>
          </w:p>
        </w:tc>
      </w:tr>
    </w:tbl>
    <w:p w14:paraId="51ECD2B3">
      <w:pPr>
        <w:jc w:val="both"/>
        <w:rPr>
          <w:rFonts w:ascii="Times New Roman" w:hAnsi="Times New Roman" w:cs="Times New Roman"/>
          <w:b/>
          <w:bCs/>
          <w:sz w:val="20"/>
          <w:szCs w:val="20"/>
        </w:rPr>
      </w:pPr>
    </w:p>
    <w:p w14:paraId="7FBDEE6F">
      <w:pPr>
        <w:jc w:val="both"/>
        <w:rPr>
          <w:rFonts w:ascii="Times New Roman" w:hAnsi="Times New Roman" w:cs="Times New Roman"/>
          <w:b/>
          <w:bCs/>
          <w:sz w:val="20"/>
          <w:szCs w:val="20"/>
        </w:rPr>
      </w:pPr>
    </w:p>
    <w:p w14:paraId="078F95A6">
      <w:pPr>
        <w:ind w:firstLine="720"/>
        <w:jc w:val="both"/>
        <w:rPr>
          <w:rFonts w:ascii="Arial" w:hAnsi="Arial" w:cs="Arial"/>
          <w:sz w:val="20"/>
          <w:szCs w:val="20"/>
        </w:rPr>
      </w:pPr>
      <w:r>
        <w:rPr>
          <w:rFonts w:ascii="Arial" w:hAnsi="Arial" w:cs="Arial"/>
          <w:sz w:val="20"/>
          <w:szCs w:val="20"/>
        </w:rPr>
        <w:t xml:space="preserve">Feed analysis of dietary samples that was fed to the affected goats revealed average calcium (Ca) and phosphorus (P) contents of 1.17 and 3.39 %, respectively (Ca:P ratio,1:2.89) (table:2). After one month of therapy, therapeutic monitoring was done by evaluating biochemical parameters. Group II goats showed marked clinical improvement in facial morphology and there is significant </w:t>
      </w:r>
      <w:r>
        <w:rPr>
          <w:rFonts w:ascii="Arial" w:hAnsi="Arial" w:cs="Arial"/>
          <w:sz w:val="20"/>
          <w:szCs w:val="20"/>
          <w:lang w:val="en-US"/>
        </w:rPr>
        <w:t>(P&lt; 0.05)</w:t>
      </w:r>
      <w:r>
        <w:rPr>
          <w:rFonts w:ascii="Arial" w:hAnsi="Arial" w:cs="Arial"/>
          <w:b/>
          <w:bCs/>
          <w:sz w:val="16"/>
          <w:szCs w:val="16"/>
          <w:lang w:val="en-US"/>
        </w:rPr>
        <w:t xml:space="preserve"> </w:t>
      </w:r>
      <w:r>
        <w:rPr>
          <w:rFonts w:ascii="Arial" w:hAnsi="Arial" w:cs="Arial"/>
          <w:sz w:val="20"/>
          <w:szCs w:val="20"/>
        </w:rPr>
        <w:t xml:space="preserve"> increase in serum calcium levels (10.87</w:t>
      </w:r>
      <w:r>
        <w:rPr>
          <w:rFonts w:ascii="Arial" w:hAnsi="Arial" w:cs="Arial"/>
          <w:color w:val="000000" w:themeColor="text1"/>
          <w:sz w:val="20"/>
          <w:szCs w:val="20"/>
          <w14:textFill>
            <w14:solidFill>
              <w14:schemeClr w14:val="tx1"/>
            </w14:solidFill>
          </w14:textFill>
        </w:rPr>
        <w:t>±0.28)</w:t>
      </w:r>
      <w:r>
        <w:rPr>
          <w:rFonts w:ascii="Arial" w:hAnsi="Arial" w:cs="Arial"/>
          <w:sz w:val="20"/>
          <w:szCs w:val="20"/>
        </w:rPr>
        <w:t xml:space="preserve">, significant decrease </w:t>
      </w:r>
      <w:r>
        <w:rPr>
          <w:rFonts w:ascii="Arial" w:hAnsi="Arial" w:cs="Arial"/>
          <w:sz w:val="20"/>
          <w:szCs w:val="20"/>
          <w:lang w:val="en-US"/>
        </w:rPr>
        <w:t>(P&lt; 0.0</w:t>
      </w:r>
      <w:r>
        <w:rPr>
          <w:rFonts w:hint="default" w:ascii="Arial" w:hAnsi="Arial" w:cs="Arial"/>
          <w:sz w:val="20"/>
          <w:szCs w:val="20"/>
          <w:lang w:val="en-IN"/>
        </w:rPr>
        <w:t>5</w:t>
      </w:r>
      <w:r>
        <w:rPr>
          <w:rFonts w:ascii="Arial" w:hAnsi="Arial" w:cs="Arial"/>
          <w:sz w:val="20"/>
          <w:szCs w:val="20"/>
          <w:lang w:val="en-US"/>
        </w:rPr>
        <w:t>)</w:t>
      </w:r>
      <w:r>
        <w:rPr>
          <w:rFonts w:ascii="Arial" w:hAnsi="Arial" w:cs="Arial"/>
          <w:b/>
          <w:bCs/>
          <w:sz w:val="16"/>
          <w:szCs w:val="16"/>
          <w:lang w:val="en-US"/>
        </w:rPr>
        <w:t xml:space="preserve"> </w:t>
      </w:r>
      <w:r>
        <w:rPr>
          <w:rFonts w:ascii="Arial" w:hAnsi="Arial" w:cs="Arial"/>
          <w:sz w:val="20"/>
          <w:szCs w:val="20"/>
        </w:rPr>
        <w:t xml:space="preserve">in phosphorous (4.36 </w:t>
      </w:r>
      <w:r>
        <w:rPr>
          <w:rFonts w:ascii="Arial" w:hAnsi="Arial" w:cs="Arial"/>
          <w:color w:val="000000" w:themeColor="text1"/>
          <w:sz w:val="20"/>
          <w:szCs w:val="20"/>
          <w14:textFill>
            <w14:solidFill>
              <w14:schemeClr w14:val="tx1"/>
            </w14:solidFill>
          </w14:textFill>
        </w:rPr>
        <w:t xml:space="preserve">±0.11) </w:t>
      </w:r>
      <w:r>
        <w:rPr>
          <w:rFonts w:ascii="Arial" w:hAnsi="Arial" w:cs="Arial"/>
          <w:sz w:val="20"/>
          <w:szCs w:val="20"/>
        </w:rPr>
        <w:t>and ALP levels (</w:t>
      </w:r>
      <w:r>
        <w:rPr>
          <w:rFonts w:ascii="Arial" w:hAnsi="Arial" w:cs="Arial"/>
          <w:color w:val="000000" w:themeColor="text1"/>
          <w:sz w:val="20"/>
          <w:szCs w:val="20"/>
          <w14:textFill>
            <w14:solidFill>
              <w14:schemeClr w14:val="tx1"/>
            </w14:solidFill>
          </w14:textFill>
        </w:rPr>
        <w:t>153.12±10.45)</w:t>
      </w:r>
      <w:r>
        <w:rPr>
          <w:rFonts w:ascii="Arial" w:hAnsi="Arial" w:cs="Arial"/>
          <w:sz w:val="20"/>
          <w:szCs w:val="20"/>
        </w:rPr>
        <w:t xml:space="preserve"> when compared to Group I goats (Table 3).</w:t>
      </w:r>
    </w:p>
    <w:p w14:paraId="27EA281F">
      <w:pPr>
        <w:jc w:val="both"/>
        <w:rPr>
          <w:rFonts w:ascii="Arial" w:hAnsi="Arial" w:cs="Arial"/>
          <w:sz w:val="18"/>
          <w:szCs w:val="18"/>
        </w:rPr>
      </w:pPr>
    </w:p>
    <w:p w14:paraId="3A9C2F3A">
      <w:pPr>
        <w:ind w:firstLine="1501" w:firstLineChars="750"/>
        <w:jc w:val="both"/>
        <w:rPr>
          <w:rFonts w:ascii="Arial" w:hAnsi="Arial" w:cs="Arial"/>
          <w:sz w:val="20"/>
          <w:szCs w:val="20"/>
        </w:rPr>
      </w:pPr>
      <w:r>
        <w:rPr>
          <w:rFonts w:ascii="Arial" w:hAnsi="Arial" w:cs="Arial"/>
          <w:b/>
          <w:bCs/>
          <w:sz w:val="20"/>
          <w:szCs w:val="20"/>
        </w:rPr>
        <w:t>Table:2 Dietary Ca &amp; P content in feed of affected goats</w:t>
      </w:r>
    </w:p>
    <w:tbl>
      <w:tblPr>
        <w:tblStyle w:val="3"/>
        <w:tblW w:w="818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237"/>
      </w:tblGrid>
      <w:tr w14:paraId="015DE4A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5" w:hRule="atLeast"/>
        </w:trPr>
        <w:tc>
          <w:tcPr>
            <w:tcW w:w="1951" w:type="dxa"/>
            <w:tcBorders>
              <w:bottom w:val="single" w:color="auto" w:sz="4" w:space="0"/>
            </w:tcBorders>
          </w:tcPr>
          <w:p w14:paraId="13D72F07">
            <w:pPr>
              <w:tabs>
                <w:tab w:val="right" w:pos="2149"/>
              </w:tabs>
              <w:spacing w:after="0" w:line="480" w:lineRule="auto"/>
              <w:rPr>
                <w:rFonts w:ascii="Arial" w:hAnsi="Arial" w:eastAsia="Times New Roman" w:cs="Arial"/>
                <w:b/>
                <w:bCs/>
                <w:kern w:val="0"/>
                <w:sz w:val="20"/>
                <w:szCs w:val="20"/>
                <w:lang w:val="en-US"/>
                <w14:ligatures w14:val="none"/>
              </w:rPr>
            </w:pPr>
            <w:r>
              <w:rPr>
                <w:rFonts w:ascii="Arial" w:hAnsi="Arial" w:eastAsia="Times New Roman" w:cs="Arial"/>
                <w:b/>
                <w:bCs/>
                <w:kern w:val="0"/>
                <w:sz w:val="20"/>
                <w:szCs w:val="20"/>
                <w:lang w:val="en-US"/>
                <w14:ligatures w14:val="none"/>
              </w:rPr>
              <w:t xml:space="preserve">Feed sample  </w:t>
            </w:r>
          </w:p>
        </w:tc>
        <w:tc>
          <w:tcPr>
            <w:tcW w:w="6237" w:type="dxa"/>
            <w:tcBorders>
              <w:bottom w:val="single" w:color="auto" w:sz="4" w:space="0"/>
            </w:tcBorders>
          </w:tcPr>
          <w:p w14:paraId="4133D1BF">
            <w:pPr>
              <w:spacing w:after="0" w:line="480" w:lineRule="auto"/>
              <w:rPr>
                <w:rFonts w:ascii="Arial" w:hAnsi="Arial" w:eastAsia="Times New Roman" w:cs="Arial"/>
                <w:b/>
                <w:bCs/>
                <w:kern w:val="0"/>
                <w:sz w:val="20"/>
                <w:szCs w:val="20"/>
                <w:lang w:val="en-US"/>
                <w14:ligatures w14:val="none"/>
              </w:rPr>
            </w:pPr>
            <w:r>
              <w:rPr>
                <w:rFonts w:ascii="Arial" w:hAnsi="Arial" w:eastAsia="Times New Roman" w:cs="Arial"/>
                <w:b/>
                <w:bCs/>
                <w:kern w:val="0"/>
                <w:sz w:val="20"/>
                <w:szCs w:val="20"/>
                <w:lang w:val="en-US"/>
                <w14:ligatures w14:val="none"/>
              </w:rPr>
              <w:t xml:space="preserve">         Calcium* (%)                                     Phosphorous* (%)</w:t>
            </w:r>
          </w:p>
          <w:p w14:paraId="7C025AAF">
            <w:pPr>
              <w:spacing w:after="0" w:line="480" w:lineRule="auto"/>
              <w:rPr>
                <w:rFonts w:ascii="Arial" w:hAnsi="Arial" w:eastAsia="Times New Roman" w:cs="Arial"/>
                <w:b/>
                <w:bCs/>
                <w:kern w:val="0"/>
                <w:sz w:val="20"/>
                <w:szCs w:val="20"/>
                <w:lang w:val="en-US"/>
                <w14:ligatures w14:val="none"/>
              </w:rPr>
            </w:pPr>
            <w:r>
              <w:rPr>
                <w:rFonts w:ascii="Arial" w:hAnsi="Arial" w:eastAsia="Times New Roman" w:cs="Arial"/>
                <w:b/>
                <w:bCs/>
                <w:kern w:val="0"/>
                <w:sz w:val="20"/>
                <w:szCs w:val="20"/>
                <w:lang w:val="en-US"/>
                <w14:ligatures w14:val="none"/>
              </w:rPr>
              <w:t>Test value          Ref. value                Test value         Ref. value</w:t>
            </w:r>
          </w:p>
        </w:tc>
      </w:tr>
      <w:tr w14:paraId="3D8287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73" w:hRule="atLeast"/>
        </w:trPr>
        <w:tc>
          <w:tcPr>
            <w:tcW w:w="1951" w:type="dxa"/>
            <w:tcBorders>
              <w:bottom w:val="nil"/>
            </w:tcBorders>
          </w:tcPr>
          <w:p w14:paraId="0A19EF41">
            <w:pPr>
              <w:spacing w:after="0" w:line="480" w:lineRule="auto"/>
              <w:jc w:val="both"/>
              <w:rPr>
                <w:rFonts w:ascii="Arial" w:hAnsi="Arial" w:eastAsia="Times New Roman" w:cs="Arial"/>
                <w:kern w:val="0"/>
                <w:sz w:val="20"/>
                <w:szCs w:val="20"/>
                <w:lang w:val="en-US"/>
                <w14:ligatures w14:val="none"/>
              </w:rPr>
            </w:pPr>
          </w:p>
          <w:p w14:paraId="1FFC4B83">
            <w:pPr>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Pea husk</w:t>
            </w:r>
          </w:p>
        </w:tc>
        <w:tc>
          <w:tcPr>
            <w:tcW w:w="6237" w:type="dxa"/>
            <w:tcBorders>
              <w:bottom w:val="nil"/>
            </w:tcBorders>
          </w:tcPr>
          <w:p w14:paraId="2CE996BA">
            <w:pPr>
              <w:tabs>
                <w:tab w:val="center" w:pos="2039"/>
              </w:tabs>
              <w:spacing w:after="0" w:line="480" w:lineRule="auto"/>
              <w:jc w:val="both"/>
              <w:rPr>
                <w:rFonts w:ascii="Arial" w:hAnsi="Arial" w:eastAsia="Times New Roman" w:cs="Arial"/>
                <w:kern w:val="0"/>
                <w:sz w:val="20"/>
                <w:szCs w:val="20"/>
                <w:lang w:val="en-US"/>
                <w14:ligatures w14:val="none"/>
              </w:rPr>
            </w:pPr>
          </w:p>
          <w:p w14:paraId="18482D42">
            <w:pPr>
              <w:tabs>
                <w:tab w:val="left" w:pos="1455"/>
              </w:tabs>
              <w:spacing w:after="0" w:line="480" w:lineRule="auto"/>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0.32</w:t>
            </w:r>
            <w:r>
              <w:rPr>
                <w:rFonts w:ascii="Arial" w:hAnsi="Arial" w:eastAsia="Times New Roman" w:cs="Arial"/>
                <w:kern w:val="0"/>
                <w:sz w:val="20"/>
                <w:szCs w:val="20"/>
                <w:lang w:val="en-US"/>
                <w14:ligatures w14:val="none"/>
              </w:rPr>
              <w:tab/>
            </w:r>
            <w:r>
              <w:rPr>
                <w:rFonts w:ascii="Arial" w:hAnsi="Arial" w:eastAsia="Times New Roman" w:cs="Arial"/>
                <w:kern w:val="0"/>
                <w:sz w:val="20"/>
                <w:szCs w:val="20"/>
                <w:lang w:val="en-US"/>
                <w14:ligatures w14:val="none"/>
              </w:rPr>
              <w:t xml:space="preserve">    0.49                              0.41                   0.27</w:t>
            </w:r>
          </w:p>
          <w:p w14:paraId="23FD0A58">
            <w:pPr>
              <w:tabs>
                <w:tab w:val="left" w:pos="1455"/>
              </w:tabs>
              <w:spacing w:after="0" w:line="480" w:lineRule="auto"/>
              <w:rPr>
                <w:rFonts w:ascii="Arial" w:hAnsi="Arial" w:eastAsia="Times New Roman" w:cs="Arial"/>
                <w:kern w:val="0"/>
                <w:sz w:val="20"/>
                <w:szCs w:val="20"/>
                <w:lang w:val="en-US"/>
                <w14:ligatures w14:val="none"/>
              </w:rPr>
            </w:pPr>
          </w:p>
        </w:tc>
      </w:tr>
      <w:tr w14:paraId="612763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Borders>
              <w:top w:val="nil"/>
              <w:bottom w:val="nil"/>
            </w:tcBorders>
          </w:tcPr>
          <w:p w14:paraId="5386E52D">
            <w:pPr>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Wheat bran</w:t>
            </w:r>
          </w:p>
        </w:tc>
        <w:tc>
          <w:tcPr>
            <w:tcW w:w="6237" w:type="dxa"/>
            <w:tcBorders>
              <w:top w:val="nil"/>
              <w:bottom w:val="nil"/>
            </w:tcBorders>
          </w:tcPr>
          <w:p w14:paraId="7912CBF5">
            <w:pPr>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0.10                        0.20                             1.29                   1.23</w:t>
            </w:r>
          </w:p>
        </w:tc>
      </w:tr>
      <w:tr w14:paraId="6C8129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Borders>
              <w:top w:val="nil"/>
              <w:bottom w:val="nil"/>
            </w:tcBorders>
          </w:tcPr>
          <w:p w14:paraId="3F1A4197">
            <w:pPr>
              <w:spacing w:after="0" w:line="480" w:lineRule="auto"/>
              <w:jc w:val="both"/>
              <w:rPr>
                <w:rFonts w:ascii="Arial" w:hAnsi="Arial" w:eastAsia="Times New Roman" w:cs="Arial"/>
                <w:kern w:val="0"/>
                <w:sz w:val="20"/>
                <w:szCs w:val="20"/>
                <w:lang w:val="en-US"/>
                <w14:ligatures w14:val="none"/>
              </w:rPr>
            </w:pPr>
          </w:p>
          <w:p w14:paraId="6D5320E9">
            <w:pPr>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Sorghum</w:t>
            </w:r>
          </w:p>
          <w:p w14:paraId="2922696E">
            <w:pPr>
              <w:spacing w:after="0" w:line="480" w:lineRule="auto"/>
              <w:jc w:val="both"/>
              <w:rPr>
                <w:rFonts w:ascii="Arial" w:hAnsi="Arial" w:eastAsia="Times New Roman" w:cs="Arial"/>
                <w:kern w:val="0"/>
                <w:sz w:val="20"/>
                <w:szCs w:val="20"/>
                <w:lang w:val="en-US"/>
                <w14:ligatures w14:val="none"/>
              </w:rPr>
            </w:pPr>
          </w:p>
        </w:tc>
        <w:tc>
          <w:tcPr>
            <w:tcW w:w="6237" w:type="dxa"/>
            <w:tcBorders>
              <w:top w:val="nil"/>
              <w:bottom w:val="nil"/>
            </w:tcBorders>
          </w:tcPr>
          <w:p w14:paraId="28337243">
            <w:pPr>
              <w:tabs>
                <w:tab w:val="center" w:pos="2039"/>
                <w:tab w:val="left" w:pos="2430"/>
              </w:tabs>
              <w:spacing w:after="0" w:line="480" w:lineRule="auto"/>
              <w:jc w:val="both"/>
              <w:rPr>
                <w:rFonts w:ascii="Arial" w:hAnsi="Arial" w:eastAsia="Times New Roman" w:cs="Arial"/>
                <w:kern w:val="0"/>
                <w:sz w:val="20"/>
                <w:szCs w:val="20"/>
                <w:lang w:val="en-US"/>
                <w14:ligatures w14:val="none"/>
              </w:rPr>
            </w:pPr>
          </w:p>
          <w:p w14:paraId="58B32AE3">
            <w:pPr>
              <w:spacing w:after="0" w:line="480" w:lineRule="auto"/>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0.42                        0.50                             0.11                    0.2</w:t>
            </w:r>
          </w:p>
        </w:tc>
      </w:tr>
      <w:tr w14:paraId="2A0525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Borders>
              <w:top w:val="nil"/>
              <w:bottom w:val="nil"/>
            </w:tcBorders>
          </w:tcPr>
          <w:p w14:paraId="1B17E1E0">
            <w:pPr>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Rice bran</w:t>
            </w:r>
          </w:p>
          <w:p w14:paraId="1D85844E">
            <w:pPr>
              <w:spacing w:after="0" w:line="480" w:lineRule="auto"/>
              <w:jc w:val="both"/>
              <w:rPr>
                <w:rFonts w:ascii="Arial" w:hAnsi="Arial" w:eastAsia="Times New Roman" w:cs="Arial"/>
                <w:kern w:val="0"/>
                <w:sz w:val="20"/>
                <w:szCs w:val="20"/>
                <w:lang w:val="en-US"/>
                <w14:ligatures w14:val="none"/>
              </w:rPr>
            </w:pPr>
          </w:p>
          <w:p w14:paraId="321A127D">
            <w:pPr>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 xml:space="preserve">Red gram chunni                                       </w:t>
            </w:r>
          </w:p>
        </w:tc>
        <w:tc>
          <w:tcPr>
            <w:tcW w:w="6237" w:type="dxa"/>
            <w:tcBorders>
              <w:top w:val="nil"/>
              <w:bottom w:val="nil"/>
            </w:tcBorders>
          </w:tcPr>
          <w:p w14:paraId="03AB4E34">
            <w:pPr>
              <w:tabs>
                <w:tab w:val="left" w:pos="1875"/>
              </w:tabs>
              <w:spacing w:after="0" w:line="480" w:lineRule="auto"/>
              <w:jc w:val="both"/>
              <w:rPr>
                <w:rFonts w:ascii="Arial" w:hAnsi="Arial" w:eastAsia="Times New Roman" w:cs="Arial"/>
                <w:kern w:val="0"/>
                <w:sz w:val="20"/>
                <w:szCs w:val="20"/>
                <w:lang w:val="en-US"/>
                <w14:ligatures w14:val="none"/>
              </w:rPr>
            </w:pPr>
            <w:r>
              <w:rPr>
                <w:rFonts w:ascii="Arial" w:hAnsi="Arial" w:eastAsia="Times New Roman" w:cs="Arial"/>
                <w:kern w:val="0"/>
                <w:sz w:val="20"/>
                <w:szCs w:val="20"/>
                <w:lang w:val="en-US"/>
                <w14:ligatures w14:val="none"/>
              </w:rPr>
              <w:t>0.13                         0.1                               1.28                   1.3</w:t>
            </w:r>
          </w:p>
          <w:p w14:paraId="09C9BB24">
            <w:pPr>
              <w:rPr>
                <w:rFonts w:ascii="Arial" w:hAnsi="Arial" w:eastAsia="Times New Roman" w:cs="Arial"/>
                <w:kern w:val="0"/>
                <w:sz w:val="20"/>
                <w:szCs w:val="20"/>
                <w:lang w:val="en-US"/>
                <w14:ligatures w14:val="none"/>
              </w:rPr>
            </w:pPr>
          </w:p>
          <w:p w14:paraId="2D442326">
            <w:pPr>
              <w:rPr>
                <w:rFonts w:ascii="Arial" w:hAnsi="Arial" w:eastAsia="Times New Roman" w:cs="Arial"/>
                <w:sz w:val="20"/>
                <w:szCs w:val="20"/>
                <w:lang w:val="en-US"/>
              </w:rPr>
            </w:pPr>
            <w:r>
              <w:rPr>
                <w:rFonts w:ascii="Arial" w:hAnsi="Arial" w:eastAsia="Times New Roman" w:cs="Arial"/>
                <w:sz w:val="20"/>
                <w:szCs w:val="20"/>
                <w:lang w:val="en-US"/>
              </w:rPr>
              <w:t>0.2                          0.5                                0.40                  0.3</w:t>
            </w:r>
          </w:p>
        </w:tc>
      </w:tr>
      <w:tr w14:paraId="5E3051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 w:hRule="atLeast"/>
        </w:trPr>
        <w:tc>
          <w:tcPr>
            <w:tcW w:w="1951" w:type="dxa"/>
            <w:tcBorders>
              <w:top w:val="nil"/>
              <w:bottom w:val="single" w:color="auto" w:sz="4" w:space="0"/>
            </w:tcBorders>
          </w:tcPr>
          <w:p w14:paraId="2270D871">
            <w:pPr>
              <w:spacing w:after="0" w:line="480" w:lineRule="auto"/>
              <w:jc w:val="both"/>
              <w:rPr>
                <w:rFonts w:ascii="Arial" w:hAnsi="Arial" w:eastAsia="Times New Roman" w:cs="Times New Roman"/>
                <w:kern w:val="0"/>
                <w:sz w:val="20"/>
                <w:szCs w:val="20"/>
                <w:lang w:val="en-US"/>
                <w14:ligatures w14:val="none"/>
              </w:rPr>
            </w:pPr>
          </w:p>
        </w:tc>
        <w:tc>
          <w:tcPr>
            <w:tcW w:w="6237" w:type="dxa"/>
            <w:tcBorders>
              <w:top w:val="nil"/>
              <w:bottom w:val="single" w:color="auto" w:sz="4" w:space="0"/>
            </w:tcBorders>
          </w:tcPr>
          <w:p w14:paraId="5E2C2264">
            <w:pPr>
              <w:spacing w:after="0" w:line="240" w:lineRule="auto"/>
              <w:jc w:val="both"/>
              <w:rPr>
                <w:rFonts w:ascii="Arial" w:hAnsi="Arial" w:eastAsia="Times New Roman" w:cs="Times New Roman"/>
                <w:kern w:val="0"/>
                <w:sz w:val="20"/>
                <w:szCs w:val="20"/>
                <w:lang w:val="en-US"/>
                <w14:ligatures w14:val="none"/>
              </w:rPr>
            </w:pPr>
          </w:p>
        </w:tc>
      </w:tr>
    </w:tbl>
    <w:p w14:paraId="06F87AA9">
      <w:pPr>
        <w:jc w:val="both"/>
        <w:rPr>
          <w:rFonts w:ascii="Arial" w:hAnsi="Arial" w:cs="Arial"/>
          <w:b/>
          <w:bCs/>
          <w:sz w:val="20"/>
          <w:szCs w:val="20"/>
        </w:rPr>
      </w:pPr>
      <w:r>
        <w:rPr>
          <w:rFonts w:ascii="Times New Roman" w:hAnsi="Times New Roman" w:cs="Times New Roman"/>
          <w:sz w:val="20"/>
          <w:szCs w:val="20"/>
        </w:rPr>
        <w:t xml:space="preserve">                                              *</w:t>
      </w:r>
      <w:r>
        <w:rPr>
          <w:rFonts w:ascii="Arial" w:hAnsi="Arial" w:cs="Arial"/>
          <w:b/>
          <w:bCs/>
          <w:sz w:val="20"/>
          <w:szCs w:val="20"/>
        </w:rPr>
        <w:t>Percentage on Dry Matter (DM) basis</w:t>
      </w:r>
    </w:p>
    <w:tbl>
      <w:tblPr>
        <w:tblStyle w:val="14"/>
        <w:tblpPr w:leftFromText="180" w:rightFromText="180" w:vertAnchor="page" w:horzAnchor="page" w:tblpX="2006" w:tblpY="1158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24"/>
        <w:gridCol w:w="1939"/>
        <w:gridCol w:w="2039"/>
      </w:tblGrid>
      <w:tr w14:paraId="54F785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2268" w:type="dxa"/>
            <w:vMerge w:val="restart"/>
            <w:tcBorders>
              <w:bottom w:val="nil"/>
              <w:right w:val="nil"/>
            </w:tcBorders>
          </w:tcPr>
          <w:p w14:paraId="3A77459C">
            <w:pPr>
              <w:spacing w:after="0" w:line="240" w:lineRule="auto"/>
              <w:jc w:val="both"/>
              <w:rPr>
                <w:rFonts w:ascii="Arial" w:hAnsi="Arial" w:cs="Arial"/>
                <w:b/>
                <w:bCs/>
              </w:rPr>
            </w:pPr>
            <w:r>
              <w:rPr>
                <w:rFonts w:ascii="Arial" w:hAnsi="Arial" w:cs="Arial"/>
                <w:b/>
                <w:bCs/>
                <w:sz w:val="20"/>
                <w:szCs w:val="20"/>
              </w:rPr>
              <w:t>Parameter</w:t>
            </w:r>
          </w:p>
        </w:tc>
        <w:tc>
          <w:tcPr>
            <w:tcW w:w="1924" w:type="dxa"/>
            <w:vMerge w:val="restart"/>
            <w:tcBorders>
              <w:left w:val="nil"/>
              <w:bottom w:val="nil"/>
              <w:right w:val="nil"/>
            </w:tcBorders>
          </w:tcPr>
          <w:p w14:paraId="0AF556E7">
            <w:pPr>
              <w:spacing w:after="0" w:line="240" w:lineRule="auto"/>
              <w:jc w:val="both"/>
              <w:rPr>
                <w:rFonts w:ascii="Arial" w:hAnsi="Arial" w:cs="Arial"/>
                <w:b/>
                <w:bCs/>
                <w:sz w:val="20"/>
                <w:szCs w:val="20"/>
              </w:rPr>
            </w:pPr>
            <w:r>
              <w:rPr>
                <w:rFonts w:ascii="Arial" w:hAnsi="Arial" w:cs="Arial"/>
                <w:b/>
                <w:bCs/>
                <w:sz w:val="20"/>
                <w:szCs w:val="20"/>
              </w:rPr>
              <w:t>Before Therapy</w:t>
            </w:r>
          </w:p>
        </w:tc>
        <w:tc>
          <w:tcPr>
            <w:tcW w:w="3978" w:type="dxa"/>
            <w:gridSpan w:val="2"/>
            <w:tcBorders>
              <w:left w:val="nil"/>
              <w:bottom w:val="nil"/>
            </w:tcBorders>
          </w:tcPr>
          <w:p w14:paraId="0FA56269">
            <w:pPr>
              <w:spacing w:after="0" w:line="240" w:lineRule="auto"/>
              <w:jc w:val="both"/>
              <w:rPr>
                <w:rFonts w:ascii="Arial" w:hAnsi="Arial" w:cs="Arial"/>
                <w:b/>
                <w:bCs/>
                <w:sz w:val="20"/>
                <w:szCs w:val="20"/>
              </w:rPr>
            </w:pPr>
            <w:r>
              <w:rPr>
                <w:rFonts w:ascii="Arial" w:hAnsi="Arial" w:cs="Arial"/>
                <w:b/>
                <w:bCs/>
                <w:sz w:val="20"/>
                <w:szCs w:val="20"/>
              </w:rPr>
              <w:t xml:space="preserve">              After Therapy  </w:t>
            </w:r>
          </w:p>
        </w:tc>
      </w:tr>
      <w:tr w14:paraId="09167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8" w:type="dxa"/>
            <w:vMerge w:val="continue"/>
            <w:tcBorders>
              <w:top w:val="nil"/>
              <w:bottom w:val="single" w:color="auto" w:sz="4" w:space="0"/>
              <w:right w:val="nil"/>
            </w:tcBorders>
          </w:tcPr>
          <w:p w14:paraId="2E10020F">
            <w:pPr>
              <w:spacing w:after="0" w:line="240" w:lineRule="auto"/>
              <w:jc w:val="both"/>
              <w:rPr>
                <w:rFonts w:ascii="Arial" w:hAnsi="Arial" w:cs="Arial"/>
                <w:b/>
                <w:bCs/>
                <w:sz w:val="20"/>
                <w:szCs w:val="20"/>
              </w:rPr>
            </w:pPr>
          </w:p>
        </w:tc>
        <w:tc>
          <w:tcPr>
            <w:tcW w:w="1924" w:type="dxa"/>
            <w:vMerge w:val="continue"/>
            <w:tcBorders>
              <w:top w:val="nil"/>
              <w:left w:val="nil"/>
              <w:bottom w:val="single" w:color="auto" w:sz="4" w:space="0"/>
              <w:right w:val="nil"/>
            </w:tcBorders>
          </w:tcPr>
          <w:p w14:paraId="58119C54">
            <w:pPr>
              <w:spacing w:after="0" w:line="240" w:lineRule="auto"/>
              <w:jc w:val="both"/>
              <w:rPr>
                <w:rFonts w:ascii="Arial" w:hAnsi="Arial" w:cs="Arial"/>
                <w:b/>
                <w:bCs/>
                <w:sz w:val="20"/>
                <w:szCs w:val="20"/>
              </w:rPr>
            </w:pPr>
          </w:p>
        </w:tc>
        <w:tc>
          <w:tcPr>
            <w:tcW w:w="1939" w:type="dxa"/>
            <w:tcBorders>
              <w:top w:val="nil"/>
              <w:left w:val="nil"/>
              <w:bottom w:val="single" w:color="auto" w:sz="4" w:space="0"/>
              <w:right w:val="nil"/>
            </w:tcBorders>
          </w:tcPr>
          <w:p w14:paraId="2728B08D">
            <w:pPr>
              <w:spacing w:after="0" w:line="240" w:lineRule="auto"/>
              <w:jc w:val="both"/>
              <w:rPr>
                <w:rFonts w:ascii="Arial" w:hAnsi="Arial" w:cs="Arial"/>
                <w:b/>
                <w:bCs/>
                <w:sz w:val="20"/>
                <w:szCs w:val="20"/>
              </w:rPr>
            </w:pPr>
            <w:r>
              <w:rPr>
                <w:rFonts w:ascii="Arial" w:hAnsi="Arial" w:cs="Arial"/>
                <w:b/>
                <w:bCs/>
                <w:sz w:val="20"/>
                <w:szCs w:val="20"/>
              </w:rPr>
              <w:t xml:space="preserve">  Group I </w:t>
            </w:r>
          </w:p>
          <w:p w14:paraId="10FC7A21">
            <w:pPr>
              <w:spacing w:after="0" w:line="240" w:lineRule="auto"/>
              <w:jc w:val="both"/>
              <w:rPr>
                <w:rFonts w:ascii="Arial" w:hAnsi="Arial" w:cs="Arial"/>
                <w:b/>
                <w:bCs/>
                <w:sz w:val="20"/>
                <w:szCs w:val="20"/>
              </w:rPr>
            </w:pPr>
            <w:r>
              <w:rPr>
                <w:rFonts w:ascii="Arial" w:hAnsi="Arial" w:cs="Arial"/>
                <w:b/>
                <w:bCs/>
                <w:sz w:val="20"/>
                <w:szCs w:val="20"/>
              </w:rPr>
              <w:t xml:space="preserve">   (n=7)</w:t>
            </w:r>
          </w:p>
        </w:tc>
        <w:tc>
          <w:tcPr>
            <w:tcW w:w="2039" w:type="dxa"/>
            <w:tcBorders>
              <w:top w:val="nil"/>
              <w:left w:val="nil"/>
              <w:bottom w:val="single" w:color="auto" w:sz="4" w:space="0"/>
            </w:tcBorders>
          </w:tcPr>
          <w:p w14:paraId="1435442E">
            <w:pPr>
              <w:spacing w:after="0" w:line="240" w:lineRule="auto"/>
              <w:jc w:val="both"/>
              <w:rPr>
                <w:rFonts w:ascii="Arial" w:hAnsi="Arial" w:cs="Arial"/>
                <w:b/>
                <w:bCs/>
                <w:sz w:val="20"/>
                <w:szCs w:val="20"/>
              </w:rPr>
            </w:pPr>
            <w:r>
              <w:rPr>
                <w:rFonts w:ascii="Arial" w:hAnsi="Arial" w:cs="Arial"/>
                <w:b/>
                <w:bCs/>
                <w:sz w:val="20"/>
                <w:szCs w:val="20"/>
              </w:rPr>
              <w:t xml:space="preserve">Group II             </w:t>
            </w:r>
          </w:p>
          <w:p w14:paraId="69684222">
            <w:pPr>
              <w:spacing w:after="0" w:line="240" w:lineRule="auto"/>
              <w:jc w:val="both"/>
              <w:rPr>
                <w:rFonts w:ascii="Arial" w:hAnsi="Arial" w:cs="Arial"/>
                <w:b/>
                <w:bCs/>
                <w:sz w:val="20"/>
                <w:szCs w:val="20"/>
              </w:rPr>
            </w:pPr>
            <w:r>
              <w:rPr>
                <w:rFonts w:ascii="Arial" w:hAnsi="Arial" w:cs="Arial"/>
                <w:b/>
                <w:bCs/>
                <w:sz w:val="20"/>
                <w:szCs w:val="20"/>
              </w:rPr>
              <w:t xml:space="preserve">    (n=7)</w:t>
            </w:r>
          </w:p>
          <w:p w14:paraId="65CFCDAC">
            <w:pPr>
              <w:spacing w:after="0" w:line="240" w:lineRule="auto"/>
              <w:jc w:val="both"/>
              <w:rPr>
                <w:rFonts w:ascii="Arial" w:hAnsi="Arial" w:cs="Arial"/>
                <w:b/>
                <w:bCs/>
                <w:sz w:val="20"/>
                <w:szCs w:val="20"/>
              </w:rPr>
            </w:pPr>
          </w:p>
        </w:tc>
      </w:tr>
      <w:tr w14:paraId="57995D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268" w:type="dxa"/>
            <w:tcBorders>
              <w:top w:val="single" w:color="auto" w:sz="4" w:space="0"/>
              <w:bottom w:val="nil"/>
              <w:right w:val="nil"/>
            </w:tcBorders>
          </w:tcPr>
          <w:p w14:paraId="4F81F3E4">
            <w:pPr>
              <w:spacing w:after="0" w:line="240" w:lineRule="auto"/>
              <w:jc w:val="both"/>
              <w:rPr>
                <w:rFonts w:ascii="Arial" w:hAnsi="Arial" w:cs="Arial"/>
                <w:b/>
                <w:bCs/>
                <w:sz w:val="20"/>
                <w:szCs w:val="20"/>
              </w:rPr>
            </w:pPr>
            <w:r>
              <w:rPr>
                <w:rFonts w:ascii="Arial" w:hAnsi="Arial" w:cs="Arial"/>
                <w:b/>
                <w:bCs/>
                <w:sz w:val="20"/>
                <w:szCs w:val="20"/>
              </w:rPr>
              <w:t>Calcium(mg/dl)</w:t>
            </w:r>
          </w:p>
        </w:tc>
        <w:tc>
          <w:tcPr>
            <w:tcW w:w="1924" w:type="dxa"/>
            <w:tcBorders>
              <w:top w:val="single" w:color="auto" w:sz="4" w:space="0"/>
              <w:left w:val="nil"/>
              <w:bottom w:val="nil"/>
              <w:right w:val="nil"/>
            </w:tcBorders>
          </w:tcPr>
          <w:p w14:paraId="6DB64122">
            <w:pPr>
              <w:spacing w:after="0" w:line="240" w:lineRule="auto"/>
              <w:jc w:val="both"/>
              <w:rPr>
                <w:rFonts w:ascii="Arial" w:hAnsi="Arial" w:cs="Arial"/>
                <w:sz w:val="20"/>
                <w:szCs w:val="20"/>
              </w:rPr>
            </w:pPr>
            <w:r>
              <w:rPr>
                <w:rFonts w:ascii="Arial" w:hAnsi="Arial" w:cs="Arial"/>
                <w:color w:val="000000" w:themeColor="text1"/>
                <w:sz w:val="20"/>
                <w:szCs w:val="20"/>
                <w14:textFill>
                  <w14:solidFill>
                    <w14:schemeClr w14:val="tx1"/>
                  </w14:solidFill>
                </w14:textFill>
              </w:rPr>
              <w:t>5.87±0.19</w:t>
            </w:r>
            <w:r>
              <w:rPr>
                <w:rFonts w:ascii="Arial" w:hAnsi="Arial" w:cs="Arial"/>
                <w:color w:val="000000" w:themeColor="text1"/>
                <w:position w:val="10"/>
                <w:sz w:val="20"/>
                <w:szCs w:val="20"/>
                <w:vertAlign w:val="superscript"/>
                <w14:textFill>
                  <w14:solidFill>
                    <w14:schemeClr w14:val="tx1"/>
                  </w14:solidFill>
                </w14:textFill>
              </w:rPr>
              <w:t>a</w:t>
            </w:r>
          </w:p>
        </w:tc>
        <w:tc>
          <w:tcPr>
            <w:tcW w:w="1939" w:type="dxa"/>
            <w:tcBorders>
              <w:top w:val="single" w:color="auto" w:sz="4" w:space="0"/>
              <w:left w:val="nil"/>
              <w:bottom w:val="nil"/>
              <w:right w:val="nil"/>
            </w:tcBorders>
          </w:tcPr>
          <w:p w14:paraId="66EB052D">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8.95±0.16</w:t>
            </w:r>
            <w:r>
              <w:rPr>
                <w:rFonts w:ascii="Arial" w:hAnsi="Arial" w:cs="Arial"/>
                <w:color w:val="000000" w:themeColor="text1"/>
                <w:position w:val="10"/>
                <w:sz w:val="20"/>
                <w:szCs w:val="20"/>
                <w:vertAlign w:val="superscript"/>
                <w14:textFill>
                  <w14:solidFill>
                    <w14:schemeClr w14:val="tx1"/>
                  </w14:solidFill>
                </w14:textFill>
              </w:rPr>
              <w:t>b</w:t>
            </w:r>
          </w:p>
        </w:tc>
        <w:tc>
          <w:tcPr>
            <w:tcW w:w="2039" w:type="dxa"/>
            <w:tcBorders>
              <w:top w:val="single" w:color="auto" w:sz="4" w:space="0"/>
              <w:left w:val="nil"/>
              <w:bottom w:val="nil"/>
            </w:tcBorders>
          </w:tcPr>
          <w:p w14:paraId="36303A7E">
            <w:pPr>
              <w:spacing w:after="0" w:line="240" w:lineRule="auto"/>
              <w:jc w:val="both"/>
              <w:rPr>
                <w:rFonts w:ascii="Arial" w:hAnsi="Arial" w:cs="Arial"/>
                <w:b w:val="0"/>
                <w:bCs w:val="0"/>
                <w:color w:val="000000" w:themeColor="text1"/>
                <w:sz w:val="20"/>
                <w:szCs w:val="20"/>
                <w14:textFill>
                  <w14:solidFill>
                    <w14:schemeClr w14:val="tx1"/>
                  </w14:solidFill>
                </w14:textFill>
              </w:rPr>
            </w:pPr>
            <w:r>
              <w:rPr>
                <w:rFonts w:ascii="Arial" w:hAnsi="Arial" w:cs="Arial"/>
                <w:b w:val="0"/>
                <w:bCs w:val="0"/>
                <w:color w:val="000000" w:themeColor="text1"/>
                <w:sz w:val="20"/>
                <w:szCs w:val="20"/>
                <w14:shadow w14:blurRad="38100" w14:dist="38100" w14:dir="2700000" w14:sx="100000" w14:sy="100000" w14:kx="0" w14:ky="0" w14:algn="tl">
                  <w14:srgbClr w14:val="000000">
                    <w14:alpha w14:val="57000"/>
                  </w14:srgbClr>
                </w14:shadow>
                <w14:textFill>
                  <w14:solidFill>
                    <w14:schemeClr w14:val="tx1"/>
                  </w14:solidFill>
                </w14:textFill>
              </w:rPr>
              <w:t>10.87±0.28</w:t>
            </w:r>
            <w:r>
              <w:rPr>
                <w:rFonts w:ascii="Arial" w:hAnsi="Arial" w:cs="Arial"/>
                <w:b w:val="0"/>
                <w:bCs w:val="0"/>
                <w:color w:val="000000" w:themeColor="text1"/>
                <w:position w:val="10"/>
                <w:sz w:val="20"/>
                <w:szCs w:val="20"/>
                <w:vertAlign w:val="superscript"/>
                <w14:shadow w14:blurRad="38100" w14:dist="38100" w14:dir="2700000" w14:sx="100000" w14:sy="100000" w14:kx="0" w14:ky="0" w14:algn="tl">
                  <w14:srgbClr w14:val="000000">
                    <w14:alpha w14:val="57000"/>
                  </w14:srgbClr>
                </w14:shadow>
                <w14:textFill>
                  <w14:solidFill>
                    <w14:schemeClr w14:val="tx1"/>
                  </w14:solidFill>
                </w14:textFill>
              </w:rPr>
              <w:t>c</w:t>
            </w:r>
          </w:p>
        </w:tc>
      </w:tr>
      <w:tr w14:paraId="392868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268" w:type="dxa"/>
            <w:tcBorders>
              <w:top w:val="nil"/>
              <w:bottom w:val="nil"/>
              <w:right w:val="nil"/>
            </w:tcBorders>
          </w:tcPr>
          <w:p w14:paraId="5DFC9AE7">
            <w:pPr>
              <w:spacing w:after="0" w:line="240" w:lineRule="auto"/>
              <w:jc w:val="both"/>
              <w:rPr>
                <w:rFonts w:ascii="Arial" w:hAnsi="Arial" w:cs="Arial"/>
                <w:b/>
                <w:bCs/>
                <w:sz w:val="20"/>
                <w:szCs w:val="20"/>
              </w:rPr>
            </w:pPr>
            <w:r>
              <w:rPr>
                <w:rFonts w:ascii="Arial" w:hAnsi="Arial" w:cs="Arial"/>
                <w:b/>
                <w:bCs/>
                <w:sz w:val="20"/>
                <w:szCs w:val="20"/>
              </w:rPr>
              <w:t xml:space="preserve">Phosphorous (mg/dl) </w:t>
            </w:r>
          </w:p>
        </w:tc>
        <w:tc>
          <w:tcPr>
            <w:tcW w:w="1924" w:type="dxa"/>
            <w:tcBorders>
              <w:top w:val="nil"/>
              <w:left w:val="nil"/>
              <w:bottom w:val="nil"/>
              <w:right w:val="nil"/>
            </w:tcBorders>
          </w:tcPr>
          <w:p w14:paraId="6E1280FE">
            <w:pPr>
              <w:spacing w:after="0" w:line="240" w:lineRule="auto"/>
              <w:jc w:val="both"/>
              <w:rPr>
                <w:rFonts w:ascii="Arial" w:hAnsi="Arial" w:cs="Arial"/>
                <w:sz w:val="20"/>
                <w:szCs w:val="20"/>
              </w:rPr>
            </w:pPr>
            <w:r>
              <w:rPr>
                <w:rFonts w:ascii="Arial" w:hAnsi="Arial" w:cs="Arial"/>
                <w:color w:val="000000" w:themeColor="text1"/>
                <w:sz w:val="20"/>
                <w:szCs w:val="20"/>
                <w14:textFill>
                  <w14:solidFill>
                    <w14:schemeClr w14:val="tx1"/>
                  </w14:solidFill>
                </w14:textFill>
              </w:rPr>
              <w:t>9.34±0.18</w:t>
            </w:r>
            <w:r>
              <w:rPr>
                <w:rFonts w:ascii="Arial" w:hAnsi="Arial" w:cs="Arial"/>
                <w:color w:val="000000" w:themeColor="text1"/>
                <w:position w:val="10"/>
                <w:sz w:val="20"/>
                <w:szCs w:val="20"/>
                <w:vertAlign w:val="superscript"/>
                <w14:textFill>
                  <w14:solidFill>
                    <w14:schemeClr w14:val="tx1"/>
                  </w14:solidFill>
                </w14:textFill>
              </w:rPr>
              <w:t>c</w:t>
            </w:r>
          </w:p>
        </w:tc>
        <w:tc>
          <w:tcPr>
            <w:tcW w:w="1939" w:type="dxa"/>
            <w:tcBorders>
              <w:top w:val="nil"/>
              <w:left w:val="nil"/>
              <w:bottom w:val="nil"/>
              <w:right w:val="nil"/>
            </w:tcBorders>
          </w:tcPr>
          <w:p w14:paraId="34571BC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6.34±0.12</w:t>
            </w:r>
            <w:r>
              <w:rPr>
                <w:rFonts w:ascii="Arial" w:hAnsi="Arial" w:cs="Arial"/>
                <w:color w:val="000000" w:themeColor="text1"/>
                <w:position w:val="10"/>
                <w:sz w:val="20"/>
                <w:szCs w:val="20"/>
                <w:vertAlign w:val="superscript"/>
                <w14:textFill>
                  <w14:solidFill>
                    <w14:schemeClr w14:val="tx1"/>
                  </w14:solidFill>
                </w14:textFill>
              </w:rPr>
              <w:t>b</w:t>
            </w:r>
          </w:p>
        </w:tc>
        <w:tc>
          <w:tcPr>
            <w:tcW w:w="2039" w:type="dxa"/>
            <w:tcBorders>
              <w:top w:val="nil"/>
              <w:left w:val="nil"/>
              <w:bottom w:val="nil"/>
            </w:tcBorders>
          </w:tcPr>
          <w:p w14:paraId="4DEED8F1">
            <w:pPr>
              <w:spacing w:after="0" w:line="240" w:lineRule="auto"/>
              <w:jc w:val="both"/>
              <w:rPr>
                <w:rFonts w:ascii="Arial" w:hAnsi="Arial" w:cs="Arial"/>
                <w:b w:val="0"/>
                <w:bCs w:val="0"/>
                <w:color w:val="000000" w:themeColor="text1"/>
                <w:sz w:val="20"/>
                <w:szCs w:val="20"/>
                <w14:textFill>
                  <w14:solidFill>
                    <w14:schemeClr w14:val="tx1"/>
                  </w14:solidFill>
                </w14:textFill>
              </w:rPr>
            </w:pPr>
            <w:r>
              <w:rPr>
                <w:rFonts w:ascii="Arial" w:hAnsi="Arial" w:cs="Arial"/>
                <w:b w:val="0"/>
                <w:bCs w:val="0"/>
                <w:color w:val="000000" w:themeColor="text1"/>
                <w:sz w:val="20"/>
                <w:szCs w:val="20"/>
                <w14:shadow w14:blurRad="38100" w14:dist="38100" w14:dir="2700000" w14:sx="100000" w14:sy="100000" w14:kx="0" w14:ky="0" w14:algn="tl">
                  <w14:srgbClr w14:val="000000">
                    <w14:alpha w14:val="57000"/>
                  </w14:srgbClr>
                </w14:shadow>
                <w14:textFill>
                  <w14:solidFill>
                    <w14:schemeClr w14:val="tx1"/>
                  </w14:solidFill>
                </w14:textFill>
              </w:rPr>
              <w:t>4.36±0.11</w:t>
            </w:r>
            <w:r>
              <w:rPr>
                <w:rFonts w:ascii="Arial" w:hAnsi="Arial" w:cs="Arial"/>
                <w:b w:val="0"/>
                <w:bCs w:val="0"/>
                <w:color w:val="000000" w:themeColor="text1"/>
                <w:position w:val="10"/>
                <w:sz w:val="20"/>
                <w:szCs w:val="20"/>
                <w:vertAlign w:val="superscript"/>
                <w14:shadow w14:blurRad="38100" w14:dist="38100" w14:dir="2700000" w14:sx="100000" w14:sy="100000" w14:kx="0" w14:ky="0" w14:algn="tl">
                  <w14:srgbClr w14:val="000000">
                    <w14:alpha w14:val="57000"/>
                  </w14:srgbClr>
                </w14:shadow>
                <w14:textFill>
                  <w14:solidFill>
                    <w14:schemeClr w14:val="tx1"/>
                  </w14:solidFill>
                </w14:textFill>
              </w:rPr>
              <w:t>a</w:t>
            </w:r>
          </w:p>
        </w:tc>
      </w:tr>
      <w:tr w14:paraId="586001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268" w:type="dxa"/>
            <w:tcBorders>
              <w:top w:val="nil"/>
              <w:right w:val="nil"/>
            </w:tcBorders>
          </w:tcPr>
          <w:p w14:paraId="4F8EE8F4">
            <w:pPr>
              <w:spacing w:after="0" w:line="240" w:lineRule="auto"/>
              <w:jc w:val="both"/>
              <w:rPr>
                <w:rFonts w:ascii="Arial" w:hAnsi="Arial" w:cs="Arial"/>
                <w:b/>
                <w:bCs/>
                <w:sz w:val="20"/>
                <w:szCs w:val="20"/>
              </w:rPr>
            </w:pPr>
            <w:r>
              <w:rPr>
                <w:rFonts w:ascii="Arial" w:hAnsi="Arial" w:cs="Arial"/>
                <w:b/>
                <w:bCs/>
                <w:color w:val="000000" w:themeColor="dark1"/>
                <w:sz w:val="20"/>
                <w:szCs w:val="20"/>
                <w14:textFill>
                  <w14:solidFill>
                    <w14:schemeClr w14:val="dk1"/>
                  </w14:solidFill>
                </w14:textFill>
              </w:rPr>
              <w:t>ALP (U/L)</w:t>
            </w:r>
          </w:p>
        </w:tc>
        <w:tc>
          <w:tcPr>
            <w:tcW w:w="1924" w:type="dxa"/>
            <w:tcBorders>
              <w:top w:val="nil"/>
              <w:left w:val="nil"/>
              <w:right w:val="nil"/>
            </w:tcBorders>
          </w:tcPr>
          <w:p w14:paraId="2C841768">
            <w:pPr>
              <w:spacing w:after="0" w:line="240" w:lineRule="auto"/>
              <w:jc w:val="both"/>
              <w:rPr>
                <w:rFonts w:ascii="Arial" w:hAnsi="Arial" w:cs="Arial"/>
                <w:sz w:val="20"/>
                <w:szCs w:val="20"/>
              </w:rPr>
            </w:pPr>
            <w:r>
              <w:rPr>
                <w:rFonts w:ascii="Arial" w:hAnsi="Arial" w:cs="Arial"/>
                <w:color w:val="000000" w:themeColor="text1"/>
                <w:sz w:val="20"/>
                <w:szCs w:val="20"/>
                <w14:textFill>
                  <w14:solidFill>
                    <w14:schemeClr w14:val="tx1"/>
                  </w14:solidFill>
                </w14:textFill>
              </w:rPr>
              <w:t>593.78±21.74</w:t>
            </w:r>
            <w:r>
              <w:rPr>
                <w:rFonts w:ascii="Arial" w:hAnsi="Arial" w:cs="Arial"/>
                <w:color w:val="000000" w:themeColor="text1"/>
                <w:position w:val="10"/>
                <w:sz w:val="20"/>
                <w:szCs w:val="20"/>
                <w:vertAlign w:val="superscript"/>
                <w14:textFill>
                  <w14:solidFill>
                    <w14:schemeClr w14:val="tx1"/>
                  </w14:solidFill>
                </w14:textFill>
              </w:rPr>
              <w:t>c</w:t>
            </w:r>
          </w:p>
        </w:tc>
        <w:tc>
          <w:tcPr>
            <w:tcW w:w="1939" w:type="dxa"/>
            <w:tcBorders>
              <w:top w:val="nil"/>
              <w:left w:val="nil"/>
              <w:right w:val="nil"/>
            </w:tcBorders>
          </w:tcPr>
          <w:p w14:paraId="5D5145B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293.78±13.56</w:t>
            </w:r>
            <w:r>
              <w:rPr>
                <w:rFonts w:ascii="Arial" w:hAnsi="Arial" w:cs="Arial"/>
                <w:color w:val="000000" w:themeColor="text1"/>
                <w:position w:val="10"/>
                <w:sz w:val="20"/>
                <w:szCs w:val="20"/>
                <w:vertAlign w:val="superscript"/>
                <w14:textFill>
                  <w14:solidFill>
                    <w14:schemeClr w14:val="tx1"/>
                  </w14:solidFill>
                </w14:textFill>
              </w:rPr>
              <w:t xml:space="preserve"> b</w:t>
            </w:r>
          </w:p>
        </w:tc>
        <w:tc>
          <w:tcPr>
            <w:tcW w:w="2039" w:type="dxa"/>
            <w:tcBorders>
              <w:top w:val="nil"/>
              <w:left w:val="nil"/>
            </w:tcBorders>
          </w:tcPr>
          <w:p w14:paraId="4D3A3483">
            <w:pPr>
              <w:spacing w:after="0" w:line="240" w:lineRule="auto"/>
              <w:jc w:val="both"/>
              <w:rPr>
                <w:rFonts w:ascii="Arial" w:hAnsi="Arial" w:cs="Arial"/>
                <w:b w:val="0"/>
                <w:bCs w:val="0"/>
                <w:color w:val="000000" w:themeColor="text1"/>
                <w:position w:val="10"/>
                <w:sz w:val="20"/>
                <w:szCs w:val="20"/>
                <w:vertAlign w:val="superscript"/>
                <w14:shadow w14:blurRad="38100" w14:dist="38100" w14:dir="2700000" w14:sx="100000" w14:sy="100000" w14:kx="0" w14:ky="0" w14:algn="tl">
                  <w14:srgbClr w14:val="000000">
                    <w14:alpha w14:val="57000"/>
                  </w14:srgbClr>
                </w14:shadow>
                <w14:textFill>
                  <w14:solidFill>
                    <w14:schemeClr w14:val="tx1"/>
                  </w14:solidFill>
                </w14:textFill>
              </w:rPr>
            </w:pPr>
            <w:r>
              <w:rPr>
                <w:rFonts w:ascii="Arial" w:hAnsi="Arial" w:cs="Arial"/>
                <w:b w:val="0"/>
                <w:bCs w:val="0"/>
                <w:color w:val="000000" w:themeColor="text1"/>
                <w:sz w:val="20"/>
                <w:szCs w:val="20"/>
                <w14:shadow w14:blurRad="38100" w14:dist="38100" w14:dir="2700000" w14:sx="100000" w14:sy="100000" w14:kx="0" w14:ky="0" w14:algn="tl">
                  <w14:srgbClr w14:val="000000">
                    <w14:alpha w14:val="57000"/>
                  </w14:srgbClr>
                </w14:shadow>
                <w14:textFill>
                  <w14:solidFill>
                    <w14:schemeClr w14:val="tx1"/>
                  </w14:solidFill>
                </w14:textFill>
              </w:rPr>
              <w:t>153.12±10.45</w:t>
            </w:r>
            <w:r>
              <w:rPr>
                <w:rFonts w:ascii="Arial" w:hAnsi="Arial" w:cs="Arial"/>
                <w:b w:val="0"/>
                <w:bCs w:val="0"/>
                <w:color w:val="000000" w:themeColor="text1"/>
                <w:position w:val="10"/>
                <w:sz w:val="20"/>
                <w:szCs w:val="20"/>
                <w:vertAlign w:val="superscript"/>
                <w14:shadow w14:blurRad="38100" w14:dist="38100" w14:dir="2700000" w14:sx="100000" w14:sy="100000" w14:kx="0" w14:ky="0" w14:algn="tl">
                  <w14:srgbClr w14:val="000000">
                    <w14:alpha w14:val="57000"/>
                  </w14:srgbClr>
                </w14:shadow>
                <w14:textFill>
                  <w14:solidFill>
                    <w14:schemeClr w14:val="tx1"/>
                  </w14:solidFill>
                </w14:textFill>
              </w:rPr>
              <w:t>a</w:t>
            </w:r>
          </w:p>
          <w:p w14:paraId="64B21019">
            <w:pPr>
              <w:spacing w:after="0" w:line="240" w:lineRule="auto"/>
              <w:jc w:val="both"/>
              <w:rPr>
                <w:rFonts w:ascii="Arial" w:hAnsi="Arial" w:cs="Arial"/>
                <w:b w:val="0"/>
                <w:bCs w:val="0"/>
                <w:color w:val="000000" w:themeColor="text1"/>
                <w:sz w:val="20"/>
                <w:szCs w:val="20"/>
                <w14:textFill>
                  <w14:solidFill>
                    <w14:schemeClr w14:val="tx1"/>
                  </w14:solidFill>
                </w14:textFill>
              </w:rPr>
            </w:pPr>
          </w:p>
        </w:tc>
      </w:tr>
    </w:tbl>
    <w:p w14:paraId="47E19F6C">
      <w:pPr>
        <w:jc w:val="both"/>
        <w:rPr>
          <w:rFonts w:ascii="Arial" w:hAnsi="Arial" w:cs="Arial"/>
          <w:b/>
          <w:bCs/>
          <w:sz w:val="20"/>
          <w:szCs w:val="20"/>
        </w:rPr>
      </w:pPr>
    </w:p>
    <w:p w14:paraId="14FEF012">
      <w:pPr>
        <w:spacing w:after="0"/>
        <w:ind w:firstLine="500" w:firstLineChars="250"/>
        <w:jc w:val="both"/>
        <w:rPr>
          <w:rFonts w:ascii="Arial" w:hAnsi="Arial" w:cs="Arial"/>
          <w:b/>
          <w:bCs/>
          <w:sz w:val="20"/>
          <w:szCs w:val="20"/>
        </w:rPr>
      </w:pPr>
      <w:r>
        <w:rPr>
          <w:rFonts w:ascii="Arial" w:hAnsi="Arial" w:cs="Arial"/>
          <w:b/>
          <w:bCs/>
          <w:sz w:val="20"/>
          <w:szCs w:val="20"/>
        </w:rPr>
        <w:t>Table: 3 Mean ±SE values of biochemical values in FOD affected goats (After therapy)</w:t>
      </w:r>
    </w:p>
    <w:p w14:paraId="0514ACD9">
      <w:pPr>
        <w:jc w:val="both"/>
        <w:rPr>
          <w:rFonts w:ascii="Arial" w:hAnsi="Arial" w:cs="Arial"/>
          <w:b/>
          <w:bCs/>
        </w:rPr>
      </w:pPr>
    </w:p>
    <w:p w14:paraId="6A7045E9">
      <w:pPr>
        <w:spacing w:after="0"/>
        <w:jc w:val="both"/>
        <w:rPr>
          <w:rFonts w:ascii="Arial" w:hAnsi="Arial" w:cs="Arial"/>
          <w:sz w:val="16"/>
          <w:szCs w:val="16"/>
          <w:lang w:val="en-US"/>
        </w:rPr>
      </w:pPr>
      <w:r>
        <w:rPr>
          <w:rFonts w:ascii="Arial" w:hAnsi="Arial" w:cs="Arial"/>
          <w:b/>
          <w:bCs/>
        </w:rPr>
        <w:t xml:space="preserve">  </w:t>
      </w:r>
      <w:r>
        <w:rPr>
          <w:rFonts w:hint="default" w:ascii="Arial" w:hAnsi="Arial" w:cs="Arial"/>
          <w:b/>
          <w:bCs/>
          <w:lang w:val="en-IN"/>
        </w:rPr>
        <w:t xml:space="preserve">                    </w:t>
      </w:r>
      <w:r>
        <w:rPr>
          <w:rFonts w:ascii="Arial" w:hAnsi="Arial" w:cs="Arial"/>
          <w:sz w:val="16"/>
          <w:szCs w:val="16"/>
          <w:lang w:val="en-US"/>
        </w:rPr>
        <w:t xml:space="preserve"> </w:t>
      </w:r>
      <w:r>
        <w:rPr>
          <w:rFonts w:ascii="Arial" w:hAnsi="Arial" w:cs="Arial"/>
          <w:b/>
          <w:bCs/>
          <w:sz w:val="16"/>
          <w:szCs w:val="16"/>
          <w:lang w:val="en-US"/>
        </w:rPr>
        <w:t xml:space="preserve">Values bearing different superscripts in a row differ significantly (P&lt; 0.05) </w:t>
      </w:r>
    </w:p>
    <w:p w14:paraId="32DDE00B">
      <w:pPr>
        <w:spacing w:after="0"/>
        <w:jc w:val="both"/>
        <w:rPr>
          <w:rFonts w:ascii="Arial" w:hAnsi="Arial" w:cs="Arial"/>
          <w:b/>
          <w:bCs/>
          <w:sz w:val="16"/>
          <w:szCs w:val="16"/>
        </w:rPr>
      </w:pPr>
      <w:r>
        <w:rPr>
          <w:rFonts w:ascii="Arial" w:hAnsi="Arial" w:cs="Arial"/>
          <w:b/>
          <w:bCs/>
          <w:sz w:val="16"/>
          <w:szCs w:val="16"/>
          <w:lang w:val="en-US"/>
        </w:rPr>
        <w:t xml:space="preserve">                                Values bearing similar superscripts in a row did not differ significantly (P &gt;0.05)</w:t>
      </w:r>
    </w:p>
    <w:p w14:paraId="6B5777B9">
      <w:pPr>
        <w:spacing w:after="0"/>
        <w:jc w:val="both"/>
        <w:rPr>
          <w:rFonts w:ascii="Arial" w:hAnsi="Arial" w:cs="Arial"/>
          <w:b/>
          <w:bCs/>
          <w:sz w:val="20"/>
          <w:szCs w:val="20"/>
        </w:rPr>
      </w:pPr>
    </w:p>
    <w:p w14:paraId="18E87A55">
      <w:pPr>
        <w:jc w:val="both"/>
        <w:rPr>
          <w:rFonts w:ascii="Arial" w:hAnsi="Arial" w:cs="Arial"/>
          <w:b/>
          <w:bCs/>
          <w:sz w:val="20"/>
          <w:szCs w:val="20"/>
        </w:rPr>
      </w:pPr>
    </w:p>
    <w:p w14:paraId="4BFB1820">
      <w:pPr>
        <w:spacing w:after="0"/>
        <w:jc w:val="both"/>
        <w:rPr>
          <w:rFonts w:ascii="Arial" w:hAnsi="Arial" w:cs="Arial"/>
          <w:sz w:val="16"/>
          <w:szCs w:val="16"/>
          <w:lang w:val="en-US"/>
        </w:rPr>
      </w:pPr>
      <w:r>
        <w:rPr>
          <w:rFonts w:ascii="Arial" w:hAnsi="Arial" w:cs="Arial"/>
          <w:sz w:val="16"/>
          <w:szCs w:val="16"/>
          <w:lang w:val="en-US"/>
        </w:rPr>
        <w:t xml:space="preserve">                                          </w:t>
      </w:r>
    </w:p>
    <w:p w14:paraId="1E2D6503">
      <w:pPr>
        <w:spacing w:after="0"/>
        <w:jc w:val="both"/>
        <w:rPr>
          <w:rFonts w:ascii="Arial" w:hAnsi="Arial" w:cs="Arial"/>
          <w:b/>
          <w:bCs/>
        </w:rPr>
      </w:pPr>
      <w:r>
        <w:rPr>
          <w:rFonts w:ascii="Arial" w:hAnsi="Arial" w:cs="Arial"/>
          <w:sz w:val="16"/>
          <w:szCs w:val="16"/>
          <w:lang w:val="en-US"/>
        </w:rPr>
        <w:t xml:space="preserve">                             </w:t>
      </w:r>
    </w:p>
    <w:p w14:paraId="69520C6C">
      <w:pPr>
        <w:jc w:val="both"/>
        <w:rPr>
          <w:rFonts w:ascii="Arial" w:hAnsi="Arial" w:cs="Arial"/>
          <w:b/>
          <w:bCs/>
        </w:rPr>
      </w:pPr>
      <w:r>
        <w:rPr>
          <w:rFonts w:ascii="Arial" w:hAnsi="Arial" w:cs="Arial"/>
          <w:b/>
          <w:bCs/>
        </w:rPr>
        <w:t>4.DISCUSSION</w:t>
      </w:r>
    </w:p>
    <w:p w14:paraId="3FB4FEE8">
      <w:pPr>
        <w:spacing w:line="240" w:lineRule="auto"/>
        <w:ind w:firstLine="720"/>
        <w:jc w:val="both"/>
        <w:rPr>
          <w:rFonts w:ascii="Arial" w:hAnsi="Arial" w:cs="Arial"/>
          <w:sz w:val="20"/>
          <w:szCs w:val="20"/>
        </w:rPr>
      </w:pPr>
      <w:r>
        <w:rPr>
          <w:rFonts w:ascii="Arial" w:hAnsi="Arial" w:cs="Arial"/>
          <w:sz w:val="20"/>
          <w:szCs w:val="20"/>
        </w:rPr>
        <w:t>Fibrous osteodystrophy is a metabolic disorder characterized by extensive bone resorption, proliferation of fibrous connective tissues, and insufficient mineralization of the bone tissues [1].In present study young animals (&lt; 1 year, 60%) were most commonly affected when compared to adult animals (&gt;1 year, 30%).Generally in young growing animals; the daily requirement of calcium is met by the consumption of dam’s milk but reduced intake of dietary calcium during growing phase of animals leads to compensatory reabsorption of calcium from its innate reserve, i.e. bone, due to the effect of parathormone [12]. The increased occurrence of fibrous osteodystrophy in male kids was also reported by</w:t>
      </w:r>
      <w:r>
        <w:rPr>
          <w:rFonts w:ascii="Times New Roman" w:hAnsi="Times New Roman" w:cs="Times New Roman"/>
          <w:sz w:val="20"/>
          <w:szCs w:val="20"/>
        </w:rPr>
        <w:t xml:space="preserve"> </w:t>
      </w:r>
      <w:r>
        <w:rPr>
          <w:rFonts w:ascii="Arial" w:hAnsi="Arial" w:cs="Arial"/>
          <w:sz w:val="20"/>
          <w:szCs w:val="20"/>
        </w:rPr>
        <w:t xml:space="preserve">Gangadharan </w:t>
      </w:r>
      <w:r>
        <w:rPr>
          <w:rFonts w:ascii="Arial" w:hAnsi="Arial" w:cs="Arial"/>
          <w:i/>
          <w:iCs/>
          <w:sz w:val="20"/>
          <w:szCs w:val="20"/>
        </w:rPr>
        <w:t>et al</w:t>
      </w:r>
      <w:r>
        <w:rPr>
          <w:rFonts w:ascii="Arial" w:hAnsi="Arial" w:cs="Arial"/>
          <w:sz w:val="20"/>
          <w:szCs w:val="20"/>
        </w:rPr>
        <w:t>.</w:t>
      </w:r>
      <w:r>
        <w:rPr>
          <w:rFonts w:ascii="Times New Roman" w:hAnsi="Times New Roman" w:cs="Times New Roman"/>
          <w:sz w:val="20"/>
          <w:szCs w:val="20"/>
        </w:rPr>
        <w:t xml:space="preserve"> </w:t>
      </w:r>
      <w:r>
        <w:rPr>
          <w:rFonts w:ascii="Arial" w:hAnsi="Arial" w:cs="Arial"/>
          <w:sz w:val="20"/>
          <w:szCs w:val="20"/>
        </w:rPr>
        <w:t xml:space="preserve">[9] and Tejaswini </w:t>
      </w:r>
      <w:r>
        <w:rPr>
          <w:rFonts w:ascii="Arial" w:hAnsi="Arial" w:cs="Arial"/>
          <w:i/>
          <w:iCs/>
          <w:sz w:val="20"/>
          <w:szCs w:val="20"/>
        </w:rPr>
        <w:t>et al.</w:t>
      </w:r>
      <w:r>
        <w:rPr>
          <w:rFonts w:ascii="Arial" w:hAnsi="Arial" w:cs="Arial"/>
          <w:sz w:val="20"/>
          <w:szCs w:val="20"/>
        </w:rPr>
        <w:t xml:space="preserve"> [2</w:t>
      </w:r>
      <w:r>
        <w:rPr>
          <w:rFonts w:hint="default" w:ascii="Arial" w:hAnsi="Arial" w:cs="Arial"/>
          <w:sz w:val="20"/>
          <w:szCs w:val="20"/>
          <w:lang w:val="en-IN"/>
        </w:rPr>
        <w:t>6</w:t>
      </w:r>
      <w:r>
        <w:rPr>
          <w:rFonts w:ascii="Arial" w:hAnsi="Arial" w:cs="Arial"/>
          <w:sz w:val="20"/>
          <w:szCs w:val="20"/>
        </w:rPr>
        <w:t xml:space="preserve">] which could be attributed to requirement of more calcium by male goat kids due to their increased growth rate [20,2]. In current study Malabari breed goats were most commonly affected when compared to other breeds. </w:t>
      </w:r>
    </w:p>
    <w:p w14:paraId="7E65BA50">
      <w:pPr>
        <w:spacing w:line="240" w:lineRule="auto"/>
        <w:ind w:firstLine="720"/>
        <w:jc w:val="both"/>
        <w:rPr>
          <w:rFonts w:ascii="Arial" w:hAnsi="Arial" w:cs="Arial"/>
          <w:sz w:val="20"/>
          <w:szCs w:val="20"/>
        </w:rPr>
      </w:pPr>
      <w:r>
        <w:rPr>
          <w:rFonts w:hint="default" w:ascii="Arial" w:hAnsi="Arial" w:eastAsia="SimSun" w:cs="Arial"/>
          <w:sz w:val="20"/>
          <w:szCs w:val="20"/>
        </w:rPr>
        <w:t>In</w:t>
      </w:r>
      <w:r>
        <w:rPr>
          <w:rFonts w:hint="default" w:ascii="Arial" w:hAnsi="Arial" w:eastAsia="SimSun" w:cs="Arial"/>
          <w:sz w:val="20"/>
          <w:szCs w:val="20"/>
          <w:lang w:val="en-IN"/>
        </w:rPr>
        <w:t xml:space="preserve"> present study,</w:t>
      </w:r>
      <w:r>
        <w:rPr>
          <w:rFonts w:hint="default" w:ascii="Arial" w:hAnsi="Arial" w:eastAsia="SimSun" w:cs="Arial"/>
          <w:sz w:val="20"/>
          <w:szCs w:val="20"/>
        </w:rPr>
        <w:t xml:space="preserve"> maxillary and mandibular swellings </w:t>
      </w:r>
      <w:r>
        <w:rPr>
          <w:rFonts w:hint="default" w:ascii="Arial" w:hAnsi="Arial" w:eastAsia="SimSun" w:cs="Arial"/>
          <w:sz w:val="20"/>
          <w:szCs w:val="20"/>
          <w:lang w:val="en-IN"/>
        </w:rPr>
        <w:t xml:space="preserve">were seen in 71.42 percent of goats.Similar clinical signs were also noticed by </w:t>
      </w:r>
      <w:r>
        <w:rPr>
          <w:rFonts w:ascii="Arial" w:hAnsi="Arial" w:cs="Arial"/>
          <w:sz w:val="20"/>
          <w:szCs w:val="20"/>
        </w:rPr>
        <w:t>Mevin</w:t>
      </w:r>
      <w:r>
        <w:rPr>
          <w:rFonts w:hint="default" w:ascii="Arial" w:hAnsi="Arial" w:eastAsia="SimSun" w:cs="Arial"/>
          <w:sz w:val="20"/>
          <w:szCs w:val="20"/>
          <w:lang w:val="en-IN"/>
        </w:rPr>
        <w:t xml:space="preserve"> </w:t>
      </w:r>
      <w:r>
        <w:rPr>
          <w:rFonts w:hint="default" w:ascii="Arial" w:hAnsi="Arial" w:eastAsia="SimSun" w:cs="Arial"/>
          <w:i/>
          <w:iCs/>
          <w:sz w:val="20"/>
          <w:szCs w:val="20"/>
          <w:lang w:val="en-IN"/>
        </w:rPr>
        <w:t>et.a</w:t>
      </w:r>
      <w:r>
        <w:rPr>
          <w:rFonts w:hint="default" w:ascii="Arial" w:hAnsi="Arial" w:eastAsia="SimSun" w:cs="Arial"/>
          <w:sz w:val="20"/>
          <w:szCs w:val="20"/>
          <w:lang w:val="en-IN"/>
        </w:rPr>
        <w:t xml:space="preserve">l 2024 [24] in FOD affected goat kids.These maxillary or mandibular swellings could be attributed to hypocalcaemia which leads to </w:t>
      </w:r>
      <w:r>
        <w:rPr>
          <w:rFonts w:hint="default" w:ascii="Arial" w:hAnsi="Arial" w:eastAsia="SimSun" w:cs="Arial"/>
          <w:sz w:val="20"/>
          <w:szCs w:val="20"/>
        </w:rPr>
        <w:t>bone resorption followed by replacement with fibrous connective tissue</w:t>
      </w:r>
      <w:r>
        <w:rPr>
          <w:rFonts w:hint="default" w:ascii="Arial" w:hAnsi="Arial" w:eastAsia="SimSun" w:cs="Arial"/>
          <w:sz w:val="20"/>
          <w:szCs w:val="20"/>
          <w:lang w:val="en-IN"/>
        </w:rPr>
        <w:t>.</w:t>
      </w:r>
      <w:r>
        <w:rPr>
          <w:rFonts w:hint="default" w:ascii="Arial" w:hAnsi="Arial" w:eastAsia="SimSun" w:cs="Arial"/>
          <w:sz w:val="20"/>
          <w:szCs w:val="20"/>
        </w:rPr>
        <w:t xml:space="preserve"> </w:t>
      </w:r>
      <w:r>
        <w:rPr>
          <w:rFonts w:hint="default" w:ascii="Arial" w:hAnsi="Arial" w:eastAsia="SimSun" w:cs="Arial"/>
          <w:sz w:val="20"/>
          <w:szCs w:val="20"/>
          <w:lang w:val="en-IN"/>
        </w:rPr>
        <w:t>Th</w:t>
      </w:r>
      <w:r>
        <w:rPr>
          <w:rFonts w:hint="default" w:ascii="Arial" w:hAnsi="Arial" w:eastAsia="SimSun" w:cs="Arial"/>
          <w:sz w:val="20"/>
          <w:szCs w:val="20"/>
        </w:rPr>
        <w:t>ese changes progress rapidly in young animals due to their inherently high rates of bone turnover and remodeling. The condition is typically driven by secondary hyperparathyroidism, most often resulting from nutritional imbalances, which supports the observations made in the present study [2</w:t>
      </w:r>
      <w:r>
        <w:rPr>
          <w:rFonts w:hint="default" w:ascii="Arial" w:hAnsi="Arial" w:eastAsia="SimSun" w:cs="Arial"/>
          <w:sz w:val="20"/>
          <w:szCs w:val="20"/>
          <w:lang w:val="en-IN"/>
        </w:rPr>
        <w:t>8</w:t>
      </w:r>
      <w:r>
        <w:rPr>
          <w:rFonts w:hint="default" w:ascii="Arial" w:hAnsi="Arial" w:eastAsia="SimSun" w:cs="Arial"/>
          <w:sz w:val="20"/>
          <w:szCs w:val="20"/>
        </w:rPr>
        <w:t>].</w:t>
      </w:r>
      <w:r>
        <w:rPr>
          <w:rFonts w:hint="default" w:ascii="Arial" w:hAnsi="Arial" w:cs="Arial"/>
          <w:sz w:val="20"/>
          <w:szCs w:val="20"/>
        </w:rPr>
        <w:t xml:space="preserve"> Dys</w:t>
      </w:r>
      <w:r>
        <w:rPr>
          <w:rFonts w:ascii="Arial" w:hAnsi="Arial" w:cs="Arial"/>
          <w:sz w:val="20"/>
          <w:szCs w:val="20"/>
        </w:rPr>
        <w:t>pnea observed in affected goats could be attributed to enlargement of the maxillary bones which invaded the nasal cavity which in turn hindered the air flow. Difficulty in prehension and mastication observed in the affected goats might be due to the changes in mandible, maxilla and teeth. In FOD affected goats increased activity of alkaline phosphatase was associated with bone pathology [2</w:t>
      </w:r>
      <w:r>
        <w:rPr>
          <w:rFonts w:hint="default" w:ascii="Arial" w:hAnsi="Arial" w:cs="Arial"/>
          <w:sz w:val="20"/>
          <w:szCs w:val="20"/>
          <w:lang w:val="en-IN"/>
        </w:rPr>
        <w:t>9</w:t>
      </w:r>
      <w:r>
        <w:rPr>
          <w:rFonts w:ascii="Arial" w:hAnsi="Arial" w:cs="Arial"/>
          <w:sz w:val="20"/>
          <w:szCs w:val="20"/>
        </w:rPr>
        <w:t>]. The serum ALP is higher in young animals when compared to adults which is associated with the increased osteoblast function of growing bone [2</w:t>
      </w:r>
      <w:r>
        <w:rPr>
          <w:rFonts w:hint="default" w:ascii="Arial" w:hAnsi="Arial" w:cs="Arial"/>
          <w:sz w:val="20"/>
          <w:szCs w:val="20"/>
          <w:lang w:val="en-IN"/>
        </w:rPr>
        <w:t>2</w:t>
      </w:r>
      <w:r>
        <w:rPr>
          <w:rFonts w:ascii="Arial" w:hAnsi="Arial" w:cs="Arial"/>
          <w:sz w:val="20"/>
          <w:szCs w:val="20"/>
        </w:rPr>
        <w:t>]. Increased numbers of multinucleated osteoclasts on FNAC of affected bones were suggestive of active processes of bone resorption [2</w:t>
      </w:r>
      <w:r>
        <w:rPr>
          <w:rFonts w:hint="default" w:ascii="Arial" w:hAnsi="Arial" w:cs="Arial"/>
          <w:sz w:val="20"/>
          <w:szCs w:val="20"/>
          <w:lang w:val="en-IN"/>
        </w:rPr>
        <w:t>5</w:t>
      </w:r>
      <w:r>
        <w:rPr>
          <w:rFonts w:ascii="Arial" w:hAnsi="Arial" w:cs="Arial"/>
          <w:sz w:val="20"/>
          <w:szCs w:val="20"/>
        </w:rPr>
        <w:t>] and presence of fibroblasts indicates proliferation of fibrous tissue. The nutritional origin of the disease was confirmed through reduced Ca:P ratio in the diet as shown in table 2. Thompson [2</w:t>
      </w:r>
      <w:r>
        <w:rPr>
          <w:rFonts w:hint="default" w:ascii="Arial" w:hAnsi="Arial" w:cs="Arial"/>
          <w:sz w:val="20"/>
          <w:szCs w:val="20"/>
          <w:lang w:val="en-IN"/>
        </w:rPr>
        <w:t>5</w:t>
      </w:r>
      <w:r>
        <w:rPr>
          <w:rFonts w:ascii="Arial" w:hAnsi="Arial" w:cs="Arial"/>
          <w:sz w:val="20"/>
          <w:szCs w:val="20"/>
        </w:rPr>
        <w:t xml:space="preserve">] reported that the disease develops in herbivores feeding a diet of Ca:P ratio of 0.8 or lower but the desirable ratio should be 2:1[18]. Bandarra </w:t>
      </w:r>
      <w:r>
        <w:rPr>
          <w:rFonts w:ascii="Arial" w:hAnsi="Arial" w:cs="Arial"/>
          <w:i/>
          <w:iCs/>
          <w:sz w:val="20"/>
          <w:szCs w:val="20"/>
        </w:rPr>
        <w:t>et al.</w:t>
      </w:r>
      <w:r>
        <w:rPr>
          <w:rFonts w:ascii="Arial" w:hAnsi="Arial" w:cs="Arial"/>
          <w:sz w:val="20"/>
          <w:szCs w:val="20"/>
        </w:rPr>
        <w:t xml:space="preserve"> [1] </w:t>
      </w:r>
      <w:r>
        <w:rPr>
          <w:rFonts w:hint="default" w:ascii="Arial" w:hAnsi="Arial" w:cs="Arial"/>
          <w:sz w:val="20"/>
          <w:szCs w:val="20"/>
          <w:lang w:val="en-IN"/>
        </w:rPr>
        <w:t xml:space="preserve"> also </w:t>
      </w:r>
      <w:r>
        <w:rPr>
          <w:rFonts w:ascii="Arial" w:hAnsi="Arial" w:cs="Arial"/>
          <w:sz w:val="20"/>
          <w:szCs w:val="20"/>
        </w:rPr>
        <w:t xml:space="preserve">documented that in most of the naturally-occurred or experimentally-induced cases of </w:t>
      </w:r>
      <w:r>
        <w:rPr>
          <w:rFonts w:hint="default" w:ascii="Arial" w:hAnsi="Arial" w:cs="Arial"/>
          <w:sz w:val="20"/>
          <w:szCs w:val="20"/>
          <w:lang w:val="en-IN"/>
        </w:rPr>
        <w:t>FOD</w:t>
      </w:r>
      <w:r>
        <w:rPr>
          <w:rFonts w:ascii="Arial" w:hAnsi="Arial" w:cs="Arial"/>
          <w:sz w:val="20"/>
          <w:szCs w:val="20"/>
        </w:rPr>
        <w:t xml:space="preserve"> in goats are reported to be the sequelae of chronic dietary intake of low Ca:P ratio consequent to stall feeding.</w:t>
      </w:r>
    </w:p>
    <w:p w14:paraId="1188C833">
      <w:pPr>
        <w:spacing w:line="240" w:lineRule="auto"/>
        <w:ind w:firstLine="720"/>
        <w:jc w:val="both"/>
        <w:rPr>
          <w:rFonts w:hint="default" w:ascii="Arial" w:hAnsi="Arial" w:cs="Arial"/>
          <w:sz w:val="20"/>
          <w:szCs w:val="20"/>
          <w:lang w:val="en-IN"/>
        </w:rPr>
      </w:pPr>
      <w:r>
        <w:rPr>
          <w:rFonts w:ascii="Arial" w:hAnsi="Arial" w:cs="Arial"/>
          <w:sz w:val="20"/>
          <w:szCs w:val="20"/>
        </w:rPr>
        <w:t>The standard therapeutic protocol suggested for fibrous</w:t>
      </w:r>
      <w:r>
        <w:rPr>
          <w:rFonts w:hint="default" w:ascii="Arial" w:hAnsi="Arial" w:cs="Arial"/>
          <w:sz w:val="20"/>
          <w:szCs w:val="20"/>
          <w:lang w:val="en-IN"/>
        </w:rPr>
        <w:t xml:space="preserve"> </w:t>
      </w:r>
      <w:r>
        <w:rPr>
          <w:rFonts w:ascii="Arial" w:hAnsi="Arial" w:cs="Arial"/>
          <w:sz w:val="20"/>
          <w:szCs w:val="20"/>
        </w:rPr>
        <w:t>osteodystrophy includes administration of calcium, vitamin D3 along with phosphate binders.  Secondary calcium deficiency due to excess of dietary phosphorous in affected goats can be corrected by giving IV calcium followed by oral calcium supplements [2</w:t>
      </w:r>
      <w:r>
        <w:rPr>
          <w:rFonts w:hint="default" w:ascii="Arial" w:hAnsi="Arial" w:cs="Arial"/>
          <w:sz w:val="20"/>
          <w:szCs w:val="20"/>
          <w:lang w:val="en-IN"/>
        </w:rPr>
        <w:t>4</w:t>
      </w:r>
      <w:r>
        <w:rPr>
          <w:rFonts w:ascii="Arial" w:hAnsi="Arial" w:cs="Arial"/>
          <w:sz w:val="20"/>
          <w:szCs w:val="20"/>
        </w:rPr>
        <w:t>]. The purpose of usage of Vitamin D3 in present study was owing to its osteoblastic-promoting activity [27] and also helps in Ca absorption from the intestines [18]. Clinical cure for FOD can</w:t>
      </w:r>
      <w:r>
        <w:rPr>
          <w:rFonts w:hint="default" w:ascii="Arial" w:hAnsi="Arial" w:cs="Arial"/>
          <w:sz w:val="20"/>
          <w:szCs w:val="20"/>
          <w:lang w:val="en-IN"/>
        </w:rPr>
        <w:t xml:space="preserve"> also</w:t>
      </w:r>
      <w:r>
        <w:rPr>
          <w:rFonts w:ascii="Arial" w:hAnsi="Arial" w:cs="Arial"/>
          <w:sz w:val="20"/>
          <w:szCs w:val="20"/>
        </w:rPr>
        <w:t xml:space="preserve"> be achieved by including measures such as sunlight therapy to increase lowered Vitamin-D levels [5]. </w:t>
      </w:r>
      <w:r>
        <w:rPr>
          <w:rFonts w:hint="default" w:ascii="Arial" w:hAnsi="Arial" w:eastAsia="SimSun" w:cs="Arial"/>
          <w:sz w:val="20"/>
          <w:szCs w:val="20"/>
        </w:rPr>
        <w:t>In the present study, aluminium hydroxide was administered as a phosphate binder to reduce intestinal phosphorus absorption. This finding is supported by Nimi and Bini [13], who reported clinical improvement in a goat kid affected by fibrous osteodystrophy (FOD) when treated with aluminium hydroxide in combination with calcium and vitamin D₃ injections.</w:t>
      </w:r>
    </w:p>
    <w:p w14:paraId="49DE57D0">
      <w:pPr>
        <w:spacing w:line="240" w:lineRule="auto"/>
        <w:ind w:firstLine="720"/>
        <w:jc w:val="both"/>
        <w:rPr>
          <w:rFonts w:ascii="Arial" w:hAnsi="Arial" w:cs="Arial"/>
          <w:sz w:val="20"/>
          <w:szCs w:val="20"/>
        </w:rPr>
      </w:pPr>
      <w:r>
        <w:rPr>
          <w:rFonts w:ascii="Arial" w:hAnsi="Arial" w:cs="Arial"/>
          <w:sz w:val="20"/>
          <w:szCs w:val="20"/>
        </w:rPr>
        <w:t xml:space="preserve">In </w:t>
      </w:r>
      <w:r>
        <w:rPr>
          <w:rFonts w:hint="default" w:ascii="Arial" w:hAnsi="Arial" w:cs="Arial"/>
          <w:sz w:val="20"/>
          <w:szCs w:val="20"/>
          <w:lang w:val="en-IN"/>
        </w:rPr>
        <w:t>current</w:t>
      </w:r>
      <w:r>
        <w:rPr>
          <w:rFonts w:ascii="Arial" w:hAnsi="Arial" w:cs="Arial"/>
          <w:sz w:val="20"/>
          <w:szCs w:val="20"/>
        </w:rPr>
        <w:t xml:space="preserve"> study, usage of Nandrolone decanoate (Group II) has shown to be beneficial for regaining normal facial appearance and to promote clinical cure in FOD affected goats when compared to standard therapy (Group</w:t>
      </w:r>
      <w:r>
        <w:rPr>
          <w:rFonts w:hint="default" w:ascii="Arial" w:hAnsi="Arial" w:cs="Arial"/>
          <w:sz w:val="20"/>
          <w:szCs w:val="20"/>
          <w:lang w:val="en-IN"/>
        </w:rPr>
        <w:t xml:space="preserve"> </w:t>
      </w:r>
      <w:r>
        <w:rPr>
          <w:rFonts w:ascii="Arial" w:hAnsi="Arial" w:cs="Arial"/>
          <w:sz w:val="20"/>
          <w:szCs w:val="20"/>
        </w:rPr>
        <w:t>I). There is adequate clinical evidence in the literature suggesting the usage of nandrolone for improving bone mineral density and as a potent therapeutic drug for FOD [16,6]. Nandrolone decanoate is an anabolic steroid which is conventionally used in clinical cases of osteomalacia and osteoporosis in humans was beneficial in improving bone mineralization and bone density in affected goats [8,17]. Nandrolone, as an anabolic agent inhibits catabolic pathways, curbs osteoclastic migration to bones, promotes osteoblastic activity, increases bone mineral content and also promotes bone remodelling [7,11,2</w:t>
      </w:r>
      <w:r>
        <w:rPr>
          <w:rFonts w:hint="default" w:ascii="Arial" w:hAnsi="Arial" w:cs="Arial"/>
          <w:sz w:val="20"/>
          <w:szCs w:val="20"/>
          <w:lang w:val="en-IN"/>
        </w:rPr>
        <w:t>3</w:t>
      </w:r>
      <w:r>
        <w:rPr>
          <w:rFonts w:ascii="Arial" w:hAnsi="Arial" w:cs="Arial"/>
          <w:sz w:val="20"/>
          <w:szCs w:val="20"/>
        </w:rPr>
        <w:t>]. The beneficial effects of nandrolone were more predominant in increasing bone mineral density when compared to Vitamin D derivatives [10]. This study concluded that Ca and Vit. ADE, Nandrolene and phosphate binder combination can be used as standard protocol for treatment of FOD affected goats. However, success of the treatment depends upon severity of clinical signs [14] and recovery period extends up to 4-5 months.</w:t>
      </w:r>
      <w:bookmarkStart w:id="0" w:name="_GoBack"/>
      <w:bookmarkEnd w:id="0"/>
    </w:p>
    <w:p w14:paraId="70A6F17C">
      <w:pPr>
        <w:jc w:val="both"/>
        <w:rPr>
          <w:rFonts w:ascii="Arial" w:hAnsi="Arial" w:cs="Arial"/>
          <w:b/>
          <w:bCs/>
        </w:rPr>
      </w:pPr>
      <w:r>
        <w:rPr>
          <w:rFonts w:ascii="Arial" w:hAnsi="Arial" w:cs="Arial"/>
          <w:b/>
          <w:bCs/>
        </w:rPr>
        <w:t xml:space="preserve">5.CONCLUSION </w:t>
      </w:r>
    </w:p>
    <w:p w14:paraId="6DB0C118">
      <w:pPr>
        <w:ind w:firstLine="720"/>
        <w:jc w:val="both"/>
        <w:rPr>
          <w:rFonts w:ascii="Arial" w:hAnsi="Arial" w:cs="Arial"/>
          <w:sz w:val="20"/>
          <w:szCs w:val="20"/>
        </w:rPr>
      </w:pPr>
      <w:r>
        <w:rPr>
          <w:rFonts w:ascii="Arial" w:hAnsi="Arial" w:cs="Arial"/>
          <w:sz w:val="20"/>
          <w:szCs w:val="20"/>
          <w:lang w:val="en-US"/>
        </w:rPr>
        <w:t>High phosphorus and low calcium containing diets are attributed to FOD. Nandrolone decanoate can be used as novel therapy to promote bone mineralization and to increase bone density in FOD cases.</w:t>
      </w:r>
      <w:r>
        <w:rPr>
          <w:rFonts w:ascii="Arial" w:hAnsi="Arial" w:cs="Arial" w:eastAsiaTheme="minorEastAsia"/>
          <w:color w:val="000000" w:themeColor="dark1"/>
          <w:kern w:val="24"/>
          <w:sz w:val="20"/>
          <w:szCs w:val="20"/>
          <w:lang w:val="en-US"/>
          <w14:textFill>
            <w14:solidFill>
              <w14:schemeClr w14:val="dk1"/>
            </w14:solidFill>
          </w14:textFill>
        </w:rPr>
        <w:t xml:space="preserve"> </w:t>
      </w:r>
      <w:r>
        <w:rPr>
          <w:rFonts w:ascii="Arial" w:hAnsi="Arial" w:cs="Arial"/>
          <w:sz w:val="20"/>
          <w:szCs w:val="20"/>
          <w:lang w:val="en-US"/>
        </w:rPr>
        <w:t>Early recognition of disease, correction of Ca:p (2:1) ratio in the diet or use of phosphorus binders or avoiding diets containing calcium chelators are suggested prophylactic measures.</w:t>
      </w:r>
    </w:p>
    <w:p w14:paraId="5269480E">
      <w:pPr>
        <w:jc w:val="both"/>
        <w:rPr>
          <w:rFonts w:ascii="Arial" w:hAnsi="Arial" w:cs="Arial"/>
          <w:b/>
          <w:bCs/>
        </w:rPr>
      </w:pPr>
    </w:p>
    <w:p w14:paraId="033B9B36">
      <w:pPr>
        <w:jc w:val="both"/>
        <w:rPr>
          <w:rFonts w:ascii="Arial" w:hAnsi="Arial" w:cs="Arial"/>
          <w:b/>
          <w:bCs/>
        </w:rPr>
      </w:pPr>
    </w:p>
    <w:p w14:paraId="16DEF49B">
      <w:pPr>
        <w:rPr>
          <w:highlight w:val="yellow"/>
        </w:rPr>
      </w:pPr>
      <w:r>
        <w:rPr>
          <w:highlight w:val="yellow"/>
        </w:rPr>
        <w:t>Disclaimer (Artificial intelligence)</w:t>
      </w:r>
    </w:p>
    <w:p w14:paraId="025A9BAE">
      <w:pPr>
        <w:rPr>
          <w:highlight w:val="yellow"/>
        </w:rPr>
      </w:pPr>
    </w:p>
    <w:p w14:paraId="69130C9E">
      <w:pPr>
        <w:rPr>
          <w:highlight w:val="yellow"/>
        </w:rPr>
      </w:pPr>
      <w:r>
        <w:rPr>
          <w:highlight w:val="yellow"/>
        </w:rPr>
        <w:t xml:space="preserve">Option 1: </w:t>
      </w:r>
    </w:p>
    <w:p w14:paraId="1AD80243">
      <w:pPr>
        <w:rPr>
          <w:highlight w:val="yellow"/>
        </w:rPr>
      </w:pPr>
    </w:p>
    <w:p w14:paraId="4ED9E632">
      <w:r>
        <w:rPr>
          <w:highlight w:val="yellow"/>
        </w:rPr>
        <w:t xml:space="preserve">Author(s) hereby declare that NO generative AI technologies such as Large Language Models (ChatGPT, COPILOT, etc.) and text-to-image generators have been used during the writing or editing of this manuscript. </w:t>
      </w:r>
    </w:p>
    <w:p w14:paraId="3A0CC499">
      <w:pPr>
        <w:jc w:val="both"/>
        <w:rPr>
          <w:rFonts w:ascii="Arial" w:hAnsi="Arial" w:cs="Arial"/>
          <w:b/>
          <w:bCs/>
        </w:rPr>
      </w:pPr>
    </w:p>
    <w:p w14:paraId="4E72123C">
      <w:pPr>
        <w:jc w:val="both"/>
        <w:rPr>
          <w:rFonts w:ascii="Arial" w:hAnsi="Arial" w:cs="Arial"/>
          <w:b/>
          <w:bCs/>
        </w:rPr>
      </w:pPr>
      <w:r>
        <w:rPr>
          <w:rFonts w:ascii="Arial" w:hAnsi="Arial" w:cs="Arial"/>
          <w:b/>
          <w:bCs/>
        </w:rPr>
        <w:t>REFERENCES</w:t>
      </w:r>
    </w:p>
    <w:p w14:paraId="03BBB467"/>
    <w:p w14:paraId="670C837D">
      <w:pPr>
        <w:pStyle w:val="15"/>
        <w:numPr>
          <w:ilvl w:val="0"/>
          <w:numId w:val="3"/>
        </w:numPr>
        <w:jc w:val="both"/>
        <w:rPr>
          <w:rFonts w:ascii="Arial" w:hAnsi="Arial" w:cs="Arial"/>
          <w:sz w:val="20"/>
          <w:szCs w:val="20"/>
        </w:rPr>
      </w:pPr>
      <w:r>
        <w:rPr>
          <w:rFonts w:ascii="Arial" w:hAnsi="Arial" w:cs="Arial"/>
          <w:sz w:val="20"/>
          <w:szCs w:val="20"/>
        </w:rPr>
        <w:t>Bandarra PM, Pavarini SP, Santos AS, Antoniassi NAB, Cruz CE, Driemeier D (2011) Nutritional fibrous osteodystrophy in goats. Pesquisa Veterinaria Brasileira 31:875–878.</w:t>
      </w:r>
    </w:p>
    <w:p w14:paraId="38FCFB53">
      <w:pPr>
        <w:pStyle w:val="15"/>
        <w:numPr>
          <w:ilvl w:val="0"/>
          <w:numId w:val="3"/>
        </w:numPr>
        <w:jc w:val="both"/>
        <w:rPr>
          <w:rFonts w:ascii="Arial" w:hAnsi="Arial" w:cs="Arial"/>
          <w:sz w:val="20"/>
          <w:szCs w:val="20"/>
        </w:rPr>
      </w:pPr>
      <w:r>
        <w:rPr>
          <w:rFonts w:ascii="Arial" w:hAnsi="Arial" w:cs="Arial"/>
          <w:sz w:val="20"/>
          <w:szCs w:val="20"/>
        </w:rPr>
        <w:t>Belay S, Gebru G, Godifey G, Brhane M, Zenebe M, Hagos H, Teame T (2014) Reproductive performance of Abergelle goats and growth rate of their crosses with Boer goats. Livestock Research Rural Devlopment 26(1):5</w:t>
      </w:r>
    </w:p>
    <w:p w14:paraId="22D4D900">
      <w:pPr>
        <w:pStyle w:val="15"/>
        <w:numPr>
          <w:ilvl w:val="0"/>
          <w:numId w:val="3"/>
        </w:numPr>
        <w:jc w:val="both"/>
        <w:rPr>
          <w:rFonts w:ascii="Arial" w:hAnsi="Arial" w:cs="Arial"/>
          <w:sz w:val="20"/>
          <w:szCs w:val="20"/>
        </w:rPr>
      </w:pPr>
      <w:r>
        <w:rPr>
          <w:rFonts w:ascii="Arial" w:hAnsi="Arial" w:cs="Arial"/>
          <w:sz w:val="20"/>
          <w:szCs w:val="20"/>
        </w:rPr>
        <w:t>Bharti D, Ajith Y, Madhesh E, Verma NK, Singh M, Kalaiselvan E, Raghuvaran R, Soni S, Mandal KD, Mukherjee R, Dimri U (2021) Nutritional secondary hyperparathyroidism–induced facial osteo dystrophy in a Labrador puppy. Compar</w:t>
      </w:r>
      <w:r>
        <w:rPr>
          <w:rFonts w:hint="default" w:ascii="Arial" w:hAnsi="Arial" w:cs="Arial"/>
          <w:sz w:val="20"/>
          <w:szCs w:val="20"/>
          <w:lang w:val="en-IN"/>
        </w:rPr>
        <w:t>a</w:t>
      </w:r>
      <w:r>
        <w:rPr>
          <w:rFonts w:ascii="Arial" w:hAnsi="Arial" w:cs="Arial"/>
          <w:sz w:val="20"/>
          <w:szCs w:val="20"/>
        </w:rPr>
        <w:t>tive Clinical Pathology 30:101–106.</w:t>
      </w:r>
    </w:p>
    <w:p w14:paraId="4E54C90E">
      <w:pPr>
        <w:pStyle w:val="15"/>
        <w:numPr>
          <w:ilvl w:val="0"/>
          <w:numId w:val="3"/>
        </w:numPr>
        <w:jc w:val="both"/>
        <w:rPr>
          <w:rFonts w:ascii="Arial" w:hAnsi="Arial" w:cs="Arial"/>
          <w:sz w:val="20"/>
          <w:szCs w:val="20"/>
        </w:rPr>
      </w:pPr>
      <w:r>
        <w:rPr>
          <w:rFonts w:ascii="Arial" w:hAnsi="Arial" w:cs="Arial"/>
          <w:sz w:val="20"/>
          <w:szCs w:val="20"/>
        </w:rPr>
        <w:t>Constable PD, Hinchcliff KW, Done SH, Grünberg W (2016) Veterinary medicine: a textbook of the Diseases of cattle, horses, sheep, pigs and goats, 11th edn. Saunders Ltd, USA</w:t>
      </w:r>
    </w:p>
    <w:p w14:paraId="23707BDA">
      <w:pPr>
        <w:pStyle w:val="15"/>
        <w:numPr>
          <w:ilvl w:val="0"/>
          <w:numId w:val="3"/>
        </w:numPr>
        <w:jc w:val="both"/>
        <w:rPr>
          <w:rFonts w:ascii="Arial" w:hAnsi="Arial" w:cs="Arial"/>
          <w:sz w:val="20"/>
          <w:szCs w:val="20"/>
        </w:rPr>
      </w:pPr>
      <w:r>
        <w:rPr>
          <w:rFonts w:ascii="Arial" w:hAnsi="Arial" w:cs="Arial"/>
          <w:sz w:val="20"/>
          <w:szCs w:val="20"/>
        </w:rPr>
        <w:t>Dhanasree G, Pillai UN, Ambily VR (2019) Management of osteo dystrophia fibrosa in stall confined caprine kids. Intas Polivet 20(1):113–114</w:t>
      </w:r>
    </w:p>
    <w:p w14:paraId="412EFEDC">
      <w:pPr>
        <w:pStyle w:val="15"/>
        <w:numPr>
          <w:ilvl w:val="0"/>
          <w:numId w:val="3"/>
        </w:numPr>
        <w:jc w:val="both"/>
        <w:rPr>
          <w:rFonts w:ascii="Arial" w:hAnsi="Arial" w:cs="Arial"/>
          <w:sz w:val="20"/>
          <w:szCs w:val="20"/>
        </w:rPr>
      </w:pPr>
      <w:r>
        <w:rPr>
          <w:rFonts w:ascii="Arial" w:hAnsi="Arial" w:cs="Arial"/>
          <w:sz w:val="20"/>
          <w:szCs w:val="20"/>
        </w:rPr>
        <w:t>Frisoli A Jr, Chaves PH, Pinheiro MM, Szejnfeld VL (2005) The effect of nandrolone decanoate on bone mineral density, muscle mass, and hemoglobin levels in elderly women with osteopo rosis: a double-blind, randomized, placebo-controlled clinical trial. Journal of Gerontology A Biological Sciences and Medical Sciences 60(5):648–653.</w:t>
      </w:r>
    </w:p>
    <w:p w14:paraId="20062D69">
      <w:pPr>
        <w:pStyle w:val="15"/>
        <w:numPr>
          <w:ilvl w:val="0"/>
          <w:numId w:val="3"/>
        </w:numPr>
        <w:jc w:val="both"/>
        <w:rPr>
          <w:rFonts w:ascii="Arial" w:hAnsi="Arial" w:cs="Arial"/>
          <w:sz w:val="20"/>
          <w:szCs w:val="20"/>
        </w:rPr>
      </w:pPr>
      <w:r>
        <w:rPr>
          <w:rFonts w:ascii="Arial" w:hAnsi="Arial" w:cs="Arial"/>
          <w:sz w:val="20"/>
          <w:szCs w:val="20"/>
        </w:rPr>
        <w:t>Geusens P, Dequeker J (1986) Long-term effect of nandrolone decano ate, 1 alpha-hydroxyvitamin D3 or intermittent calcium infusion therapy on bone mineral content, bone remodeling and fracture rate in symptomatic osteoporosis: a double-blind controlled study. Journal of Bone and Mineral research 1(4):347–357.</w:t>
      </w:r>
    </w:p>
    <w:p w14:paraId="5B228363">
      <w:pPr>
        <w:pStyle w:val="15"/>
        <w:numPr>
          <w:ilvl w:val="0"/>
          <w:numId w:val="3"/>
        </w:numPr>
        <w:jc w:val="both"/>
        <w:rPr>
          <w:rFonts w:ascii="Arial" w:hAnsi="Arial" w:cs="Arial"/>
          <w:sz w:val="20"/>
          <w:szCs w:val="20"/>
        </w:rPr>
      </w:pPr>
      <w:r>
        <w:rPr>
          <w:rFonts w:ascii="Arial" w:hAnsi="Arial" w:cs="Arial"/>
          <w:sz w:val="20"/>
          <w:szCs w:val="20"/>
        </w:rPr>
        <w:t>Geusens P (1995) Nandrolone decanoate: pharmacological properties and therapeutic use in osteoporosis. Clinical Rheumatology 14:32–39.</w:t>
      </w:r>
    </w:p>
    <w:p w14:paraId="7FC86C71">
      <w:pPr>
        <w:pStyle w:val="15"/>
        <w:numPr>
          <w:ilvl w:val="0"/>
          <w:numId w:val="3"/>
        </w:numPr>
        <w:jc w:val="both"/>
        <w:rPr>
          <w:rFonts w:ascii="Arial" w:hAnsi="Arial" w:cs="Arial"/>
          <w:sz w:val="20"/>
          <w:szCs w:val="20"/>
        </w:rPr>
      </w:pPr>
      <w:r>
        <w:rPr>
          <w:rFonts w:ascii="Arial" w:hAnsi="Arial" w:cs="Arial"/>
          <w:sz w:val="20"/>
          <w:szCs w:val="20"/>
        </w:rPr>
        <w:t>Gangadharan B, Abraham MJ, Ramachandran KM, Rajan A (1997) Incidence and pathology of osteodystrophia fibrosa in kids. Indian Journal of  Animal Sciences 67(8):685–686.</w:t>
      </w:r>
    </w:p>
    <w:p w14:paraId="1C6370BA">
      <w:pPr>
        <w:pStyle w:val="15"/>
        <w:numPr>
          <w:ilvl w:val="0"/>
          <w:numId w:val="3"/>
        </w:numPr>
        <w:jc w:val="both"/>
        <w:rPr>
          <w:rFonts w:ascii="Arial" w:hAnsi="Arial" w:cs="Arial"/>
          <w:sz w:val="20"/>
          <w:szCs w:val="20"/>
        </w:rPr>
      </w:pPr>
      <w:r>
        <w:rPr>
          <w:rFonts w:ascii="Arial" w:hAnsi="Arial" w:cs="Arial"/>
          <w:sz w:val="20"/>
          <w:szCs w:val="20"/>
        </w:rPr>
        <w:t>Lyritis GP, Androulakis C, Magiasis B, Charalambaki Z, Tsakala kos N (1994) Effect of nandrolone decanoate and 1-α-hydroxy calciferol on patients with vertebral osteoporotic collapse. A double-blind clinical trial. Journal of Bone and Mineral research 27(3):209–217.</w:t>
      </w:r>
    </w:p>
    <w:p w14:paraId="7F0FE5A9">
      <w:pPr>
        <w:pStyle w:val="15"/>
        <w:numPr>
          <w:ilvl w:val="0"/>
          <w:numId w:val="3"/>
        </w:numPr>
        <w:jc w:val="both"/>
        <w:rPr>
          <w:rFonts w:ascii="Arial" w:hAnsi="Arial" w:cs="Arial"/>
          <w:sz w:val="20"/>
          <w:szCs w:val="20"/>
        </w:rPr>
      </w:pPr>
      <w:r>
        <w:rPr>
          <w:rFonts w:ascii="Arial" w:hAnsi="Arial" w:cs="Arial"/>
          <w:sz w:val="20"/>
          <w:szCs w:val="20"/>
        </w:rPr>
        <w:t>Li X, Takahashi M, Kushida K, Shimizu S, Hoshino H, Suzuki M, Inoue T (2000) The effects of nandrolone decanoate on bone mass and metabolism in ovariectomized rats with osteopenia. Journal of Bone Mineral Metabolism 18:258–263.</w:t>
      </w:r>
    </w:p>
    <w:p w14:paraId="13C71F34">
      <w:pPr>
        <w:pStyle w:val="15"/>
        <w:numPr>
          <w:ilvl w:val="0"/>
          <w:numId w:val="3"/>
        </w:numPr>
        <w:jc w:val="both"/>
        <w:rPr>
          <w:rFonts w:ascii="Arial" w:hAnsi="Arial" w:cs="Arial"/>
          <w:sz w:val="20"/>
          <w:szCs w:val="20"/>
        </w:rPr>
      </w:pPr>
      <w:r>
        <w:rPr>
          <w:rFonts w:ascii="Arial" w:hAnsi="Arial" w:cs="Arial"/>
          <w:sz w:val="20"/>
          <w:szCs w:val="20"/>
        </w:rPr>
        <w:t>Lofrese JJ, Basit H, Lappin SL (2022) Physiology, parathyroid. In: StatPearls [Internet] StatPearls Publishing LLC, Florida</w:t>
      </w:r>
    </w:p>
    <w:p w14:paraId="6B28A6FB">
      <w:pPr>
        <w:pStyle w:val="15"/>
        <w:numPr>
          <w:ilvl w:val="0"/>
          <w:numId w:val="3"/>
        </w:numPr>
        <w:jc w:val="both"/>
        <w:rPr>
          <w:rFonts w:ascii="Arial" w:hAnsi="Arial" w:cs="Arial"/>
          <w:sz w:val="20"/>
          <w:szCs w:val="20"/>
        </w:rPr>
      </w:pPr>
      <w:r>
        <w:rPr>
          <w:rFonts w:ascii="Arial" w:hAnsi="Arial" w:cs="Arial"/>
          <w:sz w:val="20"/>
          <w:szCs w:val="20"/>
        </w:rPr>
        <w:t>Nimi PS, Bini J (2022) Nutritional fibrous osteodystrophy in goats report of two cases. Journal of  Indian Veterinary Association 20(2):85–88.</w:t>
      </w:r>
    </w:p>
    <w:p w14:paraId="77EF5403">
      <w:pPr>
        <w:pStyle w:val="15"/>
        <w:numPr>
          <w:ilvl w:val="0"/>
          <w:numId w:val="3"/>
        </w:numPr>
        <w:jc w:val="both"/>
        <w:rPr>
          <w:rFonts w:ascii="Arial" w:hAnsi="Arial" w:cs="Arial"/>
          <w:sz w:val="20"/>
          <w:szCs w:val="20"/>
        </w:rPr>
      </w:pPr>
      <w:r>
        <w:rPr>
          <w:rFonts w:ascii="Arial" w:hAnsi="Arial" w:cs="Arial"/>
          <w:sz w:val="20"/>
          <w:szCs w:val="20"/>
        </w:rPr>
        <w:t>Özmen Ö, Şahinduran S, Aydoğan A, Sevgisunar NS, Haligür M (2017) Clinical and pathological studies on nutritional fibrousosteodystrophy in goats. Veteriner Fakultesi Dergisi 64(1):55–59.</w:t>
      </w:r>
    </w:p>
    <w:p w14:paraId="254405CF">
      <w:pPr>
        <w:pStyle w:val="15"/>
        <w:numPr>
          <w:ilvl w:val="0"/>
          <w:numId w:val="3"/>
        </w:numPr>
        <w:jc w:val="both"/>
        <w:rPr>
          <w:rFonts w:ascii="Arial" w:hAnsi="Arial" w:cs="Arial"/>
          <w:sz w:val="20"/>
          <w:szCs w:val="20"/>
        </w:rPr>
      </w:pPr>
      <w:r>
        <w:rPr>
          <w:rFonts w:ascii="Arial" w:hAnsi="Arial" w:cs="Arial"/>
          <w:sz w:val="20"/>
          <w:szCs w:val="20"/>
        </w:rPr>
        <w:t xml:space="preserve">Palmer NC (1968) Osteodystrophia fibrosa in cats. Australian Veterinary Journal 44(4):151–155. </w:t>
      </w:r>
    </w:p>
    <w:p w14:paraId="2056AA2C">
      <w:pPr>
        <w:pStyle w:val="15"/>
        <w:numPr>
          <w:ilvl w:val="0"/>
          <w:numId w:val="3"/>
        </w:numPr>
        <w:jc w:val="both"/>
        <w:rPr>
          <w:rFonts w:ascii="Arial" w:hAnsi="Arial" w:cs="Arial"/>
          <w:sz w:val="20"/>
          <w:szCs w:val="20"/>
        </w:rPr>
      </w:pPr>
      <w:r>
        <w:rPr>
          <w:rFonts w:ascii="Arial" w:hAnsi="Arial" w:cs="Arial"/>
          <w:sz w:val="20"/>
          <w:szCs w:val="20"/>
        </w:rPr>
        <w:t>Passeri M, Pedrazzoni M, Pioli G, Butturini L, Ruys AHC, Cortenraad MGG (1993) Effects of nandrolone decanoate on bone mass in established osteoporosis. Maturitas 17(3):211–219.</w:t>
      </w:r>
    </w:p>
    <w:p w14:paraId="521C3CD5">
      <w:pPr>
        <w:pStyle w:val="15"/>
        <w:numPr>
          <w:ilvl w:val="0"/>
          <w:numId w:val="3"/>
        </w:numPr>
        <w:jc w:val="both"/>
        <w:rPr>
          <w:rFonts w:ascii="Arial" w:hAnsi="Arial" w:cs="Arial"/>
          <w:sz w:val="20"/>
          <w:szCs w:val="20"/>
        </w:rPr>
      </w:pPr>
      <w:r>
        <w:rPr>
          <w:rFonts w:ascii="Arial" w:hAnsi="Arial" w:cs="Arial"/>
          <w:sz w:val="20"/>
          <w:szCs w:val="20"/>
        </w:rPr>
        <w:t>Patanè FG, Liberto A, Maria Maglitto AN, Malandrino P, Esposito M, Amico F, Cocimano G, Rosi GL, Condorelli D, Nunno ND, Mon tana A (2020) Nandrolone decanoate: use, abuse and side effects. Medicina 56(11):606.</w:t>
      </w:r>
    </w:p>
    <w:p w14:paraId="37C83CD2">
      <w:pPr>
        <w:pStyle w:val="15"/>
        <w:numPr>
          <w:ilvl w:val="0"/>
          <w:numId w:val="3"/>
        </w:numPr>
        <w:jc w:val="both"/>
        <w:rPr>
          <w:rFonts w:ascii="Arial" w:hAnsi="Arial" w:cs="Arial"/>
          <w:sz w:val="20"/>
          <w:szCs w:val="20"/>
        </w:rPr>
      </w:pPr>
      <w:r>
        <w:rPr>
          <w:rFonts w:ascii="Arial" w:hAnsi="Arial" w:cs="Arial"/>
          <w:sz w:val="20"/>
          <w:szCs w:val="20"/>
        </w:rPr>
        <w:t>Radostits O.M., Gay C.C., Hinchcliff K.W. &amp; Constable P.D. 2007. Veterinary Medicine: A textbook of the diseases of cattle, horses, sheep, pigs, and goats. 10th ed. Saunders, London, p.633-634.</w:t>
      </w:r>
    </w:p>
    <w:p w14:paraId="6D34893D">
      <w:pPr>
        <w:pStyle w:val="15"/>
        <w:numPr>
          <w:ilvl w:val="0"/>
          <w:numId w:val="3"/>
        </w:numPr>
        <w:jc w:val="both"/>
        <w:rPr>
          <w:rFonts w:ascii="Arial" w:hAnsi="Arial" w:cs="Arial"/>
          <w:sz w:val="20"/>
          <w:szCs w:val="20"/>
        </w:rPr>
      </w:pPr>
      <w:r>
        <w:rPr>
          <w:rFonts w:ascii="Arial" w:hAnsi="Arial" w:cs="Arial"/>
          <w:sz w:val="20"/>
          <w:szCs w:val="20"/>
        </w:rPr>
        <w:t>Rosol T.J. &amp; Capen C.C. 2008. Calcium-Regulating Hormones and Diseases of Abnormal Mineral Metabolism, p.650-652. In: Kaneko J.J., Harvey J.W. &amp; Bruss M.L. (Eds), Clinical Biochemistry of Domestic Animals. 6th ed. Academic Press, San Diego.</w:t>
      </w:r>
    </w:p>
    <w:p w14:paraId="457770FF">
      <w:pPr>
        <w:pStyle w:val="15"/>
        <w:numPr>
          <w:ilvl w:val="0"/>
          <w:numId w:val="3"/>
        </w:numPr>
        <w:jc w:val="both"/>
        <w:rPr>
          <w:rFonts w:hint="default" w:ascii="Arial" w:hAnsi="Arial" w:eastAsia="Times New Roman" w:cs="Arial"/>
          <w:color w:val="232323"/>
          <w:kern w:val="0"/>
          <w:sz w:val="20"/>
          <w:szCs w:val="20"/>
          <w:lang w:eastAsia="en-IN"/>
          <w14:ligatures w14:val="none"/>
        </w:rPr>
      </w:pPr>
      <w:r>
        <w:rPr>
          <w:rFonts w:ascii="Arial" w:hAnsi="Arial" w:cs="Arial"/>
          <w:sz w:val="20"/>
          <w:szCs w:val="20"/>
        </w:rPr>
        <w:t>Soliman GZ (2005) Comparison of chemical and mineral content of milk from human, cow, buffalo, camel and goat in Egypt. Egyptian Journal of Hospital Medicine 21(1):116–130.</w:t>
      </w:r>
    </w:p>
    <w:p w14:paraId="31629D95">
      <w:pPr>
        <w:pStyle w:val="15"/>
        <w:numPr>
          <w:ilvl w:val="0"/>
          <w:numId w:val="3"/>
        </w:numPr>
        <w:jc w:val="both"/>
        <w:rPr>
          <w:rFonts w:ascii="Arial" w:hAnsi="Arial" w:cs="Arial"/>
          <w:sz w:val="20"/>
          <w:szCs w:val="20"/>
        </w:rPr>
      </w:pPr>
      <w:r>
        <w:rPr>
          <w:rFonts w:hint="default" w:ascii="Arial" w:hAnsi="Arial" w:eastAsia="SimSun" w:cs="Arial"/>
          <w:color w:val="000000"/>
          <w:kern w:val="0"/>
          <w:sz w:val="20"/>
          <w:szCs w:val="20"/>
          <w:lang w:val="en-US" w:eastAsia="zh-CN" w:bidi="ar"/>
          <w14:ligatures w14:val="standardContextual"/>
        </w:rPr>
        <w:t>Snedecor G</w:t>
      </w:r>
      <w:r>
        <w:rPr>
          <w:rFonts w:hint="default" w:ascii="Arial" w:hAnsi="Arial" w:eastAsia="SimSun" w:cs="Arial"/>
          <w:color w:val="000000"/>
          <w:kern w:val="0"/>
          <w:sz w:val="20"/>
          <w:szCs w:val="20"/>
          <w:lang w:val="en-IN" w:eastAsia="zh-CN" w:bidi="ar"/>
          <w14:ligatures w14:val="standardContextual"/>
        </w:rPr>
        <w:t>.</w:t>
      </w:r>
      <w:r>
        <w:rPr>
          <w:rFonts w:hint="default" w:ascii="Arial" w:hAnsi="Arial" w:eastAsia="SimSun" w:cs="Arial"/>
          <w:color w:val="000000"/>
          <w:kern w:val="0"/>
          <w:sz w:val="20"/>
          <w:szCs w:val="20"/>
          <w:lang w:val="en-US" w:eastAsia="zh-CN" w:bidi="ar"/>
          <w14:ligatures w14:val="standardContextual"/>
        </w:rPr>
        <w:t>W and Cochran W</w:t>
      </w:r>
      <w:r>
        <w:rPr>
          <w:rFonts w:hint="default" w:ascii="Arial" w:hAnsi="Arial" w:eastAsia="SimSun" w:cs="Arial"/>
          <w:color w:val="000000"/>
          <w:kern w:val="0"/>
          <w:sz w:val="20"/>
          <w:szCs w:val="20"/>
          <w:lang w:val="en-IN" w:eastAsia="zh-CN" w:bidi="ar"/>
          <w14:ligatures w14:val="standardContextual"/>
        </w:rPr>
        <w:t>.</w:t>
      </w:r>
      <w:r>
        <w:rPr>
          <w:rFonts w:hint="default" w:ascii="Arial" w:hAnsi="Arial" w:eastAsia="SimSun" w:cs="Arial"/>
          <w:color w:val="000000"/>
          <w:kern w:val="0"/>
          <w:sz w:val="20"/>
          <w:szCs w:val="20"/>
          <w:lang w:val="en-US" w:eastAsia="zh-CN" w:bidi="ar"/>
          <w14:ligatures w14:val="standardContextual"/>
        </w:rPr>
        <w:t xml:space="preserve">G </w:t>
      </w:r>
      <w:r>
        <w:rPr>
          <w:rFonts w:hint="default" w:ascii="Arial" w:hAnsi="Arial" w:eastAsia="SimSun" w:cs="Arial"/>
          <w:color w:val="000000"/>
          <w:kern w:val="0"/>
          <w:sz w:val="20"/>
          <w:szCs w:val="20"/>
          <w:lang w:val="en-IN" w:eastAsia="zh-CN" w:bidi="ar"/>
          <w14:ligatures w14:val="standardContextual"/>
        </w:rPr>
        <w:t>(</w:t>
      </w:r>
      <w:r>
        <w:rPr>
          <w:rFonts w:hint="default" w:ascii="Arial" w:hAnsi="Arial" w:eastAsia="SimSun" w:cs="Arial"/>
          <w:color w:val="000000"/>
          <w:kern w:val="0"/>
          <w:sz w:val="20"/>
          <w:szCs w:val="20"/>
          <w:lang w:val="en-US" w:eastAsia="zh-CN" w:bidi="ar"/>
          <w14:ligatures w14:val="standardContextual"/>
        </w:rPr>
        <w:t>1994</w:t>
      </w:r>
      <w:r>
        <w:rPr>
          <w:rFonts w:hint="default" w:ascii="Arial" w:hAnsi="Arial" w:eastAsia="SimSun" w:cs="Arial"/>
          <w:color w:val="000000"/>
          <w:kern w:val="0"/>
          <w:sz w:val="20"/>
          <w:szCs w:val="20"/>
          <w:lang w:val="en-IN" w:eastAsia="zh-CN" w:bidi="ar"/>
          <w14:ligatures w14:val="standardContextual"/>
        </w:rPr>
        <w:t>).</w:t>
      </w:r>
      <w:r>
        <w:rPr>
          <w:rFonts w:hint="default" w:ascii="Arial" w:hAnsi="Arial" w:eastAsia="SimSun" w:cs="Arial"/>
          <w:color w:val="000000"/>
          <w:kern w:val="0"/>
          <w:sz w:val="20"/>
          <w:szCs w:val="20"/>
          <w:lang w:val="en-US" w:eastAsia="zh-CN" w:bidi="ar"/>
          <w14:ligatures w14:val="standardContextual"/>
        </w:rPr>
        <w:t xml:space="preserve"> Statistical methods, 8th Edition, Iowa State University Press, USA.</w:t>
      </w:r>
    </w:p>
    <w:p w14:paraId="793A8DB1">
      <w:pPr>
        <w:pStyle w:val="15"/>
        <w:numPr>
          <w:ilvl w:val="0"/>
          <w:numId w:val="3"/>
        </w:numPr>
        <w:jc w:val="both"/>
        <w:rPr>
          <w:rFonts w:ascii="Arial" w:hAnsi="Arial" w:cs="Arial"/>
          <w:sz w:val="20"/>
          <w:szCs w:val="20"/>
        </w:rPr>
      </w:pPr>
      <w:r>
        <w:rPr>
          <w:rFonts w:ascii="Arial" w:hAnsi="Arial" w:cs="Arial"/>
          <w:sz w:val="20"/>
          <w:szCs w:val="20"/>
        </w:rPr>
        <w:t>Smith MC, Sherman DM. Goat medicine. 2nd ed. John Wiley &amp; Sons. 2011; p. 88</w:t>
      </w:r>
    </w:p>
    <w:p w14:paraId="6AAC5B6E">
      <w:pPr>
        <w:pStyle w:val="15"/>
        <w:numPr>
          <w:ilvl w:val="0"/>
          <w:numId w:val="3"/>
        </w:numPr>
        <w:jc w:val="both"/>
        <w:rPr>
          <w:rFonts w:ascii="Arial" w:hAnsi="Arial" w:cs="Arial"/>
          <w:sz w:val="20"/>
          <w:szCs w:val="20"/>
        </w:rPr>
      </w:pPr>
      <w:r>
        <w:rPr>
          <w:rFonts w:ascii="Arial" w:hAnsi="Arial" w:cs="Arial"/>
          <w:sz w:val="20"/>
          <w:szCs w:val="20"/>
        </w:rPr>
        <w:t>Schalch TD, Ferrari RAM, Souza NHC, Albarello PM, França CM, Bussadori SK, Martins MD, Fernandes KPS (2013) Effect of ste roid nandrolone decanoate on osteoblast-like cells. Medical Science and Technology 54(1):107–111.</w:t>
      </w:r>
    </w:p>
    <w:p w14:paraId="1E438142">
      <w:pPr>
        <w:pStyle w:val="15"/>
        <w:numPr>
          <w:ilvl w:val="0"/>
          <w:numId w:val="3"/>
        </w:numPr>
        <w:jc w:val="both"/>
        <w:rPr>
          <w:rFonts w:ascii="Arial" w:hAnsi="Arial" w:cs="Arial"/>
          <w:sz w:val="20"/>
          <w:szCs w:val="20"/>
        </w:rPr>
      </w:pPr>
      <w:r>
        <w:rPr>
          <w:rFonts w:ascii="Arial" w:hAnsi="Arial" w:cs="Arial"/>
          <w:sz w:val="20"/>
          <w:szCs w:val="20"/>
        </w:rPr>
        <w:t>Mevin</w:t>
      </w:r>
      <w:r>
        <w:rPr>
          <w:rFonts w:hint="default" w:ascii="Arial" w:hAnsi="Arial" w:cs="Arial"/>
          <w:sz w:val="20"/>
          <w:szCs w:val="20"/>
          <w:lang w:val="en-IN"/>
        </w:rPr>
        <w:t xml:space="preserve"> M.</w:t>
      </w:r>
      <w:r>
        <w:rPr>
          <w:rFonts w:ascii="Arial" w:hAnsi="Arial" w:cs="Arial"/>
          <w:sz w:val="20"/>
          <w:szCs w:val="20"/>
        </w:rPr>
        <w:t xml:space="preserve"> S, Ajith Y, Sasi Adithya, Amal V, Athira N, Sonaa M, Raj Siji S, Ancy T.Therapeutic management of osteodystrophia fibrosa in early weaned Malabari male goat kids Veterinary Research Communications (2024) 48:1271–1278.</w:t>
      </w:r>
    </w:p>
    <w:p w14:paraId="41AA5237">
      <w:pPr>
        <w:pStyle w:val="15"/>
        <w:numPr>
          <w:ilvl w:val="0"/>
          <w:numId w:val="3"/>
        </w:numPr>
        <w:jc w:val="both"/>
        <w:rPr>
          <w:rFonts w:ascii="Arial" w:hAnsi="Arial" w:cs="Arial"/>
          <w:sz w:val="20"/>
          <w:szCs w:val="20"/>
        </w:rPr>
      </w:pPr>
      <w:r>
        <w:rPr>
          <w:rFonts w:ascii="Arial" w:hAnsi="Arial" w:cs="Arial"/>
          <w:sz w:val="20"/>
          <w:szCs w:val="20"/>
        </w:rPr>
        <w:t>Thompson K. 2007. Bones and Joints, p.82-88. In: Maxie M.G. (Ed.), Jubb, Kennedy, and Palmer´s Pathology of Domestic Animals. Vol.1. 5th ed. El sevier, Philadelphia</w:t>
      </w:r>
    </w:p>
    <w:p w14:paraId="599C4894">
      <w:pPr>
        <w:pStyle w:val="15"/>
        <w:numPr>
          <w:ilvl w:val="0"/>
          <w:numId w:val="3"/>
        </w:numPr>
        <w:jc w:val="both"/>
        <w:rPr>
          <w:rFonts w:ascii="Arial" w:hAnsi="Arial" w:cs="Arial"/>
          <w:sz w:val="20"/>
          <w:szCs w:val="20"/>
        </w:rPr>
      </w:pPr>
      <w:r>
        <w:rPr>
          <w:rFonts w:ascii="Arial" w:hAnsi="Arial" w:cs="Arial"/>
          <w:sz w:val="20"/>
          <w:szCs w:val="20"/>
        </w:rPr>
        <w:t>Tejaswini KG, Pillai UN, Madhavan UN, Nair SS (2018) Osteodystro phia fibrosa in a goat-a case report. Indian Journal of Veterinary Science and Biotechnology 14(2):64–65.</w:t>
      </w:r>
    </w:p>
    <w:p w14:paraId="565850B4">
      <w:pPr>
        <w:pStyle w:val="15"/>
        <w:numPr>
          <w:ilvl w:val="0"/>
          <w:numId w:val="3"/>
        </w:numPr>
        <w:jc w:val="both"/>
        <w:rPr>
          <w:rFonts w:ascii="Arial" w:hAnsi="Arial" w:cs="Arial"/>
          <w:sz w:val="20"/>
          <w:szCs w:val="20"/>
        </w:rPr>
      </w:pPr>
      <w:r>
        <w:rPr>
          <w:rFonts w:ascii="Arial" w:hAnsi="Arial" w:cs="Arial"/>
          <w:sz w:val="20"/>
          <w:szCs w:val="20"/>
        </w:rPr>
        <w:t>Varshney JP, Kumar G, Singh SK (2018) Evaluation of promis ing biochemical markers of nutritional osteodystrophy in goats. Small Ruminant Research 169:86–89.</w:t>
      </w:r>
    </w:p>
    <w:p w14:paraId="681833E9">
      <w:pPr>
        <w:pStyle w:val="15"/>
        <w:numPr>
          <w:ilvl w:val="0"/>
          <w:numId w:val="3"/>
        </w:numPr>
        <w:jc w:val="both"/>
        <w:rPr>
          <w:rFonts w:ascii="Arial" w:hAnsi="Arial" w:cs="Arial"/>
          <w:sz w:val="20"/>
          <w:szCs w:val="20"/>
        </w:rPr>
      </w:pPr>
      <w:r>
        <w:rPr>
          <w:rFonts w:ascii="Arial" w:hAnsi="Arial" w:cs="Arial"/>
          <w:sz w:val="20"/>
          <w:szCs w:val="20"/>
        </w:rPr>
        <w:t>Van de Peppel J, Franceschi RT, Li Y, van der Eerden BC (2018) Vita min D regulation of osteoblast function. In: Feldman D (ed) Vita min D, 4th edn. Academic Press, Cambridge, pp 295–308.</w:t>
      </w:r>
    </w:p>
    <w:p w14:paraId="08F10964">
      <w:pPr>
        <w:pStyle w:val="15"/>
        <w:numPr>
          <w:ilvl w:val="0"/>
          <w:numId w:val="3"/>
        </w:numPr>
        <w:jc w:val="both"/>
        <w:rPr>
          <w:rFonts w:ascii="Arial" w:hAnsi="Arial" w:cs="Arial"/>
          <w:sz w:val="20"/>
          <w:szCs w:val="20"/>
        </w:rPr>
      </w:pPr>
      <w:r>
        <w:rPr>
          <w:rFonts w:ascii="Arial" w:hAnsi="Arial" w:cs="Arial"/>
          <w:sz w:val="20"/>
          <w:szCs w:val="20"/>
        </w:rPr>
        <w:t>Weisbrode S.W. 2007. Bone and joints, p.1075-1076. In: McGavin M.D. &amp; Zachary J.F. (Eds), Pathologic Basis of Veterinary Disease. 4th ed. Mosby, St Louis.</w:t>
      </w:r>
    </w:p>
    <w:p w14:paraId="5358B16F">
      <w:pPr>
        <w:ind w:left="360"/>
        <w:jc w:val="both"/>
        <w:rPr>
          <w:rFonts w:ascii="Arial" w:hAnsi="Arial" w:cs="Arial"/>
          <w:sz w:val="20"/>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5FF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F60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167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AD72">
    <w:pPr>
      <w:pStyle w:val="10"/>
    </w:pPr>
    <w:r>
      <w:pict>
        <v:shape id="PowerPlusWaterMarkObject639240798"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p w14:paraId="416777E5">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48CD">
    <w:pPr>
      <w:pStyle w:val="10"/>
    </w:pPr>
    <w:r>
      <w:pict>
        <v:shape id="PowerPlusWaterMarkObject639240797"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E24D">
    <w:pPr>
      <w:pStyle w:val="10"/>
    </w:pPr>
    <w:r>
      <w:pict>
        <v:shape id="PowerPlusWaterMarkObject639240796"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440B6"/>
    <w:multiLevelType w:val="multilevel"/>
    <w:tmpl w:val="01E440B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E96AAD"/>
    <w:multiLevelType w:val="multilevel"/>
    <w:tmpl w:val="17E96A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32A7EFE"/>
    <w:multiLevelType w:val="multilevel"/>
    <w:tmpl w:val="332A7E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6B"/>
    <w:rsid w:val="00001C7D"/>
    <w:rsid w:val="00002351"/>
    <w:rsid w:val="00012FF2"/>
    <w:rsid w:val="0001311F"/>
    <w:rsid w:val="00013777"/>
    <w:rsid w:val="00026A06"/>
    <w:rsid w:val="000273AA"/>
    <w:rsid w:val="00030238"/>
    <w:rsid w:val="000321AB"/>
    <w:rsid w:val="00044CE9"/>
    <w:rsid w:val="0005469E"/>
    <w:rsid w:val="0005657D"/>
    <w:rsid w:val="000611BD"/>
    <w:rsid w:val="00066AE8"/>
    <w:rsid w:val="0008265D"/>
    <w:rsid w:val="000838E1"/>
    <w:rsid w:val="00086BFA"/>
    <w:rsid w:val="00090D2C"/>
    <w:rsid w:val="00091B7C"/>
    <w:rsid w:val="00094D8F"/>
    <w:rsid w:val="000A7A3F"/>
    <w:rsid w:val="000C246C"/>
    <w:rsid w:val="000D606D"/>
    <w:rsid w:val="000D7EC4"/>
    <w:rsid w:val="000E6566"/>
    <w:rsid w:val="000F2076"/>
    <w:rsid w:val="000F2335"/>
    <w:rsid w:val="00105D02"/>
    <w:rsid w:val="00106489"/>
    <w:rsid w:val="00112645"/>
    <w:rsid w:val="001159CB"/>
    <w:rsid w:val="00117B79"/>
    <w:rsid w:val="00122D40"/>
    <w:rsid w:val="00124DC5"/>
    <w:rsid w:val="00137E92"/>
    <w:rsid w:val="001406A0"/>
    <w:rsid w:val="00150074"/>
    <w:rsid w:val="00157659"/>
    <w:rsid w:val="00161B13"/>
    <w:rsid w:val="00164275"/>
    <w:rsid w:val="001668CF"/>
    <w:rsid w:val="00172EA5"/>
    <w:rsid w:val="00175B0D"/>
    <w:rsid w:val="0018439F"/>
    <w:rsid w:val="001C4492"/>
    <w:rsid w:val="001D4C8A"/>
    <w:rsid w:val="001D6D28"/>
    <w:rsid w:val="001D7FAB"/>
    <w:rsid w:val="001F19BE"/>
    <w:rsid w:val="00207FCB"/>
    <w:rsid w:val="00220C25"/>
    <w:rsid w:val="002338EB"/>
    <w:rsid w:val="00241063"/>
    <w:rsid w:val="00243305"/>
    <w:rsid w:val="0024591C"/>
    <w:rsid w:val="00247392"/>
    <w:rsid w:val="002609CB"/>
    <w:rsid w:val="00261BE2"/>
    <w:rsid w:val="00262A9E"/>
    <w:rsid w:val="0026566E"/>
    <w:rsid w:val="002725A1"/>
    <w:rsid w:val="00274486"/>
    <w:rsid w:val="0027706D"/>
    <w:rsid w:val="00277EC4"/>
    <w:rsid w:val="00294828"/>
    <w:rsid w:val="002B41C8"/>
    <w:rsid w:val="002B7B1F"/>
    <w:rsid w:val="002C2F58"/>
    <w:rsid w:val="002D5169"/>
    <w:rsid w:val="002D658C"/>
    <w:rsid w:val="002E338F"/>
    <w:rsid w:val="002E5D3F"/>
    <w:rsid w:val="002F63C0"/>
    <w:rsid w:val="002F7C1C"/>
    <w:rsid w:val="00311E97"/>
    <w:rsid w:val="003201CC"/>
    <w:rsid w:val="00322FED"/>
    <w:rsid w:val="00332583"/>
    <w:rsid w:val="00336C8C"/>
    <w:rsid w:val="00344A41"/>
    <w:rsid w:val="00345C11"/>
    <w:rsid w:val="00352184"/>
    <w:rsid w:val="00362A54"/>
    <w:rsid w:val="00363196"/>
    <w:rsid w:val="00363BC2"/>
    <w:rsid w:val="0036514B"/>
    <w:rsid w:val="00375682"/>
    <w:rsid w:val="00382980"/>
    <w:rsid w:val="003850FA"/>
    <w:rsid w:val="00385D75"/>
    <w:rsid w:val="00391ACD"/>
    <w:rsid w:val="00391DAD"/>
    <w:rsid w:val="003A6822"/>
    <w:rsid w:val="003C5F2D"/>
    <w:rsid w:val="003D5169"/>
    <w:rsid w:val="003E2CA1"/>
    <w:rsid w:val="003E4F5D"/>
    <w:rsid w:val="003E68B5"/>
    <w:rsid w:val="003F0BC1"/>
    <w:rsid w:val="003F2262"/>
    <w:rsid w:val="003F6597"/>
    <w:rsid w:val="00404802"/>
    <w:rsid w:val="00412BF8"/>
    <w:rsid w:val="00440664"/>
    <w:rsid w:val="00446F45"/>
    <w:rsid w:val="00454B6B"/>
    <w:rsid w:val="00455FF5"/>
    <w:rsid w:val="00460915"/>
    <w:rsid w:val="00463357"/>
    <w:rsid w:val="004654DB"/>
    <w:rsid w:val="00480D43"/>
    <w:rsid w:val="00485E44"/>
    <w:rsid w:val="004D2138"/>
    <w:rsid w:val="004D2A0A"/>
    <w:rsid w:val="004E028F"/>
    <w:rsid w:val="004E43B4"/>
    <w:rsid w:val="004F74D4"/>
    <w:rsid w:val="00523DAF"/>
    <w:rsid w:val="005247C7"/>
    <w:rsid w:val="00526101"/>
    <w:rsid w:val="005374EE"/>
    <w:rsid w:val="005467F5"/>
    <w:rsid w:val="00546CB4"/>
    <w:rsid w:val="0056645F"/>
    <w:rsid w:val="00573D79"/>
    <w:rsid w:val="005745AF"/>
    <w:rsid w:val="0057572B"/>
    <w:rsid w:val="00580118"/>
    <w:rsid w:val="00580495"/>
    <w:rsid w:val="005925CD"/>
    <w:rsid w:val="0059537F"/>
    <w:rsid w:val="005A36CD"/>
    <w:rsid w:val="005A592F"/>
    <w:rsid w:val="005A61B1"/>
    <w:rsid w:val="005C63D6"/>
    <w:rsid w:val="005D17A6"/>
    <w:rsid w:val="005D62C6"/>
    <w:rsid w:val="005E69BE"/>
    <w:rsid w:val="005F6E23"/>
    <w:rsid w:val="006022F0"/>
    <w:rsid w:val="00615AF1"/>
    <w:rsid w:val="00615B2C"/>
    <w:rsid w:val="00617437"/>
    <w:rsid w:val="00617D95"/>
    <w:rsid w:val="00624195"/>
    <w:rsid w:val="00624F6B"/>
    <w:rsid w:val="00634713"/>
    <w:rsid w:val="00644E18"/>
    <w:rsid w:val="00645637"/>
    <w:rsid w:val="006813FA"/>
    <w:rsid w:val="006828C3"/>
    <w:rsid w:val="00683B91"/>
    <w:rsid w:val="00685110"/>
    <w:rsid w:val="00693FDB"/>
    <w:rsid w:val="00697517"/>
    <w:rsid w:val="006A0A91"/>
    <w:rsid w:val="006A71F5"/>
    <w:rsid w:val="006C43CC"/>
    <w:rsid w:val="006C4686"/>
    <w:rsid w:val="006C682F"/>
    <w:rsid w:val="006D1D58"/>
    <w:rsid w:val="006D3C8C"/>
    <w:rsid w:val="006D3D70"/>
    <w:rsid w:val="006D65C9"/>
    <w:rsid w:val="006E1772"/>
    <w:rsid w:val="006E7AB4"/>
    <w:rsid w:val="006E7F72"/>
    <w:rsid w:val="006F1820"/>
    <w:rsid w:val="006F73E5"/>
    <w:rsid w:val="00701EAA"/>
    <w:rsid w:val="00712573"/>
    <w:rsid w:val="00726F8C"/>
    <w:rsid w:val="00733DA2"/>
    <w:rsid w:val="00735921"/>
    <w:rsid w:val="00756797"/>
    <w:rsid w:val="00756866"/>
    <w:rsid w:val="007803F2"/>
    <w:rsid w:val="00782956"/>
    <w:rsid w:val="007A5A56"/>
    <w:rsid w:val="007A7ECD"/>
    <w:rsid w:val="007B02E0"/>
    <w:rsid w:val="007B699F"/>
    <w:rsid w:val="007C4078"/>
    <w:rsid w:val="007E17D1"/>
    <w:rsid w:val="007E5A82"/>
    <w:rsid w:val="007F56F8"/>
    <w:rsid w:val="007F5C20"/>
    <w:rsid w:val="00802B6E"/>
    <w:rsid w:val="00805A6B"/>
    <w:rsid w:val="00816FD1"/>
    <w:rsid w:val="008231E0"/>
    <w:rsid w:val="00824BE6"/>
    <w:rsid w:val="0082505E"/>
    <w:rsid w:val="0083244A"/>
    <w:rsid w:val="0084049F"/>
    <w:rsid w:val="008420BB"/>
    <w:rsid w:val="008472EE"/>
    <w:rsid w:val="0085448E"/>
    <w:rsid w:val="0086355A"/>
    <w:rsid w:val="00871A30"/>
    <w:rsid w:val="00874593"/>
    <w:rsid w:val="00885877"/>
    <w:rsid w:val="00894F36"/>
    <w:rsid w:val="00895B80"/>
    <w:rsid w:val="008A41A6"/>
    <w:rsid w:val="008A5FC4"/>
    <w:rsid w:val="008B276A"/>
    <w:rsid w:val="008B386C"/>
    <w:rsid w:val="008B7153"/>
    <w:rsid w:val="008C7A69"/>
    <w:rsid w:val="008D0E08"/>
    <w:rsid w:val="008D188E"/>
    <w:rsid w:val="008D340D"/>
    <w:rsid w:val="008E3E59"/>
    <w:rsid w:val="008F71B8"/>
    <w:rsid w:val="00914352"/>
    <w:rsid w:val="00922034"/>
    <w:rsid w:val="009355A4"/>
    <w:rsid w:val="00937548"/>
    <w:rsid w:val="009449B6"/>
    <w:rsid w:val="00953ED1"/>
    <w:rsid w:val="00972E1E"/>
    <w:rsid w:val="00973F4D"/>
    <w:rsid w:val="00976F79"/>
    <w:rsid w:val="009776F2"/>
    <w:rsid w:val="00983335"/>
    <w:rsid w:val="009867C6"/>
    <w:rsid w:val="0099055B"/>
    <w:rsid w:val="00991533"/>
    <w:rsid w:val="009A1BCD"/>
    <w:rsid w:val="009A406D"/>
    <w:rsid w:val="009D4336"/>
    <w:rsid w:val="009E1117"/>
    <w:rsid w:val="00A04C1E"/>
    <w:rsid w:val="00A13DEB"/>
    <w:rsid w:val="00A2211F"/>
    <w:rsid w:val="00A4068E"/>
    <w:rsid w:val="00A4504B"/>
    <w:rsid w:val="00A53299"/>
    <w:rsid w:val="00A54BD8"/>
    <w:rsid w:val="00A65E4D"/>
    <w:rsid w:val="00AB5E7E"/>
    <w:rsid w:val="00AC6303"/>
    <w:rsid w:val="00AD2062"/>
    <w:rsid w:val="00AD5B2B"/>
    <w:rsid w:val="00AD5D2E"/>
    <w:rsid w:val="00AD77C8"/>
    <w:rsid w:val="00B0057F"/>
    <w:rsid w:val="00B02D1A"/>
    <w:rsid w:val="00B04EBD"/>
    <w:rsid w:val="00B06988"/>
    <w:rsid w:val="00B240BC"/>
    <w:rsid w:val="00B319AB"/>
    <w:rsid w:val="00B344F9"/>
    <w:rsid w:val="00B36EF2"/>
    <w:rsid w:val="00B41758"/>
    <w:rsid w:val="00B42DD7"/>
    <w:rsid w:val="00B46033"/>
    <w:rsid w:val="00B51E70"/>
    <w:rsid w:val="00B54A1F"/>
    <w:rsid w:val="00B72404"/>
    <w:rsid w:val="00B80902"/>
    <w:rsid w:val="00B940CF"/>
    <w:rsid w:val="00B96D42"/>
    <w:rsid w:val="00BA7D37"/>
    <w:rsid w:val="00BD2F9B"/>
    <w:rsid w:val="00BD3D94"/>
    <w:rsid w:val="00BE5F8F"/>
    <w:rsid w:val="00C047DC"/>
    <w:rsid w:val="00C114C7"/>
    <w:rsid w:val="00C21232"/>
    <w:rsid w:val="00C30F8F"/>
    <w:rsid w:val="00C335C2"/>
    <w:rsid w:val="00C34874"/>
    <w:rsid w:val="00C36947"/>
    <w:rsid w:val="00C36BA9"/>
    <w:rsid w:val="00C43D4F"/>
    <w:rsid w:val="00C47645"/>
    <w:rsid w:val="00C5170F"/>
    <w:rsid w:val="00C61BF5"/>
    <w:rsid w:val="00C83405"/>
    <w:rsid w:val="00CA0A8B"/>
    <w:rsid w:val="00CB7846"/>
    <w:rsid w:val="00CC202D"/>
    <w:rsid w:val="00CC289B"/>
    <w:rsid w:val="00CC5E14"/>
    <w:rsid w:val="00CD270D"/>
    <w:rsid w:val="00CE250C"/>
    <w:rsid w:val="00CF0BFA"/>
    <w:rsid w:val="00CF2308"/>
    <w:rsid w:val="00CF4D58"/>
    <w:rsid w:val="00D01169"/>
    <w:rsid w:val="00D13416"/>
    <w:rsid w:val="00D22590"/>
    <w:rsid w:val="00D26197"/>
    <w:rsid w:val="00D332D2"/>
    <w:rsid w:val="00D51F44"/>
    <w:rsid w:val="00D53FD4"/>
    <w:rsid w:val="00D57CC0"/>
    <w:rsid w:val="00D74554"/>
    <w:rsid w:val="00DA028E"/>
    <w:rsid w:val="00DC22BA"/>
    <w:rsid w:val="00DC4D9B"/>
    <w:rsid w:val="00DD63E1"/>
    <w:rsid w:val="00DE0F2B"/>
    <w:rsid w:val="00DF5274"/>
    <w:rsid w:val="00E009A7"/>
    <w:rsid w:val="00E02A59"/>
    <w:rsid w:val="00E145B0"/>
    <w:rsid w:val="00E21B6D"/>
    <w:rsid w:val="00E30E20"/>
    <w:rsid w:val="00E32B79"/>
    <w:rsid w:val="00E3549D"/>
    <w:rsid w:val="00E45DBF"/>
    <w:rsid w:val="00E57E4C"/>
    <w:rsid w:val="00E6376D"/>
    <w:rsid w:val="00E652A5"/>
    <w:rsid w:val="00E66F80"/>
    <w:rsid w:val="00E76B67"/>
    <w:rsid w:val="00E948B5"/>
    <w:rsid w:val="00EA3802"/>
    <w:rsid w:val="00EA69CF"/>
    <w:rsid w:val="00EB3C33"/>
    <w:rsid w:val="00EB75C2"/>
    <w:rsid w:val="00EE289D"/>
    <w:rsid w:val="00EE37F0"/>
    <w:rsid w:val="00EF07A5"/>
    <w:rsid w:val="00EF5C04"/>
    <w:rsid w:val="00F21FB4"/>
    <w:rsid w:val="00F46AA5"/>
    <w:rsid w:val="00F828C6"/>
    <w:rsid w:val="00F831ED"/>
    <w:rsid w:val="00F92327"/>
    <w:rsid w:val="00F953B1"/>
    <w:rsid w:val="00F96644"/>
    <w:rsid w:val="00F973EB"/>
    <w:rsid w:val="00FB0F53"/>
    <w:rsid w:val="00FB42A0"/>
    <w:rsid w:val="00FB5B7F"/>
    <w:rsid w:val="00FC0058"/>
    <w:rsid w:val="00FC089A"/>
    <w:rsid w:val="00FC1AC3"/>
    <w:rsid w:val="00FC3EE6"/>
    <w:rsid w:val="00FD2216"/>
    <w:rsid w:val="00FE1C88"/>
    <w:rsid w:val="00FE38E4"/>
    <w:rsid w:val="00FE3C4A"/>
    <w:rsid w:val="00FE6777"/>
    <w:rsid w:val="00FF4185"/>
    <w:rsid w:val="026F607A"/>
    <w:rsid w:val="0E6352A9"/>
    <w:rsid w:val="0F0F039E"/>
    <w:rsid w:val="1D035828"/>
    <w:rsid w:val="25E62544"/>
    <w:rsid w:val="2D1E1EDC"/>
    <w:rsid w:val="32166939"/>
    <w:rsid w:val="32A852AA"/>
    <w:rsid w:val="3C60052B"/>
    <w:rsid w:val="3D5358A8"/>
    <w:rsid w:val="42E40ACD"/>
    <w:rsid w:val="47351CE1"/>
    <w:rsid w:val="4C1F59F2"/>
    <w:rsid w:val="4F210499"/>
    <w:rsid w:val="5EE179C7"/>
    <w:rsid w:val="68E61D28"/>
    <w:rsid w:val="6C367E96"/>
    <w:rsid w:val="6D337902"/>
    <w:rsid w:val="76AB58C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5">
    <w:name w:val="annotation reference"/>
    <w:basedOn w:val="2"/>
    <w:semiHidden/>
    <w:unhideWhenUsed/>
    <w:uiPriority w:val="99"/>
    <w:rPr>
      <w:sz w:val="16"/>
      <w:szCs w:val="16"/>
    </w:rPr>
  </w:style>
  <w:style w:type="paragraph" w:styleId="6">
    <w:name w:val="annotation text"/>
    <w:basedOn w:val="1"/>
    <w:link w:val="19"/>
    <w:semiHidden/>
    <w:unhideWhenUsed/>
    <w:qFormat/>
    <w:uiPriority w:val="99"/>
    <w:pPr>
      <w:spacing w:line="240" w:lineRule="auto"/>
    </w:pPr>
    <w:rPr>
      <w:sz w:val="20"/>
      <w:szCs w:val="20"/>
    </w:rPr>
  </w:style>
  <w:style w:type="paragraph" w:styleId="7">
    <w:name w:val="annotation subject"/>
    <w:basedOn w:val="6"/>
    <w:next w:val="6"/>
    <w:link w:val="20"/>
    <w:semiHidden/>
    <w:unhideWhenUsed/>
    <w:qFormat/>
    <w:uiPriority w:val="99"/>
    <w:rPr>
      <w:b/>
      <w:bCs/>
    </w:rPr>
  </w:style>
  <w:style w:type="character" w:styleId="8">
    <w:name w:val="Emphasis"/>
    <w:basedOn w:val="2"/>
    <w:qFormat/>
    <w:uiPriority w:val="20"/>
    <w:rPr>
      <w:i/>
      <w:iCs/>
    </w:rPr>
  </w:style>
  <w:style w:type="paragraph" w:styleId="9">
    <w:name w:val="footer"/>
    <w:basedOn w:val="1"/>
    <w:link w:val="17"/>
    <w:unhideWhenUsed/>
    <w:uiPriority w:val="99"/>
    <w:pPr>
      <w:tabs>
        <w:tab w:val="center" w:pos="4513"/>
        <w:tab w:val="right" w:pos="9026"/>
      </w:tabs>
      <w:spacing w:after="0" w:line="240" w:lineRule="auto"/>
    </w:pPr>
  </w:style>
  <w:style w:type="paragraph" w:styleId="10">
    <w:name w:val="header"/>
    <w:basedOn w:val="1"/>
    <w:link w:val="16"/>
    <w:unhideWhenUsed/>
    <w:qFormat/>
    <w:uiPriority w:val="99"/>
    <w:pPr>
      <w:tabs>
        <w:tab w:val="center" w:pos="4513"/>
        <w:tab w:val="right" w:pos="9026"/>
      </w:tabs>
      <w:spacing w:after="0" w:line="240" w:lineRule="auto"/>
    </w:pPr>
  </w:style>
  <w:style w:type="character" w:styleId="11">
    <w:name w:val="Hyperlink"/>
    <w:basedOn w:val="2"/>
    <w:unhideWhenUsed/>
    <w:uiPriority w:val="99"/>
    <w:rPr>
      <w:color w:val="0563C1" w:themeColor="hyperlink"/>
      <w:u w:val="single"/>
      <w14:textFill>
        <w14:solidFill>
          <w14:schemeClr w14:val="hlink"/>
        </w14:solidFill>
      </w14:textFill>
    </w:rPr>
  </w:style>
  <w:style w:type="paragraph" w:styleId="12">
    <w:name w:val="Normal (Web)"/>
    <w:basedOn w:val="1"/>
    <w:unhideWhenUsed/>
    <w:qFormat/>
    <w:uiPriority w:val="99"/>
    <w:rPr>
      <w:rFonts w:ascii="Times New Roman" w:hAnsi="Times New Roman" w:cs="Times New Roman"/>
      <w:sz w:val="24"/>
      <w:szCs w:val="24"/>
    </w:rPr>
  </w:style>
  <w:style w:type="character" w:styleId="13">
    <w:name w:val="Strong"/>
    <w:basedOn w:val="2"/>
    <w:qFormat/>
    <w:uiPriority w:val="22"/>
    <w:rPr>
      <w:b/>
      <w:bCs/>
    </w:rPr>
  </w:style>
  <w:style w:type="table" w:styleId="1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spacing w:after="0" w:line="240" w:lineRule="auto"/>
      <w:ind w:left="720"/>
      <w:contextualSpacing/>
    </w:pPr>
    <w:rPr>
      <w:rFonts w:ascii="Times New Roman" w:hAnsi="Times New Roman" w:eastAsia="Times New Roman" w:cs="Times New Roman"/>
      <w:kern w:val="0"/>
      <w:sz w:val="24"/>
      <w:szCs w:val="24"/>
      <w:lang w:eastAsia="en-IN"/>
      <w14:ligatures w14:val="none"/>
    </w:rPr>
  </w:style>
  <w:style w:type="character" w:customStyle="1" w:styleId="16">
    <w:name w:val="Header Char"/>
    <w:basedOn w:val="2"/>
    <w:link w:val="10"/>
    <w:qFormat/>
    <w:uiPriority w:val="99"/>
  </w:style>
  <w:style w:type="character" w:customStyle="1" w:styleId="17">
    <w:name w:val="Footer Char"/>
    <w:basedOn w:val="2"/>
    <w:link w:val="9"/>
    <w:qFormat/>
    <w:uiPriority w:val="99"/>
  </w:style>
  <w:style w:type="character" w:customStyle="1" w:styleId="18">
    <w:name w:val="Unresolved Mention"/>
    <w:basedOn w:val="2"/>
    <w:semiHidden/>
    <w:unhideWhenUsed/>
    <w:uiPriority w:val="99"/>
    <w:rPr>
      <w:color w:val="605E5C"/>
      <w:shd w:val="clear" w:color="auto" w:fill="E1DFDD"/>
    </w:rPr>
  </w:style>
  <w:style w:type="character" w:customStyle="1" w:styleId="19">
    <w:name w:val="Comment Text Char"/>
    <w:basedOn w:val="2"/>
    <w:link w:val="6"/>
    <w:semiHidden/>
    <w:qFormat/>
    <w:uiPriority w:val="99"/>
    <w:rPr>
      <w:sz w:val="20"/>
      <w:szCs w:val="20"/>
    </w:rPr>
  </w:style>
  <w:style w:type="character" w:customStyle="1" w:styleId="20">
    <w:name w:val="Comment Subject Char"/>
    <w:basedOn w:val="19"/>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5.jpeg"/><Relationship Id="rId35" Type="http://schemas.openxmlformats.org/officeDocument/2006/relationships/image" Target="media/image14.jpeg"/><Relationship Id="rId34" Type="http://schemas.openxmlformats.org/officeDocument/2006/relationships/image" Target="media/image13.jpeg"/><Relationship Id="rId33" Type="http://schemas.openxmlformats.org/officeDocument/2006/relationships/image" Target="media/image12.jpeg"/><Relationship Id="rId32" Type="http://schemas.openxmlformats.org/officeDocument/2006/relationships/image" Target="media/image11.png"/><Relationship Id="rId31" Type="http://schemas.openxmlformats.org/officeDocument/2006/relationships/customXml" Target="ink/ink9.xml"/><Relationship Id="rId30" Type="http://schemas.openxmlformats.org/officeDocument/2006/relationships/image" Target="media/image10.jpeg"/><Relationship Id="rId3" Type="http://schemas.openxmlformats.org/officeDocument/2006/relationships/footnotes" Target="footnotes.xml"/><Relationship Id="rId29" Type="http://schemas.openxmlformats.org/officeDocument/2006/relationships/image" Target="media/image9.jpeg"/><Relationship Id="rId28" Type="http://schemas.openxmlformats.org/officeDocument/2006/relationships/image" Target="media/image8.pn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customXml" Target="ink/ink8.xml"/><Relationship Id="rId21" Type="http://schemas.openxmlformats.org/officeDocument/2006/relationships/customXml" Target="ink/ink7.xml"/><Relationship Id="rId20" Type="http://schemas.openxmlformats.org/officeDocument/2006/relationships/customXml" Target="ink/ink6.xml"/><Relationship Id="rId2" Type="http://schemas.openxmlformats.org/officeDocument/2006/relationships/settings" Target="settings.xml"/><Relationship Id="rId19" Type="http://schemas.openxmlformats.org/officeDocument/2006/relationships/customXml" Target="ink/ink5.xml"/><Relationship Id="rId18" Type="http://schemas.openxmlformats.org/officeDocument/2006/relationships/customXml" Target="ink/ink4.xml"/><Relationship Id="rId17" Type="http://schemas.openxmlformats.org/officeDocument/2006/relationships/customXml" Target="ink/ink3.xml"/><Relationship Id="rId16" Type="http://schemas.openxmlformats.org/officeDocument/2006/relationships/image" Target="media/image2.jpeg"/><Relationship Id="rId15" Type="http://schemas.openxmlformats.org/officeDocument/2006/relationships/chart" Target="charts/chart1.xml"/><Relationship Id="rId14" Type="http://schemas.openxmlformats.org/officeDocument/2006/relationships/customXml" Target="ink/ink2.xml"/><Relationship Id="rId13" Type="http://schemas.openxmlformats.org/officeDocument/2006/relationships/image" Target="media/image1.png"/><Relationship Id="rId12" Type="http://schemas.openxmlformats.org/officeDocument/2006/relationships/customXml" Target="ink/ink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Sheet1!$B$1</c:f>
              <c:strCache>
                <c:ptCount val="1"/>
                <c:pt idx="0">
                  <c:v>Sales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delete val="1"/>
            </c:dLbl>
            <c:dLbl>
              <c:idx val="1"/>
              <c:layout/>
              <c:tx>
                <c:rich>
                  <a:bodyPr rot="0" spcFirstLastPara="1" vertOverflow="ellipsis" vert="horz" wrap="square" lIns="38100" tIns="19050" rIns="38100" bIns="19050" anchor="ctr" anchorCtr="1"/>
                  <a:lstStyle/>
                  <a:p>
                    <a:pPr>
                      <a:defRPr lang="en-US" sz="1000" b="1" i="0" u="none" strike="noStrike" kern="1200" baseline="0">
                        <a:solidFill>
                          <a:schemeClr val="lt1"/>
                        </a:solidFill>
                        <a:latin typeface="Arial" panose="020B0604020202020204" pitchFamily="2" charset="0"/>
                        <a:ea typeface="+mn-ea"/>
                        <a:cs typeface="Arial" panose="020B0604020202020204" pitchFamily="2" charset="0"/>
                      </a:defRPr>
                    </a:pPr>
                    <a:r>
                      <a:rPr lang="en-US"/>
                      <a:t>2.53%</a:t>
                    </a:r>
                    <a:endParaRPr lang="en-US"/>
                  </a:p>
                </c:rich>
              </c:tx>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Arial" panose="020B0604020202020204" pitchFamily="2" charset="0"/>
                    <a:ea typeface="+mn-ea"/>
                    <a:cs typeface="Arial" panose="020B0604020202020204" pitchFamily="2" charset="0"/>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2"/>
                <c:pt idx="0">
                  <c:v>No of goats screened</c:v>
                </c:pt>
                <c:pt idx="1">
                  <c:v>FOD affected goats</c:v>
                </c:pt>
              </c:strCache>
            </c:strRef>
          </c:cat>
          <c:val>
            <c:numRef>
              <c:f>Sheet1!$B$2:$B$5</c:f>
              <c:numCache>
                <c:formatCode>General</c:formatCode>
                <c:ptCount val="4"/>
                <c:pt idx="0">
                  <c:v>552</c:v>
                </c:pt>
                <c:pt idx="1">
                  <c:v>14</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2"/>
        <c:delete val="1"/>
      </c:legendEntry>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75000"/>
                  <a:lumOff val="25000"/>
                </a:schemeClr>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c3d76733-578a-41ab-b220-f8c312933365}"/>
      </c:ext>
    </c:extLst>
  </c:chart>
  <c:spPr>
    <a:solidFill>
      <a:srgbClr val="ED7D31">
        <a:lumMod val="40000"/>
        <a:lumOff val="60000"/>
      </a:srgbClr>
    </a:solidFill>
    <a:ln w="9525" cap="flat" cmpd="sng" algn="ctr">
      <a:solidFill>
        <a:sysClr val="windowText" lastClr="000000"/>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6:45"/>
    </inkml:context>
    <inkml:brush xml:id="br0">
      <inkml:brushProperty name="width" value="0.05" units="cm"/>
      <inkml:brushProperty name="height" value="0.05" units="cm"/>
      <inkml:brushProperty name="color" value="#000000"/>
    </inkml:brush>
  </inkml:definitions>
  <inkml:trace contextRef="#ctx0" brushRef="#br0">0.000 0.000 24575,'0.000'0.000'-8191</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7:43"/>
    </inkml:context>
    <inkml:brush xml:id="br0">
      <inkml:brushProperty name="width" value="0.05" units="cm"/>
      <inkml:brushProperty name="height" value="0.05" units="cm"/>
      <inkml:brushProperty name="color" value="#000000"/>
    </inkml:brush>
  </inkml:definitions>
  <inkml:trace contextRef="#ctx0" brushRef="#br0">1.000 0.000 24575,'0.000'0.000'-8191</inkml:trace>
</inkml:ink>
</file>

<file path=word/ink/ink3.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7:38"/>
    </inkml:context>
    <inkml:brush xml:id="br0">
      <inkml:brushProperty name="width" value="0.05" units="cm"/>
      <inkml:brushProperty name="height" value="0.05" units="cm"/>
      <inkml:brushProperty name="color" value="#000000"/>
    </inkml:brush>
  </inkml:definitions>
  <inkml:trace contextRef="#ctx0" brushRef="#br0">1.000 0.000 24575,'0.000'0.000'-8191</inkml:trace>
</inkml:ink>
</file>

<file path=word/ink/ink4.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7:37"/>
    </inkml:context>
    <inkml:brush xml:id="br0">
      <inkml:brushProperty name="width" value="0.05" units="cm"/>
      <inkml:brushProperty name="height" value="0.05" units="cm"/>
      <inkml:brushProperty name="color" value="#000000"/>
    </inkml:brush>
  </inkml:definitions>
  <inkml:trace contextRef="#ctx0" brushRef="#br0">1.000 0.000 24575,'0.000'0.000'-8191</inkml:trace>
</inkml:ink>
</file>

<file path=word/ink/ink5.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7:35"/>
    </inkml:context>
    <inkml:brush xml:id="br0">
      <inkml:brushProperty name="width" value="0.05" units="cm"/>
      <inkml:brushProperty name="height" value="0.05" units="cm"/>
      <inkml:brushProperty name="color" value="#000000"/>
    </inkml:brush>
  </inkml:definitions>
  <inkml:trace contextRef="#ctx0" brushRef="#br0">0.000 1.000 24575,'0.000'0.000'-8191</inkml:trace>
</inkml:ink>
</file>

<file path=word/ink/ink6.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6:48"/>
    </inkml:context>
    <inkml:brush xml:id="br0">
      <inkml:brushProperty name="width" value="0.05" units="cm"/>
      <inkml:brushProperty name="height" value="0.05" units="cm"/>
      <inkml:brushProperty name="color" value="#000000"/>
    </inkml:brush>
  </inkml:definitions>
  <inkml:trace contextRef="#ctx0" brushRef="#br0">0.000 0.000 24575,'0.000'0.000'-8191</inkml:trace>
</inkml:ink>
</file>

<file path=word/ink/ink7.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6:47"/>
    </inkml:context>
    <inkml:brush xml:id="br0">
      <inkml:brushProperty name="width" value="0.05" units="cm"/>
      <inkml:brushProperty name="height" value="0.05" units="cm"/>
      <inkml:brushProperty name="color" value="#000000"/>
    </inkml:brush>
  </inkml:definitions>
  <inkml:trace contextRef="#ctx0" brushRef="#br0">0.000 0.000 24575,'0.000'0.000'-8191</inkml:trace>
</inkml:ink>
</file>

<file path=word/ink/ink8.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3:26:08"/>
    </inkml:context>
    <inkml:brush xml:id="br0">
      <inkml:brushProperty name="width" value="0.05" units="cm"/>
      <inkml:brushProperty name="height" value="0.05" units="cm"/>
      <inkml:brushProperty name="color" value="#000000"/>
    </inkml:brush>
  </inkml:definitions>
  <inkml:trace contextRef="#ctx0" brushRef="#br0">1.000 0.000 24575,'0.000'0.000'-8191</inkml:trace>
</inkml:ink>
</file>

<file path=word/ink/ink9.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2T13:41:58"/>
    </inkml:context>
    <inkml:brush xml:id="br0">
      <inkml:brushProperty name="width" value="0.05" units="cm"/>
      <inkml:brushProperty name="height" value="0.05" units="cm"/>
      <inkml:brushProperty name="color" value="#e71224"/>
    </inkml:brush>
  </inkml:definitions>
  <inkml:trace contextRef="#ctx0" brushRef="#br0">193.000 1.000 24575,'-11.000'0.000'0,"-5.000"0.000"0,0.000 0.000 0,1.000 1.000 0,-1.000 0.000 0,1.000 1.000 0,-21.000 6.000 0,32.000-7.000 0,0.000 0.000 0,1.000 1.000 0,-1.000-1.000 0,1.000 1.000 0,-1.000 0.000 0,1.000 0.000 0,0.000 1.000 0,0.000-1.000 0,0.000 0.000 0,0.000 1.000 0,0.000 0.000 0,0.000 0.000 0,1.000 0.000 0,-1.000 0.000 0,1.000 0.000 0,0.000 0.000 0,0.000 1.000 0,0.000-1.000 0,1.000 1.000 0,-1.000-1.000 0,1.000 1.000 0,0.000 0.000 0,-1.000 0.000 0,2.000-1.000 0,-1.000 1.000 0,0.000 7.000 0,0.000-2.000 0,0.000-1.000 0,1.000 0.000 0,0.000 0.000 0,0.000 0.000 0,1.000 0.000 0,0.000 0.000 0,0.000 0.000 0,5.000 13.000 0,-5.000-18.000 0,1.000 0.000 0,-1.000 0.000 0,1.000 0.000 0,0.000 0.000 0,0.000-1.000 0,0.000 1.000 0,1.000-1.000 0,-1.000 1.000 0,1.000-1.000 0,-1.000 0.000 0,1.000 0.000 0,0.000 0.000 0,-1.000 0.000 0,1.000-1.000 0,0.000 1.000 0,1.000-1.000 0,-1.000 1.000 0,0.000-1.000 0,0.000 0.000 0,0.000-1.000 0,1.000 1.000 0,-1.000 0.000 0,5.000 0.000 0,92.000 17.000-1365,-85.000-17.000-5461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254F4-5A8B-4BF5-8C4B-D1B3972F4B79}">
  <ds:schemaRefs/>
</ds:datastoreItem>
</file>

<file path=docProps/app.xml><?xml version="1.0" encoding="utf-8"?>
<Properties xmlns="http://schemas.openxmlformats.org/officeDocument/2006/extended-properties" xmlns:vt="http://schemas.openxmlformats.org/officeDocument/2006/docPropsVTypes">
  <Template>Normal</Template>
  <Pages>9</Pages>
  <Words>3531</Words>
  <Characters>20132</Characters>
  <Lines>167</Lines>
  <Paragraphs>47</Paragraphs>
  <TotalTime>12</TotalTime>
  <ScaleCrop>false</ScaleCrop>
  <LinksUpToDate>false</LinksUpToDate>
  <CharactersWithSpaces>23616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2024-09-21T11:14:00Z</dcterms:created>
  <dc:creator>kasthuri dhil</dc:creator>
  <cp:lastModifiedBy>kasth</cp:lastModifiedBy>
  <cp:lastPrinted>2024-09-24T06:39:00Z</cp:lastPrinted>
  <dcterms:modified xsi:type="dcterms:W3CDTF">2025-06-12T15:07:24Z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6768F2E3408C44B7B8A4E6DD47B9806B_12</vt:lpwstr>
  </property>
</Properties>
</file>