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B5" w:rsidRDefault="005614B5" w:rsidP="005614B5">
      <w:pPr>
        <w:spacing w:before="100" w:beforeAutospacing="1" w:after="100" w:afterAutospacing="1" w:line="360" w:lineRule="auto"/>
        <w:jc w:val="center"/>
        <w:rPr>
          <w:rFonts w:eastAsia="Times New Roman" w:cstheme="minorHAnsi"/>
          <w:b/>
          <w:bCs/>
          <w:sz w:val="24"/>
          <w:szCs w:val="24"/>
        </w:rPr>
      </w:pPr>
      <w:r w:rsidRPr="002E78ED">
        <w:rPr>
          <w:rFonts w:eastAsia="Times New Roman" w:cstheme="minorHAnsi"/>
          <w:b/>
          <w:bCs/>
          <w:i/>
          <w:iCs/>
          <w:sz w:val="24"/>
          <w:szCs w:val="24"/>
          <w:u w:val="single"/>
        </w:rPr>
        <w:t>Original Research Article</w:t>
      </w:r>
    </w:p>
    <w:p w:rsidR="005614B5" w:rsidRPr="00097854" w:rsidRDefault="005614B5" w:rsidP="005614B5">
      <w:pPr>
        <w:spacing w:before="100" w:beforeAutospacing="1" w:after="100" w:afterAutospacing="1" w:line="360" w:lineRule="auto"/>
        <w:jc w:val="center"/>
        <w:rPr>
          <w:rFonts w:eastAsia="Times New Roman" w:cstheme="minorHAnsi"/>
          <w:sz w:val="24"/>
          <w:szCs w:val="24"/>
        </w:rPr>
      </w:pPr>
      <w:r w:rsidRPr="00097854">
        <w:rPr>
          <w:rFonts w:eastAsia="Times New Roman" w:cstheme="minorHAnsi"/>
          <w:b/>
          <w:bCs/>
          <w:sz w:val="24"/>
          <w:szCs w:val="24"/>
        </w:rPr>
        <w:t>Hematological Alterations among Sickle Cell Disease Patients in Steady State and Their Clinical Implications</w:t>
      </w:r>
    </w:p>
    <w:p w:rsidR="005614B5" w:rsidRDefault="005614B5" w:rsidP="005614B5">
      <w:pPr>
        <w:spacing w:after="0" w:line="360" w:lineRule="auto"/>
        <w:jc w:val="both"/>
        <w:rPr>
          <w:rFonts w:eastAsia="Times New Roman" w:cstheme="minorHAnsi"/>
          <w:sz w:val="24"/>
          <w:szCs w:val="24"/>
        </w:rPr>
      </w:pPr>
    </w:p>
    <w:p w:rsidR="005614B5" w:rsidRDefault="005614B5" w:rsidP="005614B5">
      <w:pPr>
        <w:spacing w:before="100" w:beforeAutospacing="1" w:after="100" w:afterAutospacing="1" w:line="360" w:lineRule="auto"/>
        <w:jc w:val="center"/>
        <w:outlineLvl w:val="2"/>
        <w:rPr>
          <w:rFonts w:eastAsia="Times New Roman" w:cstheme="minorHAnsi"/>
          <w:b/>
          <w:bCs/>
          <w:sz w:val="27"/>
          <w:szCs w:val="27"/>
        </w:rPr>
      </w:pPr>
    </w:p>
    <w:p w:rsidR="005614B5" w:rsidRDefault="005614B5" w:rsidP="005614B5">
      <w:pPr>
        <w:spacing w:before="100" w:beforeAutospacing="1" w:after="100" w:afterAutospacing="1" w:line="360" w:lineRule="auto"/>
        <w:jc w:val="center"/>
        <w:outlineLvl w:val="2"/>
        <w:rPr>
          <w:rFonts w:eastAsia="Times New Roman" w:cstheme="minorHAnsi"/>
          <w:b/>
          <w:bCs/>
          <w:sz w:val="27"/>
          <w:szCs w:val="27"/>
        </w:rPr>
      </w:pPr>
      <w:r w:rsidRPr="00097854">
        <w:rPr>
          <w:rFonts w:eastAsia="Times New Roman" w:cstheme="minorHAnsi"/>
          <w:b/>
          <w:bCs/>
          <w:sz w:val="27"/>
          <w:szCs w:val="27"/>
        </w:rPr>
        <w:t>Abstract</w:t>
      </w:r>
    </w:p>
    <w:p w:rsidR="005614B5" w:rsidRPr="00097854" w:rsidRDefault="005614B5" w:rsidP="005614B5">
      <w:pPr>
        <w:spacing w:before="100" w:beforeAutospacing="1" w:after="100" w:afterAutospacing="1" w:line="360" w:lineRule="auto"/>
        <w:outlineLvl w:val="2"/>
        <w:rPr>
          <w:rFonts w:eastAsia="Times New Roman" w:cstheme="minorHAnsi"/>
          <w:b/>
          <w:bCs/>
          <w:sz w:val="27"/>
          <w:szCs w:val="27"/>
        </w:rPr>
      </w:pPr>
    </w:p>
    <w:p w:rsidR="00F9755A" w:rsidRPr="00F9755A" w:rsidRDefault="005614B5" w:rsidP="00F9755A">
      <w:pPr>
        <w:pStyle w:val="NormalWeb"/>
        <w:spacing w:line="360" w:lineRule="auto"/>
        <w:jc w:val="both"/>
        <w:rPr>
          <w:rFonts w:asciiTheme="minorHAnsi" w:hAnsiTheme="minorHAnsi" w:cstheme="minorHAnsi"/>
        </w:rPr>
      </w:pPr>
      <w:r w:rsidRPr="00F9755A">
        <w:rPr>
          <w:rStyle w:val="Strong"/>
          <w:rFonts w:asciiTheme="minorHAnsi" w:hAnsiTheme="minorHAnsi" w:cstheme="minorHAnsi"/>
        </w:rPr>
        <w:t>Introduction</w:t>
      </w:r>
      <w:proofErr w:type="gramStart"/>
      <w:r w:rsidRPr="00F9755A">
        <w:rPr>
          <w:rFonts w:asciiTheme="minorHAnsi" w:hAnsiTheme="minorHAnsi" w:cstheme="minorHAnsi"/>
        </w:rPr>
        <w:t>:</w:t>
      </w:r>
      <w:proofErr w:type="gramEnd"/>
      <w:r w:rsidRPr="00F9755A">
        <w:rPr>
          <w:rFonts w:asciiTheme="minorHAnsi" w:hAnsiTheme="minorHAnsi" w:cstheme="minorHAnsi"/>
        </w:rPr>
        <w:br/>
      </w:r>
      <w:r w:rsidR="00F9755A" w:rsidRPr="00F9755A">
        <w:rPr>
          <w:rFonts w:asciiTheme="minorHAnsi" w:hAnsiTheme="minorHAnsi" w:cstheme="minorHAnsi"/>
        </w:rPr>
        <w:t xml:space="preserve">In sub-Saharan Africa, sickle cell disease (SCD) is a common genetic </w:t>
      </w:r>
      <w:proofErr w:type="spellStart"/>
      <w:r w:rsidR="00F9755A" w:rsidRPr="00F9755A">
        <w:rPr>
          <w:rFonts w:asciiTheme="minorHAnsi" w:hAnsiTheme="minorHAnsi" w:cstheme="minorHAnsi"/>
        </w:rPr>
        <w:t>hemoglobinopathy</w:t>
      </w:r>
      <w:proofErr w:type="spellEnd"/>
      <w:r w:rsidR="00F9755A" w:rsidRPr="00F9755A">
        <w:rPr>
          <w:rFonts w:asciiTheme="minorHAnsi" w:hAnsiTheme="minorHAnsi" w:cstheme="minorHAnsi"/>
        </w:rPr>
        <w:t xml:space="preserve"> that is typified by vaso-occlusive crises and chronic hemolytic anemia. Even if they are less sev</w:t>
      </w:r>
      <w:r w:rsidR="00F9755A">
        <w:rPr>
          <w:rFonts w:asciiTheme="minorHAnsi" w:hAnsiTheme="minorHAnsi" w:cstheme="minorHAnsi"/>
        </w:rPr>
        <w:t xml:space="preserve">ere, hematological changes in </w:t>
      </w:r>
      <w:r w:rsidR="00F9755A" w:rsidRPr="00F9755A">
        <w:rPr>
          <w:rFonts w:asciiTheme="minorHAnsi" w:hAnsiTheme="minorHAnsi" w:cstheme="minorHAnsi"/>
          <w:highlight w:val="yellow"/>
        </w:rPr>
        <w:t>steady state—defined as no crisis, transfusion, or infection for at least 4 weeks prior to sampling</w:t>
      </w:r>
      <w:r w:rsidR="00F9755A">
        <w:rPr>
          <w:rFonts w:asciiTheme="minorHAnsi" w:hAnsiTheme="minorHAnsi" w:cstheme="minorHAnsi"/>
        </w:rPr>
        <w:t>—</w:t>
      </w:r>
      <w:r w:rsidR="00F9755A" w:rsidRPr="00F9755A">
        <w:rPr>
          <w:rFonts w:asciiTheme="minorHAnsi" w:hAnsiTheme="minorHAnsi" w:cstheme="minorHAnsi"/>
        </w:rPr>
        <w:t>are essential for comprehending the course and consequences of disease.</w:t>
      </w:r>
    </w:p>
    <w:p w:rsidR="00F9755A" w:rsidRPr="00F9755A" w:rsidRDefault="00F9755A" w:rsidP="00F9755A">
      <w:pPr>
        <w:pStyle w:val="NormalWeb"/>
        <w:spacing w:line="360" w:lineRule="auto"/>
        <w:jc w:val="both"/>
        <w:rPr>
          <w:rFonts w:asciiTheme="minorHAnsi" w:hAnsiTheme="minorHAnsi" w:cstheme="minorHAnsi"/>
        </w:rPr>
      </w:pPr>
      <w:r w:rsidRPr="00F9755A">
        <w:rPr>
          <w:rStyle w:val="Strong"/>
          <w:rFonts w:asciiTheme="minorHAnsi" w:hAnsiTheme="minorHAnsi" w:cstheme="minorHAnsi"/>
        </w:rPr>
        <w:t>Aim/Objective</w:t>
      </w:r>
      <w:proofErr w:type="gramStart"/>
      <w:r w:rsidRPr="00F9755A">
        <w:rPr>
          <w:rStyle w:val="Strong"/>
          <w:rFonts w:asciiTheme="minorHAnsi" w:hAnsiTheme="minorHAnsi" w:cstheme="minorHAnsi"/>
        </w:rPr>
        <w:t>:</w:t>
      </w:r>
      <w:proofErr w:type="gramEnd"/>
      <w:r w:rsidRPr="00F9755A">
        <w:rPr>
          <w:rFonts w:asciiTheme="minorHAnsi" w:hAnsiTheme="minorHAnsi" w:cstheme="minorHAnsi"/>
        </w:rPr>
        <w:br/>
        <w:t>This study evaluated hematological parameters in SCD patients during steady state compared to healthy controls, focusing on their clinical implications.</w:t>
      </w:r>
    </w:p>
    <w:p w:rsidR="00F9755A" w:rsidRPr="00F9755A" w:rsidRDefault="00F9755A" w:rsidP="00F9755A">
      <w:pPr>
        <w:pStyle w:val="NormalWeb"/>
        <w:spacing w:line="360" w:lineRule="auto"/>
        <w:jc w:val="both"/>
        <w:rPr>
          <w:rFonts w:asciiTheme="minorHAnsi" w:hAnsiTheme="minorHAnsi" w:cstheme="minorHAnsi"/>
        </w:rPr>
      </w:pPr>
      <w:r w:rsidRPr="00F9755A">
        <w:rPr>
          <w:rStyle w:val="Strong"/>
          <w:rFonts w:asciiTheme="minorHAnsi" w:hAnsiTheme="minorHAnsi" w:cstheme="minorHAnsi"/>
        </w:rPr>
        <w:t>Methods</w:t>
      </w:r>
      <w:proofErr w:type="gramStart"/>
      <w:r w:rsidRPr="00F9755A">
        <w:rPr>
          <w:rStyle w:val="Strong"/>
          <w:rFonts w:asciiTheme="minorHAnsi" w:hAnsiTheme="minorHAnsi" w:cstheme="minorHAnsi"/>
        </w:rPr>
        <w:t>:</w:t>
      </w:r>
      <w:proofErr w:type="gramEnd"/>
      <w:r w:rsidRPr="00F9755A">
        <w:rPr>
          <w:rFonts w:asciiTheme="minorHAnsi" w:hAnsiTheme="minorHAnsi" w:cstheme="minorHAnsi"/>
        </w:rPr>
        <w:br/>
        <w:t xml:space="preserve">There were 167 participants in a cross-sectional, case-control research (45 healthy controls and 122 SCD patients in steady state). An </w:t>
      </w:r>
      <w:r w:rsidRPr="00F9755A">
        <w:rPr>
          <w:rFonts w:asciiTheme="minorHAnsi" w:hAnsiTheme="minorHAnsi" w:cstheme="minorHAnsi"/>
        </w:rPr>
        <w:lastRenderedPageBreak/>
        <w:t xml:space="preserve">automated analyzer was used to assess the hematological parameters </w:t>
      </w:r>
      <w:r w:rsidRPr="00F9755A">
        <w:rPr>
          <w:rFonts w:asciiTheme="minorHAnsi" w:hAnsiTheme="minorHAnsi" w:cstheme="minorHAnsi"/>
          <w:highlight w:val="yellow"/>
        </w:rPr>
        <w:t>(</w:t>
      </w:r>
      <w:r w:rsidRPr="00F9755A">
        <w:rPr>
          <w:rStyle w:val="Strong"/>
          <w:rFonts w:asciiTheme="minorHAnsi" w:hAnsiTheme="minorHAnsi" w:cstheme="minorHAnsi"/>
          <w:b w:val="0"/>
          <w:highlight w:val="yellow"/>
        </w:rPr>
        <w:t>Hb, PCV, WBC, platelet count, and differential counts</w:t>
      </w:r>
      <w:r w:rsidRPr="00F9755A">
        <w:rPr>
          <w:rFonts w:asciiTheme="minorHAnsi" w:hAnsiTheme="minorHAnsi" w:cstheme="minorHAnsi"/>
          <w:highlight w:val="yellow"/>
        </w:rPr>
        <w:t>).</w:t>
      </w:r>
      <w:r w:rsidRPr="00F9755A">
        <w:rPr>
          <w:rFonts w:asciiTheme="minorHAnsi" w:hAnsiTheme="minorHAnsi" w:cstheme="minorHAnsi"/>
        </w:rPr>
        <w:t xml:space="preserve"> The threshold for statistical significance was </w:t>
      </w:r>
      <w:r w:rsidRPr="00F9755A">
        <w:rPr>
          <w:rStyle w:val="Strong"/>
          <w:rFonts w:asciiTheme="minorHAnsi" w:hAnsiTheme="minorHAnsi" w:cstheme="minorHAnsi"/>
          <w:b w:val="0"/>
          <w:highlight w:val="yellow"/>
        </w:rPr>
        <w:t>p &lt; 0.05. Data normality was assessed using the Shapiro-</w:t>
      </w:r>
      <w:proofErr w:type="spellStart"/>
      <w:r w:rsidRPr="00F9755A">
        <w:rPr>
          <w:rStyle w:val="Strong"/>
          <w:rFonts w:asciiTheme="minorHAnsi" w:hAnsiTheme="minorHAnsi" w:cstheme="minorHAnsi"/>
          <w:b w:val="0"/>
          <w:highlight w:val="yellow"/>
        </w:rPr>
        <w:t>Wilk</w:t>
      </w:r>
      <w:proofErr w:type="spellEnd"/>
      <w:r w:rsidRPr="00F9755A">
        <w:rPr>
          <w:rStyle w:val="Strong"/>
          <w:rFonts w:asciiTheme="minorHAnsi" w:hAnsiTheme="minorHAnsi" w:cstheme="minorHAnsi"/>
          <w:b w:val="0"/>
          <w:highlight w:val="yellow"/>
        </w:rPr>
        <w:t xml:space="preserve"> test prior to applying t-tests.</w:t>
      </w:r>
    </w:p>
    <w:p w:rsidR="00F9755A" w:rsidRPr="00F9755A" w:rsidRDefault="00F9755A" w:rsidP="00F9755A">
      <w:pPr>
        <w:pStyle w:val="NormalWeb"/>
        <w:spacing w:line="360" w:lineRule="auto"/>
        <w:jc w:val="both"/>
        <w:rPr>
          <w:rFonts w:asciiTheme="minorHAnsi" w:hAnsiTheme="minorHAnsi" w:cstheme="minorHAnsi"/>
        </w:rPr>
      </w:pPr>
      <w:r w:rsidRPr="00F9755A">
        <w:rPr>
          <w:rStyle w:val="Strong"/>
          <w:rFonts w:asciiTheme="minorHAnsi" w:hAnsiTheme="minorHAnsi" w:cstheme="minorHAnsi"/>
          <w:b w:val="0"/>
        </w:rPr>
        <w:t>Results</w:t>
      </w:r>
      <w:proofErr w:type="gramStart"/>
      <w:r w:rsidRPr="00F9755A">
        <w:rPr>
          <w:rStyle w:val="Strong"/>
          <w:rFonts w:asciiTheme="minorHAnsi" w:hAnsiTheme="minorHAnsi" w:cstheme="minorHAnsi"/>
          <w:b w:val="0"/>
        </w:rPr>
        <w:t>:</w:t>
      </w:r>
      <w:proofErr w:type="gramEnd"/>
      <w:r w:rsidRPr="00F9755A">
        <w:rPr>
          <w:rFonts w:asciiTheme="minorHAnsi" w:hAnsiTheme="minorHAnsi" w:cstheme="minorHAnsi"/>
        </w:rPr>
        <w:br/>
        <w:t>Compared to controls (</w:t>
      </w:r>
      <w:r w:rsidRPr="00F9755A">
        <w:rPr>
          <w:rStyle w:val="Strong"/>
          <w:rFonts w:asciiTheme="minorHAnsi" w:hAnsiTheme="minorHAnsi" w:cstheme="minorHAnsi"/>
          <w:b w:val="0"/>
          <w:highlight w:val="yellow"/>
        </w:rPr>
        <w:t>Hb: 13.13 ± 1.06 g/dL; PCV: 39.64 ± 2.86%</w:t>
      </w:r>
      <w:r w:rsidRPr="00F9755A">
        <w:rPr>
          <w:rFonts w:asciiTheme="minorHAnsi" w:hAnsiTheme="minorHAnsi" w:cstheme="minorHAnsi"/>
          <w:highlight w:val="yellow"/>
        </w:rPr>
        <w:t>),</w:t>
      </w:r>
      <w:r w:rsidRPr="00F9755A">
        <w:rPr>
          <w:rFonts w:asciiTheme="minorHAnsi" w:hAnsiTheme="minorHAnsi" w:cstheme="minorHAnsi"/>
        </w:rPr>
        <w:t xml:space="preserve"> SCD patients had significantly lower </w:t>
      </w:r>
      <w:r w:rsidRPr="00F9755A">
        <w:rPr>
          <w:rStyle w:val="Strong"/>
          <w:rFonts w:asciiTheme="minorHAnsi" w:hAnsiTheme="minorHAnsi" w:cstheme="minorHAnsi"/>
          <w:b w:val="0"/>
          <w:highlight w:val="yellow"/>
        </w:rPr>
        <w:t>hemoglobin (7.75 ± 2.17 g/dL)</w:t>
      </w:r>
      <w:r w:rsidRPr="00F9755A">
        <w:rPr>
          <w:rFonts w:asciiTheme="minorHAnsi" w:hAnsiTheme="minorHAnsi" w:cstheme="minorHAnsi"/>
          <w:highlight w:val="yellow"/>
        </w:rPr>
        <w:t xml:space="preserve"> and </w:t>
      </w:r>
      <w:r w:rsidRPr="00F9755A">
        <w:rPr>
          <w:rStyle w:val="Strong"/>
          <w:rFonts w:asciiTheme="minorHAnsi" w:hAnsiTheme="minorHAnsi" w:cstheme="minorHAnsi"/>
          <w:b w:val="0"/>
          <w:highlight w:val="yellow"/>
        </w:rPr>
        <w:t>PCV (22.42 ± 5.74%)</w:t>
      </w:r>
      <w:r w:rsidRPr="00F9755A">
        <w:rPr>
          <w:rFonts w:asciiTheme="minorHAnsi" w:hAnsiTheme="minorHAnsi" w:cstheme="minorHAnsi"/>
        </w:rPr>
        <w:t xml:space="preserve"> (p = 0.000). WBC </w:t>
      </w:r>
      <w:r w:rsidRPr="00F9755A">
        <w:rPr>
          <w:rFonts w:asciiTheme="minorHAnsi" w:hAnsiTheme="minorHAnsi" w:cstheme="minorHAnsi"/>
          <w:highlight w:val="yellow"/>
        </w:rPr>
        <w:t>(</w:t>
      </w:r>
      <w:r w:rsidRPr="00F9755A">
        <w:rPr>
          <w:rStyle w:val="Strong"/>
          <w:rFonts w:asciiTheme="minorHAnsi" w:hAnsiTheme="minorHAnsi" w:cstheme="minorHAnsi"/>
          <w:b w:val="0"/>
          <w:highlight w:val="yellow"/>
        </w:rPr>
        <w:t>11.37 ± 6.57 ×10⁹/L vs. 5.64 ± 1.79 ×10⁹/L</w:t>
      </w:r>
      <w:r w:rsidRPr="00F9755A">
        <w:rPr>
          <w:rFonts w:asciiTheme="minorHAnsi" w:hAnsiTheme="minorHAnsi" w:cstheme="minorHAnsi"/>
          <w:highlight w:val="yellow"/>
        </w:rPr>
        <w:t>)</w:t>
      </w:r>
      <w:r w:rsidRPr="00F9755A">
        <w:rPr>
          <w:rFonts w:asciiTheme="minorHAnsi" w:hAnsiTheme="minorHAnsi" w:cstheme="minorHAnsi"/>
        </w:rPr>
        <w:t xml:space="preserve"> and platelets (</w:t>
      </w:r>
      <w:r w:rsidRPr="00F9755A">
        <w:rPr>
          <w:rStyle w:val="Strong"/>
          <w:rFonts w:asciiTheme="minorHAnsi" w:hAnsiTheme="minorHAnsi" w:cstheme="minorHAnsi"/>
          <w:b w:val="0"/>
          <w:highlight w:val="yellow"/>
        </w:rPr>
        <w:t>351.62 ± 153.96 ×10⁹/L vs. 233.04 ± 59.95 ×10⁹/L</w:t>
      </w:r>
      <w:r w:rsidRPr="00F9755A">
        <w:rPr>
          <w:rFonts w:asciiTheme="minorHAnsi" w:hAnsiTheme="minorHAnsi" w:cstheme="minorHAnsi"/>
          <w:highlight w:val="yellow"/>
        </w:rPr>
        <w:t>)</w:t>
      </w:r>
      <w:r w:rsidRPr="00F9755A">
        <w:rPr>
          <w:rFonts w:asciiTheme="minorHAnsi" w:hAnsiTheme="minorHAnsi" w:cstheme="minorHAnsi"/>
        </w:rPr>
        <w:t xml:space="preserve"> were significantly elevated in SCD patients (p = 0.000). </w:t>
      </w:r>
      <w:proofErr w:type="spellStart"/>
      <w:r w:rsidRPr="00F9755A">
        <w:rPr>
          <w:rStyle w:val="Strong"/>
          <w:rFonts w:asciiTheme="minorHAnsi" w:hAnsiTheme="minorHAnsi" w:cstheme="minorHAnsi"/>
          <w:b w:val="0"/>
          <w:highlight w:val="yellow"/>
        </w:rPr>
        <w:t>Eosinophil</w:t>
      </w:r>
      <w:proofErr w:type="spellEnd"/>
      <w:r w:rsidRPr="00F9755A">
        <w:rPr>
          <w:rStyle w:val="Strong"/>
          <w:rFonts w:asciiTheme="minorHAnsi" w:hAnsiTheme="minorHAnsi" w:cstheme="minorHAnsi"/>
          <w:b w:val="0"/>
          <w:highlight w:val="yellow"/>
        </w:rPr>
        <w:t xml:space="preserve"> count was significantly higher in males than females (2.98 ± 2.88 vs. 1.84 ± 1.40; p = 0.007).</w:t>
      </w:r>
      <w:r w:rsidRPr="00F9755A">
        <w:rPr>
          <w:rFonts w:asciiTheme="minorHAnsi" w:hAnsiTheme="minorHAnsi" w:cstheme="minorHAnsi"/>
        </w:rPr>
        <w:t xml:space="preserve"> Other differential counts showed no significant differences (p &gt; 0.05).</w:t>
      </w:r>
    </w:p>
    <w:p w:rsidR="00F9755A" w:rsidRPr="00F9755A" w:rsidRDefault="00F9755A" w:rsidP="00F9755A">
      <w:pPr>
        <w:pStyle w:val="NormalWeb"/>
        <w:spacing w:line="360" w:lineRule="auto"/>
        <w:jc w:val="both"/>
        <w:rPr>
          <w:rFonts w:asciiTheme="minorHAnsi" w:hAnsiTheme="minorHAnsi" w:cstheme="minorHAnsi"/>
        </w:rPr>
      </w:pPr>
      <w:r w:rsidRPr="00F9755A">
        <w:rPr>
          <w:rStyle w:val="Strong"/>
          <w:rFonts w:asciiTheme="minorHAnsi" w:hAnsiTheme="minorHAnsi" w:cstheme="minorHAnsi"/>
          <w:b w:val="0"/>
        </w:rPr>
        <w:t>Conclusion</w:t>
      </w:r>
      <w:proofErr w:type="gramStart"/>
      <w:r w:rsidRPr="00F9755A">
        <w:rPr>
          <w:rStyle w:val="Strong"/>
          <w:rFonts w:asciiTheme="minorHAnsi" w:hAnsiTheme="minorHAnsi" w:cstheme="minorHAnsi"/>
          <w:b w:val="0"/>
        </w:rPr>
        <w:t>:</w:t>
      </w:r>
      <w:proofErr w:type="gramEnd"/>
      <w:r w:rsidRPr="00F9755A">
        <w:rPr>
          <w:rFonts w:asciiTheme="minorHAnsi" w:hAnsiTheme="minorHAnsi" w:cstheme="minorHAnsi"/>
        </w:rPr>
        <w:br/>
        <w:t xml:space="preserve">Steady-state SCD is marked by </w:t>
      </w:r>
      <w:r w:rsidRPr="00F9755A">
        <w:rPr>
          <w:rStyle w:val="Strong"/>
          <w:rFonts w:asciiTheme="minorHAnsi" w:hAnsiTheme="minorHAnsi" w:cstheme="minorHAnsi"/>
          <w:b w:val="0"/>
          <w:highlight w:val="yellow"/>
        </w:rPr>
        <w:t>anemia, leukocytosis, and thrombocytosis</w:t>
      </w:r>
      <w:r w:rsidRPr="00F9755A">
        <w:rPr>
          <w:rFonts w:asciiTheme="minorHAnsi" w:hAnsiTheme="minorHAnsi" w:cstheme="minorHAnsi"/>
        </w:rPr>
        <w:t xml:space="preserve">. Routine monitoring of hematological parameters can inform early intervention and clinical management, </w:t>
      </w:r>
      <w:r w:rsidRPr="00F9755A">
        <w:rPr>
          <w:rStyle w:val="Strong"/>
          <w:rFonts w:asciiTheme="minorHAnsi" w:hAnsiTheme="minorHAnsi" w:cstheme="minorHAnsi"/>
          <w:b w:val="0"/>
          <w:highlight w:val="yellow"/>
        </w:rPr>
        <w:t>though causal inferences cannot be made due to the cross-sectional design.</w:t>
      </w:r>
    </w:p>
    <w:p w:rsidR="00F9755A" w:rsidRPr="00F9755A" w:rsidRDefault="00F9755A" w:rsidP="00F9755A">
      <w:pPr>
        <w:pStyle w:val="NormalWeb"/>
        <w:spacing w:line="360" w:lineRule="auto"/>
        <w:jc w:val="both"/>
        <w:rPr>
          <w:rFonts w:asciiTheme="minorHAnsi" w:hAnsiTheme="minorHAnsi" w:cstheme="minorHAnsi"/>
        </w:rPr>
      </w:pPr>
      <w:r w:rsidRPr="00F9755A">
        <w:rPr>
          <w:rStyle w:val="Strong"/>
          <w:rFonts w:asciiTheme="minorHAnsi" w:hAnsiTheme="minorHAnsi" w:cstheme="minorHAnsi"/>
          <w:b w:val="0"/>
        </w:rPr>
        <w:t>Keywords:</w:t>
      </w:r>
      <w:r w:rsidRPr="00F9755A">
        <w:rPr>
          <w:rFonts w:asciiTheme="minorHAnsi" w:hAnsiTheme="minorHAnsi" w:cstheme="minorHAnsi"/>
        </w:rPr>
        <w:t xml:space="preserve"> Sickle Cell Disease, </w:t>
      </w:r>
      <w:r w:rsidRPr="00F9755A">
        <w:rPr>
          <w:rStyle w:val="Strong"/>
          <w:rFonts w:asciiTheme="minorHAnsi" w:hAnsiTheme="minorHAnsi" w:cstheme="minorHAnsi"/>
          <w:b w:val="0"/>
          <w:highlight w:val="yellow"/>
        </w:rPr>
        <w:t>Hematological Alterations</w:t>
      </w:r>
      <w:r w:rsidRPr="00F9755A">
        <w:rPr>
          <w:rFonts w:asciiTheme="minorHAnsi" w:hAnsiTheme="minorHAnsi" w:cstheme="minorHAnsi"/>
          <w:highlight w:val="yellow"/>
        </w:rPr>
        <w:t>,</w:t>
      </w:r>
      <w:r w:rsidRPr="00F9755A">
        <w:rPr>
          <w:rFonts w:asciiTheme="minorHAnsi" w:hAnsiTheme="minorHAnsi" w:cstheme="minorHAnsi"/>
        </w:rPr>
        <w:t xml:space="preserve"> Steady State, Anemia, Thrombocytosis, Clinical Implications</w:t>
      </w:r>
    </w:p>
    <w:p w:rsidR="005614B5" w:rsidRPr="00097854" w:rsidRDefault="005614B5" w:rsidP="00F9755A">
      <w:pPr>
        <w:spacing w:line="360" w:lineRule="auto"/>
        <w:rPr>
          <w:rFonts w:eastAsia="Times New Roman" w:cstheme="minorHAnsi"/>
          <w:sz w:val="24"/>
          <w:szCs w:val="24"/>
        </w:rPr>
      </w:pPr>
    </w:p>
    <w:p w:rsidR="005614B5" w:rsidRPr="00097854" w:rsidRDefault="005614B5" w:rsidP="005614B5">
      <w:pPr>
        <w:spacing w:line="360" w:lineRule="auto"/>
        <w:jc w:val="both"/>
        <w:rPr>
          <w:rFonts w:cstheme="minorHAnsi"/>
        </w:rPr>
      </w:pPr>
    </w:p>
    <w:p w:rsidR="005614B5" w:rsidRDefault="005614B5" w:rsidP="005614B5">
      <w:pPr>
        <w:spacing w:line="360" w:lineRule="auto"/>
        <w:jc w:val="both"/>
      </w:pPr>
    </w:p>
    <w:p w:rsidR="005614B5" w:rsidRDefault="005614B5" w:rsidP="005614B5">
      <w:pPr>
        <w:spacing w:line="360" w:lineRule="auto"/>
        <w:jc w:val="both"/>
      </w:pPr>
    </w:p>
    <w:p w:rsidR="005614B5" w:rsidRDefault="005614B5" w:rsidP="005614B5">
      <w:pPr>
        <w:spacing w:line="360" w:lineRule="auto"/>
        <w:jc w:val="both"/>
      </w:pPr>
    </w:p>
    <w:p w:rsidR="005614B5" w:rsidRDefault="005614B5" w:rsidP="005614B5">
      <w:pPr>
        <w:spacing w:line="360" w:lineRule="auto"/>
        <w:jc w:val="both"/>
      </w:pPr>
    </w:p>
    <w:p w:rsidR="005614B5" w:rsidRPr="00A26143" w:rsidRDefault="005614B5" w:rsidP="005614B5">
      <w:pPr>
        <w:spacing w:line="360" w:lineRule="auto"/>
        <w:jc w:val="both"/>
        <w:rPr>
          <w:rFonts w:cstheme="minorHAnsi"/>
          <w:b/>
          <w:sz w:val="24"/>
          <w:szCs w:val="24"/>
        </w:rPr>
      </w:pPr>
      <w:r w:rsidRPr="00A26143">
        <w:rPr>
          <w:rFonts w:cstheme="minorHAnsi"/>
          <w:b/>
          <w:sz w:val="24"/>
          <w:szCs w:val="24"/>
        </w:rPr>
        <w:lastRenderedPageBreak/>
        <w:t>1. Introduction</w:t>
      </w:r>
    </w:p>
    <w:p w:rsidR="00F9755A" w:rsidRPr="00F9755A" w:rsidRDefault="00F9755A" w:rsidP="00F9755A">
      <w:pPr>
        <w:pStyle w:val="NormalWeb"/>
        <w:spacing w:line="360" w:lineRule="auto"/>
        <w:jc w:val="both"/>
        <w:rPr>
          <w:rFonts w:asciiTheme="minorHAnsi" w:hAnsiTheme="minorHAnsi" w:cstheme="minorHAnsi"/>
        </w:rPr>
      </w:pPr>
      <w:r w:rsidRPr="00F9755A">
        <w:rPr>
          <w:rFonts w:asciiTheme="minorHAnsi" w:hAnsiTheme="minorHAnsi" w:cstheme="minorHAnsi"/>
        </w:rPr>
        <w:t xml:space="preserve">The most common inherited hemoglobin disorder in the world, sickle cell disease (SCD), primarily affects people of African descent. A mutation in the β-globin gene causes abnormal hemoglobin S (HbS), which polymerizes in deoxygenated environments and gives red blood cells (RBCs) a sickle shape (1). These sickled cells are prone to </w:t>
      </w:r>
      <w:proofErr w:type="spellStart"/>
      <w:r w:rsidRPr="00F9755A">
        <w:rPr>
          <w:rFonts w:asciiTheme="minorHAnsi" w:hAnsiTheme="minorHAnsi" w:cstheme="minorHAnsi"/>
        </w:rPr>
        <w:t>hemolysis</w:t>
      </w:r>
      <w:proofErr w:type="spellEnd"/>
      <w:r w:rsidRPr="00F9755A">
        <w:rPr>
          <w:rFonts w:asciiTheme="minorHAnsi" w:hAnsiTheme="minorHAnsi" w:cstheme="minorHAnsi"/>
        </w:rPr>
        <w:t xml:space="preserve"> and can clog microvasculature, resulting in vaso-occlusive crisis (VOC), persistent hemolytic anemia, and </w:t>
      </w:r>
      <w:proofErr w:type="gramStart"/>
      <w:r w:rsidRPr="00F9755A">
        <w:rPr>
          <w:rFonts w:asciiTheme="minorHAnsi" w:hAnsiTheme="minorHAnsi" w:cstheme="minorHAnsi"/>
        </w:rPr>
        <w:t>various organ damage (2)</w:t>
      </w:r>
      <w:proofErr w:type="gramEnd"/>
      <w:r w:rsidRPr="00F9755A">
        <w:rPr>
          <w:rFonts w:asciiTheme="minorHAnsi" w:hAnsiTheme="minorHAnsi" w:cstheme="minorHAnsi"/>
        </w:rPr>
        <w:t>.</w:t>
      </w:r>
    </w:p>
    <w:p w:rsidR="00F9755A" w:rsidRPr="00F9755A" w:rsidRDefault="00F9755A" w:rsidP="00F9755A">
      <w:pPr>
        <w:pStyle w:val="NormalWeb"/>
        <w:spacing w:line="360" w:lineRule="auto"/>
        <w:jc w:val="both"/>
        <w:rPr>
          <w:rFonts w:asciiTheme="minorHAnsi" w:hAnsiTheme="minorHAnsi" w:cstheme="minorHAnsi"/>
          <w:b/>
        </w:rPr>
      </w:pPr>
      <w:r w:rsidRPr="00F9755A">
        <w:rPr>
          <w:rFonts w:asciiTheme="minorHAnsi" w:hAnsiTheme="minorHAnsi" w:cstheme="minorHAnsi"/>
        </w:rPr>
        <w:t xml:space="preserve">Nigeria has the highest burden of SCD globally, with about 150,000 children born with the condition annually, contributing significantly to pediatric morbidity and mortality (3). Despite improvements in therapy, SCD patients frequently experience infections, acute chest syndrome, stroke, and renal impairment. However, most patients live in what is known as the </w:t>
      </w:r>
      <w:r w:rsidRPr="00F9755A">
        <w:rPr>
          <w:rStyle w:val="Strong"/>
          <w:rFonts w:asciiTheme="minorHAnsi" w:hAnsiTheme="minorHAnsi" w:cstheme="minorHAnsi"/>
          <w:b w:val="0"/>
          <w:highlight w:val="yellow"/>
        </w:rPr>
        <w:t>“steady state,” defined as a period of at least four weeks without crisis, transfusion, or infection</w:t>
      </w:r>
      <w:r w:rsidRPr="00F9755A">
        <w:rPr>
          <w:rFonts w:asciiTheme="minorHAnsi" w:hAnsiTheme="minorHAnsi" w:cstheme="minorHAnsi"/>
          <w:b/>
          <w:highlight w:val="yellow"/>
        </w:rPr>
        <w:t xml:space="preserve"> </w:t>
      </w:r>
      <w:r w:rsidRPr="00F9755A">
        <w:rPr>
          <w:rFonts w:asciiTheme="minorHAnsi" w:hAnsiTheme="minorHAnsi" w:cstheme="minorHAnsi"/>
          <w:highlight w:val="yellow"/>
        </w:rPr>
        <w:t>(4).</w:t>
      </w:r>
    </w:p>
    <w:p w:rsidR="00F9755A" w:rsidRPr="00F9755A" w:rsidRDefault="00F9755A" w:rsidP="00F9755A">
      <w:pPr>
        <w:pStyle w:val="NormalWeb"/>
        <w:spacing w:line="360" w:lineRule="auto"/>
        <w:jc w:val="both"/>
        <w:rPr>
          <w:rFonts w:asciiTheme="minorHAnsi" w:hAnsiTheme="minorHAnsi" w:cstheme="minorHAnsi"/>
        </w:rPr>
      </w:pPr>
      <w:r w:rsidRPr="00F9755A">
        <w:rPr>
          <w:rFonts w:asciiTheme="minorHAnsi" w:hAnsiTheme="minorHAnsi" w:cstheme="minorHAnsi"/>
        </w:rPr>
        <w:t xml:space="preserve">Even in steady state, hematological changes offer important insights into disease pathophysiology. SCD patients often exhibit thrombocytosis, elevated white blood cell (WBC) counts, and chronic anemia (5). These abnormalities may increase the risk of thrombotic events and organ damage due to </w:t>
      </w:r>
      <w:r w:rsidRPr="00F9755A">
        <w:rPr>
          <w:rStyle w:val="Strong"/>
          <w:rFonts w:asciiTheme="minorHAnsi" w:hAnsiTheme="minorHAnsi" w:cstheme="minorHAnsi"/>
          <w:b w:val="0"/>
          <w:highlight w:val="yellow"/>
        </w:rPr>
        <w:t>splenic dysfunction, chronic inflammation, and endothelial activation</w:t>
      </w:r>
      <w:r w:rsidRPr="00F9755A">
        <w:rPr>
          <w:rFonts w:asciiTheme="minorHAnsi" w:hAnsiTheme="minorHAnsi" w:cstheme="minorHAnsi"/>
          <w:highlight w:val="yellow"/>
        </w:rPr>
        <w:t xml:space="preserve"> (6).</w:t>
      </w:r>
    </w:p>
    <w:p w:rsidR="00F9755A" w:rsidRPr="00F9755A" w:rsidRDefault="00F9755A" w:rsidP="00F9755A">
      <w:pPr>
        <w:pStyle w:val="NormalWeb"/>
        <w:spacing w:line="360" w:lineRule="auto"/>
        <w:jc w:val="both"/>
        <w:rPr>
          <w:rFonts w:asciiTheme="minorHAnsi" w:hAnsiTheme="minorHAnsi" w:cstheme="minorHAnsi"/>
        </w:rPr>
      </w:pPr>
      <w:r w:rsidRPr="00F9755A">
        <w:rPr>
          <w:rFonts w:asciiTheme="minorHAnsi" w:hAnsiTheme="minorHAnsi" w:cstheme="minorHAnsi"/>
        </w:rPr>
        <w:t>Monitoring these hematologic profiles is critical for managing disease progression. For instance, severe anemia can impair oxygen delivery and require transfusions, while leukocytosis and thrombocytosis may correlate with stroke and vaso-occlusion risks (7). Nevertheless, steady-state hematological markers are often overlooked in routine care.</w:t>
      </w:r>
    </w:p>
    <w:p w:rsidR="005614B5" w:rsidRPr="00F9755A" w:rsidRDefault="00F9755A" w:rsidP="00F9755A">
      <w:pPr>
        <w:pStyle w:val="NormalWeb"/>
        <w:spacing w:line="360" w:lineRule="auto"/>
        <w:jc w:val="both"/>
        <w:rPr>
          <w:rFonts w:asciiTheme="minorHAnsi" w:hAnsiTheme="minorHAnsi" w:cstheme="minorHAnsi"/>
        </w:rPr>
      </w:pPr>
      <w:r w:rsidRPr="00F9755A">
        <w:rPr>
          <w:rFonts w:asciiTheme="minorHAnsi" w:hAnsiTheme="minorHAnsi" w:cstheme="minorHAnsi"/>
        </w:rPr>
        <w:t xml:space="preserve">This study investigates the hematological changes among SCD patients in steady state in comparison to healthy controls. It aims to highlight the </w:t>
      </w:r>
      <w:r w:rsidRPr="00F9755A">
        <w:rPr>
          <w:rStyle w:val="Strong"/>
          <w:rFonts w:asciiTheme="minorHAnsi" w:hAnsiTheme="minorHAnsi" w:cstheme="minorHAnsi"/>
          <w:b w:val="0"/>
          <w:highlight w:val="yellow"/>
        </w:rPr>
        <w:t>clinical relevance of these alterations</w:t>
      </w:r>
      <w:r w:rsidRPr="00F9755A">
        <w:rPr>
          <w:rFonts w:asciiTheme="minorHAnsi" w:hAnsiTheme="minorHAnsi" w:cstheme="minorHAnsi"/>
        </w:rPr>
        <w:t xml:space="preserve"> and advocate for routine hematological assessments in SCD management.</w:t>
      </w:r>
    </w:p>
    <w:p w:rsidR="00F9755A" w:rsidRPr="00F9755A" w:rsidRDefault="00F9755A" w:rsidP="00F9755A">
      <w:pPr>
        <w:pStyle w:val="Heading2"/>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lastRenderedPageBreak/>
        <w:t>2.0 Materials and Methods</w:t>
      </w:r>
    </w:p>
    <w:p w:rsidR="00F9755A" w:rsidRPr="00F9755A" w:rsidRDefault="00F9755A" w:rsidP="00F9755A">
      <w:pPr>
        <w:pStyle w:val="Heading3"/>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2.1 Study Design and Setting</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 xml:space="preserve">This study employed a </w:t>
      </w:r>
      <w:r w:rsidRPr="00F9755A">
        <w:rPr>
          <w:rStyle w:val="Strong"/>
          <w:rFonts w:asciiTheme="minorHAnsi" w:hAnsiTheme="minorHAnsi" w:cstheme="minorHAnsi"/>
          <w:b w:val="0"/>
          <w:color w:val="000000" w:themeColor="text1"/>
          <w:highlight w:val="yellow"/>
        </w:rPr>
        <w:t>cross-sectional, case-control design</w:t>
      </w:r>
      <w:r w:rsidRPr="00F9755A">
        <w:rPr>
          <w:rFonts w:asciiTheme="minorHAnsi" w:hAnsiTheme="minorHAnsi" w:cstheme="minorHAnsi"/>
          <w:color w:val="000000" w:themeColor="text1"/>
        </w:rPr>
        <w:t xml:space="preserve"> to evaluate hematological parameters among individuals with sickle cell disease (SCD) in a steady state compared to healthy controls. The research was conducted at the Hematology Day Care Unit of the University College Hospital (UCH), Ibadan, Nigeria. UCH is a tertiary healthcare facility renowned for its comprehensive care of hematological disorders, including SCD.</w:t>
      </w:r>
    </w:p>
    <w:p w:rsidR="00F9755A" w:rsidRPr="00F9755A" w:rsidRDefault="00F9755A" w:rsidP="00F9755A">
      <w:pPr>
        <w:pStyle w:val="Heading3"/>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2.2 Study Population</w:t>
      </w:r>
    </w:p>
    <w:p w:rsidR="00F9755A" w:rsidRPr="00F9755A" w:rsidRDefault="00F9755A" w:rsidP="00F9755A">
      <w:pPr>
        <w:pStyle w:val="Heading4"/>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2.2.1 Inclusion Criteria</w:t>
      </w:r>
    </w:p>
    <w:p w:rsidR="00F9755A" w:rsidRPr="00F9755A" w:rsidRDefault="00F9755A" w:rsidP="00F9755A">
      <w:pPr>
        <w:pStyle w:val="NormalWeb"/>
        <w:numPr>
          <w:ilvl w:val="0"/>
          <w:numId w:val="4"/>
        </w:numPr>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color w:val="000000" w:themeColor="text1"/>
        </w:rPr>
        <w:t>SCD Patients:</w:t>
      </w:r>
      <w:r w:rsidRPr="00F9755A">
        <w:rPr>
          <w:rFonts w:asciiTheme="minorHAnsi" w:hAnsiTheme="minorHAnsi" w:cstheme="minorHAnsi"/>
          <w:color w:val="000000" w:themeColor="text1"/>
        </w:rPr>
        <w:t xml:space="preserve"> Individuals aged 18 years and above with a confirmed diagnosis of homozygous sickle cell disease (HbSS) in </w:t>
      </w:r>
      <w:r w:rsidRPr="00F9755A">
        <w:rPr>
          <w:rStyle w:val="Strong"/>
          <w:rFonts w:asciiTheme="minorHAnsi" w:hAnsiTheme="minorHAnsi" w:cstheme="minorHAnsi"/>
          <w:b w:val="0"/>
          <w:color w:val="000000" w:themeColor="text1"/>
          <w:highlight w:val="yellow"/>
        </w:rPr>
        <w:t>steady state—defined as the absence of acute illness, infection, or crisis episodes for at least four weeks prior to enrollment</w:t>
      </w:r>
      <w:r w:rsidRPr="00F9755A">
        <w:rPr>
          <w:rFonts w:asciiTheme="minorHAnsi" w:hAnsiTheme="minorHAnsi" w:cstheme="minorHAnsi"/>
          <w:b/>
          <w:color w:val="000000" w:themeColor="text1"/>
          <w:highlight w:val="yellow"/>
        </w:rPr>
        <w:t>.</w:t>
      </w:r>
    </w:p>
    <w:p w:rsidR="00F9755A" w:rsidRPr="00F9755A" w:rsidRDefault="00F9755A" w:rsidP="00F9755A">
      <w:pPr>
        <w:pStyle w:val="NormalWeb"/>
        <w:numPr>
          <w:ilvl w:val="0"/>
          <w:numId w:val="4"/>
        </w:numPr>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color w:val="000000" w:themeColor="text1"/>
        </w:rPr>
        <w:t>Controls:</w:t>
      </w:r>
      <w:r w:rsidRPr="00F9755A">
        <w:rPr>
          <w:rFonts w:asciiTheme="minorHAnsi" w:hAnsiTheme="minorHAnsi" w:cstheme="minorHAnsi"/>
          <w:color w:val="000000" w:themeColor="text1"/>
        </w:rPr>
        <w:t xml:space="preserve"> Healthy individuals aged 18 years and above with confirmed hemoglobin AA genotype, matched for age and sex with the SCD patients.</w:t>
      </w:r>
    </w:p>
    <w:p w:rsidR="00F9755A" w:rsidRPr="00F9755A" w:rsidRDefault="00F9755A" w:rsidP="00F9755A">
      <w:pPr>
        <w:pStyle w:val="Heading4"/>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2.2.2 Exclusion Criteria</w:t>
      </w:r>
    </w:p>
    <w:p w:rsidR="00F9755A" w:rsidRPr="00F9755A" w:rsidRDefault="00F9755A" w:rsidP="00F9755A">
      <w:pPr>
        <w:pStyle w:val="NormalWeb"/>
        <w:numPr>
          <w:ilvl w:val="0"/>
          <w:numId w:val="5"/>
        </w:numPr>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Individuals who had received blood transfusions within the preceding three months.</w:t>
      </w:r>
    </w:p>
    <w:p w:rsidR="00F9755A" w:rsidRPr="00F9755A" w:rsidRDefault="00F9755A" w:rsidP="00F9755A">
      <w:pPr>
        <w:pStyle w:val="NormalWeb"/>
        <w:numPr>
          <w:ilvl w:val="0"/>
          <w:numId w:val="5"/>
        </w:numPr>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Presence of acute illness, infection, or vaso-occlusive crisis at the time of recruitment.</w:t>
      </w:r>
    </w:p>
    <w:p w:rsidR="00F9755A" w:rsidRPr="00F9755A" w:rsidRDefault="00F9755A" w:rsidP="00F9755A">
      <w:pPr>
        <w:pStyle w:val="NormalWeb"/>
        <w:numPr>
          <w:ilvl w:val="0"/>
          <w:numId w:val="5"/>
        </w:numPr>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 xml:space="preserve">Known </w:t>
      </w:r>
      <w:proofErr w:type="spellStart"/>
      <w:r w:rsidRPr="00F9755A">
        <w:rPr>
          <w:rFonts w:asciiTheme="minorHAnsi" w:hAnsiTheme="minorHAnsi" w:cstheme="minorHAnsi"/>
          <w:color w:val="000000" w:themeColor="text1"/>
        </w:rPr>
        <w:t>comorbid</w:t>
      </w:r>
      <w:proofErr w:type="spellEnd"/>
      <w:r w:rsidRPr="00F9755A">
        <w:rPr>
          <w:rFonts w:asciiTheme="minorHAnsi" w:hAnsiTheme="minorHAnsi" w:cstheme="minorHAnsi"/>
          <w:color w:val="000000" w:themeColor="text1"/>
        </w:rPr>
        <w:t xml:space="preserve"> conditions that could affect hematological parameters, such as HIV infection, chronic kidney disease, or malignancies.</w:t>
      </w:r>
    </w:p>
    <w:p w:rsidR="00F9755A" w:rsidRPr="00F9755A" w:rsidRDefault="00F9755A" w:rsidP="00F9755A">
      <w:pPr>
        <w:pStyle w:val="Heading3"/>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lastRenderedPageBreak/>
        <w:t>2.3 Sample Size Determination</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A total of 167 participants were enrolled in the study, comprising 122 SCD patients in steady state and 45 healthy controls. The sample size was determined based on previous studies assessing hematological parameters in similar populations, ensuring adequate power to detect significant differences between groups.</w:t>
      </w:r>
    </w:p>
    <w:p w:rsidR="00F9755A" w:rsidRPr="00F9755A" w:rsidRDefault="00F9755A" w:rsidP="00F9755A">
      <w:pPr>
        <w:pStyle w:val="Heading3"/>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2.4 Sampling Technique</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 xml:space="preserve">Participants were recruited using a </w:t>
      </w:r>
      <w:r w:rsidRPr="00F9755A">
        <w:rPr>
          <w:rStyle w:val="Strong"/>
          <w:rFonts w:asciiTheme="minorHAnsi" w:hAnsiTheme="minorHAnsi" w:cstheme="minorHAnsi"/>
          <w:b w:val="0"/>
          <w:color w:val="000000" w:themeColor="text1"/>
          <w:highlight w:val="yellow"/>
        </w:rPr>
        <w:t>purposive sampling method</w:t>
      </w:r>
      <w:r w:rsidRPr="00F9755A">
        <w:rPr>
          <w:rFonts w:asciiTheme="minorHAnsi" w:hAnsiTheme="minorHAnsi" w:cstheme="minorHAnsi"/>
          <w:color w:val="000000" w:themeColor="text1"/>
        </w:rPr>
        <w:t>. SCD patients attending routine follow-up visits at the Hematology Day Care Unit were approached consecutively. Healthy controls were selected from hospital staff and community volunteers, ensuring they met the inclusion criteria and provided informed consent.</w:t>
      </w:r>
    </w:p>
    <w:p w:rsidR="00F9755A" w:rsidRPr="00F9755A" w:rsidRDefault="00F9755A" w:rsidP="00F9755A">
      <w:pPr>
        <w:pStyle w:val="Heading3"/>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2.5 Data Collection Instruments and Procedures</w:t>
      </w:r>
    </w:p>
    <w:p w:rsidR="00F9755A" w:rsidRPr="00F9755A" w:rsidRDefault="00F9755A" w:rsidP="00F9755A">
      <w:pPr>
        <w:pStyle w:val="Heading4"/>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2.5.1 Questionnaire Administration</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 xml:space="preserve">A structured, interviewer-administered questionnaire was used to collect </w:t>
      </w:r>
      <w:proofErr w:type="spellStart"/>
      <w:r w:rsidRPr="00F9755A">
        <w:rPr>
          <w:rFonts w:asciiTheme="minorHAnsi" w:hAnsiTheme="minorHAnsi" w:cstheme="minorHAnsi"/>
          <w:color w:val="000000" w:themeColor="text1"/>
        </w:rPr>
        <w:t>sociodemographic</w:t>
      </w:r>
      <w:proofErr w:type="spellEnd"/>
      <w:r w:rsidRPr="00F9755A">
        <w:rPr>
          <w:rFonts w:asciiTheme="minorHAnsi" w:hAnsiTheme="minorHAnsi" w:cstheme="minorHAnsi"/>
          <w:color w:val="000000" w:themeColor="text1"/>
        </w:rPr>
        <w:t xml:space="preserve"> data, medical history, and relevant clinical information. The questionnaire was pretested for clarity and reliability before deployment.</w:t>
      </w:r>
    </w:p>
    <w:p w:rsidR="00F9755A" w:rsidRPr="00F9755A" w:rsidRDefault="00F9755A" w:rsidP="00F9755A">
      <w:pPr>
        <w:pStyle w:val="Heading4"/>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2.5.2 Physical Examination</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Each participant underwent a thorough physical examination, including vital signs assessment and evaluation for pallor, jaundice, lymphadenopathy, and splenomegaly, to confirm the steady-state status in SCD patients and overall health in controls.</w:t>
      </w:r>
    </w:p>
    <w:p w:rsidR="00F9755A" w:rsidRPr="00F9755A" w:rsidRDefault="00F9755A" w:rsidP="00F9755A">
      <w:pPr>
        <w:pStyle w:val="Heading3"/>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lastRenderedPageBreak/>
        <w:t>2.6 Laboratory Investigations</w:t>
      </w:r>
    </w:p>
    <w:p w:rsidR="00F9755A" w:rsidRPr="00F9755A" w:rsidRDefault="00F9755A" w:rsidP="00F9755A">
      <w:pPr>
        <w:pStyle w:val="Heading4"/>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2.6.1 Blood Sample Collection</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Five milliliters of venous blood were drawn aseptically from each participant into EDTA-</w:t>
      </w:r>
      <w:proofErr w:type="spellStart"/>
      <w:r w:rsidRPr="00F9755A">
        <w:rPr>
          <w:rFonts w:asciiTheme="minorHAnsi" w:hAnsiTheme="minorHAnsi" w:cstheme="minorHAnsi"/>
          <w:color w:val="000000" w:themeColor="text1"/>
        </w:rPr>
        <w:t>anticoagulated</w:t>
      </w:r>
      <w:proofErr w:type="spellEnd"/>
      <w:r w:rsidRPr="00F9755A">
        <w:rPr>
          <w:rFonts w:asciiTheme="minorHAnsi" w:hAnsiTheme="minorHAnsi" w:cstheme="minorHAnsi"/>
          <w:color w:val="000000" w:themeColor="text1"/>
        </w:rPr>
        <w:t xml:space="preserve"> tubes for hematological analysis.</w:t>
      </w:r>
    </w:p>
    <w:p w:rsidR="00F9755A" w:rsidRPr="00F9755A" w:rsidRDefault="00F9755A" w:rsidP="00F9755A">
      <w:pPr>
        <w:pStyle w:val="Heading4"/>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2.6.2 Hematological Analysis</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 xml:space="preserve">Complete blood count (CBC) parameters, including hemoglobin concentration (Hb), packed cell volume (PCV), total white blood cell (WBC) count, platelet count, and differential white cell counts, were measured using an automated hematology analyzer </w:t>
      </w:r>
      <w:r w:rsidRPr="00F9755A">
        <w:rPr>
          <w:rFonts w:asciiTheme="minorHAnsi" w:hAnsiTheme="minorHAnsi" w:cstheme="minorHAnsi"/>
          <w:b/>
          <w:color w:val="000000" w:themeColor="text1"/>
          <w:highlight w:val="yellow"/>
        </w:rPr>
        <w:t>(</w:t>
      </w:r>
      <w:r w:rsidRPr="00F9755A">
        <w:rPr>
          <w:rStyle w:val="Strong"/>
          <w:rFonts w:asciiTheme="minorHAnsi" w:hAnsiTheme="minorHAnsi" w:cstheme="minorHAnsi"/>
          <w:b w:val="0"/>
          <w:color w:val="000000" w:themeColor="text1"/>
          <w:highlight w:val="yellow"/>
        </w:rPr>
        <w:t>e.g., Sysmex KX-21N, Sysmex Corporation, Kobe, Japan</w:t>
      </w:r>
      <w:r w:rsidRPr="00F9755A">
        <w:rPr>
          <w:rFonts w:asciiTheme="minorHAnsi" w:hAnsiTheme="minorHAnsi" w:cstheme="minorHAnsi"/>
          <w:b/>
          <w:color w:val="000000" w:themeColor="text1"/>
          <w:highlight w:val="yellow"/>
        </w:rPr>
        <w:t>).</w:t>
      </w:r>
      <w:r w:rsidRPr="00F9755A">
        <w:rPr>
          <w:rFonts w:asciiTheme="minorHAnsi" w:hAnsiTheme="minorHAnsi" w:cstheme="minorHAnsi"/>
          <w:color w:val="000000" w:themeColor="text1"/>
        </w:rPr>
        <w:t xml:space="preserve"> The analyzer was calibrated </w:t>
      </w:r>
      <w:proofErr w:type="gramStart"/>
      <w:r w:rsidRPr="00F9755A">
        <w:rPr>
          <w:rFonts w:asciiTheme="minorHAnsi" w:hAnsiTheme="minorHAnsi" w:cstheme="minorHAnsi"/>
          <w:color w:val="000000" w:themeColor="text1"/>
        </w:rPr>
        <w:t>daily,</w:t>
      </w:r>
      <w:proofErr w:type="gramEnd"/>
      <w:r w:rsidRPr="00F9755A">
        <w:rPr>
          <w:rFonts w:asciiTheme="minorHAnsi" w:hAnsiTheme="minorHAnsi" w:cstheme="minorHAnsi"/>
          <w:color w:val="000000" w:themeColor="text1"/>
        </w:rPr>
        <w:t xml:space="preserve"> and strict quality control measures were followed to ensure result accuracy.</w:t>
      </w:r>
    </w:p>
    <w:p w:rsidR="00F9755A" w:rsidRPr="00F9755A" w:rsidRDefault="00F9755A" w:rsidP="00F9755A">
      <w:pPr>
        <w:pStyle w:val="Heading4"/>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2.6.3 Hemoglobin Electrophoresis</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Hemoglobin electrophoresis was performed to confirm the hemoglobin genotype of all participants using cellulose acetate electrophoresis at an alkaline pH of 8.6, following standard laboratory protocols.</w:t>
      </w:r>
    </w:p>
    <w:p w:rsidR="00F9755A" w:rsidRPr="00F9755A" w:rsidRDefault="00F9755A" w:rsidP="00F9755A">
      <w:pPr>
        <w:pStyle w:val="Heading3"/>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2.7 Ethical Considerations</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 xml:space="preserve">Ethical approval for the study was obtained from the Research and Ethics Committee of the University College Hospital, Ibadan </w:t>
      </w:r>
      <w:r w:rsidRPr="00F9755A">
        <w:rPr>
          <w:rFonts w:asciiTheme="minorHAnsi" w:hAnsiTheme="minorHAnsi" w:cstheme="minorHAnsi"/>
          <w:b/>
          <w:color w:val="000000" w:themeColor="text1"/>
          <w:highlight w:val="yellow"/>
        </w:rPr>
        <w:t>(</w:t>
      </w:r>
      <w:r w:rsidRPr="00F9755A">
        <w:rPr>
          <w:rStyle w:val="Strong"/>
          <w:rFonts w:asciiTheme="minorHAnsi" w:hAnsiTheme="minorHAnsi" w:cstheme="minorHAnsi"/>
          <w:b w:val="0"/>
          <w:color w:val="000000" w:themeColor="text1"/>
          <w:highlight w:val="yellow"/>
        </w:rPr>
        <w:t>Approval Number: UCH/EC/2025/04</w:t>
      </w:r>
      <w:r w:rsidRPr="00F9755A">
        <w:rPr>
          <w:rFonts w:asciiTheme="minorHAnsi" w:hAnsiTheme="minorHAnsi" w:cstheme="minorHAnsi"/>
          <w:b/>
          <w:color w:val="000000" w:themeColor="text1"/>
          <w:highlight w:val="yellow"/>
        </w:rPr>
        <w:t>).</w:t>
      </w:r>
      <w:r w:rsidRPr="00F9755A">
        <w:rPr>
          <w:rFonts w:asciiTheme="minorHAnsi" w:hAnsiTheme="minorHAnsi" w:cstheme="minorHAnsi"/>
          <w:color w:val="000000" w:themeColor="text1"/>
        </w:rPr>
        <w:t xml:space="preserve"> Written informed consent was obtained from all participants after providing detailed </w:t>
      </w:r>
      <w:r w:rsidRPr="00F9755A">
        <w:rPr>
          <w:rFonts w:asciiTheme="minorHAnsi" w:hAnsiTheme="minorHAnsi" w:cstheme="minorHAnsi"/>
          <w:color w:val="000000" w:themeColor="text1"/>
        </w:rPr>
        <w:lastRenderedPageBreak/>
        <w:t>information about the study’s purpose, procedures, potential risks, and benefits. Confidentiality of participant information was strictly maintained.</w:t>
      </w:r>
    </w:p>
    <w:p w:rsidR="00F9755A" w:rsidRPr="00F9755A" w:rsidRDefault="00F9755A" w:rsidP="00F9755A">
      <w:pPr>
        <w:pStyle w:val="Heading3"/>
        <w:spacing w:line="360" w:lineRule="auto"/>
        <w:jc w:val="both"/>
        <w:rPr>
          <w:rFonts w:asciiTheme="minorHAnsi" w:hAnsiTheme="minorHAnsi" w:cstheme="minorHAnsi"/>
          <w:color w:val="000000" w:themeColor="text1"/>
        </w:rPr>
      </w:pPr>
      <w:r w:rsidRPr="00F9755A">
        <w:rPr>
          <w:rStyle w:val="Strong"/>
          <w:rFonts w:asciiTheme="minorHAnsi" w:hAnsiTheme="minorHAnsi" w:cstheme="minorHAnsi"/>
          <w:b/>
          <w:bCs/>
          <w:color w:val="000000" w:themeColor="text1"/>
        </w:rPr>
        <w:t>2.8 Data Management and Statistical Analysis</w:t>
      </w:r>
    </w:p>
    <w:p w:rsidR="00F9755A" w:rsidRPr="00F9755A" w:rsidRDefault="00F9755A" w:rsidP="00F9755A">
      <w:pPr>
        <w:pStyle w:val="NormalWeb"/>
        <w:spacing w:line="360" w:lineRule="auto"/>
        <w:jc w:val="both"/>
        <w:rPr>
          <w:rFonts w:asciiTheme="minorHAnsi" w:hAnsiTheme="minorHAnsi" w:cstheme="minorHAnsi"/>
          <w:color w:val="000000" w:themeColor="text1"/>
        </w:rPr>
      </w:pPr>
      <w:r w:rsidRPr="00F9755A">
        <w:rPr>
          <w:rFonts w:asciiTheme="minorHAnsi" w:hAnsiTheme="minorHAnsi" w:cstheme="minorHAnsi"/>
          <w:color w:val="000000" w:themeColor="text1"/>
        </w:rPr>
        <w:t xml:space="preserve">Data collected were entered into Microsoft Excel and analyzed using SPSS version 23.0 (IBM Corp., Armonk, NY, USA). Continuous variables were expressed as means ± standard deviations, while categorical variables were presented as frequencies and percentages. </w:t>
      </w:r>
      <w:r w:rsidRPr="0074660D">
        <w:rPr>
          <w:rStyle w:val="Strong"/>
          <w:rFonts w:asciiTheme="minorHAnsi" w:hAnsiTheme="minorHAnsi" w:cstheme="minorHAnsi"/>
          <w:b w:val="0"/>
          <w:color w:val="000000" w:themeColor="text1"/>
          <w:highlight w:val="yellow"/>
        </w:rPr>
        <w:t>The Shapiro-</w:t>
      </w:r>
      <w:proofErr w:type="spellStart"/>
      <w:r w:rsidRPr="0074660D">
        <w:rPr>
          <w:rStyle w:val="Strong"/>
          <w:rFonts w:asciiTheme="minorHAnsi" w:hAnsiTheme="minorHAnsi" w:cstheme="minorHAnsi"/>
          <w:b w:val="0"/>
          <w:color w:val="000000" w:themeColor="text1"/>
          <w:highlight w:val="yellow"/>
        </w:rPr>
        <w:t>Wilk</w:t>
      </w:r>
      <w:proofErr w:type="spellEnd"/>
      <w:r w:rsidRPr="0074660D">
        <w:rPr>
          <w:rStyle w:val="Strong"/>
          <w:rFonts w:asciiTheme="minorHAnsi" w:hAnsiTheme="minorHAnsi" w:cstheme="minorHAnsi"/>
          <w:b w:val="0"/>
          <w:color w:val="000000" w:themeColor="text1"/>
          <w:highlight w:val="yellow"/>
        </w:rPr>
        <w:t xml:space="preserve"> test was used to assess the normality of data distributions</w:t>
      </w:r>
      <w:r w:rsidRPr="00F9755A">
        <w:rPr>
          <w:rStyle w:val="Strong"/>
          <w:rFonts w:asciiTheme="minorHAnsi" w:hAnsiTheme="minorHAnsi" w:cstheme="minorHAnsi"/>
          <w:color w:val="000000" w:themeColor="text1"/>
        </w:rPr>
        <w:t>.</w:t>
      </w:r>
      <w:r w:rsidRPr="00F9755A">
        <w:rPr>
          <w:rFonts w:asciiTheme="minorHAnsi" w:hAnsiTheme="minorHAnsi" w:cstheme="minorHAnsi"/>
          <w:color w:val="000000" w:themeColor="text1"/>
        </w:rPr>
        <w:t xml:space="preserve"> Based on this, </w:t>
      </w:r>
      <w:r w:rsidRPr="0074660D">
        <w:rPr>
          <w:rStyle w:val="Strong"/>
          <w:rFonts w:asciiTheme="minorHAnsi" w:hAnsiTheme="minorHAnsi" w:cstheme="minorHAnsi"/>
          <w:b w:val="0"/>
          <w:color w:val="000000" w:themeColor="text1"/>
          <w:highlight w:val="yellow"/>
        </w:rPr>
        <w:t>independent sample t-tests</w:t>
      </w:r>
      <w:r w:rsidRPr="00F9755A">
        <w:rPr>
          <w:rFonts w:asciiTheme="minorHAnsi" w:hAnsiTheme="minorHAnsi" w:cstheme="minorHAnsi"/>
          <w:color w:val="000000" w:themeColor="text1"/>
        </w:rPr>
        <w:t xml:space="preserve"> were employed to compare mean hematological parameters between SCD patients and controls. A </w:t>
      </w:r>
      <w:r w:rsidRPr="0074660D">
        <w:rPr>
          <w:rStyle w:val="Strong"/>
          <w:rFonts w:asciiTheme="minorHAnsi" w:hAnsiTheme="minorHAnsi" w:cstheme="minorHAnsi"/>
          <w:b w:val="0"/>
          <w:color w:val="000000" w:themeColor="text1"/>
          <w:highlight w:val="yellow"/>
        </w:rPr>
        <w:t>p-value &lt; 0.05</w:t>
      </w:r>
      <w:r w:rsidRPr="00F9755A">
        <w:rPr>
          <w:rFonts w:asciiTheme="minorHAnsi" w:hAnsiTheme="minorHAnsi" w:cstheme="minorHAnsi"/>
          <w:color w:val="000000" w:themeColor="text1"/>
        </w:rPr>
        <w:t xml:space="preserve"> was considered statistically significant. </w:t>
      </w:r>
      <w:r w:rsidRPr="0074660D">
        <w:rPr>
          <w:rStyle w:val="Strong"/>
          <w:rFonts w:asciiTheme="minorHAnsi" w:hAnsiTheme="minorHAnsi" w:cstheme="minorHAnsi"/>
          <w:b w:val="0"/>
          <w:color w:val="000000" w:themeColor="text1"/>
          <w:highlight w:val="yellow"/>
        </w:rPr>
        <w:t>No correction for multiple comparisons was applied, which is acknowledged as a limitation</w:t>
      </w:r>
      <w:r w:rsidRPr="00F9755A">
        <w:rPr>
          <w:rStyle w:val="Strong"/>
          <w:rFonts w:asciiTheme="minorHAnsi" w:hAnsiTheme="minorHAnsi" w:cstheme="minorHAnsi"/>
          <w:color w:val="000000" w:themeColor="text1"/>
        </w:rPr>
        <w:t>.</w:t>
      </w:r>
    </w:p>
    <w:p w:rsidR="005614B5" w:rsidRPr="00E05576" w:rsidRDefault="005614B5" w:rsidP="005614B5">
      <w:pPr>
        <w:spacing w:line="360" w:lineRule="auto"/>
        <w:jc w:val="both"/>
        <w:rPr>
          <w:rFonts w:ascii="Times New Roman" w:hAnsi="Times New Roman" w:cs="Times New Roman"/>
          <w:sz w:val="24"/>
          <w:szCs w:val="24"/>
        </w:rPr>
      </w:pPr>
    </w:p>
    <w:p w:rsidR="005614B5" w:rsidRDefault="005614B5" w:rsidP="005614B5">
      <w:pPr>
        <w:spacing w:line="360" w:lineRule="auto"/>
        <w:jc w:val="both"/>
        <w:rPr>
          <w:rFonts w:ascii="Times New Roman" w:hAnsi="Times New Roman" w:cs="Times New Roman"/>
          <w:sz w:val="24"/>
          <w:szCs w:val="24"/>
        </w:rPr>
      </w:pPr>
    </w:p>
    <w:p w:rsidR="0074660D" w:rsidRDefault="0074660D" w:rsidP="005614B5">
      <w:pPr>
        <w:spacing w:line="360" w:lineRule="auto"/>
        <w:jc w:val="both"/>
        <w:rPr>
          <w:rFonts w:ascii="Times New Roman" w:hAnsi="Times New Roman" w:cs="Times New Roman"/>
          <w:sz w:val="24"/>
          <w:szCs w:val="24"/>
        </w:rPr>
      </w:pPr>
    </w:p>
    <w:p w:rsidR="0074660D" w:rsidRDefault="0074660D" w:rsidP="005614B5">
      <w:pPr>
        <w:spacing w:line="360" w:lineRule="auto"/>
        <w:jc w:val="both"/>
        <w:rPr>
          <w:rFonts w:ascii="Times New Roman" w:hAnsi="Times New Roman" w:cs="Times New Roman"/>
          <w:sz w:val="24"/>
          <w:szCs w:val="24"/>
        </w:rPr>
      </w:pPr>
    </w:p>
    <w:p w:rsidR="0074660D" w:rsidRDefault="0074660D" w:rsidP="005614B5">
      <w:pPr>
        <w:spacing w:line="360" w:lineRule="auto"/>
        <w:jc w:val="both"/>
        <w:rPr>
          <w:rFonts w:ascii="Times New Roman" w:hAnsi="Times New Roman" w:cs="Times New Roman"/>
          <w:sz w:val="24"/>
          <w:szCs w:val="24"/>
        </w:rPr>
      </w:pPr>
    </w:p>
    <w:p w:rsidR="0074660D" w:rsidRDefault="0074660D" w:rsidP="005614B5">
      <w:pPr>
        <w:spacing w:line="360" w:lineRule="auto"/>
        <w:jc w:val="both"/>
        <w:rPr>
          <w:rFonts w:ascii="Times New Roman" w:hAnsi="Times New Roman" w:cs="Times New Roman"/>
          <w:sz w:val="24"/>
          <w:szCs w:val="24"/>
        </w:rPr>
      </w:pPr>
    </w:p>
    <w:p w:rsidR="0074660D" w:rsidRPr="00E05576" w:rsidRDefault="0074660D" w:rsidP="005614B5">
      <w:pPr>
        <w:spacing w:line="360" w:lineRule="auto"/>
        <w:jc w:val="both"/>
        <w:rPr>
          <w:rFonts w:ascii="Times New Roman" w:hAnsi="Times New Roman" w:cs="Times New Roman"/>
          <w:sz w:val="24"/>
          <w:szCs w:val="24"/>
        </w:rPr>
      </w:pPr>
    </w:p>
    <w:p w:rsidR="005614B5" w:rsidRPr="00E05576" w:rsidRDefault="005614B5" w:rsidP="005614B5">
      <w:pPr>
        <w:spacing w:line="360" w:lineRule="auto"/>
        <w:jc w:val="both"/>
        <w:rPr>
          <w:rFonts w:ascii="Times New Roman" w:hAnsi="Times New Roman" w:cs="Times New Roman"/>
          <w:sz w:val="24"/>
          <w:szCs w:val="24"/>
        </w:rPr>
      </w:pPr>
    </w:p>
    <w:p w:rsidR="005614B5" w:rsidRPr="0074660D" w:rsidRDefault="005614B5" w:rsidP="0074660D">
      <w:pPr>
        <w:spacing w:line="360" w:lineRule="auto"/>
        <w:jc w:val="both"/>
        <w:rPr>
          <w:rFonts w:cstheme="minorHAnsi"/>
          <w:b/>
          <w:color w:val="000000" w:themeColor="text1"/>
          <w:sz w:val="24"/>
          <w:szCs w:val="24"/>
        </w:rPr>
      </w:pPr>
      <w:r w:rsidRPr="0074660D">
        <w:rPr>
          <w:rFonts w:cstheme="minorHAnsi"/>
          <w:b/>
          <w:color w:val="000000" w:themeColor="text1"/>
          <w:sz w:val="24"/>
          <w:szCs w:val="24"/>
        </w:rPr>
        <w:lastRenderedPageBreak/>
        <w:t>3. RESULTS</w:t>
      </w:r>
    </w:p>
    <w:p w:rsidR="0074660D" w:rsidRPr="0074660D" w:rsidRDefault="0074660D" w:rsidP="0074660D">
      <w:pPr>
        <w:pStyle w:val="Heading2"/>
        <w:spacing w:line="360" w:lineRule="auto"/>
        <w:jc w:val="both"/>
        <w:rPr>
          <w:rFonts w:asciiTheme="minorHAnsi" w:hAnsiTheme="minorHAnsi" w:cstheme="minorHAnsi"/>
          <w:color w:val="000000" w:themeColor="text1"/>
        </w:rPr>
      </w:pPr>
      <w:r w:rsidRPr="0074660D">
        <w:rPr>
          <w:rStyle w:val="Strong"/>
          <w:rFonts w:asciiTheme="minorHAnsi" w:hAnsiTheme="minorHAnsi" w:cstheme="minorHAnsi"/>
          <w:b/>
          <w:bCs/>
          <w:color w:val="000000" w:themeColor="text1"/>
        </w:rPr>
        <w:t>3.0 RESULTS</w:t>
      </w:r>
    </w:p>
    <w:p w:rsidR="0074660D" w:rsidRPr="0074660D" w:rsidRDefault="0074660D" w:rsidP="0074660D">
      <w:pPr>
        <w:pStyle w:val="Heading3"/>
        <w:spacing w:line="360" w:lineRule="auto"/>
        <w:jc w:val="both"/>
        <w:rPr>
          <w:rFonts w:asciiTheme="minorHAnsi" w:hAnsiTheme="minorHAnsi" w:cstheme="minorHAnsi"/>
          <w:color w:val="000000" w:themeColor="text1"/>
        </w:rPr>
      </w:pPr>
      <w:r w:rsidRPr="0074660D">
        <w:rPr>
          <w:rStyle w:val="Strong"/>
          <w:rFonts w:asciiTheme="minorHAnsi" w:hAnsiTheme="minorHAnsi" w:cstheme="minorHAnsi"/>
          <w:b/>
          <w:bCs/>
          <w:color w:val="000000" w:themeColor="text1"/>
        </w:rPr>
        <w:t xml:space="preserve">3.1 Comparison of Hematological Parameters </w:t>
      </w:r>
      <w:proofErr w:type="gramStart"/>
      <w:r w:rsidRPr="0074660D">
        <w:rPr>
          <w:rStyle w:val="Strong"/>
          <w:rFonts w:asciiTheme="minorHAnsi" w:hAnsiTheme="minorHAnsi" w:cstheme="minorHAnsi"/>
          <w:b/>
          <w:bCs/>
          <w:color w:val="000000" w:themeColor="text1"/>
        </w:rPr>
        <w:t>Among</w:t>
      </w:r>
      <w:proofErr w:type="gramEnd"/>
      <w:r w:rsidRPr="0074660D">
        <w:rPr>
          <w:rStyle w:val="Strong"/>
          <w:rFonts w:asciiTheme="minorHAnsi" w:hAnsiTheme="minorHAnsi" w:cstheme="minorHAnsi"/>
          <w:b/>
          <w:bCs/>
          <w:color w:val="000000" w:themeColor="text1"/>
        </w:rPr>
        <w:t xml:space="preserve"> Groups</w:t>
      </w:r>
    </w:p>
    <w:p w:rsidR="0074660D" w:rsidRPr="0074660D" w:rsidRDefault="0074660D" w:rsidP="0074660D">
      <w:pPr>
        <w:pStyle w:val="NormalWeb"/>
        <w:spacing w:line="360" w:lineRule="auto"/>
        <w:jc w:val="both"/>
        <w:rPr>
          <w:rFonts w:asciiTheme="minorHAnsi" w:hAnsiTheme="minorHAnsi" w:cstheme="minorHAnsi"/>
          <w:color w:val="000000" w:themeColor="text1"/>
        </w:rPr>
      </w:pPr>
      <w:r w:rsidRPr="0074660D">
        <w:rPr>
          <w:rFonts w:asciiTheme="minorHAnsi" w:hAnsiTheme="minorHAnsi" w:cstheme="minorHAnsi"/>
          <w:color w:val="000000" w:themeColor="text1"/>
        </w:rPr>
        <w:t xml:space="preserve">There were significant differences in the hematological parameters </w:t>
      </w:r>
      <w:r w:rsidRPr="0074660D">
        <w:rPr>
          <w:rFonts w:asciiTheme="minorHAnsi" w:hAnsiTheme="minorHAnsi" w:cstheme="minorHAnsi"/>
          <w:b/>
          <w:color w:val="000000" w:themeColor="text1"/>
          <w:highlight w:val="yellow"/>
        </w:rPr>
        <w:t>(</w:t>
      </w:r>
      <w:r w:rsidRPr="0074660D">
        <w:rPr>
          <w:rStyle w:val="Strong"/>
          <w:rFonts w:asciiTheme="minorHAnsi" w:hAnsiTheme="minorHAnsi" w:cstheme="minorHAnsi"/>
          <w:b w:val="0"/>
          <w:color w:val="000000" w:themeColor="text1"/>
          <w:highlight w:val="yellow"/>
        </w:rPr>
        <w:t>Hb, PCV, WBC, and platelet counts</w:t>
      </w:r>
      <w:r w:rsidRPr="0074660D">
        <w:rPr>
          <w:rFonts w:asciiTheme="minorHAnsi" w:hAnsiTheme="minorHAnsi" w:cstheme="minorHAnsi"/>
          <w:b/>
          <w:color w:val="000000" w:themeColor="text1"/>
          <w:highlight w:val="yellow"/>
        </w:rPr>
        <w:t>)</w:t>
      </w:r>
      <w:r w:rsidRPr="0074660D">
        <w:rPr>
          <w:rFonts w:asciiTheme="minorHAnsi" w:hAnsiTheme="minorHAnsi" w:cstheme="minorHAnsi"/>
          <w:color w:val="000000" w:themeColor="text1"/>
        </w:rPr>
        <w:t xml:space="preserve"> of sickle cell disease (SCD) patients compared to healthy controls </w:t>
      </w:r>
      <w:r w:rsidRPr="0074660D">
        <w:rPr>
          <w:rFonts w:asciiTheme="minorHAnsi" w:hAnsiTheme="minorHAnsi" w:cstheme="minorHAnsi"/>
          <w:b/>
          <w:color w:val="000000" w:themeColor="text1"/>
          <w:highlight w:val="yellow"/>
        </w:rPr>
        <w:t>(</w:t>
      </w:r>
      <w:r w:rsidRPr="0074660D">
        <w:rPr>
          <w:rStyle w:val="Strong"/>
          <w:rFonts w:asciiTheme="minorHAnsi" w:hAnsiTheme="minorHAnsi" w:cstheme="minorHAnsi"/>
          <w:b w:val="0"/>
          <w:color w:val="000000" w:themeColor="text1"/>
          <w:highlight w:val="yellow"/>
        </w:rPr>
        <w:t>p = 0.000</w:t>
      </w:r>
      <w:r w:rsidRPr="0074660D">
        <w:rPr>
          <w:rFonts w:asciiTheme="minorHAnsi" w:hAnsiTheme="minorHAnsi" w:cstheme="minorHAnsi"/>
          <w:b/>
          <w:color w:val="000000" w:themeColor="text1"/>
          <w:highlight w:val="yellow"/>
        </w:rPr>
        <w:t>),</w:t>
      </w:r>
      <w:r w:rsidRPr="0074660D">
        <w:rPr>
          <w:rFonts w:asciiTheme="minorHAnsi" w:hAnsiTheme="minorHAnsi" w:cstheme="minorHAnsi"/>
          <w:color w:val="000000" w:themeColor="text1"/>
        </w:rPr>
        <w:t xml:space="preserve"> as shown in </w:t>
      </w:r>
      <w:r w:rsidRPr="0074660D">
        <w:rPr>
          <w:rStyle w:val="Strong"/>
          <w:rFonts w:asciiTheme="minorHAnsi" w:hAnsiTheme="minorHAnsi" w:cstheme="minorHAnsi"/>
          <w:b w:val="0"/>
          <w:color w:val="000000" w:themeColor="text1"/>
          <w:highlight w:val="yellow"/>
        </w:rPr>
        <w:t>Table 1</w:t>
      </w:r>
      <w:r w:rsidRPr="0074660D">
        <w:rPr>
          <w:rFonts w:asciiTheme="minorHAnsi" w:hAnsiTheme="minorHAnsi" w:cstheme="minorHAnsi"/>
          <w:color w:val="000000" w:themeColor="text1"/>
        </w:rPr>
        <w:t xml:space="preserve">. SCD patients had significantly higher </w:t>
      </w:r>
      <w:r w:rsidRPr="0074660D">
        <w:rPr>
          <w:rStyle w:val="Strong"/>
          <w:rFonts w:asciiTheme="minorHAnsi" w:hAnsiTheme="minorHAnsi" w:cstheme="minorHAnsi"/>
          <w:b w:val="0"/>
          <w:color w:val="000000" w:themeColor="text1"/>
          <w:highlight w:val="yellow"/>
        </w:rPr>
        <w:t>mean WBC and platelet counts</w:t>
      </w:r>
      <w:r w:rsidRPr="0074660D">
        <w:rPr>
          <w:rFonts w:asciiTheme="minorHAnsi" w:hAnsiTheme="minorHAnsi" w:cstheme="minorHAnsi"/>
          <w:color w:val="000000" w:themeColor="text1"/>
        </w:rPr>
        <w:t xml:space="preserve"> and lower </w:t>
      </w:r>
      <w:r w:rsidRPr="0074660D">
        <w:rPr>
          <w:rStyle w:val="Strong"/>
          <w:rFonts w:asciiTheme="minorHAnsi" w:hAnsiTheme="minorHAnsi" w:cstheme="minorHAnsi"/>
          <w:b w:val="0"/>
          <w:color w:val="000000" w:themeColor="text1"/>
          <w:highlight w:val="yellow"/>
        </w:rPr>
        <w:t>mean PCV and hemoglobin concentrations</w:t>
      </w:r>
      <w:r w:rsidRPr="0074660D">
        <w:rPr>
          <w:rFonts w:asciiTheme="minorHAnsi" w:hAnsiTheme="minorHAnsi" w:cstheme="minorHAnsi"/>
          <w:color w:val="000000" w:themeColor="text1"/>
        </w:rPr>
        <w:t xml:space="preserve">. However, there were </w:t>
      </w:r>
      <w:r w:rsidRPr="0074660D">
        <w:rPr>
          <w:rStyle w:val="Strong"/>
          <w:rFonts w:asciiTheme="minorHAnsi" w:hAnsiTheme="minorHAnsi" w:cstheme="minorHAnsi"/>
          <w:b w:val="0"/>
          <w:color w:val="000000" w:themeColor="text1"/>
          <w:highlight w:val="yellow"/>
        </w:rPr>
        <w:t>no significant differences</w:t>
      </w:r>
      <w:r w:rsidRPr="0074660D">
        <w:rPr>
          <w:rFonts w:asciiTheme="minorHAnsi" w:hAnsiTheme="minorHAnsi" w:cstheme="minorHAnsi"/>
          <w:color w:val="000000" w:themeColor="text1"/>
        </w:rPr>
        <w:t xml:space="preserve"> in the differential white blood cell counts </w:t>
      </w:r>
      <w:r w:rsidRPr="0074660D">
        <w:rPr>
          <w:rFonts w:asciiTheme="minorHAnsi" w:hAnsiTheme="minorHAnsi" w:cstheme="minorHAnsi"/>
          <w:b/>
          <w:color w:val="000000" w:themeColor="text1"/>
          <w:highlight w:val="yellow"/>
        </w:rPr>
        <w:t>(</w:t>
      </w:r>
      <w:r w:rsidRPr="0074660D">
        <w:rPr>
          <w:rStyle w:val="Strong"/>
          <w:rFonts w:asciiTheme="minorHAnsi" w:hAnsiTheme="minorHAnsi" w:cstheme="minorHAnsi"/>
          <w:b w:val="0"/>
          <w:color w:val="000000" w:themeColor="text1"/>
          <w:highlight w:val="yellow"/>
        </w:rPr>
        <w:t xml:space="preserve">neutrophils, lymphocytes, monocytes, </w:t>
      </w:r>
      <w:proofErr w:type="spellStart"/>
      <w:r w:rsidRPr="0074660D">
        <w:rPr>
          <w:rStyle w:val="Strong"/>
          <w:rFonts w:asciiTheme="minorHAnsi" w:hAnsiTheme="minorHAnsi" w:cstheme="minorHAnsi"/>
          <w:b w:val="0"/>
          <w:color w:val="000000" w:themeColor="text1"/>
          <w:highlight w:val="yellow"/>
        </w:rPr>
        <w:t>eosinophils</w:t>
      </w:r>
      <w:proofErr w:type="spellEnd"/>
      <w:r w:rsidRPr="0074660D">
        <w:rPr>
          <w:rStyle w:val="Strong"/>
          <w:rFonts w:asciiTheme="minorHAnsi" w:hAnsiTheme="minorHAnsi" w:cstheme="minorHAnsi"/>
          <w:b w:val="0"/>
          <w:color w:val="000000" w:themeColor="text1"/>
          <w:highlight w:val="yellow"/>
        </w:rPr>
        <w:t xml:space="preserve">, and </w:t>
      </w:r>
      <w:proofErr w:type="spellStart"/>
      <w:r w:rsidRPr="0074660D">
        <w:rPr>
          <w:rStyle w:val="Strong"/>
          <w:rFonts w:asciiTheme="minorHAnsi" w:hAnsiTheme="minorHAnsi" w:cstheme="minorHAnsi"/>
          <w:b w:val="0"/>
          <w:color w:val="000000" w:themeColor="text1"/>
          <w:highlight w:val="yellow"/>
        </w:rPr>
        <w:t>basophils</w:t>
      </w:r>
      <w:proofErr w:type="spellEnd"/>
      <w:r w:rsidRPr="0074660D">
        <w:rPr>
          <w:rFonts w:asciiTheme="minorHAnsi" w:hAnsiTheme="minorHAnsi" w:cstheme="minorHAnsi"/>
          <w:color w:val="000000" w:themeColor="text1"/>
        </w:rPr>
        <w:t>) between the two groups (</w:t>
      </w:r>
      <w:r w:rsidRPr="0074660D">
        <w:rPr>
          <w:rStyle w:val="Strong"/>
          <w:rFonts w:asciiTheme="minorHAnsi" w:hAnsiTheme="minorHAnsi" w:cstheme="minorHAnsi"/>
          <w:b w:val="0"/>
          <w:color w:val="000000" w:themeColor="text1"/>
          <w:highlight w:val="yellow"/>
        </w:rPr>
        <w:t>p &gt; 0.05</w:t>
      </w:r>
      <w:r w:rsidRPr="0074660D">
        <w:rPr>
          <w:rFonts w:asciiTheme="minorHAnsi" w:hAnsiTheme="minorHAnsi" w:cstheme="minorHAnsi"/>
          <w:b/>
          <w:color w:val="000000" w:themeColor="text1"/>
          <w:highlight w:val="yellow"/>
        </w:rPr>
        <w:t>)</w:t>
      </w:r>
      <w:r w:rsidRPr="0074660D">
        <w:rPr>
          <w:rFonts w:asciiTheme="minorHAnsi" w:hAnsiTheme="minorHAnsi" w:cstheme="minorHAnsi"/>
          <w:color w:val="000000" w:themeColor="text1"/>
        </w:rPr>
        <w:t>.</w:t>
      </w:r>
    </w:p>
    <w:p w:rsidR="0074660D" w:rsidRDefault="0074660D" w:rsidP="0074660D"/>
    <w:p w:rsidR="0074660D" w:rsidRDefault="0074660D" w:rsidP="0074660D"/>
    <w:p w:rsidR="0074660D" w:rsidRDefault="0074660D" w:rsidP="0074660D"/>
    <w:p w:rsidR="0074660D" w:rsidRDefault="0074660D" w:rsidP="0074660D"/>
    <w:p w:rsidR="0074660D" w:rsidRDefault="0074660D" w:rsidP="0074660D"/>
    <w:p w:rsidR="0074660D" w:rsidRDefault="0074660D" w:rsidP="0074660D"/>
    <w:p w:rsidR="0074660D" w:rsidRDefault="0074660D" w:rsidP="0074660D"/>
    <w:p w:rsidR="0074660D" w:rsidRDefault="0074660D" w:rsidP="0074660D"/>
    <w:p w:rsidR="0074660D" w:rsidRDefault="0074660D" w:rsidP="0074660D"/>
    <w:p w:rsidR="0074660D" w:rsidRPr="0074660D" w:rsidRDefault="0074660D" w:rsidP="0074660D">
      <w:pPr>
        <w:pStyle w:val="Heading3"/>
        <w:spacing w:line="360" w:lineRule="auto"/>
        <w:jc w:val="both"/>
        <w:rPr>
          <w:rFonts w:asciiTheme="minorHAnsi" w:hAnsiTheme="minorHAnsi" w:cstheme="minorHAnsi"/>
        </w:rPr>
      </w:pPr>
      <w:r w:rsidRPr="0074660D">
        <w:rPr>
          <w:rStyle w:val="Strong"/>
          <w:rFonts w:asciiTheme="minorHAnsi" w:hAnsiTheme="minorHAnsi" w:cstheme="minorHAnsi"/>
          <w:b/>
          <w:bCs/>
        </w:rPr>
        <w:lastRenderedPageBreak/>
        <w:t>TABLE 3.1: COMPARISON OF MEAN ± SD HEMATOLOGICAL PARAMETERS OF STUDY SUBJECTS (TEST/CASES AND CONTROL) WITH REFERENCE RANGES</w:t>
      </w:r>
    </w:p>
    <w:tbl>
      <w:tblPr>
        <w:tblW w:w="0" w:type="auto"/>
        <w:tblCellSpacing w:w="15" w:type="dxa"/>
        <w:tblCellMar>
          <w:top w:w="15" w:type="dxa"/>
          <w:left w:w="15" w:type="dxa"/>
          <w:bottom w:w="15" w:type="dxa"/>
          <w:right w:w="15" w:type="dxa"/>
        </w:tblCellMar>
        <w:tblLook w:val="04A0"/>
      </w:tblPr>
      <w:tblGrid>
        <w:gridCol w:w="2444"/>
        <w:gridCol w:w="2949"/>
        <w:gridCol w:w="2457"/>
        <w:gridCol w:w="1573"/>
        <w:gridCol w:w="682"/>
        <w:gridCol w:w="721"/>
        <w:gridCol w:w="1383"/>
      </w:tblGrid>
      <w:tr w:rsidR="0074660D" w:rsidRPr="0074660D" w:rsidTr="0074660D">
        <w:trPr>
          <w:tblHeader/>
          <w:tblCellSpacing w:w="15" w:type="dxa"/>
        </w:trPr>
        <w:tc>
          <w:tcPr>
            <w:tcW w:w="0" w:type="auto"/>
            <w:vAlign w:val="center"/>
            <w:hideMark/>
          </w:tcPr>
          <w:p w:rsidR="0074660D" w:rsidRPr="0074660D" w:rsidRDefault="0074660D" w:rsidP="0074660D">
            <w:pPr>
              <w:spacing w:line="360" w:lineRule="auto"/>
              <w:jc w:val="both"/>
              <w:rPr>
                <w:rFonts w:cstheme="minorHAnsi"/>
                <w:bCs/>
                <w:sz w:val="24"/>
                <w:szCs w:val="24"/>
                <w:highlight w:val="yellow"/>
              </w:rPr>
            </w:pPr>
            <w:r w:rsidRPr="0074660D">
              <w:rPr>
                <w:rFonts w:cstheme="minorHAnsi"/>
                <w:bCs/>
                <w:highlight w:val="yellow"/>
              </w:rPr>
              <w:t>Hematological Parameters</w:t>
            </w:r>
          </w:p>
        </w:tc>
        <w:tc>
          <w:tcPr>
            <w:tcW w:w="0" w:type="auto"/>
            <w:vAlign w:val="center"/>
            <w:hideMark/>
          </w:tcPr>
          <w:p w:rsidR="0074660D" w:rsidRPr="0074660D" w:rsidRDefault="0074660D" w:rsidP="0074660D">
            <w:pPr>
              <w:spacing w:line="360" w:lineRule="auto"/>
              <w:jc w:val="both"/>
              <w:rPr>
                <w:rFonts w:cstheme="minorHAnsi"/>
                <w:bCs/>
                <w:sz w:val="24"/>
                <w:szCs w:val="24"/>
                <w:highlight w:val="yellow"/>
              </w:rPr>
            </w:pPr>
            <w:r w:rsidRPr="0074660D">
              <w:rPr>
                <w:rFonts w:cstheme="minorHAnsi"/>
                <w:bCs/>
                <w:highlight w:val="yellow"/>
              </w:rPr>
              <w:t>SCD Patients (n=122) Mean ± SD</w:t>
            </w:r>
          </w:p>
        </w:tc>
        <w:tc>
          <w:tcPr>
            <w:tcW w:w="0" w:type="auto"/>
            <w:vAlign w:val="center"/>
            <w:hideMark/>
          </w:tcPr>
          <w:p w:rsidR="0074660D" w:rsidRPr="0074660D" w:rsidRDefault="0074660D" w:rsidP="0074660D">
            <w:pPr>
              <w:spacing w:line="360" w:lineRule="auto"/>
              <w:jc w:val="both"/>
              <w:rPr>
                <w:rFonts w:cstheme="minorHAnsi"/>
                <w:bCs/>
                <w:sz w:val="24"/>
                <w:szCs w:val="24"/>
                <w:highlight w:val="yellow"/>
              </w:rPr>
            </w:pPr>
            <w:r w:rsidRPr="0074660D">
              <w:rPr>
                <w:rFonts w:cstheme="minorHAnsi"/>
                <w:bCs/>
                <w:highlight w:val="yellow"/>
              </w:rPr>
              <w:t>Controls (n=45) Mean ± SD</w:t>
            </w:r>
          </w:p>
        </w:tc>
        <w:tc>
          <w:tcPr>
            <w:tcW w:w="0" w:type="auto"/>
            <w:vAlign w:val="center"/>
            <w:hideMark/>
          </w:tcPr>
          <w:p w:rsidR="0074660D" w:rsidRPr="0074660D" w:rsidRDefault="0074660D" w:rsidP="0074660D">
            <w:pPr>
              <w:spacing w:line="360" w:lineRule="auto"/>
              <w:jc w:val="both"/>
              <w:rPr>
                <w:rFonts w:cstheme="minorHAnsi"/>
                <w:bCs/>
                <w:sz w:val="24"/>
                <w:szCs w:val="24"/>
                <w:highlight w:val="yellow"/>
              </w:rPr>
            </w:pPr>
            <w:r w:rsidRPr="0074660D">
              <w:rPr>
                <w:rFonts w:cstheme="minorHAnsi"/>
                <w:bCs/>
                <w:highlight w:val="yellow"/>
              </w:rPr>
              <w:t>Reference Range</w:t>
            </w:r>
          </w:p>
        </w:tc>
        <w:tc>
          <w:tcPr>
            <w:tcW w:w="0" w:type="auto"/>
            <w:vAlign w:val="center"/>
            <w:hideMark/>
          </w:tcPr>
          <w:p w:rsidR="0074660D" w:rsidRPr="0074660D" w:rsidRDefault="0074660D" w:rsidP="0074660D">
            <w:pPr>
              <w:spacing w:line="360" w:lineRule="auto"/>
              <w:jc w:val="both"/>
              <w:rPr>
                <w:rFonts w:cstheme="minorHAnsi"/>
                <w:bCs/>
                <w:sz w:val="24"/>
                <w:szCs w:val="24"/>
                <w:highlight w:val="yellow"/>
              </w:rPr>
            </w:pPr>
            <w:r w:rsidRPr="0074660D">
              <w:rPr>
                <w:rStyle w:val="Emphasis"/>
                <w:rFonts w:cstheme="minorHAnsi"/>
                <w:bCs/>
                <w:highlight w:val="yellow"/>
              </w:rPr>
              <w:t>t</w:t>
            </w:r>
            <w:r w:rsidRPr="0074660D">
              <w:rPr>
                <w:rFonts w:cstheme="minorHAnsi"/>
                <w:bCs/>
                <w:highlight w:val="yellow"/>
              </w:rPr>
              <w:t>-value</w:t>
            </w:r>
          </w:p>
        </w:tc>
        <w:tc>
          <w:tcPr>
            <w:tcW w:w="0" w:type="auto"/>
            <w:vAlign w:val="center"/>
            <w:hideMark/>
          </w:tcPr>
          <w:p w:rsidR="0074660D" w:rsidRPr="0074660D" w:rsidRDefault="0074660D" w:rsidP="0074660D">
            <w:pPr>
              <w:spacing w:line="360" w:lineRule="auto"/>
              <w:jc w:val="both"/>
              <w:rPr>
                <w:rFonts w:cstheme="minorHAnsi"/>
                <w:bCs/>
                <w:sz w:val="24"/>
                <w:szCs w:val="24"/>
                <w:highlight w:val="yellow"/>
              </w:rPr>
            </w:pPr>
            <w:r w:rsidRPr="0074660D">
              <w:rPr>
                <w:rStyle w:val="Emphasis"/>
                <w:rFonts w:cstheme="minorHAnsi"/>
                <w:bCs/>
                <w:highlight w:val="yellow"/>
              </w:rPr>
              <w:t>p</w:t>
            </w:r>
            <w:r w:rsidRPr="0074660D">
              <w:rPr>
                <w:rFonts w:cstheme="minorHAnsi"/>
                <w:bCs/>
                <w:highlight w:val="yellow"/>
              </w:rPr>
              <w:t>-value</w:t>
            </w:r>
          </w:p>
        </w:tc>
        <w:tc>
          <w:tcPr>
            <w:tcW w:w="0" w:type="auto"/>
            <w:vAlign w:val="center"/>
            <w:hideMark/>
          </w:tcPr>
          <w:p w:rsidR="0074660D" w:rsidRPr="0074660D" w:rsidRDefault="0074660D" w:rsidP="0074660D">
            <w:pPr>
              <w:spacing w:line="360" w:lineRule="auto"/>
              <w:jc w:val="both"/>
              <w:rPr>
                <w:rFonts w:cstheme="minorHAnsi"/>
                <w:bCs/>
                <w:sz w:val="24"/>
                <w:szCs w:val="24"/>
                <w:highlight w:val="yellow"/>
              </w:rPr>
            </w:pPr>
            <w:r w:rsidRPr="0074660D">
              <w:rPr>
                <w:rFonts w:cstheme="minorHAnsi"/>
                <w:bCs/>
                <w:highlight w:val="yellow"/>
              </w:rPr>
              <w:t>Remark</w:t>
            </w:r>
          </w:p>
        </w:tc>
      </w:tr>
      <w:tr w:rsidR="0074660D" w:rsidRPr="0074660D" w:rsidTr="0074660D">
        <w:trPr>
          <w:tblCellSpacing w:w="15" w:type="dxa"/>
        </w:trPr>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Hemoglobin (g/dL)</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7.75 ± 2.17</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13.13 ± 1.06</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12.0–16.0</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15.947</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0.000*</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Significant</w:t>
            </w:r>
          </w:p>
        </w:tc>
      </w:tr>
      <w:tr w:rsidR="0074660D" w:rsidRPr="0074660D" w:rsidTr="0074660D">
        <w:trPr>
          <w:tblCellSpacing w:w="15" w:type="dxa"/>
        </w:trPr>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Packed Cell Volume (%)</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22.42 ± 5.74</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39.64 ± 2.86</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36–48</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19.247</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0.000*</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Significant</w:t>
            </w:r>
          </w:p>
        </w:tc>
      </w:tr>
      <w:tr w:rsidR="0074660D" w:rsidRPr="0074660D" w:rsidTr="0074660D">
        <w:trPr>
          <w:tblCellSpacing w:w="15" w:type="dxa"/>
        </w:trPr>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WBC (×10⁹/L)</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11.37 ± 6.57</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5.64 ± 1.79</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4.0–10.0</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5.757</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0.000*</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Significant</w:t>
            </w:r>
          </w:p>
        </w:tc>
      </w:tr>
      <w:tr w:rsidR="0074660D" w:rsidRPr="0074660D" w:rsidTr="0074660D">
        <w:trPr>
          <w:tblCellSpacing w:w="15" w:type="dxa"/>
        </w:trPr>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Platelets (×10⁹/L)</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351.62 ± 153.96</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233.04 ± 59.95</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150–400</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5.020</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0.000*</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Significant</w:t>
            </w:r>
          </w:p>
        </w:tc>
      </w:tr>
      <w:tr w:rsidR="0074660D" w:rsidRPr="0074660D" w:rsidTr="0074660D">
        <w:trPr>
          <w:tblCellSpacing w:w="15" w:type="dxa"/>
        </w:trPr>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Neutrophils (%)</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49.31 ± 14.83</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46.31 ± 9.94</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40–75</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1.257</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0.211</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Not Significant</w:t>
            </w:r>
          </w:p>
        </w:tc>
      </w:tr>
      <w:tr w:rsidR="0074660D" w:rsidRPr="0074660D" w:rsidTr="0074660D">
        <w:trPr>
          <w:tblCellSpacing w:w="15" w:type="dxa"/>
        </w:trPr>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Lymphocytes (%)</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39.55 ± 14.71</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41.73 ± 10.14</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20–45</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0.917</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0.360</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Not Significant</w:t>
            </w:r>
          </w:p>
        </w:tc>
      </w:tr>
      <w:tr w:rsidR="0074660D" w:rsidRPr="0074660D" w:rsidTr="0074660D">
        <w:trPr>
          <w:tblCellSpacing w:w="15" w:type="dxa"/>
        </w:trPr>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Monocytes (%)</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7.28 ± 3.57</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7.82 ± 2.93</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2–10</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0.914</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0.362</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Not Significant</w:t>
            </w:r>
          </w:p>
        </w:tc>
      </w:tr>
      <w:tr w:rsidR="0074660D" w:rsidRPr="0074660D" w:rsidTr="0074660D">
        <w:trPr>
          <w:tblCellSpacing w:w="15" w:type="dxa"/>
        </w:trPr>
        <w:tc>
          <w:tcPr>
            <w:tcW w:w="0" w:type="auto"/>
            <w:vAlign w:val="center"/>
            <w:hideMark/>
          </w:tcPr>
          <w:p w:rsidR="0074660D" w:rsidRPr="0074660D" w:rsidRDefault="0074660D" w:rsidP="0074660D">
            <w:pPr>
              <w:spacing w:line="360" w:lineRule="auto"/>
              <w:jc w:val="both"/>
              <w:rPr>
                <w:rFonts w:cstheme="minorHAnsi"/>
                <w:b/>
                <w:sz w:val="24"/>
                <w:szCs w:val="24"/>
                <w:highlight w:val="yellow"/>
              </w:rPr>
            </w:pPr>
            <w:proofErr w:type="spellStart"/>
            <w:r w:rsidRPr="0074660D">
              <w:rPr>
                <w:rStyle w:val="Strong"/>
                <w:rFonts w:cstheme="minorHAnsi"/>
                <w:b w:val="0"/>
                <w:highlight w:val="yellow"/>
              </w:rPr>
              <w:t>Eosinophils</w:t>
            </w:r>
            <w:proofErr w:type="spellEnd"/>
            <w:r w:rsidRPr="0074660D">
              <w:rPr>
                <w:rStyle w:val="Strong"/>
                <w:rFonts w:cstheme="minorHAnsi"/>
                <w:b w:val="0"/>
                <w:highlight w:val="yellow"/>
              </w:rPr>
              <w:t xml:space="preserve"> (%)</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2.44 ± 2.36</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2.88 ± 2.17</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1–6</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1.107</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0.270</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Not Significant</w:t>
            </w:r>
          </w:p>
        </w:tc>
      </w:tr>
      <w:tr w:rsidR="0074660D" w:rsidRPr="0074660D" w:rsidTr="0074660D">
        <w:trPr>
          <w:tblCellSpacing w:w="15" w:type="dxa"/>
        </w:trPr>
        <w:tc>
          <w:tcPr>
            <w:tcW w:w="0" w:type="auto"/>
            <w:vAlign w:val="center"/>
            <w:hideMark/>
          </w:tcPr>
          <w:p w:rsidR="0074660D" w:rsidRPr="0074660D" w:rsidRDefault="0074660D" w:rsidP="0074660D">
            <w:pPr>
              <w:spacing w:line="360" w:lineRule="auto"/>
              <w:jc w:val="both"/>
              <w:rPr>
                <w:rFonts w:cstheme="minorHAnsi"/>
                <w:b/>
                <w:sz w:val="24"/>
                <w:szCs w:val="24"/>
                <w:highlight w:val="yellow"/>
              </w:rPr>
            </w:pPr>
            <w:proofErr w:type="spellStart"/>
            <w:r w:rsidRPr="0074660D">
              <w:rPr>
                <w:rStyle w:val="Strong"/>
                <w:rFonts w:cstheme="minorHAnsi"/>
                <w:b w:val="0"/>
                <w:highlight w:val="yellow"/>
              </w:rPr>
              <w:t>Basophils</w:t>
            </w:r>
            <w:proofErr w:type="spellEnd"/>
            <w:r w:rsidRPr="0074660D">
              <w:rPr>
                <w:rStyle w:val="Strong"/>
                <w:rFonts w:cstheme="minorHAnsi"/>
                <w:b w:val="0"/>
                <w:highlight w:val="yellow"/>
              </w:rPr>
              <w:t xml:space="preserve"> (%)</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1.47 ± 1.97</w:t>
            </w:r>
          </w:p>
        </w:tc>
        <w:tc>
          <w:tcPr>
            <w:tcW w:w="0" w:type="auto"/>
            <w:vAlign w:val="center"/>
            <w:hideMark/>
          </w:tcPr>
          <w:p w:rsidR="0074660D" w:rsidRPr="0074660D" w:rsidRDefault="0074660D" w:rsidP="0074660D">
            <w:pPr>
              <w:spacing w:line="360" w:lineRule="auto"/>
              <w:jc w:val="both"/>
              <w:rPr>
                <w:rFonts w:cstheme="minorHAnsi"/>
                <w:b/>
                <w:sz w:val="24"/>
                <w:szCs w:val="24"/>
                <w:highlight w:val="yellow"/>
              </w:rPr>
            </w:pPr>
            <w:r w:rsidRPr="0074660D">
              <w:rPr>
                <w:rStyle w:val="Strong"/>
                <w:rFonts w:cstheme="minorHAnsi"/>
                <w:b w:val="0"/>
                <w:highlight w:val="yellow"/>
              </w:rPr>
              <w:t>1.00 ± 0.93</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0–1</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1.536</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0.127</w:t>
            </w:r>
          </w:p>
        </w:tc>
        <w:tc>
          <w:tcPr>
            <w:tcW w:w="0" w:type="auto"/>
            <w:vAlign w:val="center"/>
            <w:hideMark/>
          </w:tcPr>
          <w:p w:rsidR="0074660D" w:rsidRPr="0074660D" w:rsidRDefault="0074660D" w:rsidP="0074660D">
            <w:pPr>
              <w:spacing w:line="360" w:lineRule="auto"/>
              <w:jc w:val="both"/>
              <w:rPr>
                <w:rFonts w:cstheme="minorHAnsi"/>
                <w:sz w:val="24"/>
                <w:szCs w:val="24"/>
              </w:rPr>
            </w:pPr>
            <w:r w:rsidRPr="0074660D">
              <w:rPr>
                <w:rFonts w:cstheme="minorHAnsi"/>
              </w:rPr>
              <w:t>Not Significant</w:t>
            </w:r>
          </w:p>
        </w:tc>
      </w:tr>
    </w:tbl>
    <w:p w:rsidR="0074660D" w:rsidRDefault="0074660D" w:rsidP="0074660D">
      <w:pPr>
        <w:pStyle w:val="NormalWeb"/>
      </w:pPr>
      <w:r>
        <w:t>*p &lt; 0.05 (i.e., statistically significant)</w:t>
      </w:r>
    </w:p>
    <w:p w:rsidR="0074660D" w:rsidRDefault="0074660D" w:rsidP="0074660D"/>
    <w:p w:rsidR="0074660D" w:rsidRPr="0074660D" w:rsidRDefault="002649B4" w:rsidP="0074660D">
      <w:pPr>
        <w:pStyle w:val="Heading3"/>
        <w:spacing w:line="360" w:lineRule="auto"/>
        <w:jc w:val="both"/>
        <w:rPr>
          <w:rFonts w:asciiTheme="minorHAnsi" w:hAnsiTheme="minorHAnsi" w:cstheme="minorHAnsi"/>
        </w:rPr>
      </w:pPr>
      <w:r>
        <w:rPr>
          <w:rStyle w:val="Strong"/>
          <w:rFonts w:asciiTheme="minorHAnsi" w:hAnsiTheme="minorHAnsi" w:cstheme="minorHAnsi"/>
          <w:b/>
          <w:bCs/>
        </w:rPr>
        <w:lastRenderedPageBreak/>
        <w:t>3.1</w:t>
      </w:r>
      <w:r w:rsidR="0074660D" w:rsidRPr="0074660D">
        <w:rPr>
          <w:rStyle w:val="Strong"/>
          <w:rFonts w:asciiTheme="minorHAnsi" w:hAnsiTheme="minorHAnsi" w:cstheme="minorHAnsi"/>
          <w:b/>
          <w:bCs/>
        </w:rPr>
        <w:t xml:space="preserve"> Correlation of Age with Hematological Parameters of Test Subjects</w:t>
      </w:r>
    </w:p>
    <w:p w:rsidR="0074660D" w:rsidRPr="0074660D" w:rsidRDefault="0074660D" w:rsidP="0074660D">
      <w:pPr>
        <w:pStyle w:val="NormalWeb"/>
        <w:spacing w:line="360" w:lineRule="auto"/>
        <w:jc w:val="both"/>
        <w:rPr>
          <w:rFonts w:asciiTheme="minorHAnsi" w:hAnsiTheme="minorHAnsi" w:cstheme="minorHAnsi"/>
        </w:rPr>
      </w:pPr>
      <w:r w:rsidRPr="0074660D">
        <w:rPr>
          <w:rFonts w:asciiTheme="minorHAnsi" w:hAnsiTheme="minorHAnsi" w:cstheme="minorHAnsi"/>
        </w:rPr>
        <w:t>Table 3.</w:t>
      </w:r>
      <w:r w:rsidR="002649B4">
        <w:rPr>
          <w:rFonts w:asciiTheme="minorHAnsi" w:hAnsiTheme="minorHAnsi" w:cstheme="minorHAnsi"/>
        </w:rPr>
        <w:t>1</w:t>
      </w:r>
      <w:r w:rsidRPr="0074660D">
        <w:rPr>
          <w:rFonts w:asciiTheme="minorHAnsi" w:hAnsiTheme="minorHAnsi" w:cstheme="minorHAnsi"/>
        </w:rPr>
        <w:t xml:space="preserve"> shows </w:t>
      </w:r>
      <w:r w:rsidRPr="0074660D">
        <w:rPr>
          <w:rStyle w:val="Strong"/>
          <w:rFonts w:asciiTheme="minorHAnsi" w:hAnsiTheme="minorHAnsi" w:cstheme="minorHAnsi"/>
          <w:b w:val="0"/>
          <w:highlight w:val="yellow"/>
        </w:rPr>
        <w:t>no significant correlations</w:t>
      </w:r>
      <w:r w:rsidRPr="0074660D">
        <w:rPr>
          <w:rFonts w:asciiTheme="minorHAnsi" w:hAnsiTheme="minorHAnsi" w:cstheme="minorHAnsi"/>
        </w:rPr>
        <w:t xml:space="preserve"> between age and hematological parameters (p &gt; 0.05). However, a </w:t>
      </w:r>
      <w:r w:rsidRPr="0074660D">
        <w:rPr>
          <w:rStyle w:val="Strong"/>
          <w:rFonts w:asciiTheme="minorHAnsi" w:hAnsiTheme="minorHAnsi" w:cstheme="minorHAnsi"/>
          <w:b w:val="0"/>
          <w:highlight w:val="yellow"/>
        </w:rPr>
        <w:t>strong</w:t>
      </w:r>
      <w:r w:rsidRPr="0074660D">
        <w:rPr>
          <w:rStyle w:val="Strong"/>
          <w:rFonts w:asciiTheme="minorHAnsi" w:hAnsiTheme="minorHAnsi" w:cstheme="minorHAnsi"/>
          <w:b w:val="0"/>
        </w:rPr>
        <w:t xml:space="preserve"> </w:t>
      </w:r>
      <w:r w:rsidRPr="0074660D">
        <w:rPr>
          <w:rStyle w:val="Strong"/>
          <w:rFonts w:asciiTheme="minorHAnsi" w:hAnsiTheme="minorHAnsi" w:cstheme="minorHAnsi"/>
          <w:b w:val="0"/>
          <w:highlight w:val="yellow"/>
        </w:rPr>
        <w:t>positive correlation</w:t>
      </w:r>
      <w:r w:rsidRPr="0074660D">
        <w:rPr>
          <w:rFonts w:asciiTheme="minorHAnsi" w:hAnsiTheme="minorHAnsi" w:cstheme="minorHAnsi"/>
        </w:rPr>
        <w:t xml:space="preserve"> was observed between PCV and hemoglobin </w:t>
      </w:r>
      <w:r w:rsidRPr="0074660D">
        <w:rPr>
          <w:rFonts w:asciiTheme="minorHAnsi" w:hAnsiTheme="minorHAnsi" w:cstheme="minorHAnsi"/>
          <w:highlight w:val="yellow"/>
        </w:rPr>
        <w:t>(</w:t>
      </w:r>
      <w:r w:rsidRPr="0074660D">
        <w:rPr>
          <w:rStyle w:val="Strong"/>
          <w:rFonts w:asciiTheme="minorHAnsi" w:hAnsiTheme="minorHAnsi" w:cstheme="minorHAnsi"/>
          <w:b w:val="0"/>
          <w:highlight w:val="yellow"/>
        </w:rPr>
        <w:t>r = 0.847, p = 0.000</w:t>
      </w:r>
      <w:r w:rsidRPr="0074660D">
        <w:rPr>
          <w:rFonts w:asciiTheme="minorHAnsi" w:hAnsiTheme="minorHAnsi" w:cstheme="minorHAnsi"/>
          <w:highlight w:val="yellow"/>
        </w:rPr>
        <w:t>).</w:t>
      </w:r>
      <w:r w:rsidRPr="0074660D">
        <w:rPr>
          <w:rFonts w:asciiTheme="minorHAnsi" w:hAnsiTheme="minorHAnsi" w:cstheme="minorHAnsi"/>
        </w:rPr>
        <w:t xml:space="preserve"> Other statistically significant correlations include:</w:t>
      </w:r>
    </w:p>
    <w:p w:rsidR="0074660D" w:rsidRPr="0074660D" w:rsidRDefault="0074660D" w:rsidP="0074660D">
      <w:pPr>
        <w:pStyle w:val="NormalWeb"/>
        <w:numPr>
          <w:ilvl w:val="0"/>
          <w:numId w:val="6"/>
        </w:numPr>
        <w:spacing w:line="360" w:lineRule="auto"/>
        <w:jc w:val="both"/>
        <w:rPr>
          <w:rFonts w:asciiTheme="minorHAnsi" w:hAnsiTheme="minorHAnsi" w:cstheme="minorHAnsi"/>
          <w:b/>
          <w:highlight w:val="yellow"/>
        </w:rPr>
      </w:pPr>
      <w:r w:rsidRPr="0074660D">
        <w:rPr>
          <w:rStyle w:val="Strong"/>
          <w:rFonts w:asciiTheme="minorHAnsi" w:hAnsiTheme="minorHAnsi" w:cstheme="minorHAnsi"/>
          <w:b w:val="0"/>
          <w:highlight w:val="yellow"/>
        </w:rPr>
        <w:t>Negative correlation</w:t>
      </w:r>
      <w:r w:rsidRPr="0074660D">
        <w:rPr>
          <w:rFonts w:asciiTheme="minorHAnsi" w:hAnsiTheme="minorHAnsi" w:cstheme="minorHAnsi"/>
        </w:rPr>
        <w:t xml:space="preserve"> between PCV and WBC </w:t>
      </w:r>
      <w:r w:rsidRPr="0074660D">
        <w:rPr>
          <w:rFonts w:asciiTheme="minorHAnsi" w:hAnsiTheme="minorHAnsi" w:cstheme="minorHAnsi"/>
          <w:highlight w:val="yellow"/>
        </w:rPr>
        <w:t>(</w:t>
      </w:r>
      <w:r w:rsidRPr="0074660D">
        <w:rPr>
          <w:rStyle w:val="Strong"/>
          <w:rFonts w:asciiTheme="minorHAnsi" w:hAnsiTheme="minorHAnsi" w:cstheme="minorHAnsi"/>
          <w:b w:val="0"/>
          <w:highlight w:val="yellow"/>
        </w:rPr>
        <w:t>r = -0.209, p = 0.021</w:t>
      </w:r>
      <w:r w:rsidRPr="0074660D">
        <w:rPr>
          <w:rFonts w:asciiTheme="minorHAnsi" w:hAnsiTheme="minorHAnsi" w:cstheme="minorHAnsi"/>
          <w:highlight w:val="yellow"/>
        </w:rPr>
        <w:t>)</w:t>
      </w:r>
    </w:p>
    <w:p w:rsidR="0074660D" w:rsidRPr="0074660D" w:rsidRDefault="0074660D" w:rsidP="0074660D">
      <w:pPr>
        <w:pStyle w:val="NormalWeb"/>
        <w:numPr>
          <w:ilvl w:val="0"/>
          <w:numId w:val="6"/>
        </w:numPr>
        <w:spacing w:line="360" w:lineRule="auto"/>
        <w:jc w:val="both"/>
        <w:rPr>
          <w:rFonts w:asciiTheme="minorHAnsi" w:hAnsiTheme="minorHAnsi" w:cstheme="minorHAnsi"/>
        </w:rPr>
      </w:pPr>
      <w:r w:rsidRPr="0074660D">
        <w:rPr>
          <w:rStyle w:val="Strong"/>
          <w:rFonts w:asciiTheme="minorHAnsi" w:hAnsiTheme="minorHAnsi" w:cstheme="minorHAnsi"/>
          <w:b w:val="0"/>
          <w:highlight w:val="yellow"/>
        </w:rPr>
        <w:t>Negative correlation</w:t>
      </w:r>
      <w:r w:rsidRPr="0074660D">
        <w:rPr>
          <w:rFonts w:asciiTheme="minorHAnsi" w:hAnsiTheme="minorHAnsi" w:cstheme="minorHAnsi"/>
        </w:rPr>
        <w:t xml:space="preserve"> between Hb and WBC </w:t>
      </w:r>
      <w:r w:rsidRPr="0074660D">
        <w:rPr>
          <w:rFonts w:asciiTheme="minorHAnsi" w:hAnsiTheme="minorHAnsi" w:cstheme="minorHAnsi"/>
          <w:highlight w:val="yellow"/>
        </w:rPr>
        <w:t>(</w:t>
      </w:r>
      <w:r w:rsidRPr="0074660D">
        <w:rPr>
          <w:rStyle w:val="Strong"/>
          <w:rFonts w:asciiTheme="minorHAnsi" w:hAnsiTheme="minorHAnsi" w:cstheme="minorHAnsi"/>
          <w:b w:val="0"/>
          <w:highlight w:val="yellow"/>
        </w:rPr>
        <w:t>r = -0.198, p = 0.029</w:t>
      </w:r>
      <w:r w:rsidRPr="0074660D">
        <w:rPr>
          <w:rFonts w:asciiTheme="minorHAnsi" w:hAnsiTheme="minorHAnsi" w:cstheme="minorHAnsi"/>
          <w:highlight w:val="yellow"/>
        </w:rPr>
        <w:t>)</w:t>
      </w:r>
    </w:p>
    <w:p w:rsidR="0074660D" w:rsidRPr="0074660D" w:rsidRDefault="0074660D" w:rsidP="0074660D">
      <w:pPr>
        <w:pStyle w:val="NormalWeb"/>
        <w:numPr>
          <w:ilvl w:val="0"/>
          <w:numId w:val="6"/>
        </w:numPr>
        <w:spacing w:line="360" w:lineRule="auto"/>
        <w:jc w:val="both"/>
        <w:rPr>
          <w:rFonts w:asciiTheme="minorHAnsi" w:hAnsiTheme="minorHAnsi" w:cstheme="minorHAnsi"/>
          <w:b/>
          <w:highlight w:val="yellow"/>
        </w:rPr>
      </w:pPr>
      <w:r w:rsidRPr="0074660D">
        <w:rPr>
          <w:rStyle w:val="Strong"/>
          <w:rFonts w:asciiTheme="minorHAnsi" w:hAnsiTheme="minorHAnsi" w:cstheme="minorHAnsi"/>
          <w:b w:val="0"/>
          <w:highlight w:val="yellow"/>
        </w:rPr>
        <w:t>Negative correlation</w:t>
      </w:r>
      <w:r w:rsidRPr="0074660D">
        <w:rPr>
          <w:rFonts w:asciiTheme="minorHAnsi" w:hAnsiTheme="minorHAnsi" w:cstheme="minorHAnsi"/>
        </w:rPr>
        <w:t xml:space="preserve"> between platelets and lymphocytes </w:t>
      </w:r>
      <w:r w:rsidRPr="0074660D">
        <w:rPr>
          <w:rFonts w:asciiTheme="minorHAnsi" w:hAnsiTheme="minorHAnsi" w:cstheme="minorHAnsi"/>
          <w:highlight w:val="yellow"/>
        </w:rPr>
        <w:t>(</w:t>
      </w:r>
      <w:r w:rsidRPr="0074660D">
        <w:rPr>
          <w:rStyle w:val="Strong"/>
          <w:rFonts w:asciiTheme="minorHAnsi" w:hAnsiTheme="minorHAnsi" w:cstheme="minorHAnsi"/>
          <w:b w:val="0"/>
          <w:highlight w:val="yellow"/>
        </w:rPr>
        <w:t>r = -0.195, p = 0.031</w:t>
      </w:r>
      <w:r w:rsidRPr="0074660D">
        <w:rPr>
          <w:rFonts w:asciiTheme="minorHAnsi" w:hAnsiTheme="minorHAnsi" w:cstheme="minorHAnsi"/>
          <w:highlight w:val="yellow"/>
        </w:rPr>
        <w:t>)</w:t>
      </w:r>
    </w:p>
    <w:p w:rsidR="0074660D" w:rsidRPr="0074660D" w:rsidRDefault="0074660D" w:rsidP="0074660D">
      <w:pPr>
        <w:pStyle w:val="NormalWeb"/>
        <w:numPr>
          <w:ilvl w:val="0"/>
          <w:numId w:val="6"/>
        </w:numPr>
        <w:spacing w:line="360" w:lineRule="auto"/>
        <w:jc w:val="both"/>
        <w:rPr>
          <w:rFonts w:asciiTheme="minorHAnsi" w:hAnsiTheme="minorHAnsi" w:cstheme="minorHAnsi"/>
          <w:b/>
          <w:highlight w:val="yellow"/>
        </w:rPr>
      </w:pPr>
      <w:r w:rsidRPr="0074660D">
        <w:rPr>
          <w:rStyle w:val="Strong"/>
          <w:rFonts w:asciiTheme="minorHAnsi" w:hAnsiTheme="minorHAnsi" w:cstheme="minorHAnsi"/>
          <w:b w:val="0"/>
          <w:highlight w:val="yellow"/>
        </w:rPr>
        <w:t>Negative correlation</w:t>
      </w:r>
      <w:r w:rsidRPr="0074660D">
        <w:rPr>
          <w:rFonts w:asciiTheme="minorHAnsi" w:hAnsiTheme="minorHAnsi" w:cstheme="minorHAnsi"/>
        </w:rPr>
        <w:t xml:space="preserve"> between neutrophils and lymphocytes (</w:t>
      </w:r>
      <w:r w:rsidRPr="0074660D">
        <w:rPr>
          <w:rStyle w:val="Strong"/>
          <w:rFonts w:asciiTheme="minorHAnsi" w:hAnsiTheme="minorHAnsi" w:cstheme="minorHAnsi"/>
          <w:b w:val="0"/>
          <w:highlight w:val="yellow"/>
        </w:rPr>
        <w:t>r = -0.944, p = 0.000</w:t>
      </w:r>
      <w:r w:rsidRPr="0074660D">
        <w:rPr>
          <w:rFonts w:asciiTheme="minorHAnsi" w:hAnsiTheme="minorHAnsi" w:cstheme="minorHAnsi"/>
          <w:highlight w:val="yellow"/>
        </w:rPr>
        <w:t>)</w:t>
      </w:r>
    </w:p>
    <w:p w:rsidR="0074660D" w:rsidRPr="0074660D" w:rsidRDefault="0074660D" w:rsidP="0074660D">
      <w:pPr>
        <w:pStyle w:val="NormalWeb"/>
        <w:numPr>
          <w:ilvl w:val="0"/>
          <w:numId w:val="6"/>
        </w:numPr>
        <w:spacing w:line="360" w:lineRule="auto"/>
        <w:jc w:val="both"/>
        <w:rPr>
          <w:rFonts w:asciiTheme="minorHAnsi" w:hAnsiTheme="minorHAnsi" w:cstheme="minorHAnsi"/>
          <w:b/>
          <w:highlight w:val="yellow"/>
        </w:rPr>
      </w:pPr>
      <w:r w:rsidRPr="0074660D">
        <w:rPr>
          <w:rStyle w:val="Strong"/>
          <w:rFonts w:asciiTheme="minorHAnsi" w:hAnsiTheme="minorHAnsi" w:cstheme="minorHAnsi"/>
          <w:b w:val="0"/>
          <w:highlight w:val="yellow"/>
        </w:rPr>
        <w:t>Negative correlation</w:t>
      </w:r>
      <w:r w:rsidRPr="0074660D">
        <w:rPr>
          <w:rFonts w:asciiTheme="minorHAnsi" w:hAnsiTheme="minorHAnsi" w:cstheme="minorHAnsi"/>
        </w:rPr>
        <w:t xml:space="preserve"> between neutrophils and monocytes (</w:t>
      </w:r>
      <w:r w:rsidRPr="0074660D">
        <w:rPr>
          <w:rStyle w:val="Strong"/>
          <w:rFonts w:asciiTheme="minorHAnsi" w:hAnsiTheme="minorHAnsi" w:cstheme="minorHAnsi"/>
          <w:b w:val="0"/>
          <w:highlight w:val="yellow"/>
        </w:rPr>
        <w:t>r = -0.248, p = 0.006</w:t>
      </w:r>
      <w:r w:rsidRPr="0074660D">
        <w:rPr>
          <w:rFonts w:asciiTheme="minorHAnsi" w:hAnsiTheme="minorHAnsi" w:cstheme="minorHAnsi"/>
          <w:highlight w:val="yellow"/>
        </w:rPr>
        <w:t>)</w:t>
      </w:r>
    </w:p>
    <w:p w:rsidR="0074660D" w:rsidRPr="0074660D" w:rsidRDefault="0074660D" w:rsidP="0074660D">
      <w:pPr>
        <w:pStyle w:val="NormalWeb"/>
        <w:numPr>
          <w:ilvl w:val="0"/>
          <w:numId w:val="6"/>
        </w:numPr>
        <w:spacing w:line="360" w:lineRule="auto"/>
        <w:jc w:val="both"/>
        <w:rPr>
          <w:rFonts w:asciiTheme="minorHAnsi" w:hAnsiTheme="minorHAnsi" w:cstheme="minorHAnsi"/>
          <w:b/>
          <w:highlight w:val="yellow"/>
        </w:rPr>
      </w:pPr>
      <w:r w:rsidRPr="0074660D">
        <w:rPr>
          <w:rStyle w:val="Strong"/>
          <w:rFonts w:asciiTheme="minorHAnsi" w:hAnsiTheme="minorHAnsi" w:cstheme="minorHAnsi"/>
          <w:b w:val="0"/>
          <w:highlight w:val="yellow"/>
        </w:rPr>
        <w:t>Negative correlation</w:t>
      </w:r>
      <w:r w:rsidRPr="0074660D">
        <w:rPr>
          <w:rFonts w:asciiTheme="minorHAnsi" w:hAnsiTheme="minorHAnsi" w:cstheme="minorHAnsi"/>
        </w:rPr>
        <w:t xml:space="preserve"> between lymphocytes and </w:t>
      </w:r>
      <w:proofErr w:type="spellStart"/>
      <w:r w:rsidRPr="0074660D">
        <w:rPr>
          <w:rFonts w:asciiTheme="minorHAnsi" w:hAnsiTheme="minorHAnsi" w:cstheme="minorHAnsi"/>
        </w:rPr>
        <w:t>eosinophils</w:t>
      </w:r>
      <w:proofErr w:type="spellEnd"/>
      <w:r w:rsidRPr="0074660D">
        <w:rPr>
          <w:rFonts w:asciiTheme="minorHAnsi" w:hAnsiTheme="minorHAnsi" w:cstheme="minorHAnsi"/>
        </w:rPr>
        <w:t xml:space="preserve"> </w:t>
      </w:r>
      <w:r w:rsidRPr="0074660D">
        <w:rPr>
          <w:rFonts w:asciiTheme="minorHAnsi" w:hAnsiTheme="minorHAnsi" w:cstheme="minorHAnsi"/>
          <w:highlight w:val="yellow"/>
        </w:rPr>
        <w:t>(</w:t>
      </w:r>
      <w:r w:rsidRPr="0074660D">
        <w:rPr>
          <w:rStyle w:val="Strong"/>
          <w:rFonts w:asciiTheme="minorHAnsi" w:hAnsiTheme="minorHAnsi" w:cstheme="minorHAnsi"/>
          <w:b w:val="0"/>
          <w:highlight w:val="yellow"/>
        </w:rPr>
        <w:t>r = -0.231, p = 0.010</w:t>
      </w:r>
      <w:r w:rsidRPr="0074660D">
        <w:rPr>
          <w:rFonts w:asciiTheme="minorHAnsi" w:hAnsiTheme="minorHAnsi" w:cstheme="minorHAnsi"/>
          <w:highlight w:val="yellow"/>
        </w:rPr>
        <w:t>)</w:t>
      </w:r>
    </w:p>
    <w:p w:rsidR="0074660D" w:rsidRDefault="0074660D"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74660D" w:rsidRPr="002649B4" w:rsidRDefault="0074660D" w:rsidP="002649B4">
      <w:pPr>
        <w:pStyle w:val="Heading3"/>
        <w:spacing w:line="360" w:lineRule="auto"/>
        <w:jc w:val="both"/>
        <w:rPr>
          <w:rFonts w:asciiTheme="minorHAnsi" w:hAnsiTheme="minorHAnsi" w:cstheme="minorHAnsi"/>
        </w:rPr>
      </w:pPr>
      <w:r w:rsidRPr="002649B4">
        <w:rPr>
          <w:rStyle w:val="Strong"/>
          <w:rFonts w:asciiTheme="minorHAnsi" w:hAnsiTheme="minorHAnsi" w:cstheme="minorHAnsi"/>
          <w:b/>
          <w:bCs/>
        </w:rPr>
        <w:lastRenderedPageBreak/>
        <w:t xml:space="preserve">3.2 Relationship </w:t>
      </w:r>
      <w:proofErr w:type="gramStart"/>
      <w:r w:rsidRPr="002649B4">
        <w:rPr>
          <w:rStyle w:val="Strong"/>
          <w:rFonts w:asciiTheme="minorHAnsi" w:hAnsiTheme="minorHAnsi" w:cstheme="minorHAnsi"/>
          <w:b/>
          <w:bCs/>
        </w:rPr>
        <w:t>Between</w:t>
      </w:r>
      <w:proofErr w:type="gramEnd"/>
      <w:r w:rsidRPr="002649B4">
        <w:rPr>
          <w:rStyle w:val="Strong"/>
          <w:rFonts w:asciiTheme="minorHAnsi" w:hAnsiTheme="minorHAnsi" w:cstheme="minorHAnsi"/>
          <w:b/>
          <w:bCs/>
        </w:rPr>
        <w:t xml:space="preserve"> Sex and Hematological Parameters of Test Subjects</w:t>
      </w:r>
    </w:p>
    <w:p w:rsidR="0074660D" w:rsidRPr="002649B4" w:rsidRDefault="0074660D" w:rsidP="002649B4">
      <w:pPr>
        <w:pStyle w:val="NormalWeb"/>
        <w:spacing w:line="360" w:lineRule="auto"/>
        <w:jc w:val="both"/>
        <w:rPr>
          <w:rFonts w:asciiTheme="minorHAnsi" w:hAnsiTheme="minorHAnsi" w:cstheme="minorHAnsi"/>
        </w:rPr>
      </w:pPr>
      <w:r w:rsidRPr="002649B4">
        <w:rPr>
          <w:rFonts w:asciiTheme="minorHAnsi" w:hAnsiTheme="minorHAnsi" w:cstheme="minorHAnsi"/>
        </w:rPr>
        <w:t xml:space="preserve">The table below shows a </w:t>
      </w:r>
      <w:r w:rsidRPr="002649B4">
        <w:rPr>
          <w:rStyle w:val="Strong"/>
          <w:rFonts w:asciiTheme="minorHAnsi" w:hAnsiTheme="minorHAnsi" w:cstheme="minorHAnsi"/>
          <w:b w:val="0"/>
          <w:highlight w:val="yellow"/>
        </w:rPr>
        <w:t xml:space="preserve">significant difference in </w:t>
      </w:r>
      <w:proofErr w:type="spellStart"/>
      <w:r w:rsidRPr="002649B4">
        <w:rPr>
          <w:rStyle w:val="Strong"/>
          <w:rFonts w:asciiTheme="minorHAnsi" w:hAnsiTheme="minorHAnsi" w:cstheme="minorHAnsi"/>
          <w:b w:val="0"/>
          <w:highlight w:val="yellow"/>
        </w:rPr>
        <w:t>eosinophil</w:t>
      </w:r>
      <w:proofErr w:type="spellEnd"/>
      <w:r w:rsidRPr="002649B4">
        <w:rPr>
          <w:rStyle w:val="Strong"/>
          <w:rFonts w:asciiTheme="minorHAnsi" w:hAnsiTheme="minorHAnsi" w:cstheme="minorHAnsi"/>
          <w:b w:val="0"/>
          <w:highlight w:val="yellow"/>
        </w:rPr>
        <w:t xml:space="preserve"> counts</w:t>
      </w:r>
      <w:r w:rsidRPr="002649B4">
        <w:rPr>
          <w:rFonts w:asciiTheme="minorHAnsi" w:hAnsiTheme="minorHAnsi" w:cstheme="minorHAnsi"/>
        </w:rPr>
        <w:t xml:space="preserve"> between males and females </w:t>
      </w:r>
      <w:r w:rsidRPr="002649B4">
        <w:rPr>
          <w:rFonts w:asciiTheme="minorHAnsi" w:hAnsiTheme="minorHAnsi" w:cstheme="minorHAnsi"/>
          <w:highlight w:val="yellow"/>
        </w:rPr>
        <w:t>(</w:t>
      </w:r>
      <w:r w:rsidRPr="002649B4">
        <w:rPr>
          <w:rStyle w:val="Strong"/>
          <w:rFonts w:asciiTheme="minorHAnsi" w:hAnsiTheme="minorHAnsi" w:cstheme="minorHAnsi"/>
          <w:b w:val="0"/>
          <w:highlight w:val="yellow"/>
        </w:rPr>
        <w:t>p = 0.007</w:t>
      </w:r>
      <w:r w:rsidRPr="002649B4">
        <w:rPr>
          <w:rFonts w:asciiTheme="minorHAnsi" w:hAnsiTheme="minorHAnsi" w:cstheme="minorHAnsi"/>
          <w:highlight w:val="yellow"/>
        </w:rPr>
        <w:t>)</w:t>
      </w:r>
      <w:r w:rsidRPr="002649B4">
        <w:rPr>
          <w:rFonts w:asciiTheme="minorHAnsi" w:hAnsiTheme="minorHAnsi" w:cstheme="minorHAnsi"/>
        </w:rPr>
        <w:t xml:space="preserve">, with males having </w:t>
      </w:r>
      <w:r w:rsidRPr="002649B4">
        <w:rPr>
          <w:rStyle w:val="Strong"/>
          <w:rFonts w:asciiTheme="minorHAnsi" w:hAnsiTheme="minorHAnsi" w:cstheme="minorHAnsi"/>
          <w:b w:val="0"/>
          <w:highlight w:val="yellow"/>
        </w:rPr>
        <w:t xml:space="preserve">higher </w:t>
      </w:r>
      <w:proofErr w:type="spellStart"/>
      <w:r w:rsidRPr="002649B4">
        <w:rPr>
          <w:rStyle w:val="Strong"/>
          <w:rFonts w:asciiTheme="minorHAnsi" w:hAnsiTheme="minorHAnsi" w:cstheme="minorHAnsi"/>
          <w:b w:val="0"/>
          <w:highlight w:val="yellow"/>
        </w:rPr>
        <w:t>eosinophil</w:t>
      </w:r>
      <w:proofErr w:type="spellEnd"/>
      <w:r w:rsidRPr="002649B4">
        <w:rPr>
          <w:rStyle w:val="Strong"/>
          <w:rFonts w:asciiTheme="minorHAnsi" w:hAnsiTheme="minorHAnsi" w:cstheme="minorHAnsi"/>
          <w:b w:val="0"/>
          <w:highlight w:val="yellow"/>
        </w:rPr>
        <w:t xml:space="preserve"> levels</w:t>
      </w:r>
      <w:r w:rsidRPr="002649B4">
        <w:rPr>
          <w:rFonts w:asciiTheme="minorHAnsi" w:hAnsiTheme="minorHAnsi" w:cstheme="minorHAnsi"/>
        </w:rPr>
        <w:t>. No other hematological parameters showed significant sex-based differences.</w:t>
      </w:r>
    </w:p>
    <w:p w:rsidR="0074660D" w:rsidRDefault="0074660D"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2649B4" w:rsidRDefault="002649B4" w:rsidP="0074660D"/>
    <w:p w:rsidR="0074660D" w:rsidRPr="002649B4" w:rsidRDefault="0074660D" w:rsidP="002649B4">
      <w:pPr>
        <w:pStyle w:val="Heading3"/>
        <w:spacing w:line="360" w:lineRule="auto"/>
        <w:rPr>
          <w:rFonts w:asciiTheme="minorHAnsi" w:hAnsiTheme="minorHAnsi" w:cstheme="minorHAnsi"/>
          <w:sz w:val="22"/>
          <w:szCs w:val="22"/>
        </w:rPr>
      </w:pPr>
      <w:r w:rsidRPr="002649B4">
        <w:rPr>
          <w:rStyle w:val="Strong"/>
          <w:rFonts w:asciiTheme="minorHAnsi" w:hAnsiTheme="minorHAnsi" w:cstheme="minorHAnsi"/>
          <w:b/>
          <w:bCs/>
          <w:sz w:val="22"/>
          <w:szCs w:val="22"/>
        </w:rPr>
        <w:lastRenderedPageBreak/>
        <w:t>TABLE 3</w:t>
      </w:r>
      <w:r w:rsidR="002649B4" w:rsidRPr="002649B4">
        <w:rPr>
          <w:rStyle w:val="Strong"/>
          <w:rFonts w:asciiTheme="minorHAnsi" w:hAnsiTheme="minorHAnsi" w:cstheme="minorHAnsi"/>
          <w:b/>
          <w:bCs/>
          <w:sz w:val="22"/>
          <w:szCs w:val="22"/>
        </w:rPr>
        <w:t>.2</w:t>
      </w:r>
      <w:r w:rsidRPr="002649B4">
        <w:rPr>
          <w:rStyle w:val="Strong"/>
          <w:rFonts w:asciiTheme="minorHAnsi" w:hAnsiTheme="minorHAnsi" w:cstheme="minorHAnsi"/>
          <w:b/>
          <w:bCs/>
          <w:sz w:val="22"/>
          <w:szCs w:val="22"/>
        </w:rPr>
        <w:t>: RELATIONSHIP BETWEEN SEX AND HEMATOLOGICAL PARAMETERS OF TEST SUBJECTS (n = 122)</w:t>
      </w:r>
    </w:p>
    <w:p w:rsidR="0074660D" w:rsidRPr="002649B4" w:rsidRDefault="0074660D" w:rsidP="002649B4">
      <w:pPr>
        <w:pStyle w:val="NormalWeb"/>
        <w:spacing w:line="360" w:lineRule="auto"/>
        <w:rPr>
          <w:rFonts w:asciiTheme="minorHAnsi" w:hAnsiTheme="minorHAnsi" w:cstheme="minorHAnsi"/>
          <w:sz w:val="22"/>
          <w:szCs w:val="22"/>
        </w:rPr>
      </w:pPr>
      <w:r w:rsidRPr="002649B4">
        <w:rPr>
          <w:rStyle w:val="Strong"/>
          <w:rFonts w:asciiTheme="minorHAnsi" w:hAnsiTheme="minorHAnsi" w:cstheme="minorHAnsi"/>
          <w:sz w:val="22"/>
          <w:szCs w:val="22"/>
        </w:rPr>
        <w:t>Note: No correction for multiple comparisons was applied; results should be interpreted with caution.</w:t>
      </w:r>
    </w:p>
    <w:tbl>
      <w:tblPr>
        <w:tblW w:w="0" w:type="auto"/>
        <w:tblCellSpacing w:w="15" w:type="dxa"/>
        <w:tblCellMar>
          <w:top w:w="15" w:type="dxa"/>
          <w:left w:w="15" w:type="dxa"/>
          <w:bottom w:w="15" w:type="dxa"/>
          <w:right w:w="15" w:type="dxa"/>
        </w:tblCellMar>
        <w:tblLook w:val="04A0"/>
      </w:tblPr>
      <w:tblGrid>
        <w:gridCol w:w="1745"/>
        <w:gridCol w:w="2195"/>
        <w:gridCol w:w="2393"/>
        <w:gridCol w:w="700"/>
        <w:gridCol w:w="740"/>
        <w:gridCol w:w="1383"/>
      </w:tblGrid>
      <w:tr w:rsidR="0074660D" w:rsidRPr="002649B4" w:rsidTr="0074660D">
        <w:trPr>
          <w:tblHeader/>
          <w:tblCellSpacing w:w="15" w:type="dxa"/>
        </w:trPr>
        <w:tc>
          <w:tcPr>
            <w:tcW w:w="0" w:type="auto"/>
            <w:vAlign w:val="center"/>
            <w:hideMark/>
          </w:tcPr>
          <w:p w:rsidR="0074660D" w:rsidRPr="002649B4" w:rsidRDefault="0074660D" w:rsidP="002649B4">
            <w:pPr>
              <w:spacing w:line="360" w:lineRule="auto"/>
              <w:jc w:val="center"/>
              <w:rPr>
                <w:rFonts w:cstheme="minorHAnsi"/>
                <w:b/>
                <w:bCs/>
              </w:rPr>
            </w:pPr>
            <w:r w:rsidRPr="002649B4">
              <w:rPr>
                <w:rFonts w:cstheme="minorHAnsi"/>
                <w:b/>
                <w:bCs/>
              </w:rPr>
              <w:t>Parameter</w:t>
            </w:r>
          </w:p>
        </w:tc>
        <w:tc>
          <w:tcPr>
            <w:tcW w:w="0" w:type="auto"/>
            <w:vAlign w:val="center"/>
            <w:hideMark/>
          </w:tcPr>
          <w:p w:rsidR="0074660D" w:rsidRPr="002649B4" w:rsidRDefault="0074660D" w:rsidP="002649B4">
            <w:pPr>
              <w:spacing w:line="360" w:lineRule="auto"/>
              <w:jc w:val="center"/>
              <w:rPr>
                <w:rFonts w:cstheme="minorHAnsi"/>
                <w:b/>
                <w:bCs/>
              </w:rPr>
            </w:pPr>
            <w:r w:rsidRPr="002649B4">
              <w:rPr>
                <w:rFonts w:cstheme="minorHAnsi"/>
                <w:b/>
                <w:bCs/>
              </w:rPr>
              <w:t>Male (n=64) Mean ± SD</w:t>
            </w:r>
          </w:p>
        </w:tc>
        <w:tc>
          <w:tcPr>
            <w:tcW w:w="0" w:type="auto"/>
            <w:vAlign w:val="center"/>
            <w:hideMark/>
          </w:tcPr>
          <w:p w:rsidR="0074660D" w:rsidRPr="002649B4" w:rsidRDefault="0074660D" w:rsidP="002649B4">
            <w:pPr>
              <w:spacing w:line="360" w:lineRule="auto"/>
              <w:jc w:val="center"/>
              <w:rPr>
                <w:rFonts w:cstheme="minorHAnsi"/>
                <w:b/>
                <w:bCs/>
              </w:rPr>
            </w:pPr>
            <w:r w:rsidRPr="002649B4">
              <w:rPr>
                <w:rFonts w:cstheme="minorHAnsi"/>
                <w:b/>
                <w:bCs/>
              </w:rPr>
              <w:t>Female (n=58) Mean ± SD</w:t>
            </w:r>
          </w:p>
        </w:tc>
        <w:tc>
          <w:tcPr>
            <w:tcW w:w="0" w:type="auto"/>
            <w:vAlign w:val="center"/>
            <w:hideMark/>
          </w:tcPr>
          <w:p w:rsidR="0074660D" w:rsidRPr="002649B4" w:rsidRDefault="0074660D" w:rsidP="002649B4">
            <w:pPr>
              <w:spacing w:line="360" w:lineRule="auto"/>
              <w:jc w:val="center"/>
              <w:rPr>
                <w:rFonts w:cstheme="minorHAnsi"/>
                <w:b/>
                <w:bCs/>
              </w:rPr>
            </w:pPr>
            <w:r w:rsidRPr="002649B4">
              <w:rPr>
                <w:rStyle w:val="Emphasis"/>
                <w:rFonts w:cstheme="minorHAnsi"/>
                <w:b/>
                <w:bCs/>
              </w:rPr>
              <w:t>t</w:t>
            </w:r>
            <w:r w:rsidRPr="002649B4">
              <w:rPr>
                <w:rFonts w:cstheme="minorHAnsi"/>
                <w:b/>
                <w:bCs/>
              </w:rPr>
              <w:t>-value</w:t>
            </w:r>
          </w:p>
        </w:tc>
        <w:tc>
          <w:tcPr>
            <w:tcW w:w="0" w:type="auto"/>
            <w:vAlign w:val="center"/>
            <w:hideMark/>
          </w:tcPr>
          <w:p w:rsidR="0074660D" w:rsidRPr="002649B4" w:rsidRDefault="0074660D" w:rsidP="002649B4">
            <w:pPr>
              <w:spacing w:line="360" w:lineRule="auto"/>
              <w:jc w:val="center"/>
              <w:rPr>
                <w:rFonts w:cstheme="minorHAnsi"/>
                <w:b/>
                <w:bCs/>
              </w:rPr>
            </w:pPr>
            <w:r w:rsidRPr="002649B4">
              <w:rPr>
                <w:rStyle w:val="Emphasis"/>
                <w:rFonts w:cstheme="minorHAnsi"/>
                <w:b/>
                <w:bCs/>
              </w:rPr>
              <w:t>p</w:t>
            </w:r>
            <w:r w:rsidRPr="002649B4">
              <w:rPr>
                <w:rFonts w:cstheme="minorHAnsi"/>
                <w:b/>
                <w:bCs/>
              </w:rPr>
              <w:t>-value</w:t>
            </w:r>
          </w:p>
        </w:tc>
        <w:tc>
          <w:tcPr>
            <w:tcW w:w="0" w:type="auto"/>
            <w:vAlign w:val="center"/>
            <w:hideMark/>
          </w:tcPr>
          <w:p w:rsidR="0074660D" w:rsidRPr="002649B4" w:rsidRDefault="0074660D" w:rsidP="002649B4">
            <w:pPr>
              <w:spacing w:line="360" w:lineRule="auto"/>
              <w:jc w:val="center"/>
              <w:rPr>
                <w:rFonts w:cstheme="minorHAnsi"/>
                <w:b/>
                <w:bCs/>
              </w:rPr>
            </w:pPr>
            <w:r w:rsidRPr="002649B4">
              <w:rPr>
                <w:rFonts w:cstheme="minorHAnsi"/>
                <w:b/>
                <w:bCs/>
              </w:rPr>
              <w:t>Remark</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rPr>
            </w:pPr>
            <w:r w:rsidRPr="002649B4">
              <w:rPr>
                <w:rFonts w:cstheme="minorHAnsi"/>
              </w:rPr>
              <w:t>Age (years)</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32.86 ± 7.74</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30.41 ± 7.53</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1.765</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0.080</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Not Significant</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rPr>
            </w:pPr>
            <w:r w:rsidRPr="002649B4">
              <w:rPr>
                <w:rFonts w:cstheme="minorHAnsi"/>
              </w:rPr>
              <w:t>Hemoglobin (g/dL)</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7.77 ± 2.13</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7.72 ± 2.22</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0.127</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0.899</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Not Significant</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rPr>
            </w:pPr>
            <w:r w:rsidRPr="002649B4">
              <w:rPr>
                <w:rFonts w:cstheme="minorHAnsi"/>
              </w:rPr>
              <w:t>PCV (%)</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22.78 ± 5.95</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22.01 ± 5.51</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0.738</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0.462</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Not Significant</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rPr>
            </w:pPr>
            <w:r w:rsidRPr="002649B4">
              <w:rPr>
                <w:rFonts w:cstheme="minorHAnsi"/>
              </w:rPr>
              <w:t>WBC (×10⁹/L)</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11.60 ± 8.04</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11.11 ± 4.48</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0.412</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0.681</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Not Significant</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rPr>
            </w:pPr>
            <w:r w:rsidRPr="002649B4">
              <w:rPr>
                <w:rFonts w:cstheme="minorHAnsi"/>
              </w:rPr>
              <w:t>Platelets (×10⁹/L)</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360.53 ± 154.67</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341.79 ± 153.90</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0.670</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0.504</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Not Significant</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rPr>
            </w:pPr>
            <w:r w:rsidRPr="002649B4">
              <w:rPr>
                <w:rFonts w:cstheme="minorHAnsi"/>
              </w:rPr>
              <w:t>Neutrophils (%)</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49.12 ± 15.00</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49.52 ± 14.76</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0.146</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0.884</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Not Significant</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rPr>
            </w:pPr>
            <w:r w:rsidRPr="002649B4">
              <w:rPr>
                <w:rFonts w:cstheme="minorHAnsi"/>
              </w:rPr>
              <w:t>Lymphocytes (%)</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38.92 ± 15.38</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40.24 ± 14.03</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0.494</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0.622</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Not Significant</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rPr>
            </w:pPr>
            <w:r w:rsidRPr="002649B4">
              <w:rPr>
                <w:rFonts w:cstheme="minorHAnsi"/>
              </w:rPr>
              <w:t>Monocytes (%)</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7.34 ± 3.33</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7.20 ± 3.85</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0.213</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0.832</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Not Significant</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b/>
                <w:highlight w:val="yellow"/>
              </w:rPr>
            </w:pPr>
            <w:proofErr w:type="spellStart"/>
            <w:r w:rsidRPr="002649B4">
              <w:rPr>
                <w:rStyle w:val="Strong"/>
                <w:rFonts w:cstheme="minorHAnsi"/>
                <w:b w:val="0"/>
                <w:highlight w:val="yellow"/>
              </w:rPr>
              <w:t>Eosinophils</w:t>
            </w:r>
            <w:proofErr w:type="spellEnd"/>
            <w:r w:rsidRPr="002649B4">
              <w:rPr>
                <w:rStyle w:val="Strong"/>
                <w:rFonts w:cstheme="minorHAnsi"/>
                <w:b w:val="0"/>
                <w:highlight w:val="yellow"/>
              </w:rPr>
              <w:t xml:space="preserve"> (%)</w:t>
            </w:r>
          </w:p>
        </w:tc>
        <w:tc>
          <w:tcPr>
            <w:tcW w:w="0" w:type="auto"/>
            <w:vAlign w:val="center"/>
            <w:hideMark/>
          </w:tcPr>
          <w:p w:rsidR="0074660D" w:rsidRPr="002649B4" w:rsidRDefault="0074660D" w:rsidP="002649B4">
            <w:pPr>
              <w:spacing w:line="360" w:lineRule="auto"/>
              <w:rPr>
                <w:rFonts w:cstheme="minorHAnsi"/>
                <w:b/>
                <w:highlight w:val="yellow"/>
              </w:rPr>
            </w:pPr>
            <w:r w:rsidRPr="002649B4">
              <w:rPr>
                <w:rStyle w:val="Strong"/>
                <w:rFonts w:cstheme="minorHAnsi"/>
                <w:b w:val="0"/>
                <w:highlight w:val="yellow"/>
              </w:rPr>
              <w:t>2.98 ± 2.88</w:t>
            </w:r>
          </w:p>
        </w:tc>
        <w:tc>
          <w:tcPr>
            <w:tcW w:w="0" w:type="auto"/>
            <w:vAlign w:val="center"/>
            <w:hideMark/>
          </w:tcPr>
          <w:p w:rsidR="0074660D" w:rsidRPr="002649B4" w:rsidRDefault="0074660D" w:rsidP="002649B4">
            <w:pPr>
              <w:spacing w:line="360" w:lineRule="auto"/>
              <w:rPr>
                <w:rFonts w:cstheme="minorHAnsi"/>
                <w:b/>
                <w:highlight w:val="yellow"/>
              </w:rPr>
            </w:pPr>
            <w:r w:rsidRPr="002649B4">
              <w:rPr>
                <w:rStyle w:val="Strong"/>
                <w:rFonts w:cstheme="minorHAnsi"/>
                <w:b w:val="0"/>
                <w:highlight w:val="yellow"/>
              </w:rPr>
              <w:t>1.84 ± 1.40</w:t>
            </w:r>
          </w:p>
        </w:tc>
        <w:tc>
          <w:tcPr>
            <w:tcW w:w="0" w:type="auto"/>
            <w:vAlign w:val="center"/>
            <w:hideMark/>
          </w:tcPr>
          <w:p w:rsidR="0074660D" w:rsidRPr="002649B4" w:rsidRDefault="0074660D" w:rsidP="002649B4">
            <w:pPr>
              <w:spacing w:line="360" w:lineRule="auto"/>
              <w:rPr>
                <w:rFonts w:cstheme="minorHAnsi"/>
                <w:b/>
                <w:highlight w:val="yellow"/>
              </w:rPr>
            </w:pPr>
            <w:r w:rsidRPr="002649B4">
              <w:rPr>
                <w:rStyle w:val="Strong"/>
                <w:rFonts w:cstheme="minorHAnsi"/>
                <w:b w:val="0"/>
                <w:highlight w:val="yellow"/>
              </w:rPr>
              <w:t>2.732</w:t>
            </w:r>
          </w:p>
        </w:tc>
        <w:tc>
          <w:tcPr>
            <w:tcW w:w="0" w:type="auto"/>
            <w:vAlign w:val="center"/>
            <w:hideMark/>
          </w:tcPr>
          <w:p w:rsidR="0074660D" w:rsidRPr="002649B4" w:rsidRDefault="0074660D" w:rsidP="002649B4">
            <w:pPr>
              <w:spacing w:line="360" w:lineRule="auto"/>
              <w:rPr>
                <w:rFonts w:cstheme="minorHAnsi"/>
                <w:b/>
                <w:highlight w:val="yellow"/>
              </w:rPr>
            </w:pPr>
            <w:r w:rsidRPr="002649B4">
              <w:rPr>
                <w:rStyle w:val="Strong"/>
                <w:rFonts w:cstheme="minorHAnsi"/>
                <w:b w:val="0"/>
                <w:highlight w:val="yellow"/>
              </w:rPr>
              <w:t>0.007*</w:t>
            </w:r>
          </w:p>
        </w:tc>
        <w:tc>
          <w:tcPr>
            <w:tcW w:w="0" w:type="auto"/>
            <w:vAlign w:val="center"/>
            <w:hideMark/>
          </w:tcPr>
          <w:p w:rsidR="0074660D" w:rsidRPr="002649B4" w:rsidRDefault="0074660D" w:rsidP="002649B4">
            <w:pPr>
              <w:spacing w:line="360" w:lineRule="auto"/>
              <w:rPr>
                <w:rFonts w:cstheme="minorHAnsi"/>
                <w:b/>
                <w:highlight w:val="yellow"/>
              </w:rPr>
            </w:pPr>
            <w:r w:rsidRPr="002649B4">
              <w:rPr>
                <w:rStyle w:val="Strong"/>
                <w:rFonts w:cstheme="minorHAnsi"/>
                <w:b w:val="0"/>
                <w:highlight w:val="yellow"/>
              </w:rPr>
              <w:t>Significant</w:t>
            </w:r>
          </w:p>
        </w:tc>
      </w:tr>
      <w:tr w:rsidR="0074660D" w:rsidRPr="002649B4" w:rsidTr="0074660D">
        <w:trPr>
          <w:tblCellSpacing w:w="15" w:type="dxa"/>
        </w:trPr>
        <w:tc>
          <w:tcPr>
            <w:tcW w:w="0" w:type="auto"/>
            <w:vAlign w:val="center"/>
            <w:hideMark/>
          </w:tcPr>
          <w:p w:rsidR="0074660D" w:rsidRPr="002649B4" w:rsidRDefault="0074660D" w:rsidP="002649B4">
            <w:pPr>
              <w:spacing w:line="360" w:lineRule="auto"/>
              <w:rPr>
                <w:rFonts w:cstheme="minorHAnsi"/>
              </w:rPr>
            </w:pPr>
            <w:proofErr w:type="spellStart"/>
            <w:r w:rsidRPr="002649B4">
              <w:rPr>
                <w:rFonts w:cstheme="minorHAnsi"/>
              </w:rPr>
              <w:t>Basophils</w:t>
            </w:r>
            <w:proofErr w:type="spellEnd"/>
            <w:r w:rsidRPr="002649B4">
              <w:rPr>
                <w:rFonts w:cstheme="minorHAnsi"/>
              </w:rPr>
              <w:t xml:space="preserve"> (%)</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1.77 ± 2.24</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1.12 ± 1.57</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1.836</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0.069</w:t>
            </w:r>
          </w:p>
        </w:tc>
        <w:tc>
          <w:tcPr>
            <w:tcW w:w="0" w:type="auto"/>
            <w:vAlign w:val="center"/>
            <w:hideMark/>
          </w:tcPr>
          <w:p w:rsidR="0074660D" w:rsidRPr="002649B4" w:rsidRDefault="0074660D" w:rsidP="002649B4">
            <w:pPr>
              <w:spacing w:line="360" w:lineRule="auto"/>
              <w:rPr>
                <w:rFonts w:cstheme="minorHAnsi"/>
              </w:rPr>
            </w:pPr>
            <w:r w:rsidRPr="002649B4">
              <w:rPr>
                <w:rFonts w:cstheme="minorHAnsi"/>
              </w:rPr>
              <w:t>Not Significant</w:t>
            </w:r>
          </w:p>
        </w:tc>
      </w:tr>
    </w:tbl>
    <w:p w:rsidR="0074660D" w:rsidRPr="002649B4" w:rsidRDefault="0074660D" w:rsidP="002649B4">
      <w:pPr>
        <w:pStyle w:val="NormalWeb"/>
        <w:spacing w:line="360" w:lineRule="auto"/>
        <w:rPr>
          <w:rFonts w:asciiTheme="minorHAnsi" w:hAnsiTheme="minorHAnsi" w:cstheme="minorHAnsi"/>
          <w:sz w:val="22"/>
          <w:szCs w:val="22"/>
        </w:rPr>
      </w:pPr>
      <w:r w:rsidRPr="002649B4">
        <w:rPr>
          <w:rFonts w:asciiTheme="minorHAnsi" w:hAnsiTheme="minorHAnsi" w:cstheme="minorHAnsi"/>
          <w:sz w:val="22"/>
          <w:szCs w:val="22"/>
        </w:rPr>
        <w:t>*p &lt; 0.05 (i.e., statistically significant)</w:t>
      </w:r>
    </w:p>
    <w:p w:rsidR="005614B5" w:rsidRPr="005B2037" w:rsidRDefault="005614B5" w:rsidP="005614B5">
      <w:pPr>
        <w:autoSpaceDE w:val="0"/>
        <w:autoSpaceDN w:val="0"/>
        <w:adjustRightInd w:val="0"/>
        <w:spacing w:after="0" w:line="480" w:lineRule="auto"/>
        <w:contextualSpacing/>
        <w:jc w:val="both"/>
        <w:rPr>
          <w:rFonts w:ascii="Times New Roman" w:hAnsi="Times New Roman"/>
          <w:b/>
          <w:sz w:val="24"/>
          <w:szCs w:val="24"/>
        </w:rPr>
      </w:pPr>
    </w:p>
    <w:p w:rsidR="005614B5" w:rsidRDefault="005614B5" w:rsidP="005614B5">
      <w:pPr>
        <w:spacing w:line="360" w:lineRule="auto"/>
        <w:jc w:val="both"/>
        <w:rPr>
          <w:rFonts w:ascii="Times New Roman" w:hAnsi="Times New Roman" w:cs="Times New Roman"/>
          <w:sz w:val="24"/>
          <w:szCs w:val="24"/>
        </w:rPr>
      </w:pPr>
    </w:p>
    <w:p w:rsidR="002649B4" w:rsidRPr="002649B4" w:rsidRDefault="002649B4" w:rsidP="002649B4">
      <w:pPr>
        <w:pStyle w:val="Heading2"/>
        <w:spacing w:line="360" w:lineRule="auto"/>
        <w:jc w:val="both"/>
        <w:rPr>
          <w:rFonts w:asciiTheme="minorHAnsi" w:hAnsiTheme="minorHAnsi" w:cstheme="minorHAnsi"/>
          <w:color w:val="000000" w:themeColor="text1"/>
          <w:sz w:val="24"/>
          <w:szCs w:val="24"/>
        </w:rPr>
      </w:pPr>
      <w:r w:rsidRPr="002649B4">
        <w:rPr>
          <w:rStyle w:val="Strong"/>
          <w:rFonts w:asciiTheme="minorHAnsi" w:hAnsiTheme="minorHAnsi" w:cstheme="minorHAnsi"/>
          <w:b/>
          <w:bCs/>
          <w:color w:val="000000" w:themeColor="text1"/>
          <w:sz w:val="24"/>
          <w:szCs w:val="24"/>
        </w:rPr>
        <w:t>4.0 Discussion</w:t>
      </w:r>
    </w:p>
    <w:p w:rsidR="002649B4" w:rsidRPr="002649B4" w:rsidRDefault="002649B4" w:rsidP="002649B4">
      <w:pPr>
        <w:pStyle w:val="NormalWeb"/>
        <w:spacing w:line="360" w:lineRule="auto"/>
        <w:jc w:val="both"/>
        <w:rPr>
          <w:rFonts w:asciiTheme="minorHAnsi" w:hAnsiTheme="minorHAnsi" w:cstheme="minorHAnsi"/>
          <w:color w:val="000000" w:themeColor="text1"/>
        </w:rPr>
      </w:pPr>
      <w:r w:rsidRPr="002649B4">
        <w:rPr>
          <w:rFonts w:asciiTheme="minorHAnsi" w:hAnsiTheme="minorHAnsi" w:cstheme="minorHAnsi"/>
          <w:color w:val="000000" w:themeColor="text1"/>
        </w:rPr>
        <w:t xml:space="preserve">The present study highlights significant </w:t>
      </w:r>
      <w:r w:rsidRPr="002649B4">
        <w:rPr>
          <w:rStyle w:val="Strong"/>
          <w:rFonts w:asciiTheme="minorHAnsi" w:hAnsiTheme="minorHAnsi" w:cstheme="minorHAnsi"/>
          <w:b w:val="0"/>
          <w:color w:val="000000" w:themeColor="text1"/>
          <w:highlight w:val="yellow"/>
        </w:rPr>
        <w:t>hematological alterations</w:t>
      </w:r>
      <w:r w:rsidRPr="002649B4">
        <w:rPr>
          <w:rFonts w:asciiTheme="minorHAnsi" w:hAnsiTheme="minorHAnsi" w:cstheme="minorHAnsi"/>
          <w:color w:val="000000" w:themeColor="text1"/>
        </w:rPr>
        <w:t xml:space="preserve"> in patients with sickle cell disease (SCD) during the </w:t>
      </w:r>
      <w:r w:rsidRPr="002649B4">
        <w:rPr>
          <w:rStyle w:val="Strong"/>
          <w:rFonts w:asciiTheme="minorHAnsi" w:hAnsiTheme="minorHAnsi" w:cstheme="minorHAnsi"/>
          <w:b w:val="0"/>
          <w:color w:val="000000" w:themeColor="text1"/>
          <w:highlight w:val="yellow"/>
        </w:rPr>
        <w:t>steady state</w:t>
      </w:r>
      <w:r w:rsidRPr="002649B4">
        <w:rPr>
          <w:rFonts w:asciiTheme="minorHAnsi" w:hAnsiTheme="minorHAnsi" w:cstheme="minorHAnsi"/>
          <w:b/>
          <w:color w:val="000000" w:themeColor="text1"/>
          <w:highlight w:val="yellow"/>
        </w:rPr>
        <w:t>,</w:t>
      </w:r>
      <w:r w:rsidRPr="002649B4">
        <w:rPr>
          <w:rFonts w:asciiTheme="minorHAnsi" w:hAnsiTheme="minorHAnsi" w:cstheme="minorHAnsi"/>
          <w:color w:val="000000" w:themeColor="text1"/>
        </w:rPr>
        <w:t xml:space="preserve"> offering insights into the </w:t>
      </w:r>
      <w:r w:rsidRPr="00525A51">
        <w:rPr>
          <w:rStyle w:val="Strong"/>
          <w:rFonts w:asciiTheme="minorHAnsi" w:hAnsiTheme="minorHAnsi" w:cstheme="minorHAnsi"/>
          <w:b w:val="0"/>
          <w:color w:val="000000" w:themeColor="text1"/>
          <w:highlight w:val="yellow"/>
        </w:rPr>
        <w:t>persistent pathophysiological processes</w:t>
      </w:r>
      <w:r w:rsidRPr="002649B4">
        <w:rPr>
          <w:rFonts w:asciiTheme="minorHAnsi" w:hAnsiTheme="minorHAnsi" w:cstheme="minorHAnsi"/>
          <w:color w:val="000000" w:themeColor="text1"/>
        </w:rPr>
        <w:t xml:space="preserve"> even in the absence of overt clinical crises. These findings demonstrate the </w:t>
      </w:r>
      <w:r w:rsidRPr="00525A51">
        <w:rPr>
          <w:rStyle w:val="Strong"/>
          <w:rFonts w:asciiTheme="minorHAnsi" w:hAnsiTheme="minorHAnsi" w:cstheme="minorHAnsi"/>
          <w:b w:val="0"/>
          <w:color w:val="000000" w:themeColor="text1"/>
          <w:highlight w:val="yellow"/>
        </w:rPr>
        <w:t>ongoing hematological compromise</w:t>
      </w:r>
      <w:r w:rsidRPr="002649B4">
        <w:rPr>
          <w:rFonts w:asciiTheme="minorHAnsi" w:hAnsiTheme="minorHAnsi" w:cstheme="minorHAnsi"/>
          <w:color w:val="000000" w:themeColor="text1"/>
        </w:rPr>
        <w:t xml:space="preserve"> in SCD and the importance of routine surveillance for early detection of complications.</w:t>
      </w:r>
    </w:p>
    <w:p w:rsidR="002649B4" w:rsidRPr="00525A51" w:rsidRDefault="002649B4" w:rsidP="002649B4">
      <w:pPr>
        <w:pStyle w:val="NormalWeb"/>
        <w:spacing w:line="360" w:lineRule="auto"/>
        <w:jc w:val="both"/>
        <w:rPr>
          <w:rFonts w:asciiTheme="minorHAnsi" w:hAnsiTheme="minorHAnsi" w:cstheme="minorHAnsi"/>
          <w:b/>
          <w:color w:val="000000" w:themeColor="text1"/>
        </w:rPr>
      </w:pPr>
      <w:r w:rsidRPr="00525A51">
        <w:rPr>
          <w:rStyle w:val="Strong"/>
          <w:rFonts w:asciiTheme="minorHAnsi" w:hAnsiTheme="minorHAnsi" w:cstheme="minorHAnsi"/>
          <w:b w:val="0"/>
          <w:color w:val="000000" w:themeColor="text1"/>
          <w:highlight w:val="yellow"/>
        </w:rPr>
        <w:t>Importantly, as a cross-sectional study, the results indicate associations but do not establish causality.</w:t>
      </w:r>
    </w:p>
    <w:p w:rsidR="002649B4" w:rsidRPr="002649B4" w:rsidRDefault="002649B4" w:rsidP="002649B4">
      <w:pPr>
        <w:pStyle w:val="NormalWeb"/>
        <w:spacing w:line="360" w:lineRule="auto"/>
        <w:jc w:val="both"/>
        <w:rPr>
          <w:rFonts w:asciiTheme="minorHAnsi" w:hAnsiTheme="minorHAnsi" w:cstheme="minorHAnsi"/>
          <w:color w:val="000000" w:themeColor="text1"/>
        </w:rPr>
      </w:pPr>
      <w:r w:rsidRPr="002649B4">
        <w:rPr>
          <w:rFonts w:asciiTheme="minorHAnsi" w:hAnsiTheme="minorHAnsi" w:cstheme="minorHAnsi"/>
          <w:color w:val="000000" w:themeColor="text1"/>
        </w:rPr>
        <w:t xml:space="preserve">The </w:t>
      </w:r>
      <w:r w:rsidRPr="00525A51">
        <w:rPr>
          <w:rStyle w:val="Strong"/>
          <w:rFonts w:asciiTheme="minorHAnsi" w:hAnsiTheme="minorHAnsi" w:cstheme="minorHAnsi"/>
          <w:b w:val="0"/>
          <w:color w:val="000000" w:themeColor="text1"/>
          <w:highlight w:val="yellow"/>
        </w:rPr>
        <w:t>marked anemia</w:t>
      </w:r>
      <w:r w:rsidRPr="002649B4">
        <w:rPr>
          <w:rFonts w:asciiTheme="minorHAnsi" w:hAnsiTheme="minorHAnsi" w:cstheme="minorHAnsi"/>
          <w:color w:val="000000" w:themeColor="text1"/>
        </w:rPr>
        <w:t xml:space="preserve"> observed in SCD patients </w:t>
      </w:r>
      <w:r w:rsidRPr="00525A51">
        <w:rPr>
          <w:rFonts w:asciiTheme="minorHAnsi" w:hAnsiTheme="minorHAnsi" w:cstheme="minorHAnsi"/>
          <w:b/>
          <w:color w:val="000000" w:themeColor="text1"/>
          <w:highlight w:val="yellow"/>
        </w:rPr>
        <w:t>(</w:t>
      </w:r>
      <w:r w:rsidRPr="00525A51">
        <w:rPr>
          <w:rStyle w:val="Strong"/>
          <w:rFonts w:asciiTheme="minorHAnsi" w:hAnsiTheme="minorHAnsi" w:cstheme="minorHAnsi"/>
          <w:b w:val="0"/>
          <w:color w:val="000000" w:themeColor="text1"/>
          <w:highlight w:val="yellow"/>
        </w:rPr>
        <w:t>mean Hb: 7.75 ± 2.17 g/dL; PCV: 22.42 ± 5.74%</w:t>
      </w:r>
      <w:r w:rsidRPr="00525A51">
        <w:rPr>
          <w:rFonts w:asciiTheme="minorHAnsi" w:hAnsiTheme="minorHAnsi" w:cstheme="minorHAnsi"/>
          <w:b/>
          <w:color w:val="000000" w:themeColor="text1"/>
          <w:highlight w:val="yellow"/>
        </w:rPr>
        <w:t>)</w:t>
      </w:r>
      <w:r w:rsidRPr="002649B4">
        <w:rPr>
          <w:rFonts w:asciiTheme="minorHAnsi" w:hAnsiTheme="minorHAnsi" w:cstheme="minorHAnsi"/>
          <w:color w:val="000000" w:themeColor="text1"/>
        </w:rPr>
        <w:t xml:space="preserve"> aligns with the known pathophysiology of chronic </w:t>
      </w:r>
      <w:proofErr w:type="spellStart"/>
      <w:r w:rsidRPr="002649B4">
        <w:rPr>
          <w:rFonts w:asciiTheme="minorHAnsi" w:hAnsiTheme="minorHAnsi" w:cstheme="minorHAnsi"/>
          <w:color w:val="000000" w:themeColor="text1"/>
        </w:rPr>
        <w:t>hemolysis</w:t>
      </w:r>
      <w:proofErr w:type="spellEnd"/>
      <w:r w:rsidRPr="002649B4">
        <w:rPr>
          <w:rFonts w:asciiTheme="minorHAnsi" w:hAnsiTheme="minorHAnsi" w:cstheme="minorHAnsi"/>
          <w:color w:val="000000" w:themeColor="text1"/>
        </w:rPr>
        <w:t>, driven by polymerization of sickle hemoglobin and shortened red cell lifespan [8]. This anemia contributes to reduced oxygen-carrying capacity, increased cardiac workload, and impaired quality of life [9</w:t>
      </w:r>
      <w:proofErr w:type="gramStart"/>
      <w:r w:rsidRPr="002649B4">
        <w:rPr>
          <w:rFonts w:asciiTheme="minorHAnsi" w:hAnsiTheme="minorHAnsi" w:cstheme="minorHAnsi"/>
          <w:color w:val="000000" w:themeColor="text1"/>
        </w:rPr>
        <w:t>,10</w:t>
      </w:r>
      <w:proofErr w:type="gramEnd"/>
      <w:r w:rsidRPr="002649B4">
        <w:rPr>
          <w:rFonts w:asciiTheme="minorHAnsi" w:hAnsiTheme="minorHAnsi" w:cstheme="minorHAnsi"/>
          <w:color w:val="000000" w:themeColor="text1"/>
        </w:rPr>
        <w:t xml:space="preserve">]. The statistically significant lower hemoglobin and PCV values compared to controls </w:t>
      </w:r>
      <w:r w:rsidRPr="00525A51">
        <w:rPr>
          <w:rFonts w:asciiTheme="minorHAnsi" w:hAnsiTheme="minorHAnsi" w:cstheme="minorHAnsi"/>
          <w:b/>
          <w:color w:val="000000" w:themeColor="text1"/>
          <w:highlight w:val="yellow"/>
        </w:rPr>
        <w:t>(</w:t>
      </w:r>
      <w:r w:rsidRPr="00525A51">
        <w:rPr>
          <w:rStyle w:val="Strong"/>
          <w:rFonts w:asciiTheme="minorHAnsi" w:hAnsiTheme="minorHAnsi" w:cstheme="minorHAnsi"/>
          <w:b w:val="0"/>
          <w:color w:val="000000" w:themeColor="text1"/>
          <w:highlight w:val="yellow"/>
        </w:rPr>
        <w:t>p = 0.000</w:t>
      </w:r>
      <w:r w:rsidRPr="00525A51">
        <w:rPr>
          <w:rFonts w:asciiTheme="minorHAnsi" w:hAnsiTheme="minorHAnsi" w:cstheme="minorHAnsi"/>
          <w:b/>
          <w:color w:val="000000" w:themeColor="text1"/>
          <w:highlight w:val="yellow"/>
        </w:rPr>
        <w:t>)</w:t>
      </w:r>
      <w:r w:rsidRPr="002649B4">
        <w:rPr>
          <w:rFonts w:asciiTheme="minorHAnsi" w:hAnsiTheme="minorHAnsi" w:cstheme="minorHAnsi"/>
          <w:color w:val="000000" w:themeColor="text1"/>
        </w:rPr>
        <w:t xml:space="preserve"> support previous findings and underscore the </w:t>
      </w:r>
      <w:r w:rsidRPr="00525A51">
        <w:rPr>
          <w:rStyle w:val="Strong"/>
          <w:rFonts w:asciiTheme="minorHAnsi" w:hAnsiTheme="minorHAnsi" w:cstheme="minorHAnsi"/>
          <w:b w:val="0"/>
          <w:color w:val="000000" w:themeColor="text1"/>
          <w:highlight w:val="yellow"/>
        </w:rPr>
        <w:t>baseline hematological burden</w:t>
      </w:r>
      <w:r w:rsidRPr="002649B4">
        <w:rPr>
          <w:rFonts w:asciiTheme="minorHAnsi" w:hAnsiTheme="minorHAnsi" w:cstheme="minorHAnsi"/>
          <w:color w:val="000000" w:themeColor="text1"/>
        </w:rPr>
        <w:t xml:space="preserve"> experienced by SCD patients even in clinical stability [11].</w:t>
      </w:r>
    </w:p>
    <w:p w:rsidR="002649B4" w:rsidRPr="002649B4" w:rsidRDefault="002649B4" w:rsidP="002649B4">
      <w:pPr>
        <w:pStyle w:val="NormalWeb"/>
        <w:spacing w:line="360" w:lineRule="auto"/>
        <w:jc w:val="both"/>
        <w:rPr>
          <w:rFonts w:asciiTheme="minorHAnsi" w:hAnsiTheme="minorHAnsi" w:cstheme="minorHAnsi"/>
          <w:color w:val="000000" w:themeColor="text1"/>
        </w:rPr>
      </w:pPr>
      <w:r w:rsidRPr="002649B4">
        <w:rPr>
          <w:rFonts w:asciiTheme="minorHAnsi" w:hAnsiTheme="minorHAnsi" w:cstheme="minorHAnsi"/>
          <w:color w:val="000000" w:themeColor="text1"/>
        </w:rPr>
        <w:t xml:space="preserve">The study also demonstrated </w:t>
      </w:r>
      <w:r w:rsidRPr="00525A51">
        <w:rPr>
          <w:rStyle w:val="Strong"/>
          <w:rFonts w:asciiTheme="minorHAnsi" w:hAnsiTheme="minorHAnsi" w:cstheme="minorHAnsi"/>
          <w:b w:val="0"/>
          <w:color w:val="000000" w:themeColor="text1"/>
          <w:highlight w:val="yellow"/>
        </w:rPr>
        <w:t>significant leukocytosis</w:t>
      </w:r>
      <w:r w:rsidRPr="002649B4">
        <w:rPr>
          <w:rFonts w:asciiTheme="minorHAnsi" w:hAnsiTheme="minorHAnsi" w:cstheme="minorHAnsi"/>
          <w:color w:val="000000" w:themeColor="text1"/>
        </w:rPr>
        <w:t xml:space="preserve"> in steady-state patients (</w:t>
      </w:r>
      <w:r w:rsidRPr="00525A51">
        <w:rPr>
          <w:rStyle w:val="Strong"/>
          <w:rFonts w:asciiTheme="minorHAnsi" w:hAnsiTheme="minorHAnsi" w:cstheme="minorHAnsi"/>
          <w:b w:val="0"/>
          <w:color w:val="000000" w:themeColor="text1"/>
          <w:highlight w:val="yellow"/>
        </w:rPr>
        <w:t>mean WBC: 11.37 ± 6.57 ×10⁹/L</w:t>
      </w:r>
      <w:r w:rsidRPr="002649B4">
        <w:rPr>
          <w:rFonts w:asciiTheme="minorHAnsi" w:hAnsiTheme="minorHAnsi" w:cstheme="minorHAnsi"/>
          <w:color w:val="000000" w:themeColor="text1"/>
        </w:rPr>
        <w:t>) compared to controls (</w:t>
      </w:r>
      <w:r w:rsidRPr="00525A51">
        <w:rPr>
          <w:rStyle w:val="Strong"/>
          <w:rFonts w:asciiTheme="minorHAnsi" w:hAnsiTheme="minorHAnsi" w:cstheme="minorHAnsi"/>
          <w:b w:val="0"/>
          <w:color w:val="000000" w:themeColor="text1"/>
          <w:highlight w:val="yellow"/>
        </w:rPr>
        <w:t>5.64 ± 1.79 ×10⁹/L; p = 0.000</w:t>
      </w:r>
      <w:r w:rsidRPr="002649B4">
        <w:rPr>
          <w:rFonts w:asciiTheme="minorHAnsi" w:hAnsiTheme="minorHAnsi" w:cstheme="minorHAnsi"/>
          <w:color w:val="000000" w:themeColor="text1"/>
        </w:rPr>
        <w:t xml:space="preserve">). This elevation likely reflects </w:t>
      </w:r>
      <w:r w:rsidRPr="00525A51">
        <w:rPr>
          <w:rStyle w:val="Strong"/>
          <w:rFonts w:asciiTheme="minorHAnsi" w:hAnsiTheme="minorHAnsi" w:cstheme="minorHAnsi"/>
          <w:b w:val="0"/>
          <w:color w:val="000000" w:themeColor="text1"/>
          <w:highlight w:val="yellow"/>
        </w:rPr>
        <w:t>chronic inflammation, endothelial dysfunction, and subclinical vaso-occlusive activity</w:t>
      </w:r>
      <w:r w:rsidRPr="002649B4">
        <w:rPr>
          <w:rFonts w:asciiTheme="minorHAnsi" w:hAnsiTheme="minorHAnsi" w:cstheme="minorHAnsi"/>
          <w:color w:val="000000" w:themeColor="text1"/>
        </w:rPr>
        <w:t>, which have been reported as contributors to leukocyte activation and adhesion in SCD [12</w:t>
      </w:r>
      <w:proofErr w:type="gramStart"/>
      <w:r w:rsidRPr="002649B4">
        <w:rPr>
          <w:rFonts w:asciiTheme="minorHAnsi" w:hAnsiTheme="minorHAnsi" w:cstheme="minorHAnsi"/>
          <w:color w:val="000000" w:themeColor="text1"/>
        </w:rPr>
        <w:t>,13</w:t>
      </w:r>
      <w:proofErr w:type="gramEnd"/>
      <w:r w:rsidRPr="002649B4">
        <w:rPr>
          <w:rFonts w:asciiTheme="minorHAnsi" w:hAnsiTheme="minorHAnsi" w:cstheme="minorHAnsi"/>
          <w:color w:val="000000" w:themeColor="text1"/>
        </w:rPr>
        <w:t xml:space="preserve">]. The negative correlation between </w:t>
      </w:r>
      <w:r w:rsidRPr="00525A51">
        <w:rPr>
          <w:rStyle w:val="Strong"/>
          <w:rFonts w:asciiTheme="minorHAnsi" w:hAnsiTheme="minorHAnsi" w:cstheme="minorHAnsi"/>
          <w:b w:val="0"/>
          <w:color w:val="000000" w:themeColor="text1"/>
          <w:highlight w:val="yellow"/>
        </w:rPr>
        <w:t>WBC and both hemoglobin (r = -0.198, p = 0.029)</w:t>
      </w:r>
      <w:r w:rsidRPr="002649B4">
        <w:rPr>
          <w:rFonts w:asciiTheme="minorHAnsi" w:hAnsiTheme="minorHAnsi" w:cstheme="minorHAnsi"/>
          <w:color w:val="000000" w:themeColor="text1"/>
        </w:rPr>
        <w:t xml:space="preserve"> and </w:t>
      </w:r>
      <w:r w:rsidRPr="00525A51">
        <w:rPr>
          <w:rStyle w:val="Strong"/>
          <w:rFonts w:asciiTheme="minorHAnsi" w:hAnsiTheme="minorHAnsi" w:cstheme="minorHAnsi"/>
          <w:b w:val="0"/>
          <w:color w:val="000000" w:themeColor="text1"/>
          <w:highlight w:val="yellow"/>
        </w:rPr>
        <w:t>PCV (r = -0.209, p = 0.021)</w:t>
      </w:r>
      <w:r w:rsidRPr="002649B4">
        <w:rPr>
          <w:rFonts w:asciiTheme="minorHAnsi" w:hAnsiTheme="minorHAnsi" w:cstheme="minorHAnsi"/>
          <w:color w:val="000000" w:themeColor="text1"/>
        </w:rPr>
        <w:t xml:space="preserve"> further suggests that inflammation may contribute to anemia via impaired erythropoiesis or increased </w:t>
      </w:r>
      <w:proofErr w:type="spellStart"/>
      <w:r w:rsidRPr="002649B4">
        <w:rPr>
          <w:rFonts w:asciiTheme="minorHAnsi" w:hAnsiTheme="minorHAnsi" w:cstheme="minorHAnsi"/>
          <w:color w:val="000000" w:themeColor="text1"/>
        </w:rPr>
        <w:t>hemolysis</w:t>
      </w:r>
      <w:proofErr w:type="spellEnd"/>
      <w:r w:rsidRPr="002649B4">
        <w:rPr>
          <w:rFonts w:asciiTheme="minorHAnsi" w:hAnsiTheme="minorHAnsi" w:cstheme="minorHAnsi"/>
          <w:color w:val="000000" w:themeColor="text1"/>
        </w:rPr>
        <w:t xml:space="preserve"> [14].</w:t>
      </w:r>
    </w:p>
    <w:p w:rsidR="002649B4" w:rsidRPr="00525A51" w:rsidRDefault="002649B4" w:rsidP="002649B4">
      <w:pPr>
        <w:pStyle w:val="NormalWeb"/>
        <w:spacing w:line="360" w:lineRule="auto"/>
        <w:jc w:val="both"/>
        <w:rPr>
          <w:rFonts w:asciiTheme="minorHAnsi" w:hAnsiTheme="minorHAnsi" w:cstheme="minorHAnsi"/>
          <w:b/>
          <w:color w:val="000000" w:themeColor="text1"/>
        </w:rPr>
      </w:pPr>
      <w:r w:rsidRPr="002649B4">
        <w:rPr>
          <w:rFonts w:asciiTheme="minorHAnsi" w:hAnsiTheme="minorHAnsi" w:cstheme="minorHAnsi"/>
          <w:color w:val="000000" w:themeColor="text1"/>
        </w:rPr>
        <w:lastRenderedPageBreak/>
        <w:t xml:space="preserve">Increased </w:t>
      </w:r>
      <w:r w:rsidRPr="00525A51">
        <w:rPr>
          <w:rStyle w:val="Strong"/>
          <w:rFonts w:asciiTheme="minorHAnsi" w:hAnsiTheme="minorHAnsi" w:cstheme="minorHAnsi"/>
          <w:b w:val="0"/>
          <w:color w:val="000000" w:themeColor="text1"/>
          <w:highlight w:val="yellow"/>
        </w:rPr>
        <w:t>platelet counts</w:t>
      </w:r>
      <w:r w:rsidRPr="002649B4">
        <w:rPr>
          <w:rFonts w:asciiTheme="minorHAnsi" w:hAnsiTheme="minorHAnsi" w:cstheme="minorHAnsi"/>
          <w:color w:val="000000" w:themeColor="text1"/>
        </w:rPr>
        <w:t xml:space="preserve"> among SCD patients (</w:t>
      </w:r>
      <w:r w:rsidRPr="00525A51">
        <w:rPr>
          <w:rStyle w:val="Strong"/>
          <w:rFonts w:asciiTheme="minorHAnsi" w:hAnsiTheme="minorHAnsi" w:cstheme="minorHAnsi"/>
          <w:b w:val="0"/>
          <w:color w:val="000000" w:themeColor="text1"/>
          <w:highlight w:val="yellow"/>
        </w:rPr>
        <w:t>351.62 ± 153.96 ×10⁹/L</w:t>
      </w:r>
      <w:r w:rsidRPr="002649B4">
        <w:rPr>
          <w:rFonts w:asciiTheme="minorHAnsi" w:hAnsiTheme="minorHAnsi" w:cstheme="minorHAnsi"/>
          <w:color w:val="000000" w:themeColor="text1"/>
        </w:rPr>
        <w:t>) compared to controls (</w:t>
      </w:r>
      <w:r w:rsidRPr="00525A51">
        <w:rPr>
          <w:rStyle w:val="Strong"/>
          <w:rFonts w:asciiTheme="minorHAnsi" w:hAnsiTheme="minorHAnsi" w:cstheme="minorHAnsi"/>
          <w:b w:val="0"/>
          <w:color w:val="000000" w:themeColor="text1"/>
          <w:highlight w:val="yellow"/>
        </w:rPr>
        <w:t>233.04 ± 59.95 ×10⁹/L</w:t>
      </w:r>
      <w:r w:rsidRPr="002649B4">
        <w:rPr>
          <w:rFonts w:asciiTheme="minorHAnsi" w:hAnsiTheme="minorHAnsi" w:cstheme="minorHAnsi"/>
          <w:color w:val="000000" w:themeColor="text1"/>
        </w:rPr>
        <w:t xml:space="preserve">) was also observed (p = 0.000). Although platelet function was not assessed in this study, thrombocytosis may be related to </w:t>
      </w:r>
      <w:r w:rsidRPr="00525A51">
        <w:rPr>
          <w:rStyle w:val="Strong"/>
          <w:rFonts w:asciiTheme="minorHAnsi" w:hAnsiTheme="minorHAnsi" w:cstheme="minorHAnsi"/>
          <w:b w:val="0"/>
          <w:color w:val="000000" w:themeColor="text1"/>
          <w:highlight w:val="yellow"/>
        </w:rPr>
        <w:t>functional asplenia</w:t>
      </w:r>
      <w:r w:rsidRPr="002649B4">
        <w:rPr>
          <w:rFonts w:asciiTheme="minorHAnsi" w:hAnsiTheme="minorHAnsi" w:cstheme="minorHAnsi"/>
          <w:color w:val="000000" w:themeColor="text1"/>
        </w:rPr>
        <w:t xml:space="preserve">, commonly observed in SCD, and may suggest a </w:t>
      </w:r>
      <w:r w:rsidRPr="00525A51">
        <w:rPr>
          <w:rStyle w:val="Strong"/>
          <w:rFonts w:asciiTheme="minorHAnsi" w:hAnsiTheme="minorHAnsi" w:cstheme="minorHAnsi"/>
          <w:b w:val="0"/>
          <w:color w:val="000000" w:themeColor="text1"/>
          <w:highlight w:val="yellow"/>
        </w:rPr>
        <w:t>hypercoagulable milieu</w:t>
      </w:r>
      <w:r w:rsidRPr="002649B4">
        <w:rPr>
          <w:rFonts w:asciiTheme="minorHAnsi" w:hAnsiTheme="minorHAnsi" w:cstheme="minorHAnsi"/>
          <w:color w:val="000000" w:themeColor="text1"/>
        </w:rPr>
        <w:t xml:space="preserve"> [15]. However, since direct thrombotic outcomes were not evaluated, </w:t>
      </w:r>
      <w:r w:rsidRPr="00525A51">
        <w:rPr>
          <w:rStyle w:val="Strong"/>
          <w:rFonts w:asciiTheme="minorHAnsi" w:hAnsiTheme="minorHAnsi" w:cstheme="minorHAnsi"/>
          <w:b w:val="0"/>
          <w:color w:val="000000" w:themeColor="text1"/>
          <w:highlight w:val="yellow"/>
        </w:rPr>
        <w:t xml:space="preserve">claims regarding thrombotic risk were removed to avoid </w:t>
      </w:r>
      <w:proofErr w:type="spellStart"/>
      <w:r w:rsidRPr="00525A51">
        <w:rPr>
          <w:rStyle w:val="Strong"/>
          <w:rFonts w:asciiTheme="minorHAnsi" w:hAnsiTheme="minorHAnsi" w:cstheme="minorHAnsi"/>
          <w:b w:val="0"/>
          <w:color w:val="000000" w:themeColor="text1"/>
          <w:highlight w:val="yellow"/>
        </w:rPr>
        <w:t>overinterpretation</w:t>
      </w:r>
      <w:proofErr w:type="spellEnd"/>
      <w:r w:rsidRPr="00525A51">
        <w:rPr>
          <w:rFonts w:asciiTheme="minorHAnsi" w:hAnsiTheme="minorHAnsi" w:cstheme="minorHAnsi"/>
          <w:b/>
          <w:color w:val="000000" w:themeColor="text1"/>
          <w:highlight w:val="yellow"/>
        </w:rPr>
        <w:t>.</w:t>
      </w:r>
    </w:p>
    <w:p w:rsidR="002649B4" w:rsidRPr="002649B4" w:rsidRDefault="002649B4" w:rsidP="002649B4">
      <w:pPr>
        <w:pStyle w:val="NormalWeb"/>
        <w:spacing w:line="360" w:lineRule="auto"/>
        <w:jc w:val="both"/>
        <w:rPr>
          <w:rFonts w:asciiTheme="minorHAnsi" w:hAnsiTheme="minorHAnsi" w:cstheme="minorHAnsi"/>
          <w:color w:val="000000" w:themeColor="text1"/>
        </w:rPr>
      </w:pPr>
      <w:r w:rsidRPr="002649B4">
        <w:rPr>
          <w:rFonts w:asciiTheme="minorHAnsi" w:hAnsiTheme="minorHAnsi" w:cstheme="minorHAnsi"/>
          <w:color w:val="000000" w:themeColor="text1"/>
        </w:rPr>
        <w:t xml:space="preserve">An interesting sex-based observation was the </w:t>
      </w:r>
      <w:r w:rsidRPr="00525A51">
        <w:rPr>
          <w:rStyle w:val="Strong"/>
          <w:rFonts w:asciiTheme="minorHAnsi" w:hAnsiTheme="minorHAnsi" w:cstheme="minorHAnsi"/>
          <w:b w:val="0"/>
          <w:color w:val="000000" w:themeColor="text1"/>
          <w:highlight w:val="yellow"/>
        </w:rPr>
        <w:t xml:space="preserve">significantly higher </w:t>
      </w:r>
      <w:proofErr w:type="spellStart"/>
      <w:r w:rsidRPr="00525A51">
        <w:rPr>
          <w:rStyle w:val="Strong"/>
          <w:rFonts w:asciiTheme="minorHAnsi" w:hAnsiTheme="minorHAnsi" w:cstheme="minorHAnsi"/>
          <w:b w:val="0"/>
          <w:color w:val="000000" w:themeColor="text1"/>
          <w:highlight w:val="yellow"/>
        </w:rPr>
        <w:t>eosinophil</w:t>
      </w:r>
      <w:proofErr w:type="spellEnd"/>
      <w:r w:rsidRPr="00525A51">
        <w:rPr>
          <w:rStyle w:val="Strong"/>
          <w:rFonts w:asciiTheme="minorHAnsi" w:hAnsiTheme="minorHAnsi" w:cstheme="minorHAnsi"/>
          <w:b w:val="0"/>
          <w:color w:val="000000" w:themeColor="text1"/>
          <w:highlight w:val="yellow"/>
        </w:rPr>
        <w:t xml:space="preserve"> count in males</w:t>
      </w:r>
      <w:r w:rsidRPr="002649B4">
        <w:rPr>
          <w:rFonts w:asciiTheme="minorHAnsi" w:hAnsiTheme="minorHAnsi" w:cstheme="minorHAnsi"/>
          <w:color w:val="000000" w:themeColor="text1"/>
        </w:rPr>
        <w:t xml:space="preserve"> than females (</w:t>
      </w:r>
      <w:r w:rsidRPr="00525A51">
        <w:rPr>
          <w:rStyle w:val="Strong"/>
          <w:rFonts w:asciiTheme="minorHAnsi" w:hAnsiTheme="minorHAnsi" w:cstheme="minorHAnsi"/>
          <w:b w:val="0"/>
          <w:color w:val="000000" w:themeColor="text1"/>
          <w:highlight w:val="yellow"/>
        </w:rPr>
        <w:t>2.98 ± 2.88 vs. 1.84 ± 1.40; p = 0.007</w:t>
      </w:r>
      <w:r w:rsidRPr="00525A51">
        <w:rPr>
          <w:rFonts w:asciiTheme="minorHAnsi" w:hAnsiTheme="minorHAnsi" w:cstheme="minorHAnsi"/>
          <w:b/>
          <w:color w:val="000000" w:themeColor="text1"/>
          <w:highlight w:val="yellow"/>
        </w:rPr>
        <w:t>)</w:t>
      </w:r>
      <w:r w:rsidRPr="002649B4">
        <w:rPr>
          <w:rFonts w:asciiTheme="minorHAnsi" w:hAnsiTheme="minorHAnsi" w:cstheme="minorHAnsi"/>
          <w:color w:val="000000" w:themeColor="text1"/>
        </w:rPr>
        <w:t xml:space="preserve">. Although the clinical implications remain unclear, it may reflect </w:t>
      </w:r>
      <w:r w:rsidRPr="00525A51">
        <w:rPr>
          <w:rStyle w:val="Strong"/>
          <w:rFonts w:asciiTheme="minorHAnsi" w:hAnsiTheme="minorHAnsi" w:cstheme="minorHAnsi"/>
          <w:b w:val="0"/>
          <w:color w:val="000000" w:themeColor="text1"/>
          <w:highlight w:val="yellow"/>
        </w:rPr>
        <w:t>sex-specific immune modulation</w:t>
      </w:r>
      <w:r w:rsidRPr="002649B4">
        <w:rPr>
          <w:rFonts w:asciiTheme="minorHAnsi" w:hAnsiTheme="minorHAnsi" w:cstheme="minorHAnsi"/>
          <w:color w:val="000000" w:themeColor="text1"/>
        </w:rPr>
        <w:t xml:space="preserve">, hormonal influences on </w:t>
      </w:r>
      <w:proofErr w:type="spellStart"/>
      <w:r w:rsidRPr="002649B4">
        <w:rPr>
          <w:rFonts w:asciiTheme="minorHAnsi" w:hAnsiTheme="minorHAnsi" w:cstheme="minorHAnsi"/>
          <w:color w:val="000000" w:themeColor="text1"/>
        </w:rPr>
        <w:t>eosinophil</w:t>
      </w:r>
      <w:proofErr w:type="spellEnd"/>
      <w:r w:rsidRPr="002649B4">
        <w:rPr>
          <w:rFonts w:asciiTheme="minorHAnsi" w:hAnsiTheme="minorHAnsi" w:cstheme="minorHAnsi"/>
          <w:color w:val="000000" w:themeColor="text1"/>
        </w:rPr>
        <w:t xml:space="preserve"> production, or differences in environmental allergen exposure. </w:t>
      </w:r>
      <w:r w:rsidR="00C45A4A">
        <w:rPr>
          <w:rFonts w:asciiTheme="minorHAnsi" w:hAnsiTheme="minorHAnsi" w:cstheme="minorHAnsi"/>
          <w:color w:val="000000" w:themeColor="text1"/>
        </w:rPr>
        <w:t>Previous research</w:t>
      </w:r>
      <w:r w:rsidRPr="002649B4">
        <w:rPr>
          <w:rFonts w:asciiTheme="minorHAnsi" w:hAnsiTheme="minorHAnsi" w:cstheme="minorHAnsi"/>
          <w:color w:val="000000" w:themeColor="text1"/>
        </w:rPr>
        <w:t xml:space="preserve"> reported similar findings, suggesting potential </w:t>
      </w:r>
      <w:r w:rsidRPr="00525A51">
        <w:rPr>
          <w:rStyle w:val="Strong"/>
          <w:rFonts w:asciiTheme="minorHAnsi" w:hAnsiTheme="minorHAnsi" w:cstheme="minorHAnsi"/>
          <w:b w:val="0"/>
          <w:color w:val="000000" w:themeColor="text1"/>
          <w:highlight w:val="yellow"/>
        </w:rPr>
        <w:t>sex-linked regulatory pathways</w:t>
      </w:r>
      <w:r w:rsidRPr="002649B4">
        <w:rPr>
          <w:rFonts w:asciiTheme="minorHAnsi" w:hAnsiTheme="minorHAnsi" w:cstheme="minorHAnsi"/>
          <w:color w:val="000000" w:themeColor="text1"/>
        </w:rPr>
        <w:t xml:space="preserve"> affecting </w:t>
      </w:r>
      <w:proofErr w:type="spellStart"/>
      <w:r w:rsidRPr="002649B4">
        <w:rPr>
          <w:rFonts w:asciiTheme="minorHAnsi" w:hAnsiTheme="minorHAnsi" w:cstheme="minorHAnsi"/>
          <w:color w:val="000000" w:themeColor="text1"/>
        </w:rPr>
        <w:t>hematopoiesis</w:t>
      </w:r>
      <w:proofErr w:type="spellEnd"/>
      <w:r w:rsidRPr="002649B4">
        <w:rPr>
          <w:rFonts w:asciiTheme="minorHAnsi" w:hAnsiTheme="minorHAnsi" w:cstheme="minorHAnsi"/>
          <w:color w:val="000000" w:themeColor="text1"/>
        </w:rPr>
        <w:t xml:space="preserve"> in SCD. More studies are needed to understand the biological relevance of this difference</w:t>
      </w:r>
      <w:r w:rsidR="00C45A4A">
        <w:rPr>
          <w:rFonts w:asciiTheme="minorHAnsi" w:hAnsiTheme="minorHAnsi" w:cstheme="minorHAnsi"/>
          <w:color w:val="000000" w:themeColor="text1"/>
        </w:rPr>
        <w:t xml:space="preserve"> [14]</w:t>
      </w:r>
      <w:r w:rsidRPr="002649B4">
        <w:rPr>
          <w:rFonts w:asciiTheme="minorHAnsi" w:hAnsiTheme="minorHAnsi" w:cstheme="minorHAnsi"/>
          <w:color w:val="000000" w:themeColor="text1"/>
        </w:rPr>
        <w:t>.</w:t>
      </w:r>
    </w:p>
    <w:p w:rsidR="002649B4" w:rsidRPr="002649B4" w:rsidRDefault="002649B4" w:rsidP="002649B4">
      <w:pPr>
        <w:pStyle w:val="NormalWeb"/>
        <w:spacing w:line="360" w:lineRule="auto"/>
        <w:jc w:val="both"/>
        <w:rPr>
          <w:rFonts w:asciiTheme="minorHAnsi" w:hAnsiTheme="minorHAnsi" w:cstheme="minorHAnsi"/>
          <w:color w:val="000000" w:themeColor="text1"/>
        </w:rPr>
      </w:pPr>
      <w:r w:rsidRPr="002649B4">
        <w:rPr>
          <w:rFonts w:asciiTheme="minorHAnsi" w:hAnsiTheme="minorHAnsi" w:cstheme="minorHAnsi"/>
          <w:color w:val="000000" w:themeColor="text1"/>
        </w:rPr>
        <w:t xml:space="preserve">The </w:t>
      </w:r>
      <w:r w:rsidRPr="00525A51">
        <w:rPr>
          <w:rStyle w:val="Strong"/>
          <w:rFonts w:asciiTheme="minorHAnsi" w:hAnsiTheme="minorHAnsi" w:cstheme="minorHAnsi"/>
          <w:b w:val="0"/>
          <w:color w:val="000000" w:themeColor="text1"/>
          <w:highlight w:val="yellow"/>
        </w:rPr>
        <w:t>lack of significant differences</w:t>
      </w:r>
      <w:r w:rsidRPr="002649B4">
        <w:rPr>
          <w:rFonts w:asciiTheme="minorHAnsi" w:hAnsiTheme="minorHAnsi" w:cstheme="minorHAnsi"/>
          <w:color w:val="000000" w:themeColor="text1"/>
        </w:rPr>
        <w:t xml:space="preserve"> in other differential white cell counts (neutrophils, lymphocytes, monocytes, and </w:t>
      </w:r>
      <w:proofErr w:type="spellStart"/>
      <w:r w:rsidRPr="002649B4">
        <w:rPr>
          <w:rFonts w:asciiTheme="minorHAnsi" w:hAnsiTheme="minorHAnsi" w:cstheme="minorHAnsi"/>
          <w:color w:val="000000" w:themeColor="text1"/>
        </w:rPr>
        <w:t>basophils</w:t>
      </w:r>
      <w:proofErr w:type="spellEnd"/>
      <w:r w:rsidRPr="002649B4">
        <w:rPr>
          <w:rFonts w:asciiTheme="minorHAnsi" w:hAnsiTheme="minorHAnsi" w:cstheme="minorHAnsi"/>
          <w:color w:val="000000" w:themeColor="text1"/>
        </w:rPr>
        <w:t>) between SCD patients and controls suggests that leukocytosis in steady state is generalized rather than due to a specific leukocyte subtype expansion [15].</w:t>
      </w:r>
    </w:p>
    <w:p w:rsidR="002649B4" w:rsidRPr="002649B4" w:rsidRDefault="002649B4" w:rsidP="002649B4">
      <w:pPr>
        <w:pStyle w:val="NormalWeb"/>
        <w:spacing w:line="360" w:lineRule="auto"/>
        <w:jc w:val="both"/>
        <w:rPr>
          <w:rFonts w:asciiTheme="minorHAnsi" w:hAnsiTheme="minorHAnsi" w:cstheme="minorHAnsi"/>
          <w:color w:val="000000" w:themeColor="text1"/>
        </w:rPr>
      </w:pPr>
      <w:r w:rsidRPr="002649B4">
        <w:rPr>
          <w:rFonts w:asciiTheme="minorHAnsi" w:hAnsiTheme="minorHAnsi" w:cstheme="minorHAnsi"/>
          <w:color w:val="000000" w:themeColor="text1"/>
        </w:rPr>
        <w:t xml:space="preserve">These hematological profiles have </w:t>
      </w:r>
      <w:r w:rsidRPr="00525A51">
        <w:rPr>
          <w:rStyle w:val="Strong"/>
          <w:rFonts w:asciiTheme="minorHAnsi" w:hAnsiTheme="minorHAnsi" w:cstheme="minorHAnsi"/>
          <w:b w:val="0"/>
          <w:color w:val="000000" w:themeColor="text1"/>
          <w:highlight w:val="yellow"/>
        </w:rPr>
        <w:t>clinical value</w:t>
      </w:r>
      <w:r w:rsidRPr="002649B4">
        <w:rPr>
          <w:rFonts w:asciiTheme="minorHAnsi" w:hAnsiTheme="minorHAnsi" w:cstheme="minorHAnsi"/>
          <w:color w:val="000000" w:themeColor="text1"/>
        </w:rPr>
        <w:t xml:space="preserve"> in the longitudinal management of SCD. The positive correlation between hemoglobin and PCV (</w:t>
      </w:r>
      <w:r w:rsidRPr="00525A51">
        <w:rPr>
          <w:rStyle w:val="Strong"/>
          <w:rFonts w:asciiTheme="minorHAnsi" w:hAnsiTheme="minorHAnsi" w:cstheme="minorHAnsi"/>
          <w:b w:val="0"/>
          <w:color w:val="000000" w:themeColor="text1"/>
          <w:highlight w:val="yellow"/>
        </w:rPr>
        <w:t>r = 0.847, p = 0.000</w:t>
      </w:r>
      <w:r w:rsidRPr="002649B4">
        <w:rPr>
          <w:rFonts w:asciiTheme="minorHAnsi" w:hAnsiTheme="minorHAnsi" w:cstheme="minorHAnsi"/>
          <w:color w:val="000000" w:themeColor="text1"/>
        </w:rPr>
        <w:t xml:space="preserve">) validates the reliability of these markers in monitoring disease burden. Although the steady state is often considered "stable," our findings support the view that </w:t>
      </w:r>
      <w:r w:rsidRPr="00525A51">
        <w:rPr>
          <w:rStyle w:val="Strong"/>
          <w:rFonts w:asciiTheme="minorHAnsi" w:hAnsiTheme="minorHAnsi" w:cstheme="minorHAnsi"/>
          <w:b w:val="0"/>
          <w:color w:val="000000" w:themeColor="text1"/>
          <w:highlight w:val="yellow"/>
        </w:rPr>
        <w:t>hematological abnormalities persist</w:t>
      </w:r>
      <w:r w:rsidRPr="002649B4">
        <w:rPr>
          <w:rFonts w:asciiTheme="minorHAnsi" w:hAnsiTheme="minorHAnsi" w:cstheme="minorHAnsi"/>
          <w:color w:val="000000" w:themeColor="text1"/>
        </w:rPr>
        <w:t>, which may predispose patients to future complications if undetected [16</w:t>
      </w:r>
      <w:proofErr w:type="gramStart"/>
      <w:r w:rsidRPr="002649B4">
        <w:rPr>
          <w:rFonts w:asciiTheme="minorHAnsi" w:hAnsiTheme="minorHAnsi" w:cstheme="minorHAnsi"/>
          <w:color w:val="000000" w:themeColor="text1"/>
        </w:rPr>
        <w:t>,17</w:t>
      </w:r>
      <w:proofErr w:type="gramEnd"/>
      <w:r w:rsidRPr="002649B4">
        <w:rPr>
          <w:rFonts w:asciiTheme="minorHAnsi" w:hAnsiTheme="minorHAnsi" w:cstheme="minorHAnsi"/>
          <w:color w:val="000000" w:themeColor="text1"/>
        </w:rPr>
        <w:t>].</w:t>
      </w:r>
    </w:p>
    <w:p w:rsidR="002649B4" w:rsidRPr="002649B4" w:rsidRDefault="002649B4" w:rsidP="002649B4">
      <w:pPr>
        <w:pStyle w:val="NormalWeb"/>
        <w:spacing w:line="360" w:lineRule="auto"/>
        <w:jc w:val="both"/>
        <w:rPr>
          <w:rFonts w:asciiTheme="minorHAnsi" w:hAnsiTheme="minorHAnsi" w:cstheme="minorHAnsi"/>
          <w:color w:val="000000" w:themeColor="text1"/>
        </w:rPr>
      </w:pPr>
      <w:r w:rsidRPr="00525A51">
        <w:rPr>
          <w:rStyle w:val="Strong"/>
          <w:rFonts w:asciiTheme="minorHAnsi" w:hAnsiTheme="minorHAnsi" w:cstheme="minorHAnsi"/>
          <w:b w:val="0"/>
          <w:color w:val="000000" w:themeColor="text1"/>
          <w:highlight w:val="yellow"/>
        </w:rPr>
        <w:t>This reinforces the need for proactive monitoring</w:t>
      </w:r>
      <w:r w:rsidRPr="002649B4">
        <w:rPr>
          <w:rFonts w:asciiTheme="minorHAnsi" w:hAnsiTheme="minorHAnsi" w:cstheme="minorHAnsi"/>
          <w:color w:val="000000" w:themeColor="text1"/>
        </w:rPr>
        <w:t xml:space="preserve"> and personalized care even outside of crisis periods. Future interventional studies could explore whether modulating inflammation or platelet activity during the steady state could </w:t>
      </w:r>
      <w:r w:rsidRPr="00525A51">
        <w:rPr>
          <w:rStyle w:val="Strong"/>
          <w:rFonts w:asciiTheme="minorHAnsi" w:hAnsiTheme="minorHAnsi" w:cstheme="minorHAnsi"/>
          <w:b w:val="0"/>
          <w:color w:val="000000" w:themeColor="text1"/>
          <w:highlight w:val="yellow"/>
        </w:rPr>
        <w:t>favorably influence disease trajectory</w:t>
      </w:r>
      <w:r w:rsidRPr="002649B4">
        <w:rPr>
          <w:rFonts w:asciiTheme="minorHAnsi" w:hAnsiTheme="minorHAnsi" w:cstheme="minorHAnsi"/>
          <w:color w:val="000000" w:themeColor="text1"/>
        </w:rPr>
        <w:t xml:space="preserve"> [18].</w:t>
      </w:r>
    </w:p>
    <w:p w:rsidR="002649B4" w:rsidRPr="002649B4" w:rsidRDefault="002649B4" w:rsidP="002649B4">
      <w:pPr>
        <w:pStyle w:val="NormalWeb"/>
        <w:spacing w:line="360" w:lineRule="auto"/>
        <w:jc w:val="both"/>
        <w:rPr>
          <w:rFonts w:asciiTheme="minorHAnsi" w:hAnsiTheme="minorHAnsi" w:cstheme="minorHAnsi"/>
          <w:color w:val="000000" w:themeColor="text1"/>
        </w:rPr>
      </w:pPr>
      <w:r w:rsidRPr="00525A51">
        <w:rPr>
          <w:rStyle w:val="Strong"/>
          <w:rFonts w:asciiTheme="minorHAnsi" w:hAnsiTheme="minorHAnsi" w:cstheme="minorHAnsi"/>
          <w:b w:val="0"/>
          <w:color w:val="000000" w:themeColor="text1"/>
          <w:highlight w:val="yellow"/>
        </w:rPr>
        <w:lastRenderedPageBreak/>
        <w:t>However, the cross-sectional nature of this study limits temporal interpretation, and prospective longitudinal designs are needed to better assess causality and prognostic implications</w:t>
      </w:r>
      <w:r w:rsidRPr="002649B4">
        <w:rPr>
          <w:rFonts w:asciiTheme="minorHAnsi" w:hAnsiTheme="minorHAnsi" w:cstheme="minorHAnsi"/>
          <w:color w:val="000000" w:themeColor="text1"/>
        </w:rPr>
        <w:t xml:space="preserve"> [19].</w:t>
      </w:r>
    </w:p>
    <w:p w:rsidR="002649B4" w:rsidRDefault="002649B4" w:rsidP="005614B5">
      <w:pPr>
        <w:spacing w:before="100" w:beforeAutospacing="1" w:after="100" w:afterAutospacing="1" w:line="360" w:lineRule="auto"/>
        <w:jc w:val="both"/>
        <w:outlineLvl w:val="2"/>
        <w:rPr>
          <w:rFonts w:eastAsia="Times New Roman" w:cstheme="minorHAnsi"/>
          <w:b/>
          <w:bCs/>
          <w:sz w:val="24"/>
          <w:szCs w:val="24"/>
        </w:rPr>
      </w:pPr>
    </w:p>
    <w:p w:rsidR="002649B4" w:rsidRDefault="002649B4" w:rsidP="005614B5">
      <w:pPr>
        <w:spacing w:before="100" w:beforeAutospacing="1" w:after="100" w:afterAutospacing="1" w:line="360" w:lineRule="auto"/>
        <w:jc w:val="both"/>
        <w:outlineLvl w:val="2"/>
        <w:rPr>
          <w:rFonts w:eastAsia="Times New Roman" w:cstheme="minorHAnsi"/>
          <w:b/>
          <w:bCs/>
          <w:sz w:val="24"/>
          <w:szCs w:val="24"/>
        </w:rPr>
      </w:pPr>
    </w:p>
    <w:p w:rsidR="002649B4" w:rsidRDefault="002649B4" w:rsidP="005614B5">
      <w:pPr>
        <w:spacing w:before="100" w:beforeAutospacing="1" w:after="100" w:afterAutospacing="1" w:line="360" w:lineRule="auto"/>
        <w:jc w:val="both"/>
        <w:outlineLvl w:val="2"/>
        <w:rPr>
          <w:rFonts w:eastAsia="Times New Roman" w:cstheme="minorHAnsi"/>
          <w:b/>
          <w:bCs/>
          <w:sz w:val="24"/>
          <w:szCs w:val="24"/>
        </w:rPr>
      </w:pPr>
    </w:p>
    <w:p w:rsidR="005D7658" w:rsidRDefault="005D7658" w:rsidP="005614B5">
      <w:pPr>
        <w:spacing w:before="100" w:beforeAutospacing="1" w:after="100" w:afterAutospacing="1" w:line="360" w:lineRule="auto"/>
        <w:jc w:val="both"/>
        <w:outlineLvl w:val="2"/>
        <w:rPr>
          <w:rFonts w:eastAsia="Times New Roman" w:cstheme="minorHAnsi"/>
          <w:b/>
          <w:bCs/>
          <w:sz w:val="24"/>
          <w:szCs w:val="24"/>
        </w:rPr>
      </w:pPr>
    </w:p>
    <w:p w:rsidR="005D7658" w:rsidRDefault="005D7658" w:rsidP="005614B5">
      <w:pPr>
        <w:spacing w:before="100" w:beforeAutospacing="1" w:after="100" w:afterAutospacing="1" w:line="360" w:lineRule="auto"/>
        <w:jc w:val="both"/>
        <w:outlineLvl w:val="2"/>
        <w:rPr>
          <w:rFonts w:eastAsia="Times New Roman" w:cstheme="minorHAnsi"/>
          <w:b/>
          <w:bCs/>
          <w:sz w:val="24"/>
          <w:szCs w:val="24"/>
        </w:rPr>
      </w:pPr>
    </w:p>
    <w:p w:rsidR="005D7658" w:rsidRDefault="005D7658" w:rsidP="005614B5">
      <w:pPr>
        <w:spacing w:before="100" w:beforeAutospacing="1" w:after="100" w:afterAutospacing="1" w:line="360" w:lineRule="auto"/>
        <w:jc w:val="both"/>
        <w:outlineLvl w:val="2"/>
        <w:rPr>
          <w:rFonts w:eastAsia="Times New Roman" w:cstheme="minorHAnsi"/>
          <w:b/>
          <w:bCs/>
          <w:sz w:val="24"/>
          <w:szCs w:val="24"/>
        </w:rPr>
      </w:pPr>
    </w:p>
    <w:p w:rsidR="005D7658" w:rsidRDefault="005D7658" w:rsidP="005614B5">
      <w:pPr>
        <w:spacing w:before="100" w:beforeAutospacing="1" w:after="100" w:afterAutospacing="1" w:line="360" w:lineRule="auto"/>
        <w:jc w:val="both"/>
        <w:outlineLvl w:val="2"/>
        <w:rPr>
          <w:rFonts w:eastAsia="Times New Roman" w:cstheme="minorHAnsi"/>
          <w:b/>
          <w:bCs/>
          <w:sz w:val="24"/>
          <w:szCs w:val="24"/>
        </w:rPr>
      </w:pPr>
    </w:p>
    <w:p w:rsidR="005D7658" w:rsidRDefault="005D7658" w:rsidP="005614B5">
      <w:pPr>
        <w:spacing w:before="100" w:beforeAutospacing="1" w:after="100" w:afterAutospacing="1" w:line="360" w:lineRule="auto"/>
        <w:jc w:val="both"/>
        <w:outlineLvl w:val="2"/>
        <w:rPr>
          <w:rFonts w:eastAsia="Times New Roman" w:cstheme="minorHAnsi"/>
          <w:b/>
          <w:bCs/>
          <w:sz w:val="24"/>
          <w:szCs w:val="24"/>
        </w:rPr>
      </w:pPr>
    </w:p>
    <w:p w:rsidR="005D7658" w:rsidRDefault="005D7658" w:rsidP="005614B5">
      <w:pPr>
        <w:spacing w:before="100" w:beforeAutospacing="1" w:after="100" w:afterAutospacing="1" w:line="360" w:lineRule="auto"/>
        <w:jc w:val="both"/>
        <w:outlineLvl w:val="2"/>
        <w:rPr>
          <w:rFonts w:eastAsia="Times New Roman" w:cstheme="minorHAnsi"/>
          <w:b/>
          <w:bCs/>
          <w:sz w:val="24"/>
          <w:szCs w:val="24"/>
        </w:rPr>
      </w:pPr>
    </w:p>
    <w:p w:rsidR="005D7658" w:rsidRDefault="005D7658" w:rsidP="005614B5">
      <w:pPr>
        <w:spacing w:before="100" w:beforeAutospacing="1" w:after="100" w:afterAutospacing="1" w:line="360" w:lineRule="auto"/>
        <w:jc w:val="both"/>
        <w:outlineLvl w:val="2"/>
        <w:rPr>
          <w:rFonts w:eastAsia="Times New Roman" w:cstheme="minorHAnsi"/>
          <w:b/>
          <w:bCs/>
          <w:sz w:val="24"/>
          <w:szCs w:val="24"/>
        </w:rPr>
      </w:pPr>
    </w:p>
    <w:p w:rsidR="005D7658" w:rsidRDefault="005D7658" w:rsidP="005614B5">
      <w:pPr>
        <w:spacing w:before="100" w:beforeAutospacing="1" w:after="100" w:afterAutospacing="1" w:line="360" w:lineRule="auto"/>
        <w:jc w:val="both"/>
        <w:outlineLvl w:val="2"/>
        <w:rPr>
          <w:rFonts w:eastAsia="Times New Roman" w:cstheme="minorHAnsi"/>
          <w:b/>
          <w:bCs/>
          <w:sz w:val="24"/>
          <w:szCs w:val="24"/>
        </w:rPr>
      </w:pPr>
    </w:p>
    <w:p w:rsidR="005D7658" w:rsidRPr="005D7658" w:rsidRDefault="005D7658" w:rsidP="005D7658">
      <w:pPr>
        <w:pStyle w:val="Heading2"/>
        <w:spacing w:line="360" w:lineRule="auto"/>
        <w:jc w:val="both"/>
        <w:rPr>
          <w:rFonts w:asciiTheme="minorHAnsi" w:hAnsiTheme="minorHAnsi" w:cstheme="minorHAnsi"/>
          <w:color w:val="000000" w:themeColor="text1"/>
        </w:rPr>
      </w:pPr>
      <w:r w:rsidRPr="005D7658">
        <w:rPr>
          <w:rStyle w:val="Strong"/>
          <w:rFonts w:asciiTheme="minorHAnsi" w:hAnsiTheme="minorHAnsi" w:cstheme="minorHAnsi"/>
          <w:b/>
          <w:bCs/>
          <w:color w:val="000000" w:themeColor="text1"/>
        </w:rPr>
        <w:lastRenderedPageBreak/>
        <w:t>5.0 Conclusion</w:t>
      </w:r>
    </w:p>
    <w:p w:rsidR="005D7658" w:rsidRPr="005D7658" w:rsidRDefault="005D7658" w:rsidP="005D7658">
      <w:pPr>
        <w:pStyle w:val="NormalWeb"/>
        <w:spacing w:line="360" w:lineRule="auto"/>
        <w:jc w:val="both"/>
        <w:rPr>
          <w:rFonts w:asciiTheme="minorHAnsi" w:hAnsiTheme="minorHAnsi" w:cstheme="minorHAnsi"/>
          <w:color w:val="000000" w:themeColor="text1"/>
        </w:rPr>
      </w:pPr>
      <w:r w:rsidRPr="005D7658">
        <w:rPr>
          <w:rFonts w:asciiTheme="minorHAnsi" w:hAnsiTheme="minorHAnsi" w:cstheme="minorHAnsi"/>
          <w:color w:val="000000" w:themeColor="text1"/>
        </w:rPr>
        <w:t xml:space="preserve">This study reveals that individuals with </w:t>
      </w:r>
      <w:r w:rsidRPr="005D7658">
        <w:rPr>
          <w:rStyle w:val="Strong"/>
          <w:rFonts w:asciiTheme="minorHAnsi" w:hAnsiTheme="minorHAnsi" w:cstheme="minorHAnsi"/>
          <w:b w:val="0"/>
          <w:color w:val="000000" w:themeColor="text1"/>
          <w:highlight w:val="yellow"/>
        </w:rPr>
        <w:t>sickle cell disease (SCD) in steady state</w:t>
      </w:r>
      <w:r w:rsidRPr="005D7658">
        <w:rPr>
          <w:rFonts w:asciiTheme="minorHAnsi" w:hAnsiTheme="minorHAnsi" w:cstheme="minorHAnsi"/>
          <w:color w:val="000000" w:themeColor="text1"/>
        </w:rPr>
        <w:t xml:space="preserve"> experience </w:t>
      </w:r>
      <w:r w:rsidRPr="005D7658">
        <w:rPr>
          <w:rStyle w:val="Strong"/>
          <w:rFonts w:asciiTheme="minorHAnsi" w:hAnsiTheme="minorHAnsi" w:cstheme="minorHAnsi"/>
          <w:b w:val="0"/>
          <w:color w:val="000000" w:themeColor="text1"/>
          <w:highlight w:val="yellow"/>
        </w:rPr>
        <w:t>significant hematological alterations</w:t>
      </w:r>
      <w:r w:rsidRPr="005D7658">
        <w:rPr>
          <w:rFonts w:asciiTheme="minorHAnsi" w:hAnsiTheme="minorHAnsi" w:cstheme="minorHAnsi"/>
          <w:b/>
          <w:color w:val="000000" w:themeColor="text1"/>
          <w:highlight w:val="yellow"/>
        </w:rPr>
        <w:t>,</w:t>
      </w:r>
      <w:r w:rsidRPr="005D7658">
        <w:rPr>
          <w:rFonts w:asciiTheme="minorHAnsi" w:hAnsiTheme="minorHAnsi" w:cstheme="minorHAnsi"/>
          <w:b/>
          <w:color w:val="000000" w:themeColor="text1"/>
        </w:rPr>
        <w:t xml:space="preserve"> </w:t>
      </w:r>
      <w:r w:rsidRPr="005D7658">
        <w:rPr>
          <w:rFonts w:asciiTheme="minorHAnsi" w:hAnsiTheme="minorHAnsi" w:cstheme="minorHAnsi"/>
          <w:color w:val="000000" w:themeColor="text1"/>
        </w:rPr>
        <w:t xml:space="preserve">including </w:t>
      </w:r>
      <w:r w:rsidRPr="005D7658">
        <w:rPr>
          <w:rStyle w:val="Strong"/>
          <w:rFonts w:asciiTheme="minorHAnsi" w:hAnsiTheme="minorHAnsi" w:cstheme="minorHAnsi"/>
          <w:b w:val="0"/>
          <w:color w:val="000000" w:themeColor="text1"/>
          <w:highlight w:val="yellow"/>
        </w:rPr>
        <w:t>anemia, leukocytosis, and thrombocytosis</w:t>
      </w:r>
      <w:r w:rsidRPr="005D7658">
        <w:rPr>
          <w:rFonts w:asciiTheme="minorHAnsi" w:hAnsiTheme="minorHAnsi" w:cstheme="minorHAnsi"/>
          <w:color w:val="000000" w:themeColor="text1"/>
        </w:rPr>
        <w:t xml:space="preserve">, even in the absence of clinical crisis. These findings emphasize that the steady state is not </w:t>
      </w:r>
      <w:proofErr w:type="spellStart"/>
      <w:r w:rsidRPr="005D7658">
        <w:rPr>
          <w:rFonts w:asciiTheme="minorHAnsi" w:hAnsiTheme="minorHAnsi" w:cstheme="minorHAnsi"/>
          <w:color w:val="000000" w:themeColor="text1"/>
        </w:rPr>
        <w:t>hematologically</w:t>
      </w:r>
      <w:proofErr w:type="spellEnd"/>
      <w:r w:rsidRPr="005D7658">
        <w:rPr>
          <w:rFonts w:asciiTheme="minorHAnsi" w:hAnsiTheme="minorHAnsi" w:cstheme="minorHAnsi"/>
          <w:color w:val="000000" w:themeColor="text1"/>
        </w:rPr>
        <w:t xml:space="preserve"> quiescent but rather marked by persistent physiological stress.</w:t>
      </w:r>
    </w:p>
    <w:p w:rsidR="005D7658" w:rsidRPr="005D7658" w:rsidRDefault="005D7658" w:rsidP="005D7658">
      <w:pPr>
        <w:pStyle w:val="NormalWeb"/>
        <w:spacing w:line="360" w:lineRule="auto"/>
        <w:jc w:val="both"/>
        <w:rPr>
          <w:rFonts w:asciiTheme="minorHAnsi" w:hAnsiTheme="minorHAnsi" w:cstheme="minorHAnsi"/>
          <w:b/>
          <w:color w:val="000000" w:themeColor="text1"/>
        </w:rPr>
      </w:pPr>
      <w:r w:rsidRPr="005D7658">
        <w:rPr>
          <w:rFonts w:asciiTheme="minorHAnsi" w:hAnsiTheme="minorHAnsi" w:cstheme="minorHAnsi"/>
          <w:color w:val="000000" w:themeColor="text1"/>
        </w:rPr>
        <w:t xml:space="preserve">Routine hematological assessments during steady state could enable the early identification of patients at higher risk of complications and facilitate timely intervention. </w:t>
      </w:r>
      <w:r w:rsidRPr="005D7658">
        <w:rPr>
          <w:rStyle w:val="Strong"/>
          <w:rFonts w:asciiTheme="minorHAnsi" w:hAnsiTheme="minorHAnsi" w:cstheme="minorHAnsi"/>
          <w:b w:val="0"/>
          <w:color w:val="000000" w:themeColor="text1"/>
          <w:highlight w:val="yellow"/>
        </w:rPr>
        <w:t>However, as this study was cross-sectional, causality cannot be inferred. Longitudinal studies are warranted to better understand the prognostic value of these hematological deviations.</w:t>
      </w:r>
    </w:p>
    <w:p w:rsidR="005D7658" w:rsidRDefault="005D7658" w:rsidP="005D7658">
      <w:pPr>
        <w:spacing w:line="360" w:lineRule="auto"/>
        <w:jc w:val="both"/>
        <w:rPr>
          <w:rFonts w:cstheme="minorHAnsi"/>
          <w:color w:val="000000" w:themeColor="text1"/>
        </w:rPr>
      </w:pPr>
    </w:p>
    <w:p w:rsidR="005D7658" w:rsidRDefault="005D7658" w:rsidP="005D7658">
      <w:pPr>
        <w:spacing w:line="360" w:lineRule="auto"/>
        <w:jc w:val="both"/>
        <w:rPr>
          <w:rFonts w:cstheme="minorHAnsi"/>
          <w:color w:val="000000" w:themeColor="text1"/>
        </w:rPr>
      </w:pPr>
    </w:p>
    <w:p w:rsidR="005D7658" w:rsidRDefault="005D7658" w:rsidP="005D7658">
      <w:pPr>
        <w:spacing w:line="360" w:lineRule="auto"/>
        <w:jc w:val="both"/>
        <w:rPr>
          <w:rFonts w:cstheme="minorHAnsi"/>
          <w:color w:val="000000" w:themeColor="text1"/>
        </w:rPr>
      </w:pPr>
    </w:p>
    <w:p w:rsidR="005D7658" w:rsidRDefault="005D7658" w:rsidP="005D7658">
      <w:pPr>
        <w:spacing w:line="360" w:lineRule="auto"/>
        <w:jc w:val="both"/>
        <w:rPr>
          <w:rFonts w:cstheme="minorHAnsi"/>
          <w:color w:val="000000" w:themeColor="text1"/>
        </w:rPr>
      </w:pPr>
    </w:p>
    <w:p w:rsidR="005D7658" w:rsidRDefault="005D7658" w:rsidP="005D7658">
      <w:pPr>
        <w:spacing w:line="360" w:lineRule="auto"/>
        <w:jc w:val="both"/>
        <w:rPr>
          <w:rFonts w:cstheme="minorHAnsi"/>
          <w:color w:val="000000" w:themeColor="text1"/>
        </w:rPr>
      </w:pPr>
    </w:p>
    <w:p w:rsidR="005D7658" w:rsidRDefault="005D7658" w:rsidP="005D7658">
      <w:pPr>
        <w:spacing w:line="360" w:lineRule="auto"/>
        <w:jc w:val="both"/>
        <w:rPr>
          <w:rFonts w:cstheme="minorHAnsi"/>
          <w:color w:val="000000" w:themeColor="text1"/>
        </w:rPr>
      </w:pPr>
    </w:p>
    <w:p w:rsidR="005D7658" w:rsidRDefault="005D7658" w:rsidP="005D7658">
      <w:pPr>
        <w:spacing w:line="360" w:lineRule="auto"/>
        <w:jc w:val="both"/>
        <w:rPr>
          <w:rFonts w:cstheme="minorHAnsi"/>
          <w:color w:val="000000" w:themeColor="text1"/>
        </w:rPr>
      </w:pPr>
    </w:p>
    <w:p w:rsidR="005D7658" w:rsidRDefault="005D7658" w:rsidP="005D7658">
      <w:pPr>
        <w:spacing w:line="360" w:lineRule="auto"/>
        <w:jc w:val="both"/>
        <w:rPr>
          <w:rFonts w:cstheme="minorHAnsi"/>
          <w:color w:val="000000" w:themeColor="text1"/>
        </w:rPr>
      </w:pPr>
    </w:p>
    <w:p w:rsidR="005D7658" w:rsidRPr="005D7658" w:rsidRDefault="005D7658" w:rsidP="005D7658">
      <w:pPr>
        <w:spacing w:line="360" w:lineRule="auto"/>
        <w:jc w:val="both"/>
        <w:rPr>
          <w:rFonts w:cstheme="minorHAnsi"/>
          <w:color w:val="000000" w:themeColor="text1"/>
        </w:rPr>
      </w:pPr>
    </w:p>
    <w:p w:rsidR="005D7658" w:rsidRPr="005D7658" w:rsidRDefault="005D7658" w:rsidP="005D7658">
      <w:pPr>
        <w:pStyle w:val="Heading2"/>
        <w:spacing w:line="360" w:lineRule="auto"/>
        <w:jc w:val="both"/>
        <w:rPr>
          <w:rFonts w:asciiTheme="minorHAnsi" w:hAnsiTheme="minorHAnsi" w:cstheme="minorHAnsi"/>
          <w:color w:val="000000" w:themeColor="text1"/>
        </w:rPr>
      </w:pPr>
      <w:r w:rsidRPr="005D7658">
        <w:rPr>
          <w:rStyle w:val="Strong"/>
          <w:rFonts w:asciiTheme="minorHAnsi" w:hAnsiTheme="minorHAnsi" w:cstheme="minorHAnsi"/>
          <w:b/>
          <w:bCs/>
          <w:color w:val="000000" w:themeColor="text1"/>
        </w:rPr>
        <w:lastRenderedPageBreak/>
        <w:t>6.0 Recommendation</w:t>
      </w:r>
    </w:p>
    <w:p w:rsidR="005D7658" w:rsidRPr="005D7658" w:rsidRDefault="005D7658" w:rsidP="005D7658">
      <w:pPr>
        <w:pStyle w:val="NormalWeb"/>
        <w:spacing w:line="360" w:lineRule="auto"/>
        <w:jc w:val="both"/>
        <w:rPr>
          <w:rFonts w:asciiTheme="minorHAnsi" w:hAnsiTheme="minorHAnsi" w:cstheme="minorHAnsi"/>
          <w:color w:val="000000" w:themeColor="text1"/>
        </w:rPr>
      </w:pPr>
      <w:r w:rsidRPr="005D7658">
        <w:rPr>
          <w:rFonts w:asciiTheme="minorHAnsi" w:hAnsiTheme="minorHAnsi" w:cstheme="minorHAnsi"/>
          <w:color w:val="000000" w:themeColor="text1"/>
        </w:rPr>
        <w:t xml:space="preserve">Based on the findings, it is recommended that </w:t>
      </w:r>
      <w:r w:rsidRPr="005D7658">
        <w:rPr>
          <w:rStyle w:val="Strong"/>
          <w:rFonts w:asciiTheme="minorHAnsi" w:hAnsiTheme="minorHAnsi" w:cstheme="minorHAnsi"/>
          <w:b w:val="0"/>
          <w:color w:val="000000" w:themeColor="text1"/>
          <w:highlight w:val="yellow"/>
        </w:rPr>
        <w:t>routine monitoring</w:t>
      </w:r>
      <w:r w:rsidRPr="005D7658">
        <w:rPr>
          <w:rFonts w:asciiTheme="minorHAnsi" w:hAnsiTheme="minorHAnsi" w:cstheme="minorHAnsi"/>
          <w:color w:val="000000" w:themeColor="text1"/>
        </w:rPr>
        <w:t xml:space="preserve"> of hematological parameters such as </w:t>
      </w:r>
      <w:r w:rsidRPr="005D7658">
        <w:rPr>
          <w:rStyle w:val="Strong"/>
          <w:rFonts w:asciiTheme="minorHAnsi" w:hAnsiTheme="minorHAnsi" w:cstheme="minorHAnsi"/>
          <w:b w:val="0"/>
          <w:color w:val="000000" w:themeColor="text1"/>
          <w:highlight w:val="yellow"/>
        </w:rPr>
        <w:t>hemoglobin, white blood cell count, and platelets</w:t>
      </w:r>
      <w:r w:rsidRPr="005D7658">
        <w:rPr>
          <w:rFonts w:asciiTheme="minorHAnsi" w:hAnsiTheme="minorHAnsi" w:cstheme="minorHAnsi"/>
          <w:b/>
          <w:color w:val="000000" w:themeColor="text1"/>
        </w:rPr>
        <w:t xml:space="preserve"> </w:t>
      </w:r>
      <w:r w:rsidRPr="005D7658">
        <w:rPr>
          <w:rFonts w:asciiTheme="minorHAnsi" w:hAnsiTheme="minorHAnsi" w:cstheme="minorHAnsi"/>
          <w:color w:val="000000" w:themeColor="text1"/>
        </w:rPr>
        <w:t xml:space="preserve">should be integrated into </w:t>
      </w:r>
      <w:r w:rsidRPr="005D7658">
        <w:rPr>
          <w:rStyle w:val="Strong"/>
          <w:rFonts w:asciiTheme="minorHAnsi" w:hAnsiTheme="minorHAnsi" w:cstheme="minorHAnsi"/>
          <w:b w:val="0"/>
          <w:color w:val="000000" w:themeColor="text1"/>
          <w:highlight w:val="yellow"/>
        </w:rPr>
        <w:t>standard care for SCD patients during steady state</w:t>
      </w:r>
      <w:r w:rsidRPr="005D7658">
        <w:rPr>
          <w:rFonts w:asciiTheme="minorHAnsi" w:hAnsiTheme="minorHAnsi" w:cstheme="minorHAnsi"/>
          <w:color w:val="000000" w:themeColor="text1"/>
        </w:rPr>
        <w:t>. These parameters can serve as early indicators of subclinical disease activity and impending complications.</w:t>
      </w:r>
    </w:p>
    <w:p w:rsidR="005D7658" w:rsidRPr="005D7658" w:rsidRDefault="005D7658" w:rsidP="005D7658">
      <w:pPr>
        <w:pStyle w:val="NormalWeb"/>
        <w:spacing w:line="360" w:lineRule="auto"/>
        <w:jc w:val="both"/>
        <w:rPr>
          <w:rFonts w:asciiTheme="minorHAnsi" w:hAnsiTheme="minorHAnsi" w:cstheme="minorHAnsi"/>
          <w:color w:val="000000" w:themeColor="text1"/>
        </w:rPr>
      </w:pPr>
      <w:r w:rsidRPr="005D7658">
        <w:rPr>
          <w:rFonts w:asciiTheme="minorHAnsi" w:hAnsiTheme="minorHAnsi" w:cstheme="minorHAnsi"/>
          <w:color w:val="000000" w:themeColor="text1"/>
        </w:rPr>
        <w:t xml:space="preserve">Additionally, the observed </w:t>
      </w:r>
      <w:r w:rsidRPr="005D7658">
        <w:rPr>
          <w:rStyle w:val="Strong"/>
          <w:rFonts w:asciiTheme="minorHAnsi" w:hAnsiTheme="minorHAnsi" w:cstheme="minorHAnsi"/>
          <w:b w:val="0"/>
          <w:color w:val="000000" w:themeColor="text1"/>
          <w:highlight w:val="yellow"/>
        </w:rPr>
        <w:t xml:space="preserve">sex-based variation in </w:t>
      </w:r>
      <w:proofErr w:type="spellStart"/>
      <w:r w:rsidRPr="005D7658">
        <w:rPr>
          <w:rStyle w:val="Strong"/>
          <w:rFonts w:asciiTheme="minorHAnsi" w:hAnsiTheme="minorHAnsi" w:cstheme="minorHAnsi"/>
          <w:b w:val="0"/>
          <w:color w:val="000000" w:themeColor="text1"/>
          <w:highlight w:val="yellow"/>
        </w:rPr>
        <w:t>eosinophil</w:t>
      </w:r>
      <w:proofErr w:type="spellEnd"/>
      <w:r w:rsidRPr="005D7658">
        <w:rPr>
          <w:rStyle w:val="Strong"/>
          <w:rFonts w:asciiTheme="minorHAnsi" w:hAnsiTheme="minorHAnsi" w:cstheme="minorHAnsi"/>
          <w:b w:val="0"/>
          <w:color w:val="000000" w:themeColor="text1"/>
          <w:highlight w:val="yellow"/>
        </w:rPr>
        <w:t xml:space="preserve"> counts</w:t>
      </w:r>
      <w:r w:rsidRPr="005D7658">
        <w:rPr>
          <w:rFonts w:asciiTheme="minorHAnsi" w:hAnsiTheme="minorHAnsi" w:cstheme="minorHAnsi"/>
          <w:color w:val="000000" w:themeColor="text1"/>
        </w:rPr>
        <w:t xml:space="preserve"> suggests that </w:t>
      </w:r>
      <w:r w:rsidRPr="005D7658">
        <w:rPr>
          <w:rStyle w:val="Strong"/>
          <w:rFonts w:asciiTheme="minorHAnsi" w:hAnsiTheme="minorHAnsi" w:cstheme="minorHAnsi"/>
          <w:b w:val="0"/>
          <w:color w:val="000000" w:themeColor="text1"/>
          <w:highlight w:val="yellow"/>
        </w:rPr>
        <w:t>gender-specific clinical considerations</w:t>
      </w:r>
      <w:r w:rsidRPr="005D7658">
        <w:rPr>
          <w:rFonts w:asciiTheme="minorHAnsi" w:hAnsiTheme="minorHAnsi" w:cstheme="minorHAnsi"/>
          <w:color w:val="000000" w:themeColor="text1"/>
        </w:rPr>
        <w:t xml:space="preserve"> may be warranted. Future research should explore </w:t>
      </w:r>
      <w:r w:rsidRPr="005D7658">
        <w:rPr>
          <w:rStyle w:val="Strong"/>
          <w:rFonts w:asciiTheme="minorHAnsi" w:hAnsiTheme="minorHAnsi" w:cstheme="minorHAnsi"/>
          <w:b w:val="0"/>
          <w:color w:val="000000" w:themeColor="text1"/>
          <w:highlight w:val="yellow"/>
        </w:rPr>
        <w:t>targeted anti-inflammatory or hematopoietic interventions</w:t>
      </w:r>
      <w:r w:rsidRPr="005D7658">
        <w:rPr>
          <w:rFonts w:asciiTheme="minorHAnsi" w:hAnsiTheme="minorHAnsi" w:cstheme="minorHAnsi"/>
          <w:color w:val="000000" w:themeColor="text1"/>
        </w:rPr>
        <w:t xml:space="preserve"> during steady state to potentially </w:t>
      </w:r>
      <w:r w:rsidRPr="005D7658">
        <w:rPr>
          <w:rStyle w:val="Strong"/>
          <w:rFonts w:asciiTheme="minorHAnsi" w:hAnsiTheme="minorHAnsi" w:cstheme="minorHAnsi"/>
          <w:b w:val="0"/>
          <w:color w:val="000000" w:themeColor="text1"/>
          <w:highlight w:val="yellow"/>
        </w:rPr>
        <w:t>modify disease progression</w:t>
      </w:r>
      <w:r w:rsidRPr="005D7658">
        <w:rPr>
          <w:rFonts w:asciiTheme="minorHAnsi" w:hAnsiTheme="minorHAnsi" w:cstheme="minorHAnsi"/>
          <w:color w:val="000000" w:themeColor="text1"/>
        </w:rPr>
        <w:t xml:space="preserve"> and improve outcomes.</w:t>
      </w:r>
    </w:p>
    <w:p w:rsidR="005614B5" w:rsidRDefault="005614B5" w:rsidP="005614B5">
      <w:pPr>
        <w:spacing w:line="360" w:lineRule="auto"/>
        <w:jc w:val="both"/>
      </w:pPr>
    </w:p>
    <w:p w:rsidR="005D7658" w:rsidRDefault="005D7658" w:rsidP="005614B5">
      <w:pPr>
        <w:spacing w:line="360" w:lineRule="auto"/>
        <w:jc w:val="both"/>
      </w:pPr>
    </w:p>
    <w:p w:rsidR="005D7658" w:rsidRDefault="005D7658" w:rsidP="005614B5">
      <w:pPr>
        <w:spacing w:line="360" w:lineRule="auto"/>
        <w:jc w:val="both"/>
      </w:pPr>
    </w:p>
    <w:p w:rsidR="005D7658" w:rsidRDefault="005D7658" w:rsidP="005614B5">
      <w:pPr>
        <w:spacing w:line="360" w:lineRule="auto"/>
        <w:jc w:val="both"/>
      </w:pPr>
    </w:p>
    <w:p w:rsidR="005D7658" w:rsidRDefault="005D7658" w:rsidP="005614B5">
      <w:pPr>
        <w:spacing w:line="360" w:lineRule="auto"/>
        <w:jc w:val="both"/>
        <w:rPr>
          <w:rFonts w:cstheme="minorHAnsi"/>
          <w:b/>
          <w:sz w:val="24"/>
          <w:szCs w:val="24"/>
        </w:rPr>
      </w:pPr>
    </w:p>
    <w:p w:rsidR="005614B5" w:rsidRPr="00856CCD" w:rsidRDefault="005614B5" w:rsidP="005614B5">
      <w:pPr>
        <w:spacing w:line="360" w:lineRule="auto"/>
        <w:jc w:val="both"/>
        <w:rPr>
          <w:rFonts w:cstheme="minorHAnsi"/>
          <w:b/>
          <w:sz w:val="24"/>
          <w:szCs w:val="24"/>
        </w:rPr>
      </w:pPr>
      <w:r w:rsidRPr="00856CCD">
        <w:rPr>
          <w:rFonts w:cstheme="minorHAnsi"/>
          <w:b/>
          <w:sz w:val="24"/>
          <w:szCs w:val="24"/>
        </w:rPr>
        <w:t>Disclaimer (Artificial intelligence)</w:t>
      </w:r>
    </w:p>
    <w:p w:rsidR="005614B5" w:rsidRPr="00856CCD" w:rsidRDefault="005614B5" w:rsidP="005614B5">
      <w:pPr>
        <w:spacing w:line="360" w:lineRule="auto"/>
        <w:jc w:val="both"/>
        <w:rPr>
          <w:rFonts w:cstheme="minorHAnsi"/>
          <w:sz w:val="24"/>
          <w:szCs w:val="24"/>
        </w:rPr>
      </w:pPr>
      <w:r w:rsidRPr="00856CCD">
        <w:rPr>
          <w:rFonts w:cstheme="minorHAnsi"/>
          <w:sz w:val="24"/>
          <w:szCs w:val="24"/>
        </w:rPr>
        <w:t xml:space="preserve">Option 1: </w:t>
      </w:r>
    </w:p>
    <w:p w:rsidR="005614B5" w:rsidRPr="00856CCD" w:rsidRDefault="005614B5" w:rsidP="005614B5">
      <w:pPr>
        <w:spacing w:line="360" w:lineRule="auto"/>
        <w:jc w:val="both"/>
        <w:rPr>
          <w:rFonts w:cstheme="minorHAnsi"/>
          <w:sz w:val="24"/>
          <w:szCs w:val="24"/>
        </w:rPr>
      </w:pPr>
      <w:r w:rsidRPr="00856CCD">
        <w:rPr>
          <w:rFonts w:cstheme="minorHAnsi"/>
          <w:sz w:val="24"/>
          <w:szCs w:val="24"/>
        </w:rPr>
        <w:t>Author(s) hereby declare that generative AI technologies such as Large Language Models (</w:t>
      </w:r>
      <w:proofErr w:type="spellStart"/>
      <w:r w:rsidRPr="00856CCD">
        <w:rPr>
          <w:rFonts w:cstheme="minorHAnsi"/>
          <w:sz w:val="24"/>
          <w:szCs w:val="24"/>
        </w:rPr>
        <w:t>ChatGPT</w:t>
      </w:r>
      <w:proofErr w:type="spellEnd"/>
      <w:r w:rsidRPr="00856CCD">
        <w:rPr>
          <w:rFonts w:cstheme="minorHAnsi"/>
          <w:sz w:val="24"/>
          <w:szCs w:val="24"/>
        </w:rPr>
        <w:t xml:space="preserve">, COPILOT, etc.) and text-to-image generators have been used during the writing or editing of this manuscript. </w:t>
      </w:r>
    </w:p>
    <w:p w:rsidR="005614B5" w:rsidRPr="00856CCD" w:rsidRDefault="005614B5" w:rsidP="005614B5">
      <w:pPr>
        <w:spacing w:before="100" w:beforeAutospacing="1" w:after="100" w:afterAutospacing="1" w:line="360" w:lineRule="auto"/>
        <w:jc w:val="both"/>
        <w:outlineLvl w:val="2"/>
        <w:rPr>
          <w:rFonts w:eastAsia="Times New Roman" w:cstheme="minorHAnsi"/>
          <w:b/>
          <w:bCs/>
          <w:sz w:val="27"/>
          <w:szCs w:val="27"/>
        </w:rPr>
      </w:pPr>
      <w:r w:rsidRPr="00856CCD">
        <w:rPr>
          <w:rFonts w:eastAsia="Times New Roman" w:cstheme="minorHAnsi"/>
          <w:b/>
          <w:bCs/>
          <w:sz w:val="27"/>
          <w:szCs w:val="27"/>
        </w:rPr>
        <w:lastRenderedPageBreak/>
        <w:t>References</w:t>
      </w:r>
    </w:p>
    <w:p w:rsidR="005614B5" w:rsidRPr="00C45A4A" w:rsidRDefault="005614B5" w:rsidP="005614B5">
      <w:pPr>
        <w:pStyle w:val="ListParagraph"/>
        <w:numPr>
          <w:ilvl w:val="0"/>
          <w:numId w:val="3"/>
        </w:numPr>
        <w:spacing w:line="360" w:lineRule="auto"/>
        <w:jc w:val="both"/>
        <w:rPr>
          <w:sz w:val="24"/>
          <w:szCs w:val="24"/>
        </w:rPr>
      </w:pPr>
      <w:r w:rsidRPr="00C45A4A">
        <w:rPr>
          <w:sz w:val="24"/>
          <w:szCs w:val="24"/>
        </w:rPr>
        <w:t>Rees DC, Williams TN, Gladwin MT. Sickle-cell disease. Lancet. 2010</w:t>
      </w:r>
      <w:proofErr w:type="gramStart"/>
      <w:r w:rsidRPr="00C45A4A">
        <w:rPr>
          <w:sz w:val="24"/>
          <w:szCs w:val="24"/>
        </w:rPr>
        <w:t>;376</w:t>
      </w:r>
      <w:proofErr w:type="gramEnd"/>
      <w:r w:rsidRPr="00C45A4A">
        <w:rPr>
          <w:sz w:val="24"/>
          <w:szCs w:val="24"/>
        </w:rPr>
        <w:t>(9757):2018–31. </w:t>
      </w:r>
      <w:hyperlink r:id="rId5" w:tgtFrame="_blank" w:history="1">
        <w:r w:rsidRPr="00C45A4A">
          <w:rPr>
            <w:rStyle w:val="Hyperlink"/>
            <w:sz w:val="24"/>
            <w:szCs w:val="24"/>
          </w:rPr>
          <w:t>https://doi.org/10.1016/S0140-6736(10)61029-X</w:t>
        </w:r>
      </w:hyperlink>
    </w:p>
    <w:p w:rsidR="005614B5" w:rsidRPr="00C45A4A" w:rsidRDefault="00BA427B" w:rsidP="005614B5">
      <w:pPr>
        <w:pStyle w:val="ListParagraph"/>
        <w:numPr>
          <w:ilvl w:val="0"/>
          <w:numId w:val="3"/>
        </w:numPr>
        <w:spacing w:line="360" w:lineRule="auto"/>
        <w:jc w:val="both"/>
        <w:rPr>
          <w:sz w:val="24"/>
          <w:szCs w:val="24"/>
          <w:highlight w:val="yellow"/>
        </w:rPr>
      </w:pPr>
      <w:r w:rsidRPr="00C45A4A">
        <w:rPr>
          <w:rStyle w:val="Strong"/>
          <w:b w:val="0"/>
          <w:sz w:val="24"/>
          <w:szCs w:val="24"/>
          <w:highlight w:val="yellow"/>
        </w:rPr>
        <w:t xml:space="preserve">Kato GJ, </w:t>
      </w:r>
      <w:proofErr w:type="spellStart"/>
      <w:r w:rsidRPr="00C45A4A">
        <w:rPr>
          <w:rStyle w:val="Strong"/>
          <w:b w:val="0"/>
          <w:sz w:val="24"/>
          <w:szCs w:val="24"/>
          <w:highlight w:val="yellow"/>
        </w:rPr>
        <w:t>Piel</w:t>
      </w:r>
      <w:proofErr w:type="spellEnd"/>
      <w:r w:rsidRPr="00C45A4A">
        <w:rPr>
          <w:rStyle w:val="Strong"/>
          <w:b w:val="0"/>
          <w:sz w:val="24"/>
          <w:szCs w:val="24"/>
          <w:highlight w:val="yellow"/>
        </w:rPr>
        <w:t xml:space="preserve"> FB, Reid CD, Gaston MH, </w:t>
      </w:r>
      <w:proofErr w:type="spellStart"/>
      <w:r w:rsidRPr="00C45A4A">
        <w:rPr>
          <w:rStyle w:val="Strong"/>
          <w:b w:val="0"/>
          <w:sz w:val="24"/>
          <w:szCs w:val="24"/>
          <w:highlight w:val="yellow"/>
        </w:rPr>
        <w:t>Ohene-Frempong</w:t>
      </w:r>
      <w:proofErr w:type="spellEnd"/>
      <w:r w:rsidRPr="00C45A4A">
        <w:rPr>
          <w:rStyle w:val="Strong"/>
          <w:b w:val="0"/>
          <w:sz w:val="24"/>
          <w:szCs w:val="24"/>
          <w:highlight w:val="yellow"/>
        </w:rPr>
        <w:t xml:space="preserve"> K, </w:t>
      </w:r>
      <w:proofErr w:type="spellStart"/>
      <w:r w:rsidRPr="00C45A4A">
        <w:rPr>
          <w:rStyle w:val="Strong"/>
          <w:b w:val="0"/>
          <w:sz w:val="24"/>
          <w:szCs w:val="24"/>
          <w:highlight w:val="yellow"/>
        </w:rPr>
        <w:t>Krishnamurti</w:t>
      </w:r>
      <w:proofErr w:type="spellEnd"/>
      <w:r w:rsidRPr="00C45A4A">
        <w:rPr>
          <w:rStyle w:val="Strong"/>
          <w:b w:val="0"/>
          <w:sz w:val="24"/>
          <w:szCs w:val="24"/>
          <w:highlight w:val="yellow"/>
        </w:rPr>
        <w:t xml:space="preserve"> L, et al.</w:t>
      </w:r>
      <w:r w:rsidRPr="00C45A4A">
        <w:rPr>
          <w:sz w:val="24"/>
          <w:szCs w:val="24"/>
          <w:highlight w:val="yellow"/>
        </w:rPr>
        <w:t xml:space="preserve"> Sickle cell disease. </w:t>
      </w:r>
      <w:r w:rsidRPr="00C45A4A">
        <w:rPr>
          <w:rStyle w:val="Emphasis"/>
          <w:sz w:val="24"/>
          <w:szCs w:val="24"/>
          <w:highlight w:val="yellow"/>
        </w:rPr>
        <w:t xml:space="preserve">N </w:t>
      </w:r>
      <w:proofErr w:type="spellStart"/>
      <w:r w:rsidRPr="00C45A4A">
        <w:rPr>
          <w:rStyle w:val="Emphasis"/>
          <w:sz w:val="24"/>
          <w:szCs w:val="24"/>
          <w:highlight w:val="yellow"/>
        </w:rPr>
        <w:t>Engl</w:t>
      </w:r>
      <w:proofErr w:type="spellEnd"/>
      <w:r w:rsidRPr="00C45A4A">
        <w:rPr>
          <w:rStyle w:val="Emphasis"/>
          <w:sz w:val="24"/>
          <w:szCs w:val="24"/>
          <w:highlight w:val="yellow"/>
        </w:rPr>
        <w:t xml:space="preserve"> J Med.</w:t>
      </w:r>
      <w:r w:rsidRPr="00C45A4A">
        <w:rPr>
          <w:sz w:val="24"/>
          <w:szCs w:val="24"/>
          <w:highlight w:val="yellow"/>
        </w:rPr>
        <w:t xml:space="preserve"> 2018</w:t>
      </w:r>
      <w:proofErr w:type="gramStart"/>
      <w:r w:rsidRPr="00C45A4A">
        <w:rPr>
          <w:sz w:val="24"/>
          <w:szCs w:val="24"/>
          <w:highlight w:val="yellow"/>
        </w:rPr>
        <w:t>;378</w:t>
      </w:r>
      <w:proofErr w:type="gramEnd"/>
      <w:r w:rsidRPr="00C45A4A">
        <w:rPr>
          <w:sz w:val="24"/>
          <w:szCs w:val="24"/>
          <w:highlight w:val="yellow"/>
        </w:rPr>
        <w:t xml:space="preserve">(16):1561–73. </w:t>
      </w:r>
      <w:proofErr w:type="gramStart"/>
      <w:r w:rsidRPr="00C45A4A">
        <w:rPr>
          <w:sz w:val="24"/>
          <w:szCs w:val="24"/>
          <w:highlight w:val="yellow"/>
        </w:rPr>
        <w:t>doi:</w:t>
      </w:r>
      <w:proofErr w:type="gramEnd"/>
      <w:r w:rsidRPr="00C45A4A">
        <w:rPr>
          <w:sz w:val="24"/>
          <w:szCs w:val="24"/>
          <w:highlight w:val="yellow"/>
        </w:rPr>
        <w:t>10.1056/NEJMra1510865.</w:t>
      </w:r>
    </w:p>
    <w:p w:rsidR="005614B5" w:rsidRPr="00C45A4A" w:rsidRDefault="005614B5" w:rsidP="005614B5">
      <w:pPr>
        <w:pStyle w:val="ListParagraph"/>
        <w:numPr>
          <w:ilvl w:val="0"/>
          <w:numId w:val="3"/>
        </w:numPr>
        <w:spacing w:line="360" w:lineRule="auto"/>
        <w:jc w:val="both"/>
        <w:rPr>
          <w:sz w:val="24"/>
          <w:szCs w:val="24"/>
        </w:rPr>
      </w:pPr>
      <w:proofErr w:type="spellStart"/>
      <w:r w:rsidRPr="00C45A4A">
        <w:rPr>
          <w:sz w:val="24"/>
          <w:szCs w:val="24"/>
        </w:rPr>
        <w:t>Akinyanju</w:t>
      </w:r>
      <w:proofErr w:type="spellEnd"/>
      <w:r w:rsidRPr="00C45A4A">
        <w:rPr>
          <w:sz w:val="24"/>
          <w:szCs w:val="24"/>
        </w:rPr>
        <w:t xml:space="preserve"> OO. A profile of sickle cell disease in Nigeria. Ann N Y </w:t>
      </w:r>
      <w:proofErr w:type="spellStart"/>
      <w:r w:rsidRPr="00C45A4A">
        <w:rPr>
          <w:sz w:val="24"/>
          <w:szCs w:val="24"/>
        </w:rPr>
        <w:t>Acad</w:t>
      </w:r>
      <w:proofErr w:type="spellEnd"/>
      <w:r w:rsidRPr="00C45A4A">
        <w:rPr>
          <w:sz w:val="24"/>
          <w:szCs w:val="24"/>
        </w:rPr>
        <w:t xml:space="preserve"> Sci. 1989</w:t>
      </w:r>
      <w:proofErr w:type="gramStart"/>
      <w:r w:rsidRPr="00C45A4A">
        <w:rPr>
          <w:sz w:val="24"/>
          <w:szCs w:val="24"/>
        </w:rPr>
        <w:t>;565:126</w:t>
      </w:r>
      <w:proofErr w:type="gramEnd"/>
      <w:r w:rsidRPr="00C45A4A">
        <w:rPr>
          <w:sz w:val="24"/>
          <w:szCs w:val="24"/>
        </w:rPr>
        <w:t>–36. </w:t>
      </w:r>
      <w:hyperlink r:id="rId6" w:tgtFrame="_blank" w:history="1">
        <w:r w:rsidRPr="00C45A4A">
          <w:rPr>
            <w:rStyle w:val="Hyperlink"/>
            <w:sz w:val="24"/>
            <w:szCs w:val="24"/>
          </w:rPr>
          <w:t>https://doi.org/10.1111/j.1749-6632.1989.tb21044.x</w:t>
        </w:r>
      </w:hyperlink>
    </w:p>
    <w:p w:rsidR="005614B5" w:rsidRPr="00C45A4A" w:rsidRDefault="005614B5" w:rsidP="005614B5">
      <w:pPr>
        <w:pStyle w:val="ListParagraph"/>
        <w:numPr>
          <w:ilvl w:val="0"/>
          <w:numId w:val="3"/>
        </w:numPr>
        <w:spacing w:line="360" w:lineRule="auto"/>
        <w:jc w:val="both"/>
        <w:rPr>
          <w:sz w:val="24"/>
          <w:szCs w:val="24"/>
        </w:rPr>
      </w:pPr>
      <w:r w:rsidRPr="00C45A4A">
        <w:rPr>
          <w:sz w:val="24"/>
          <w:szCs w:val="24"/>
        </w:rPr>
        <w:t xml:space="preserve">Platt OS, </w:t>
      </w:r>
      <w:proofErr w:type="spellStart"/>
      <w:r w:rsidRPr="00C45A4A">
        <w:rPr>
          <w:sz w:val="24"/>
          <w:szCs w:val="24"/>
        </w:rPr>
        <w:t>Brambilla</w:t>
      </w:r>
      <w:proofErr w:type="spellEnd"/>
      <w:r w:rsidRPr="00C45A4A">
        <w:rPr>
          <w:sz w:val="24"/>
          <w:szCs w:val="24"/>
        </w:rPr>
        <w:t xml:space="preserve"> DJ, </w:t>
      </w:r>
      <w:proofErr w:type="spellStart"/>
      <w:r w:rsidRPr="00C45A4A">
        <w:rPr>
          <w:sz w:val="24"/>
          <w:szCs w:val="24"/>
        </w:rPr>
        <w:t>Rosse</w:t>
      </w:r>
      <w:proofErr w:type="spellEnd"/>
      <w:r w:rsidRPr="00C45A4A">
        <w:rPr>
          <w:sz w:val="24"/>
          <w:szCs w:val="24"/>
        </w:rPr>
        <w:t xml:space="preserve"> WF, et al. Mortality in sickle cell disease-life expectancy and risk factors for early death. N </w:t>
      </w:r>
      <w:proofErr w:type="spellStart"/>
      <w:r w:rsidRPr="00C45A4A">
        <w:rPr>
          <w:sz w:val="24"/>
          <w:szCs w:val="24"/>
        </w:rPr>
        <w:t>Engl</w:t>
      </w:r>
      <w:proofErr w:type="spellEnd"/>
      <w:r w:rsidRPr="00C45A4A">
        <w:rPr>
          <w:sz w:val="24"/>
          <w:szCs w:val="24"/>
        </w:rPr>
        <w:t xml:space="preserve"> J Med. 1994</w:t>
      </w:r>
      <w:proofErr w:type="gramStart"/>
      <w:r w:rsidRPr="00C45A4A">
        <w:rPr>
          <w:sz w:val="24"/>
          <w:szCs w:val="24"/>
        </w:rPr>
        <w:t>;330</w:t>
      </w:r>
      <w:proofErr w:type="gramEnd"/>
      <w:r w:rsidRPr="00C45A4A">
        <w:rPr>
          <w:sz w:val="24"/>
          <w:szCs w:val="24"/>
        </w:rPr>
        <w:t>(23):1639–44. </w:t>
      </w:r>
      <w:hyperlink r:id="rId7" w:tgtFrame="_blank" w:history="1">
        <w:r w:rsidRPr="00C45A4A">
          <w:rPr>
            <w:rStyle w:val="Hyperlink"/>
            <w:sz w:val="24"/>
            <w:szCs w:val="24"/>
          </w:rPr>
          <w:t>https://doi.org/10.1056/NEJM199406093302303</w:t>
        </w:r>
      </w:hyperlink>
    </w:p>
    <w:p w:rsidR="00D01BC9" w:rsidRPr="00C45A4A" w:rsidRDefault="00D01BC9" w:rsidP="005614B5">
      <w:pPr>
        <w:pStyle w:val="ListParagraph"/>
        <w:numPr>
          <w:ilvl w:val="0"/>
          <w:numId w:val="3"/>
        </w:numPr>
        <w:spacing w:line="360" w:lineRule="auto"/>
        <w:jc w:val="both"/>
        <w:rPr>
          <w:sz w:val="24"/>
          <w:szCs w:val="24"/>
          <w:highlight w:val="yellow"/>
        </w:rPr>
      </w:pPr>
      <w:proofErr w:type="spellStart"/>
      <w:r w:rsidRPr="00C45A4A">
        <w:rPr>
          <w:rStyle w:val="Strong"/>
          <w:b w:val="0"/>
          <w:sz w:val="24"/>
          <w:szCs w:val="24"/>
          <w:highlight w:val="yellow"/>
        </w:rPr>
        <w:t>Akinbami</w:t>
      </w:r>
      <w:proofErr w:type="spellEnd"/>
      <w:r w:rsidRPr="00C45A4A">
        <w:rPr>
          <w:rStyle w:val="Strong"/>
          <w:b w:val="0"/>
          <w:sz w:val="24"/>
          <w:szCs w:val="24"/>
          <w:highlight w:val="yellow"/>
        </w:rPr>
        <w:t xml:space="preserve"> A, </w:t>
      </w:r>
      <w:proofErr w:type="spellStart"/>
      <w:r w:rsidRPr="00C45A4A">
        <w:rPr>
          <w:rStyle w:val="Strong"/>
          <w:b w:val="0"/>
          <w:sz w:val="24"/>
          <w:szCs w:val="24"/>
          <w:highlight w:val="yellow"/>
        </w:rPr>
        <w:t>Dosunmu</w:t>
      </w:r>
      <w:proofErr w:type="spellEnd"/>
      <w:r w:rsidRPr="00C45A4A">
        <w:rPr>
          <w:rStyle w:val="Strong"/>
          <w:b w:val="0"/>
          <w:sz w:val="24"/>
          <w:szCs w:val="24"/>
          <w:highlight w:val="yellow"/>
        </w:rPr>
        <w:t xml:space="preserve"> A, </w:t>
      </w:r>
      <w:proofErr w:type="spellStart"/>
      <w:r w:rsidRPr="00C45A4A">
        <w:rPr>
          <w:rStyle w:val="Strong"/>
          <w:b w:val="0"/>
          <w:sz w:val="24"/>
          <w:szCs w:val="24"/>
          <w:highlight w:val="yellow"/>
        </w:rPr>
        <w:t>Adediran</w:t>
      </w:r>
      <w:proofErr w:type="spellEnd"/>
      <w:r w:rsidRPr="00C45A4A">
        <w:rPr>
          <w:rStyle w:val="Strong"/>
          <w:b w:val="0"/>
          <w:sz w:val="24"/>
          <w:szCs w:val="24"/>
          <w:highlight w:val="yellow"/>
        </w:rPr>
        <w:t xml:space="preserve"> A, </w:t>
      </w:r>
      <w:proofErr w:type="spellStart"/>
      <w:r w:rsidRPr="00C45A4A">
        <w:rPr>
          <w:rStyle w:val="Strong"/>
          <w:b w:val="0"/>
          <w:sz w:val="24"/>
          <w:szCs w:val="24"/>
          <w:highlight w:val="yellow"/>
        </w:rPr>
        <w:t>Oshinaike</w:t>
      </w:r>
      <w:proofErr w:type="spellEnd"/>
      <w:r w:rsidRPr="00C45A4A">
        <w:rPr>
          <w:rStyle w:val="Strong"/>
          <w:b w:val="0"/>
          <w:sz w:val="24"/>
          <w:szCs w:val="24"/>
          <w:highlight w:val="yellow"/>
        </w:rPr>
        <w:t xml:space="preserve"> O, </w:t>
      </w:r>
      <w:proofErr w:type="spellStart"/>
      <w:r w:rsidRPr="00C45A4A">
        <w:rPr>
          <w:rStyle w:val="Strong"/>
          <w:b w:val="0"/>
          <w:sz w:val="24"/>
          <w:szCs w:val="24"/>
          <w:highlight w:val="yellow"/>
        </w:rPr>
        <w:t>Adebola</w:t>
      </w:r>
      <w:proofErr w:type="spellEnd"/>
      <w:r w:rsidRPr="00C45A4A">
        <w:rPr>
          <w:rStyle w:val="Strong"/>
          <w:b w:val="0"/>
          <w:sz w:val="24"/>
          <w:szCs w:val="24"/>
          <w:highlight w:val="yellow"/>
        </w:rPr>
        <w:t xml:space="preserve"> P, </w:t>
      </w:r>
      <w:proofErr w:type="spellStart"/>
      <w:r w:rsidRPr="00C45A4A">
        <w:rPr>
          <w:rStyle w:val="Strong"/>
          <w:b w:val="0"/>
          <w:sz w:val="24"/>
          <w:szCs w:val="24"/>
          <w:highlight w:val="yellow"/>
        </w:rPr>
        <w:t>Arogundade</w:t>
      </w:r>
      <w:proofErr w:type="spellEnd"/>
      <w:r w:rsidRPr="00C45A4A">
        <w:rPr>
          <w:rStyle w:val="Strong"/>
          <w:b w:val="0"/>
          <w:sz w:val="24"/>
          <w:szCs w:val="24"/>
          <w:highlight w:val="yellow"/>
        </w:rPr>
        <w:t xml:space="preserve"> O.</w:t>
      </w:r>
      <w:r w:rsidRPr="00C45A4A">
        <w:rPr>
          <w:sz w:val="24"/>
          <w:szCs w:val="24"/>
          <w:highlight w:val="yellow"/>
        </w:rPr>
        <w:t xml:space="preserve"> Haematological parameters in adults with sickle cell disease in Lagos, Nigeria. </w:t>
      </w:r>
      <w:proofErr w:type="spellStart"/>
      <w:r w:rsidRPr="00C45A4A">
        <w:rPr>
          <w:rStyle w:val="Emphasis"/>
          <w:sz w:val="24"/>
          <w:szCs w:val="24"/>
          <w:highlight w:val="yellow"/>
        </w:rPr>
        <w:t>Int</w:t>
      </w:r>
      <w:proofErr w:type="spellEnd"/>
      <w:r w:rsidRPr="00C45A4A">
        <w:rPr>
          <w:rStyle w:val="Emphasis"/>
          <w:sz w:val="24"/>
          <w:szCs w:val="24"/>
          <w:highlight w:val="yellow"/>
        </w:rPr>
        <w:t xml:space="preserve"> J Blood </w:t>
      </w:r>
      <w:proofErr w:type="spellStart"/>
      <w:r w:rsidRPr="00C45A4A">
        <w:rPr>
          <w:rStyle w:val="Emphasis"/>
          <w:sz w:val="24"/>
          <w:szCs w:val="24"/>
          <w:highlight w:val="yellow"/>
        </w:rPr>
        <w:t>Transfus</w:t>
      </w:r>
      <w:proofErr w:type="spellEnd"/>
      <w:r w:rsidRPr="00C45A4A">
        <w:rPr>
          <w:rStyle w:val="Emphasis"/>
          <w:sz w:val="24"/>
          <w:szCs w:val="24"/>
          <w:highlight w:val="yellow"/>
        </w:rPr>
        <w:t xml:space="preserve"> </w:t>
      </w:r>
      <w:proofErr w:type="spellStart"/>
      <w:r w:rsidRPr="00C45A4A">
        <w:rPr>
          <w:rStyle w:val="Emphasis"/>
          <w:sz w:val="24"/>
          <w:szCs w:val="24"/>
          <w:highlight w:val="yellow"/>
        </w:rPr>
        <w:t>Immunohematol</w:t>
      </w:r>
      <w:proofErr w:type="spellEnd"/>
      <w:r w:rsidRPr="00C45A4A">
        <w:rPr>
          <w:rStyle w:val="Emphasis"/>
          <w:sz w:val="24"/>
          <w:szCs w:val="24"/>
          <w:highlight w:val="yellow"/>
        </w:rPr>
        <w:t>.</w:t>
      </w:r>
      <w:r w:rsidRPr="00C45A4A">
        <w:rPr>
          <w:sz w:val="24"/>
          <w:szCs w:val="24"/>
          <w:highlight w:val="yellow"/>
        </w:rPr>
        <w:t xml:space="preserve"> 2012</w:t>
      </w:r>
      <w:proofErr w:type="gramStart"/>
      <w:r w:rsidRPr="00C45A4A">
        <w:rPr>
          <w:sz w:val="24"/>
          <w:szCs w:val="24"/>
          <w:highlight w:val="yellow"/>
        </w:rPr>
        <w:t>;2:19</w:t>
      </w:r>
      <w:proofErr w:type="gramEnd"/>
      <w:r w:rsidRPr="00C45A4A">
        <w:rPr>
          <w:sz w:val="24"/>
          <w:szCs w:val="24"/>
          <w:highlight w:val="yellow"/>
        </w:rPr>
        <w:t xml:space="preserve">–23. </w:t>
      </w:r>
    </w:p>
    <w:p w:rsidR="00D01BC9" w:rsidRPr="00C45A4A" w:rsidRDefault="00D01BC9" w:rsidP="005614B5">
      <w:pPr>
        <w:pStyle w:val="ListParagraph"/>
        <w:numPr>
          <w:ilvl w:val="0"/>
          <w:numId w:val="3"/>
        </w:numPr>
        <w:spacing w:line="360" w:lineRule="auto"/>
        <w:jc w:val="both"/>
        <w:rPr>
          <w:sz w:val="24"/>
          <w:szCs w:val="24"/>
          <w:highlight w:val="yellow"/>
        </w:rPr>
      </w:pPr>
      <w:proofErr w:type="spellStart"/>
      <w:r w:rsidRPr="00C45A4A">
        <w:rPr>
          <w:rStyle w:val="Strong"/>
          <w:b w:val="0"/>
          <w:sz w:val="24"/>
          <w:szCs w:val="24"/>
          <w:highlight w:val="yellow"/>
        </w:rPr>
        <w:t>Brandow</w:t>
      </w:r>
      <w:proofErr w:type="spellEnd"/>
      <w:r w:rsidRPr="00C45A4A">
        <w:rPr>
          <w:rStyle w:val="Strong"/>
          <w:b w:val="0"/>
          <w:sz w:val="24"/>
          <w:szCs w:val="24"/>
          <w:highlight w:val="yellow"/>
        </w:rPr>
        <w:t xml:space="preserve"> AM, Carroll CP, </w:t>
      </w:r>
      <w:proofErr w:type="spellStart"/>
      <w:r w:rsidRPr="00C45A4A">
        <w:rPr>
          <w:rStyle w:val="Strong"/>
          <w:b w:val="0"/>
          <w:sz w:val="24"/>
          <w:szCs w:val="24"/>
          <w:highlight w:val="yellow"/>
        </w:rPr>
        <w:t>Creary</w:t>
      </w:r>
      <w:proofErr w:type="spellEnd"/>
      <w:r w:rsidRPr="00C45A4A">
        <w:rPr>
          <w:rStyle w:val="Strong"/>
          <w:b w:val="0"/>
          <w:sz w:val="24"/>
          <w:szCs w:val="24"/>
          <w:highlight w:val="yellow"/>
        </w:rPr>
        <w:t xml:space="preserve"> S, Edwards-Elliott R, </w:t>
      </w:r>
      <w:proofErr w:type="spellStart"/>
      <w:r w:rsidRPr="00C45A4A">
        <w:rPr>
          <w:rStyle w:val="Strong"/>
          <w:b w:val="0"/>
          <w:sz w:val="24"/>
          <w:szCs w:val="24"/>
          <w:highlight w:val="yellow"/>
        </w:rPr>
        <w:t>Glassberg</w:t>
      </w:r>
      <w:proofErr w:type="spellEnd"/>
      <w:r w:rsidRPr="00C45A4A">
        <w:rPr>
          <w:rStyle w:val="Strong"/>
          <w:b w:val="0"/>
          <w:sz w:val="24"/>
          <w:szCs w:val="24"/>
          <w:highlight w:val="yellow"/>
        </w:rPr>
        <w:t xml:space="preserve"> J, Hurley RW, et al</w:t>
      </w:r>
      <w:r w:rsidRPr="00C45A4A">
        <w:rPr>
          <w:rStyle w:val="Strong"/>
          <w:sz w:val="24"/>
          <w:szCs w:val="24"/>
          <w:highlight w:val="yellow"/>
        </w:rPr>
        <w:t>.</w:t>
      </w:r>
      <w:r w:rsidRPr="00C45A4A">
        <w:rPr>
          <w:sz w:val="24"/>
          <w:szCs w:val="24"/>
          <w:highlight w:val="yellow"/>
        </w:rPr>
        <w:t xml:space="preserve"> American Society of Hematology 2020 guidelines for sickle cell disease: management of acute and chronic pain. </w:t>
      </w:r>
      <w:r w:rsidRPr="00C45A4A">
        <w:rPr>
          <w:rStyle w:val="Emphasis"/>
          <w:sz w:val="24"/>
          <w:szCs w:val="24"/>
          <w:highlight w:val="yellow"/>
        </w:rPr>
        <w:t>Blood Adv.</w:t>
      </w:r>
      <w:r w:rsidRPr="00C45A4A">
        <w:rPr>
          <w:sz w:val="24"/>
          <w:szCs w:val="24"/>
          <w:highlight w:val="yellow"/>
        </w:rPr>
        <w:t xml:space="preserve"> 2020</w:t>
      </w:r>
      <w:proofErr w:type="gramStart"/>
      <w:r w:rsidRPr="00C45A4A">
        <w:rPr>
          <w:sz w:val="24"/>
          <w:szCs w:val="24"/>
          <w:highlight w:val="yellow"/>
        </w:rPr>
        <w:t>;4</w:t>
      </w:r>
      <w:proofErr w:type="gramEnd"/>
      <w:r w:rsidRPr="00C45A4A">
        <w:rPr>
          <w:sz w:val="24"/>
          <w:szCs w:val="24"/>
          <w:highlight w:val="yellow"/>
        </w:rPr>
        <w:t xml:space="preserve">(12):2656–701. doi:10.1182/bloodadvances.2020001851. </w:t>
      </w:r>
    </w:p>
    <w:p w:rsidR="005614B5" w:rsidRPr="00C45A4A" w:rsidRDefault="005614B5" w:rsidP="005614B5">
      <w:pPr>
        <w:pStyle w:val="ListParagraph"/>
        <w:numPr>
          <w:ilvl w:val="0"/>
          <w:numId w:val="3"/>
        </w:numPr>
        <w:spacing w:line="360" w:lineRule="auto"/>
        <w:jc w:val="both"/>
        <w:rPr>
          <w:sz w:val="24"/>
          <w:szCs w:val="24"/>
        </w:rPr>
      </w:pPr>
      <w:r w:rsidRPr="00C45A4A">
        <w:rPr>
          <w:sz w:val="24"/>
          <w:szCs w:val="24"/>
        </w:rPr>
        <w:t xml:space="preserve">Platt OS. Sickle cell anemia as an inflammatory disease. J </w:t>
      </w:r>
      <w:proofErr w:type="spellStart"/>
      <w:r w:rsidRPr="00C45A4A">
        <w:rPr>
          <w:sz w:val="24"/>
          <w:szCs w:val="24"/>
        </w:rPr>
        <w:t>Clin</w:t>
      </w:r>
      <w:proofErr w:type="spellEnd"/>
      <w:r w:rsidRPr="00C45A4A">
        <w:rPr>
          <w:sz w:val="24"/>
          <w:szCs w:val="24"/>
        </w:rPr>
        <w:t xml:space="preserve"> Invest. 2000</w:t>
      </w:r>
      <w:proofErr w:type="gramStart"/>
      <w:r w:rsidRPr="00C45A4A">
        <w:rPr>
          <w:sz w:val="24"/>
          <w:szCs w:val="24"/>
        </w:rPr>
        <w:t>;106</w:t>
      </w:r>
      <w:proofErr w:type="gramEnd"/>
      <w:r w:rsidRPr="00C45A4A">
        <w:rPr>
          <w:sz w:val="24"/>
          <w:szCs w:val="24"/>
        </w:rPr>
        <w:t>(3):337–8. </w:t>
      </w:r>
      <w:hyperlink r:id="rId8" w:tgtFrame="_blank" w:history="1">
        <w:r w:rsidRPr="00C45A4A">
          <w:rPr>
            <w:rStyle w:val="Hyperlink"/>
            <w:sz w:val="24"/>
            <w:szCs w:val="24"/>
          </w:rPr>
          <w:t>https://doi.org/10.1172/JCI10857</w:t>
        </w:r>
      </w:hyperlink>
    </w:p>
    <w:p w:rsidR="00081340" w:rsidRPr="00C45A4A" w:rsidRDefault="00081340" w:rsidP="005614B5">
      <w:pPr>
        <w:pStyle w:val="ListParagraph"/>
        <w:numPr>
          <w:ilvl w:val="0"/>
          <w:numId w:val="3"/>
        </w:numPr>
        <w:spacing w:line="360" w:lineRule="auto"/>
        <w:jc w:val="both"/>
        <w:rPr>
          <w:sz w:val="24"/>
          <w:szCs w:val="24"/>
          <w:highlight w:val="yellow"/>
        </w:rPr>
      </w:pPr>
      <w:proofErr w:type="spellStart"/>
      <w:r w:rsidRPr="00C45A4A">
        <w:rPr>
          <w:rStyle w:val="Strong"/>
          <w:b w:val="0"/>
          <w:sz w:val="24"/>
          <w:szCs w:val="24"/>
          <w:highlight w:val="yellow"/>
        </w:rPr>
        <w:t>Conran</w:t>
      </w:r>
      <w:proofErr w:type="spellEnd"/>
      <w:r w:rsidRPr="00C45A4A">
        <w:rPr>
          <w:rStyle w:val="Strong"/>
          <w:b w:val="0"/>
          <w:sz w:val="24"/>
          <w:szCs w:val="24"/>
          <w:highlight w:val="yellow"/>
        </w:rPr>
        <w:t xml:space="preserve"> N, Franco-</w:t>
      </w:r>
      <w:proofErr w:type="spellStart"/>
      <w:r w:rsidRPr="00C45A4A">
        <w:rPr>
          <w:rStyle w:val="Strong"/>
          <w:b w:val="0"/>
          <w:sz w:val="24"/>
          <w:szCs w:val="24"/>
          <w:highlight w:val="yellow"/>
        </w:rPr>
        <w:t>Penteado</w:t>
      </w:r>
      <w:proofErr w:type="spellEnd"/>
      <w:r w:rsidRPr="00C45A4A">
        <w:rPr>
          <w:rStyle w:val="Strong"/>
          <w:b w:val="0"/>
          <w:sz w:val="24"/>
          <w:szCs w:val="24"/>
          <w:highlight w:val="yellow"/>
        </w:rPr>
        <w:t xml:space="preserve"> CF</w:t>
      </w:r>
      <w:r w:rsidRPr="00C45A4A">
        <w:rPr>
          <w:rStyle w:val="Strong"/>
          <w:sz w:val="24"/>
          <w:szCs w:val="24"/>
          <w:highlight w:val="yellow"/>
        </w:rPr>
        <w:t>.</w:t>
      </w:r>
      <w:r w:rsidRPr="00C45A4A">
        <w:rPr>
          <w:sz w:val="24"/>
          <w:szCs w:val="24"/>
          <w:highlight w:val="yellow"/>
        </w:rPr>
        <w:t xml:space="preserve"> Pathophysiology of sickle cell disease: current understanding and new insights. </w:t>
      </w:r>
      <w:proofErr w:type="spellStart"/>
      <w:r w:rsidRPr="00C45A4A">
        <w:rPr>
          <w:rStyle w:val="Emphasis"/>
          <w:sz w:val="24"/>
          <w:szCs w:val="24"/>
          <w:highlight w:val="yellow"/>
        </w:rPr>
        <w:t>Curr</w:t>
      </w:r>
      <w:proofErr w:type="spellEnd"/>
      <w:r w:rsidRPr="00C45A4A">
        <w:rPr>
          <w:rStyle w:val="Emphasis"/>
          <w:sz w:val="24"/>
          <w:szCs w:val="24"/>
          <w:highlight w:val="yellow"/>
        </w:rPr>
        <w:t xml:space="preserve"> </w:t>
      </w:r>
      <w:proofErr w:type="spellStart"/>
      <w:r w:rsidRPr="00C45A4A">
        <w:rPr>
          <w:rStyle w:val="Emphasis"/>
          <w:sz w:val="24"/>
          <w:szCs w:val="24"/>
          <w:highlight w:val="yellow"/>
        </w:rPr>
        <w:t>Opin</w:t>
      </w:r>
      <w:proofErr w:type="spellEnd"/>
      <w:r w:rsidRPr="00C45A4A">
        <w:rPr>
          <w:rStyle w:val="Emphasis"/>
          <w:sz w:val="24"/>
          <w:szCs w:val="24"/>
          <w:highlight w:val="yellow"/>
        </w:rPr>
        <w:t xml:space="preserve"> </w:t>
      </w:r>
      <w:proofErr w:type="spellStart"/>
      <w:r w:rsidRPr="00C45A4A">
        <w:rPr>
          <w:rStyle w:val="Emphasis"/>
          <w:sz w:val="24"/>
          <w:szCs w:val="24"/>
          <w:highlight w:val="yellow"/>
        </w:rPr>
        <w:t>Hematol</w:t>
      </w:r>
      <w:proofErr w:type="spellEnd"/>
      <w:r w:rsidRPr="00C45A4A">
        <w:rPr>
          <w:rStyle w:val="Emphasis"/>
          <w:sz w:val="24"/>
          <w:szCs w:val="24"/>
          <w:highlight w:val="yellow"/>
        </w:rPr>
        <w:t>.</w:t>
      </w:r>
      <w:r w:rsidRPr="00C45A4A">
        <w:rPr>
          <w:sz w:val="24"/>
          <w:szCs w:val="24"/>
          <w:highlight w:val="yellow"/>
        </w:rPr>
        <w:t xml:space="preserve"> 2018</w:t>
      </w:r>
      <w:proofErr w:type="gramStart"/>
      <w:r w:rsidRPr="00C45A4A">
        <w:rPr>
          <w:sz w:val="24"/>
          <w:szCs w:val="24"/>
          <w:highlight w:val="yellow"/>
        </w:rPr>
        <w:t>;25</w:t>
      </w:r>
      <w:proofErr w:type="gramEnd"/>
      <w:r w:rsidRPr="00C45A4A">
        <w:rPr>
          <w:sz w:val="24"/>
          <w:szCs w:val="24"/>
          <w:highlight w:val="yellow"/>
        </w:rPr>
        <w:t>(3):165–71. doi:10.1097/MOH.0000000000000427.</w:t>
      </w:r>
    </w:p>
    <w:p w:rsidR="00081340" w:rsidRPr="00C45A4A" w:rsidRDefault="00081340" w:rsidP="005614B5">
      <w:pPr>
        <w:pStyle w:val="ListParagraph"/>
        <w:numPr>
          <w:ilvl w:val="0"/>
          <w:numId w:val="3"/>
        </w:numPr>
        <w:spacing w:line="360" w:lineRule="auto"/>
        <w:jc w:val="both"/>
        <w:rPr>
          <w:sz w:val="24"/>
          <w:szCs w:val="24"/>
          <w:highlight w:val="yellow"/>
        </w:rPr>
      </w:pPr>
      <w:proofErr w:type="spellStart"/>
      <w:r w:rsidRPr="00C45A4A">
        <w:rPr>
          <w:rStyle w:val="Strong"/>
          <w:b w:val="0"/>
          <w:sz w:val="24"/>
          <w:szCs w:val="24"/>
          <w:highlight w:val="yellow"/>
        </w:rPr>
        <w:t>Chai</w:t>
      </w:r>
      <w:proofErr w:type="spellEnd"/>
      <w:r w:rsidRPr="00C45A4A">
        <w:rPr>
          <w:rStyle w:val="Strong"/>
          <w:b w:val="0"/>
          <w:sz w:val="24"/>
          <w:szCs w:val="24"/>
          <w:highlight w:val="yellow"/>
        </w:rPr>
        <w:t xml:space="preserve"> Y, Wong EC, Wood JC, Liu H, </w:t>
      </w:r>
      <w:proofErr w:type="spellStart"/>
      <w:r w:rsidRPr="00C45A4A">
        <w:rPr>
          <w:rStyle w:val="Strong"/>
          <w:b w:val="0"/>
          <w:sz w:val="24"/>
          <w:szCs w:val="24"/>
          <w:highlight w:val="yellow"/>
        </w:rPr>
        <w:t>Panigrahy</w:t>
      </w:r>
      <w:proofErr w:type="spellEnd"/>
      <w:r w:rsidRPr="00C45A4A">
        <w:rPr>
          <w:rStyle w:val="Strong"/>
          <w:b w:val="0"/>
          <w:sz w:val="24"/>
          <w:szCs w:val="24"/>
          <w:highlight w:val="yellow"/>
        </w:rPr>
        <w:t xml:space="preserve"> A, Nelson MD, et al.</w:t>
      </w:r>
      <w:r w:rsidRPr="00C45A4A">
        <w:rPr>
          <w:sz w:val="24"/>
          <w:szCs w:val="24"/>
          <w:highlight w:val="yellow"/>
        </w:rPr>
        <w:t xml:space="preserve"> Reduced oxygen extraction efficiency in sickle cell anemia patients. </w:t>
      </w:r>
      <w:proofErr w:type="spellStart"/>
      <w:r w:rsidRPr="00C45A4A">
        <w:rPr>
          <w:rStyle w:val="Emphasis"/>
          <w:sz w:val="24"/>
          <w:szCs w:val="24"/>
          <w:highlight w:val="yellow"/>
        </w:rPr>
        <w:t>Sci</w:t>
      </w:r>
      <w:proofErr w:type="spellEnd"/>
      <w:r w:rsidRPr="00C45A4A">
        <w:rPr>
          <w:rStyle w:val="Emphasis"/>
          <w:sz w:val="24"/>
          <w:szCs w:val="24"/>
          <w:highlight w:val="yellow"/>
        </w:rPr>
        <w:t xml:space="preserve"> Rep.</w:t>
      </w:r>
      <w:r w:rsidRPr="00C45A4A">
        <w:rPr>
          <w:sz w:val="24"/>
          <w:szCs w:val="24"/>
          <w:highlight w:val="yellow"/>
        </w:rPr>
        <w:t xml:space="preserve"> 2020</w:t>
      </w:r>
      <w:proofErr w:type="gramStart"/>
      <w:r w:rsidRPr="00C45A4A">
        <w:rPr>
          <w:sz w:val="24"/>
          <w:szCs w:val="24"/>
          <w:highlight w:val="yellow"/>
        </w:rPr>
        <w:t>;10:6043</w:t>
      </w:r>
      <w:proofErr w:type="gramEnd"/>
      <w:r w:rsidRPr="00C45A4A">
        <w:rPr>
          <w:sz w:val="24"/>
          <w:szCs w:val="24"/>
          <w:highlight w:val="yellow"/>
        </w:rPr>
        <w:t xml:space="preserve">. </w:t>
      </w:r>
      <w:proofErr w:type="gramStart"/>
      <w:r w:rsidRPr="00C45A4A">
        <w:rPr>
          <w:sz w:val="24"/>
          <w:szCs w:val="24"/>
          <w:highlight w:val="yellow"/>
        </w:rPr>
        <w:t>doi:</w:t>
      </w:r>
      <w:proofErr w:type="gramEnd"/>
      <w:r w:rsidRPr="00C45A4A">
        <w:rPr>
          <w:sz w:val="24"/>
          <w:szCs w:val="24"/>
          <w:highlight w:val="yellow"/>
        </w:rPr>
        <w:t>10.1038/s41598-020-63018-3. PMID: PMC7922746.</w:t>
      </w:r>
    </w:p>
    <w:p w:rsidR="00081340" w:rsidRPr="00C45A4A" w:rsidRDefault="00081340" w:rsidP="005614B5">
      <w:pPr>
        <w:pStyle w:val="ListParagraph"/>
        <w:numPr>
          <w:ilvl w:val="0"/>
          <w:numId w:val="3"/>
        </w:numPr>
        <w:spacing w:line="360" w:lineRule="auto"/>
        <w:jc w:val="both"/>
        <w:rPr>
          <w:sz w:val="24"/>
          <w:szCs w:val="24"/>
          <w:highlight w:val="yellow"/>
        </w:rPr>
      </w:pPr>
      <w:r w:rsidRPr="00C45A4A">
        <w:rPr>
          <w:rStyle w:val="Strong"/>
          <w:b w:val="0"/>
          <w:sz w:val="24"/>
          <w:szCs w:val="24"/>
          <w:highlight w:val="yellow"/>
        </w:rPr>
        <w:lastRenderedPageBreak/>
        <w:t>Tsai AG, Johnson PC</w:t>
      </w:r>
      <w:r w:rsidRPr="00C45A4A">
        <w:rPr>
          <w:rStyle w:val="Strong"/>
          <w:sz w:val="24"/>
          <w:szCs w:val="24"/>
          <w:highlight w:val="yellow"/>
        </w:rPr>
        <w:t>.</w:t>
      </w:r>
      <w:r w:rsidRPr="00C45A4A">
        <w:rPr>
          <w:sz w:val="24"/>
          <w:szCs w:val="24"/>
          <w:highlight w:val="yellow"/>
        </w:rPr>
        <w:t xml:space="preserve"> The relationship of oxygen transport and cardiac index for the treatment of sickle cell anemia. </w:t>
      </w:r>
      <w:r w:rsidRPr="00C45A4A">
        <w:rPr>
          <w:rStyle w:val="Emphasis"/>
          <w:sz w:val="24"/>
          <w:szCs w:val="24"/>
          <w:highlight w:val="yellow"/>
        </w:rPr>
        <w:t>Blood Cells Mol Dis.</w:t>
      </w:r>
      <w:r w:rsidRPr="00C45A4A">
        <w:rPr>
          <w:sz w:val="24"/>
          <w:szCs w:val="24"/>
          <w:highlight w:val="yellow"/>
        </w:rPr>
        <w:t xml:space="preserve"> 2010</w:t>
      </w:r>
      <w:proofErr w:type="gramStart"/>
      <w:r w:rsidRPr="00C45A4A">
        <w:rPr>
          <w:sz w:val="24"/>
          <w:szCs w:val="24"/>
          <w:highlight w:val="yellow"/>
        </w:rPr>
        <w:t>;44</w:t>
      </w:r>
      <w:proofErr w:type="gramEnd"/>
      <w:r w:rsidRPr="00C45A4A">
        <w:rPr>
          <w:sz w:val="24"/>
          <w:szCs w:val="24"/>
          <w:highlight w:val="yellow"/>
        </w:rPr>
        <w:t>(1):38–41. doi:10.1016/j.bcmd.2009.10.006. PMID: PMC3072584.</w:t>
      </w:r>
    </w:p>
    <w:p w:rsidR="00081340" w:rsidRPr="00C45A4A" w:rsidRDefault="00081340" w:rsidP="005614B5">
      <w:pPr>
        <w:pStyle w:val="ListParagraph"/>
        <w:numPr>
          <w:ilvl w:val="0"/>
          <w:numId w:val="3"/>
        </w:numPr>
        <w:spacing w:line="360" w:lineRule="auto"/>
        <w:jc w:val="both"/>
        <w:rPr>
          <w:sz w:val="24"/>
          <w:szCs w:val="24"/>
          <w:highlight w:val="yellow"/>
        </w:rPr>
      </w:pPr>
      <w:proofErr w:type="spellStart"/>
      <w:r w:rsidRPr="00C45A4A">
        <w:rPr>
          <w:rStyle w:val="Strong"/>
          <w:b w:val="0"/>
          <w:sz w:val="24"/>
          <w:szCs w:val="24"/>
          <w:highlight w:val="yellow"/>
        </w:rPr>
        <w:t>Agyemang</w:t>
      </w:r>
      <w:proofErr w:type="spellEnd"/>
      <w:r w:rsidRPr="00C45A4A">
        <w:rPr>
          <w:rStyle w:val="Strong"/>
          <w:b w:val="0"/>
          <w:sz w:val="24"/>
          <w:szCs w:val="24"/>
          <w:highlight w:val="yellow"/>
        </w:rPr>
        <w:t xml:space="preserve"> D, </w:t>
      </w:r>
      <w:proofErr w:type="spellStart"/>
      <w:r w:rsidRPr="00C45A4A">
        <w:rPr>
          <w:rStyle w:val="Strong"/>
          <w:b w:val="0"/>
          <w:sz w:val="24"/>
          <w:szCs w:val="24"/>
          <w:highlight w:val="yellow"/>
        </w:rPr>
        <w:t>Adu</w:t>
      </w:r>
      <w:proofErr w:type="spellEnd"/>
      <w:r w:rsidRPr="00C45A4A">
        <w:rPr>
          <w:rStyle w:val="Strong"/>
          <w:b w:val="0"/>
          <w:sz w:val="24"/>
          <w:szCs w:val="24"/>
          <w:highlight w:val="yellow"/>
        </w:rPr>
        <w:t xml:space="preserve"> P, </w:t>
      </w:r>
      <w:proofErr w:type="spellStart"/>
      <w:r w:rsidRPr="00C45A4A">
        <w:rPr>
          <w:rStyle w:val="Strong"/>
          <w:b w:val="0"/>
          <w:sz w:val="24"/>
          <w:szCs w:val="24"/>
          <w:highlight w:val="yellow"/>
        </w:rPr>
        <w:t>Paintsil</w:t>
      </w:r>
      <w:proofErr w:type="spellEnd"/>
      <w:r w:rsidRPr="00C45A4A">
        <w:rPr>
          <w:rStyle w:val="Strong"/>
          <w:b w:val="0"/>
          <w:sz w:val="24"/>
          <w:szCs w:val="24"/>
          <w:highlight w:val="yellow"/>
        </w:rPr>
        <w:t xml:space="preserve"> V, Obese V, </w:t>
      </w:r>
      <w:proofErr w:type="spellStart"/>
      <w:r w:rsidRPr="00C45A4A">
        <w:rPr>
          <w:rStyle w:val="Strong"/>
          <w:b w:val="0"/>
          <w:sz w:val="24"/>
          <w:szCs w:val="24"/>
          <w:highlight w:val="yellow"/>
        </w:rPr>
        <w:t>Segbefia</w:t>
      </w:r>
      <w:proofErr w:type="spellEnd"/>
      <w:r w:rsidRPr="00C45A4A">
        <w:rPr>
          <w:rStyle w:val="Strong"/>
          <w:b w:val="0"/>
          <w:sz w:val="24"/>
          <w:szCs w:val="24"/>
          <w:highlight w:val="yellow"/>
        </w:rPr>
        <w:t xml:space="preserve"> C, </w:t>
      </w:r>
      <w:proofErr w:type="spellStart"/>
      <w:r w:rsidRPr="00C45A4A">
        <w:rPr>
          <w:rStyle w:val="Strong"/>
          <w:b w:val="0"/>
          <w:sz w:val="24"/>
          <w:szCs w:val="24"/>
          <w:highlight w:val="yellow"/>
        </w:rPr>
        <w:t>Olayemi</w:t>
      </w:r>
      <w:proofErr w:type="spellEnd"/>
      <w:r w:rsidRPr="00C45A4A">
        <w:rPr>
          <w:rStyle w:val="Strong"/>
          <w:b w:val="0"/>
          <w:sz w:val="24"/>
          <w:szCs w:val="24"/>
          <w:highlight w:val="yellow"/>
        </w:rPr>
        <w:t xml:space="preserve"> E, et al</w:t>
      </w:r>
      <w:r w:rsidRPr="00C45A4A">
        <w:rPr>
          <w:rStyle w:val="Strong"/>
          <w:sz w:val="24"/>
          <w:szCs w:val="24"/>
          <w:highlight w:val="yellow"/>
        </w:rPr>
        <w:t>.</w:t>
      </w:r>
      <w:r w:rsidRPr="00C45A4A">
        <w:rPr>
          <w:sz w:val="24"/>
          <w:szCs w:val="24"/>
          <w:highlight w:val="yellow"/>
        </w:rPr>
        <w:t xml:space="preserve"> Hematological parameters in Ghanaian sickle cell disease patients. </w:t>
      </w:r>
      <w:r w:rsidRPr="00C45A4A">
        <w:rPr>
          <w:rStyle w:val="Emphasis"/>
          <w:sz w:val="24"/>
          <w:szCs w:val="24"/>
          <w:highlight w:val="yellow"/>
        </w:rPr>
        <w:t xml:space="preserve">BMC </w:t>
      </w:r>
      <w:proofErr w:type="spellStart"/>
      <w:r w:rsidRPr="00C45A4A">
        <w:rPr>
          <w:rStyle w:val="Emphasis"/>
          <w:sz w:val="24"/>
          <w:szCs w:val="24"/>
          <w:highlight w:val="yellow"/>
        </w:rPr>
        <w:t>Hematol</w:t>
      </w:r>
      <w:proofErr w:type="spellEnd"/>
      <w:r w:rsidRPr="00C45A4A">
        <w:rPr>
          <w:rStyle w:val="Emphasis"/>
          <w:sz w:val="24"/>
          <w:szCs w:val="24"/>
          <w:highlight w:val="yellow"/>
        </w:rPr>
        <w:t>.</w:t>
      </w:r>
      <w:r w:rsidRPr="00C45A4A">
        <w:rPr>
          <w:sz w:val="24"/>
          <w:szCs w:val="24"/>
          <w:highlight w:val="yellow"/>
        </w:rPr>
        <w:t xml:space="preserve"> 2018</w:t>
      </w:r>
      <w:proofErr w:type="gramStart"/>
      <w:r w:rsidRPr="00C45A4A">
        <w:rPr>
          <w:sz w:val="24"/>
          <w:szCs w:val="24"/>
          <w:highlight w:val="yellow"/>
        </w:rPr>
        <w:t>;18:33</w:t>
      </w:r>
      <w:proofErr w:type="gramEnd"/>
      <w:r w:rsidRPr="00C45A4A">
        <w:rPr>
          <w:sz w:val="24"/>
          <w:szCs w:val="24"/>
          <w:highlight w:val="yellow"/>
        </w:rPr>
        <w:t xml:space="preserve">. </w:t>
      </w:r>
      <w:proofErr w:type="gramStart"/>
      <w:r w:rsidRPr="00C45A4A">
        <w:rPr>
          <w:sz w:val="24"/>
          <w:szCs w:val="24"/>
          <w:highlight w:val="yellow"/>
        </w:rPr>
        <w:t>doi:</w:t>
      </w:r>
      <w:proofErr w:type="gramEnd"/>
      <w:r w:rsidRPr="00C45A4A">
        <w:rPr>
          <w:sz w:val="24"/>
          <w:szCs w:val="24"/>
          <w:highlight w:val="yellow"/>
        </w:rPr>
        <w:t>10.1186/s12878-018-0134-1.</w:t>
      </w:r>
    </w:p>
    <w:p w:rsidR="005614B5" w:rsidRPr="00C45A4A" w:rsidRDefault="005614B5" w:rsidP="005614B5">
      <w:pPr>
        <w:pStyle w:val="ListParagraph"/>
        <w:numPr>
          <w:ilvl w:val="0"/>
          <w:numId w:val="3"/>
        </w:numPr>
        <w:spacing w:line="360" w:lineRule="auto"/>
        <w:jc w:val="both"/>
        <w:rPr>
          <w:sz w:val="24"/>
          <w:szCs w:val="24"/>
        </w:rPr>
      </w:pPr>
      <w:r w:rsidRPr="00C45A4A">
        <w:rPr>
          <w:sz w:val="24"/>
          <w:szCs w:val="24"/>
        </w:rPr>
        <w:t xml:space="preserve">Kato GJ, Hebbel RP, Steinberg MH, Gladwin MT. </w:t>
      </w:r>
      <w:proofErr w:type="spellStart"/>
      <w:r w:rsidRPr="00C45A4A">
        <w:rPr>
          <w:sz w:val="24"/>
          <w:szCs w:val="24"/>
        </w:rPr>
        <w:t>Vasculopathy</w:t>
      </w:r>
      <w:proofErr w:type="spellEnd"/>
      <w:r w:rsidRPr="00C45A4A">
        <w:rPr>
          <w:sz w:val="24"/>
          <w:szCs w:val="24"/>
        </w:rPr>
        <w:t xml:space="preserve"> in sickle cell disease: biology, pathophysiology, genetics, translational medicine, and new research directions. Am J </w:t>
      </w:r>
      <w:proofErr w:type="spellStart"/>
      <w:r w:rsidRPr="00C45A4A">
        <w:rPr>
          <w:sz w:val="24"/>
          <w:szCs w:val="24"/>
        </w:rPr>
        <w:t>Hematol</w:t>
      </w:r>
      <w:proofErr w:type="spellEnd"/>
      <w:r w:rsidRPr="00C45A4A">
        <w:rPr>
          <w:sz w:val="24"/>
          <w:szCs w:val="24"/>
        </w:rPr>
        <w:t>. 2009</w:t>
      </w:r>
      <w:proofErr w:type="gramStart"/>
      <w:r w:rsidRPr="00C45A4A">
        <w:rPr>
          <w:sz w:val="24"/>
          <w:szCs w:val="24"/>
        </w:rPr>
        <w:t>;84</w:t>
      </w:r>
      <w:proofErr w:type="gramEnd"/>
      <w:r w:rsidRPr="00C45A4A">
        <w:rPr>
          <w:sz w:val="24"/>
          <w:szCs w:val="24"/>
        </w:rPr>
        <w:t>(9):618–25. </w:t>
      </w:r>
      <w:hyperlink r:id="rId9" w:tgtFrame="_blank" w:history="1">
        <w:r w:rsidRPr="00C45A4A">
          <w:rPr>
            <w:rStyle w:val="Hyperlink"/>
            <w:sz w:val="24"/>
            <w:szCs w:val="24"/>
          </w:rPr>
          <w:t>https://doi.org/10.1002/ajh.21412</w:t>
        </w:r>
      </w:hyperlink>
    </w:p>
    <w:p w:rsidR="005614B5" w:rsidRPr="00C45A4A" w:rsidRDefault="005614B5" w:rsidP="005614B5">
      <w:pPr>
        <w:pStyle w:val="ListParagraph"/>
        <w:numPr>
          <w:ilvl w:val="0"/>
          <w:numId w:val="3"/>
        </w:numPr>
        <w:spacing w:line="360" w:lineRule="auto"/>
        <w:jc w:val="both"/>
        <w:rPr>
          <w:sz w:val="24"/>
          <w:szCs w:val="24"/>
        </w:rPr>
      </w:pPr>
      <w:proofErr w:type="spellStart"/>
      <w:r w:rsidRPr="00C45A4A">
        <w:rPr>
          <w:sz w:val="24"/>
          <w:szCs w:val="24"/>
        </w:rPr>
        <w:t>Ataga</w:t>
      </w:r>
      <w:proofErr w:type="spellEnd"/>
      <w:r w:rsidRPr="00C45A4A">
        <w:rPr>
          <w:sz w:val="24"/>
          <w:szCs w:val="24"/>
        </w:rPr>
        <w:t xml:space="preserve"> KI, </w:t>
      </w:r>
      <w:proofErr w:type="spellStart"/>
      <w:r w:rsidRPr="00C45A4A">
        <w:rPr>
          <w:sz w:val="24"/>
          <w:szCs w:val="24"/>
        </w:rPr>
        <w:t>Orringer</w:t>
      </w:r>
      <w:proofErr w:type="spellEnd"/>
      <w:r w:rsidRPr="00C45A4A">
        <w:rPr>
          <w:sz w:val="24"/>
          <w:szCs w:val="24"/>
        </w:rPr>
        <w:t xml:space="preserve"> EP. Hypercoagulability in sickle cell disease: a curious paradox. Am J Med. 2003</w:t>
      </w:r>
      <w:proofErr w:type="gramStart"/>
      <w:r w:rsidRPr="00C45A4A">
        <w:rPr>
          <w:sz w:val="24"/>
          <w:szCs w:val="24"/>
        </w:rPr>
        <w:t>;115</w:t>
      </w:r>
      <w:proofErr w:type="gramEnd"/>
      <w:r w:rsidRPr="00C45A4A">
        <w:rPr>
          <w:sz w:val="24"/>
          <w:szCs w:val="24"/>
        </w:rPr>
        <w:t>(9):721–8. </w:t>
      </w:r>
      <w:hyperlink r:id="rId10" w:tgtFrame="_blank" w:history="1">
        <w:r w:rsidRPr="00C45A4A">
          <w:rPr>
            <w:rStyle w:val="Hyperlink"/>
            <w:sz w:val="24"/>
            <w:szCs w:val="24"/>
          </w:rPr>
          <w:t>https://doi.org/10.1016/s0002-9343(03)00317-9</w:t>
        </w:r>
      </w:hyperlink>
    </w:p>
    <w:p w:rsidR="005614B5" w:rsidRPr="00C45A4A" w:rsidRDefault="00081340" w:rsidP="005614B5">
      <w:pPr>
        <w:pStyle w:val="ListParagraph"/>
        <w:numPr>
          <w:ilvl w:val="0"/>
          <w:numId w:val="3"/>
        </w:numPr>
        <w:spacing w:line="360" w:lineRule="auto"/>
        <w:jc w:val="both"/>
        <w:rPr>
          <w:sz w:val="24"/>
          <w:szCs w:val="24"/>
          <w:highlight w:val="yellow"/>
        </w:rPr>
      </w:pPr>
      <w:proofErr w:type="spellStart"/>
      <w:r w:rsidRPr="00C45A4A">
        <w:rPr>
          <w:rStyle w:val="Strong"/>
          <w:b w:val="0"/>
          <w:sz w:val="24"/>
          <w:szCs w:val="24"/>
          <w:highlight w:val="yellow"/>
        </w:rPr>
        <w:t>Vichinsky</w:t>
      </w:r>
      <w:proofErr w:type="spellEnd"/>
      <w:r w:rsidRPr="00C45A4A">
        <w:rPr>
          <w:rStyle w:val="Strong"/>
          <w:b w:val="0"/>
          <w:sz w:val="24"/>
          <w:szCs w:val="24"/>
          <w:highlight w:val="yellow"/>
        </w:rPr>
        <w:t xml:space="preserve"> EP, Hoppe CC, </w:t>
      </w:r>
      <w:proofErr w:type="spellStart"/>
      <w:r w:rsidRPr="00C45A4A">
        <w:rPr>
          <w:rStyle w:val="Strong"/>
          <w:b w:val="0"/>
          <w:sz w:val="24"/>
          <w:szCs w:val="24"/>
          <w:highlight w:val="yellow"/>
        </w:rPr>
        <w:t>Ataga</w:t>
      </w:r>
      <w:proofErr w:type="spellEnd"/>
      <w:r w:rsidRPr="00C45A4A">
        <w:rPr>
          <w:rStyle w:val="Strong"/>
          <w:b w:val="0"/>
          <w:sz w:val="24"/>
          <w:szCs w:val="24"/>
          <w:highlight w:val="yellow"/>
        </w:rPr>
        <w:t xml:space="preserve"> KI, Ware RE, </w:t>
      </w:r>
      <w:proofErr w:type="spellStart"/>
      <w:r w:rsidRPr="00C45A4A">
        <w:rPr>
          <w:rStyle w:val="Strong"/>
          <w:b w:val="0"/>
          <w:sz w:val="24"/>
          <w:szCs w:val="24"/>
          <w:highlight w:val="yellow"/>
        </w:rPr>
        <w:t>Nduba</w:t>
      </w:r>
      <w:proofErr w:type="spellEnd"/>
      <w:r w:rsidRPr="00C45A4A">
        <w:rPr>
          <w:rStyle w:val="Strong"/>
          <w:b w:val="0"/>
          <w:sz w:val="24"/>
          <w:szCs w:val="24"/>
          <w:highlight w:val="yellow"/>
        </w:rPr>
        <w:t xml:space="preserve"> V, El-</w:t>
      </w:r>
      <w:proofErr w:type="spellStart"/>
      <w:r w:rsidRPr="00C45A4A">
        <w:rPr>
          <w:rStyle w:val="Strong"/>
          <w:b w:val="0"/>
          <w:sz w:val="24"/>
          <w:szCs w:val="24"/>
          <w:highlight w:val="yellow"/>
        </w:rPr>
        <w:t>Beshlawy</w:t>
      </w:r>
      <w:proofErr w:type="spellEnd"/>
      <w:r w:rsidRPr="00C45A4A">
        <w:rPr>
          <w:rStyle w:val="Strong"/>
          <w:b w:val="0"/>
          <w:sz w:val="24"/>
          <w:szCs w:val="24"/>
          <w:highlight w:val="yellow"/>
        </w:rPr>
        <w:t xml:space="preserve"> A, et al</w:t>
      </w:r>
      <w:r w:rsidRPr="00C45A4A">
        <w:rPr>
          <w:rStyle w:val="Strong"/>
          <w:sz w:val="24"/>
          <w:szCs w:val="24"/>
          <w:highlight w:val="yellow"/>
        </w:rPr>
        <w:t>.</w:t>
      </w:r>
      <w:r w:rsidRPr="00C45A4A">
        <w:rPr>
          <w:sz w:val="24"/>
          <w:szCs w:val="24"/>
          <w:highlight w:val="yellow"/>
        </w:rPr>
        <w:t xml:space="preserve"> Sickle cell disease: clinical features and management. </w:t>
      </w:r>
      <w:r w:rsidRPr="00C45A4A">
        <w:rPr>
          <w:rStyle w:val="Emphasis"/>
          <w:sz w:val="24"/>
          <w:szCs w:val="24"/>
          <w:highlight w:val="yellow"/>
        </w:rPr>
        <w:t xml:space="preserve">Lancet </w:t>
      </w:r>
      <w:proofErr w:type="spellStart"/>
      <w:r w:rsidRPr="00C45A4A">
        <w:rPr>
          <w:rStyle w:val="Emphasis"/>
          <w:sz w:val="24"/>
          <w:szCs w:val="24"/>
          <w:highlight w:val="yellow"/>
        </w:rPr>
        <w:t>Haematol</w:t>
      </w:r>
      <w:proofErr w:type="spellEnd"/>
      <w:r w:rsidRPr="00C45A4A">
        <w:rPr>
          <w:rStyle w:val="Emphasis"/>
          <w:sz w:val="24"/>
          <w:szCs w:val="24"/>
          <w:highlight w:val="yellow"/>
        </w:rPr>
        <w:t>.</w:t>
      </w:r>
      <w:r w:rsidRPr="00C45A4A">
        <w:rPr>
          <w:sz w:val="24"/>
          <w:szCs w:val="24"/>
          <w:highlight w:val="yellow"/>
        </w:rPr>
        <w:t xml:space="preserve"> 2017</w:t>
      </w:r>
      <w:proofErr w:type="gramStart"/>
      <w:r w:rsidRPr="00C45A4A">
        <w:rPr>
          <w:sz w:val="24"/>
          <w:szCs w:val="24"/>
          <w:highlight w:val="yellow"/>
        </w:rPr>
        <w:t>;4</w:t>
      </w:r>
      <w:proofErr w:type="gramEnd"/>
      <w:r w:rsidRPr="00C45A4A">
        <w:rPr>
          <w:sz w:val="24"/>
          <w:szCs w:val="24"/>
          <w:highlight w:val="yellow"/>
        </w:rPr>
        <w:t xml:space="preserve">(6):e284–96. </w:t>
      </w:r>
      <w:proofErr w:type="gramStart"/>
      <w:r w:rsidRPr="00C45A4A">
        <w:rPr>
          <w:sz w:val="24"/>
          <w:szCs w:val="24"/>
          <w:highlight w:val="yellow"/>
        </w:rPr>
        <w:t>doi:</w:t>
      </w:r>
      <w:proofErr w:type="gramEnd"/>
      <w:r w:rsidRPr="00C45A4A">
        <w:rPr>
          <w:sz w:val="24"/>
          <w:szCs w:val="24"/>
          <w:highlight w:val="yellow"/>
        </w:rPr>
        <w:t>10.1016/S2352-3026(17)30040-2.</w:t>
      </w:r>
    </w:p>
    <w:p w:rsidR="00C45A4A" w:rsidRPr="00C45A4A" w:rsidRDefault="00C45A4A" w:rsidP="005614B5">
      <w:pPr>
        <w:pStyle w:val="ListParagraph"/>
        <w:numPr>
          <w:ilvl w:val="0"/>
          <w:numId w:val="3"/>
        </w:numPr>
        <w:spacing w:line="360" w:lineRule="auto"/>
        <w:jc w:val="both"/>
        <w:rPr>
          <w:sz w:val="24"/>
          <w:szCs w:val="24"/>
        </w:rPr>
      </w:pPr>
      <w:proofErr w:type="spellStart"/>
      <w:r w:rsidRPr="00C45A4A">
        <w:rPr>
          <w:rStyle w:val="Strong"/>
          <w:b w:val="0"/>
          <w:sz w:val="24"/>
          <w:szCs w:val="24"/>
          <w:highlight w:val="yellow"/>
        </w:rPr>
        <w:t>Abdulhamid</w:t>
      </w:r>
      <w:proofErr w:type="spellEnd"/>
      <w:r w:rsidRPr="00C45A4A">
        <w:rPr>
          <w:rStyle w:val="Strong"/>
          <w:b w:val="0"/>
          <w:sz w:val="24"/>
          <w:szCs w:val="24"/>
          <w:highlight w:val="yellow"/>
        </w:rPr>
        <w:t xml:space="preserve"> MB, Ibrahim SA, </w:t>
      </w:r>
      <w:proofErr w:type="spellStart"/>
      <w:r w:rsidRPr="00C45A4A">
        <w:rPr>
          <w:rStyle w:val="Strong"/>
          <w:b w:val="0"/>
          <w:sz w:val="24"/>
          <w:szCs w:val="24"/>
          <w:highlight w:val="yellow"/>
        </w:rPr>
        <w:t>Garba</w:t>
      </w:r>
      <w:proofErr w:type="spellEnd"/>
      <w:r w:rsidRPr="00C45A4A">
        <w:rPr>
          <w:rStyle w:val="Strong"/>
          <w:b w:val="0"/>
          <w:sz w:val="24"/>
          <w:szCs w:val="24"/>
          <w:highlight w:val="yellow"/>
        </w:rPr>
        <w:t xml:space="preserve"> N, </w:t>
      </w:r>
      <w:proofErr w:type="spellStart"/>
      <w:r w:rsidRPr="00C45A4A">
        <w:rPr>
          <w:rStyle w:val="Strong"/>
          <w:b w:val="0"/>
          <w:sz w:val="24"/>
          <w:szCs w:val="24"/>
          <w:highlight w:val="yellow"/>
        </w:rPr>
        <w:t>Adamu</w:t>
      </w:r>
      <w:proofErr w:type="spellEnd"/>
      <w:r w:rsidRPr="00C45A4A">
        <w:rPr>
          <w:rStyle w:val="Strong"/>
          <w:b w:val="0"/>
          <w:sz w:val="24"/>
          <w:szCs w:val="24"/>
          <w:highlight w:val="yellow"/>
        </w:rPr>
        <w:t xml:space="preserve"> L, </w:t>
      </w:r>
      <w:proofErr w:type="spellStart"/>
      <w:r w:rsidRPr="00C45A4A">
        <w:rPr>
          <w:rStyle w:val="Strong"/>
          <w:b w:val="0"/>
          <w:sz w:val="24"/>
          <w:szCs w:val="24"/>
          <w:highlight w:val="yellow"/>
        </w:rPr>
        <w:t>Abacha</w:t>
      </w:r>
      <w:proofErr w:type="spellEnd"/>
      <w:r w:rsidRPr="00C45A4A">
        <w:rPr>
          <w:rStyle w:val="Strong"/>
          <w:b w:val="0"/>
          <w:sz w:val="24"/>
          <w:szCs w:val="24"/>
          <w:highlight w:val="yellow"/>
        </w:rPr>
        <w:t xml:space="preserve"> FZ, Alkali K</w:t>
      </w:r>
      <w:r w:rsidRPr="00C45A4A">
        <w:rPr>
          <w:rStyle w:val="Strong"/>
          <w:sz w:val="24"/>
          <w:szCs w:val="24"/>
          <w:highlight w:val="yellow"/>
        </w:rPr>
        <w:t>.</w:t>
      </w:r>
      <w:r w:rsidRPr="00C45A4A">
        <w:rPr>
          <w:sz w:val="24"/>
          <w:szCs w:val="24"/>
          <w:highlight w:val="yellow"/>
        </w:rPr>
        <w:t xml:space="preserve"> </w:t>
      </w:r>
      <w:proofErr w:type="spellStart"/>
      <w:r w:rsidRPr="00C45A4A">
        <w:rPr>
          <w:sz w:val="24"/>
          <w:szCs w:val="24"/>
          <w:highlight w:val="yellow"/>
        </w:rPr>
        <w:t>Haematologic</w:t>
      </w:r>
      <w:proofErr w:type="spellEnd"/>
      <w:r w:rsidRPr="00C45A4A">
        <w:rPr>
          <w:sz w:val="24"/>
          <w:szCs w:val="24"/>
          <w:highlight w:val="yellow"/>
        </w:rPr>
        <w:t xml:space="preserve"> and biochemical changes in the steady state sickle cell anaemia children at State Specialist Hospital Maiduguri, </w:t>
      </w:r>
      <w:proofErr w:type="spellStart"/>
      <w:r w:rsidRPr="00C45A4A">
        <w:rPr>
          <w:sz w:val="24"/>
          <w:szCs w:val="24"/>
          <w:highlight w:val="yellow"/>
        </w:rPr>
        <w:t>Borno</w:t>
      </w:r>
      <w:proofErr w:type="spellEnd"/>
      <w:r w:rsidRPr="00C45A4A">
        <w:rPr>
          <w:sz w:val="24"/>
          <w:szCs w:val="24"/>
          <w:highlight w:val="yellow"/>
        </w:rPr>
        <w:t xml:space="preserve"> State, Nigeria. </w:t>
      </w:r>
      <w:proofErr w:type="spellStart"/>
      <w:r w:rsidRPr="00C45A4A">
        <w:rPr>
          <w:rStyle w:val="Emphasis"/>
          <w:sz w:val="24"/>
          <w:szCs w:val="24"/>
          <w:highlight w:val="yellow"/>
        </w:rPr>
        <w:t>Borno</w:t>
      </w:r>
      <w:proofErr w:type="spellEnd"/>
      <w:r w:rsidRPr="00C45A4A">
        <w:rPr>
          <w:rStyle w:val="Emphasis"/>
          <w:sz w:val="24"/>
          <w:szCs w:val="24"/>
          <w:highlight w:val="yellow"/>
        </w:rPr>
        <w:t xml:space="preserve"> J Med Lab Sci.</w:t>
      </w:r>
      <w:r w:rsidRPr="00C45A4A">
        <w:rPr>
          <w:sz w:val="24"/>
          <w:szCs w:val="24"/>
          <w:highlight w:val="yellow"/>
        </w:rPr>
        <w:t xml:space="preserve"> 2024</w:t>
      </w:r>
      <w:proofErr w:type="gramStart"/>
      <w:r w:rsidRPr="00C45A4A">
        <w:rPr>
          <w:sz w:val="24"/>
          <w:szCs w:val="24"/>
          <w:highlight w:val="yellow"/>
        </w:rPr>
        <w:t>;9</w:t>
      </w:r>
      <w:proofErr w:type="gramEnd"/>
      <w:r w:rsidRPr="00C45A4A">
        <w:rPr>
          <w:sz w:val="24"/>
          <w:szCs w:val="24"/>
          <w:highlight w:val="yellow"/>
        </w:rPr>
        <w:t xml:space="preserve">(1):121–9. Available from: </w:t>
      </w:r>
      <w:hyperlink r:id="rId11" w:tgtFrame="_new" w:history="1">
        <w:r w:rsidRPr="00C45A4A">
          <w:rPr>
            <w:rStyle w:val="Hyperlink"/>
            <w:sz w:val="24"/>
            <w:szCs w:val="24"/>
            <w:highlight w:val="yellow"/>
          </w:rPr>
          <w:t>https://www.ajol.info/index.php/bjmls/article/view/274289/258944</w:t>
        </w:r>
      </w:hyperlink>
      <w:r w:rsidRPr="00C45A4A">
        <w:rPr>
          <w:sz w:val="24"/>
          <w:szCs w:val="24"/>
        </w:rPr>
        <w:t xml:space="preserve"> </w:t>
      </w:r>
    </w:p>
    <w:p w:rsidR="00C45A4A" w:rsidRPr="00C45A4A" w:rsidRDefault="00C45A4A" w:rsidP="005614B5">
      <w:pPr>
        <w:pStyle w:val="ListParagraph"/>
        <w:numPr>
          <w:ilvl w:val="0"/>
          <w:numId w:val="3"/>
        </w:numPr>
        <w:spacing w:line="360" w:lineRule="auto"/>
        <w:jc w:val="both"/>
        <w:rPr>
          <w:sz w:val="24"/>
          <w:szCs w:val="24"/>
          <w:highlight w:val="yellow"/>
        </w:rPr>
      </w:pPr>
      <w:proofErr w:type="spellStart"/>
      <w:r w:rsidRPr="00C45A4A">
        <w:rPr>
          <w:rStyle w:val="Strong"/>
          <w:b w:val="0"/>
          <w:sz w:val="24"/>
          <w:szCs w:val="24"/>
          <w:highlight w:val="yellow"/>
        </w:rPr>
        <w:t>Jegede</w:t>
      </w:r>
      <w:proofErr w:type="spellEnd"/>
      <w:r w:rsidRPr="00C45A4A">
        <w:rPr>
          <w:rStyle w:val="Strong"/>
          <w:b w:val="0"/>
          <w:sz w:val="24"/>
          <w:szCs w:val="24"/>
          <w:highlight w:val="yellow"/>
        </w:rPr>
        <w:t xml:space="preserve"> OA, </w:t>
      </w:r>
      <w:proofErr w:type="spellStart"/>
      <w:r w:rsidRPr="00C45A4A">
        <w:rPr>
          <w:rStyle w:val="Strong"/>
          <w:b w:val="0"/>
          <w:sz w:val="24"/>
          <w:szCs w:val="24"/>
          <w:highlight w:val="yellow"/>
        </w:rPr>
        <w:t>Adegoke</w:t>
      </w:r>
      <w:proofErr w:type="spellEnd"/>
      <w:r w:rsidRPr="00C45A4A">
        <w:rPr>
          <w:rStyle w:val="Strong"/>
          <w:b w:val="0"/>
          <w:sz w:val="24"/>
          <w:szCs w:val="24"/>
          <w:highlight w:val="yellow"/>
        </w:rPr>
        <w:t xml:space="preserve"> SA, </w:t>
      </w:r>
      <w:proofErr w:type="spellStart"/>
      <w:r w:rsidRPr="00C45A4A">
        <w:rPr>
          <w:rStyle w:val="Strong"/>
          <w:b w:val="0"/>
          <w:sz w:val="24"/>
          <w:szCs w:val="24"/>
          <w:highlight w:val="yellow"/>
        </w:rPr>
        <w:t>Akinlade</w:t>
      </w:r>
      <w:proofErr w:type="spellEnd"/>
      <w:r w:rsidRPr="00C45A4A">
        <w:rPr>
          <w:rStyle w:val="Strong"/>
          <w:b w:val="0"/>
          <w:sz w:val="24"/>
          <w:szCs w:val="24"/>
          <w:highlight w:val="yellow"/>
        </w:rPr>
        <w:t xml:space="preserve"> KS, </w:t>
      </w:r>
      <w:proofErr w:type="spellStart"/>
      <w:r w:rsidRPr="00C45A4A">
        <w:rPr>
          <w:rStyle w:val="Strong"/>
          <w:b w:val="0"/>
          <w:sz w:val="24"/>
          <w:szCs w:val="24"/>
          <w:highlight w:val="yellow"/>
        </w:rPr>
        <w:t>Adekile</w:t>
      </w:r>
      <w:proofErr w:type="spellEnd"/>
      <w:r w:rsidRPr="00C45A4A">
        <w:rPr>
          <w:rStyle w:val="Strong"/>
          <w:b w:val="0"/>
          <w:sz w:val="24"/>
          <w:szCs w:val="24"/>
          <w:highlight w:val="yellow"/>
        </w:rPr>
        <w:t xml:space="preserve"> AD, </w:t>
      </w:r>
      <w:proofErr w:type="spellStart"/>
      <w:r w:rsidRPr="00C45A4A">
        <w:rPr>
          <w:rStyle w:val="Strong"/>
          <w:b w:val="0"/>
          <w:sz w:val="24"/>
          <w:szCs w:val="24"/>
          <w:highlight w:val="yellow"/>
        </w:rPr>
        <w:t>Rahman</w:t>
      </w:r>
      <w:proofErr w:type="spellEnd"/>
      <w:r w:rsidRPr="00C45A4A">
        <w:rPr>
          <w:rStyle w:val="Strong"/>
          <w:b w:val="0"/>
          <w:sz w:val="24"/>
          <w:szCs w:val="24"/>
          <w:highlight w:val="yellow"/>
        </w:rPr>
        <w:t xml:space="preserve"> GA, </w:t>
      </w:r>
      <w:proofErr w:type="spellStart"/>
      <w:r w:rsidRPr="00C45A4A">
        <w:rPr>
          <w:rStyle w:val="Strong"/>
          <w:b w:val="0"/>
          <w:sz w:val="24"/>
          <w:szCs w:val="24"/>
          <w:highlight w:val="yellow"/>
        </w:rPr>
        <w:t>Akinyemi</w:t>
      </w:r>
      <w:proofErr w:type="spellEnd"/>
      <w:r w:rsidRPr="00C45A4A">
        <w:rPr>
          <w:rStyle w:val="Strong"/>
          <w:b w:val="0"/>
          <w:sz w:val="24"/>
          <w:szCs w:val="24"/>
          <w:highlight w:val="yellow"/>
        </w:rPr>
        <w:t xml:space="preserve"> JO, et al</w:t>
      </w:r>
      <w:r w:rsidRPr="00C45A4A">
        <w:rPr>
          <w:rStyle w:val="Strong"/>
          <w:sz w:val="24"/>
          <w:szCs w:val="24"/>
          <w:highlight w:val="yellow"/>
        </w:rPr>
        <w:t>.</w:t>
      </w:r>
      <w:r w:rsidRPr="00C45A4A">
        <w:rPr>
          <w:sz w:val="24"/>
          <w:szCs w:val="24"/>
          <w:highlight w:val="yellow"/>
        </w:rPr>
        <w:t xml:space="preserve"> Steady state hemoglobin concentration and packed cell volume in sickle cell anemia patients: a cross-sectional study. </w:t>
      </w:r>
      <w:proofErr w:type="spellStart"/>
      <w:r w:rsidRPr="00C45A4A">
        <w:rPr>
          <w:rStyle w:val="Emphasis"/>
          <w:sz w:val="24"/>
          <w:szCs w:val="24"/>
          <w:highlight w:val="yellow"/>
        </w:rPr>
        <w:t>Afr</w:t>
      </w:r>
      <w:proofErr w:type="spellEnd"/>
      <w:r w:rsidRPr="00C45A4A">
        <w:rPr>
          <w:rStyle w:val="Emphasis"/>
          <w:sz w:val="24"/>
          <w:szCs w:val="24"/>
          <w:highlight w:val="yellow"/>
        </w:rPr>
        <w:t xml:space="preserve"> J Lab Med.</w:t>
      </w:r>
      <w:r w:rsidRPr="00C45A4A">
        <w:rPr>
          <w:sz w:val="24"/>
          <w:szCs w:val="24"/>
          <w:highlight w:val="yellow"/>
        </w:rPr>
        <w:t xml:space="preserve"> 2012</w:t>
      </w:r>
      <w:proofErr w:type="gramStart"/>
      <w:r w:rsidRPr="00C45A4A">
        <w:rPr>
          <w:sz w:val="24"/>
          <w:szCs w:val="24"/>
          <w:highlight w:val="yellow"/>
        </w:rPr>
        <w:t>;1</w:t>
      </w:r>
      <w:proofErr w:type="gramEnd"/>
      <w:r w:rsidRPr="00C45A4A">
        <w:rPr>
          <w:sz w:val="24"/>
          <w:szCs w:val="24"/>
          <w:highlight w:val="yellow"/>
        </w:rPr>
        <w:t xml:space="preserve">(1):19. doi:10.4102/ajlm.v1i1.19. PMCID: PMC3861903. </w:t>
      </w:r>
    </w:p>
    <w:p w:rsidR="00C45A4A" w:rsidRPr="00C45A4A" w:rsidRDefault="00C45A4A" w:rsidP="005614B5">
      <w:pPr>
        <w:pStyle w:val="ListParagraph"/>
        <w:numPr>
          <w:ilvl w:val="0"/>
          <w:numId w:val="3"/>
        </w:numPr>
        <w:spacing w:line="360" w:lineRule="auto"/>
        <w:jc w:val="both"/>
        <w:rPr>
          <w:sz w:val="24"/>
          <w:szCs w:val="24"/>
          <w:highlight w:val="yellow"/>
        </w:rPr>
      </w:pPr>
      <w:proofErr w:type="spellStart"/>
      <w:r w:rsidRPr="00C45A4A">
        <w:rPr>
          <w:rStyle w:val="Strong"/>
          <w:b w:val="0"/>
          <w:sz w:val="24"/>
          <w:szCs w:val="24"/>
          <w:highlight w:val="yellow"/>
        </w:rPr>
        <w:t>Olatunji</w:t>
      </w:r>
      <w:proofErr w:type="spellEnd"/>
      <w:r w:rsidRPr="00C45A4A">
        <w:rPr>
          <w:rStyle w:val="Strong"/>
          <w:b w:val="0"/>
          <w:sz w:val="24"/>
          <w:szCs w:val="24"/>
          <w:highlight w:val="yellow"/>
        </w:rPr>
        <w:t xml:space="preserve"> PO, </w:t>
      </w:r>
      <w:proofErr w:type="spellStart"/>
      <w:r w:rsidRPr="00C45A4A">
        <w:rPr>
          <w:rStyle w:val="Strong"/>
          <w:b w:val="0"/>
          <w:sz w:val="24"/>
          <w:szCs w:val="24"/>
          <w:highlight w:val="yellow"/>
        </w:rPr>
        <w:t>Akinbami</w:t>
      </w:r>
      <w:proofErr w:type="spellEnd"/>
      <w:r w:rsidRPr="00C45A4A">
        <w:rPr>
          <w:rStyle w:val="Strong"/>
          <w:b w:val="0"/>
          <w:sz w:val="24"/>
          <w:szCs w:val="24"/>
          <w:highlight w:val="yellow"/>
        </w:rPr>
        <w:t xml:space="preserve"> A, John-</w:t>
      </w:r>
      <w:proofErr w:type="spellStart"/>
      <w:r w:rsidRPr="00C45A4A">
        <w:rPr>
          <w:rStyle w:val="Strong"/>
          <w:b w:val="0"/>
          <w:sz w:val="24"/>
          <w:szCs w:val="24"/>
          <w:highlight w:val="yellow"/>
        </w:rPr>
        <w:t>Olabode</w:t>
      </w:r>
      <w:proofErr w:type="spellEnd"/>
      <w:r w:rsidRPr="00C45A4A">
        <w:rPr>
          <w:rStyle w:val="Strong"/>
          <w:b w:val="0"/>
          <w:sz w:val="24"/>
          <w:szCs w:val="24"/>
          <w:highlight w:val="yellow"/>
        </w:rPr>
        <w:t xml:space="preserve"> S, </w:t>
      </w:r>
      <w:proofErr w:type="spellStart"/>
      <w:r w:rsidRPr="00C45A4A">
        <w:rPr>
          <w:rStyle w:val="Strong"/>
          <w:b w:val="0"/>
          <w:sz w:val="24"/>
          <w:szCs w:val="24"/>
          <w:highlight w:val="yellow"/>
        </w:rPr>
        <w:t>Uche</w:t>
      </w:r>
      <w:proofErr w:type="spellEnd"/>
      <w:r w:rsidRPr="00C45A4A">
        <w:rPr>
          <w:rStyle w:val="Strong"/>
          <w:b w:val="0"/>
          <w:sz w:val="24"/>
          <w:szCs w:val="24"/>
          <w:highlight w:val="yellow"/>
        </w:rPr>
        <w:t xml:space="preserve"> E, </w:t>
      </w:r>
      <w:proofErr w:type="spellStart"/>
      <w:r w:rsidRPr="00C45A4A">
        <w:rPr>
          <w:rStyle w:val="Strong"/>
          <w:b w:val="0"/>
          <w:sz w:val="24"/>
          <w:szCs w:val="24"/>
          <w:highlight w:val="yellow"/>
        </w:rPr>
        <w:t>Adediran</w:t>
      </w:r>
      <w:proofErr w:type="spellEnd"/>
      <w:r w:rsidRPr="00C45A4A">
        <w:rPr>
          <w:rStyle w:val="Strong"/>
          <w:b w:val="0"/>
          <w:sz w:val="24"/>
          <w:szCs w:val="24"/>
          <w:highlight w:val="yellow"/>
        </w:rPr>
        <w:t xml:space="preserve"> A, </w:t>
      </w:r>
      <w:proofErr w:type="spellStart"/>
      <w:r w:rsidRPr="00C45A4A">
        <w:rPr>
          <w:rStyle w:val="Strong"/>
          <w:b w:val="0"/>
          <w:sz w:val="24"/>
          <w:szCs w:val="24"/>
          <w:highlight w:val="yellow"/>
        </w:rPr>
        <w:t>Oshinaike</w:t>
      </w:r>
      <w:proofErr w:type="spellEnd"/>
      <w:r w:rsidRPr="00C45A4A">
        <w:rPr>
          <w:rStyle w:val="Strong"/>
          <w:b w:val="0"/>
          <w:sz w:val="24"/>
          <w:szCs w:val="24"/>
          <w:highlight w:val="yellow"/>
        </w:rPr>
        <w:t xml:space="preserve"> O, et al</w:t>
      </w:r>
      <w:r w:rsidRPr="00C45A4A">
        <w:rPr>
          <w:rStyle w:val="Strong"/>
          <w:sz w:val="24"/>
          <w:szCs w:val="24"/>
          <w:highlight w:val="yellow"/>
        </w:rPr>
        <w:t>.</w:t>
      </w:r>
      <w:r w:rsidRPr="00C45A4A">
        <w:rPr>
          <w:sz w:val="24"/>
          <w:szCs w:val="24"/>
          <w:highlight w:val="yellow"/>
        </w:rPr>
        <w:t xml:space="preserve"> Haematological profile of steady state sickle cell disease patients in a Nigerian tertiary hospital. </w:t>
      </w:r>
      <w:proofErr w:type="spellStart"/>
      <w:r w:rsidRPr="00C45A4A">
        <w:rPr>
          <w:rStyle w:val="Emphasis"/>
          <w:sz w:val="24"/>
          <w:szCs w:val="24"/>
          <w:highlight w:val="yellow"/>
        </w:rPr>
        <w:t>Afr</w:t>
      </w:r>
      <w:proofErr w:type="spellEnd"/>
      <w:r w:rsidRPr="00C45A4A">
        <w:rPr>
          <w:rStyle w:val="Emphasis"/>
          <w:sz w:val="24"/>
          <w:szCs w:val="24"/>
          <w:highlight w:val="yellow"/>
        </w:rPr>
        <w:t xml:space="preserve"> J Lab Med.</w:t>
      </w:r>
      <w:r w:rsidRPr="00C45A4A">
        <w:rPr>
          <w:sz w:val="24"/>
          <w:szCs w:val="24"/>
          <w:highlight w:val="yellow"/>
        </w:rPr>
        <w:t xml:space="preserve"> 2021</w:t>
      </w:r>
      <w:proofErr w:type="gramStart"/>
      <w:r w:rsidRPr="00C45A4A">
        <w:rPr>
          <w:sz w:val="24"/>
          <w:szCs w:val="24"/>
          <w:highlight w:val="yellow"/>
        </w:rPr>
        <w:t>;10</w:t>
      </w:r>
      <w:proofErr w:type="gramEnd"/>
      <w:r w:rsidRPr="00C45A4A">
        <w:rPr>
          <w:sz w:val="24"/>
          <w:szCs w:val="24"/>
          <w:highlight w:val="yellow"/>
        </w:rPr>
        <w:t xml:space="preserve">(1):1325. doi:10.4102/ajlm.v10i1.1325. </w:t>
      </w:r>
    </w:p>
    <w:p w:rsidR="005614B5" w:rsidRPr="00C45A4A" w:rsidRDefault="005614B5" w:rsidP="005614B5">
      <w:pPr>
        <w:pStyle w:val="ListParagraph"/>
        <w:numPr>
          <w:ilvl w:val="0"/>
          <w:numId w:val="3"/>
        </w:numPr>
        <w:spacing w:line="360" w:lineRule="auto"/>
        <w:jc w:val="both"/>
        <w:rPr>
          <w:sz w:val="24"/>
          <w:szCs w:val="24"/>
        </w:rPr>
      </w:pPr>
      <w:proofErr w:type="spellStart"/>
      <w:r w:rsidRPr="00C45A4A">
        <w:rPr>
          <w:sz w:val="24"/>
          <w:szCs w:val="24"/>
        </w:rPr>
        <w:t>Ataga</w:t>
      </w:r>
      <w:proofErr w:type="spellEnd"/>
      <w:r w:rsidRPr="00C45A4A">
        <w:rPr>
          <w:sz w:val="24"/>
          <w:szCs w:val="24"/>
        </w:rPr>
        <w:t xml:space="preserve"> KI, </w:t>
      </w:r>
      <w:proofErr w:type="spellStart"/>
      <w:r w:rsidRPr="00C45A4A">
        <w:rPr>
          <w:sz w:val="24"/>
          <w:szCs w:val="24"/>
        </w:rPr>
        <w:t>Orringer</w:t>
      </w:r>
      <w:proofErr w:type="spellEnd"/>
      <w:r w:rsidRPr="00C45A4A">
        <w:rPr>
          <w:sz w:val="24"/>
          <w:szCs w:val="24"/>
        </w:rPr>
        <w:t xml:space="preserve"> EP. Hypercoagulability in sickle cell disease: a curious paradox. Am J Med. 2003</w:t>
      </w:r>
      <w:proofErr w:type="gramStart"/>
      <w:r w:rsidRPr="00C45A4A">
        <w:rPr>
          <w:sz w:val="24"/>
          <w:szCs w:val="24"/>
        </w:rPr>
        <w:t>;115</w:t>
      </w:r>
      <w:proofErr w:type="gramEnd"/>
      <w:r w:rsidRPr="00C45A4A">
        <w:rPr>
          <w:sz w:val="24"/>
          <w:szCs w:val="24"/>
        </w:rPr>
        <w:t>(9):721–8. </w:t>
      </w:r>
      <w:hyperlink r:id="rId12" w:tgtFrame="_blank" w:history="1">
        <w:r w:rsidRPr="00C45A4A">
          <w:rPr>
            <w:rStyle w:val="Hyperlink"/>
            <w:sz w:val="24"/>
            <w:szCs w:val="24"/>
          </w:rPr>
          <w:t>https://doi.org/10.1016/s0002-9343(03)00317-9</w:t>
        </w:r>
      </w:hyperlink>
    </w:p>
    <w:p w:rsidR="005614B5" w:rsidRPr="00C45A4A" w:rsidRDefault="005614B5" w:rsidP="005614B5">
      <w:pPr>
        <w:pStyle w:val="ListParagraph"/>
        <w:numPr>
          <w:ilvl w:val="0"/>
          <w:numId w:val="3"/>
        </w:numPr>
        <w:spacing w:line="360" w:lineRule="auto"/>
        <w:jc w:val="both"/>
        <w:rPr>
          <w:sz w:val="24"/>
          <w:szCs w:val="24"/>
        </w:rPr>
      </w:pPr>
      <w:proofErr w:type="spellStart"/>
      <w:r w:rsidRPr="00C45A4A">
        <w:rPr>
          <w:sz w:val="24"/>
          <w:szCs w:val="24"/>
        </w:rPr>
        <w:lastRenderedPageBreak/>
        <w:t>Powars</w:t>
      </w:r>
      <w:proofErr w:type="spellEnd"/>
      <w:r w:rsidRPr="00C45A4A">
        <w:rPr>
          <w:sz w:val="24"/>
          <w:szCs w:val="24"/>
        </w:rPr>
        <w:t xml:space="preserve"> DR, Chan LS, </w:t>
      </w:r>
      <w:proofErr w:type="spellStart"/>
      <w:r w:rsidRPr="00C45A4A">
        <w:rPr>
          <w:sz w:val="24"/>
          <w:szCs w:val="24"/>
        </w:rPr>
        <w:t>Hiti</w:t>
      </w:r>
      <w:proofErr w:type="spellEnd"/>
      <w:r w:rsidRPr="00C45A4A">
        <w:rPr>
          <w:sz w:val="24"/>
          <w:szCs w:val="24"/>
        </w:rPr>
        <w:t xml:space="preserve"> A, </w:t>
      </w:r>
      <w:proofErr w:type="spellStart"/>
      <w:r w:rsidRPr="00C45A4A">
        <w:rPr>
          <w:sz w:val="24"/>
          <w:szCs w:val="24"/>
        </w:rPr>
        <w:t>Ramicone</w:t>
      </w:r>
      <w:proofErr w:type="spellEnd"/>
      <w:r w:rsidRPr="00C45A4A">
        <w:rPr>
          <w:sz w:val="24"/>
          <w:szCs w:val="24"/>
        </w:rPr>
        <w:t xml:space="preserve"> E, Johnson C. Outcome of sickle cell anemia: a 4-decade observational study of 1056 patients. Medicine (Baltimore). 2005</w:t>
      </w:r>
      <w:proofErr w:type="gramStart"/>
      <w:r w:rsidRPr="00C45A4A">
        <w:rPr>
          <w:sz w:val="24"/>
          <w:szCs w:val="24"/>
        </w:rPr>
        <w:t>;84</w:t>
      </w:r>
      <w:proofErr w:type="gramEnd"/>
      <w:r w:rsidRPr="00C45A4A">
        <w:rPr>
          <w:sz w:val="24"/>
          <w:szCs w:val="24"/>
        </w:rPr>
        <w:t>(6):363–76. </w:t>
      </w:r>
      <w:hyperlink r:id="rId13" w:tgtFrame="_blank" w:history="1">
        <w:r w:rsidRPr="00C45A4A">
          <w:rPr>
            <w:rStyle w:val="Hyperlink"/>
            <w:sz w:val="24"/>
            <w:szCs w:val="24"/>
          </w:rPr>
          <w:t>https://doi.org/10.1097/01.md.0000181755.85787.72</w:t>
        </w:r>
      </w:hyperlink>
    </w:p>
    <w:p w:rsidR="005614B5" w:rsidRPr="00C45A4A" w:rsidRDefault="005614B5" w:rsidP="005614B5">
      <w:pPr>
        <w:spacing w:line="360" w:lineRule="auto"/>
        <w:jc w:val="both"/>
        <w:rPr>
          <w:rFonts w:cstheme="minorHAnsi"/>
          <w:sz w:val="24"/>
          <w:szCs w:val="24"/>
        </w:rPr>
      </w:pPr>
    </w:p>
    <w:p w:rsidR="009D753F" w:rsidRPr="00C45A4A" w:rsidRDefault="009D753F">
      <w:pPr>
        <w:rPr>
          <w:sz w:val="24"/>
          <w:szCs w:val="24"/>
        </w:rPr>
      </w:pPr>
    </w:p>
    <w:sectPr w:rsidR="009D753F" w:rsidRPr="00C45A4A" w:rsidSect="00444C54">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0B" w:rsidRDefault="00C45A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0B" w:rsidRDefault="00C45A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0B" w:rsidRDefault="00C45A4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0B" w:rsidRDefault="00C45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4094" o:spid="_x0000_s1026"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0B" w:rsidRDefault="00C45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4095" o:spid="_x0000_s1027"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0B" w:rsidRDefault="00C45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4093" o:spid="_x0000_s1025"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5C3B"/>
    <w:multiLevelType w:val="multilevel"/>
    <w:tmpl w:val="FEF4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332D7"/>
    <w:multiLevelType w:val="hybridMultilevel"/>
    <w:tmpl w:val="2C8E8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17614"/>
    <w:multiLevelType w:val="multilevel"/>
    <w:tmpl w:val="4620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53781"/>
    <w:multiLevelType w:val="multilevel"/>
    <w:tmpl w:val="282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3068C"/>
    <w:multiLevelType w:val="multilevel"/>
    <w:tmpl w:val="BD6E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753D7"/>
    <w:multiLevelType w:val="multilevel"/>
    <w:tmpl w:val="624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3074"/>
    <o:shapelayout v:ext="edit">
      <o:idmap v:ext="edit" data="1"/>
    </o:shapelayout>
  </w:hdrShapeDefaults>
  <w:compat/>
  <w:rsids>
    <w:rsidRoot w:val="005614B5"/>
    <w:rsid w:val="00081340"/>
    <w:rsid w:val="002649B4"/>
    <w:rsid w:val="00525A51"/>
    <w:rsid w:val="005614B5"/>
    <w:rsid w:val="005D7658"/>
    <w:rsid w:val="0074660D"/>
    <w:rsid w:val="009D753F"/>
    <w:rsid w:val="00BA427B"/>
    <w:rsid w:val="00C45A4A"/>
    <w:rsid w:val="00D01BC9"/>
    <w:rsid w:val="00F97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4B5"/>
  </w:style>
  <w:style w:type="paragraph" w:styleId="Heading2">
    <w:name w:val="heading 2"/>
    <w:basedOn w:val="Normal"/>
    <w:next w:val="Normal"/>
    <w:link w:val="Heading2Char"/>
    <w:uiPriority w:val="9"/>
    <w:semiHidden/>
    <w:unhideWhenUsed/>
    <w:qFormat/>
    <w:rsid w:val="00561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14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614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14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14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614B5"/>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614B5"/>
    <w:rPr>
      <w:b/>
      <w:bCs/>
    </w:rPr>
  </w:style>
  <w:style w:type="paragraph" w:styleId="ListParagraph">
    <w:name w:val="List Paragraph"/>
    <w:basedOn w:val="Normal"/>
    <w:uiPriority w:val="34"/>
    <w:qFormat/>
    <w:rsid w:val="005614B5"/>
    <w:pPr>
      <w:ind w:left="720"/>
      <w:contextualSpacing/>
    </w:pPr>
  </w:style>
  <w:style w:type="character" w:styleId="Hyperlink">
    <w:name w:val="Hyperlink"/>
    <w:basedOn w:val="DefaultParagraphFont"/>
    <w:unhideWhenUsed/>
    <w:rsid w:val="005614B5"/>
    <w:rPr>
      <w:color w:val="0000FF"/>
      <w:u w:val="single"/>
    </w:rPr>
  </w:style>
  <w:style w:type="table" w:customStyle="1" w:styleId="TableGrid11">
    <w:name w:val="Table Grid11"/>
    <w:basedOn w:val="TableNormal"/>
    <w:uiPriority w:val="39"/>
    <w:rsid w:val="005614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614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4B5"/>
  </w:style>
  <w:style w:type="paragraph" w:styleId="Footer">
    <w:name w:val="footer"/>
    <w:basedOn w:val="Normal"/>
    <w:link w:val="FooterChar"/>
    <w:uiPriority w:val="99"/>
    <w:unhideWhenUsed/>
    <w:rsid w:val="0056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4B5"/>
  </w:style>
  <w:style w:type="character" w:styleId="Emphasis">
    <w:name w:val="Emphasis"/>
    <w:basedOn w:val="DefaultParagraphFont"/>
    <w:uiPriority w:val="20"/>
    <w:qFormat/>
    <w:rsid w:val="0074660D"/>
    <w:rPr>
      <w:i/>
      <w:iCs/>
    </w:rPr>
  </w:style>
</w:styles>
</file>

<file path=word/webSettings.xml><?xml version="1.0" encoding="utf-8"?>
<w:webSettings xmlns:r="http://schemas.openxmlformats.org/officeDocument/2006/relationships" xmlns:w="http://schemas.openxmlformats.org/wordprocessingml/2006/main">
  <w:divs>
    <w:div w:id="276067970">
      <w:bodyDiv w:val="1"/>
      <w:marLeft w:val="0"/>
      <w:marRight w:val="0"/>
      <w:marTop w:val="0"/>
      <w:marBottom w:val="0"/>
      <w:divBdr>
        <w:top w:val="none" w:sz="0" w:space="0" w:color="auto"/>
        <w:left w:val="none" w:sz="0" w:space="0" w:color="auto"/>
        <w:bottom w:val="none" w:sz="0" w:space="0" w:color="auto"/>
        <w:right w:val="none" w:sz="0" w:space="0" w:color="auto"/>
      </w:divBdr>
    </w:div>
    <w:div w:id="443160566">
      <w:bodyDiv w:val="1"/>
      <w:marLeft w:val="0"/>
      <w:marRight w:val="0"/>
      <w:marTop w:val="0"/>
      <w:marBottom w:val="0"/>
      <w:divBdr>
        <w:top w:val="none" w:sz="0" w:space="0" w:color="auto"/>
        <w:left w:val="none" w:sz="0" w:space="0" w:color="auto"/>
        <w:bottom w:val="none" w:sz="0" w:space="0" w:color="auto"/>
        <w:right w:val="none" w:sz="0" w:space="0" w:color="auto"/>
      </w:divBdr>
    </w:div>
    <w:div w:id="886725845">
      <w:bodyDiv w:val="1"/>
      <w:marLeft w:val="0"/>
      <w:marRight w:val="0"/>
      <w:marTop w:val="0"/>
      <w:marBottom w:val="0"/>
      <w:divBdr>
        <w:top w:val="none" w:sz="0" w:space="0" w:color="auto"/>
        <w:left w:val="none" w:sz="0" w:space="0" w:color="auto"/>
        <w:bottom w:val="none" w:sz="0" w:space="0" w:color="auto"/>
        <w:right w:val="none" w:sz="0" w:space="0" w:color="auto"/>
      </w:divBdr>
    </w:div>
    <w:div w:id="1534265515">
      <w:bodyDiv w:val="1"/>
      <w:marLeft w:val="0"/>
      <w:marRight w:val="0"/>
      <w:marTop w:val="0"/>
      <w:marBottom w:val="0"/>
      <w:divBdr>
        <w:top w:val="none" w:sz="0" w:space="0" w:color="auto"/>
        <w:left w:val="none" w:sz="0" w:space="0" w:color="auto"/>
        <w:bottom w:val="none" w:sz="0" w:space="0" w:color="auto"/>
        <w:right w:val="none" w:sz="0" w:space="0" w:color="auto"/>
      </w:divBdr>
    </w:div>
    <w:div w:id="1538619065">
      <w:bodyDiv w:val="1"/>
      <w:marLeft w:val="0"/>
      <w:marRight w:val="0"/>
      <w:marTop w:val="0"/>
      <w:marBottom w:val="0"/>
      <w:divBdr>
        <w:top w:val="none" w:sz="0" w:space="0" w:color="auto"/>
        <w:left w:val="none" w:sz="0" w:space="0" w:color="auto"/>
        <w:bottom w:val="none" w:sz="0" w:space="0" w:color="auto"/>
        <w:right w:val="none" w:sz="0" w:space="0" w:color="auto"/>
      </w:divBdr>
      <w:divsChild>
        <w:div w:id="777482372">
          <w:marLeft w:val="0"/>
          <w:marRight w:val="0"/>
          <w:marTop w:val="0"/>
          <w:marBottom w:val="0"/>
          <w:divBdr>
            <w:top w:val="none" w:sz="0" w:space="0" w:color="auto"/>
            <w:left w:val="none" w:sz="0" w:space="0" w:color="auto"/>
            <w:bottom w:val="none" w:sz="0" w:space="0" w:color="auto"/>
            <w:right w:val="none" w:sz="0" w:space="0" w:color="auto"/>
          </w:divBdr>
          <w:divsChild>
            <w:div w:id="506752663">
              <w:marLeft w:val="0"/>
              <w:marRight w:val="0"/>
              <w:marTop w:val="0"/>
              <w:marBottom w:val="0"/>
              <w:divBdr>
                <w:top w:val="none" w:sz="0" w:space="0" w:color="auto"/>
                <w:left w:val="none" w:sz="0" w:space="0" w:color="auto"/>
                <w:bottom w:val="none" w:sz="0" w:space="0" w:color="auto"/>
                <w:right w:val="none" w:sz="0" w:space="0" w:color="auto"/>
              </w:divBdr>
            </w:div>
          </w:divsChild>
        </w:div>
        <w:div w:id="1717702799">
          <w:marLeft w:val="0"/>
          <w:marRight w:val="0"/>
          <w:marTop w:val="0"/>
          <w:marBottom w:val="0"/>
          <w:divBdr>
            <w:top w:val="none" w:sz="0" w:space="0" w:color="auto"/>
            <w:left w:val="none" w:sz="0" w:space="0" w:color="auto"/>
            <w:bottom w:val="none" w:sz="0" w:space="0" w:color="auto"/>
            <w:right w:val="none" w:sz="0" w:space="0" w:color="auto"/>
          </w:divBdr>
          <w:divsChild>
            <w:div w:id="12322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2/JCI10857" TargetMode="External"/><Relationship Id="rId13" Type="http://schemas.openxmlformats.org/officeDocument/2006/relationships/hyperlink" Target="https://doi.org/10.1097/01.md.0000181755.85787.7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56/NEJM199406093302303" TargetMode="External"/><Relationship Id="rId12" Type="http://schemas.openxmlformats.org/officeDocument/2006/relationships/hyperlink" Target="https://doi.org/10.1016/s0002-9343(03)00317-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111/j.1749-6632.1989.tb21044.x" TargetMode="External"/><Relationship Id="rId11" Type="http://schemas.openxmlformats.org/officeDocument/2006/relationships/hyperlink" Target="https://www.ajol.info/index.php/bjmls/article/view/274289/258944" TargetMode="External"/><Relationship Id="rId5" Type="http://schemas.openxmlformats.org/officeDocument/2006/relationships/hyperlink" Target="https://doi.org/10.1016/S0140-6736(10)61029-X" TargetMode="External"/><Relationship Id="rId15" Type="http://schemas.openxmlformats.org/officeDocument/2006/relationships/header" Target="header2.xml"/><Relationship Id="rId10" Type="http://schemas.openxmlformats.org/officeDocument/2006/relationships/hyperlink" Target="https://doi.org/10.1016/s0002-9343(03)00317-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2/ajh.2141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20</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Daud Marhils</cp:lastModifiedBy>
  <cp:revision>2</cp:revision>
  <dcterms:created xsi:type="dcterms:W3CDTF">2025-05-25T09:36:00Z</dcterms:created>
  <dcterms:modified xsi:type="dcterms:W3CDTF">2025-05-25T11:22:00Z</dcterms:modified>
</cp:coreProperties>
</file>