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C570F" w14:textId="55363C23" w:rsidR="00B4158A" w:rsidRDefault="00B975ED" w:rsidP="00851181">
      <w:pPr>
        <w:spacing w:line="480" w:lineRule="auto"/>
        <w:jc w:val="both"/>
        <w:rPr>
          <w:rFonts w:ascii="Times New Roman" w:hAnsi="Times New Roman"/>
          <w:b/>
          <w:color w:val="000000" w:themeColor="text1"/>
          <w:sz w:val="24"/>
          <w:szCs w:val="24"/>
        </w:rPr>
      </w:pPr>
      <w:r w:rsidRPr="009A437F">
        <w:rPr>
          <w:rFonts w:ascii="Times New Roman" w:hAnsi="Times New Roman"/>
          <w:b/>
          <w:color w:val="000000" w:themeColor="text1"/>
          <w:sz w:val="24"/>
          <w:szCs w:val="24"/>
        </w:rPr>
        <w:t>Microsponges enriched gel for enhanced anti-microbial potential of Shikalkin: Development and Characterization</w:t>
      </w:r>
    </w:p>
    <w:p w14:paraId="57597F6B" w14:textId="77777777" w:rsidR="001C3C56" w:rsidRPr="001C3C56" w:rsidRDefault="001C3C56" w:rsidP="00851181">
      <w:pPr>
        <w:spacing w:line="480" w:lineRule="auto"/>
        <w:jc w:val="both"/>
        <w:rPr>
          <w:rFonts w:ascii="Times New Roman" w:hAnsi="Times New Roman"/>
          <w:b/>
          <w:color w:val="000000" w:themeColor="text1"/>
          <w:sz w:val="24"/>
          <w:szCs w:val="24"/>
        </w:rPr>
      </w:pPr>
    </w:p>
    <w:p w14:paraId="522B6ED0" w14:textId="3A5DC7ED" w:rsidR="00B975ED" w:rsidRPr="00851181" w:rsidRDefault="00B975ED" w:rsidP="00851181">
      <w:pPr>
        <w:spacing w:line="480" w:lineRule="auto"/>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t>Abstract</w:t>
      </w:r>
    </w:p>
    <w:p w14:paraId="35C75DED" w14:textId="55C79515" w:rsidR="00A850F6" w:rsidRPr="0039346D" w:rsidRDefault="00A850F6" w:rsidP="00A850F6">
      <w:pPr>
        <w:spacing w:before="120" w:after="120" w:line="360" w:lineRule="auto"/>
        <w:jc w:val="both"/>
        <w:rPr>
          <w:rFonts w:ascii="Times New Roman" w:hAnsi="Times New Roman"/>
          <w:color w:val="000000" w:themeColor="text1"/>
          <w:sz w:val="24"/>
          <w:szCs w:val="24"/>
        </w:rPr>
      </w:pPr>
      <w:r w:rsidRPr="00965F4C">
        <w:rPr>
          <w:rFonts w:ascii="Times New Roman" w:hAnsi="Times New Roman"/>
          <w:color w:val="000000" w:themeColor="text1"/>
          <w:sz w:val="24"/>
          <w:szCs w:val="24"/>
          <w:highlight w:val="yellow"/>
        </w:rPr>
        <w:t xml:space="preserve">Modern science has gone a long way in elucidating the beguiling properties attributed to the roots of </w:t>
      </w:r>
      <w:proofErr w:type="spellStart"/>
      <w:r w:rsidRPr="00965F4C">
        <w:rPr>
          <w:rFonts w:ascii="Times New Roman" w:hAnsi="Times New Roman"/>
          <w:color w:val="000000" w:themeColor="text1"/>
          <w:sz w:val="24"/>
          <w:szCs w:val="24"/>
          <w:highlight w:val="yellow"/>
        </w:rPr>
        <w:t>Arnebia</w:t>
      </w:r>
      <w:proofErr w:type="spellEnd"/>
      <w:r w:rsidRPr="00965F4C">
        <w:rPr>
          <w:rFonts w:ascii="Times New Roman" w:hAnsi="Times New Roman"/>
          <w:color w:val="000000" w:themeColor="text1"/>
          <w:sz w:val="24"/>
          <w:szCs w:val="24"/>
          <w:highlight w:val="yellow"/>
        </w:rPr>
        <w:t xml:space="preserve"> nobilis (Boraginaceae) containing Shikalkin (SHK). This compound holds promise as a powerful anti-microbial agent, addressing the persistent problem of microbial resistance stemming from imprudent use of antibiotics. However, the effectiveness of SHK is hindered by its photostability and poor aqueous solubility, limiting its use in pharmaceutical applications. This study aims to overcome these challenges by developing a </w:t>
      </w:r>
      <w:proofErr w:type="spellStart"/>
      <w:r w:rsidRPr="00965F4C">
        <w:rPr>
          <w:rFonts w:ascii="Times New Roman" w:hAnsi="Times New Roman"/>
          <w:color w:val="000000" w:themeColor="text1"/>
          <w:sz w:val="24"/>
          <w:szCs w:val="24"/>
          <w:highlight w:val="yellow"/>
        </w:rPr>
        <w:t>microsponge</w:t>
      </w:r>
      <w:proofErr w:type="spellEnd"/>
      <w:r w:rsidRPr="00965F4C">
        <w:rPr>
          <w:rFonts w:ascii="Times New Roman" w:hAnsi="Times New Roman"/>
          <w:color w:val="000000" w:themeColor="text1"/>
          <w:sz w:val="24"/>
          <w:szCs w:val="24"/>
          <w:highlight w:val="yellow"/>
        </w:rPr>
        <w:t xml:space="preserve"> based topical gel containing SHK, after its successful extraction from roots of </w:t>
      </w:r>
      <w:proofErr w:type="spellStart"/>
      <w:r w:rsidRPr="00965F4C">
        <w:rPr>
          <w:rFonts w:ascii="Times New Roman" w:hAnsi="Times New Roman"/>
          <w:color w:val="000000" w:themeColor="text1"/>
          <w:sz w:val="24"/>
          <w:szCs w:val="24"/>
          <w:highlight w:val="yellow"/>
        </w:rPr>
        <w:t>Arnebia</w:t>
      </w:r>
      <w:proofErr w:type="spellEnd"/>
      <w:r w:rsidRPr="00965F4C">
        <w:rPr>
          <w:rFonts w:ascii="Times New Roman" w:hAnsi="Times New Roman"/>
          <w:color w:val="000000" w:themeColor="text1"/>
          <w:sz w:val="24"/>
          <w:szCs w:val="24"/>
          <w:highlight w:val="yellow"/>
        </w:rPr>
        <w:t xml:space="preserve"> nobilis. The encapsulation of SHK within the core of microsponges was confirmed through various techniques viz.</w:t>
      </w:r>
      <w:r w:rsidR="003D3628">
        <w:rPr>
          <w:rFonts w:ascii="Times New Roman" w:hAnsi="Times New Roman"/>
          <w:color w:val="000000" w:themeColor="text1"/>
          <w:sz w:val="24"/>
          <w:szCs w:val="24"/>
          <w:highlight w:val="yellow"/>
        </w:rPr>
        <w:t xml:space="preserve"> </w:t>
      </w:r>
      <w:proofErr w:type="gramStart"/>
      <w:r w:rsidR="003D3628">
        <w:rPr>
          <w:rFonts w:ascii="Times New Roman" w:hAnsi="Times New Roman"/>
          <w:color w:val="000000" w:themeColor="text1"/>
          <w:sz w:val="24"/>
          <w:szCs w:val="24"/>
          <w:highlight w:val="yellow"/>
        </w:rPr>
        <w:t>High</w:t>
      </w:r>
      <w:r w:rsidRPr="00965F4C">
        <w:rPr>
          <w:rFonts w:ascii="Times New Roman" w:hAnsi="Times New Roman"/>
          <w:color w:val="000000" w:themeColor="text1"/>
          <w:sz w:val="24"/>
          <w:szCs w:val="24"/>
          <w:highlight w:val="yellow"/>
        </w:rPr>
        <w:t xml:space="preserve"> </w:t>
      </w:r>
      <w:r w:rsidR="00F125C4">
        <w:rPr>
          <w:rFonts w:ascii="Times New Roman" w:hAnsi="Times New Roman"/>
          <w:color w:val="000000" w:themeColor="text1"/>
          <w:sz w:val="24"/>
          <w:szCs w:val="24"/>
          <w:highlight w:val="yellow"/>
        </w:rPr>
        <w:t xml:space="preserve"> </w:t>
      </w:r>
      <w:r w:rsidR="00965F4C" w:rsidRPr="00965F4C">
        <w:rPr>
          <w:rFonts w:ascii="Times New Roman" w:hAnsi="Times New Roman"/>
          <w:color w:val="000000" w:themeColor="text1"/>
          <w:sz w:val="24"/>
          <w:szCs w:val="24"/>
          <w:highlight w:val="yellow"/>
        </w:rPr>
        <w:t>Performance</w:t>
      </w:r>
      <w:proofErr w:type="gramEnd"/>
      <w:r w:rsidR="00965F4C" w:rsidRPr="00965F4C">
        <w:rPr>
          <w:rFonts w:ascii="Times New Roman" w:hAnsi="Times New Roman"/>
          <w:color w:val="000000" w:themeColor="text1"/>
          <w:sz w:val="24"/>
          <w:szCs w:val="24"/>
          <w:highlight w:val="yellow"/>
        </w:rPr>
        <w:t xml:space="preserve"> Liquid Chromatography (HPLC), </w:t>
      </w:r>
      <w:r w:rsidRPr="00965F4C">
        <w:rPr>
          <w:rFonts w:ascii="Times New Roman" w:hAnsi="Times New Roman"/>
          <w:color w:val="000000" w:themeColor="text1"/>
          <w:sz w:val="24"/>
          <w:szCs w:val="24"/>
          <w:highlight w:val="yellow"/>
        </w:rPr>
        <w:t>UV spectrophotometry</w:t>
      </w:r>
      <w:r w:rsidRPr="009B0A16">
        <w:rPr>
          <w:rFonts w:ascii="Times New Roman" w:hAnsi="Times New Roman"/>
          <w:color w:val="000000" w:themeColor="text1"/>
          <w:sz w:val="24"/>
          <w:szCs w:val="24"/>
          <w:highlight w:val="yellow"/>
        </w:rPr>
        <w:t xml:space="preserve">, </w:t>
      </w:r>
      <w:r w:rsidR="009B0A16" w:rsidRPr="009B0A16">
        <w:rPr>
          <w:rFonts w:ascii="Times New Roman" w:hAnsi="Times New Roman"/>
          <w:color w:val="000000" w:themeColor="text1"/>
          <w:sz w:val="24"/>
          <w:szCs w:val="24"/>
          <w:highlight w:val="yellow"/>
        </w:rPr>
        <w:t>Attenuated Total Reflectance</w:t>
      </w:r>
      <w:r w:rsidR="009B0A16" w:rsidRPr="009B0A16">
        <w:rPr>
          <w:rFonts w:ascii="Times New Roman" w:hAnsi="Times New Roman"/>
          <w:b/>
          <w:color w:val="000000" w:themeColor="text1"/>
          <w:sz w:val="24"/>
          <w:szCs w:val="24"/>
          <w:highlight w:val="yellow"/>
        </w:rPr>
        <w:t xml:space="preserve"> (</w:t>
      </w:r>
      <w:r w:rsidRPr="009B0A16">
        <w:rPr>
          <w:rFonts w:ascii="Times New Roman" w:hAnsi="Times New Roman"/>
          <w:color w:val="000000" w:themeColor="text1"/>
          <w:sz w:val="24"/>
          <w:szCs w:val="24"/>
          <w:highlight w:val="yellow"/>
        </w:rPr>
        <w:t>ATR</w:t>
      </w:r>
      <w:r w:rsidR="009B0A16">
        <w:rPr>
          <w:rFonts w:ascii="Times New Roman" w:hAnsi="Times New Roman"/>
          <w:color w:val="000000" w:themeColor="text1"/>
          <w:sz w:val="24"/>
          <w:szCs w:val="24"/>
          <w:highlight w:val="yellow"/>
        </w:rPr>
        <w:t>)</w:t>
      </w:r>
      <w:r w:rsidRPr="00965F4C">
        <w:rPr>
          <w:rFonts w:ascii="Times New Roman" w:hAnsi="Times New Roman"/>
          <w:color w:val="000000" w:themeColor="text1"/>
          <w:sz w:val="24"/>
          <w:szCs w:val="24"/>
          <w:highlight w:val="yellow"/>
        </w:rPr>
        <w:t xml:space="preserve"> analysis,</w:t>
      </w:r>
      <w:r w:rsidR="009B0A16">
        <w:rPr>
          <w:rFonts w:ascii="Times New Roman" w:hAnsi="Times New Roman"/>
          <w:color w:val="000000" w:themeColor="text1"/>
          <w:sz w:val="24"/>
          <w:szCs w:val="24"/>
          <w:highlight w:val="yellow"/>
        </w:rPr>
        <w:t xml:space="preserve"> </w:t>
      </w:r>
      <w:r w:rsidR="009B0A16" w:rsidRPr="009B0A16">
        <w:rPr>
          <w:rFonts w:ascii="Times New Roman" w:hAnsi="Times New Roman"/>
          <w:bCs/>
          <w:iCs/>
          <w:color w:val="000000" w:themeColor="text1"/>
          <w:sz w:val="24"/>
          <w:szCs w:val="24"/>
          <w:highlight w:val="yellow"/>
        </w:rPr>
        <w:t>X-Ray Diffraction</w:t>
      </w:r>
      <w:r w:rsidR="009B0A16" w:rsidRPr="009B0A16">
        <w:rPr>
          <w:rFonts w:ascii="Times New Roman" w:hAnsi="Times New Roman"/>
          <w:b/>
          <w:i/>
          <w:color w:val="000000" w:themeColor="text1"/>
          <w:sz w:val="24"/>
          <w:szCs w:val="24"/>
          <w:highlight w:val="yellow"/>
        </w:rPr>
        <w:t xml:space="preserve"> </w:t>
      </w:r>
      <w:r w:rsidR="009B0A16" w:rsidRPr="009B0A16">
        <w:rPr>
          <w:rFonts w:ascii="Times New Roman" w:hAnsi="Times New Roman"/>
          <w:color w:val="000000" w:themeColor="text1"/>
          <w:sz w:val="24"/>
          <w:szCs w:val="24"/>
          <w:highlight w:val="yellow"/>
        </w:rPr>
        <w:t>(XRD) analysis</w:t>
      </w:r>
      <w:r w:rsidR="009B0A16">
        <w:rPr>
          <w:rFonts w:ascii="Times New Roman" w:hAnsi="Times New Roman"/>
          <w:color w:val="000000" w:themeColor="text1"/>
          <w:sz w:val="24"/>
          <w:szCs w:val="24"/>
          <w:highlight w:val="yellow"/>
        </w:rPr>
        <w:t xml:space="preserve">, </w:t>
      </w:r>
      <w:r w:rsidRPr="00965F4C">
        <w:rPr>
          <w:rFonts w:ascii="Times New Roman" w:hAnsi="Times New Roman"/>
          <w:color w:val="000000" w:themeColor="text1"/>
          <w:sz w:val="24"/>
          <w:szCs w:val="24"/>
          <w:highlight w:val="yellow"/>
        </w:rPr>
        <w:t>D</w:t>
      </w:r>
      <w:r w:rsidR="00432845">
        <w:rPr>
          <w:rFonts w:ascii="Times New Roman" w:hAnsi="Times New Roman"/>
          <w:color w:val="000000" w:themeColor="text1"/>
          <w:sz w:val="24"/>
          <w:szCs w:val="24"/>
          <w:highlight w:val="yellow"/>
        </w:rPr>
        <w:t xml:space="preserve">ynamic Light Scattering </w:t>
      </w:r>
      <w:r w:rsidRPr="00965F4C">
        <w:rPr>
          <w:rFonts w:ascii="Times New Roman" w:hAnsi="Times New Roman"/>
          <w:color w:val="000000" w:themeColor="text1"/>
          <w:sz w:val="24"/>
          <w:szCs w:val="24"/>
          <w:highlight w:val="yellow"/>
        </w:rPr>
        <w:t>(D</w:t>
      </w:r>
      <w:r w:rsidR="00432845">
        <w:rPr>
          <w:rFonts w:ascii="Times New Roman" w:hAnsi="Times New Roman"/>
          <w:color w:val="000000" w:themeColor="text1"/>
          <w:sz w:val="24"/>
          <w:szCs w:val="24"/>
          <w:highlight w:val="yellow"/>
        </w:rPr>
        <w:t>LS</w:t>
      </w:r>
      <w:r w:rsidRPr="00965F4C">
        <w:rPr>
          <w:rFonts w:ascii="Times New Roman" w:hAnsi="Times New Roman"/>
          <w:color w:val="000000" w:themeColor="text1"/>
          <w:sz w:val="24"/>
          <w:szCs w:val="24"/>
          <w:highlight w:val="yellow"/>
        </w:rPr>
        <w:t xml:space="preserve">) and Scanning Electron Microscopy (SEM). The optimized SHK </w:t>
      </w:r>
      <w:proofErr w:type="spellStart"/>
      <w:r w:rsidRPr="00965F4C">
        <w:rPr>
          <w:rFonts w:ascii="Times New Roman" w:hAnsi="Times New Roman"/>
          <w:color w:val="000000" w:themeColor="text1"/>
          <w:sz w:val="24"/>
          <w:szCs w:val="24"/>
          <w:highlight w:val="yellow"/>
        </w:rPr>
        <w:t>microsponge</w:t>
      </w:r>
      <w:proofErr w:type="spellEnd"/>
      <w:r w:rsidRPr="00965F4C">
        <w:rPr>
          <w:rFonts w:ascii="Times New Roman" w:hAnsi="Times New Roman"/>
          <w:color w:val="000000" w:themeColor="text1"/>
          <w:sz w:val="24"/>
          <w:szCs w:val="24"/>
          <w:highlight w:val="yellow"/>
        </w:rPr>
        <w:t xml:space="preserve">-based gel exhibited good thixotropic and texture properties. In-vitro anti-microbial studies conducted on prevalent pathogens such as </w:t>
      </w:r>
      <w:r w:rsidRPr="00965F4C">
        <w:rPr>
          <w:rFonts w:ascii="Times New Roman" w:hAnsi="Times New Roman"/>
          <w:i/>
          <w:color w:val="000000" w:themeColor="text1"/>
          <w:sz w:val="24"/>
          <w:szCs w:val="24"/>
          <w:highlight w:val="yellow"/>
        </w:rPr>
        <w:t>Staphylococcus aureus</w:t>
      </w:r>
      <w:r w:rsidRPr="00965F4C">
        <w:rPr>
          <w:rFonts w:ascii="Times New Roman" w:hAnsi="Times New Roman"/>
          <w:color w:val="000000" w:themeColor="text1"/>
          <w:sz w:val="24"/>
          <w:szCs w:val="24"/>
          <w:highlight w:val="yellow"/>
        </w:rPr>
        <w:t xml:space="preserve">, </w:t>
      </w:r>
      <w:r w:rsidRPr="00965F4C">
        <w:rPr>
          <w:rFonts w:ascii="Times New Roman" w:hAnsi="Times New Roman"/>
          <w:i/>
          <w:color w:val="000000" w:themeColor="text1"/>
          <w:sz w:val="24"/>
          <w:szCs w:val="24"/>
          <w:highlight w:val="yellow"/>
        </w:rPr>
        <w:t>Escherichia coli</w:t>
      </w:r>
      <w:r w:rsidRPr="00965F4C">
        <w:rPr>
          <w:rFonts w:ascii="Times New Roman" w:hAnsi="Times New Roman"/>
          <w:color w:val="000000" w:themeColor="text1"/>
          <w:sz w:val="24"/>
          <w:szCs w:val="24"/>
          <w:highlight w:val="yellow"/>
        </w:rPr>
        <w:t xml:space="preserve"> and </w:t>
      </w:r>
      <w:r w:rsidRPr="00965F4C">
        <w:rPr>
          <w:rFonts w:ascii="Times New Roman" w:hAnsi="Times New Roman"/>
          <w:i/>
          <w:color w:val="000000" w:themeColor="text1"/>
          <w:sz w:val="24"/>
          <w:szCs w:val="24"/>
          <w:highlight w:val="yellow"/>
        </w:rPr>
        <w:t>Candida albicans</w:t>
      </w:r>
      <w:r w:rsidRPr="00965F4C">
        <w:rPr>
          <w:rFonts w:ascii="Times New Roman" w:hAnsi="Times New Roman"/>
          <w:color w:val="000000" w:themeColor="text1"/>
          <w:sz w:val="24"/>
          <w:szCs w:val="24"/>
          <w:highlight w:val="yellow"/>
        </w:rPr>
        <w:t xml:space="preserve"> warrants expediting its use in treating several kinds of microbial infections whilst imparting photostability to the encapsulated SHK.</w:t>
      </w:r>
    </w:p>
    <w:p w14:paraId="7ABD91DA" w14:textId="565FA406" w:rsidR="00B975ED" w:rsidRPr="00E37EA2" w:rsidRDefault="0039346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bCs/>
          <w:color w:val="000000" w:themeColor="text1"/>
          <w:sz w:val="24"/>
          <w:szCs w:val="24"/>
        </w:rPr>
        <w:t>Keywords</w:t>
      </w:r>
      <w:r w:rsidRPr="00E37EA2">
        <w:rPr>
          <w:rFonts w:ascii="Times New Roman" w:hAnsi="Times New Roman"/>
          <w:color w:val="000000" w:themeColor="text1"/>
          <w:sz w:val="24"/>
          <w:szCs w:val="24"/>
        </w:rPr>
        <w:t xml:space="preserve">: Shikalkin, </w:t>
      </w:r>
      <w:r w:rsidR="00C8550E" w:rsidRPr="00E37EA2">
        <w:rPr>
          <w:rFonts w:ascii="Times New Roman" w:hAnsi="Times New Roman"/>
          <w:color w:val="000000" w:themeColor="text1"/>
          <w:sz w:val="24"/>
          <w:szCs w:val="24"/>
        </w:rPr>
        <w:t>m</w:t>
      </w:r>
      <w:r w:rsidRPr="00E37EA2">
        <w:rPr>
          <w:rFonts w:ascii="Times New Roman" w:hAnsi="Times New Roman"/>
          <w:color w:val="000000" w:themeColor="text1"/>
          <w:sz w:val="24"/>
          <w:szCs w:val="24"/>
        </w:rPr>
        <w:t>icrosponges, anti-microbial, MRSA, Candida albicans, Escherichia coli</w:t>
      </w:r>
    </w:p>
    <w:p w14:paraId="261D9448" w14:textId="77777777" w:rsidR="0008082E" w:rsidRPr="00E37EA2" w:rsidRDefault="0008082E" w:rsidP="0008082E">
      <w:pPr>
        <w:spacing w:before="120" w:after="120" w:line="480" w:lineRule="auto"/>
        <w:jc w:val="both"/>
        <w:rPr>
          <w:rFonts w:ascii="Times New Roman" w:hAnsi="Times New Roman"/>
          <w:b/>
          <w:color w:val="000000" w:themeColor="text1"/>
          <w:sz w:val="24"/>
          <w:szCs w:val="24"/>
        </w:rPr>
      </w:pPr>
    </w:p>
    <w:p w14:paraId="767D8A2A" w14:textId="77777777" w:rsidR="00B975ED" w:rsidRPr="00E37EA2" w:rsidRDefault="00B975ED" w:rsidP="0008082E">
      <w:pPr>
        <w:numPr>
          <w:ilvl w:val="0"/>
          <w:numId w:val="1"/>
        </w:num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Introduction</w:t>
      </w:r>
    </w:p>
    <w:p w14:paraId="5F20F290" w14:textId="6BC65B86" w:rsidR="003A7777" w:rsidRPr="008B33CC" w:rsidRDefault="003A7777" w:rsidP="0008082E">
      <w:pPr>
        <w:spacing w:before="120" w:after="120" w:line="480" w:lineRule="auto"/>
        <w:jc w:val="both"/>
        <w:rPr>
          <w:rFonts w:ascii="Times New Roman" w:hAnsi="Times New Roman"/>
          <w:color w:val="000000" w:themeColor="text1"/>
          <w:sz w:val="24"/>
          <w:szCs w:val="24"/>
        </w:rPr>
      </w:pPr>
      <w:r w:rsidRPr="008B33CC">
        <w:rPr>
          <w:rFonts w:ascii="Times New Roman" w:hAnsi="Times New Roman"/>
          <w:color w:val="000000" w:themeColor="text1"/>
          <w:sz w:val="24"/>
          <w:szCs w:val="24"/>
        </w:rPr>
        <w:t>The global surge in microbial infections presents a critical health challenge, particularly in Asian countries like India, where strong infectivity and high rates of mortality are observed. The prevalence of multi-</w:t>
      </w:r>
      <w:proofErr w:type="gramStart"/>
      <w:r w:rsidR="00C26B5C" w:rsidRPr="008B33CC">
        <w:rPr>
          <w:rFonts w:ascii="Times New Roman" w:hAnsi="Times New Roman"/>
          <w:color w:val="000000" w:themeColor="text1"/>
          <w:sz w:val="24"/>
          <w:szCs w:val="24"/>
        </w:rPr>
        <w:t>antibiotic</w:t>
      </w:r>
      <w:r w:rsidR="00C26B5C">
        <w:rPr>
          <w:rFonts w:ascii="Times New Roman" w:hAnsi="Times New Roman"/>
          <w:color w:val="000000" w:themeColor="text1"/>
          <w:sz w:val="24"/>
          <w:szCs w:val="24"/>
        </w:rPr>
        <w:t xml:space="preserve"> </w:t>
      </w:r>
      <w:r w:rsidR="00C26B5C" w:rsidRPr="008B33CC">
        <w:rPr>
          <w:rFonts w:ascii="Times New Roman" w:hAnsi="Times New Roman"/>
          <w:color w:val="000000" w:themeColor="text1"/>
          <w:sz w:val="24"/>
          <w:szCs w:val="24"/>
        </w:rPr>
        <w:t>resistant</w:t>
      </w:r>
      <w:proofErr w:type="gramEnd"/>
      <w:r w:rsidRPr="008B33CC">
        <w:rPr>
          <w:rFonts w:ascii="Times New Roman" w:hAnsi="Times New Roman"/>
          <w:color w:val="000000" w:themeColor="text1"/>
          <w:sz w:val="24"/>
          <w:szCs w:val="24"/>
        </w:rPr>
        <w:t xml:space="preserve"> pathogens further </w:t>
      </w:r>
      <w:r w:rsidR="00F125C4" w:rsidRPr="008B33CC">
        <w:rPr>
          <w:rFonts w:ascii="Times New Roman" w:hAnsi="Times New Roman"/>
          <w:color w:val="000000" w:themeColor="text1"/>
          <w:sz w:val="24"/>
          <w:szCs w:val="24"/>
        </w:rPr>
        <w:t>complicate</w:t>
      </w:r>
      <w:r w:rsidRPr="008B33CC">
        <w:rPr>
          <w:rFonts w:ascii="Times New Roman" w:hAnsi="Times New Roman"/>
          <w:color w:val="000000" w:themeColor="text1"/>
          <w:sz w:val="24"/>
          <w:szCs w:val="24"/>
        </w:rPr>
        <w:t xml:space="preserve"> the combat against infections</w:t>
      </w:r>
      <w:r w:rsidR="00A02280">
        <w:rPr>
          <w:rFonts w:ascii="Times New Roman" w:hAnsi="Times New Roman"/>
          <w:color w:val="000000" w:themeColor="text1"/>
          <w:sz w:val="24"/>
          <w:szCs w:val="24"/>
        </w:rPr>
        <w:t xml:space="preserve"> </w:t>
      </w:r>
      <w:r w:rsidR="00A02280">
        <w:rPr>
          <w:rFonts w:ascii="Times New Roman" w:hAnsi="Times New Roman"/>
          <w:color w:val="000000" w:themeColor="text1"/>
          <w:sz w:val="24"/>
          <w:szCs w:val="24"/>
        </w:rPr>
        <w:lastRenderedPageBreak/>
        <w:t xml:space="preserve">(Fair </w:t>
      </w:r>
      <w:r w:rsidR="00F96DAA">
        <w:rPr>
          <w:rFonts w:ascii="Times New Roman" w:hAnsi="Times New Roman"/>
          <w:color w:val="000000" w:themeColor="text1"/>
          <w:sz w:val="24"/>
          <w:szCs w:val="24"/>
        </w:rPr>
        <w:t>&amp;</w:t>
      </w:r>
      <w:r w:rsidR="00A02280">
        <w:rPr>
          <w:rFonts w:ascii="Times New Roman" w:hAnsi="Times New Roman"/>
          <w:color w:val="000000" w:themeColor="text1"/>
          <w:sz w:val="24"/>
          <w:szCs w:val="24"/>
        </w:rPr>
        <w:t xml:space="preserve"> Tor 2014). </w:t>
      </w:r>
      <w:r w:rsidRPr="008B33CC">
        <w:rPr>
          <w:rFonts w:ascii="Times New Roman" w:hAnsi="Times New Roman"/>
          <w:color w:val="000000" w:themeColor="text1"/>
          <w:sz w:val="24"/>
          <w:szCs w:val="24"/>
        </w:rPr>
        <w:t>A study by Lancet provides a comprehensive assessment of the global burden of antimicrobial resistance estimating a staggering 4.95 million deaths in 2019, emphasizing the need for a coordinated global action plan</w:t>
      </w:r>
      <w:r w:rsidR="00EB6689">
        <w:rPr>
          <w:rFonts w:ascii="Times New Roman" w:hAnsi="Times New Roman"/>
          <w:color w:val="000000" w:themeColor="text1"/>
          <w:sz w:val="24"/>
          <w:szCs w:val="24"/>
        </w:rPr>
        <w:t xml:space="preserve"> (</w:t>
      </w:r>
      <w:r w:rsidR="00EB6689" w:rsidRPr="00AB6F37">
        <w:rPr>
          <w:rFonts w:ascii="Times New Roman" w:hAnsi="Times New Roman"/>
          <w:sz w:val="24"/>
          <w:szCs w:val="24"/>
        </w:rPr>
        <w:t>Laxminarayan</w:t>
      </w:r>
      <w:r w:rsidR="00EB6689">
        <w:rPr>
          <w:rFonts w:ascii="Times New Roman" w:hAnsi="Times New Roman"/>
          <w:sz w:val="24"/>
          <w:szCs w:val="24"/>
        </w:rPr>
        <w:t xml:space="preserve"> </w:t>
      </w:r>
      <w:r w:rsidR="00F96DAA">
        <w:rPr>
          <w:rFonts w:ascii="Times New Roman" w:hAnsi="Times New Roman"/>
          <w:sz w:val="24"/>
          <w:szCs w:val="24"/>
        </w:rPr>
        <w:t>&amp;</w:t>
      </w:r>
      <w:r w:rsidR="00EB6689">
        <w:rPr>
          <w:rFonts w:ascii="Times New Roman" w:hAnsi="Times New Roman"/>
          <w:sz w:val="24"/>
          <w:szCs w:val="24"/>
        </w:rPr>
        <w:t xml:space="preserve"> </w:t>
      </w:r>
      <w:r w:rsidR="00EB6689" w:rsidRPr="00AB6F37">
        <w:rPr>
          <w:rFonts w:ascii="Times New Roman" w:hAnsi="Times New Roman"/>
          <w:sz w:val="24"/>
          <w:szCs w:val="24"/>
        </w:rPr>
        <w:t>Bhutta</w:t>
      </w:r>
      <w:r w:rsidR="00EB6689">
        <w:rPr>
          <w:rFonts w:ascii="Times New Roman" w:hAnsi="Times New Roman"/>
          <w:sz w:val="24"/>
          <w:szCs w:val="24"/>
        </w:rPr>
        <w:t xml:space="preserve"> </w:t>
      </w:r>
      <w:r w:rsidR="00EB6689" w:rsidRPr="00AB6F37">
        <w:rPr>
          <w:rFonts w:ascii="Times New Roman" w:hAnsi="Times New Roman"/>
          <w:sz w:val="24"/>
          <w:szCs w:val="24"/>
        </w:rPr>
        <w:t>2016</w:t>
      </w:r>
      <w:r w:rsidR="00EB6689">
        <w:rPr>
          <w:rFonts w:ascii="Times New Roman" w:hAnsi="Times New Roman"/>
          <w:sz w:val="24"/>
          <w:szCs w:val="24"/>
        </w:rPr>
        <w:t>).</w:t>
      </w:r>
      <w:r w:rsidR="00EB6689" w:rsidRPr="00AB6F37">
        <w:rPr>
          <w:rFonts w:ascii="Times New Roman" w:hAnsi="Times New Roman"/>
          <w:sz w:val="24"/>
          <w:szCs w:val="24"/>
        </w:rPr>
        <w:t xml:space="preserve"> </w:t>
      </w:r>
      <w:r w:rsidR="00EB6689" w:rsidRPr="00423EA0">
        <w:rPr>
          <w:rFonts w:ascii="Times New Roman" w:hAnsi="Times New Roman"/>
          <w:color w:val="000000" w:themeColor="text1"/>
          <w:sz w:val="24"/>
          <w:szCs w:val="24"/>
        </w:rPr>
        <w:t xml:space="preserve"> </w:t>
      </w:r>
      <w:r w:rsidRPr="008B33CC">
        <w:rPr>
          <w:rFonts w:ascii="Times New Roman" w:hAnsi="Times New Roman"/>
          <w:color w:val="000000" w:themeColor="text1"/>
          <w:sz w:val="24"/>
          <w:szCs w:val="24"/>
        </w:rPr>
        <w:t xml:space="preserve">Microbial infections often lead to sepsis in immunocompromised and at-risk patients, with key resistant pathogens including </w:t>
      </w:r>
      <w:r w:rsidRPr="008B33CC">
        <w:rPr>
          <w:rFonts w:ascii="Times New Roman" w:hAnsi="Times New Roman"/>
          <w:i/>
          <w:color w:val="000000" w:themeColor="text1"/>
          <w:sz w:val="24"/>
          <w:szCs w:val="24"/>
        </w:rPr>
        <w:t>Staphylococcus aureus</w:t>
      </w:r>
      <w:r w:rsidRPr="008B33CC">
        <w:rPr>
          <w:rFonts w:ascii="Times New Roman" w:hAnsi="Times New Roman"/>
          <w:color w:val="000000" w:themeColor="text1"/>
          <w:sz w:val="24"/>
          <w:szCs w:val="24"/>
        </w:rPr>
        <w:t xml:space="preserve">, </w:t>
      </w:r>
      <w:r w:rsidRPr="008B33CC">
        <w:rPr>
          <w:rFonts w:ascii="Times New Roman" w:hAnsi="Times New Roman"/>
          <w:i/>
          <w:color w:val="000000" w:themeColor="text1"/>
          <w:sz w:val="24"/>
          <w:szCs w:val="24"/>
        </w:rPr>
        <w:t>Escherichia coli</w:t>
      </w:r>
      <w:r w:rsidRPr="008B33CC">
        <w:rPr>
          <w:rFonts w:ascii="Times New Roman" w:hAnsi="Times New Roman"/>
          <w:color w:val="000000" w:themeColor="text1"/>
          <w:sz w:val="24"/>
          <w:szCs w:val="24"/>
        </w:rPr>
        <w:t xml:space="preserve">, </w:t>
      </w:r>
      <w:r w:rsidRPr="008B33CC">
        <w:rPr>
          <w:rFonts w:ascii="Times New Roman" w:hAnsi="Times New Roman"/>
          <w:i/>
          <w:color w:val="000000" w:themeColor="text1"/>
          <w:sz w:val="24"/>
          <w:szCs w:val="24"/>
        </w:rPr>
        <w:t>Candida albicans</w:t>
      </w:r>
      <w:r w:rsidRPr="008B33CC">
        <w:rPr>
          <w:rFonts w:ascii="Times New Roman" w:hAnsi="Times New Roman"/>
          <w:color w:val="000000" w:themeColor="text1"/>
          <w:sz w:val="24"/>
          <w:szCs w:val="24"/>
        </w:rPr>
        <w:t xml:space="preserve">, Methicillin-resistant </w:t>
      </w:r>
      <w:r w:rsidRPr="008B33CC">
        <w:rPr>
          <w:rFonts w:ascii="Times New Roman" w:hAnsi="Times New Roman"/>
          <w:i/>
          <w:color w:val="000000" w:themeColor="text1"/>
          <w:sz w:val="24"/>
          <w:szCs w:val="24"/>
        </w:rPr>
        <w:t>Staphylococcus aureus</w:t>
      </w:r>
      <w:r w:rsidRPr="008B33CC">
        <w:rPr>
          <w:rFonts w:ascii="Times New Roman" w:hAnsi="Times New Roman"/>
          <w:color w:val="000000" w:themeColor="text1"/>
          <w:sz w:val="24"/>
          <w:szCs w:val="24"/>
        </w:rPr>
        <w:t xml:space="preserve"> (MRSA) etc. For past few decades, silver containing products including silver sulphadiazine and silver nitrate have been considered as gold standards to be used as anti-microbial agents in burn wound therapy apart from other topical antibiotics combined with corticosteroids</w:t>
      </w:r>
      <w:r w:rsidR="00A00BB6">
        <w:rPr>
          <w:rFonts w:ascii="Times New Roman" w:hAnsi="Times New Roman"/>
          <w:color w:val="000000" w:themeColor="text1"/>
          <w:sz w:val="24"/>
          <w:szCs w:val="24"/>
        </w:rPr>
        <w:t>. However,</w:t>
      </w:r>
      <w:r w:rsidRPr="008B33CC">
        <w:rPr>
          <w:rFonts w:ascii="Times New Roman" w:hAnsi="Times New Roman"/>
          <w:color w:val="000000" w:themeColor="text1"/>
          <w:sz w:val="24"/>
          <w:szCs w:val="24"/>
        </w:rPr>
        <w:t xml:space="preserve"> the use of silver ion has not received clinical success as anticipated due to its cost, serious side effects and microbial resistance</w:t>
      </w:r>
      <w:r w:rsidR="00EB6689">
        <w:rPr>
          <w:rFonts w:ascii="Times New Roman" w:hAnsi="Times New Roman"/>
          <w:color w:val="000000" w:themeColor="text1"/>
          <w:sz w:val="24"/>
          <w:szCs w:val="24"/>
        </w:rPr>
        <w:t xml:space="preserve"> (Atiyeh et al., 2007; Jadhav et al., 2016).</w:t>
      </w:r>
      <w:r w:rsidR="00EB6689" w:rsidRPr="00D27865">
        <w:rPr>
          <w:rFonts w:ascii="Times New Roman" w:hAnsi="Times New Roman"/>
          <w:color w:val="000000" w:themeColor="text1"/>
          <w:sz w:val="24"/>
          <w:szCs w:val="24"/>
        </w:rPr>
        <w:t xml:space="preserve"> </w:t>
      </w:r>
      <w:r w:rsidRPr="008B33CC">
        <w:rPr>
          <w:rFonts w:ascii="Times New Roman" w:hAnsi="Times New Roman"/>
          <w:color w:val="000000" w:themeColor="text1"/>
          <w:sz w:val="24"/>
          <w:szCs w:val="24"/>
        </w:rPr>
        <w:t>Further, the nitrate moiety in silver nitrate exhibits tissue toxicity impairing re-epithelialization resulting in delayed wound healing.</w:t>
      </w:r>
      <w:r w:rsidR="009448DC">
        <w:rPr>
          <w:rFonts w:ascii="Times New Roman" w:hAnsi="Times New Roman"/>
          <w:color w:val="000000" w:themeColor="text1"/>
          <w:sz w:val="24"/>
          <w:szCs w:val="24"/>
        </w:rPr>
        <w:t xml:space="preserve"> </w:t>
      </w:r>
      <w:r w:rsidRPr="008B33CC">
        <w:rPr>
          <w:rFonts w:ascii="Times New Roman" w:hAnsi="Times New Roman"/>
          <w:color w:val="000000" w:themeColor="text1"/>
          <w:sz w:val="24"/>
          <w:szCs w:val="24"/>
        </w:rPr>
        <w:t>Thus, researchers are in continuous quest to shift their area of interest and replace the currently available antibiotics with plant extracts that are an attractive alternative to synthetic chemicals.</w:t>
      </w:r>
      <w:r w:rsidR="00EF7A64">
        <w:rPr>
          <w:rFonts w:ascii="Times New Roman" w:hAnsi="Times New Roman"/>
          <w:color w:val="000000" w:themeColor="text1"/>
          <w:sz w:val="24"/>
          <w:szCs w:val="24"/>
        </w:rPr>
        <w:t xml:space="preserve"> </w:t>
      </w:r>
      <w:r w:rsidRPr="008B33CC">
        <w:rPr>
          <w:rFonts w:ascii="Times New Roman" w:hAnsi="Times New Roman"/>
          <w:color w:val="000000" w:themeColor="text1"/>
          <w:sz w:val="24"/>
          <w:szCs w:val="24"/>
        </w:rPr>
        <w:t xml:space="preserve">Alkanin/Shikonin (A/S) and their derivatives, obtained from </w:t>
      </w:r>
      <w:r w:rsidRPr="008B33CC">
        <w:rPr>
          <w:rFonts w:ascii="Times New Roman" w:hAnsi="Times New Roman"/>
          <w:i/>
          <w:color w:val="000000" w:themeColor="text1"/>
          <w:sz w:val="24"/>
          <w:szCs w:val="24"/>
        </w:rPr>
        <w:t>Lithospermum erythrorhizon</w:t>
      </w:r>
      <w:r w:rsidRPr="008B33CC">
        <w:rPr>
          <w:rFonts w:ascii="Times New Roman" w:hAnsi="Times New Roman"/>
          <w:color w:val="000000" w:themeColor="text1"/>
          <w:sz w:val="24"/>
          <w:szCs w:val="24"/>
        </w:rPr>
        <w:t xml:space="preserve"> (Boraginaceae), a Chinese medicinal herb, demonstrate significant potential as potent anti-microbial agents</w:t>
      </w:r>
      <w:r w:rsidR="0038032F">
        <w:rPr>
          <w:rFonts w:ascii="Times New Roman" w:hAnsi="Times New Roman"/>
          <w:color w:val="000000" w:themeColor="text1"/>
          <w:sz w:val="24"/>
          <w:szCs w:val="24"/>
        </w:rPr>
        <w:t>, and possess</w:t>
      </w:r>
      <w:r w:rsidR="00184D59">
        <w:rPr>
          <w:rFonts w:ascii="Times New Roman" w:hAnsi="Times New Roman"/>
          <w:color w:val="000000" w:themeColor="text1"/>
          <w:sz w:val="24"/>
          <w:szCs w:val="24"/>
        </w:rPr>
        <w:t>es</w:t>
      </w:r>
      <w:r w:rsidR="0038032F">
        <w:rPr>
          <w:rFonts w:ascii="Times New Roman" w:hAnsi="Times New Roman"/>
          <w:color w:val="000000" w:themeColor="text1"/>
          <w:sz w:val="24"/>
          <w:szCs w:val="24"/>
        </w:rPr>
        <w:t xml:space="preserve"> </w:t>
      </w:r>
      <w:r w:rsidR="0038032F" w:rsidRPr="008B33CC">
        <w:rPr>
          <w:rFonts w:ascii="Times New Roman" w:hAnsi="Times New Roman"/>
          <w:color w:val="000000" w:themeColor="text1"/>
          <w:sz w:val="24"/>
          <w:szCs w:val="24"/>
        </w:rPr>
        <w:t>antioxidant</w:t>
      </w:r>
      <w:r w:rsidRPr="008B33CC">
        <w:rPr>
          <w:rFonts w:ascii="Times New Roman" w:hAnsi="Times New Roman"/>
          <w:color w:val="000000" w:themeColor="text1"/>
          <w:sz w:val="24"/>
          <w:szCs w:val="24"/>
        </w:rPr>
        <w:t>, anti-inflammatory and anti-cancer properties</w:t>
      </w:r>
      <w:r w:rsidR="00EB6689">
        <w:rPr>
          <w:rFonts w:ascii="Times New Roman" w:hAnsi="Times New Roman"/>
          <w:color w:val="000000" w:themeColor="text1"/>
          <w:sz w:val="24"/>
          <w:szCs w:val="24"/>
        </w:rPr>
        <w:t xml:space="preserve"> (</w:t>
      </w:r>
      <w:bookmarkStart w:id="0" w:name="_Hlk201439985"/>
      <w:r w:rsidR="00FB591B" w:rsidRPr="00BA15C8">
        <w:rPr>
          <w:rFonts w:ascii="Times New Roman" w:hAnsi="Times New Roman"/>
          <w:sz w:val="24"/>
          <w:szCs w:val="24"/>
          <w:highlight w:val="yellow"/>
        </w:rPr>
        <w:t>Papageorgiou et al., 2008</w:t>
      </w:r>
      <w:bookmarkEnd w:id="0"/>
      <w:r w:rsidR="00EB6689">
        <w:rPr>
          <w:rFonts w:ascii="Times New Roman" w:hAnsi="Times New Roman"/>
          <w:color w:val="000000" w:themeColor="text1"/>
          <w:sz w:val="24"/>
          <w:szCs w:val="24"/>
        </w:rPr>
        <w:t xml:space="preserve">; Chen et al., 2002). </w:t>
      </w:r>
      <w:r w:rsidRPr="008B33CC">
        <w:rPr>
          <w:rFonts w:ascii="Times New Roman" w:hAnsi="Times New Roman"/>
          <w:color w:val="000000" w:themeColor="text1"/>
          <w:sz w:val="24"/>
          <w:szCs w:val="24"/>
        </w:rPr>
        <w:t>Shikalkin (SHK)</w:t>
      </w:r>
      <w:r w:rsidR="0058755D">
        <w:rPr>
          <w:rFonts w:ascii="Times New Roman" w:hAnsi="Times New Roman"/>
          <w:color w:val="000000" w:themeColor="text1"/>
          <w:sz w:val="24"/>
          <w:szCs w:val="24"/>
        </w:rPr>
        <w:t xml:space="preserve">, a racemic mixture of </w:t>
      </w:r>
      <w:r w:rsidR="0058755D" w:rsidRPr="008B33CC">
        <w:rPr>
          <w:rFonts w:ascii="Times New Roman" w:hAnsi="Times New Roman"/>
          <w:color w:val="000000" w:themeColor="text1"/>
          <w:sz w:val="24"/>
          <w:szCs w:val="24"/>
        </w:rPr>
        <w:t>Alkanin/Shikonin (A/S)</w:t>
      </w:r>
      <w:r w:rsidR="0058755D">
        <w:rPr>
          <w:rFonts w:ascii="Times New Roman" w:hAnsi="Times New Roman"/>
          <w:color w:val="000000" w:themeColor="text1"/>
          <w:sz w:val="24"/>
          <w:szCs w:val="24"/>
        </w:rPr>
        <w:t xml:space="preserve"> (</w:t>
      </w:r>
      <w:r w:rsidR="0058755D" w:rsidRPr="00104DE4">
        <w:rPr>
          <w:rFonts w:ascii="Times New Roman" w:hAnsi="Times New Roman"/>
          <w:color w:val="000000" w:themeColor="text1"/>
          <w:sz w:val="24"/>
          <w:szCs w:val="24"/>
        </w:rPr>
        <w:t>Figure S1),</w:t>
      </w:r>
      <w:r w:rsidRPr="008B33CC">
        <w:rPr>
          <w:rFonts w:ascii="Times New Roman" w:hAnsi="Times New Roman"/>
          <w:color w:val="000000" w:themeColor="text1"/>
          <w:sz w:val="24"/>
          <w:szCs w:val="24"/>
        </w:rPr>
        <w:t xml:space="preserve"> is renowned for its remarkable anti-microbial activity against major opportunistic pathogens like MRSA, </w:t>
      </w:r>
      <w:r w:rsidRPr="008B33CC">
        <w:rPr>
          <w:rFonts w:ascii="Times New Roman" w:hAnsi="Times New Roman"/>
          <w:i/>
          <w:iCs/>
          <w:color w:val="000000" w:themeColor="text1"/>
          <w:sz w:val="24"/>
          <w:szCs w:val="24"/>
        </w:rPr>
        <w:t>C. albicans</w:t>
      </w:r>
      <w:r w:rsidRPr="008B33CC">
        <w:rPr>
          <w:rFonts w:ascii="Times New Roman" w:hAnsi="Times New Roman"/>
          <w:color w:val="000000" w:themeColor="text1"/>
          <w:sz w:val="24"/>
          <w:szCs w:val="24"/>
        </w:rPr>
        <w:t xml:space="preserve">, </w:t>
      </w:r>
      <w:r w:rsidRPr="008B33CC">
        <w:rPr>
          <w:rFonts w:ascii="Times New Roman" w:hAnsi="Times New Roman"/>
          <w:i/>
          <w:iCs/>
          <w:color w:val="000000" w:themeColor="text1"/>
          <w:sz w:val="24"/>
          <w:szCs w:val="24"/>
        </w:rPr>
        <w:t>E. coli</w:t>
      </w:r>
      <w:r w:rsidRPr="008B33CC">
        <w:rPr>
          <w:rFonts w:ascii="Times New Roman" w:hAnsi="Times New Roman"/>
          <w:color w:val="000000" w:themeColor="text1"/>
          <w:sz w:val="24"/>
          <w:szCs w:val="24"/>
        </w:rPr>
        <w:t xml:space="preserve">, </w:t>
      </w:r>
      <w:r w:rsidRPr="008B33CC">
        <w:rPr>
          <w:rFonts w:ascii="Times New Roman" w:hAnsi="Times New Roman"/>
          <w:i/>
          <w:iCs/>
          <w:color w:val="000000" w:themeColor="text1"/>
          <w:sz w:val="24"/>
          <w:szCs w:val="24"/>
        </w:rPr>
        <w:t>Streptococcus pneumonia</w:t>
      </w:r>
      <w:r w:rsidRPr="008B33CC">
        <w:rPr>
          <w:rFonts w:ascii="Times New Roman" w:hAnsi="Times New Roman"/>
          <w:color w:val="000000" w:themeColor="text1"/>
          <w:sz w:val="24"/>
          <w:szCs w:val="24"/>
        </w:rPr>
        <w:t>, etc.</w:t>
      </w:r>
      <w:r w:rsidR="0038032F">
        <w:rPr>
          <w:rFonts w:ascii="Times New Roman" w:hAnsi="Times New Roman"/>
          <w:color w:val="000000" w:themeColor="text1"/>
          <w:sz w:val="24"/>
          <w:szCs w:val="24"/>
        </w:rPr>
        <w:t xml:space="preserve"> </w:t>
      </w:r>
      <w:r w:rsidRPr="008B33CC">
        <w:rPr>
          <w:rFonts w:ascii="Times New Roman" w:hAnsi="Times New Roman"/>
          <w:color w:val="000000" w:themeColor="text1"/>
          <w:sz w:val="24"/>
          <w:szCs w:val="24"/>
        </w:rPr>
        <w:t>Poor aqueous solubility and photosensitivity of SHK has resulted in exploration of various unified approaches to address this pressing issue related to its delivery</w:t>
      </w:r>
      <w:r w:rsidR="00BA15C8">
        <w:rPr>
          <w:rFonts w:ascii="Times New Roman" w:hAnsi="Times New Roman"/>
          <w:color w:val="000000" w:themeColor="text1"/>
          <w:sz w:val="24"/>
          <w:szCs w:val="24"/>
        </w:rPr>
        <w:t xml:space="preserve"> </w:t>
      </w:r>
      <w:r w:rsidR="00BA15C8" w:rsidRPr="00BA15C8">
        <w:rPr>
          <w:rFonts w:ascii="Times New Roman" w:hAnsi="Times New Roman"/>
          <w:color w:val="000000" w:themeColor="text1"/>
          <w:sz w:val="24"/>
          <w:szCs w:val="24"/>
        </w:rPr>
        <w:t>(</w:t>
      </w:r>
      <w:r w:rsidR="00BA15C8" w:rsidRPr="00BA15C8">
        <w:rPr>
          <w:rFonts w:ascii="Times New Roman" w:hAnsi="Times New Roman"/>
          <w:sz w:val="24"/>
          <w:szCs w:val="24"/>
          <w:highlight w:val="yellow"/>
        </w:rPr>
        <w:t>Priyadarshi &amp; Rhim 2022</w:t>
      </w:r>
      <w:r w:rsidR="00BA15C8" w:rsidRPr="00BA15C8">
        <w:rPr>
          <w:rFonts w:ascii="Times New Roman" w:hAnsi="Times New Roman"/>
          <w:sz w:val="24"/>
          <w:szCs w:val="24"/>
        </w:rPr>
        <w:t>)</w:t>
      </w:r>
      <w:r w:rsidRPr="008B33CC">
        <w:rPr>
          <w:rFonts w:ascii="Times New Roman" w:hAnsi="Times New Roman"/>
          <w:color w:val="000000" w:themeColor="text1"/>
          <w:sz w:val="24"/>
          <w:szCs w:val="24"/>
        </w:rPr>
        <w:t xml:space="preserve">. The conventional topical formulations intend to produce local effect wherein the rapid absorption of released active ingredient after application results in highly concentrated layer </w:t>
      </w:r>
      <w:r w:rsidRPr="008B33CC">
        <w:rPr>
          <w:rFonts w:ascii="Times New Roman" w:hAnsi="Times New Roman"/>
          <w:color w:val="000000" w:themeColor="text1"/>
          <w:sz w:val="24"/>
          <w:szCs w:val="24"/>
        </w:rPr>
        <w:lastRenderedPageBreak/>
        <w:t>in epidermis often accompanied with irritation and allergic reactions</w:t>
      </w:r>
      <w:r w:rsidR="0038032F">
        <w:rPr>
          <w:rFonts w:ascii="Times New Roman" w:hAnsi="Times New Roman"/>
          <w:color w:val="000000" w:themeColor="text1"/>
          <w:sz w:val="24"/>
          <w:szCs w:val="24"/>
        </w:rPr>
        <w:t xml:space="preserve"> thereby,</w:t>
      </w:r>
      <w:r w:rsidR="0038032F" w:rsidRPr="0038032F">
        <w:rPr>
          <w:rFonts w:ascii="Times New Roman" w:hAnsi="Times New Roman"/>
          <w:color w:val="000000" w:themeColor="text1"/>
          <w:sz w:val="24"/>
          <w:szCs w:val="24"/>
        </w:rPr>
        <w:t xml:space="preserve"> </w:t>
      </w:r>
      <w:r w:rsidR="0038032F" w:rsidRPr="008B33CC">
        <w:rPr>
          <w:rFonts w:ascii="Times New Roman" w:hAnsi="Times New Roman"/>
          <w:color w:val="000000" w:themeColor="text1"/>
          <w:sz w:val="24"/>
          <w:szCs w:val="24"/>
        </w:rPr>
        <w:t>reduc</w:t>
      </w:r>
      <w:r w:rsidR="0038032F">
        <w:rPr>
          <w:rFonts w:ascii="Times New Roman" w:hAnsi="Times New Roman"/>
          <w:color w:val="000000" w:themeColor="text1"/>
          <w:sz w:val="24"/>
          <w:szCs w:val="24"/>
        </w:rPr>
        <w:t>ing</w:t>
      </w:r>
      <w:r w:rsidR="0038032F" w:rsidRPr="008B33CC">
        <w:rPr>
          <w:rFonts w:ascii="Times New Roman" w:hAnsi="Times New Roman"/>
          <w:color w:val="000000" w:themeColor="text1"/>
          <w:sz w:val="24"/>
          <w:szCs w:val="24"/>
        </w:rPr>
        <w:t xml:space="preserve"> patient compliance</w:t>
      </w:r>
      <w:r w:rsidR="0038032F">
        <w:rPr>
          <w:rFonts w:ascii="Times New Roman" w:hAnsi="Times New Roman"/>
          <w:color w:val="000000" w:themeColor="text1"/>
          <w:sz w:val="24"/>
          <w:szCs w:val="24"/>
        </w:rPr>
        <w:t xml:space="preserve"> (</w:t>
      </w:r>
      <w:r w:rsidR="00EB6689" w:rsidRPr="00AB6F37">
        <w:rPr>
          <w:rFonts w:ascii="Times New Roman" w:hAnsi="Times New Roman"/>
          <w:sz w:val="24"/>
          <w:szCs w:val="24"/>
        </w:rPr>
        <w:t>Vishwakarma</w:t>
      </w:r>
      <w:r w:rsidR="00EB6689">
        <w:rPr>
          <w:rFonts w:ascii="Times New Roman" w:hAnsi="Times New Roman"/>
          <w:sz w:val="24"/>
          <w:szCs w:val="24"/>
        </w:rPr>
        <w:t xml:space="preserve"> &amp; </w:t>
      </w:r>
      <w:r w:rsidR="00EB6689" w:rsidRPr="00AB6F37">
        <w:rPr>
          <w:rFonts w:ascii="Times New Roman" w:hAnsi="Times New Roman"/>
          <w:sz w:val="24"/>
          <w:szCs w:val="24"/>
        </w:rPr>
        <w:t>Choudhary 2019</w:t>
      </w:r>
      <w:r w:rsidR="00EB6689">
        <w:rPr>
          <w:rFonts w:ascii="Times New Roman" w:hAnsi="Times New Roman"/>
          <w:sz w:val="24"/>
          <w:szCs w:val="24"/>
        </w:rPr>
        <w:t>)</w:t>
      </w:r>
      <w:r w:rsidR="00EB6689" w:rsidRPr="00AB6F37">
        <w:rPr>
          <w:rFonts w:ascii="Times New Roman" w:hAnsi="Times New Roman"/>
          <w:sz w:val="24"/>
          <w:szCs w:val="24"/>
        </w:rPr>
        <w:t>.</w:t>
      </w:r>
      <w:r w:rsidR="00EF7A64">
        <w:rPr>
          <w:rFonts w:ascii="Times New Roman" w:hAnsi="Times New Roman"/>
          <w:color w:val="000000" w:themeColor="text1"/>
          <w:sz w:val="24"/>
          <w:szCs w:val="24"/>
        </w:rPr>
        <w:t xml:space="preserve"> </w:t>
      </w:r>
      <w:r w:rsidRPr="008B33CC">
        <w:rPr>
          <w:rFonts w:ascii="Times New Roman" w:hAnsi="Times New Roman"/>
          <w:color w:val="000000" w:themeColor="text1"/>
          <w:sz w:val="24"/>
          <w:szCs w:val="24"/>
        </w:rPr>
        <w:t>Despite targeted and controlled release of drugs, microparticles</w:t>
      </w:r>
      <w:r w:rsidR="00184D59">
        <w:rPr>
          <w:rFonts w:ascii="Times New Roman" w:hAnsi="Times New Roman"/>
          <w:color w:val="000000" w:themeColor="text1"/>
          <w:sz w:val="24"/>
          <w:szCs w:val="24"/>
        </w:rPr>
        <w:t xml:space="preserve">, </w:t>
      </w:r>
      <w:r w:rsidRPr="008B33CC">
        <w:rPr>
          <w:rFonts w:ascii="Times New Roman" w:hAnsi="Times New Roman"/>
          <w:color w:val="000000" w:themeColor="text1"/>
          <w:sz w:val="24"/>
          <w:szCs w:val="24"/>
        </w:rPr>
        <w:t xml:space="preserve">nanoparticles </w:t>
      </w:r>
      <w:r w:rsidR="00184D59">
        <w:rPr>
          <w:rFonts w:ascii="Times New Roman" w:hAnsi="Times New Roman"/>
          <w:color w:val="000000" w:themeColor="text1"/>
          <w:sz w:val="24"/>
          <w:szCs w:val="24"/>
        </w:rPr>
        <w:t xml:space="preserve">and liposomes </w:t>
      </w:r>
      <w:r w:rsidRPr="008B33CC">
        <w:rPr>
          <w:rFonts w:ascii="Times New Roman" w:hAnsi="Times New Roman"/>
          <w:color w:val="000000" w:themeColor="text1"/>
          <w:sz w:val="24"/>
          <w:szCs w:val="24"/>
        </w:rPr>
        <w:t>exhibit some limitations</w:t>
      </w:r>
      <w:r w:rsidR="00184D59">
        <w:rPr>
          <w:rFonts w:ascii="Times New Roman" w:hAnsi="Times New Roman"/>
          <w:color w:val="000000" w:themeColor="text1"/>
          <w:sz w:val="24"/>
          <w:szCs w:val="24"/>
        </w:rPr>
        <w:t xml:space="preserve"> </w:t>
      </w:r>
      <w:r w:rsidR="00EB6689">
        <w:rPr>
          <w:rFonts w:ascii="Times New Roman" w:hAnsi="Times New Roman"/>
          <w:color w:val="000000" w:themeColor="text1"/>
          <w:sz w:val="24"/>
          <w:szCs w:val="24"/>
        </w:rPr>
        <w:t>(Shu et al., 2022).</w:t>
      </w:r>
      <w:r w:rsidR="00EB6689" w:rsidRPr="009F1B44">
        <w:rPr>
          <w:rFonts w:ascii="Times New Roman" w:hAnsi="Times New Roman"/>
          <w:color w:val="000000" w:themeColor="text1"/>
          <w:sz w:val="24"/>
          <w:szCs w:val="24"/>
          <w:vertAlign w:val="superscript"/>
        </w:rPr>
        <w:t xml:space="preserve"> </w:t>
      </w:r>
      <w:r w:rsidR="007B0432">
        <w:rPr>
          <w:rFonts w:ascii="Times New Roman" w:hAnsi="Times New Roman"/>
          <w:color w:val="000000" w:themeColor="text1"/>
          <w:sz w:val="24"/>
          <w:szCs w:val="24"/>
          <w:vertAlign w:val="superscript"/>
        </w:rPr>
        <w:t xml:space="preserve"> </w:t>
      </w:r>
      <w:r w:rsidR="00184D59" w:rsidRPr="00184D59">
        <w:rPr>
          <w:rFonts w:ascii="Times New Roman" w:hAnsi="Times New Roman"/>
          <w:color w:val="000000" w:themeColor="text1"/>
          <w:sz w:val="24"/>
          <w:szCs w:val="24"/>
        </w:rPr>
        <w:t>However,</w:t>
      </w:r>
      <w:r w:rsidR="00184D59">
        <w:rPr>
          <w:rFonts w:ascii="Times New Roman" w:hAnsi="Times New Roman"/>
          <w:color w:val="000000" w:themeColor="text1"/>
          <w:sz w:val="24"/>
          <w:szCs w:val="24"/>
          <w:vertAlign w:val="superscript"/>
        </w:rPr>
        <w:t xml:space="preserve"> </w:t>
      </w:r>
      <w:r w:rsidR="00184D59">
        <w:rPr>
          <w:rFonts w:ascii="Times New Roman" w:hAnsi="Times New Roman"/>
          <w:color w:val="000000" w:themeColor="text1"/>
          <w:sz w:val="24"/>
          <w:szCs w:val="24"/>
        </w:rPr>
        <w:t>a</w:t>
      </w:r>
      <w:r w:rsidRPr="008B33CC">
        <w:rPr>
          <w:rFonts w:ascii="Times New Roman" w:hAnsi="Times New Roman"/>
          <w:color w:val="000000" w:themeColor="text1"/>
          <w:sz w:val="24"/>
          <w:szCs w:val="24"/>
        </w:rPr>
        <w:t xml:space="preserve">dvancements in this field have led to unveiling innovative delivery systems such as </w:t>
      </w:r>
      <w:r w:rsidRPr="009C7E5D">
        <w:rPr>
          <w:rFonts w:ascii="Times New Roman" w:hAnsi="Times New Roman"/>
          <w:color w:val="000000" w:themeColor="text1"/>
          <w:sz w:val="24"/>
          <w:szCs w:val="24"/>
        </w:rPr>
        <w:t>microsponges, composed of porous microspheres</w:t>
      </w:r>
      <w:r w:rsidR="009C7E5D" w:rsidRPr="009C7E5D">
        <w:rPr>
          <w:rFonts w:ascii="Times New Roman" w:hAnsi="Times New Roman"/>
          <w:color w:val="000000" w:themeColor="text1"/>
          <w:sz w:val="24"/>
          <w:szCs w:val="24"/>
        </w:rPr>
        <w:t xml:space="preserve"> </w:t>
      </w:r>
      <w:r w:rsidRPr="009C7E5D">
        <w:rPr>
          <w:rFonts w:ascii="Times New Roman" w:hAnsi="Times New Roman"/>
          <w:color w:val="000000" w:themeColor="text1"/>
          <w:sz w:val="24"/>
          <w:szCs w:val="24"/>
        </w:rPr>
        <w:t>with a size generally in the range of 2-300um and a surface area from 20-500m</w:t>
      </w:r>
      <w:r w:rsidRPr="009C7E5D">
        <w:rPr>
          <w:rFonts w:ascii="Times New Roman" w:hAnsi="Times New Roman"/>
          <w:color w:val="000000" w:themeColor="text1"/>
          <w:sz w:val="24"/>
          <w:szCs w:val="24"/>
          <w:vertAlign w:val="superscript"/>
        </w:rPr>
        <w:t>2</w:t>
      </w:r>
      <w:r w:rsidRPr="009C7E5D">
        <w:rPr>
          <w:rFonts w:ascii="Times New Roman" w:hAnsi="Times New Roman"/>
          <w:color w:val="000000" w:themeColor="text1"/>
          <w:sz w:val="24"/>
          <w:szCs w:val="24"/>
        </w:rPr>
        <w:t>/g. Microsponges offer controlled release of pharmaceutical active ingredients</w:t>
      </w:r>
      <w:r w:rsidR="009C7E5D" w:rsidRPr="009C7E5D">
        <w:rPr>
          <w:rFonts w:ascii="Times New Roman" w:hAnsi="Times New Roman"/>
          <w:color w:val="000000" w:themeColor="text1"/>
          <w:sz w:val="24"/>
          <w:szCs w:val="24"/>
        </w:rPr>
        <w:t xml:space="preserve"> thus, </w:t>
      </w:r>
      <w:r w:rsidR="00B75DBB" w:rsidRPr="009C7E5D">
        <w:rPr>
          <w:rFonts w:ascii="Times New Roman" w:hAnsi="Times New Roman"/>
          <w:color w:val="000000" w:themeColor="text1"/>
          <w:sz w:val="24"/>
          <w:szCs w:val="24"/>
        </w:rPr>
        <w:t>possessing a</w:t>
      </w:r>
      <w:r w:rsidR="009C7E5D" w:rsidRPr="009C7E5D">
        <w:rPr>
          <w:rFonts w:ascii="Times New Roman" w:hAnsi="Times New Roman"/>
          <w:color w:val="000000" w:themeColor="text1"/>
          <w:sz w:val="24"/>
          <w:szCs w:val="24"/>
        </w:rPr>
        <w:t xml:space="preserve"> high potential to be exploited for the delivery of poorly water-soluble drugs like SHK, by enhancing their dermal localization with a concomitant reduction in their side effects</w:t>
      </w:r>
      <w:r w:rsidR="00B75DBB">
        <w:rPr>
          <w:rFonts w:ascii="Times New Roman" w:hAnsi="Times New Roman"/>
          <w:color w:val="000000" w:themeColor="text1"/>
          <w:sz w:val="24"/>
          <w:szCs w:val="24"/>
        </w:rPr>
        <w:t xml:space="preserve">. It offers </w:t>
      </w:r>
      <w:r w:rsidRPr="009C7E5D">
        <w:rPr>
          <w:rFonts w:ascii="Times New Roman" w:hAnsi="Times New Roman"/>
          <w:color w:val="000000" w:themeColor="text1"/>
          <w:sz w:val="24"/>
          <w:szCs w:val="24"/>
        </w:rPr>
        <w:t xml:space="preserve">high drug payload, increased stability, self-sterilization, biocompatibility, and improved patient compliance. </w:t>
      </w:r>
      <w:r w:rsidR="00EB6689" w:rsidRPr="009C7E5D">
        <w:rPr>
          <w:rFonts w:ascii="Times New Roman" w:hAnsi="Times New Roman"/>
          <w:color w:val="000000" w:themeColor="text1"/>
          <w:sz w:val="24"/>
          <w:szCs w:val="24"/>
        </w:rPr>
        <w:t>(</w:t>
      </w:r>
      <w:r w:rsidR="00EB6689">
        <w:rPr>
          <w:rFonts w:ascii="Times New Roman" w:hAnsi="Times New Roman"/>
          <w:color w:val="000000" w:themeColor="text1"/>
          <w:sz w:val="24"/>
          <w:szCs w:val="24"/>
        </w:rPr>
        <w:t>PB et al., 2015).</w:t>
      </w:r>
    </w:p>
    <w:p w14:paraId="0E065A07" w14:textId="5BCF5029" w:rsidR="003A7777" w:rsidRPr="008B33CC" w:rsidRDefault="003A7777" w:rsidP="0008082E">
      <w:pPr>
        <w:spacing w:before="120" w:after="120" w:line="480" w:lineRule="auto"/>
        <w:jc w:val="both"/>
        <w:rPr>
          <w:rFonts w:ascii="Times New Roman" w:hAnsi="Times New Roman"/>
          <w:color w:val="000000" w:themeColor="text1"/>
          <w:sz w:val="24"/>
          <w:szCs w:val="24"/>
        </w:rPr>
      </w:pPr>
      <w:r w:rsidRPr="008B33CC">
        <w:rPr>
          <w:rFonts w:ascii="Times New Roman" w:hAnsi="Times New Roman"/>
          <w:color w:val="000000" w:themeColor="text1"/>
          <w:sz w:val="24"/>
          <w:szCs w:val="24"/>
        </w:rPr>
        <w:t xml:space="preserve">The present study thus aims to isolate SHK from roots of </w:t>
      </w:r>
      <w:proofErr w:type="spellStart"/>
      <w:r w:rsidRPr="008B33CC">
        <w:rPr>
          <w:rFonts w:ascii="Times New Roman" w:hAnsi="Times New Roman"/>
          <w:i/>
          <w:color w:val="000000" w:themeColor="text1"/>
          <w:sz w:val="24"/>
          <w:szCs w:val="24"/>
        </w:rPr>
        <w:t>Arnebia</w:t>
      </w:r>
      <w:proofErr w:type="spellEnd"/>
      <w:r w:rsidRPr="008B33CC">
        <w:rPr>
          <w:rFonts w:ascii="Times New Roman" w:hAnsi="Times New Roman"/>
          <w:i/>
          <w:color w:val="000000" w:themeColor="text1"/>
          <w:sz w:val="24"/>
          <w:szCs w:val="24"/>
        </w:rPr>
        <w:t xml:space="preserve"> nobilis</w:t>
      </w:r>
      <w:r w:rsidRPr="008B33CC">
        <w:rPr>
          <w:rFonts w:ascii="Times New Roman" w:hAnsi="Times New Roman"/>
          <w:color w:val="000000" w:themeColor="text1"/>
          <w:sz w:val="24"/>
          <w:szCs w:val="24"/>
        </w:rPr>
        <w:t xml:space="preserve"> and its subsequent entrapment in microsponges. Fabrication of microsponges by quasi-emulsion solvent diffusion method ensures high drug loading efficiency of lipophilic drugs besides providing controlled and targeted release kinetics</w:t>
      </w:r>
      <w:r w:rsidR="00EB6689">
        <w:rPr>
          <w:rFonts w:ascii="Times New Roman" w:hAnsi="Times New Roman"/>
          <w:color w:val="000000" w:themeColor="text1"/>
          <w:sz w:val="24"/>
          <w:szCs w:val="24"/>
        </w:rPr>
        <w:t xml:space="preserve"> (Jyothi et al., 2019). </w:t>
      </w:r>
      <w:r w:rsidRPr="008B33CC">
        <w:rPr>
          <w:rFonts w:ascii="Times New Roman" w:hAnsi="Times New Roman"/>
          <w:color w:val="000000" w:themeColor="text1"/>
          <w:sz w:val="24"/>
          <w:szCs w:val="24"/>
        </w:rPr>
        <w:t xml:space="preserve">The dermatological potential of SHK was further enhanced by loading these microsponges in a suitable carrier like gel to yield a more useful, versatile and effective therapeutic product. </w:t>
      </w:r>
    </w:p>
    <w:p w14:paraId="44402EA2" w14:textId="77777777"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t>2 Materials and methods</w:t>
      </w:r>
    </w:p>
    <w:p w14:paraId="6D49E380" w14:textId="77777777"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2.1 Materials</w:t>
      </w:r>
    </w:p>
    <w:p w14:paraId="46A99FDC" w14:textId="1327E7E1"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The roots of </w:t>
      </w:r>
      <w:proofErr w:type="spellStart"/>
      <w:r w:rsidRPr="00E37EA2">
        <w:rPr>
          <w:rFonts w:ascii="Times New Roman" w:hAnsi="Times New Roman"/>
          <w:i/>
          <w:color w:val="000000" w:themeColor="text1"/>
          <w:sz w:val="24"/>
          <w:szCs w:val="24"/>
        </w:rPr>
        <w:t>Arnebia</w:t>
      </w:r>
      <w:proofErr w:type="spellEnd"/>
      <w:r w:rsidRPr="00E37EA2">
        <w:rPr>
          <w:rFonts w:ascii="Times New Roman" w:hAnsi="Times New Roman"/>
          <w:i/>
          <w:color w:val="000000" w:themeColor="text1"/>
          <w:sz w:val="24"/>
          <w:szCs w:val="24"/>
        </w:rPr>
        <w:t xml:space="preserve"> nobilis</w:t>
      </w:r>
      <w:r w:rsidRPr="00E37EA2">
        <w:rPr>
          <w:rFonts w:ascii="Times New Roman" w:hAnsi="Times New Roman"/>
          <w:color w:val="000000" w:themeColor="text1"/>
          <w:sz w:val="24"/>
          <w:szCs w:val="24"/>
        </w:rPr>
        <w:t xml:space="preserve"> </w:t>
      </w:r>
      <w:r w:rsidR="00BA15C8">
        <w:rPr>
          <w:rFonts w:ascii="Times New Roman" w:hAnsi="Times New Roman"/>
          <w:color w:val="000000" w:themeColor="text1"/>
          <w:sz w:val="24"/>
          <w:szCs w:val="24"/>
        </w:rPr>
        <w:t>(</w:t>
      </w:r>
      <w:r w:rsidR="00BA15C8" w:rsidRPr="00BA15C8">
        <w:rPr>
          <w:rFonts w:ascii="Times New Roman" w:hAnsi="Times New Roman"/>
          <w:color w:val="000000" w:themeColor="text1"/>
          <w:sz w:val="24"/>
          <w:szCs w:val="24"/>
          <w:highlight w:val="yellow"/>
        </w:rPr>
        <w:t>commonly known as Ratanjot)</w:t>
      </w:r>
      <w:r w:rsidR="00BA15C8">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 xml:space="preserve">were procured from the local market. Ethyl cellulose and polyvinyl alcohol were procured from Sigma-Aldrich Pvt. Ltd. Dichloromethane was procured on demand from Finar Chemicals Ltd. whereas methanol </w:t>
      </w:r>
      <w:r w:rsidR="004108F2" w:rsidRPr="00E37EA2">
        <w:rPr>
          <w:rFonts w:ascii="Times New Roman" w:hAnsi="Times New Roman"/>
          <w:color w:val="000000" w:themeColor="text1"/>
          <w:sz w:val="24"/>
          <w:szCs w:val="24"/>
        </w:rPr>
        <w:t>from REAL</w:t>
      </w:r>
      <w:r w:rsidRPr="00E37EA2">
        <w:rPr>
          <w:rFonts w:ascii="Times New Roman" w:hAnsi="Times New Roman"/>
          <w:color w:val="000000" w:themeColor="text1"/>
          <w:sz w:val="24"/>
          <w:szCs w:val="24"/>
        </w:rPr>
        <w:t xml:space="preserve">® </w:t>
      </w:r>
      <w:proofErr w:type="spellStart"/>
      <w:r w:rsidRPr="00E37EA2">
        <w:rPr>
          <w:rFonts w:ascii="Times New Roman" w:hAnsi="Times New Roman"/>
          <w:color w:val="000000" w:themeColor="text1"/>
          <w:sz w:val="24"/>
          <w:szCs w:val="24"/>
        </w:rPr>
        <w:t>Chemsys</w:t>
      </w:r>
      <w:proofErr w:type="spellEnd"/>
      <w:r w:rsidRPr="00E37EA2">
        <w:rPr>
          <w:rFonts w:ascii="Times New Roman" w:hAnsi="Times New Roman"/>
          <w:color w:val="000000" w:themeColor="text1"/>
          <w:sz w:val="24"/>
          <w:szCs w:val="24"/>
        </w:rPr>
        <w:t xml:space="preserve"> Products Pvt. Ltd. Silica gel 60-120 mesh and 100-120 mesh were </w:t>
      </w:r>
      <w:r w:rsidR="005F3807" w:rsidRPr="00E37EA2">
        <w:rPr>
          <w:rFonts w:ascii="Times New Roman" w:hAnsi="Times New Roman"/>
          <w:color w:val="000000" w:themeColor="text1"/>
          <w:sz w:val="24"/>
          <w:szCs w:val="24"/>
        </w:rPr>
        <w:t>purchased</w:t>
      </w:r>
      <w:r w:rsidRPr="00E37EA2">
        <w:rPr>
          <w:rFonts w:ascii="Times New Roman" w:hAnsi="Times New Roman"/>
          <w:color w:val="000000" w:themeColor="text1"/>
          <w:sz w:val="24"/>
          <w:szCs w:val="24"/>
        </w:rPr>
        <w:t xml:space="preserve"> from </w:t>
      </w:r>
      <w:proofErr w:type="spellStart"/>
      <w:r w:rsidRPr="00E37EA2">
        <w:rPr>
          <w:rFonts w:ascii="Times New Roman" w:hAnsi="Times New Roman"/>
          <w:color w:val="000000" w:themeColor="text1"/>
          <w:sz w:val="24"/>
          <w:szCs w:val="24"/>
        </w:rPr>
        <w:t>Spectrochem</w:t>
      </w:r>
      <w:proofErr w:type="spellEnd"/>
      <w:r w:rsidRPr="00E37EA2">
        <w:rPr>
          <w:rFonts w:ascii="Times New Roman" w:hAnsi="Times New Roman"/>
          <w:color w:val="000000" w:themeColor="text1"/>
          <w:sz w:val="24"/>
          <w:szCs w:val="24"/>
        </w:rPr>
        <w:t xml:space="preserve"> Pvt. Ltd. Mumbai, India and Acme Synthetic Chemicals Ltd. respectively. </w:t>
      </w:r>
      <w:r w:rsidRPr="00E37EA2">
        <w:rPr>
          <w:rFonts w:ascii="Times New Roman" w:hAnsi="Times New Roman"/>
          <w:color w:val="000000" w:themeColor="text1"/>
          <w:sz w:val="24"/>
          <w:szCs w:val="24"/>
        </w:rPr>
        <w:lastRenderedPageBreak/>
        <w:t>Silica gel GF254 and TLC silica gel 60 F</w:t>
      </w:r>
      <w:r w:rsidRPr="00E37EA2">
        <w:rPr>
          <w:rFonts w:ascii="Times New Roman" w:hAnsi="Times New Roman"/>
          <w:color w:val="000000" w:themeColor="text1"/>
          <w:sz w:val="24"/>
          <w:szCs w:val="24"/>
          <w:vertAlign w:val="subscript"/>
        </w:rPr>
        <w:t>254</w:t>
      </w:r>
      <w:r w:rsidRPr="00E37EA2">
        <w:rPr>
          <w:rFonts w:ascii="Times New Roman" w:hAnsi="Times New Roman"/>
          <w:color w:val="000000" w:themeColor="text1"/>
          <w:sz w:val="24"/>
          <w:szCs w:val="24"/>
        </w:rPr>
        <w:t xml:space="preserve"> were made available by </w:t>
      </w:r>
      <w:proofErr w:type="spellStart"/>
      <w:r w:rsidRPr="00E37EA2">
        <w:rPr>
          <w:rFonts w:ascii="Times New Roman" w:hAnsi="Times New Roman"/>
          <w:color w:val="000000" w:themeColor="text1"/>
          <w:sz w:val="24"/>
          <w:szCs w:val="24"/>
        </w:rPr>
        <w:t>Spectrochem</w:t>
      </w:r>
      <w:proofErr w:type="spellEnd"/>
      <w:r w:rsidRPr="00E37EA2">
        <w:rPr>
          <w:rFonts w:ascii="Times New Roman" w:hAnsi="Times New Roman"/>
          <w:color w:val="000000" w:themeColor="text1"/>
          <w:sz w:val="24"/>
          <w:szCs w:val="24"/>
        </w:rPr>
        <w:t xml:space="preserve"> Pvt Ltd. India and Merck Life Sciences Pvt. Ltd. For microbial studies</w:t>
      </w:r>
      <w:r w:rsidR="005F3807" w:rsidRPr="00E37EA2">
        <w:rPr>
          <w:rFonts w:ascii="Times New Roman" w:hAnsi="Times New Roman"/>
          <w:color w:val="000000" w:themeColor="text1"/>
          <w:sz w:val="24"/>
          <w:szCs w:val="24"/>
        </w:rPr>
        <w:t>,</w:t>
      </w:r>
      <w:r w:rsidRPr="00E37EA2">
        <w:rPr>
          <w:rFonts w:ascii="Times New Roman" w:hAnsi="Times New Roman"/>
          <w:color w:val="000000" w:themeColor="text1"/>
          <w:sz w:val="24"/>
          <w:szCs w:val="24"/>
        </w:rPr>
        <w:t xml:space="preserve"> Muller Hinton medium and Sabouraud dextrose agar media were pro</w:t>
      </w:r>
      <w:r w:rsidR="005F3807" w:rsidRPr="00E37EA2">
        <w:rPr>
          <w:rFonts w:ascii="Times New Roman" w:hAnsi="Times New Roman"/>
          <w:color w:val="000000" w:themeColor="text1"/>
          <w:sz w:val="24"/>
          <w:szCs w:val="24"/>
        </w:rPr>
        <w:t xml:space="preserve">cured </w:t>
      </w:r>
      <w:r w:rsidR="004108F2" w:rsidRPr="00E37EA2">
        <w:rPr>
          <w:rFonts w:ascii="Times New Roman" w:hAnsi="Times New Roman"/>
          <w:color w:val="000000" w:themeColor="text1"/>
          <w:sz w:val="24"/>
          <w:szCs w:val="24"/>
        </w:rPr>
        <w:t xml:space="preserve">from </w:t>
      </w:r>
      <w:proofErr w:type="spellStart"/>
      <w:r w:rsidR="004108F2" w:rsidRPr="00E37EA2">
        <w:rPr>
          <w:rFonts w:ascii="Times New Roman" w:hAnsi="Times New Roman"/>
          <w:color w:val="000000" w:themeColor="text1"/>
          <w:sz w:val="24"/>
          <w:szCs w:val="24"/>
        </w:rPr>
        <w:t>HiMedia</w:t>
      </w:r>
      <w:proofErr w:type="spellEnd"/>
      <w:r w:rsidRPr="00E37EA2">
        <w:rPr>
          <w:rFonts w:ascii="Times New Roman" w:hAnsi="Times New Roman"/>
          <w:color w:val="000000" w:themeColor="text1"/>
          <w:sz w:val="24"/>
          <w:szCs w:val="24"/>
        </w:rPr>
        <w:t xml:space="preserve"> Laboratories. Agar used was purchased from Sigma-Aldrich </w:t>
      </w:r>
      <w:r w:rsidR="005F3807" w:rsidRPr="00E37EA2">
        <w:rPr>
          <w:rFonts w:ascii="Times New Roman" w:hAnsi="Times New Roman"/>
          <w:color w:val="000000" w:themeColor="text1"/>
          <w:sz w:val="24"/>
          <w:szCs w:val="24"/>
        </w:rPr>
        <w:t>C</w:t>
      </w:r>
      <w:r w:rsidRPr="00E37EA2">
        <w:rPr>
          <w:rFonts w:ascii="Times New Roman" w:hAnsi="Times New Roman"/>
          <w:color w:val="000000" w:themeColor="text1"/>
          <w:sz w:val="24"/>
          <w:szCs w:val="24"/>
        </w:rPr>
        <w:t xml:space="preserve">hemicals Pvt. Ltd. Throughout experiments, </w:t>
      </w:r>
      <w:r w:rsidR="00262A5E" w:rsidRPr="00E37EA2">
        <w:rPr>
          <w:rFonts w:ascii="Times New Roman" w:hAnsi="Times New Roman"/>
          <w:color w:val="000000" w:themeColor="text1"/>
          <w:sz w:val="24"/>
          <w:szCs w:val="24"/>
        </w:rPr>
        <w:t>triple</w:t>
      </w:r>
      <w:r w:rsidRPr="00E37EA2">
        <w:rPr>
          <w:rFonts w:ascii="Times New Roman" w:hAnsi="Times New Roman"/>
          <w:color w:val="000000" w:themeColor="text1"/>
          <w:sz w:val="24"/>
          <w:szCs w:val="24"/>
        </w:rPr>
        <w:t xml:space="preserve"> distilled water</w:t>
      </w:r>
      <w:r w:rsidR="00262A5E" w:rsidRPr="00E37EA2">
        <w:rPr>
          <w:rFonts w:ascii="Times New Roman" w:hAnsi="Times New Roman"/>
          <w:color w:val="000000" w:themeColor="text1"/>
          <w:sz w:val="24"/>
          <w:szCs w:val="24"/>
        </w:rPr>
        <w:t xml:space="preserve"> (</w:t>
      </w:r>
      <w:proofErr w:type="spellStart"/>
      <w:r w:rsidR="00262A5E" w:rsidRPr="00E37EA2">
        <w:rPr>
          <w:rFonts w:ascii="Times New Roman" w:hAnsi="Times New Roman"/>
          <w:color w:val="000000" w:themeColor="text1"/>
          <w:sz w:val="24"/>
          <w:szCs w:val="24"/>
        </w:rPr>
        <w:t>Rions</w:t>
      </w:r>
      <w:proofErr w:type="spellEnd"/>
      <w:r w:rsidR="00262A5E" w:rsidRPr="00E37EA2">
        <w:rPr>
          <w:rFonts w:ascii="Times New Roman" w:hAnsi="Times New Roman"/>
          <w:color w:val="000000" w:themeColor="text1"/>
          <w:sz w:val="24"/>
          <w:szCs w:val="24"/>
        </w:rPr>
        <w:t xml:space="preserve"> India Lab Water Systems Pvt. Ltd., New Delhi)</w:t>
      </w:r>
      <w:r w:rsidRPr="00E37EA2">
        <w:rPr>
          <w:rFonts w:ascii="Times New Roman" w:hAnsi="Times New Roman"/>
          <w:color w:val="000000" w:themeColor="text1"/>
          <w:sz w:val="24"/>
          <w:szCs w:val="24"/>
        </w:rPr>
        <w:t xml:space="preserve"> was used. All the ingredients used were of analytical grade and were used as procured.</w:t>
      </w:r>
    </w:p>
    <w:p w14:paraId="74668639" w14:textId="77777777"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2.2 Methods</w:t>
      </w:r>
    </w:p>
    <w:p w14:paraId="1C38279A" w14:textId="77777777"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2.2.1 Extraction and Isolation of SHK</w:t>
      </w:r>
    </w:p>
    <w:p w14:paraId="31541231" w14:textId="52C71554"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Roots of </w:t>
      </w:r>
      <w:proofErr w:type="spellStart"/>
      <w:r w:rsidRPr="00E37EA2">
        <w:rPr>
          <w:rFonts w:ascii="Times New Roman" w:hAnsi="Times New Roman"/>
          <w:i/>
          <w:color w:val="000000" w:themeColor="text1"/>
          <w:sz w:val="24"/>
          <w:szCs w:val="24"/>
        </w:rPr>
        <w:t>Arnebia</w:t>
      </w:r>
      <w:proofErr w:type="spellEnd"/>
      <w:r w:rsidRPr="00E37EA2">
        <w:rPr>
          <w:rFonts w:ascii="Times New Roman" w:hAnsi="Times New Roman"/>
          <w:i/>
          <w:color w:val="000000" w:themeColor="text1"/>
          <w:sz w:val="24"/>
          <w:szCs w:val="24"/>
        </w:rPr>
        <w:t xml:space="preserve"> nobilis</w:t>
      </w:r>
      <w:r w:rsidRPr="00E37EA2">
        <w:rPr>
          <w:rFonts w:ascii="Times New Roman" w:hAnsi="Times New Roman"/>
          <w:color w:val="000000" w:themeColor="text1"/>
          <w:sz w:val="24"/>
          <w:szCs w:val="24"/>
        </w:rPr>
        <w:t xml:space="preserve"> (100g) were macerated with chloroform until residue left no trace of red colored naphthoquinone pigment. The obtained extract was concentrated after filtration under reduced pressure at 40 °C using Rota evaporator (IKA, RV 10, India Pvt. Ltd.). The dried extract was then subjected to column chromatography and various fractions were </w:t>
      </w:r>
      <w:r w:rsidRPr="00B67A6A">
        <w:rPr>
          <w:rFonts w:ascii="Times New Roman" w:hAnsi="Times New Roman"/>
          <w:color w:val="000000" w:themeColor="text1"/>
          <w:sz w:val="24"/>
          <w:szCs w:val="24"/>
        </w:rPr>
        <w:t>isolated</w:t>
      </w:r>
      <w:r w:rsidR="00B67A6A" w:rsidRPr="00B67A6A">
        <w:rPr>
          <w:rFonts w:ascii="Times New Roman" w:hAnsi="Times New Roman"/>
          <w:sz w:val="24"/>
          <w:szCs w:val="24"/>
        </w:rPr>
        <w:t xml:space="preserve"> </w:t>
      </w:r>
      <w:r w:rsidR="00B67A6A" w:rsidRPr="00B67A6A">
        <w:rPr>
          <w:rFonts w:ascii="Times New Roman" w:hAnsi="Times New Roman"/>
          <w:sz w:val="24"/>
          <w:szCs w:val="24"/>
          <w:highlight w:val="yellow"/>
        </w:rPr>
        <w:t xml:space="preserve">(Ferreira </w:t>
      </w:r>
      <w:r w:rsidR="00B67A6A">
        <w:rPr>
          <w:rFonts w:ascii="Times New Roman" w:hAnsi="Times New Roman"/>
          <w:sz w:val="24"/>
          <w:szCs w:val="24"/>
          <w:highlight w:val="yellow"/>
        </w:rPr>
        <w:t xml:space="preserve">&amp; </w:t>
      </w:r>
      <w:r w:rsidR="00B67A6A" w:rsidRPr="00B67A6A">
        <w:rPr>
          <w:rFonts w:ascii="Times New Roman" w:hAnsi="Times New Roman"/>
          <w:sz w:val="24"/>
          <w:szCs w:val="24"/>
          <w:highlight w:val="yellow"/>
        </w:rPr>
        <w:t>Laddha 2013</w:t>
      </w:r>
      <w:r w:rsidR="00B67A6A" w:rsidRPr="00B67A6A">
        <w:rPr>
          <w:rFonts w:ascii="Times New Roman" w:hAnsi="Times New Roman"/>
          <w:sz w:val="24"/>
          <w:szCs w:val="24"/>
        </w:rPr>
        <w:t>)</w:t>
      </w:r>
      <w:r w:rsidRPr="00B67A6A">
        <w:rPr>
          <w:rFonts w:ascii="Times New Roman" w:hAnsi="Times New Roman"/>
          <w:color w:val="000000" w:themeColor="text1"/>
          <w:sz w:val="24"/>
          <w:szCs w:val="24"/>
        </w:rPr>
        <w:t>. F</w:t>
      </w:r>
      <w:r w:rsidRPr="00E37EA2">
        <w:rPr>
          <w:rFonts w:ascii="Times New Roman" w:hAnsi="Times New Roman"/>
          <w:color w:val="000000" w:themeColor="text1"/>
          <w:sz w:val="24"/>
          <w:szCs w:val="24"/>
        </w:rPr>
        <w:t>rom the isolated fractions, the most potent fraction containing SHK was optimized based on anti-microbial (agar well diffusion) assay and anti-oxidant</w:t>
      </w:r>
      <w:r w:rsidR="00332A80">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 xml:space="preserve">assay. </w:t>
      </w:r>
    </w:p>
    <w:p w14:paraId="014AB414" w14:textId="77777777"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Anti-microbial Assay</w:t>
      </w:r>
    </w:p>
    <w:p w14:paraId="29EB0150" w14:textId="4D3ADF01" w:rsidR="00B975ED" w:rsidRPr="00E35241" w:rsidRDefault="00B975ED" w:rsidP="0008082E">
      <w:pPr>
        <w:spacing w:before="120" w:after="120" w:line="480" w:lineRule="auto"/>
        <w:jc w:val="both"/>
        <w:rPr>
          <w:rFonts w:ascii="Times New Roman" w:hAnsi="Times New Roman"/>
          <w:i/>
          <w:color w:val="000000" w:themeColor="text1"/>
          <w:sz w:val="24"/>
          <w:szCs w:val="24"/>
        </w:rPr>
      </w:pPr>
      <w:r w:rsidRPr="00E37EA2">
        <w:rPr>
          <w:rFonts w:ascii="Times New Roman" w:hAnsi="Times New Roman"/>
          <w:color w:val="000000" w:themeColor="text1"/>
          <w:sz w:val="24"/>
          <w:szCs w:val="24"/>
        </w:rPr>
        <w:t xml:space="preserve">Agar well diffusion method was used to ascertain the anti-microbial activity of various isolated fractions against three pathogenic micro-organisms mainly consorted with infectious diseases namely </w:t>
      </w:r>
      <w:r w:rsidRPr="00E37EA2">
        <w:rPr>
          <w:rFonts w:ascii="Times New Roman" w:hAnsi="Times New Roman"/>
          <w:i/>
          <w:color w:val="000000" w:themeColor="text1"/>
          <w:sz w:val="24"/>
          <w:szCs w:val="24"/>
        </w:rPr>
        <w:t xml:space="preserve">Staphylococcus aureus </w:t>
      </w:r>
      <w:r w:rsidRPr="00E37EA2">
        <w:rPr>
          <w:rFonts w:ascii="Times New Roman" w:hAnsi="Times New Roman"/>
          <w:color w:val="000000" w:themeColor="text1"/>
          <w:sz w:val="24"/>
          <w:szCs w:val="24"/>
        </w:rPr>
        <w:t>(MTCC 740)</w:t>
      </w:r>
      <w:r w:rsidRPr="00E37EA2">
        <w:rPr>
          <w:rFonts w:ascii="Times New Roman" w:hAnsi="Times New Roman"/>
          <w:i/>
          <w:color w:val="000000" w:themeColor="text1"/>
          <w:sz w:val="24"/>
          <w:szCs w:val="24"/>
        </w:rPr>
        <w:t xml:space="preserve">, Escherichia coli </w:t>
      </w:r>
      <w:r w:rsidRPr="00E37EA2">
        <w:rPr>
          <w:rFonts w:ascii="Times New Roman" w:hAnsi="Times New Roman"/>
          <w:color w:val="000000" w:themeColor="text1"/>
          <w:sz w:val="24"/>
          <w:szCs w:val="24"/>
        </w:rPr>
        <w:t>(MTCC 119)</w:t>
      </w:r>
      <w:r w:rsidRPr="00E37EA2">
        <w:rPr>
          <w:rFonts w:ascii="Times New Roman" w:hAnsi="Times New Roman"/>
          <w:i/>
          <w:color w:val="000000" w:themeColor="text1"/>
          <w:sz w:val="24"/>
          <w:szCs w:val="24"/>
        </w:rPr>
        <w:t xml:space="preserve"> </w:t>
      </w:r>
      <w:r w:rsidRPr="00E37EA2">
        <w:rPr>
          <w:rFonts w:ascii="Times New Roman" w:hAnsi="Times New Roman"/>
          <w:color w:val="000000" w:themeColor="text1"/>
          <w:sz w:val="24"/>
          <w:szCs w:val="24"/>
        </w:rPr>
        <w:t>and</w:t>
      </w:r>
      <w:r w:rsidRPr="00E37EA2">
        <w:rPr>
          <w:rFonts w:ascii="Times New Roman" w:hAnsi="Times New Roman"/>
          <w:i/>
          <w:color w:val="000000" w:themeColor="text1"/>
          <w:sz w:val="24"/>
          <w:szCs w:val="24"/>
        </w:rPr>
        <w:t xml:space="preserve"> Candida albicans </w:t>
      </w:r>
      <w:r w:rsidRPr="00E37EA2">
        <w:rPr>
          <w:rFonts w:ascii="Times New Roman" w:hAnsi="Times New Roman"/>
          <w:color w:val="000000" w:themeColor="text1"/>
          <w:sz w:val="24"/>
          <w:szCs w:val="24"/>
        </w:rPr>
        <w:t>(MTCC 227)</w:t>
      </w:r>
      <w:r w:rsidRPr="00E37EA2">
        <w:rPr>
          <w:rFonts w:ascii="Times New Roman" w:hAnsi="Times New Roman"/>
          <w:i/>
          <w:color w:val="000000" w:themeColor="text1"/>
          <w:sz w:val="24"/>
          <w:szCs w:val="24"/>
        </w:rPr>
        <w:t xml:space="preserve">. </w:t>
      </w:r>
      <w:r w:rsidRPr="00E37EA2">
        <w:rPr>
          <w:rFonts w:ascii="Times New Roman" w:hAnsi="Times New Roman"/>
          <w:color w:val="000000" w:themeColor="text1"/>
          <w:sz w:val="24"/>
          <w:szCs w:val="24"/>
        </w:rPr>
        <w:t xml:space="preserve">Prior to assay </w:t>
      </w:r>
      <w:r w:rsidRPr="00E37EA2">
        <w:rPr>
          <w:rFonts w:ascii="Times New Roman" w:hAnsi="Times New Roman"/>
          <w:i/>
          <w:color w:val="000000" w:themeColor="text1"/>
          <w:sz w:val="24"/>
          <w:szCs w:val="24"/>
        </w:rPr>
        <w:t xml:space="preserve">Staphylococcus aureus </w:t>
      </w:r>
      <w:r w:rsidRPr="00E37EA2">
        <w:rPr>
          <w:rFonts w:ascii="Times New Roman" w:hAnsi="Times New Roman"/>
          <w:color w:val="000000" w:themeColor="text1"/>
          <w:sz w:val="24"/>
          <w:szCs w:val="24"/>
        </w:rPr>
        <w:t xml:space="preserve">(MTCC 740) and </w:t>
      </w:r>
      <w:r w:rsidRPr="00E37EA2">
        <w:rPr>
          <w:rFonts w:ascii="Times New Roman" w:hAnsi="Times New Roman"/>
          <w:i/>
          <w:color w:val="000000" w:themeColor="text1"/>
          <w:sz w:val="24"/>
          <w:szCs w:val="24"/>
        </w:rPr>
        <w:t xml:space="preserve">Escherichia coli </w:t>
      </w:r>
      <w:r w:rsidRPr="00E37EA2">
        <w:rPr>
          <w:rFonts w:ascii="Times New Roman" w:hAnsi="Times New Roman"/>
          <w:color w:val="000000" w:themeColor="text1"/>
          <w:sz w:val="24"/>
          <w:szCs w:val="24"/>
        </w:rPr>
        <w:t xml:space="preserve">(MTCC 119) were inoculated on Muller-Hinton Agar medium at 37°C for 18 </w:t>
      </w:r>
      <w:proofErr w:type="spellStart"/>
      <w:r w:rsidRPr="00E37EA2">
        <w:rPr>
          <w:rFonts w:ascii="Times New Roman" w:hAnsi="Times New Roman"/>
          <w:color w:val="000000" w:themeColor="text1"/>
          <w:sz w:val="24"/>
          <w:szCs w:val="24"/>
        </w:rPr>
        <w:t>hrs</w:t>
      </w:r>
      <w:proofErr w:type="spellEnd"/>
      <w:r w:rsidRPr="00E37EA2">
        <w:rPr>
          <w:rFonts w:ascii="Times New Roman" w:hAnsi="Times New Roman"/>
          <w:color w:val="000000" w:themeColor="text1"/>
          <w:sz w:val="24"/>
          <w:szCs w:val="24"/>
        </w:rPr>
        <w:t xml:space="preserve"> adjusted to 10</w:t>
      </w:r>
      <w:r w:rsidRPr="00E37EA2">
        <w:rPr>
          <w:rFonts w:ascii="Times New Roman" w:hAnsi="Times New Roman"/>
          <w:color w:val="000000" w:themeColor="text1"/>
          <w:sz w:val="24"/>
          <w:szCs w:val="24"/>
          <w:vertAlign w:val="superscript"/>
        </w:rPr>
        <w:t>6</w:t>
      </w:r>
      <w:r w:rsidRPr="00E37EA2">
        <w:rPr>
          <w:rFonts w:ascii="Times New Roman" w:hAnsi="Times New Roman"/>
          <w:color w:val="000000" w:themeColor="text1"/>
          <w:sz w:val="24"/>
          <w:szCs w:val="24"/>
        </w:rPr>
        <w:t xml:space="preserve"> </w:t>
      </w:r>
      <w:proofErr w:type="spellStart"/>
      <w:r w:rsidRPr="00E37EA2">
        <w:rPr>
          <w:rFonts w:ascii="Times New Roman" w:hAnsi="Times New Roman"/>
          <w:color w:val="000000" w:themeColor="text1"/>
          <w:sz w:val="24"/>
          <w:szCs w:val="24"/>
        </w:rPr>
        <w:t>cfu</w:t>
      </w:r>
      <w:proofErr w:type="spellEnd"/>
      <w:r w:rsidRPr="00E37EA2">
        <w:rPr>
          <w:rFonts w:ascii="Times New Roman" w:hAnsi="Times New Roman"/>
          <w:color w:val="000000" w:themeColor="text1"/>
          <w:sz w:val="24"/>
          <w:szCs w:val="24"/>
        </w:rPr>
        <w:t xml:space="preserve">/ml in saline whereas </w:t>
      </w:r>
      <w:r w:rsidRPr="00E37EA2">
        <w:rPr>
          <w:rFonts w:ascii="Times New Roman" w:hAnsi="Times New Roman"/>
          <w:i/>
          <w:color w:val="000000" w:themeColor="text1"/>
          <w:sz w:val="24"/>
          <w:szCs w:val="24"/>
        </w:rPr>
        <w:t xml:space="preserve">Candida albicans </w:t>
      </w:r>
      <w:r w:rsidRPr="00E37EA2">
        <w:rPr>
          <w:rFonts w:ascii="Times New Roman" w:hAnsi="Times New Roman"/>
          <w:color w:val="000000" w:themeColor="text1"/>
          <w:sz w:val="24"/>
          <w:szCs w:val="24"/>
        </w:rPr>
        <w:t>(MTCC 227) was inoculated on Sabouraud dextrose agar medium at 27°C for 24hrs with 10</w:t>
      </w:r>
      <w:r w:rsidRPr="00E37EA2">
        <w:rPr>
          <w:rFonts w:ascii="Times New Roman" w:hAnsi="Times New Roman"/>
          <w:color w:val="000000" w:themeColor="text1"/>
          <w:sz w:val="24"/>
          <w:szCs w:val="24"/>
          <w:vertAlign w:val="superscript"/>
        </w:rPr>
        <w:t>6</w:t>
      </w:r>
      <w:r w:rsidRPr="00E37EA2">
        <w:rPr>
          <w:rFonts w:ascii="Times New Roman" w:hAnsi="Times New Roman"/>
          <w:color w:val="000000" w:themeColor="text1"/>
          <w:sz w:val="24"/>
          <w:szCs w:val="24"/>
        </w:rPr>
        <w:t xml:space="preserve"> </w:t>
      </w:r>
      <w:proofErr w:type="spellStart"/>
      <w:r w:rsidRPr="00E37EA2">
        <w:rPr>
          <w:rFonts w:ascii="Times New Roman" w:hAnsi="Times New Roman"/>
          <w:color w:val="000000" w:themeColor="text1"/>
          <w:sz w:val="24"/>
          <w:szCs w:val="24"/>
        </w:rPr>
        <w:t>cfu</w:t>
      </w:r>
      <w:proofErr w:type="spellEnd"/>
      <w:r w:rsidRPr="00E37EA2">
        <w:rPr>
          <w:rFonts w:ascii="Times New Roman" w:hAnsi="Times New Roman"/>
          <w:color w:val="000000" w:themeColor="text1"/>
          <w:sz w:val="24"/>
          <w:szCs w:val="24"/>
        </w:rPr>
        <w:t xml:space="preserve">/ml in saline. After swabbing plates with 100µl inoculum </w:t>
      </w:r>
      <w:r w:rsidRPr="00E37EA2">
        <w:rPr>
          <w:rFonts w:ascii="Times New Roman" w:hAnsi="Times New Roman"/>
          <w:color w:val="000000" w:themeColor="text1"/>
          <w:sz w:val="24"/>
          <w:szCs w:val="24"/>
        </w:rPr>
        <w:lastRenderedPageBreak/>
        <w:t>of the test microorganisms, 20μl sample solution was dispensed in 8 mm wells. All plates were inoculated for 24hrs at 37°C and for 48hrs at 27°C for growth of bacteria and fungi, respectively. The positive control was ciprofloxacin (5ug/ml) for Gram positive bacteria, gentamicin (5ug/ml) for Gram negative bacteria and nystatin (5ug/ml) for fungi while dimethyl sulfoxide (DMSO) was used as negative control. The diameter of zone of inhibition was used as a measure of antibacterial activity of the active molecules</w:t>
      </w:r>
      <w:r w:rsidR="00E35241">
        <w:rPr>
          <w:rFonts w:ascii="Times New Roman" w:hAnsi="Times New Roman"/>
          <w:color w:val="000000" w:themeColor="text1"/>
          <w:sz w:val="24"/>
          <w:szCs w:val="24"/>
        </w:rPr>
        <w:t xml:space="preserve"> (</w:t>
      </w:r>
      <w:r w:rsidR="00E35241" w:rsidRPr="00AB6F37">
        <w:rPr>
          <w:rFonts w:ascii="Times New Roman" w:hAnsi="Times New Roman"/>
          <w:sz w:val="24"/>
          <w:szCs w:val="24"/>
        </w:rPr>
        <w:t>Vidhya</w:t>
      </w:r>
      <w:r w:rsidR="00E35241">
        <w:rPr>
          <w:rFonts w:ascii="Times New Roman" w:hAnsi="Times New Roman"/>
          <w:sz w:val="24"/>
          <w:szCs w:val="24"/>
        </w:rPr>
        <w:t xml:space="preserve"> et al., 2020).</w:t>
      </w:r>
    </w:p>
    <w:p w14:paraId="379E2DAF" w14:textId="77777777"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Anti-Oxidant Assay</w:t>
      </w:r>
    </w:p>
    <w:p w14:paraId="4A4B6CD3" w14:textId="18CE875A" w:rsidR="00B975ED"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The free radical scavenging activity of various isolated fractions was determined by using DPPH (2, 2 –diphenyl -1</w:t>
      </w:r>
      <w:r w:rsidR="00332A80">
        <w:rPr>
          <w:rFonts w:ascii="Times New Roman" w:hAnsi="Times New Roman"/>
          <w:color w:val="000000" w:themeColor="text1"/>
          <w:sz w:val="24"/>
          <w:szCs w:val="24"/>
        </w:rPr>
        <w:t>-</w:t>
      </w:r>
      <w:r w:rsidRPr="00E37EA2">
        <w:rPr>
          <w:rFonts w:ascii="Times New Roman" w:hAnsi="Times New Roman"/>
          <w:color w:val="000000" w:themeColor="text1"/>
          <w:sz w:val="24"/>
          <w:szCs w:val="24"/>
        </w:rPr>
        <w:t xml:space="preserve"> picrylhydrazyl) assay. 0.1ml aliquot of fraction was added to 3.9 ml of DPPH (6 X 10</w:t>
      </w:r>
      <w:r w:rsidRPr="00E37EA2">
        <w:rPr>
          <w:rFonts w:ascii="Times New Roman" w:hAnsi="Times New Roman"/>
          <w:color w:val="000000" w:themeColor="text1"/>
          <w:sz w:val="24"/>
          <w:szCs w:val="24"/>
          <w:vertAlign w:val="superscript"/>
        </w:rPr>
        <w:t>5</w:t>
      </w:r>
      <w:r w:rsidRPr="00E37EA2">
        <w:rPr>
          <w:rFonts w:ascii="Times New Roman" w:hAnsi="Times New Roman"/>
          <w:color w:val="000000" w:themeColor="text1"/>
          <w:sz w:val="24"/>
          <w:szCs w:val="24"/>
        </w:rPr>
        <w:t>M) methanolic solution. The DPPH methanolic solution and methanol was used as control and solution of quercetin as positive control. The samples were incubated for 30 min at room temperature in the dark and absorbance was measured at 518</w:t>
      </w:r>
      <w:r w:rsidR="005F3807" w:rsidRPr="00E37EA2">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nm to determine the reduction in DPPH free radical</w:t>
      </w:r>
      <w:r w:rsidR="00E35241">
        <w:rPr>
          <w:rFonts w:ascii="Times New Roman" w:hAnsi="Times New Roman"/>
          <w:color w:val="000000" w:themeColor="text1"/>
          <w:sz w:val="24"/>
          <w:szCs w:val="24"/>
        </w:rPr>
        <w:t xml:space="preserve"> (</w:t>
      </w:r>
      <w:proofErr w:type="spellStart"/>
      <w:r w:rsidR="00E35241">
        <w:rPr>
          <w:rFonts w:ascii="Times New Roman" w:hAnsi="Times New Roman"/>
          <w:color w:val="000000" w:themeColor="text1"/>
          <w:sz w:val="24"/>
          <w:szCs w:val="24"/>
        </w:rPr>
        <w:t>Coklar</w:t>
      </w:r>
      <w:proofErr w:type="spellEnd"/>
      <w:r w:rsidR="00E35241">
        <w:rPr>
          <w:rFonts w:ascii="Times New Roman" w:hAnsi="Times New Roman"/>
          <w:color w:val="000000" w:themeColor="text1"/>
          <w:sz w:val="24"/>
          <w:szCs w:val="24"/>
        </w:rPr>
        <w:t xml:space="preserve"> </w:t>
      </w:r>
      <w:r w:rsidR="00F96DAA">
        <w:rPr>
          <w:rFonts w:ascii="Times New Roman" w:hAnsi="Times New Roman"/>
          <w:color w:val="000000" w:themeColor="text1"/>
          <w:sz w:val="24"/>
          <w:szCs w:val="24"/>
        </w:rPr>
        <w:t xml:space="preserve">&amp; Akbulut </w:t>
      </w:r>
      <w:r w:rsidR="00E35241">
        <w:rPr>
          <w:rFonts w:ascii="Times New Roman" w:hAnsi="Times New Roman"/>
          <w:color w:val="000000" w:themeColor="text1"/>
          <w:sz w:val="24"/>
          <w:szCs w:val="24"/>
        </w:rPr>
        <w:t xml:space="preserve">2017). </w:t>
      </w:r>
      <w:r w:rsidRPr="00E37EA2">
        <w:rPr>
          <w:rFonts w:ascii="Times New Roman" w:hAnsi="Times New Roman"/>
          <w:color w:val="000000" w:themeColor="text1"/>
          <w:sz w:val="24"/>
          <w:szCs w:val="24"/>
        </w:rPr>
        <w:t>Low absorbance of the mixture indicated higher free radical scavenging activity and was calculated as per the equation</w:t>
      </w:r>
      <w:r w:rsidR="008B33CC">
        <w:rPr>
          <w:rFonts w:ascii="Times New Roman" w:hAnsi="Times New Roman"/>
          <w:color w:val="000000" w:themeColor="text1"/>
          <w:sz w:val="24"/>
          <w:szCs w:val="24"/>
        </w:rPr>
        <w:t xml:space="preserve"> </w:t>
      </w:r>
      <w:r w:rsidR="00A6463D">
        <w:rPr>
          <w:rFonts w:ascii="Times New Roman" w:hAnsi="Times New Roman"/>
          <w:color w:val="000000" w:themeColor="text1"/>
          <w:sz w:val="24"/>
          <w:szCs w:val="24"/>
        </w:rPr>
        <w:t>(</w:t>
      </w:r>
      <w:r w:rsidR="008B33CC">
        <w:rPr>
          <w:rFonts w:ascii="Times New Roman" w:hAnsi="Times New Roman"/>
          <w:color w:val="000000" w:themeColor="text1"/>
          <w:sz w:val="24"/>
          <w:szCs w:val="24"/>
        </w:rPr>
        <w:t>i</w:t>
      </w:r>
      <w:r w:rsidR="00A6463D">
        <w:rPr>
          <w:rFonts w:ascii="Times New Roman" w:hAnsi="Times New Roman"/>
          <w:color w:val="000000" w:themeColor="text1"/>
          <w:sz w:val="24"/>
          <w:szCs w:val="24"/>
        </w:rPr>
        <w:t>)</w:t>
      </w:r>
      <w:r w:rsidRPr="00E37EA2">
        <w:rPr>
          <w:rFonts w:ascii="Times New Roman" w:hAnsi="Times New Roman"/>
          <w:color w:val="000000" w:themeColor="text1"/>
          <w:sz w:val="24"/>
          <w:szCs w:val="24"/>
        </w:rPr>
        <w:t>:</w:t>
      </w:r>
    </w:p>
    <w:p w14:paraId="664A81C0" w14:textId="77777777" w:rsidR="008B33CC" w:rsidRPr="00E37EA2" w:rsidRDefault="008B33CC" w:rsidP="0008082E">
      <w:pPr>
        <w:spacing w:before="120" w:after="120" w:line="480" w:lineRule="auto"/>
        <w:jc w:val="both"/>
        <w:rPr>
          <w:rFonts w:ascii="Times New Roman" w:hAnsi="Times New Roman"/>
          <w:color w:val="000000" w:themeColor="text1"/>
          <w:sz w:val="24"/>
          <w:szCs w:val="24"/>
        </w:rPr>
      </w:pPr>
    </w:p>
    <w:p w14:paraId="4A9ABF81" w14:textId="209BF0E3" w:rsidR="00B975ED" w:rsidRPr="00E37EA2" w:rsidRDefault="00B975ED" w:rsidP="0008082E">
      <w:pPr>
        <w:spacing w:before="120" w:after="120" w:line="480" w:lineRule="auto"/>
        <w:jc w:val="both"/>
        <w:rPr>
          <w:rFonts w:ascii="Times New Roman" w:eastAsia="Times New Roman" w:hAnsi="Times New Roman"/>
          <w:color w:val="000000" w:themeColor="text1"/>
          <w:sz w:val="24"/>
          <w:szCs w:val="24"/>
        </w:rPr>
      </w:pPr>
      <m:oMath>
        <m:r>
          <w:rPr>
            <w:rFonts w:ascii="Cambria Math" w:hAnsi="Cambria Math"/>
            <w:sz w:val="24"/>
            <w:szCs w:val="24"/>
          </w:rPr>
          <m:t xml:space="preserve">% I = </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A</m:t>
                </m:r>
                <m:r>
                  <w:rPr>
                    <w:rFonts w:ascii="Cambria Math" w:hAnsi="Cambria Math"/>
                    <w:sz w:val="24"/>
                    <w:szCs w:val="24"/>
                    <w:vertAlign w:val="subscript"/>
                  </w:rPr>
                  <m:t>DPPH</m:t>
                </m:r>
                <m:r>
                  <w:rPr>
                    <w:rFonts w:ascii="Cambria Math" w:hAnsi="Cambria Math"/>
                    <w:sz w:val="24"/>
                    <w:szCs w:val="24"/>
                  </w:rPr>
                  <m:t>-A</m:t>
                </m:r>
                <m:r>
                  <w:rPr>
                    <w:rFonts w:ascii="Cambria Math" w:hAnsi="Cambria Math"/>
                    <w:sz w:val="24"/>
                    <w:szCs w:val="24"/>
                    <w:vertAlign w:val="subscript"/>
                  </w:rPr>
                  <m:t>P</m:t>
                </m:r>
              </m:num>
              <m:den>
                <m:r>
                  <w:rPr>
                    <w:rFonts w:ascii="Cambria Math" w:hAnsi="Cambria Math"/>
                    <w:sz w:val="24"/>
                    <w:szCs w:val="24"/>
                  </w:rPr>
                  <m:t>A</m:t>
                </m:r>
                <m:r>
                  <w:rPr>
                    <w:rFonts w:ascii="Cambria Math" w:hAnsi="Cambria Math"/>
                    <w:sz w:val="24"/>
                    <w:szCs w:val="24"/>
                    <w:vertAlign w:val="subscript"/>
                  </w:rPr>
                  <m:t>DPPH</m:t>
                </m:r>
              </m:den>
            </m:f>
          </m:e>
        </m:d>
        <m:r>
          <w:rPr>
            <w:rFonts w:ascii="Cambria Math" w:hAnsi="Cambria Math"/>
            <w:sz w:val="24"/>
            <w:szCs w:val="24"/>
          </w:rPr>
          <m:t>×100</m:t>
        </m:r>
      </m:oMath>
      <w:r w:rsidR="008B33CC">
        <w:rPr>
          <w:rFonts w:ascii="Times New Roman" w:eastAsia="Times New Roman" w:hAnsi="Times New Roman"/>
          <w:sz w:val="24"/>
          <w:szCs w:val="24"/>
        </w:rPr>
        <w:t xml:space="preserve">                </w:t>
      </w:r>
      <w:r w:rsidR="008B33CC">
        <w:rPr>
          <w:rFonts w:ascii="Times New Roman" w:eastAsia="Times New Roman" w:hAnsi="Times New Roman"/>
          <w:sz w:val="24"/>
          <w:szCs w:val="24"/>
        </w:rPr>
        <w:tab/>
        <w:t xml:space="preserve">   (i)</w:t>
      </w:r>
    </w:p>
    <w:p w14:paraId="2DB1A470" w14:textId="77777777"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Where, A</w:t>
      </w:r>
      <w:r w:rsidRPr="00E37EA2">
        <w:rPr>
          <w:rFonts w:ascii="Times New Roman" w:hAnsi="Times New Roman"/>
          <w:color w:val="000000" w:themeColor="text1"/>
          <w:sz w:val="24"/>
          <w:szCs w:val="24"/>
          <w:vertAlign w:val="subscript"/>
        </w:rPr>
        <w:t xml:space="preserve">DPPH </w:t>
      </w:r>
      <w:r w:rsidRPr="00E37EA2">
        <w:rPr>
          <w:rFonts w:ascii="Times New Roman" w:hAnsi="Times New Roman"/>
          <w:color w:val="000000" w:themeColor="text1"/>
          <w:sz w:val="24"/>
          <w:szCs w:val="24"/>
        </w:rPr>
        <w:t>and A</w:t>
      </w:r>
      <w:r w:rsidRPr="00E37EA2">
        <w:rPr>
          <w:rFonts w:ascii="Times New Roman" w:hAnsi="Times New Roman"/>
          <w:color w:val="000000" w:themeColor="text1"/>
          <w:sz w:val="24"/>
          <w:szCs w:val="24"/>
          <w:vertAlign w:val="subscript"/>
        </w:rPr>
        <w:t>P</w:t>
      </w:r>
      <w:r w:rsidRPr="00E37EA2">
        <w:rPr>
          <w:rFonts w:ascii="Times New Roman" w:hAnsi="Times New Roman"/>
          <w:color w:val="000000" w:themeColor="text1"/>
          <w:sz w:val="24"/>
          <w:szCs w:val="24"/>
        </w:rPr>
        <w:t xml:space="preserve"> are the absorbance of the DPPH solutions containing methanol and potent optimized fraction, respectively. </w:t>
      </w:r>
    </w:p>
    <w:p w14:paraId="12FE17BC" w14:textId="77777777"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Isolation of SHK from the potent fraction</w:t>
      </w:r>
    </w:p>
    <w:p w14:paraId="38E13FDE" w14:textId="77777777"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Fraction with maximum anti-microbial activity and anti-oxidant activity was further subjected to column chromatography and SHK was identified as major component, confirmed from comparison with standard </w:t>
      </w:r>
      <w:proofErr w:type="spellStart"/>
      <w:r w:rsidRPr="00E37EA2">
        <w:rPr>
          <w:rFonts w:ascii="Times New Roman" w:hAnsi="Times New Roman"/>
          <w:color w:val="000000" w:themeColor="text1"/>
          <w:sz w:val="24"/>
          <w:szCs w:val="24"/>
        </w:rPr>
        <w:t>shikonin</w:t>
      </w:r>
      <w:proofErr w:type="spellEnd"/>
      <w:r w:rsidRPr="00E37EA2">
        <w:rPr>
          <w:rFonts w:ascii="Times New Roman" w:hAnsi="Times New Roman"/>
          <w:color w:val="000000" w:themeColor="text1"/>
          <w:sz w:val="24"/>
          <w:szCs w:val="24"/>
        </w:rPr>
        <w:t xml:space="preserve"> procured from Sigma-Aldrich Pvt. Ltd. In order to get desired </w:t>
      </w:r>
      <w:r w:rsidRPr="00E37EA2">
        <w:rPr>
          <w:rFonts w:ascii="Times New Roman" w:hAnsi="Times New Roman"/>
          <w:color w:val="000000" w:themeColor="text1"/>
          <w:sz w:val="24"/>
          <w:szCs w:val="24"/>
        </w:rPr>
        <w:lastRenderedPageBreak/>
        <w:t xml:space="preserve">quantity of SHK, esters of SHK in crude extract was hydrolyzed using sodium hydroxide (5% </w:t>
      </w:r>
      <w:r w:rsidRPr="00E37EA2">
        <w:rPr>
          <w:rFonts w:ascii="Times New Roman" w:hAnsi="Times New Roman"/>
          <w:i/>
          <w:color w:val="000000" w:themeColor="text1"/>
          <w:sz w:val="24"/>
          <w:szCs w:val="24"/>
        </w:rPr>
        <w:t>w/v</w:t>
      </w:r>
      <w:r w:rsidRPr="00E37EA2">
        <w:rPr>
          <w:rFonts w:ascii="Times New Roman" w:hAnsi="Times New Roman"/>
          <w:color w:val="000000" w:themeColor="text1"/>
          <w:sz w:val="24"/>
          <w:szCs w:val="24"/>
        </w:rPr>
        <w:t xml:space="preserve"> NaOH) with continuous stirring for about 4 hrs. This mixture was then acidified with hydrochloric acid (10 % </w:t>
      </w:r>
      <w:r w:rsidRPr="00E37EA2">
        <w:rPr>
          <w:rFonts w:ascii="Times New Roman" w:hAnsi="Times New Roman"/>
          <w:i/>
          <w:color w:val="000000" w:themeColor="text1"/>
          <w:sz w:val="24"/>
          <w:szCs w:val="24"/>
        </w:rPr>
        <w:t>v/v</w:t>
      </w:r>
      <w:r w:rsidRPr="00E37EA2">
        <w:rPr>
          <w:rFonts w:ascii="Times New Roman" w:hAnsi="Times New Roman"/>
          <w:color w:val="000000" w:themeColor="text1"/>
          <w:sz w:val="24"/>
          <w:szCs w:val="24"/>
        </w:rPr>
        <w:t xml:space="preserve">) till the color transformed from blue to red. The resultant solution was extracted using petroleum ether to obtain crude SHK that was further subjected to column chromatography that yielded pure SHK. </w:t>
      </w:r>
    </w:p>
    <w:p w14:paraId="345C06CF" w14:textId="77777777"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2.2.2 Identification and Analysis of SHK</w:t>
      </w:r>
    </w:p>
    <w:p w14:paraId="497E00E6" w14:textId="51C59DC8" w:rsidR="00B975ED" w:rsidRPr="003D3628" w:rsidRDefault="00B975ED" w:rsidP="0008082E">
      <w:pPr>
        <w:spacing w:before="120" w:after="120" w:line="480" w:lineRule="auto"/>
        <w:jc w:val="both"/>
        <w:rPr>
          <w:rFonts w:ascii="Times New Roman" w:hAnsi="Times New Roman"/>
          <w:b/>
          <w:i/>
          <w:color w:val="000000" w:themeColor="text1"/>
          <w:sz w:val="24"/>
          <w:szCs w:val="24"/>
        </w:rPr>
      </w:pPr>
      <w:r w:rsidRPr="00E37EA2">
        <w:rPr>
          <w:rFonts w:ascii="Times New Roman" w:hAnsi="Times New Roman"/>
          <w:color w:val="000000" w:themeColor="text1"/>
          <w:sz w:val="24"/>
          <w:szCs w:val="24"/>
        </w:rPr>
        <w:t>To ascertain the structure and purity of isolated compound, various identification tests to check its appearance, solubility and melting point were performed and it was subsequently subjected to High Performance Liquid Chromatography (HPLC)</w:t>
      </w:r>
      <w:r w:rsidR="003D3628">
        <w:rPr>
          <w:rFonts w:ascii="Times New Roman" w:hAnsi="Times New Roman"/>
          <w:color w:val="000000" w:themeColor="text1"/>
          <w:sz w:val="24"/>
          <w:szCs w:val="24"/>
        </w:rPr>
        <w:t xml:space="preserve">, </w:t>
      </w:r>
      <w:r w:rsidR="003D3628" w:rsidRPr="003D3628">
        <w:rPr>
          <w:rFonts w:ascii="Times New Roman" w:hAnsi="Times New Roman"/>
          <w:bCs/>
          <w:iCs/>
          <w:color w:val="000000" w:themeColor="text1"/>
          <w:sz w:val="24"/>
          <w:szCs w:val="24"/>
        </w:rPr>
        <w:t>Attenuated Total Reflectance (ATR)</w:t>
      </w:r>
      <w:r w:rsidR="003D3628">
        <w:rPr>
          <w:rFonts w:ascii="Times New Roman" w:hAnsi="Times New Roman"/>
          <w:b/>
          <w:i/>
          <w:color w:val="000000" w:themeColor="text1"/>
          <w:sz w:val="24"/>
          <w:szCs w:val="24"/>
        </w:rPr>
        <w:t xml:space="preserve"> </w:t>
      </w:r>
      <w:r w:rsidRPr="00E37EA2">
        <w:rPr>
          <w:rFonts w:ascii="Times New Roman" w:hAnsi="Times New Roman"/>
          <w:color w:val="000000" w:themeColor="text1"/>
          <w:sz w:val="24"/>
          <w:szCs w:val="24"/>
        </w:rPr>
        <w:t>and X-Ray Diffraction (XRD) analysis.</w:t>
      </w:r>
    </w:p>
    <w:p w14:paraId="01F55F42" w14:textId="77777777"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High Performance Liquid Chromatography (HPLC)</w:t>
      </w:r>
    </w:p>
    <w:p w14:paraId="3D542970" w14:textId="77777777" w:rsidR="00B975ED"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Isolated SHK was identified using High performance liquid chromatography (HPLC) (</w:t>
      </w:r>
      <w:proofErr w:type="spellStart"/>
      <w:r w:rsidRPr="00E37EA2">
        <w:rPr>
          <w:rFonts w:ascii="Times New Roman" w:hAnsi="Times New Roman"/>
          <w:color w:val="000000" w:themeColor="text1"/>
          <w:sz w:val="24"/>
          <w:szCs w:val="24"/>
        </w:rPr>
        <w:t>Nexera</w:t>
      </w:r>
      <w:proofErr w:type="spellEnd"/>
      <w:r w:rsidRPr="00E37EA2">
        <w:rPr>
          <w:rFonts w:ascii="Times New Roman" w:hAnsi="Times New Roman"/>
          <w:color w:val="000000" w:themeColor="text1"/>
          <w:sz w:val="24"/>
          <w:szCs w:val="24"/>
        </w:rPr>
        <w:t xml:space="preserve"> X2, Shimadzu, Japan) equipped with Column-18G; 4.6 mm × 250 mm; 5µm width analytical column and column oven saturated at an optimum temperature of 25 ºC. The mobile phase consisting of acetonitrile: water: formic acid (75:24.5:0.5), filtered via vacuum filter and sonicated prior to analysis was run at a flow rate of 0.8 mL/min. The detection was carried out by SPD-20A photodiode array detector at 518 nm.</w:t>
      </w:r>
    </w:p>
    <w:p w14:paraId="280B46E4" w14:textId="77777777" w:rsidR="002244BF" w:rsidRPr="008B33CC" w:rsidRDefault="002244BF" w:rsidP="002244BF">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Attenuated Total Reflectance (ATR)</w:t>
      </w:r>
    </w:p>
    <w:p w14:paraId="0F5AC384" w14:textId="7B617E29" w:rsidR="002244BF" w:rsidRPr="002244BF" w:rsidRDefault="002244BF"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color w:val="000000" w:themeColor="text1"/>
          <w:sz w:val="24"/>
          <w:szCs w:val="24"/>
        </w:rPr>
        <w:t>ATR is an important complementary tool for the characterization of isolated SHK. The spectrum was recorded on the ATR spectrophotometer (Cary ATR, Agilent Technologies, USA) over a range of 4000-400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 xml:space="preserve">The IR spectrum obtained was compared with standard spectrum of </w:t>
      </w:r>
      <w:r>
        <w:rPr>
          <w:rFonts w:ascii="Times New Roman" w:hAnsi="Times New Roman"/>
          <w:color w:val="000000" w:themeColor="text1"/>
          <w:sz w:val="24"/>
          <w:szCs w:val="24"/>
        </w:rPr>
        <w:t>Shikonin (Kumar &amp; Ghosh 2017).</w:t>
      </w:r>
    </w:p>
    <w:p w14:paraId="122980B8" w14:textId="2FC26E68"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lastRenderedPageBreak/>
        <w:t xml:space="preserve">X-Ray Diffraction (XRD) </w:t>
      </w:r>
    </w:p>
    <w:p w14:paraId="5D3BD1A2" w14:textId="6A6668C6"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To further boot the identification of isolated SHK, </w:t>
      </w:r>
      <w:r w:rsidR="002244BF">
        <w:rPr>
          <w:rFonts w:ascii="Times New Roman" w:hAnsi="Times New Roman"/>
          <w:color w:val="000000" w:themeColor="text1"/>
          <w:sz w:val="24"/>
          <w:szCs w:val="24"/>
        </w:rPr>
        <w:t>c</w:t>
      </w:r>
      <w:r w:rsidRPr="00E37EA2">
        <w:rPr>
          <w:rFonts w:ascii="Times New Roman" w:hAnsi="Times New Roman"/>
          <w:color w:val="000000" w:themeColor="text1"/>
          <w:sz w:val="24"/>
          <w:szCs w:val="24"/>
        </w:rPr>
        <w:t>rystallinity of compound was unveiled by XRD analysis. Powder XRD using Bruker D8 Focus X-ray Diffractometer, Germany, further furnished the information regarding the thermal stability of the compound wherein the sample was pulverized to homogenous powder using XRD-Mill McCrone prior to analysis</w:t>
      </w:r>
      <w:r w:rsidR="00E35241">
        <w:rPr>
          <w:rFonts w:ascii="Times New Roman" w:hAnsi="Times New Roman"/>
          <w:color w:val="000000" w:themeColor="text1"/>
          <w:sz w:val="24"/>
          <w:szCs w:val="24"/>
        </w:rPr>
        <w:t xml:space="preserve"> (Bhatia</w:t>
      </w:r>
      <w:r w:rsidR="000D054C">
        <w:rPr>
          <w:rFonts w:ascii="Times New Roman" w:hAnsi="Times New Roman"/>
          <w:color w:val="000000" w:themeColor="text1"/>
          <w:sz w:val="24"/>
          <w:szCs w:val="24"/>
        </w:rPr>
        <w:t xml:space="preserve"> &amp; Saini</w:t>
      </w:r>
      <w:r w:rsidR="00E35241">
        <w:rPr>
          <w:rFonts w:ascii="Times New Roman" w:hAnsi="Times New Roman"/>
          <w:color w:val="000000" w:themeColor="text1"/>
          <w:sz w:val="24"/>
          <w:szCs w:val="24"/>
        </w:rPr>
        <w:t xml:space="preserve"> 2018).</w:t>
      </w:r>
    </w:p>
    <w:p w14:paraId="5AE615EE" w14:textId="77777777"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 xml:space="preserve">2.2.3 Minimum Inhibitory Concentration for dose optimization </w:t>
      </w:r>
    </w:p>
    <w:p w14:paraId="47E442BF" w14:textId="4D161A04"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Dose selection is a prerequisite for the preparation of formulation. Dose selection is mainly based on minimum inhibitory concentration (MIC). The MIC values of SHK against above mentioned microbes were determined which further help in optimization of dose of SHK in </w:t>
      </w:r>
      <w:r w:rsidR="004108F2" w:rsidRPr="00E37EA2">
        <w:rPr>
          <w:rFonts w:ascii="Times New Roman" w:hAnsi="Times New Roman"/>
          <w:color w:val="000000" w:themeColor="text1"/>
          <w:sz w:val="24"/>
          <w:szCs w:val="24"/>
        </w:rPr>
        <w:t>microsponges</w:t>
      </w:r>
      <w:r w:rsidR="00E35241">
        <w:rPr>
          <w:rFonts w:ascii="Times New Roman" w:hAnsi="Times New Roman"/>
          <w:color w:val="000000" w:themeColor="text1"/>
          <w:sz w:val="24"/>
          <w:szCs w:val="24"/>
        </w:rPr>
        <w:t xml:space="preserve"> (</w:t>
      </w:r>
      <w:proofErr w:type="spellStart"/>
      <w:r w:rsidR="00E35241">
        <w:rPr>
          <w:rFonts w:ascii="Times New Roman" w:hAnsi="Times New Roman"/>
          <w:color w:val="000000" w:themeColor="text1"/>
          <w:sz w:val="24"/>
          <w:szCs w:val="24"/>
        </w:rPr>
        <w:t>Londonkar</w:t>
      </w:r>
      <w:proofErr w:type="spellEnd"/>
      <w:r w:rsidR="00E35241">
        <w:rPr>
          <w:rFonts w:ascii="Times New Roman" w:hAnsi="Times New Roman"/>
          <w:color w:val="000000" w:themeColor="text1"/>
          <w:sz w:val="24"/>
          <w:szCs w:val="24"/>
        </w:rPr>
        <w:t xml:space="preserve"> </w:t>
      </w:r>
      <w:r w:rsidR="000D054C">
        <w:rPr>
          <w:rFonts w:ascii="Times New Roman" w:hAnsi="Times New Roman"/>
          <w:color w:val="000000" w:themeColor="text1"/>
          <w:sz w:val="24"/>
          <w:szCs w:val="24"/>
        </w:rPr>
        <w:t xml:space="preserve">&amp; Hugar </w:t>
      </w:r>
      <w:r w:rsidR="00E35241">
        <w:rPr>
          <w:rFonts w:ascii="Times New Roman" w:hAnsi="Times New Roman"/>
          <w:color w:val="000000" w:themeColor="text1"/>
          <w:sz w:val="24"/>
          <w:szCs w:val="24"/>
        </w:rPr>
        <w:t xml:space="preserve">2017; </w:t>
      </w:r>
      <w:r w:rsidR="00E35241" w:rsidRPr="00AB6F37">
        <w:rPr>
          <w:rFonts w:ascii="Times New Roman" w:hAnsi="Times New Roman"/>
          <w:sz w:val="24"/>
          <w:szCs w:val="24"/>
        </w:rPr>
        <w:t>Jyothi</w:t>
      </w:r>
      <w:r w:rsidR="00E35241">
        <w:rPr>
          <w:rFonts w:ascii="Times New Roman" w:hAnsi="Times New Roman"/>
          <w:sz w:val="24"/>
          <w:szCs w:val="24"/>
        </w:rPr>
        <w:t xml:space="preserve"> et al., 2019</w:t>
      </w:r>
      <w:r w:rsidR="00E35241">
        <w:rPr>
          <w:rFonts w:ascii="Times New Roman" w:hAnsi="Times New Roman"/>
          <w:color w:val="000000" w:themeColor="text1"/>
          <w:sz w:val="24"/>
          <w:szCs w:val="24"/>
        </w:rPr>
        <w:t>).</w:t>
      </w:r>
    </w:p>
    <w:p w14:paraId="1AE179D2" w14:textId="77777777"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2.2.4 Selection and Screening of Excipients for Microsponges</w:t>
      </w:r>
    </w:p>
    <w:p w14:paraId="570B3E5C" w14:textId="77777777"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Selection of type of internal phase and optimization of process variables</w:t>
      </w:r>
    </w:p>
    <w:p w14:paraId="65643DCA" w14:textId="52BAF1AD"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Choosing an appropriate polymer and solvent for the preparation of optimized organic phase is a crucial factor. The internal phase exerts its significance by affecting the particle size, porosity and release characteristics of the drug delivery system. Preliminary trial batches of blank microsponges were formulated using polyvinyl alcohol (PVA) as external phase. Internal phase optimization was carried out using different types of polymers (</w:t>
      </w:r>
      <w:r w:rsidR="005F3807" w:rsidRPr="00E37EA2">
        <w:rPr>
          <w:rFonts w:ascii="Times New Roman" w:hAnsi="Times New Roman"/>
          <w:color w:val="000000" w:themeColor="text1"/>
          <w:sz w:val="24"/>
          <w:szCs w:val="24"/>
        </w:rPr>
        <w:t>E</w:t>
      </w:r>
      <w:r w:rsidRPr="00E37EA2">
        <w:rPr>
          <w:rFonts w:ascii="Times New Roman" w:hAnsi="Times New Roman"/>
          <w:color w:val="000000" w:themeColor="text1"/>
          <w:sz w:val="24"/>
          <w:szCs w:val="24"/>
        </w:rPr>
        <w:t>thyl</w:t>
      </w:r>
      <w:r w:rsidR="005F3807" w:rsidRPr="00E37EA2">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cellulose</w:t>
      </w:r>
      <w:r w:rsidR="001E20A4">
        <w:rPr>
          <w:rFonts w:ascii="Times New Roman" w:hAnsi="Times New Roman"/>
          <w:color w:val="000000" w:themeColor="text1"/>
          <w:sz w:val="24"/>
          <w:szCs w:val="24"/>
        </w:rPr>
        <w:t xml:space="preserve"> (EC)</w:t>
      </w:r>
      <w:r w:rsidRPr="00E37EA2">
        <w:rPr>
          <w:rFonts w:ascii="Times New Roman" w:hAnsi="Times New Roman"/>
          <w:color w:val="000000" w:themeColor="text1"/>
          <w:sz w:val="24"/>
          <w:szCs w:val="24"/>
        </w:rPr>
        <w:t>, Eudragit RS and Eudragit S100) and different solvents (dichloromethane, ethanol, methanol, acetone, DCM + ethanol, DCM + methanol and DCM + acetone) at constant stirring speed of 600 rpm.</w:t>
      </w:r>
    </w:p>
    <w:p w14:paraId="769CF1EC" w14:textId="23077691" w:rsidR="00AE28A2" w:rsidRPr="006E3D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Further, the developed batches were characterized for percent yield, particle size and polydispersity index. SHK was incorporated into the selected batches which were further screened </w:t>
      </w:r>
      <w:r w:rsidRPr="00E37EA2">
        <w:rPr>
          <w:rFonts w:ascii="Times New Roman" w:hAnsi="Times New Roman"/>
          <w:color w:val="000000" w:themeColor="text1"/>
          <w:sz w:val="24"/>
          <w:szCs w:val="24"/>
        </w:rPr>
        <w:lastRenderedPageBreak/>
        <w:t xml:space="preserve">for drug loading capacity. The formulation with high drug content was selected as the optimized formulation. Optimization of the various process variables such as varying polymer concentration, internal phase volume, ratio </w:t>
      </w:r>
      <w:r w:rsidRPr="00104DE4">
        <w:rPr>
          <w:rFonts w:ascii="Times New Roman" w:hAnsi="Times New Roman"/>
          <w:color w:val="000000" w:themeColor="text1"/>
          <w:sz w:val="24"/>
          <w:szCs w:val="24"/>
        </w:rPr>
        <w:t xml:space="preserve">of internal phase, surfactant concentration, external phase volume and stirring speed </w:t>
      </w:r>
      <w:bookmarkStart w:id="1" w:name="_Hlk200919002"/>
      <w:r w:rsidRPr="00104DE4">
        <w:rPr>
          <w:rFonts w:ascii="Times New Roman" w:hAnsi="Times New Roman"/>
          <w:color w:val="000000" w:themeColor="text1"/>
          <w:sz w:val="24"/>
          <w:szCs w:val="24"/>
        </w:rPr>
        <w:t xml:space="preserve">as </w:t>
      </w:r>
      <w:r w:rsidRPr="00104DE4">
        <w:rPr>
          <w:rFonts w:ascii="Times New Roman" w:hAnsi="Times New Roman"/>
          <w:sz w:val="24"/>
          <w:szCs w:val="24"/>
        </w:rPr>
        <w:t xml:space="preserve">shown in Table </w:t>
      </w:r>
      <w:r w:rsidR="00B50ACE" w:rsidRPr="00104DE4">
        <w:rPr>
          <w:rFonts w:ascii="Times New Roman" w:hAnsi="Times New Roman"/>
          <w:sz w:val="24"/>
          <w:szCs w:val="24"/>
        </w:rPr>
        <w:t>S1</w:t>
      </w:r>
      <w:r w:rsidRPr="00104DE4">
        <w:rPr>
          <w:rFonts w:ascii="Times New Roman" w:hAnsi="Times New Roman"/>
          <w:sz w:val="24"/>
          <w:szCs w:val="24"/>
        </w:rPr>
        <w:t>,</w:t>
      </w:r>
      <w:r w:rsidRPr="008B33CC">
        <w:rPr>
          <w:rFonts w:ascii="Times New Roman" w:hAnsi="Times New Roman"/>
          <w:sz w:val="24"/>
          <w:szCs w:val="24"/>
        </w:rPr>
        <w:t xml:space="preserve"> </w:t>
      </w:r>
      <w:bookmarkEnd w:id="1"/>
      <w:r w:rsidRPr="00E37EA2">
        <w:rPr>
          <w:rFonts w:ascii="Times New Roman" w:hAnsi="Times New Roman"/>
          <w:color w:val="000000" w:themeColor="text1"/>
          <w:sz w:val="24"/>
          <w:szCs w:val="24"/>
        </w:rPr>
        <w:t>were done on the final selected batch with good SHK loading. The batch with high percentage yield, adequate particle size and polydispersity index was taken further for characterizations.</w:t>
      </w:r>
    </w:p>
    <w:p w14:paraId="3F453978" w14:textId="437B9200"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2.2.5 Preparation of SHK loaded microsponges</w:t>
      </w:r>
    </w:p>
    <w:p w14:paraId="5DBA7681" w14:textId="0772FD60"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Micros</w:t>
      </w:r>
      <w:r w:rsidR="005F3807" w:rsidRPr="00E37EA2">
        <w:rPr>
          <w:rFonts w:ascii="Times New Roman" w:hAnsi="Times New Roman"/>
          <w:color w:val="000000" w:themeColor="text1"/>
          <w:sz w:val="24"/>
          <w:szCs w:val="24"/>
        </w:rPr>
        <w:t>p</w:t>
      </w:r>
      <w:r w:rsidRPr="00E37EA2">
        <w:rPr>
          <w:rFonts w:ascii="Times New Roman" w:hAnsi="Times New Roman"/>
          <w:color w:val="000000" w:themeColor="text1"/>
          <w:sz w:val="24"/>
          <w:szCs w:val="24"/>
        </w:rPr>
        <w:t>onges were prepared by quasi</w:t>
      </w:r>
      <w:r w:rsidR="005F3807" w:rsidRPr="00E37EA2">
        <w:rPr>
          <w:rFonts w:ascii="Times New Roman" w:hAnsi="Times New Roman"/>
          <w:color w:val="000000" w:themeColor="text1"/>
          <w:sz w:val="24"/>
          <w:szCs w:val="24"/>
        </w:rPr>
        <w:t>-</w:t>
      </w:r>
      <w:r w:rsidRPr="00E37EA2">
        <w:rPr>
          <w:rFonts w:ascii="Times New Roman" w:hAnsi="Times New Roman"/>
          <w:color w:val="000000" w:themeColor="text1"/>
          <w:sz w:val="24"/>
          <w:szCs w:val="24"/>
        </w:rPr>
        <w:t xml:space="preserve">emulsion solvent diffusion by preparing internal organic phase composed of ethyl cellulose (2.5% </w:t>
      </w:r>
      <w:r w:rsidRPr="00E37EA2">
        <w:rPr>
          <w:rFonts w:ascii="Times New Roman" w:hAnsi="Times New Roman"/>
          <w:i/>
          <w:color w:val="000000" w:themeColor="text1"/>
          <w:sz w:val="24"/>
          <w:szCs w:val="24"/>
        </w:rPr>
        <w:t>w/v</w:t>
      </w:r>
      <w:r w:rsidRPr="00E37EA2">
        <w:rPr>
          <w:rFonts w:ascii="Times New Roman" w:hAnsi="Times New Roman"/>
          <w:color w:val="000000" w:themeColor="text1"/>
          <w:sz w:val="24"/>
          <w:szCs w:val="24"/>
        </w:rPr>
        <w:t xml:space="preserve">) dissolved in </w:t>
      </w:r>
      <w:r w:rsidR="005F3807" w:rsidRPr="00E37EA2">
        <w:rPr>
          <w:rFonts w:ascii="Times New Roman" w:hAnsi="Times New Roman"/>
          <w:color w:val="000000" w:themeColor="text1"/>
          <w:sz w:val="24"/>
          <w:szCs w:val="24"/>
        </w:rPr>
        <w:t>dichloromethane</w:t>
      </w:r>
      <w:r w:rsidRPr="00E37EA2">
        <w:rPr>
          <w:rFonts w:ascii="Times New Roman" w:hAnsi="Times New Roman"/>
          <w:color w:val="000000" w:themeColor="text1"/>
          <w:sz w:val="24"/>
          <w:szCs w:val="24"/>
        </w:rPr>
        <w:t xml:space="preserve">: methanol (30 mL). SHK (100ug/ml) was incorporated into above optimized organic phase. Dose selection was based on the minimum inhibitory concentration (MIC) values of SHK against various pathogens such as </w:t>
      </w:r>
      <w:r w:rsidRPr="00E37EA2">
        <w:rPr>
          <w:rFonts w:ascii="Times New Roman" w:hAnsi="Times New Roman"/>
          <w:i/>
          <w:color w:val="000000" w:themeColor="text1"/>
          <w:sz w:val="24"/>
          <w:szCs w:val="24"/>
        </w:rPr>
        <w:t>Staphylococcus aureus</w:t>
      </w:r>
      <w:r w:rsidRPr="00E37EA2">
        <w:rPr>
          <w:rFonts w:ascii="Times New Roman" w:hAnsi="Times New Roman"/>
          <w:color w:val="000000" w:themeColor="text1"/>
          <w:sz w:val="24"/>
          <w:szCs w:val="24"/>
        </w:rPr>
        <w:t xml:space="preserve"> (MTCC 740), </w:t>
      </w:r>
      <w:r w:rsidRPr="00E37EA2">
        <w:rPr>
          <w:rFonts w:ascii="Times New Roman" w:hAnsi="Times New Roman"/>
          <w:i/>
          <w:color w:val="000000" w:themeColor="text1"/>
          <w:sz w:val="24"/>
          <w:szCs w:val="24"/>
        </w:rPr>
        <w:t>Escherichia coli</w:t>
      </w:r>
      <w:r w:rsidRPr="00E37EA2">
        <w:rPr>
          <w:rFonts w:ascii="Times New Roman" w:hAnsi="Times New Roman"/>
          <w:color w:val="000000" w:themeColor="text1"/>
          <w:sz w:val="24"/>
          <w:szCs w:val="24"/>
        </w:rPr>
        <w:t xml:space="preserve"> (MTCC 119) and </w:t>
      </w:r>
      <w:r w:rsidRPr="00E37EA2">
        <w:rPr>
          <w:rFonts w:ascii="Times New Roman" w:hAnsi="Times New Roman"/>
          <w:i/>
          <w:color w:val="000000" w:themeColor="text1"/>
          <w:sz w:val="24"/>
          <w:szCs w:val="24"/>
        </w:rPr>
        <w:t xml:space="preserve">Candida albicans </w:t>
      </w:r>
      <w:r w:rsidRPr="00E37EA2">
        <w:rPr>
          <w:rFonts w:ascii="Times New Roman" w:hAnsi="Times New Roman"/>
          <w:color w:val="000000" w:themeColor="text1"/>
          <w:sz w:val="24"/>
          <w:szCs w:val="24"/>
        </w:rPr>
        <w:t>(MTCC 227)</w:t>
      </w:r>
      <w:r w:rsidR="00E35241">
        <w:rPr>
          <w:rFonts w:ascii="Times New Roman" w:hAnsi="Times New Roman"/>
          <w:color w:val="000000" w:themeColor="text1"/>
          <w:sz w:val="24"/>
          <w:szCs w:val="24"/>
        </w:rPr>
        <w:t xml:space="preserve"> (Shen et al., 2002).</w:t>
      </w:r>
      <w:r w:rsidRPr="00E37EA2">
        <w:rPr>
          <w:rFonts w:ascii="Times New Roman" w:hAnsi="Times New Roman"/>
          <w:color w:val="000000" w:themeColor="text1"/>
          <w:sz w:val="24"/>
          <w:szCs w:val="24"/>
          <w:vertAlign w:val="superscript"/>
        </w:rPr>
        <w:t xml:space="preserve"> </w:t>
      </w:r>
      <w:r w:rsidRPr="00E37EA2">
        <w:rPr>
          <w:rFonts w:ascii="Times New Roman" w:hAnsi="Times New Roman"/>
          <w:color w:val="000000" w:themeColor="text1"/>
          <w:sz w:val="24"/>
          <w:szCs w:val="24"/>
        </w:rPr>
        <w:t xml:space="preserve">The aqueous phase was prepared by dissolving polyvinyl alcohol in distilled water (0.5% </w:t>
      </w:r>
      <w:r w:rsidRPr="00E37EA2">
        <w:rPr>
          <w:rFonts w:ascii="Times New Roman" w:hAnsi="Times New Roman"/>
          <w:i/>
          <w:color w:val="000000" w:themeColor="text1"/>
          <w:sz w:val="24"/>
          <w:szCs w:val="24"/>
        </w:rPr>
        <w:t>w/v</w:t>
      </w:r>
      <w:r w:rsidRPr="00E37EA2">
        <w:rPr>
          <w:rFonts w:ascii="Times New Roman" w:hAnsi="Times New Roman"/>
          <w:color w:val="000000" w:themeColor="text1"/>
          <w:sz w:val="24"/>
          <w:szCs w:val="24"/>
        </w:rPr>
        <w:t xml:space="preserve">). Drop wise addition of organic phase to aqueous phase with continuous stirring on homogenizer (REMI RQ 124 A/D Direct drive stirrer, India) for 2 </w:t>
      </w:r>
      <w:proofErr w:type="spellStart"/>
      <w:r w:rsidRPr="00E37EA2">
        <w:rPr>
          <w:rFonts w:ascii="Times New Roman" w:hAnsi="Times New Roman"/>
          <w:color w:val="000000" w:themeColor="text1"/>
          <w:sz w:val="24"/>
          <w:szCs w:val="24"/>
        </w:rPr>
        <w:t>hrs</w:t>
      </w:r>
      <w:proofErr w:type="spellEnd"/>
      <w:r w:rsidRPr="00E37EA2">
        <w:rPr>
          <w:rFonts w:ascii="Times New Roman" w:hAnsi="Times New Roman"/>
          <w:color w:val="000000" w:themeColor="text1"/>
          <w:sz w:val="24"/>
          <w:szCs w:val="24"/>
        </w:rPr>
        <w:t xml:space="preserve"> led to the evaporation of organic solvent. A solution containing microsponges was obtained which was subjected to filtration. The formed microsponges retained on the </w:t>
      </w:r>
      <w:proofErr w:type="spellStart"/>
      <w:r w:rsidR="00C26B5C" w:rsidRPr="00E37EA2">
        <w:rPr>
          <w:rFonts w:ascii="Times New Roman" w:hAnsi="Times New Roman"/>
          <w:color w:val="000000" w:themeColor="text1"/>
          <w:sz w:val="24"/>
          <w:szCs w:val="24"/>
        </w:rPr>
        <w:t>Whatman</w:t>
      </w:r>
      <w:r w:rsidR="00C26B5C">
        <w:rPr>
          <w:rFonts w:ascii="Times New Roman" w:hAnsi="Times New Roman"/>
          <w:color w:val="000000" w:themeColor="text1"/>
          <w:sz w:val="24"/>
          <w:szCs w:val="24"/>
        </w:rPr>
        <w:t>n</w:t>
      </w:r>
      <w:proofErr w:type="spellEnd"/>
      <w:r w:rsidRPr="00E37EA2">
        <w:rPr>
          <w:rFonts w:ascii="Times New Roman" w:hAnsi="Times New Roman"/>
          <w:color w:val="000000" w:themeColor="text1"/>
          <w:sz w:val="24"/>
          <w:szCs w:val="24"/>
        </w:rPr>
        <w:t xml:space="preserve"> filter paper (0.45 µm) were washed twice with distilled water and dried at a temperature not exceeding 40˚C for 12 </w:t>
      </w:r>
      <w:proofErr w:type="spellStart"/>
      <w:r w:rsidRPr="00E37EA2">
        <w:rPr>
          <w:rFonts w:ascii="Times New Roman" w:hAnsi="Times New Roman"/>
          <w:color w:val="000000" w:themeColor="text1"/>
          <w:sz w:val="24"/>
          <w:szCs w:val="24"/>
        </w:rPr>
        <w:t>hrs</w:t>
      </w:r>
      <w:proofErr w:type="spellEnd"/>
      <w:r w:rsidR="00E35241">
        <w:rPr>
          <w:rFonts w:ascii="Times New Roman" w:hAnsi="Times New Roman"/>
          <w:color w:val="000000" w:themeColor="text1"/>
          <w:sz w:val="24"/>
          <w:szCs w:val="24"/>
        </w:rPr>
        <w:t xml:space="preserve"> (Wadhwa et al., 2019).</w:t>
      </w:r>
    </w:p>
    <w:p w14:paraId="55610F66" w14:textId="77777777"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2.2.6 Characterization of microsponges</w:t>
      </w:r>
    </w:p>
    <w:p w14:paraId="0798A269" w14:textId="0C0FAE4C"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Dynamic light scattering (DLS) analysis</w:t>
      </w:r>
    </w:p>
    <w:p w14:paraId="059B4E45" w14:textId="6F5D6E3F"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lastRenderedPageBreak/>
        <w:t>Shape, size, polydispersity index (PDI) and zeta potential of prepared microsponges was measured through Malvern Zeta Sizer series (</w:t>
      </w:r>
      <w:proofErr w:type="spellStart"/>
      <w:r w:rsidRPr="00E37EA2">
        <w:rPr>
          <w:rFonts w:ascii="Times New Roman" w:hAnsi="Times New Roman"/>
          <w:color w:val="000000" w:themeColor="text1"/>
          <w:sz w:val="24"/>
          <w:szCs w:val="24"/>
        </w:rPr>
        <w:t>Zetasizer</w:t>
      </w:r>
      <w:proofErr w:type="spellEnd"/>
      <w:r w:rsidRPr="00E37EA2">
        <w:rPr>
          <w:rFonts w:ascii="Times New Roman" w:hAnsi="Times New Roman"/>
          <w:color w:val="000000" w:themeColor="text1"/>
          <w:sz w:val="24"/>
          <w:szCs w:val="24"/>
        </w:rPr>
        <w:t xml:space="preserve"> Nano ZS-90). The sample was placed in 10 mm × 10 mm transparent cuvette at a scattering angle of 90º at room temperature. The data interpretation was carried out in Malvern Zeta Sizer Software. Moreover, the particle size of microsponges was determined by particle size analyzer using dry assembly</w:t>
      </w:r>
      <w:r w:rsidR="00A45E23">
        <w:rPr>
          <w:rFonts w:ascii="Times New Roman" w:hAnsi="Times New Roman"/>
          <w:color w:val="000000" w:themeColor="text1"/>
          <w:sz w:val="24"/>
          <w:szCs w:val="24"/>
        </w:rPr>
        <w:t xml:space="preserve"> (Moin et al., 2016</w:t>
      </w:r>
      <w:r w:rsidR="00E86F03">
        <w:rPr>
          <w:rFonts w:ascii="Times New Roman" w:hAnsi="Times New Roman"/>
          <w:color w:val="000000" w:themeColor="text1"/>
          <w:sz w:val="24"/>
          <w:szCs w:val="24"/>
        </w:rPr>
        <w:t>;</w:t>
      </w:r>
      <w:r w:rsidR="009B0A16">
        <w:rPr>
          <w:rFonts w:ascii="Times New Roman" w:hAnsi="Times New Roman"/>
          <w:color w:val="000000" w:themeColor="text1"/>
          <w:sz w:val="24"/>
          <w:szCs w:val="24"/>
        </w:rPr>
        <w:t xml:space="preserve"> </w:t>
      </w:r>
      <w:r w:rsidR="00E86F03" w:rsidRPr="00E86F03">
        <w:rPr>
          <w:rFonts w:ascii="Times New Roman" w:hAnsi="Times New Roman"/>
          <w:color w:val="000000" w:themeColor="text1"/>
          <w:sz w:val="24"/>
          <w:szCs w:val="24"/>
          <w:highlight w:val="yellow"/>
        </w:rPr>
        <w:t>Kuril &amp; Saravanan 2024)</w:t>
      </w:r>
      <w:r w:rsidR="00E86F03" w:rsidRPr="00E86F03">
        <w:rPr>
          <w:rFonts w:ascii="Times New Roman" w:hAnsi="Times New Roman"/>
          <w:color w:val="000000" w:themeColor="text1"/>
          <w:sz w:val="24"/>
          <w:szCs w:val="24"/>
        </w:rPr>
        <w:t>.</w:t>
      </w:r>
      <w:r w:rsidRPr="00E37EA2">
        <w:rPr>
          <w:rFonts w:ascii="Times New Roman" w:hAnsi="Times New Roman"/>
          <w:color w:val="000000" w:themeColor="text1"/>
          <w:sz w:val="24"/>
          <w:szCs w:val="24"/>
          <w:vertAlign w:val="superscript"/>
        </w:rPr>
        <w:t xml:space="preserve"> </w:t>
      </w:r>
    </w:p>
    <w:p w14:paraId="3216626B" w14:textId="509E460B"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Drug excipient interactions</w:t>
      </w:r>
    </w:p>
    <w:p w14:paraId="1FCA62F0" w14:textId="5C71CB34"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color w:val="000000" w:themeColor="text1"/>
          <w:sz w:val="24"/>
          <w:szCs w:val="24"/>
        </w:rPr>
        <w:t>ATR spectral analysis of potent optimized fraction containing SHK, physical mixture, polyvinyl alcohol, ethyl cellulose and SHK loaded microsponges was performed on the ATR spectrophotometer (Cary ATR, Agilent Technologies, USA) over a wavelength range of 4000-400 cm</w:t>
      </w:r>
      <w:r w:rsidRPr="00E37EA2">
        <w:rPr>
          <w:rFonts w:ascii="Times New Roman" w:hAnsi="Times New Roman"/>
          <w:color w:val="000000" w:themeColor="text1"/>
          <w:sz w:val="24"/>
          <w:szCs w:val="24"/>
          <w:vertAlign w:val="superscript"/>
        </w:rPr>
        <w:t xml:space="preserve">-1 </w:t>
      </w:r>
      <w:r w:rsidRPr="00E37EA2">
        <w:rPr>
          <w:rFonts w:ascii="Times New Roman" w:hAnsi="Times New Roman"/>
          <w:color w:val="000000" w:themeColor="text1"/>
          <w:sz w:val="24"/>
          <w:szCs w:val="24"/>
        </w:rPr>
        <w:t>with a resolution of 4cm-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and a </w:t>
      </w:r>
      <w:proofErr w:type="gramStart"/>
      <w:r w:rsidRPr="00E37EA2">
        <w:rPr>
          <w:rFonts w:ascii="Times New Roman" w:hAnsi="Times New Roman"/>
          <w:color w:val="000000" w:themeColor="text1"/>
          <w:sz w:val="24"/>
          <w:szCs w:val="24"/>
        </w:rPr>
        <w:t>64</w:t>
      </w:r>
      <w:r w:rsidR="000D69CB">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scan</w:t>
      </w:r>
      <w:proofErr w:type="gramEnd"/>
      <w:r w:rsidRPr="00E37EA2">
        <w:rPr>
          <w:rFonts w:ascii="Times New Roman" w:hAnsi="Times New Roman"/>
          <w:color w:val="000000" w:themeColor="text1"/>
          <w:sz w:val="24"/>
          <w:szCs w:val="24"/>
        </w:rPr>
        <w:t xml:space="preserve"> signal at atmospheric temperature. The spectrum shows various absorbance peaks for different functional groups present in structure of each compound and compared with the spectrum of SHK loaded microsponges to examine any possible drug excipient interactions</w:t>
      </w:r>
      <w:r w:rsidR="00A45E23">
        <w:rPr>
          <w:rFonts w:ascii="Times New Roman" w:hAnsi="Times New Roman"/>
          <w:color w:val="000000" w:themeColor="text1"/>
          <w:sz w:val="24"/>
          <w:szCs w:val="24"/>
        </w:rPr>
        <w:t xml:space="preserve"> (Vidhya et al., 2020).</w:t>
      </w:r>
    </w:p>
    <w:p w14:paraId="32425047" w14:textId="62F1E2D2"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 xml:space="preserve">Scanning electron microscopy </w:t>
      </w:r>
    </w:p>
    <w:p w14:paraId="350E8B63" w14:textId="7940BBE5"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Morphology and surface topography of prepared microsponges was investigated using Scanning electron microscope (Ultra Plus, Carl Zeiss, Germany). The samples were mounted on metal stubs and were coated with silver in coating sputter under high vacuum. The scanning electron micrographs at different magnifications were studied to determine morphological characteristics of the microsponges</w:t>
      </w:r>
      <w:r w:rsidR="00A45E23">
        <w:rPr>
          <w:rFonts w:ascii="Times New Roman" w:hAnsi="Times New Roman"/>
          <w:color w:val="000000" w:themeColor="text1"/>
          <w:sz w:val="24"/>
          <w:szCs w:val="24"/>
        </w:rPr>
        <w:t xml:space="preserve"> (Vidhya et al., 2020).</w:t>
      </w:r>
    </w:p>
    <w:p w14:paraId="0A061568" w14:textId="74976F6C"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X-Ray diffraction (XRD) Analysis</w:t>
      </w:r>
    </w:p>
    <w:p w14:paraId="266FF25A" w14:textId="6B93AAC4"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lastRenderedPageBreak/>
        <w:t>X-ray diffraction patterns of optimized fraction, ethyl cellulose and developed microsponges were recorded using X-ray diffractometer being operated at a continuous scan range from 5-50˚ at an angle of 2θ with an angular increment of 4˚/min; using copper line as source of radiation at the voltage of 40.0 (kV) and 30.0(mA) current. The analysis of X-ray diffractogram was done using origin software</w:t>
      </w:r>
      <w:r w:rsidR="00A45E23">
        <w:rPr>
          <w:rFonts w:ascii="Times New Roman" w:hAnsi="Times New Roman"/>
          <w:color w:val="000000" w:themeColor="text1"/>
          <w:sz w:val="24"/>
          <w:szCs w:val="24"/>
        </w:rPr>
        <w:t xml:space="preserve"> (Dantas et al., 2016).</w:t>
      </w:r>
    </w:p>
    <w:p w14:paraId="2FB129AF" w14:textId="709A79F8"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Total SHK Content and entrapment efficiency (EE)</w:t>
      </w:r>
    </w:p>
    <w:p w14:paraId="3A98E0E3" w14:textId="7EF9E56E"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The prepared microsponges were precisely weighed (10mg) and dispersed in 10 ml of acetonitrile with proper stirring. 1ml of above solution was diluted further and analyzed using HPLC assay. The drug content and entrapment efficiency </w:t>
      </w:r>
      <w:r w:rsidR="003D3628" w:rsidRPr="00E37EA2">
        <w:rPr>
          <w:rFonts w:ascii="Times New Roman" w:hAnsi="Times New Roman"/>
          <w:color w:val="000000" w:themeColor="text1"/>
          <w:sz w:val="24"/>
          <w:szCs w:val="24"/>
        </w:rPr>
        <w:t>were</w:t>
      </w:r>
      <w:r w:rsidRPr="00E37EA2">
        <w:rPr>
          <w:rFonts w:ascii="Times New Roman" w:hAnsi="Times New Roman"/>
          <w:color w:val="000000" w:themeColor="text1"/>
          <w:sz w:val="24"/>
          <w:szCs w:val="24"/>
        </w:rPr>
        <w:t xml:space="preserve"> calc</w:t>
      </w:r>
      <w:r w:rsidR="00C47A5D">
        <w:rPr>
          <w:rFonts w:ascii="Times New Roman" w:hAnsi="Times New Roman"/>
          <w:color w:val="000000" w:themeColor="text1"/>
          <w:sz w:val="24"/>
          <w:szCs w:val="24"/>
        </w:rPr>
        <w:t>ulated using ii and iii, respectively</w:t>
      </w:r>
      <w:r w:rsidR="00A45E23">
        <w:rPr>
          <w:rFonts w:ascii="Times New Roman" w:hAnsi="Times New Roman"/>
          <w:color w:val="000000" w:themeColor="text1"/>
          <w:sz w:val="24"/>
          <w:szCs w:val="24"/>
        </w:rPr>
        <w:t xml:space="preserve"> (Jamadar </w:t>
      </w:r>
      <w:r w:rsidR="000D054C">
        <w:rPr>
          <w:rFonts w:ascii="Times New Roman" w:hAnsi="Times New Roman"/>
          <w:color w:val="000000" w:themeColor="text1"/>
          <w:sz w:val="24"/>
          <w:szCs w:val="24"/>
        </w:rPr>
        <w:t>&amp;</w:t>
      </w:r>
      <w:r w:rsidR="00A45E23">
        <w:rPr>
          <w:rFonts w:ascii="Times New Roman" w:hAnsi="Times New Roman"/>
          <w:color w:val="000000" w:themeColor="text1"/>
          <w:sz w:val="24"/>
          <w:szCs w:val="24"/>
        </w:rPr>
        <w:t>Shaikh 2017).</w:t>
      </w:r>
    </w:p>
    <w:p w14:paraId="15F834CA" w14:textId="728776E8"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                        </w:t>
      </w:r>
      <m:oMath>
        <m:r>
          <w:rPr>
            <w:rFonts w:ascii="Cambria Math" w:hAnsi="Cambria Math"/>
            <w:sz w:val="24"/>
            <w:szCs w:val="24"/>
          </w:rPr>
          <m:t>%Drug content=</m:t>
        </m:r>
        <m:f>
          <m:fPr>
            <m:ctrlPr>
              <w:rPr>
                <w:rFonts w:ascii="Cambria Math" w:hAnsi="Cambria Math"/>
                <w:i/>
                <w:sz w:val="24"/>
                <w:szCs w:val="24"/>
              </w:rPr>
            </m:ctrlPr>
          </m:fPr>
          <m:num>
            <m:r>
              <w:rPr>
                <w:rFonts w:ascii="Cambria Math" w:hAnsi="Cambria Math"/>
                <w:sz w:val="24"/>
                <w:szCs w:val="24"/>
              </w:rPr>
              <m:t>Actual amount of drug in microsponges</m:t>
            </m:r>
          </m:num>
          <m:den>
            <m:r>
              <w:rPr>
                <w:rFonts w:ascii="Cambria Math" w:hAnsi="Cambria Math"/>
                <w:sz w:val="24"/>
                <w:szCs w:val="24"/>
              </w:rPr>
              <m:t>Weighed quantity of microsponges</m:t>
            </m:r>
          </m:den>
        </m:f>
        <m:r>
          <w:rPr>
            <w:rFonts w:ascii="Cambria Math" w:hAnsi="Cambria Math"/>
            <w:sz w:val="24"/>
            <w:szCs w:val="24"/>
          </w:rPr>
          <m:t>×100</m:t>
        </m:r>
      </m:oMath>
      <w:r w:rsidRPr="00E37EA2">
        <w:rPr>
          <w:rFonts w:ascii="Times New Roman" w:hAnsi="Times New Roman"/>
          <w:color w:val="000000" w:themeColor="text1"/>
          <w:sz w:val="24"/>
          <w:szCs w:val="24"/>
        </w:rPr>
        <w:tab/>
      </w:r>
      <w:r w:rsidR="00C47A5D">
        <w:rPr>
          <w:rFonts w:ascii="Times New Roman" w:hAnsi="Times New Roman"/>
          <w:color w:val="000000" w:themeColor="text1"/>
          <w:sz w:val="24"/>
          <w:szCs w:val="24"/>
        </w:rPr>
        <w:t xml:space="preserve">          (ii)</w:t>
      </w:r>
    </w:p>
    <w:p w14:paraId="6E0DF86E" w14:textId="5198EB4B" w:rsidR="00B975ED" w:rsidRPr="00C47A5D" w:rsidRDefault="00C47A5D" w:rsidP="0008082E">
      <w:pPr>
        <w:spacing w:before="120" w:after="120" w:line="480" w:lineRule="auto"/>
        <w:jc w:val="both"/>
        <w:rPr>
          <w:rFonts w:ascii="Times New Roman" w:hAnsi="Times New Roman"/>
          <w:color w:val="000000" w:themeColor="text1"/>
          <w:sz w:val="24"/>
          <w:szCs w:val="24"/>
        </w:rPr>
      </w:pPr>
      <w:r>
        <w:rPr>
          <w:rFonts w:ascii="Times New Roman" w:hAnsi="Times New Roman"/>
          <w:sz w:val="24"/>
          <w:szCs w:val="24"/>
        </w:rPr>
        <w:t xml:space="preserve">                </w:t>
      </w:r>
      <m:oMath>
        <m:r>
          <w:rPr>
            <w:rFonts w:ascii="Cambria Math" w:hAnsi="Cambria Math"/>
            <w:sz w:val="24"/>
            <w:szCs w:val="24"/>
          </w:rPr>
          <m:t>%Entrapment efficiency=</m:t>
        </m:r>
        <m:f>
          <m:fPr>
            <m:ctrlPr>
              <w:rPr>
                <w:rFonts w:ascii="Cambria Math" w:hAnsi="Cambria Math"/>
                <w:i/>
                <w:sz w:val="24"/>
                <w:szCs w:val="24"/>
              </w:rPr>
            </m:ctrlPr>
          </m:fPr>
          <m:num>
            <m:r>
              <w:rPr>
                <w:rFonts w:ascii="Cambria Math" w:hAnsi="Cambria Math"/>
                <w:sz w:val="24"/>
                <w:szCs w:val="24"/>
              </w:rPr>
              <m:t>Actual drug content</m:t>
            </m:r>
          </m:num>
          <m:den>
            <m:r>
              <w:rPr>
                <w:rFonts w:ascii="Cambria Math" w:hAnsi="Cambria Math"/>
                <w:sz w:val="24"/>
                <w:szCs w:val="24"/>
              </w:rPr>
              <m:t>Theoretical drug content</m:t>
            </m:r>
          </m:den>
        </m:f>
        <m:r>
          <w:rPr>
            <w:rFonts w:ascii="Cambria Math" w:hAnsi="Cambria Math"/>
            <w:sz w:val="24"/>
            <w:szCs w:val="24"/>
          </w:rPr>
          <m:t>×100</m:t>
        </m:r>
      </m:oMath>
      <w:r>
        <w:rPr>
          <w:rFonts w:ascii="Times New Roman" w:hAnsi="Times New Roman"/>
          <w:sz w:val="24"/>
          <w:szCs w:val="24"/>
        </w:rPr>
        <w:t xml:space="preserve">                      (iii)</w:t>
      </w:r>
    </w:p>
    <w:p w14:paraId="29008601" w14:textId="714602F8" w:rsidR="00B975ED" w:rsidRPr="008B33CC" w:rsidRDefault="00C10EE0"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Micromeritics</w:t>
      </w:r>
      <w:r w:rsidR="00B975ED" w:rsidRPr="008B33CC">
        <w:rPr>
          <w:rFonts w:ascii="Times New Roman" w:hAnsi="Times New Roman"/>
          <w:b/>
          <w:i/>
          <w:color w:val="000000" w:themeColor="text1"/>
          <w:sz w:val="24"/>
          <w:szCs w:val="24"/>
        </w:rPr>
        <w:t xml:space="preserve"> properties</w:t>
      </w:r>
    </w:p>
    <w:p w14:paraId="14219986" w14:textId="07CF4D79"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Prepared microsponges were evaluated for their </w:t>
      </w:r>
      <w:r w:rsidR="00C10EE0" w:rsidRPr="00E37EA2">
        <w:rPr>
          <w:rFonts w:ascii="Times New Roman" w:hAnsi="Times New Roman"/>
          <w:color w:val="000000" w:themeColor="text1"/>
          <w:sz w:val="24"/>
          <w:szCs w:val="24"/>
        </w:rPr>
        <w:t>free-flowing</w:t>
      </w:r>
      <w:r w:rsidRPr="00E37EA2">
        <w:rPr>
          <w:rFonts w:ascii="Times New Roman" w:hAnsi="Times New Roman"/>
          <w:color w:val="000000" w:themeColor="text1"/>
          <w:sz w:val="24"/>
          <w:szCs w:val="24"/>
        </w:rPr>
        <w:t xml:space="preserve"> behavior by calculating their bulk density, tapped density, angle of repose, compressibility index and Hausner’s ratio</w:t>
      </w:r>
      <w:r w:rsidR="00A45E23">
        <w:rPr>
          <w:rFonts w:ascii="Times New Roman" w:hAnsi="Times New Roman"/>
          <w:color w:val="000000" w:themeColor="text1"/>
          <w:sz w:val="24"/>
          <w:szCs w:val="24"/>
        </w:rPr>
        <w:t xml:space="preserve"> (Malik </w:t>
      </w:r>
      <w:r w:rsidR="000D054C">
        <w:rPr>
          <w:rFonts w:ascii="Times New Roman" w:hAnsi="Times New Roman"/>
          <w:color w:val="000000" w:themeColor="text1"/>
          <w:sz w:val="24"/>
          <w:szCs w:val="24"/>
        </w:rPr>
        <w:t>&amp;</w:t>
      </w:r>
      <w:r w:rsidR="00455EAA">
        <w:rPr>
          <w:rFonts w:ascii="Times New Roman" w:hAnsi="Times New Roman"/>
          <w:color w:val="000000" w:themeColor="text1"/>
          <w:sz w:val="24"/>
          <w:szCs w:val="24"/>
        </w:rPr>
        <w:t xml:space="preserve"> </w:t>
      </w:r>
      <w:r w:rsidR="00A45E23">
        <w:rPr>
          <w:rFonts w:ascii="Times New Roman" w:hAnsi="Times New Roman"/>
          <w:color w:val="000000" w:themeColor="text1"/>
          <w:sz w:val="24"/>
          <w:szCs w:val="24"/>
        </w:rPr>
        <w:t>Kaur 2018).</w:t>
      </w:r>
    </w:p>
    <w:p w14:paraId="680B7641" w14:textId="25ECE93E"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Porosity studies</w:t>
      </w:r>
    </w:p>
    <w:p w14:paraId="1AC48DE2" w14:textId="2BE94C30"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BET (</w:t>
      </w:r>
      <w:proofErr w:type="spellStart"/>
      <w:r w:rsidRPr="00E37EA2">
        <w:rPr>
          <w:rFonts w:ascii="Times New Roman" w:hAnsi="Times New Roman"/>
          <w:color w:val="000000" w:themeColor="text1"/>
          <w:sz w:val="24"/>
          <w:szCs w:val="24"/>
        </w:rPr>
        <w:t>Brunauer</w:t>
      </w:r>
      <w:proofErr w:type="spellEnd"/>
      <w:r w:rsidRPr="00E37EA2">
        <w:rPr>
          <w:rFonts w:ascii="Times New Roman" w:hAnsi="Times New Roman"/>
          <w:color w:val="000000" w:themeColor="text1"/>
          <w:sz w:val="24"/>
          <w:szCs w:val="24"/>
        </w:rPr>
        <w:t>- Emmett- Teller) and Langmuir surface area analysis was performed to determine porosity and surface topography of the prepared microsponges using BET analyzer (</w:t>
      </w:r>
      <w:proofErr w:type="spellStart"/>
      <w:r w:rsidRPr="00E37EA2">
        <w:rPr>
          <w:rFonts w:ascii="Times New Roman" w:hAnsi="Times New Roman"/>
          <w:color w:val="000000" w:themeColor="text1"/>
          <w:sz w:val="24"/>
          <w:szCs w:val="24"/>
        </w:rPr>
        <w:t>Quantachrome</w:t>
      </w:r>
      <w:proofErr w:type="spellEnd"/>
      <w:r w:rsidRPr="00E37EA2">
        <w:rPr>
          <w:rFonts w:ascii="Times New Roman" w:hAnsi="Times New Roman"/>
          <w:color w:val="000000" w:themeColor="text1"/>
          <w:sz w:val="24"/>
          <w:szCs w:val="24"/>
        </w:rPr>
        <w:t xml:space="preserve">, Austria). For physio-sorption studies, the sample was placed in the sample tube which was degassed at 90°C for 100 min. The system was allowed to cool for 30-40 min and </w:t>
      </w:r>
      <w:r w:rsidRPr="00E37EA2">
        <w:rPr>
          <w:rFonts w:ascii="Times New Roman" w:hAnsi="Times New Roman"/>
          <w:color w:val="000000" w:themeColor="text1"/>
          <w:sz w:val="24"/>
          <w:szCs w:val="24"/>
        </w:rPr>
        <w:lastRenderedPageBreak/>
        <w:t xml:space="preserve">transferred to analysis port. Prior to initiation of analysis, </w:t>
      </w:r>
      <w:r w:rsidR="00C10EE0" w:rsidRPr="00E37EA2">
        <w:rPr>
          <w:rFonts w:ascii="Times New Roman" w:hAnsi="Times New Roman"/>
          <w:color w:val="000000" w:themeColor="text1"/>
          <w:sz w:val="24"/>
          <w:szCs w:val="24"/>
        </w:rPr>
        <w:t>D</w:t>
      </w:r>
      <w:r w:rsidRPr="00E37EA2">
        <w:rPr>
          <w:rFonts w:ascii="Times New Roman" w:hAnsi="Times New Roman"/>
          <w:color w:val="000000" w:themeColor="text1"/>
          <w:sz w:val="24"/>
          <w:szCs w:val="24"/>
        </w:rPr>
        <w:t>ewar flask was filled with liquid nitrogen and operated for the period of 5-6 hrs. The various parameters such as total surface area, pore size and pore volume were measured</w:t>
      </w:r>
      <w:r w:rsidR="00A45E23">
        <w:rPr>
          <w:rFonts w:ascii="Times New Roman" w:hAnsi="Times New Roman"/>
          <w:color w:val="000000" w:themeColor="text1"/>
          <w:sz w:val="24"/>
          <w:szCs w:val="24"/>
        </w:rPr>
        <w:t xml:space="preserve"> (</w:t>
      </w:r>
      <w:r w:rsidR="00A45E23" w:rsidRPr="00AB6F37">
        <w:rPr>
          <w:rFonts w:ascii="Times New Roman" w:hAnsi="Times New Roman"/>
          <w:sz w:val="24"/>
          <w:szCs w:val="24"/>
        </w:rPr>
        <w:t>Dantas</w:t>
      </w:r>
      <w:r w:rsidR="00A45E23">
        <w:rPr>
          <w:rFonts w:ascii="Times New Roman" w:hAnsi="Times New Roman"/>
          <w:sz w:val="24"/>
          <w:szCs w:val="24"/>
        </w:rPr>
        <w:t xml:space="preserve"> et al., 2016).</w:t>
      </w:r>
    </w:p>
    <w:p w14:paraId="0183CAA8" w14:textId="403E1533"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Photostability studies</w:t>
      </w:r>
    </w:p>
    <w:p w14:paraId="3802414F" w14:textId="20F296DC"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The photo-degradation studies of SHK and SHK loaded microsponges were performed under UV lamp. The SHK and SHK loaded microsponges were kept at a distance of 10 cm from the lamp for 1 </w:t>
      </w:r>
      <w:proofErr w:type="spellStart"/>
      <w:r w:rsidRPr="00E37EA2">
        <w:rPr>
          <w:rFonts w:ascii="Times New Roman" w:hAnsi="Times New Roman"/>
          <w:color w:val="000000" w:themeColor="text1"/>
          <w:sz w:val="24"/>
          <w:szCs w:val="24"/>
        </w:rPr>
        <w:t>hr</w:t>
      </w:r>
      <w:proofErr w:type="spellEnd"/>
      <w:r w:rsidRPr="00E37EA2">
        <w:rPr>
          <w:rFonts w:ascii="Times New Roman" w:hAnsi="Times New Roman"/>
          <w:color w:val="000000" w:themeColor="text1"/>
          <w:sz w:val="24"/>
          <w:szCs w:val="24"/>
        </w:rPr>
        <w:t xml:space="preserve"> and samples withdrawn at 15 min. intervals</w:t>
      </w:r>
      <w:r w:rsidR="00A45E23">
        <w:rPr>
          <w:rFonts w:ascii="Times New Roman" w:hAnsi="Times New Roman"/>
          <w:color w:val="000000" w:themeColor="text1"/>
          <w:sz w:val="24"/>
          <w:szCs w:val="24"/>
          <w:vertAlign w:val="subscript"/>
        </w:rPr>
        <w:t xml:space="preserve"> </w:t>
      </w:r>
      <w:r w:rsidRPr="00E37EA2">
        <w:rPr>
          <w:rFonts w:ascii="Times New Roman" w:hAnsi="Times New Roman"/>
          <w:color w:val="000000" w:themeColor="text1"/>
          <w:sz w:val="24"/>
          <w:szCs w:val="24"/>
        </w:rPr>
        <w:t>were dissolved in acetonitrile and analyzed quantitatively by UV-visible spectrophotometer (</w:t>
      </w:r>
      <w:proofErr w:type="spellStart"/>
      <w:r w:rsidRPr="00E37EA2">
        <w:rPr>
          <w:rFonts w:ascii="Times New Roman" w:hAnsi="Times New Roman"/>
          <w:color w:val="000000" w:themeColor="text1"/>
          <w:sz w:val="24"/>
          <w:szCs w:val="24"/>
        </w:rPr>
        <w:t>Systronics</w:t>
      </w:r>
      <w:proofErr w:type="spellEnd"/>
      <w:r w:rsidRPr="00E37EA2">
        <w:rPr>
          <w:rFonts w:ascii="Times New Roman" w:hAnsi="Times New Roman"/>
          <w:color w:val="000000" w:themeColor="text1"/>
          <w:sz w:val="24"/>
          <w:szCs w:val="24"/>
        </w:rPr>
        <w:t>, AU-2701, India)</w:t>
      </w:r>
      <w:r w:rsidR="0058755D">
        <w:rPr>
          <w:rFonts w:ascii="Times New Roman" w:hAnsi="Times New Roman"/>
          <w:color w:val="000000" w:themeColor="text1"/>
          <w:sz w:val="24"/>
          <w:szCs w:val="24"/>
        </w:rPr>
        <w:t xml:space="preserve"> (</w:t>
      </w:r>
      <w:r w:rsidR="0058755D" w:rsidRPr="00AB6F37">
        <w:rPr>
          <w:rFonts w:ascii="Times New Roman" w:hAnsi="Times New Roman"/>
          <w:sz w:val="24"/>
          <w:szCs w:val="24"/>
        </w:rPr>
        <w:t>Wadhwa</w:t>
      </w:r>
      <w:r w:rsidR="0058755D">
        <w:rPr>
          <w:rFonts w:ascii="Times New Roman" w:hAnsi="Times New Roman"/>
          <w:sz w:val="24"/>
          <w:szCs w:val="24"/>
        </w:rPr>
        <w:t xml:space="preserve"> et al., 2019).</w:t>
      </w:r>
    </w:p>
    <w:p w14:paraId="499048F8" w14:textId="77777777" w:rsidR="00B975ED" w:rsidRPr="00E37EA2" w:rsidRDefault="00B975ED" w:rsidP="0008082E">
      <w:pPr>
        <w:spacing w:after="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2.2.7 Preparation and evaluation of microsponges based gel</w:t>
      </w:r>
    </w:p>
    <w:p w14:paraId="3F4C2C28" w14:textId="48BCFC53"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color w:val="000000" w:themeColor="text1"/>
          <w:sz w:val="24"/>
          <w:szCs w:val="24"/>
        </w:rPr>
        <w:t xml:space="preserve">Optimized </w:t>
      </w:r>
      <w:r w:rsidR="00C10EE0" w:rsidRPr="00E37EA2">
        <w:rPr>
          <w:rFonts w:ascii="Times New Roman" w:hAnsi="Times New Roman"/>
          <w:color w:val="000000" w:themeColor="text1"/>
          <w:sz w:val="24"/>
          <w:szCs w:val="24"/>
        </w:rPr>
        <w:t xml:space="preserve">SHK </w:t>
      </w:r>
      <w:r w:rsidRPr="00E37EA2">
        <w:rPr>
          <w:rFonts w:ascii="Times New Roman" w:hAnsi="Times New Roman"/>
          <w:color w:val="000000" w:themeColor="text1"/>
          <w:sz w:val="24"/>
          <w:szCs w:val="24"/>
        </w:rPr>
        <w:t xml:space="preserve">microsponges formulation was </w:t>
      </w:r>
      <w:r w:rsidR="00C10EE0" w:rsidRPr="00E37EA2">
        <w:rPr>
          <w:rFonts w:ascii="Times New Roman" w:hAnsi="Times New Roman"/>
          <w:color w:val="000000" w:themeColor="text1"/>
          <w:sz w:val="24"/>
          <w:szCs w:val="24"/>
        </w:rPr>
        <w:t>loaded</w:t>
      </w:r>
      <w:r w:rsidRPr="00E37EA2">
        <w:rPr>
          <w:rFonts w:ascii="Times New Roman" w:hAnsi="Times New Roman"/>
          <w:color w:val="000000" w:themeColor="text1"/>
          <w:sz w:val="24"/>
          <w:szCs w:val="24"/>
        </w:rPr>
        <w:t xml:space="preserve"> into various concentrations of chitosan gel (0.5%, 1%, 1.5% and 2%) prepared in glacial acetic acid solution (1%</w:t>
      </w:r>
      <w:r w:rsidRPr="00E37EA2">
        <w:rPr>
          <w:rFonts w:ascii="Times New Roman" w:hAnsi="Times New Roman"/>
          <w:i/>
          <w:color w:val="000000" w:themeColor="text1"/>
          <w:sz w:val="24"/>
          <w:szCs w:val="24"/>
        </w:rPr>
        <w:t>v/v</w:t>
      </w:r>
      <w:r w:rsidR="00A45E23">
        <w:rPr>
          <w:rFonts w:ascii="Times New Roman" w:hAnsi="Times New Roman"/>
          <w:color w:val="000000" w:themeColor="text1"/>
          <w:sz w:val="24"/>
          <w:szCs w:val="24"/>
        </w:rPr>
        <w:t>) (Moin et al., 2016).</w:t>
      </w:r>
    </w:p>
    <w:p w14:paraId="6846E11B" w14:textId="77777777"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Visual inspection, pH determination, spreadibility and viscoelastic properties</w:t>
      </w:r>
    </w:p>
    <w:p w14:paraId="0236BC34" w14:textId="7D2E9D93"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Visual inspection of gel was done to determine the organoleptic properties of the gel such as color, odor, texture, homogeneity, consistency and physical appearance</w:t>
      </w:r>
      <w:r w:rsidR="00A45E23">
        <w:rPr>
          <w:rFonts w:ascii="Times New Roman" w:hAnsi="Times New Roman"/>
          <w:color w:val="000000" w:themeColor="text1"/>
          <w:sz w:val="24"/>
          <w:szCs w:val="24"/>
          <w:vertAlign w:val="superscript"/>
        </w:rPr>
        <w:t xml:space="preserve"> </w:t>
      </w:r>
      <w:r w:rsidR="00A45E23">
        <w:rPr>
          <w:rFonts w:ascii="Times New Roman" w:hAnsi="Times New Roman"/>
          <w:color w:val="000000" w:themeColor="text1"/>
          <w:sz w:val="24"/>
          <w:szCs w:val="24"/>
        </w:rPr>
        <w:t>(Dantas et al., 2016).</w:t>
      </w:r>
      <w:r w:rsidRPr="00E37EA2">
        <w:rPr>
          <w:rFonts w:ascii="Times New Roman" w:hAnsi="Times New Roman"/>
          <w:color w:val="000000" w:themeColor="text1"/>
          <w:sz w:val="24"/>
          <w:szCs w:val="24"/>
        </w:rPr>
        <w:t xml:space="preserve"> pH of the formulation was determined using digital pH meter by preparing a sample solution (1</w:t>
      </w:r>
      <w:proofErr w:type="gramStart"/>
      <w:r w:rsidRPr="00E37EA2">
        <w:rPr>
          <w:rFonts w:ascii="Times New Roman" w:hAnsi="Times New Roman"/>
          <w:color w:val="000000" w:themeColor="text1"/>
          <w:sz w:val="24"/>
          <w:szCs w:val="24"/>
        </w:rPr>
        <w:t>g  gel</w:t>
      </w:r>
      <w:proofErr w:type="gramEnd"/>
      <w:r w:rsidRPr="00E37EA2">
        <w:rPr>
          <w:rFonts w:ascii="Times New Roman" w:hAnsi="Times New Roman"/>
          <w:color w:val="000000" w:themeColor="text1"/>
          <w:sz w:val="24"/>
          <w:szCs w:val="24"/>
        </w:rPr>
        <w:t xml:space="preserve"> in 10 mL phosphate buffer (pH 7.4) or ethanol</w:t>
      </w:r>
      <w:r w:rsidR="00A45E23">
        <w:rPr>
          <w:rFonts w:ascii="Times New Roman" w:hAnsi="Times New Roman"/>
          <w:color w:val="000000" w:themeColor="text1"/>
          <w:sz w:val="24"/>
          <w:szCs w:val="24"/>
        </w:rPr>
        <w:t xml:space="preserve">) (Jamadar </w:t>
      </w:r>
      <w:r w:rsidR="000D054C">
        <w:rPr>
          <w:rFonts w:ascii="Times New Roman" w:hAnsi="Times New Roman"/>
          <w:color w:val="000000" w:themeColor="text1"/>
          <w:sz w:val="24"/>
          <w:szCs w:val="24"/>
        </w:rPr>
        <w:t>&amp;</w:t>
      </w:r>
      <w:r w:rsidR="00A45E23">
        <w:rPr>
          <w:rFonts w:ascii="Times New Roman" w:hAnsi="Times New Roman"/>
          <w:color w:val="000000" w:themeColor="text1"/>
          <w:sz w:val="24"/>
          <w:szCs w:val="24"/>
        </w:rPr>
        <w:t xml:space="preserve"> Shaikh 2017). </w:t>
      </w:r>
      <w:r w:rsidRPr="00E37EA2">
        <w:rPr>
          <w:rFonts w:ascii="Times New Roman" w:hAnsi="Times New Roman"/>
          <w:color w:val="000000" w:themeColor="text1"/>
          <w:sz w:val="24"/>
          <w:szCs w:val="24"/>
        </w:rPr>
        <w:t>Spreadibility test helps in assuring the uniform</w:t>
      </w:r>
      <w:r w:rsidR="0024743F">
        <w:rPr>
          <w:rFonts w:ascii="Times New Roman" w:hAnsi="Times New Roman"/>
          <w:color w:val="000000" w:themeColor="text1"/>
          <w:sz w:val="24"/>
          <w:szCs w:val="24"/>
        </w:rPr>
        <w:t xml:space="preserve"> application of gel to the skin </w:t>
      </w:r>
      <w:proofErr w:type="spellStart"/>
      <w:proofErr w:type="gramStart"/>
      <w:r w:rsidR="0024743F">
        <w:rPr>
          <w:rFonts w:ascii="Times New Roman" w:hAnsi="Times New Roman"/>
          <w:color w:val="000000" w:themeColor="text1"/>
          <w:sz w:val="24"/>
          <w:szCs w:val="24"/>
        </w:rPr>
        <w:t>thereby,</w:t>
      </w:r>
      <w:r w:rsidRPr="00E37EA2">
        <w:rPr>
          <w:rFonts w:ascii="Times New Roman" w:hAnsi="Times New Roman"/>
          <w:color w:val="000000" w:themeColor="text1"/>
          <w:sz w:val="24"/>
          <w:szCs w:val="24"/>
        </w:rPr>
        <w:t>the</w:t>
      </w:r>
      <w:proofErr w:type="spellEnd"/>
      <w:proofErr w:type="gramEnd"/>
      <w:r w:rsidRPr="00E37EA2">
        <w:rPr>
          <w:rFonts w:ascii="Times New Roman" w:hAnsi="Times New Roman"/>
          <w:color w:val="000000" w:themeColor="text1"/>
          <w:sz w:val="24"/>
          <w:szCs w:val="24"/>
        </w:rPr>
        <w:t xml:space="preserve"> prepared gels must have a good spreadibility and satisfy ideal quality in topical application</w:t>
      </w:r>
      <w:r w:rsidR="00A45E23">
        <w:rPr>
          <w:rFonts w:ascii="Times New Roman" w:hAnsi="Times New Roman"/>
          <w:color w:val="000000" w:themeColor="text1"/>
          <w:sz w:val="24"/>
          <w:szCs w:val="24"/>
        </w:rPr>
        <w:t xml:space="preserve"> (Malik </w:t>
      </w:r>
      <w:r w:rsidR="00455EAA">
        <w:rPr>
          <w:rFonts w:ascii="Times New Roman" w:hAnsi="Times New Roman"/>
          <w:color w:val="000000" w:themeColor="text1"/>
          <w:sz w:val="24"/>
          <w:szCs w:val="24"/>
        </w:rPr>
        <w:t xml:space="preserve">&amp; </w:t>
      </w:r>
      <w:r w:rsidR="00A45E23">
        <w:rPr>
          <w:rFonts w:ascii="Times New Roman" w:hAnsi="Times New Roman"/>
          <w:color w:val="000000" w:themeColor="text1"/>
          <w:sz w:val="24"/>
          <w:szCs w:val="24"/>
        </w:rPr>
        <w:t>Kaur 2018).</w:t>
      </w:r>
    </w:p>
    <w:p w14:paraId="08DEBFE1" w14:textId="33E3AD58" w:rsidR="00B975ED" w:rsidRPr="00E37EA2" w:rsidRDefault="0024743F" w:rsidP="0008082E">
      <w:pPr>
        <w:spacing w:before="120" w:after="120" w:line="480" w:lineRule="auto"/>
        <w:jc w:val="both"/>
        <w:rPr>
          <w:rFonts w:ascii="Times New Roman" w:hAnsi="Times New Roman"/>
          <w:color w:val="000000" w:themeColor="text1"/>
          <w:sz w:val="24"/>
          <w:szCs w:val="24"/>
        </w:rPr>
      </w:pPr>
      <w:bookmarkStart w:id="2" w:name="_Hlk200919164"/>
      <w:r>
        <w:rPr>
          <w:rFonts w:ascii="Times New Roman" w:hAnsi="Times New Roman"/>
          <w:sz w:val="24"/>
          <w:szCs w:val="24"/>
        </w:rPr>
        <w:t xml:space="preserve">                                            </w:t>
      </w:r>
      <m:oMath>
        <m:r>
          <w:rPr>
            <w:rFonts w:ascii="Cambria Math" w:hAnsi="Cambria Math"/>
            <w:sz w:val="24"/>
            <w:szCs w:val="24"/>
          </w:rPr>
          <m:t>S=ML/T</m:t>
        </m:r>
      </m:oMath>
      <w:r>
        <w:rPr>
          <w:rFonts w:ascii="Times New Roman" w:hAnsi="Times New Roman"/>
          <w:sz w:val="24"/>
          <w:szCs w:val="24"/>
        </w:rPr>
        <w:tab/>
      </w:r>
      <w:r>
        <w:rPr>
          <w:rFonts w:ascii="Times New Roman" w:hAnsi="Times New Roman"/>
          <w:sz w:val="24"/>
          <w:szCs w:val="24"/>
        </w:rPr>
        <w:tab/>
        <w:t xml:space="preserve">                            </w:t>
      </w:r>
      <w:r w:rsidR="00031871">
        <w:rPr>
          <w:rFonts w:ascii="Times New Roman" w:hAnsi="Times New Roman"/>
          <w:sz w:val="24"/>
          <w:szCs w:val="24"/>
        </w:rPr>
        <w:t>(</w:t>
      </w:r>
      <w:r>
        <w:rPr>
          <w:rFonts w:ascii="Times New Roman" w:hAnsi="Times New Roman"/>
          <w:sz w:val="24"/>
          <w:szCs w:val="24"/>
        </w:rPr>
        <w:t>iv</w:t>
      </w:r>
      <w:r w:rsidR="00031871">
        <w:rPr>
          <w:rFonts w:ascii="Times New Roman" w:hAnsi="Times New Roman"/>
          <w:sz w:val="24"/>
          <w:szCs w:val="24"/>
        </w:rPr>
        <w:t>)</w:t>
      </w:r>
    </w:p>
    <w:bookmarkEnd w:id="2"/>
    <w:p w14:paraId="6473DBED" w14:textId="4AC165A4"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Where, ‘S’ is Spreadibility, ‘M’ represents Weight (gm) attached to upper slide, ‘L’ is Length of glass slide and ‘T’ is Time taken to separate glass slides</w:t>
      </w:r>
      <w:r w:rsidR="0024743F">
        <w:rPr>
          <w:rFonts w:ascii="Times New Roman" w:hAnsi="Times New Roman"/>
          <w:color w:val="000000" w:themeColor="text1"/>
          <w:sz w:val="24"/>
          <w:szCs w:val="24"/>
        </w:rPr>
        <w:t xml:space="preserve"> in equation </w:t>
      </w:r>
      <w:r w:rsidR="00031871">
        <w:rPr>
          <w:rFonts w:ascii="Times New Roman" w:hAnsi="Times New Roman"/>
          <w:color w:val="000000" w:themeColor="text1"/>
          <w:sz w:val="24"/>
          <w:szCs w:val="24"/>
        </w:rPr>
        <w:t>(</w:t>
      </w:r>
      <w:r w:rsidR="0024743F">
        <w:rPr>
          <w:rFonts w:ascii="Times New Roman" w:hAnsi="Times New Roman"/>
          <w:color w:val="000000" w:themeColor="text1"/>
          <w:sz w:val="24"/>
          <w:szCs w:val="24"/>
        </w:rPr>
        <w:t>iv</w:t>
      </w:r>
      <w:r w:rsidR="00031871">
        <w:rPr>
          <w:rFonts w:ascii="Times New Roman" w:hAnsi="Times New Roman"/>
          <w:color w:val="000000" w:themeColor="text1"/>
          <w:sz w:val="24"/>
          <w:szCs w:val="24"/>
        </w:rPr>
        <w:t>)</w:t>
      </w:r>
    </w:p>
    <w:p w14:paraId="79D0DF55" w14:textId="51151ECA"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lastRenderedPageBreak/>
        <w:t>Spreadibility of formed gel is the net result of a combination of rheological contributions namely viscosity, yield stress and thixotropy assessed by cup and bob rheometer. Thixotropic behavior describes the recovery strength of the gels into its initial state after been subjected to an applied stress. The viscoelastic properties of an optimized gel formulation were measured at a constant shear rate (40 s</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and at variable shear rate (0-50 s</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by analyzing 20g of formulation in a cup of rheometer and bob was fixed at 37±2˚C</w:t>
      </w:r>
      <w:r w:rsidR="00A45E23">
        <w:rPr>
          <w:rFonts w:ascii="Times New Roman" w:hAnsi="Times New Roman"/>
          <w:color w:val="000000" w:themeColor="text1"/>
          <w:sz w:val="24"/>
          <w:szCs w:val="24"/>
        </w:rPr>
        <w:t xml:space="preserve"> (Malik </w:t>
      </w:r>
      <w:r w:rsidR="00455EAA">
        <w:rPr>
          <w:rFonts w:ascii="Times New Roman" w:hAnsi="Times New Roman"/>
          <w:color w:val="000000" w:themeColor="text1"/>
          <w:sz w:val="24"/>
          <w:szCs w:val="24"/>
        </w:rPr>
        <w:t xml:space="preserve">&amp; </w:t>
      </w:r>
      <w:r w:rsidR="00A45E23">
        <w:rPr>
          <w:rFonts w:ascii="Times New Roman" w:hAnsi="Times New Roman"/>
          <w:color w:val="000000" w:themeColor="text1"/>
          <w:sz w:val="24"/>
          <w:szCs w:val="24"/>
        </w:rPr>
        <w:t>Kaur 2018).</w:t>
      </w:r>
    </w:p>
    <w:p w14:paraId="5D14AB06" w14:textId="78EACCDD"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Tube extrud</w:t>
      </w:r>
      <w:r w:rsidR="0018532B" w:rsidRPr="008B33CC">
        <w:rPr>
          <w:rFonts w:ascii="Times New Roman" w:hAnsi="Times New Roman"/>
          <w:b/>
          <w:i/>
          <w:color w:val="000000" w:themeColor="text1"/>
          <w:sz w:val="24"/>
          <w:szCs w:val="24"/>
        </w:rPr>
        <w:t>a</w:t>
      </w:r>
      <w:r w:rsidRPr="008B33CC">
        <w:rPr>
          <w:rFonts w:ascii="Times New Roman" w:hAnsi="Times New Roman"/>
          <w:b/>
          <w:i/>
          <w:color w:val="000000" w:themeColor="text1"/>
          <w:sz w:val="24"/>
          <w:szCs w:val="24"/>
        </w:rPr>
        <w:t>bility</w:t>
      </w:r>
    </w:p>
    <w:p w14:paraId="7CF1FBCA" w14:textId="06CBA293"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Extrudability indicates amount of gel that extrudes out of the tube when pressure is applied. The prepared gel was filled in collapsible aluminium tube with 5mm nasal tip opening and the pressure was applied on tube by placing 1kg weight on the crimped end of tube. The percent amount of gel extruded was calculated (70% extrudability: Fair, 80% extrudability: Good, 90% extrudability: Excellent)</w:t>
      </w:r>
      <w:r w:rsidR="00A45E23">
        <w:rPr>
          <w:rFonts w:ascii="Times New Roman" w:hAnsi="Times New Roman"/>
          <w:color w:val="000000" w:themeColor="text1"/>
          <w:sz w:val="24"/>
          <w:szCs w:val="24"/>
        </w:rPr>
        <w:t xml:space="preserve"> (Malik </w:t>
      </w:r>
      <w:r w:rsidR="00455EAA">
        <w:rPr>
          <w:rFonts w:ascii="Times New Roman" w:hAnsi="Times New Roman"/>
          <w:color w:val="000000" w:themeColor="text1"/>
          <w:sz w:val="24"/>
          <w:szCs w:val="24"/>
        </w:rPr>
        <w:t>&amp;</w:t>
      </w:r>
      <w:r w:rsidR="00A45E23">
        <w:rPr>
          <w:rFonts w:ascii="Times New Roman" w:hAnsi="Times New Roman"/>
          <w:color w:val="000000" w:themeColor="text1"/>
          <w:sz w:val="24"/>
          <w:szCs w:val="24"/>
        </w:rPr>
        <w:t xml:space="preserve"> Kaur 2018).</w:t>
      </w:r>
    </w:p>
    <w:p w14:paraId="6A5562D3" w14:textId="77777777"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E37EA2">
        <w:rPr>
          <w:rFonts w:ascii="Times New Roman" w:hAnsi="Times New Roman"/>
          <w:b/>
          <w:i/>
          <w:color w:val="000000" w:themeColor="text1"/>
          <w:sz w:val="24"/>
          <w:szCs w:val="24"/>
        </w:rPr>
        <w:t>In vitro occlusion test</w:t>
      </w:r>
    </w:p>
    <w:p w14:paraId="68BD2EF6" w14:textId="23000851"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The different gel formulations were evaluated for the occlusivity by measuring the percent water loss. Accurately weighed distilled water (25 g) was placed in a beaker (100 mL) covered with </w:t>
      </w:r>
      <w:proofErr w:type="spellStart"/>
      <w:r w:rsidRPr="00E37EA2">
        <w:rPr>
          <w:rFonts w:ascii="Times New Roman" w:hAnsi="Times New Roman"/>
          <w:color w:val="000000" w:themeColor="text1"/>
          <w:sz w:val="24"/>
          <w:szCs w:val="24"/>
        </w:rPr>
        <w:t>Whatmann</w:t>
      </w:r>
      <w:proofErr w:type="spellEnd"/>
      <w:r w:rsidRPr="00E37EA2">
        <w:rPr>
          <w:rFonts w:ascii="Times New Roman" w:hAnsi="Times New Roman"/>
          <w:color w:val="000000" w:themeColor="text1"/>
          <w:sz w:val="24"/>
          <w:szCs w:val="24"/>
        </w:rPr>
        <w:t xml:space="preserve"> filter paper. Thin film of each gel formulation was spread uniformly on the filter paper. The beaker containing double distilled water and covered with filter paper without applied sample was used as the reference. Beakers were maintained at 30±2˚C, 60±5% RH for a period of 48 </w:t>
      </w:r>
      <w:proofErr w:type="spellStart"/>
      <w:r w:rsidRPr="00E37EA2">
        <w:rPr>
          <w:rFonts w:ascii="Times New Roman" w:hAnsi="Times New Roman"/>
          <w:color w:val="000000" w:themeColor="text1"/>
          <w:sz w:val="24"/>
          <w:szCs w:val="24"/>
        </w:rPr>
        <w:t>hrs</w:t>
      </w:r>
      <w:proofErr w:type="spellEnd"/>
      <w:r w:rsidRPr="00E37EA2">
        <w:rPr>
          <w:rFonts w:ascii="Times New Roman" w:hAnsi="Times New Roman"/>
          <w:color w:val="000000" w:themeColor="text1"/>
          <w:sz w:val="24"/>
          <w:szCs w:val="24"/>
        </w:rPr>
        <w:t>, after which all the formulations were then weighed to determine the water loss due to evaporation through filter paper</w:t>
      </w:r>
      <w:r w:rsidR="00A45E23">
        <w:rPr>
          <w:rFonts w:ascii="Times New Roman" w:hAnsi="Times New Roman"/>
          <w:color w:val="000000" w:themeColor="text1"/>
          <w:sz w:val="24"/>
          <w:szCs w:val="24"/>
        </w:rPr>
        <w:t xml:space="preserve"> (</w:t>
      </w:r>
      <w:r w:rsidR="00A45E23" w:rsidRPr="00AB6F37">
        <w:rPr>
          <w:rFonts w:ascii="Times New Roman" w:hAnsi="Times New Roman"/>
          <w:sz w:val="24"/>
          <w:szCs w:val="24"/>
        </w:rPr>
        <w:t>Vidhya</w:t>
      </w:r>
      <w:r w:rsidR="00A45E23">
        <w:rPr>
          <w:rFonts w:ascii="Times New Roman" w:hAnsi="Times New Roman"/>
          <w:sz w:val="24"/>
          <w:szCs w:val="24"/>
        </w:rPr>
        <w:t xml:space="preserve"> et al., 2020).</w:t>
      </w:r>
    </w:p>
    <w:p w14:paraId="3CBF8C4D" w14:textId="36032CF0" w:rsidR="00B975ED" w:rsidRPr="00E37EA2" w:rsidRDefault="00B975ED" w:rsidP="0008082E">
      <w:pPr>
        <w:spacing w:before="120" w:after="120" w:line="480" w:lineRule="auto"/>
        <w:ind w:left="2160" w:firstLine="720"/>
        <w:jc w:val="both"/>
        <w:rPr>
          <w:rFonts w:ascii="Times New Roman" w:hAnsi="Times New Roman"/>
          <w:color w:val="000000" w:themeColor="text1"/>
          <w:sz w:val="24"/>
          <w:szCs w:val="24"/>
        </w:rPr>
      </w:pPr>
      <m:oMath>
        <m:r>
          <w:rPr>
            <w:rFonts w:ascii="Cambria Math" w:hAnsi="Cambria Math"/>
            <w:sz w:val="24"/>
            <w:szCs w:val="24"/>
          </w:rPr>
          <m:t>Occulsion factor=</m:t>
        </m:r>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m:t>
            </m:r>
          </m:den>
        </m:f>
        <m:r>
          <w:rPr>
            <w:rFonts w:ascii="Cambria Math" w:hAnsi="Cambria Math"/>
            <w:sz w:val="24"/>
            <w:szCs w:val="24"/>
          </w:rPr>
          <m:t>×100</m:t>
        </m:r>
      </m:oMath>
      <w:r w:rsidR="00173A89">
        <w:rPr>
          <w:rFonts w:ascii="Times New Roman" w:hAnsi="Times New Roman"/>
          <w:sz w:val="24"/>
          <w:szCs w:val="24"/>
        </w:rPr>
        <w:t xml:space="preserve">                                 </w:t>
      </w:r>
      <w:proofErr w:type="gramStart"/>
      <w:r w:rsidR="00031871">
        <w:rPr>
          <w:rFonts w:ascii="Times New Roman" w:hAnsi="Times New Roman"/>
          <w:sz w:val="24"/>
          <w:szCs w:val="24"/>
        </w:rPr>
        <w:t>(</w:t>
      </w:r>
      <w:r w:rsidR="00173A89">
        <w:rPr>
          <w:rFonts w:ascii="Times New Roman" w:hAnsi="Times New Roman"/>
          <w:sz w:val="24"/>
          <w:szCs w:val="24"/>
        </w:rPr>
        <w:t xml:space="preserve"> v</w:t>
      </w:r>
      <w:proofErr w:type="gramEnd"/>
      <w:r w:rsidR="00031871">
        <w:rPr>
          <w:rFonts w:ascii="Times New Roman" w:hAnsi="Times New Roman"/>
          <w:sz w:val="24"/>
          <w:szCs w:val="24"/>
        </w:rPr>
        <w:t>)</w:t>
      </w:r>
    </w:p>
    <w:p w14:paraId="1B764642" w14:textId="5D7A3BF1"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lastRenderedPageBreak/>
        <w:t>Where, ‘A’ represents water loss without sample (reference) and ‘B’ is water loss with sample</w:t>
      </w:r>
      <w:r w:rsidR="00173A89">
        <w:rPr>
          <w:rFonts w:ascii="Times New Roman" w:hAnsi="Times New Roman"/>
          <w:color w:val="000000" w:themeColor="text1"/>
          <w:sz w:val="24"/>
          <w:szCs w:val="24"/>
        </w:rPr>
        <w:t xml:space="preserve"> (equation </w:t>
      </w:r>
      <w:r w:rsidR="00031871">
        <w:rPr>
          <w:rFonts w:ascii="Times New Roman" w:hAnsi="Times New Roman"/>
          <w:color w:val="000000" w:themeColor="text1"/>
          <w:sz w:val="24"/>
          <w:szCs w:val="24"/>
        </w:rPr>
        <w:t>(</w:t>
      </w:r>
      <w:r w:rsidR="00173A89">
        <w:rPr>
          <w:rFonts w:ascii="Times New Roman" w:hAnsi="Times New Roman"/>
          <w:color w:val="000000" w:themeColor="text1"/>
          <w:sz w:val="24"/>
          <w:szCs w:val="24"/>
        </w:rPr>
        <w:t>v</w:t>
      </w:r>
      <w:r w:rsidR="00031871">
        <w:rPr>
          <w:rFonts w:ascii="Times New Roman" w:hAnsi="Times New Roman"/>
          <w:color w:val="000000" w:themeColor="text1"/>
          <w:sz w:val="24"/>
          <w:szCs w:val="24"/>
        </w:rPr>
        <w:t>)</w:t>
      </w:r>
      <w:r w:rsidR="00173A89">
        <w:rPr>
          <w:rFonts w:ascii="Times New Roman" w:hAnsi="Times New Roman"/>
          <w:color w:val="000000" w:themeColor="text1"/>
          <w:sz w:val="24"/>
          <w:szCs w:val="24"/>
        </w:rPr>
        <w:t>)</w:t>
      </w:r>
    </w:p>
    <w:p w14:paraId="2372151D" w14:textId="77777777"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In vitro anti-microbial activity of SHK loaded microsponges based gel</w:t>
      </w:r>
    </w:p>
    <w:p w14:paraId="6AA0C9C8" w14:textId="28CBE5C7"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Agar well diffusion assay was performed in order to evaluate the prepared optimized gel for its anti-microbial activity against common pathogens viz. </w:t>
      </w:r>
      <w:r w:rsidRPr="00E37EA2">
        <w:rPr>
          <w:rFonts w:ascii="Times New Roman" w:hAnsi="Times New Roman"/>
          <w:i/>
          <w:color w:val="000000" w:themeColor="text1"/>
          <w:sz w:val="24"/>
          <w:szCs w:val="24"/>
        </w:rPr>
        <w:t>S. aureus</w:t>
      </w:r>
      <w:r w:rsidRPr="00E37EA2">
        <w:rPr>
          <w:rFonts w:ascii="Times New Roman" w:hAnsi="Times New Roman"/>
          <w:color w:val="000000" w:themeColor="text1"/>
          <w:sz w:val="24"/>
          <w:szCs w:val="24"/>
        </w:rPr>
        <w:t xml:space="preserve">, </w:t>
      </w:r>
      <w:proofErr w:type="gramStart"/>
      <w:r w:rsidRPr="00E37EA2">
        <w:rPr>
          <w:rFonts w:ascii="Times New Roman" w:hAnsi="Times New Roman"/>
          <w:i/>
          <w:color w:val="000000" w:themeColor="text1"/>
          <w:sz w:val="24"/>
          <w:szCs w:val="24"/>
        </w:rPr>
        <w:t>E.coli</w:t>
      </w:r>
      <w:proofErr w:type="gramEnd"/>
      <w:r w:rsidRPr="00E37EA2">
        <w:rPr>
          <w:rFonts w:ascii="Times New Roman" w:hAnsi="Times New Roman"/>
          <w:color w:val="000000" w:themeColor="text1"/>
          <w:sz w:val="24"/>
          <w:szCs w:val="24"/>
        </w:rPr>
        <w:t xml:space="preserve"> and </w:t>
      </w:r>
      <w:r w:rsidRPr="00E37EA2">
        <w:rPr>
          <w:rFonts w:ascii="Times New Roman" w:hAnsi="Times New Roman"/>
          <w:i/>
          <w:color w:val="000000" w:themeColor="text1"/>
          <w:sz w:val="24"/>
          <w:szCs w:val="24"/>
        </w:rPr>
        <w:t>C.</w:t>
      </w:r>
      <w:r w:rsidR="0018532B" w:rsidRPr="00E37EA2">
        <w:rPr>
          <w:rFonts w:ascii="Times New Roman" w:hAnsi="Times New Roman"/>
          <w:i/>
          <w:color w:val="000000" w:themeColor="text1"/>
          <w:sz w:val="24"/>
          <w:szCs w:val="24"/>
        </w:rPr>
        <w:t xml:space="preserve"> </w:t>
      </w:r>
      <w:r w:rsidRPr="00E37EA2">
        <w:rPr>
          <w:rFonts w:ascii="Times New Roman" w:hAnsi="Times New Roman"/>
          <w:i/>
          <w:color w:val="000000" w:themeColor="text1"/>
          <w:sz w:val="24"/>
          <w:szCs w:val="24"/>
        </w:rPr>
        <w:t>a</w:t>
      </w:r>
      <w:r w:rsidR="0018532B" w:rsidRPr="00E37EA2">
        <w:rPr>
          <w:rFonts w:ascii="Times New Roman" w:hAnsi="Times New Roman"/>
          <w:i/>
          <w:color w:val="000000" w:themeColor="text1"/>
          <w:sz w:val="24"/>
          <w:szCs w:val="24"/>
        </w:rPr>
        <w:t>l</w:t>
      </w:r>
      <w:r w:rsidRPr="00E37EA2">
        <w:rPr>
          <w:rFonts w:ascii="Times New Roman" w:hAnsi="Times New Roman"/>
          <w:i/>
          <w:color w:val="000000" w:themeColor="text1"/>
          <w:sz w:val="24"/>
          <w:szCs w:val="24"/>
        </w:rPr>
        <w:t>bicans</w:t>
      </w:r>
      <w:r w:rsidR="00A45E23">
        <w:rPr>
          <w:rFonts w:ascii="Times New Roman" w:hAnsi="Times New Roman"/>
          <w:color w:val="000000" w:themeColor="text1"/>
          <w:sz w:val="24"/>
          <w:szCs w:val="24"/>
        </w:rPr>
        <w:t xml:space="preserve"> (</w:t>
      </w:r>
      <w:proofErr w:type="spellStart"/>
      <w:r w:rsidR="00A45E23" w:rsidRPr="00AB6F37">
        <w:rPr>
          <w:rFonts w:ascii="Times New Roman" w:hAnsi="Times New Roman"/>
          <w:sz w:val="24"/>
          <w:szCs w:val="24"/>
        </w:rPr>
        <w:t>Nasrollahzadeh</w:t>
      </w:r>
      <w:proofErr w:type="spellEnd"/>
      <w:r w:rsidR="00A45E23">
        <w:rPr>
          <w:rFonts w:ascii="Times New Roman" w:hAnsi="Times New Roman"/>
          <w:sz w:val="24"/>
          <w:szCs w:val="24"/>
        </w:rPr>
        <w:t xml:space="preserve"> et al., 2020).</w:t>
      </w:r>
      <w:r w:rsidRPr="00E37EA2">
        <w:rPr>
          <w:rFonts w:ascii="Times New Roman" w:hAnsi="Times New Roman"/>
          <w:color w:val="000000" w:themeColor="text1"/>
          <w:sz w:val="24"/>
          <w:szCs w:val="24"/>
          <w:vertAlign w:val="superscript"/>
        </w:rPr>
        <w:t xml:space="preserve"> </w:t>
      </w:r>
    </w:p>
    <w:p w14:paraId="3569EC1A" w14:textId="77777777"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2.3 Statistical Analysis</w:t>
      </w:r>
    </w:p>
    <w:p w14:paraId="3B93713F" w14:textId="77777777"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Results are presented as mean of three independent experiments ± standard deviation. The statistical analysis was performed using One-way ANOVA on GraphPad Prism (GraphPad Software, USA) to determine differences between groups. P values less than 0.05 were considered to be significant. </w:t>
      </w:r>
    </w:p>
    <w:p w14:paraId="42AED032" w14:textId="77777777" w:rsidR="00E50D65" w:rsidRPr="00E37EA2" w:rsidRDefault="00E50D65" w:rsidP="0008082E">
      <w:pPr>
        <w:pStyle w:val="ListParagraph"/>
        <w:numPr>
          <w:ilvl w:val="0"/>
          <w:numId w:val="10"/>
        </w:numPr>
        <w:spacing w:before="120" w:after="120" w:line="480" w:lineRule="auto"/>
        <w:contextualSpacing w:val="0"/>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 xml:space="preserve">Results </w:t>
      </w:r>
    </w:p>
    <w:p w14:paraId="4775E0A9" w14:textId="77777777" w:rsidR="00E50D65" w:rsidRPr="00E37EA2" w:rsidRDefault="00E50D65"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3.1 Extraction and Isolation of SHK</w:t>
      </w:r>
    </w:p>
    <w:p w14:paraId="5A57D7BF" w14:textId="041B58AB" w:rsidR="00E50D65" w:rsidRPr="001E20A4" w:rsidRDefault="00E50D65" w:rsidP="001E20A4">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The extract obtained after maceration of root bark powder with chloroform was concentrated under reduced pressure, at 40℃ on </w:t>
      </w:r>
      <w:proofErr w:type="spellStart"/>
      <w:r w:rsidRPr="00E37EA2">
        <w:rPr>
          <w:rFonts w:ascii="Times New Roman" w:hAnsi="Times New Roman"/>
          <w:color w:val="000000" w:themeColor="text1"/>
          <w:sz w:val="24"/>
          <w:szCs w:val="24"/>
        </w:rPr>
        <w:t>rota</w:t>
      </w:r>
      <w:proofErr w:type="spellEnd"/>
      <w:r w:rsidRPr="00E37EA2">
        <w:rPr>
          <w:rFonts w:ascii="Times New Roman" w:hAnsi="Times New Roman"/>
          <w:color w:val="000000" w:themeColor="text1"/>
          <w:sz w:val="24"/>
          <w:szCs w:val="24"/>
        </w:rPr>
        <w:t xml:space="preserve"> evaporator (IKA, RV 10, India) and subjected to column chromatography using gradient system with mobile phase consisting of </w:t>
      </w:r>
      <w:proofErr w:type="spellStart"/>
      <w:proofErr w:type="gramStart"/>
      <w:r w:rsidRPr="00E37EA2">
        <w:rPr>
          <w:rFonts w:ascii="Times New Roman" w:hAnsi="Times New Roman"/>
          <w:color w:val="000000" w:themeColor="text1"/>
          <w:sz w:val="24"/>
          <w:szCs w:val="24"/>
        </w:rPr>
        <w:t>hexane:ethyl</w:t>
      </w:r>
      <w:proofErr w:type="spellEnd"/>
      <w:proofErr w:type="gramEnd"/>
      <w:r w:rsidRPr="00E37EA2">
        <w:rPr>
          <w:rFonts w:ascii="Times New Roman" w:hAnsi="Times New Roman"/>
          <w:color w:val="000000" w:themeColor="text1"/>
          <w:sz w:val="24"/>
          <w:szCs w:val="24"/>
        </w:rPr>
        <w:t xml:space="preserve"> acetate yielding sixteen fractions (FI-FXVI) which were further subjected to evaluation for their anti-microbial and anti-oxidant activity. The highest anti-microbial effect in the extract was exhibited by fraction XVI against all the tested microbial strains with maximum zone of inhibition of 17.7±0.15mm thereby exhibiting good inhibitory action on growth of these pathogens. It further possessed lowest </w:t>
      </w:r>
      <w:r w:rsidRPr="00E37EA2">
        <w:rPr>
          <w:rFonts w:ascii="Times New Roman" w:hAnsi="Times New Roman"/>
          <w:bCs/>
          <w:color w:val="000000" w:themeColor="text1"/>
          <w:sz w:val="24"/>
          <w:szCs w:val="24"/>
        </w:rPr>
        <w:t>IC</w:t>
      </w:r>
      <w:r w:rsidRPr="00E37EA2">
        <w:rPr>
          <w:rFonts w:ascii="Times New Roman" w:hAnsi="Times New Roman"/>
          <w:bCs/>
          <w:color w:val="000000" w:themeColor="text1"/>
          <w:sz w:val="24"/>
          <w:szCs w:val="24"/>
          <w:vertAlign w:val="subscript"/>
        </w:rPr>
        <w:t xml:space="preserve">50 </w:t>
      </w:r>
      <w:r w:rsidRPr="00E37EA2">
        <w:rPr>
          <w:rFonts w:ascii="Times New Roman" w:hAnsi="Times New Roman"/>
          <w:color w:val="000000" w:themeColor="text1"/>
          <w:sz w:val="24"/>
          <w:szCs w:val="24"/>
        </w:rPr>
        <w:t xml:space="preserve">amongst all the tested fractions, thus possessing highest free radical </w:t>
      </w:r>
      <w:r w:rsidRPr="00E37EA2">
        <w:rPr>
          <w:rFonts w:ascii="Times New Roman" w:hAnsi="Times New Roman"/>
          <w:color w:val="000000" w:themeColor="text1"/>
          <w:sz w:val="24"/>
          <w:szCs w:val="24"/>
        </w:rPr>
        <w:lastRenderedPageBreak/>
        <w:t xml:space="preserve">scavenging potential indicating presence of some compound responsible for this high </w:t>
      </w:r>
      <w:r w:rsidR="00BB76CC" w:rsidRPr="00E37EA2">
        <w:rPr>
          <w:rFonts w:ascii="Times New Roman" w:hAnsi="Times New Roman"/>
          <w:color w:val="000000" w:themeColor="text1"/>
          <w:sz w:val="24"/>
          <w:szCs w:val="24"/>
        </w:rPr>
        <w:t>antioxidant</w:t>
      </w:r>
      <w:r w:rsidRPr="00E37EA2">
        <w:rPr>
          <w:rFonts w:ascii="Times New Roman" w:hAnsi="Times New Roman"/>
          <w:color w:val="000000" w:themeColor="text1"/>
          <w:sz w:val="24"/>
          <w:szCs w:val="24"/>
        </w:rPr>
        <w:t xml:space="preserve"> activity.</w:t>
      </w:r>
      <w:r w:rsidR="00BB76CC" w:rsidRPr="00E37EA2">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Hence, SHK was isolated from the chosen fraction and analyzed by HPLC and XRD.</w:t>
      </w:r>
    </w:p>
    <w:p w14:paraId="76FCAC5A" w14:textId="4665AB9F" w:rsidR="00E50D65" w:rsidRPr="008B33CC" w:rsidRDefault="00E50D65" w:rsidP="0008082E">
      <w:pPr>
        <w:spacing w:before="120" w:after="120" w:line="480" w:lineRule="auto"/>
        <w:jc w:val="both"/>
        <w:rPr>
          <w:rFonts w:ascii="Times New Roman" w:hAnsi="Times New Roman"/>
          <w:sz w:val="24"/>
          <w:szCs w:val="24"/>
        </w:rPr>
      </w:pPr>
      <w:r w:rsidRPr="00E37EA2">
        <w:rPr>
          <w:rFonts w:ascii="Times New Roman" w:hAnsi="Times New Roman"/>
          <w:color w:val="000000" w:themeColor="text1"/>
          <w:sz w:val="24"/>
          <w:szCs w:val="24"/>
        </w:rPr>
        <w:t xml:space="preserve">The diameter of zone of inhibition and % activity of isolated fractions </w:t>
      </w:r>
      <w:proofErr w:type="gramStart"/>
      <w:r w:rsidRPr="00E37EA2">
        <w:rPr>
          <w:rFonts w:ascii="Times New Roman" w:hAnsi="Times New Roman"/>
          <w:color w:val="000000" w:themeColor="text1"/>
          <w:sz w:val="24"/>
          <w:szCs w:val="24"/>
        </w:rPr>
        <w:t>are</w:t>
      </w:r>
      <w:proofErr w:type="gramEnd"/>
      <w:r w:rsidRPr="00E37EA2">
        <w:rPr>
          <w:rFonts w:ascii="Times New Roman" w:hAnsi="Times New Roman"/>
          <w:color w:val="000000" w:themeColor="text1"/>
          <w:sz w:val="24"/>
          <w:szCs w:val="24"/>
        </w:rPr>
        <w:t xml:space="preserve"> summarized in </w:t>
      </w:r>
      <w:r w:rsidRPr="008B33CC">
        <w:rPr>
          <w:rFonts w:ascii="Times New Roman" w:hAnsi="Times New Roman"/>
          <w:sz w:val="24"/>
          <w:szCs w:val="24"/>
        </w:rPr>
        <w:t xml:space="preserve">Table </w:t>
      </w:r>
      <w:r w:rsidR="008B7F52">
        <w:rPr>
          <w:rFonts w:ascii="Times New Roman" w:hAnsi="Times New Roman"/>
          <w:sz w:val="24"/>
          <w:szCs w:val="24"/>
        </w:rPr>
        <w:t xml:space="preserve">1 </w:t>
      </w:r>
      <w:r w:rsidR="004D787C" w:rsidRPr="008B33CC">
        <w:rPr>
          <w:rFonts w:ascii="Times New Roman" w:hAnsi="Times New Roman"/>
          <w:sz w:val="24"/>
          <w:szCs w:val="24"/>
        </w:rPr>
        <w:t>and Figure 1</w:t>
      </w:r>
      <w:r w:rsidRPr="008B33CC">
        <w:rPr>
          <w:rFonts w:ascii="Times New Roman" w:hAnsi="Times New Roman"/>
          <w:sz w:val="24"/>
          <w:szCs w:val="24"/>
        </w:rPr>
        <w:t xml:space="preserve">. </w:t>
      </w:r>
    </w:p>
    <w:p w14:paraId="0612A728" w14:textId="55170C05" w:rsidR="00A872F0" w:rsidRPr="00E37EA2" w:rsidRDefault="00A872F0"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t xml:space="preserve">Table </w:t>
      </w:r>
      <w:r w:rsidR="008B7F52">
        <w:rPr>
          <w:rFonts w:ascii="Times New Roman" w:hAnsi="Times New Roman"/>
          <w:b/>
          <w:color w:val="000000" w:themeColor="text1"/>
          <w:sz w:val="24"/>
          <w:szCs w:val="24"/>
        </w:rPr>
        <w:t>1</w:t>
      </w:r>
      <w:r w:rsidRPr="00E37EA2">
        <w:rPr>
          <w:rFonts w:ascii="Times New Roman" w:hAnsi="Times New Roman"/>
          <w:b/>
          <w:color w:val="000000" w:themeColor="text1"/>
          <w:sz w:val="24"/>
          <w:szCs w:val="24"/>
        </w:rPr>
        <w:t xml:space="preserve">:  </w:t>
      </w:r>
      <w:r w:rsidRPr="00E37EA2">
        <w:rPr>
          <w:rFonts w:ascii="Times New Roman" w:hAnsi="Times New Roman"/>
          <w:color w:val="000000" w:themeColor="text1"/>
          <w:sz w:val="24"/>
          <w:szCs w:val="24"/>
        </w:rPr>
        <w:t>Zones of inhibition and percent inhibition of various isolated fractions against common pathogens</w:t>
      </w:r>
    </w:p>
    <w:tbl>
      <w:tblPr>
        <w:tblStyle w:val="TableGrid"/>
        <w:tblW w:w="4865" w:type="pct"/>
        <w:tblLook w:val="04A0" w:firstRow="1" w:lastRow="0" w:firstColumn="1" w:lastColumn="0" w:noHBand="0" w:noVBand="1"/>
      </w:tblPr>
      <w:tblGrid>
        <w:gridCol w:w="1630"/>
        <w:gridCol w:w="1244"/>
        <w:gridCol w:w="1248"/>
        <w:gridCol w:w="1217"/>
        <w:gridCol w:w="1271"/>
        <w:gridCol w:w="1244"/>
        <w:gridCol w:w="1244"/>
      </w:tblGrid>
      <w:tr w:rsidR="00A2698A" w:rsidRPr="00A872F0" w14:paraId="0A770203" w14:textId="77777777" w:rsidTr="002C554B">
        <w:trPr>
          <w:trHeight w:val="523"/>
        </w:trPr>
        <w:tc>
          <w:tcPr>
            <w:tcW w:w="853" w:type="pct"/>
            <w:tcBorders>
              <w:top w:val="single" w:sz="4" w:space="0" w:color="000000"/>
              <w:left w:val="single" w:sz="4" w:space="0" w:color="000000"/>
              <w:bottom w:val="single" w:sz="4" w:space="0" w:color="000000"/>
              <w:right w:val="single" w:sz="4" w:space="0" w:color="000000"/>
            </w:tcBorders>
            <w:hideMark/>
          </w:tcPr>
          <w:p w14:paraId="3098BC14"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Microbial Strains</w:t>
            </w:r>
          </w:p>
        </w:tc>
        <w:tc>
          <w:tcPr>
            <w:tcW w:w="1380" w:type="pct"/>
            <w:gridSpan w:val="2"/>
            <w:tcBorders>
              <w:top w:val="single" w:sz="4" w:space="0" w:color="000000"/>
              <w:left w:val="single" w:sz="4" w:space="0" w:color="000000"/>
              <w:bottom w:val="single" w:sz="4" w:space="0" w:color="000000"/>
              <w:right w:val="single" w:sz="4" w:space="0" w:color="000000"/>
            </w:tcBorders>
            <w:hideMark/>
          </w:tcPr>
          <w:p w14:paraId="6E74179D"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i/>
                <w:color w:val="000000" w:themeColor="text1"/>
                <w:sz w:val="24"/>
                <w:szCs w:val="24"/>
              </w:rPr>
              <w:t>Escherichia coli</w:t>
            </w:r>
            <w:r w:rsidRPr="00A872F0">
              <w:rPr>
                <w:rFonts w:ascii="Times New Roman" w:hAnsi="Times New Roman"/>
                <w:b/>
                <w:color w:val="000000" w:themeColor="text1"/>
                <w:sz w:val="24"/>
                <w:szCs w:val="24"/>
              </w:rPr>
              <w:t xml:space="preserve"> </w:t>
            </w:r>
          </w:p>
          <w:p w14:paraId="76BAE5C2"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 xml:space="preserve">(MTCC 119) </w:t>
            </w:r>
          </w:p>
        </w:tc>
        <w:tc>
          <w:tcPr>
            <w:tcW w:w="1377" w:type="pct"/>
            <w:gridSpan w:val="2"/>
            <w:tcBorders>
              <w:top w:val="single" w:sz="4" w:space="0" w:color="000000"/>
              <w:left w:val="single" w:sz="4" w:space="0" w:color="000000"/>
              <w:bottom w:val="single" w:sz="4" w:space="0" w:color="000000"/>
              <w:right w:val="single" w:sz="4" w:space="0" w:color="000000"/>
            </w:tcBorders>
            <w:hideMark/>
          </w:tcPr>
          <w:p w14:paraId="7B0D29E6" w14:textId="77777777" w:rsidR="00A2698A" w:rsidRPr="00A872F0" w:rsidRDefault="00A2698A" w:rsidP="002C554B">
            <w:pPr>
              <w:spacing w:before="120" w:after="120" w:line="360" w:lineRule="auto"/>
              <w:jc w:val="both"/>
              <w:rPr>
                <w:rFonts w:ascii="Times New Roman" w:hAnsi="Times New Roman"/>
                <w:b/>
                <w:i/>
                <w:color w:val="000000" w:themeColor="text1"/>
                <w:sz w:val="24"/>
                <w:szCs w:val="24"/>
              </w:rPr>
            </w:pPr>
            <w:r w:rsidRPr="00A872F0">
              <w:rPr>
                <w:rFonts w:ascii="Times New Roman" w:hAnsi="Times New Roman"/>
                <w:b/>
                <w:i/>
                <w:color w:val="000000" w:themeColor="text1"/>
                <w:sz w:val="24"/>
                <w:szCs w:val="24"/>
              </w:rPr>
              <w:t>Staphylococcus</w:t>
            </w:r>
          </w:p>
          <w:p w14:paraId="430D6872"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i/>
                <w:color w:val="000000" w:themeColor="text1"/>
                <w:sz w:val="24"/>
                <w:szCs w:val="24"/>
              </w:rPr>
              <w:t>aureus</w:t>
            </w:r>
            <w:r w:rsidRPr="00A872F0">
              <w:rPr>
                <w:rFonts w:ascii="Times New Roman" w:hAnsi="Times New Roman"/>
                <w:b/>
                <w:color w:val="000000" w:themeColor="text1"/>
                <w:sz w:val="24"/>
                <w:szCs w:val="24"/>
              </w:rPr>
              <w:t xml:space="preserve"> (MTCC 740)</w:t>
            </w:r>
          </w:p>
        </w:tc>
        <w:tc>
          <w:tcPr>
            <w:tcW w:w="1388" w:type="pct"/>
            <w:gridSpan w:val="2"/>
            <w:tcBorders>
              <w:top w:val="single" w:sz="4" w:space="0" w:color="000000"/>
              <w:left w:val="single" w:sz="4" w:space="0" w:color="000000"/>
              <w:bottom w:val="single" w:sz="4" w:space="0" w:color="000000"/>
              <w:right w:val="single" w:sz="4" w:space="0" w:color="000000"/>
            </w:tcBorders>
            <w:hideMark/>
          </w:tcPr>
          <w:p w14:paraId="746CBC0C"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i/>
                <w:color w:val="000000" w:themeColor="text1"/>
                <w:sz w:val="24"/>
                <w:szCs w:val="24"/>
              </w:rPr>
              <w:t>Candida albicans</w:t>
            </w:r>
            <w:r w:rsidRPr="00A872F0">
              <w:rPr>
                <w:rFonts w:ascii="Times New Roman" w:hAnsi="Times New Roman"/>
                <w:b/>
                <w:color w:val="000000" w:themeColor="text1"/>
                <w:sz w:val="24"/>
                <w:szCs w:val="24"/>
              </w:rPr>
              <w:t xml:space="preserve"> (MTCC 227)</w:t>
            </w:r>
          </w:p>
        </w:tc>
      </w:tr>
      <w:tr w:rsidR="00A2698A" w:rsidRPr="00A872F0" w14:paraId="5AD44DD7" w14:textId="77777777" w:rsidTr="002C554B">
        <w:trPr>
          <w:trHeight w:val="786"/>
        </w:trPr>
        <w:tc>
          <w:tcPr>
            <w:tcW w:w="853" w:type="pct"/>
            <w:tcBorders>
              <w:top w:val="single" w:sz="4" w:space="0" w:color="000000"/>
              <w:left w:val="single" w:sz="4" w:space="0" w:color="000000"/>
              <w:bottom w:val="single" w:sz="4" w:space="0" w:color="000000"/>
              <w:right w:val="single" w:sz="4" w:space="0" w:color="000000"/>
            </w:tcBorders>
          </w:tcPr>
          <w:p w14:paraId="1294E51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p>
          <w:p w14:paraId="75246496"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b/>
                <w:color w:val="000000" w:themeColor="text1"/>
                <w:sz w:val="24"/>
                <w:szCs w:val="24"/>
              </w:rPr>
              <w:t xml:space="preserve">    Fractions</w:t>
            </w:r>
          </w:p>
        </w:tc>
        <w:tc>
          <w:tcPr>
            <w:tcW w:w="651" w:type="pct"/>
            <w:tcBorders>
              <w:top w:val="single" w:sz="4" w:space="0" w:color="000000"/>
              <w:left w:val="single" w:sz="4" w:space="0" w:color="000000"/>
              <w:bottom w:val="single" w:sz="4" w:space="0" w:color="000000"/>
              <w:right w:val="single" w:sz="4" w:space="0" w:color="000000"/>
            </w:tcBorders>
            <w:hideMark/>
          </w:tcPr>
          <w:p w14:paraId="1033BD2A"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Zone of Inhibition</w:t>
            </w:r>
          </w:p>
          <w:p w14:paraId="2BECB2AD"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(mm)</w:t>
            </w:r>
          </w:p>
        </w:tc>
        <w:tc>
          <w:tcPr>
            <w:tcW w:w="729" w:type="pct"/>
            <w:tcBorders>
              <w:top w:val="single" w:sz="4" w:space="0" w:color="000000"/>
              <w:left w:val="single" w:sz="4" w:space="0" w:color="000000"/>
              <w:bottom w:val="single" w:sz="4" w:space="0" w:color="000000"/>
              <w:right w:val="single" w:sz="4" w:space="0" w:color="000000"/>
            </w:tcBorders>
            <w:hideMark/>
          </w:tcPr>
          <w:p w14:paraId="328F5617"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 Inhibition</w:t>
            </w:r>
          </w:p>
          <w:p w14:paraId="3FE66F85"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Activity</w:t>
            </w:r>
          </w:p>
        </w:tc>
        <w:tc>
          <w:tcPr>
            <w:tcW w:w="636" w:type="pct"/>
            <w:tcBorders>
              <w:top w:val="single" w:sz="4" w:space="0" w:color="000000"/>
              <w:left w:val="single" w:sz="4" w:space="0" w:color="000000"/>
              <w:bottom w:val="single" w:sz="4" w:space="0" w:color="000000"/>
              <w:right w:val="single" w:sz="4" w:space="0" w:color="000000"/>
            </w:tcBorders>
            <w:hideMark/>
          </w:tcPr>
          <w:p w14:paraId="06511FE1"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Zone of inhibition</w:t>
            </w:r>
          </w:p>
          <w:p w14:paraId="7140B70E"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(mm)</w:t>
            </w:r>
          </w:p>
        </w:tc>
        <w:tc>
          <w:tcPr>
            <w:tcW w:w="741" w:type="pct"/>
            <w:tcBorders>
              <w:top w:val="single" w:sz="4" w:space="0" w:color="000000"/>
              <w:left w:val="single" w:sz="4" w:space="0" w:color="000000"/>
              <w:bottom w:val="single" w:sz="4" w:space="0" w:color="000000"/>
              <w:right w:val="single" w:sz="4" w:space="0" w:color="000000"/>
            </w:tcBorders>
            <w:hideMark/>
          </w:tcPr>
          <w:p w14:paraId="5ABB7664"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 Inhibition</w:t>
            </w:r>
          </w:p>
          <w:p w14:paraId="64B9C027"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Activity</w:t>
            </w:r>
          </w:p>
        </w:tc>
        <w:tc>
          <w:tcPr>
            <w:tcW w:w="692" w:type="pct"/>
            <w:tcBorders>
              <w:top w:val="single" w:sz="4" w:space="0" w:color="000000"/>
              <w:left w:val="single" w:sz="4" w:space="0" w:color="000000"/>
              <w:bottom w:val="single" w:sz="4" w:space="0" w:color="000000"/>
              <w:right w:val="single" w:sz="4" w:space="0" w:color="000000"/>
            </w:tcBorders>
            <w:hideMark/>
          </w:tcPr>
          <w:p w14:paraId="450D929A"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Zone of Inhibition</w:t>
            </w:r>
          </w:p>
          <w:p w14:paraId="34BDF025"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(mm)</w:t>
            </w:r>
          </w:p>
        </w:tc>
        <w:tc>
          <w:tcPr>
            <w:tcW w:w="696" w:type="pct"/>
            <w:tcBorders>
              <w:top w:val="single" w:sz="4" w:space="0" w:color="000000"/>
              <w:left w:val="single" w:sz="4" w:space="0" w:color="000000"/>
              <w:bottom w:val="single" w:sz="4" w:space="0" w:color="000000"/>
              <w:right w:val="single" w:sz="4" w:space="0" w:color="000000"/>
            </w:tcBorders>
            <w:hideMark/>
          </w:tcPr>
          <w:p w14:paraId="75B278E1"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 Inhibition Activity</w:t>
            </w:r>
          </w:p>
        </w:tc>
      </w:tr>
      <w:tr w:rsidR="00A2698A" w:rsidRPr="00A872F0" w14:paraId="4BB3F930" w14:textId="77777777" w:rsidTr="002C554B">
        <w:trPr>
          <w:trHeight w:val="221"/>
        </w:trPr>
        <w:tc>
          <w:tcPr>
            <w:tcW w:w="853" w:type="pct"/>
            <w:tcBorders>
              <w:top w:val="single" w:sz="4" w:space="0" w:color="000000"/>
              <w:left w:val="single" w:sz="4" w:space="0" w:color="000000"/>
              <w:bottom w:val="single" w:sz="4" w:space="0" w:color="000000"/>
              <w:right w:val="single" w:sz="4" w:space="0" w:color="000000"/>
            </w:tcBorders>
            <w:hideMark/>
          </w:tcPr>
          <w:p w14:paraId="1DBB25EC"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I</w:t>
            </w:r>
          </w:p>
        </w:tc>
        <w:tc>
          <w:tcPr>
            <w:tcW w:w="651" w:type="pct"/>
            <w:tcBorders>
              <w:top w:val="single" w:sz="4" w:space="0" w:color="000000"/>
              <w:left w:val="single" w:sz="4" w:space="0" w:color="000000"/>
              <w:bottom w:val="single" w:sz="4" w:space="0" w:color="000000"/>
              <w:right w:val="single" w:sz="4" w:space="0" w:color="000000"/>
            </w:tcBorders>
            <w:hideMark/>
          </w:tcPr>
          <w:p w14:paraId="2FAA8908"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29" w:type="pct"/>
            <w:tcBorders>
              <w:top w:val="single" w:sz="4" w:space="0" w:color="000000"/>
              <w:left w:val="single" w:sz="4" w:space="0" w:color="000000"/>
              <w:bottom w:val="single" w:sz="4" w:space="0" w:color="000000"/>
              <w:right w:val="single" w:sz="4" w:space="0" w:color="000000"/>
            </w:tcBorders>
            <w:hideMark/>
          </w:tcPr>
          <w:p w14:paraId="3C57B785"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36" w:type="pct"/>
            <w:tcBorders>
              <w:top w:val="single" w:sz="4" w:space="0" w:color="000000"/>
              <w:left w:val="single" w:sz="4" w:space="0" w:color="000000"/>
              <w:bottom w:val="single" w:sz="4" w:space="0" w:color="000000"/>
              <w:right w:val="single" w:sz="4" w:space="0" w:color="000000"/>
            </w:tcBorders>
            <w:hideMark/>
          </w:tcPr>
          <w:p w14:paraId="0C284B53"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41" w:type="pct"/>
            <w:tcBorders>
              <w:top w:val="single" w:sz="4" w:space="0" w:color="000000"/>
              <w:left w:val="single" w:sz="4" w:space="0" w:color="000000"/>
              <w:bottom w:val="single" w:sz="4" w:space="0" w:color="000000"/>
              <w:right w:val="single" w:sz="4" w:space="0" w:color="000000"/>
            </w:tcBorders>
            <w:hideMark/>
          </w:tcPr>
          <w:p w14:paraId="00DE791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2" w:type="pct"/>
            <w:tcBorders>
              <w:top w:val="single" w:sz="4" w:space="0" w:color="000000"/>
              <w:left w:val="single" w:sz="4" w:space="0" w:color="000000"/>
              <w:bottom w:val="single" w:sz="4" w:space="0" w:color="000000"/>
              <w:right w:val="single" w:sz="4" w:space="0" w:color="000000"/>
            </w:tcBorders>
            <w:hideMark/>
          </w:tcPr>
          <w:p w14:paraId="71D8E55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6" w:type="pct"/>
            <w:tcBorders>
              <w:top w:val="single" w:sz="4" w:space="0" w:color="000000"/>
              <w:left w:val="single" w:sz="4" w:space="0" w:color="000000"/>
              <w:bottom w:val="single" w:sz="4" w:space="0" w:color="000000"/>
              <w:right w:val="single" w:sz="4" w:space="0" w:color="000000"/>
            </w:tcBorders>
            <w:hideMark/>
          </w:tcPr>
          <w:p w14:paraId="28E3F17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r>
      <w:tr w:rsidR="00A2698A" w:rsidRPr="00A872F0" w14:paraId="7D2293B6" w14:textId="77777777" w:rsidTr="002C554B">
        <w:trPr>
          <w:trHeight w:val="204"/>
        </w:trPr>
        <w:tc>
          <w:tcPr>
            <w:tcW w:w="853" w:type="pct"/>
            <w:tcBorders>
              <w:top w:val="single" w:sz="4" w:space="0" w:color="000000"/>
              <w:left w:val="single" w:sz="4" w:space="0" w:color="000000"/>
              <w:bottom w:val="single" w:sz="4" w:space="0" w:color="000000"/>
              <w:right w:val="single" w:sz="4" w:space="0" w:color="000000"/>
            </w:tcBorders>
            <w:hideMark/>
          </w:tcPr>
          <w:p w14:paraId="526B89CB"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II</w:t>
            </w:r>
          </w:p>
        </w:tc>
        <w:tc>
          <w:tcPr>
            <w:tcW w:w="651" w:type="pct"/>
            <w:tcBorders>
              <w:top w:val="single" w:sz="4" w:space="0" w:color="000000"/>
              <w:left w:val="single" w:sz="4" w:space="0" w:color="000000"/>
              <w:bottom w:val="single" w:sz="4" w:space="0" w:color="000000"/>
              <w:right w:val="single" w:sz="4" w:space="0" w:color="000000"/>
            </w:tcBorders>
            <w:hideMark/>
          </w:tcPr>
          <w:p w14:paraId="0292050B"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12.7±0.15</w:t>
            </w:r>
          </w:p>
        </w:tc>
        <w:tc>
          <w:tcPr>
            <w:tcW w:w="729" w:type="pct"/>
            <w:tcBorders>
              <w:top w:val="single" w:sz="4" w:space="0" w:color="000000"/>
              <w:left w:val="single" w:sz="4" w:space="0" w:color="000000"/>
              <w:bottom w:val="single" w:sz="4" w:space="0" w:color="000000"/>
              <w:right w:val="single" w:sz="4" w:space="0" w:color="000000"/>
            </w:tcBorders>
            <w:hideMark/>
          </w:tcPr>
          <w:p w14:paraId="36D837B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59.91</w:t>
            </w:r>
          </w:p>
        </w:tc>
        <w:tc>
          <w:tcPr>
            <w:tcW w:w="636" w:type="pct"/>
            <w:tcBorders>
              <w:top w:val="single" w:sz="4" w:space="0" w:color="000000"/>
              <w:left w:val="single" w:sz="4" w:space="0" w:color="000000"/>
              <w:bottom w:val="single" w:sz="4" w:space="0" w:color="000000"/>
              <w:right w:val="single" w:sz="4" w:space="0" w:color="000000"/>
            </w:tcBorders>
            <w:hideMark/>
          </w:tcPr>
          <w:p w14:paraId="1FDEFEBE"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41" w:type="pct"/>
            <w:tcBorders>
              <w:top w:val="single" w:sz="4" w:space="0" w:color="000000"/>
              <w:left w:val="single" w:sz="4" w:space="0" w:color="000000"/>
              <w:bottom w:val="single" w:sz="4" w:space="0" w:color="000000"/>
              <w:right w:val="single" w:sz="4" w:space="0" w:color="000000"/>
            </w:tcBorders>
            <w:hideMark/>
          </w:tcPr>
          <w:p w14:paraId="48DF8887"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2" w:type="pct"/>
            <w:tcBorders>
              <w:top w:val="single" w:sz="4" w:space="0" w:color="000000"/>
              <w:left w:val="single" w:sz="4" w:space="0" w:color="000000"/>
              <w:bottom w:val="single" w:sz="4" w:space="0" w:color="000000"/>
              <w:right w:val="single" w:sz="4" w:space="0" w:color="000000"/>
            </w:tcBorders>
            <w:hideMark/>
          </w:tcPr>
          <w:p w14:paraId="42858426"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2.7±0.06</w:t>
            </w:r>
          </w:p>
        </w:tc>
        <w:tc>
          <w:tcPr>
            <w:tcW w:w="696" w:type="pct"/>
            <w:tcBorders>
              <w:top w:val="single" w:sz="4" w:space="0" w:color="000000"/>
              <w:left w:val="single" w:sz="4" w:space="0" w:color="000000"/>
              <w:bottom w:val="single" w:sz="4" w:space="0" w:color="000000"/>
              <w:right w:val="single" w:sz="4" w:space="0" w:color="000000"/>
            </w:tcBorders>
            <w:hideMark/>
          </w:tcPr>
          <w:p w14:paraId="172B8F3B"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12.44</w:t>
            </w:r>
          </w:p>
        </w:tc>
      </w:tr>
      <w:tr w:rsidR="00A2698A" w:rsidRPr="00A872F0" w14:paraId="64A78348" w14:textId="77777777" w:rsidTr="002C554B">
        <w:trPr>
          <w:trHeight w:val="280"/>
        </w:trPr>
        <w:tc>
          <w:tcPr>
            <w:tcW w:w="853" w:type="pct"/>
            <w:tcBorders>
              <w:top w:val="single" w:sz="4" w:space="0" w:color="000000"/>
              <w:left w:val="single" w:sz="4" w:space="0" w:color="000000"/>
              <w:bottom w:val="single" w:sz="4" w:space="0" w:color="000000"/>
              <w:right w:val="single" w:sz="4" w:space="0" w:color="000000"/>
            </w:tcBorders>
            <w:hideMark/>
          </w:tcPr>
          <w:p w14:paraId="32899FAF"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III</w:t>
            </w:r>
          </w:p>
        </w:tc>
        <w:tc>
          <w:tcPr>
            <w:tcW w:w="651" w:type="pct"/>
            <w:tcBorders>
              <w:top w:val="single" w:sz="4" w:space="0" w:color="000000"/>
              <w:left w:val="single" w:sz="4" w:space="0" w:color="000000"/>
              <w:bottom w:val="single" w:sz="4" w:space="0" w:color="000000"/>
              <w:right w:val="single" w:sz="4" w:space="0" w:color="000000"/>
            </w:tcBorders>
            <w:hideMark/>
          </w:tcPr>
          <w:p w14:paraId="64BFCC12"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4.6±0.25</w:t>
            </w:r>
          </w:p>
        </w:tc>
        <w:tc>
          <w:tcPr>
            <w:tcW w:w="729" w:type="pct"/>
            <w:tcBorders>
              <w:top w:val="single" w:sz="4" w:space="0" w:color="000000"/>
              <w:left w:val="single" w:sz="4" w:space="0" w:color="000000"/>
              <w:bottom w:val="single" w:sz="4" w:space="0" w:color="000000"/>
              <w:right w:val="single" w:sz="4" w:space="0" w:color="000000"/>
            </w:tcBorders>
            <w:hideMark/>
          </w:tcPr>
          <w:p w14:paraId="2D04C407"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21.69</w:t>
            </w:r>
          </w:p>
        </w:tc>
        <w:tc>
          <w:tcPr>
            <w:tcW w:w="636" w:type="pct"/>
            <w:tcBorders>
              <w:top w:val="single" w:sz="4" w:space="0" w:color="000000"/>
              <w:left w:val="single" w:sz="4" w:space="0" w:color="000000"/>
              <w:bottom w:val="single" w:sz="4" w:space="0" w:color="000000"/>
              <w:right w:val="single" w:sz="4" w:space="0" w:color="000000"/>
            </w:tcBorders>
            <w:hideMark/>
          </w:tcPr>
          <w:p w14:paraId="2AE11331"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41" w:type="pct"/>
            <w:tcBorders>
              <w:top w:val="single" w:sz="4" w:space="0" w:color="000000"/>
              <w:left w:val="single" w:sz="4" w:space="0" w:color="000000"/>
              <w:bottom w:val="single" w:sz="4" w:space="0" w:color="000000"/>
              <w:right w:val="single" w:sz="4" w:space="0" w:color="000000"/>
            </w:tcBorders>
            <w:hideMark/>
          </w:tcPr>
          <w:p w14:paraId="17A9FFB1"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2" w:type="pct"/>
            <w:tcBorders>
              <w:top w:val="single" w:sz="4" w:space="0" w:color="000000"/>
              <w:left w:val="single" w:sz="4" w:space="0" w:color="000000"/>
              <w:bottom w:val="single" w:sz="4" w:space="0" w:color="000000"/>
              <w:right w:val="single" w:sz="4" w:space="0" w:color="000000"/>
            </w:tcBorders>
            <w:hideMark/>
          </w:tcPr>
          <w:p w14:paraId="6FC2E85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1.6±0.15</w:t>
            </w:r>
          </w:p>
        </w:tc>
        <w:tc>
          <w:tcPr>
            <w:tcW w:w="696" w:type="pct"/>
            <w:tcBorders>
              <w:top w:val="single" w:sz="4" w:space="0" w:color="000000"/>
              <w:left w:val="single" w:sz="4" w:space="0" w:color="000000"/>
              <w:bottom w:val="single" w:sz="4" w:space="0" w:color="000000"/>
              <w:right w:val="single" w:sz="4" w:space="0" w:color="000000"/>
            </w:tcBorders>
            <w:hideMark/>
          </w:tcPr>
          <w:p w14:paraId="23573C0D"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7.37</w:t>
            </w:r>
          </w:p>
        </w:tc>
      </w:tr>
      <w:tr w:rsidR="00A2698A" w:rsidRPr="00A872F0" w14:paraId="172C4868" w14:textId="77777777" w:rsidTr="002C554B">
        <w:trPr>
          <w:trHeight w:val="238"/>
        </w:trPr>
        <w:tc>
          <w:tcPr>
            <w:tcW w:w="853" w:type="pct"/>
            <w:tcBorders>
              <w:top w:val="single" w:sz="4" w:space="0" w:color="000000"/>
              <w:left w:val="single" w:sz="4" w:space="0" w:color="000000"/>
              <w:bottom w:val="single" w:sz="4" w:space="0" w:color="000000"/>
              <w:right w:val="single" w:sz="4" w:space="0" w:color="000000"/>
            </w:tcBorders>
            <w:hideMark/>
          </w:tcPr>
          <w:p w14:paraId="096442B7"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IV</w:t>
            </w:r>
          </w:p>
        </w:tc>
        <w:tc>
          <w:tcPr>
            <w:tcW w:w="651" w:type="pct"/>
            <w:tcBorders>
              <w:top w:val="single" w:sz="4" w:space="0" w:color="000000"/>
              <w:left w:val="single" w:sz="4" w:space="0" w:color="000000"/>
              <w:bottom w:val="single" w:sz="4" w:space="0" w:color="000000"/>
              <w:right w:val="single" w:sz="4" w:space="0" w:color="000000"/>
            </w:tcBorders>
            <w:hideMark/>
          </w:tcPr>
          <w:p w14:paraId="66602CF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12.4±0.30</w:t>
            </w:r>
          </w:p>
        </w:tc>
        <w:tc>
          <w:tcPr>
            <w:tcW w:w="729" w:type="pct"/>
            <w:tcBorders>
              <w:top w:val="single" w:sz="4" w:space="0" w:color="000000"/>
              <w:left w:val="single" w:sz="4" w:space="0" w:color="000000"/>
              <w:bottom w:val="single" w:sz="4" w:space="0" w:color="000000"/>
              <w:right w:val="single" w:sz="4" w:space="0" w:color="000000"/>
            </w:tcBorders>
            <w:hideMark/>
          </w:tcPr>
          <w:p w14:paraId="12AABCD4"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58.49</w:t>
            </w:r>
          </w:p>
        </w:tc>
        <w:tc>
          <w:tcPr>
            <w:tcW w:w="636" w:type="pct"/>
            <w:tcBorders>
              <w:top w:val="single" w:sz="4" w:space="0" w:color="000000"/>
              <w:left w:val="single" w:sz="4" w:space="0" w:color="000000"/>
              <w:bottom w:val="single" w:sz="4" w:space="0" w:color="000000"/>
              <w:right w:val="single" w:sz="4" w:space="0" w:color="000000"/>
            </w:tcBorders>
            <w:hideMark/>
          </w:tcPr>
          <w:p w14:paraId="3B1ADF77"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2.5±0.05</w:t>
            </w:r>
          </w:p>
        </w:tc>
        <w:tc>
          <w:tcPr>
            <w:tcW w:w="741" w:type="pct"/>
            <w:tcBorders>
              <w:top w:val="single" w:sz="4" w:space="0" w:color="000000"/>
              <w:left w:val="single" w:sz="4" w:space="0" w:color="000000"/>
              <w:bottom w:val="single" w:sz="4" w:space="0" w:color="000000"/>
              <w:right w:val="single" w:sz="4" w:space="0" w:color="000000"/>
            </w:tcBorders>
            <w:hideMark/>
          </w:tcPr>
          <w:p w14:paraId="10FBB8E4"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10.96</w:t>
            </w:r>
          </w:p>
        </w:tc>
        <w:tc>
          <w:tcPr>
            <w:tcW w:w="692" w:type="pct"/>
            <w:tcBorders>
              <w:top w:val="single" w:sz="4" w:space="0" w:color="000000"/>
              <w:left w:val="single" w:sz="4" w:space="0" w:color="000000"/>
              <w:bottom w:val="single" w:sz="4" w:space="0" w:color="000000"/>
              <w:right w:val="single" w:sz="4" w:space="0" w:color="000000"/>
            </w:tcBorders>
            <w:hideMark/>
          </w:tcPr>
          <w:p w14:paraId="23F0C272"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2.8±0.05</w:t>
            </w:r>
          </w:p>
        </w:tc>
        <w:tc>
          <w:tcPr>
            <w:tcW w:w="696" w:type="pct"/>
            <w:tcBorders>
              <w:top w:val="single" w:sz="4" w:space="0" w:color="000000"/>
              <w:left w:val="single" w:sz="4" w:space="0" w:color="000000"/>
              <w:bottom w:val="single" w:sz="4" w:space="0" w:color="000000"/>
              <w:right w:val="single" w:sz="4" w:space="0" w:color="000000"/>
            </w:tcBorders>
            <w:hideMark/>
          </w:tcPr>
          <w:p w14:paraId="66604B0E"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12.90</w:t>
            </w:r>
          </w:p>
        </w:tc>
      </w:tr>
      <w:tr w:rsidR="00A2698A" w:rsidRPr="00A872F0" w14:paraId="6984BE06" w14:textId="77777777" w:rsidTr="002C554B">
        <w:trPr>
          <w:trHeight w:val="229"/>
        </w:trPr>
        <w:tc>
          <w:tcPr>
            <w:tcW w:w="853" w:type="pct"/>
            <w:tcBorders>
              <w:top w:val="single" w:sz="4" w:space="0" w:color="000000"/>
              <w:left w:val="single" w:sz="4" w:space="0" w:color="000000"/>
              <w:bottom w:val="single" w:sz="4" w:space="0" w:color="000000"/>
              <w:right w:val="single" w:sz="4" w:space="0" w:color="000000"/>
            </w:tcBorders>
            <w:hideMark/>
          </w:tcPr>
          <w:p w14:paraId="18E27BF9"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V</w:t>
            </w:r>
          </w:p>
        </w:tc>
        <w:tc>
          <w:tcPr>
            <w:tcW w:w="651" w:type="pct"/>
            <w:tcBorders>
              <w:top w:val="single" w:sz="4" w:space="0" w:color="000000"/>
              <w:left w:val="single" w:sz="4" w:space="0" w:color="000000"/>
              <w:bottom w:val="single" w:sz="4" w:space="0" w:color="000000"/>
              <w:right w:val="single" w:sz="4" w:space="0" w:color="000000"/>
            </w:tcBorders>
            <w:hideMark/>
          </w:tcPr>
          <w:p w14:paraId="43BAD028"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8.6±0.15</w:t>
            </w:r>
          </w:p>
        </w:tc>
        <w:tc>
          <w:tcPr>
            <w:tcW w:w="729" w:type="pct"/>
            <w:tcBorders>
              <w:top w:val="single" w:sz="4" w:space="0" w:color="000000"/>
              <w:left w:val="single" w:sz="4" w:space="0" w:color="000000"/>
              <w:bottom w:val="single" w:sz="4" w:space="0" w:color="000000"/>
              <w:right w:val="single" w:sz="4" w:space="0" w:color="000000"/>
            </w:tcBorders>
            <w:hideMark/>
          </w:tcPr>
          <w:p w14:paraId="70D05A0E"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40.56</w:t>
            </w:r>
          </w:p>
        </w:tc>
        <w:tc>
          <w:tcPr>
            <w:tcW w:w="636" w:type="pct"/>
            <w:tcBorders>
              <w:top w:val="single" w:sz="4" w:space="0" w:color="000000"/>
              <w:left w:val="single" w:sz="4" w:space="0" w:color="000000"/>
              <w:bottom w:val="single" w:sz="4" w:space="0" w:color="000000"/>
              <w:right w:val="single" w:sz="4" w:space="0" w:color="000000"/>
            </w:tcBorders>
            <w:hideMark/>
          </w:tcPr>
          <w:p w14:paraId="041BCEE4"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3.9±0.11</w:t>
            </w:r>
          </w:p>
        </w:tc>
        <w:tc>
          <w:tcPr>
            <w:tcW w:w="741" w:type="pct"/>
            <w:tcBorders>
              <w:top w:val="single" w:sz="4" w:space="0" w:color="000000"/>
              <w:left w:val="single" w:sz="4" w:space="0" w:color="000000"/>
              <w:bottom w:val="single" w:sz="4" w:space="0" w:color="000000"/>
              <w:right w:val="single" w:sz="4" w:space="0" w:color="000000"/>
            </w:tcBorders>
            <w:hideMark/>
          </w:tcPr>
          <w:p w14:paraId="39DCA16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17.10</w:t>
            </w:r>
          </w:p>
        </w:tc>
        <w:tc>
          <w:tcPr>
            <w:tcW w:w="692" w:type="pct"/>
            <w:tcBorders>
              <w:top w:val="single" w:sz="4" w:space="0" w:color="000000"/>
              <w:left w:val="single" w:sz="4" w:space="0" w:color="000000"/>
              <w:bottom w:val="single" w:sz="4" w:space="0" w:color="000000"/>
              <w:right w:val="single" w:sz="4" w:space="0" w:color="000000"/>
            </w:tcBorders>
            <w:hideMark/>
          </w:tcPr>
          <w:p w14:paraId="60298699"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3.8±0.10</w:t>
            </w:r>
          </w:p>
        </w:tc>
        <w:tc>
          <w:tcPr>
            <w:tcW w:w="696" w:type="pct"/>
            <w:tcBorders>
              <w:top w:val="single" w:sz="4" w:space="0" w:color="000000"/>
              <w:left w:val="single" w:sz="4" w:space="0" w:color="000000"/>
              <w:bottom w:val="single" w:sz="4" w:space="0" w:color="000000"/>
              <w:right w:val="single" w:sz="4" w:space="0" w:color="000000"/>
            </w:tcBorders>
            <w:hideMark/>
          </w:tcPr>
          <w:p w14:paraId="341D77A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17.51</w:t>
            </w:r>
          </w:p>
        </w:tc>
      </w:tr>
      <w:tr w:rsidR="00A2698A" w:rsidRPr="00A872F0" w14:paraId="68E52A90" w14:textId="77777777" w:rsidTr="002C554B">
        <w:trPr>
          <w:trHeight w:val="221"/>
        </w:trPr>
        <w:tc>
          <w:tcPr>
            <w:tcW w:w="853" w:type="pct"/>
            <w:tcBorders>
              <w:top w:val="single" w:sz="4" w:space="0" w:color="000000"/>
              <w:left w:val="single" w:sz="4" w:space="0" w:color="000000"/>
              <w:bottom w:val="single" w:sz="4" w:space="0" w:color="000000"/>
              <w:right w:val="single" w:sz="4" w:space="0" w:color="000000"/>
            </w:tcBorders>
            <w:hideMark/>
          </w:tcPr>
          <w:p w14:paraId="247AE365"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VI</w:t>
            </w:r>
          </w:p>
        </w:tc>
        <w:tc>
          <w:tcPr>
            <w:tcW w:w="651" w:type="pct"/>
            <w:tcBorders>
              <w:top w:val="single" w:sz="4" w:space="0" w:color="000000"/>
              <w:left w:val="single" w:sz="4" w:space="0" w:color="000000"/>
              <w:bottom w:val="single" w:sz="4" w:space="0" w:color="000000"/>
              <w:right w:val="single" w:sz="4" w:space="0" w:color="000000"/>
            </w:tcBorders>
            <w:hideMark/>
          </w:tcPr>
          <w:p w14:paraId="19724CC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7.7±0.26</w:t>
            </w:r>
          </w:p>
        </w:tc>
        <w:tc>
          <w:tcPr>
            <w:tcW w:w="729" w:type="pct"/>
            <w:tcBorders>
              <w:top w:val="single" w:sz="4" w:space="0" w:color="000000"/>
              <w:left w:val="single" w:sz="4" w:space="0" w:color="000000"/>
              <w:bottom w:val="single" w:sz="4" w:space="0" w:color="000000"/>
              <w:right w:val="single" w:sz="4" w:space="0" w:color="000000"/>
            </w:tcBorders>
            <w:hideMark/>
          </w:tcPr>
          <w:p w14:paraId="50F8DCF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36.32</w:t>
            </w:r>
          </w:p>
        </w:tc>
        <w:tc>
          <w:tcPr>
            <w:tcW w:w="636" w:type="pct"/>
            <w:tcBorders>
              <w:top w:val="single" w:sz="4" w:space="0" w:color="000000"/>
              <w:left w:val="single" w:sz="4" w:space="0" w:color="000000"/>
              <w:bottom w:val="single" w:sz="4" w:space="0" w:color="000000"/>
              <w:right w:val="single" w:sz="4" w:space="0" w:color="000000"/>
            </w:tcBorders>
            <w:hideMark/>
          </w:tcPr>
          <w:p w14:paraId="7640D12E"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4.2±0.21</w:t>
            </w:r>
          </w:p>
        </w:tc>
        <w:tc>
          <w:tcPr>
            <w:tcW w:w="741" w:type="pct"/>
            <w:tcBorders>
              <w:top w:val="single" w:sz="4" w:space="0" w:color="000000"/>
              <w:left w:val="single" w:sz="4" w:space="0" w:color="000000"/>
              <w:bottom w:val="single" w:sz="4" w:space="0" w:color="000000"/>
              <w:right w:val="single" w:sz="4" w:space="0" w:color="000000"/>
            </w:tcBorders>
            <w:hideMark/>
          </w:tcPr>
          <w:p w14:paraId="2FA5C46D"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18.42</w:t>
            </w:r>
          </w:p>
        </w:tc>
        <w:tc>
          <w:tcPr>
            <w:tcW w:w="692" w:type="pct"/>
            <w:tcBorders>
              <w:top w:val="single" w:sz="4" w:space="0" w:color="000000"/>
              <w:left w:val="single" w:sz="4" w:space="0" w:color="000000"/>
              <w:bottom w:val="single" w:sz="4" w:space="0" w:color="000000"/>
              <w:right w:val="single" w:sz="4" w:space="0" w:color="000000"/>
            </w:tcBorders>
            <w:hideMark/>
          </w:tcPr>
          <w:p w14:paraId="056D670A"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3.5±0.05</w:t>
            </w:r>
          </w:p>
        </w:tc>
        <w:tc>
          <w:tcPr>
            <w:tcW w:w="696" w:type="pct"/>
            <w:tcBorders>
              <w:top w:val="single" w:sz="4" w:space="0" w:color="000000"/>
              <w:left w:val="single" w:sz="4" w:space="0" w:color="000000"/>
              <w:bottom w:val="single" w:sz="4" w:space="0" w:color="000000"/>
              <w:right w:val="single" w:sz="4" w:space="0" w:color="000000"/>
            </w:tcBorders>
            <w:hideMark/>
          </w:tcPr>
          <w:p w14:paraId="51168B27"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16.12</w:t>
            </w:r>
          </w:p>
        </w:tc>
      </w:tr>
      <w:tr w:rsidR="00A2698A" w:rsidRPr="00A872F0" w14:paraId="6D46C2CE" w14:textId="77777777" w:rsidTr="002C554B">
        <w:trPr>
          <w:trHeight w:val="204"/>
        </w:trPr>
        <w:tc>
          <w:tcPr>
            <w:tcW w:w="853" w:type="pct"/>
            <w:tcBorders>
              <w:top w:val="single" w:sz="4" w:space="0" w:color="000000"/>
              <w:left w:val="single" w:sz="4" w:space="0" w:color="000000"/>
              <w:bottom w:val="single" w:sz="4" w:space="0" w:color="000000"/>
              <w:right w:val="single" w:sz="4" w:space="0" w:color="000000"/>
            </w:tcBorders>
            <w:hideMark/>
          </w:tcPr>
          <w:p w14:paraId="3A9EB685"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VII</w:t>
            </w:r>
          </w:p>
        </w:tc>
        <w:tc>
          <w:tcPr>
            <w:tcW w:w="651" w:type="pct"/>
            <w:tcBorders>
              <w:top w:val="single" w:sz="4" w:space="0" w:color="000000"/>
              <w:left w:val="single" w:sz="4" w:space="0" w:color="000000"/>
              <w:bottom w:val="single" w:sz="4" w:space="0" w:color="000000"/>
              <w:right w:val="single" w:sz="4" w:space="0" w:color="000000"/>
            </w:tcBorders>
            <w:hideMark/>
          </w:tcPr>
          <w:p w14:paraId="75CCEED8"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3.7±0.15</w:t>
            </w:r>
          </w:p>
        </w:tc>
        <w:tc>
          <w:tcPr>
            <w:tcW w:w="729" w:type="pct"/>
            <w:tcBorders>
              <w:top w:val="single" w:sz="4" w:space="0" w:color="000000"/>
              <w:left w:val="single" w:sz="4" w:space="0" w:color="000000"/>
              <w:bottom w:val="single" w:sz="4" w:space="0" w:color="000000"/>
              <w:right w:val="single" w:sz="4" w:space="0" w:color="000000"/>
            </w:tcBorders>
            <w:hideMark/>
          </w:tcPr>
          <w:p w14:paraId="51F3CF33"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17.45</w:t>
            </w:r>
          </w:p>
        </w:tc>
        <w:tc>
          <w:tcPr>
            <w:tcW w:w="636" w:type="pct"/>
            <w:tcBorders>
              <w:top w:val="single" w:sz="4" w:space="0" w:color="000000"/>
              <w:left w:val="single" w:sz="4" w:space="0" w:color="000000"/>
              <w:bottom w:val="single" w:sz="4" w:space="0" w:color="000000"/>
              <w:right w:val="single" w:sz="4" w:space="0" w:color="000000"/>
            </w:tcBorders>
            <w:hideMark/>
          </w:tcPr>
          <w:p w14:paraId="1160C5C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3.6±0.21</w:t>
            </w:r>
          </w:p>
        </w:tc>
        <w:tc>
          <w:tcPr>
            <w:tcW w:w="741" w:type="pct"/>
            <w:tcBorders>
              <w:top w:val="single" w:sz="4" w:space="0" w:color="000000"/>
              <w:left w:val="single" w:sz="4" w:space="0" w:color="000000"/>
              <w:bottom w:val="single" w:sz="4" w:space="0" w:color="000000"/>
              <w:right w:val="single" w:sz="4" w:space="0" w:color="000000"/>
            </w:tcBorders>
            <w:hideMark/>
          </w:tcPr>
          <w:p w14:paraId="488F11A5"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15.78</w:t>
            </w:r>
          </w:p>
        </w:tc>
        <w:tc>
          <w:tcPr>
            <w:tcW w:w="692" w:type="pct"/>
            <w:tcBorders>
              <w:top w:val="single" w:sz="4" w:space="0" w:color="000000"/>
              <w:left w:val="single" w:sz="4" w:space="0" w:color="000000"/>
              <w:bottom w:val="single" w:sz="4" w:space="0" w:color="000000"/>
              <w:right w:val="single" w:sz="4" w:space="0" w:color="000000"/>
            </w:tcBorders>
            <w:hideMark/>
          </w:tcPr>
          <w:p w14:paraId="33A4B7F1"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2.8±0.10</w:t>
            </w:r>
          </w:p>
        </w:tc>
        <w:tc>
          <w:tcPr>
            <w:tcW w:w="696" w:type="pct"/>
            <w:tcBorders>
              <w:top w:val="single" w:sz="4" w:space="0" w:color="000000"/>
              <w:left w:val="single" w:sz="4" w:space="0" w:color="000000"/>
              <w:bottom w:val="single" w:sz="4" w:space="0" w:color="000000"/>
              <w:right w:val="single" w:sz="4" w:space="0" w:color="000000"/>
            </w:tcBorders>
            <w:hideMark/>
          </w:tcPr>
          <w:p w14:paraId="51315996"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12.91</w:t>
            </w:r>
          </w:p>
        </w:tc>
      </w:tr>
      <w:tr w:rsidR="00A2698A" w:rsidRPr="00A872F0" w14:paraId="4172AE9A" w14:textId="77777777" w:rsidTr="002C554B">
        <w:trPr>
          <w:trHeight w:val="238"/>
        </w:trPr>
        <w:tc>
          <w:tcPr>
            <w:tcW w:w="853" w:type="pct"/>
            <w:tcBorders>
              <w:top w:val="single" w:sz="4" w:space="0" w:color="000000"/>
              <w:left w:val="single" w:sz="4" w:space="0" w:color="000000"/>
              <w:bottom w:val="single" w:sz="4" w:space="0" w:color="000000"/>
              <w:right w:val="single" w:sz="4" w:space="0" w:color="000000"/>
            </w:tcBorders>
            <w:hideMark/>
          </w:tcPr>
          <w:p w14:paraId="4EAC4794"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VIII</w:t>
            </w:r>
          </w:p>
        </w:tc>
        <w:tc>
          <w:tcPr>
            <w:tcW w:w="651" w:type="pct"/>
            <w:tcBorders>
              <w:top w:val="single" w:sz="4" w:space="0" w:color="000000"/>
              <w:left w:val="single" w:sz="4" w:space="0" w:color="000000"/>
              <w:bottom w:val="single" w:sz="4" w:space="0" w:color="000000"/>
              <w:right w:val="single" w:sz="4" w:space="0" w:color="000000"/>
            </w:tcBorders>
            <w:hideMark/>
          </w:tcPr>
          <w:p w14:paraId="4242E496"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13.5±0.26</w:t>
            </w:r>
          </w:p>
        </w:tc>
        <w:tc>
          <w:tcPr>
            <w:tcW w:w="729" w:type="pct"/>
            <w:tcBorders>
              <w:top w:val="single" w:sz="4" w:space="0" w:color="000000"/>
              <w:left w:val="single" w:sz="4" w:space="0" w:color="000000"/>
              <w:bottom w:val="single" w:sz="4" w:space="0" w:color="000000"/>
              <w:right w:val="single" w:sz="4" w:space="0" w:color="000000"/>
            </w:tcBorders>
            <w:hideMark/>
          </w:tcPr>
          <w:p w14:paraId="1B4836F2"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63.67</w:t>
            </w:r>
          </w:p>
        </w:tc>
        <w:tc>
          <w:tcPr>
            <w:tcW w:w="636" w:type="pct"/>
            <w:tcBorders>
              <w:top w:val="single" w:sz="4" w:space="0" w:color="000000"/>
              <w:left w:val="single" w:sz="4" w:space="0" w:color="000000"/>
              <w:bottom w:val="single" w:sz="4" w:space="0" w:color="000000"/>
              <w:right w:val="single" w:sz="4" w:space="0" w:color="000000"/>
            </w:tcBorders>
            <w:hideMark/>
          </w:tcPr>
          <w:p w14:paraId="3C709D55"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13.7±0.20</w:t>
            </w:r>
          </w:p>
        </w:tc>
        <w:tc>
          <w:tcPr>
            <w:tcW w:w="741" w:type="pct"/>
            <w:tcBorders>
              <w:top w:val="single" w:sz="4" w:space="0" w:color="000000"/>
              <w:left w:val="single" w:sz="4" w:space="0" w:color="000000"/>
              <w:bottom w:val="single" w:sz="4" w:space="0" w:color="000000"/>
              <w:right w:val="single" w:sz="4" w:space="0" w:color="000000"/>
            </w:tcBorders>
            <w:hideMark/>
          </w:tcPr>
          <w:p w14:paraId="4750A14B"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60.08</w:t>
            </w:r>
          </w:p>
        </w:tc>
        <w:tc>
          <w:tcPr>
            <w:tcW w:w="692" w:type="pct"/>
            <w:tcBorders>
              <w:top w:val="single" w:sz="4" w:space="0" w:color="000000"/>
              <w:left w:val="single" w:sz="4" w:space="0" w:color="000000"/>
              <w:bottom w:val="single" w:sz="4" w:space="0" w:color="000000"/>
              <w:right w:val="single" w:sz="4" w:space="0" w:color="000000"/>
            </w:tcBorders>
            <w:hideMark/>
          </w:tcPr>
          <w:p w14:paraId="7B4884C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12.4±0.15</w:t>
            </w:r>
          </w:p>
        </w:tc>
        <w:tc>
          <w:tcPr>
            <w:tcW w:w="696" w:type="pct"/>
            <w:tcBorders>
              <w:top w:val="single" w:sz="4" w:space="0" w:color="000000"/>
              <w:left w:val="single" w:sz="4" w:space="0" w:color="000000"/>
              <w:bottom w:val="single" w:sz="4" w:space="0" w:color="000000"/>
              <w:right w:val="single" w:sz="4" w:space="0" w:color="000000"/>
            </w:tcBorders>
            <w:hideMark/>
          </w:tcPr>
          <w:p w14:paraId="281B7C0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57.14</w:t>
            </w:r>
          </w:p>
        </w:tc>
      </w:tr>
      <w:tr w:rsidR="00A2698A" w:rsidRPr="00A872F0" w14:paraId="6CD7C833" w14:textId="77777777" w:rsidTr="002C554B">
        <w:trPr>
          <w:trHeight w:val="169"/>
        </w:trPr>
        <w:tc>
          <w:tcPr>
            <w:tcW w:w="853" w:type="pct"/>
            <w:tcBorders>
              <w:top w:val="single" w:sz="4" w:space="0" w:color="000000"/>
              <w:left w:val="single" w:sz="4" w:space="0" w:color="000000"/>
              <w:bottom w:val="single" w:sz="4" w:space="0" w:color="000000"/>
              <w:right w:val="single" w:sz="4" w:space="0" w:color="000000"/>
            </w:tcBorders>
            <w:hideMark/>
          </w:tcPr>
          <w:p w14:paraId="67A12668"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IX</w:t>
            </w:r>
          </w:p>
        </w:tc>
        <w:tc>
          <w:tcPr>
            <w:tcW w:w="651" w:type="pct"/>
            <w:tcBorders>
              <w:top w:val="single" w:sz="4" w:space="0" w:color="000000"/>
              <w:left w:val="single" w:sz="4" w:space="0" w:color="000000"/>
              <w:bottom w:val="single" w:sz="4" w:space="0" w:color="000000"/>
              <w:right w:val="single" w:sz="4" w:space="0" w:color="000000"/>
            </w:tcBorders>
            <w:hideMark/>
          </w:tcPr>
          <w:p w14:paraId="2C4B432B"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29" w:type="pct"/>
            <w:tcBorders>
              <w:top w:val="single" w:sz="4" w:space="0" w:color="000000"/>
              <w:left w:val="single" w:sz="4" w:space="0" w:color="000000"/>
              <w:bottom w:val="single" w:sz="4" w:space="0" w:color="000000"/>
              <w:right w:val="single" w:sz="4" w:space="0" w:color="000000"/>
            </w:tcBorders>
            <w:hideMark/>
          </w:tcPr>
          <w:p w14:paraId="5E5C84DD"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36" w:type="pct"/>
            <w:tcBorders>
              <w:top w:val="single" w:sz="4" w:space="0" w:color="000000"/>
              <w:left w:val="single" w:sz="4" w:space="0" w:color="000000"/>
              <w:bottom w:val="single" w:sz="4" w:space="0" w:color="000000"/>
              <w:right w:val="single" w:sz="4" w:space="0" w:color="000000"/>
            </w:tcBorders>
            <w:hideMark/>
          </w:tcPr>
          <w:p w14:paraId="1E61EDA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3.8±0.11</w:t>
            </w:r>
          </w:p>
        </w:tc>
        <w:tc>
          <w:tcPr>
            <w:tcW w:w="741" w:type="pct"/>
            <w:tcBorders>
              <w:top w:val="single" w:sz="4" w:space="0" w:color="000000"/>
              <w:left w:val="single" w:sz="4" w:space="0" w:color="000000"/>
              <w:bottom w:val="single" w:sz="4" w:space="0" w:color="000000"/>
              <w:right w:val="single" w:sz="4" w:space="0" w:color="000000"/>
            </w:tcBorders>
            <w:hideMark/>
          </w:tcPr>
          <w:p w14:paraId="2DE5D6B6"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16.66</w:t>
            </w:r>
          </w:p>
        </w:tc>
        <w:tc>
          <w:tcPr>
            <w:tcW w:w="692" w:type="pct"/>
            <w:tcBorders>
              <w:top w:val="single" w:sz="4" w:space="0" w:color="000000"/>
              <w:left w:val="single" w:sz="4" w:space="0" w:color="000000"/>
              <w:bottom w:val="single" w:sz="4" w:space="0" w:color="000000"/>
              <w:right w:val="single" w:sz="4" w:space="0" w:color="000000"/>
            </w:tcBorders>
            <w:hideMark/>
          </w:tcPr>
          <w:p w14:paraId="656AD7CF"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6" w:type="pct"/>
            <w:tcBorders>
              <w:top w:val="single" w:sz="4" w:space="0" w:color="000000"/>
              <w:left w:val="single" w:sz="4" w:space="0" w:color="000000"/>
              <w:bottom w:val="single" w:sz="4" w:space="0" w:color="000000"/>
              <w:right w:val="single" w:sz="4" w:space="0" w:color="000000"/>
            </w:tcBorders>
            <w:hideMark/>
          </w:tcPr>
          <w:p w14:paraId="4EE61C48"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r>
      <w:tr w:rsidR="00A2698A" w:rsidRPr="00A872F0" w14:paraId="47988FDE" w14:textId="77777777" w:rsidTr="002C554B">
        <w:trPr>
          <w:trHeight w:val="161"/>
        </w:trPr>
        <w:tc>
          <w:tcPr>
            <w:tcW w:w="853" w:type="pct"/>
            <w:tcBorders>
              <w:top w:val="single" w:sz="4" w:space="0" w:color="000000"/>
              <w:left w:val="single" w:sz="4" w:space="0" w:color="000000"/>
              <w:bottom w:val="single" w:sz="4" w:space="0" w:color="000000"/>
              <w:right w:val="single" w:sz="4" w:space="0" w:color="000000"/>
            </w:tcBorders>
            <w:hideMark/>
          </w:tcPr>
          <w:p w14:paraId="2D2848C3"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lastRenderedPageBreak/>
              <w:t>X</w:t>
            </w:r>
          </w:p>
        </w:tc>
        <w:tc>
          <w:tcPr>
            <w:tcW w:w="651" w:type="pct"/>
            <w:tcBorders>
              <w:top w:val="single" w:sz="4" w:space="0" w:color="000000"/>
              <w:left w:val="single" w:sz="4" w:space="0" w:color="000000"/>
              <w:bottom w:val="single" w:sz="4" w:space="0" w:color="000000"/>
              <w:right w:val="single" w:sz="4" w:space="0" w:color="000000"/>
            </w:tcBorders>
            <w:hideMark/>
          </w:tcPr>
          <w:p w14:paraId="7D7C1A9B"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29" w:type="pct"/>
            <w:tcBorders>
              <w:top w:val="single" w:sz="4" w:space="0" w:color="000000"/>
              <w:left w:val="single" w:sz="4" w:space="0" w:color="000000"/>
              <w:bottom w:val="single" w:sz="4" w:space="0" w:color="000000"/>
              <w:right w:val="single" w:sz="4" w:space="0" w:color="000000"/>
            </w:tcBorders>
            <w:hideMark/>
          </w:tcPr>
          <w:p w14:paraId="1D15AE3D"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36" w:type="pct"/>
            <w:tcBorders>
              <w:top w:val="single" w:sz="4" w:space="0" w:color="000000"/>
              <w:left w:val="single" w:sz="4" w:space="0" w:color="000000"/>
              <w:bottom w:val="single" w:sz="4" w:space="0" w:color="000000"/>
              <w:right w:val="single" w:sz="4" w:space="0" w:color="000000"/>
            </w:tcBorders>
            <w:hideMark/>
          </w:tcPr>
          <w:p w14:paraId="63CA0C6F"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41" w:type="pct"/>
            <w:tcBorders>
              <w:top w:val="single" w:sz="4" w:space="0" w:color="000000"/>
              <w:left w:val="single" w:sz="4" w:space="0" w:color="000000"/>
              <w:bottom w:val="single" w:sz="4" w:space="0" w:color="000000"/>
              <w:right w:val="single" w:sz="4" w:space="0" w:color="000000"/>
            </w:tcBorders>
            <w:hideMark/>
          </w:tcPr>
          <w:p w14:paraId="594BF9F4"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2" w:type="pct"/>
            <w:tcBorders>
              <w:top w:val="single" w:sz="4" w:space="0" w:color="000000"/>
              <w:left w:val="single" w:sz="4" w:space="0" w:color="000000"/>
              <w:bottom w:val="single" w:sz="4" w:space="0" w:color="000000"/>
              <w:right w:val="single" w:sz="4" w:space="0" w:color="000000"/>
            </w:tcBorders>
            <w:hideMark/>
          </w:tcPr>
          <w:p w14:paraId="52C0FA9A"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2.8±0.1</w:t>
            </w:r>
          </w:p>
        </w:tc>
        <w:tc>
          <w:tcPr>
            <w:tcW w:w="696" w:type="pct"/>
            <w:tcBorders>
              <w:top w:val="single" w:sz="4" w:space="0" w:color="000000"/>
              <w:left w:val="single" w:sz="4" w:space="0" w:color="000000"/>
              <w:bottom w:val="single" w:sz="4" w:space="0" w:color="000000"/>
              <w:right w:val="single" w:sz="4" w:space="0" w:color="000000"/>
            </w:tcBorders>
            <w:hideMark/>
          </w:tcPr>
          <w:p w14:paraId="505AD48A"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12.90</w:t>
            </w:r>
          </w:p>
        </w:tc>
      </w:tr>
      <w:tr w:rsidR="00A2698A" w:rsidRPr="00A872F0" w14:paraId="6E849182" w14:textId="77777777" w:rsidTr="002C554B">
        <w:trPr>
          <w:trHeight w:val="221"/>
        </w:trPr>
        <w:tc>
          <w:tcPr>
            <w:tcW w:w="853" w:type="pct"/>
            <w:tcBorders>
              <w:top w:val="single" w:sz="4" w:space="0" w:color="000000"/>
              <w:left w:val="single" w:sz="4" w:space="0" w:color="000000"/>
              <w:bottom w:val="single" w:sz="4" w:space="0" w:color="000000"/>
              <w:right w:val="single" w:sz="4" w:space="0" w:color="000000"/>
            </w:tcBorders>
            <w:hideMark/>
          </w:tcPr>
          <w:p w14:paraId="42D41A67"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XI</w:t>
            </w:r>
          </w:p>
        </w:tc>
        <w:tc>
          <w:tcPr>
            <w:tcW w:w="651" w:type="pct"/>
            <w:tcBorders>
              <w:top w:val="single" w:sz="4" w:space="0" w:color="000000"/>
              <w:left w:val="single" w:sz="4" w:space="0" w:color="000000"/>
              <w:bottom w:val="single" w:sz="4" w:space="0" w:color="000000"/>
              <w:right w:val="single" w:sz="4" w:space="0" w:color="000000"/>
            </w:tcBorders>
            <w:hideMark/>
          </w:tcPr>
          <w:p w14:paraId="5E05CAB1"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29" w:type="pct"/>
            <w:tcBorders>
              <w:top w:val="single" w:sz="4" w:space="0" w:color="000000"/>
              <w:left w:val="single" w:sz="4" w:space="0" w:color="000000"/>
              <w:bottom w:val="single" w:sz="4" w:space="0" w:color="000000"/>
              <w:right w:val="single" w:sz="4" w:space="0" w:color="000000"/>
            </w:tcBorders>
            <w:hideMark/>
          </w:tcPr>
          <w:p w14:paraId="1F3DCA02"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36" w:type="pct"/>
            <w:tcBorders>
              <w:top w:val="single" w:sz="4" w:space="0" w:color="000000"/>
              <w:left w:val="single" w:sz="4" w:space="0" w:color="000000"/>
              <w:bottom w:val="single" w:sz="4" w:space="0" w:color="000000"/>
              <w:right w:val="single" w:sz="4" w:space="0" w:color="000000"/>
            </w:tcBorders>
            <w:hideMark/>
          </w:tcPr>
          <w:p w14:paraId="207B832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4.7±0.15</w:t>
            </w:r>
          </w:p>
        </w:tc>
        <w:tc>
          <w:tcPr>
            <w:tcW w:w="741" w:type="pct"/>
            <w:tcBorders>
              <w:top w:val="single" w:sz="4" w:space="0" w:color="000000"/>
              <w:left w:val="single" w:sz="4" w:space="0" w:color="000000"/>
              <w:bottom w:val="single" w:sz="4" w:space="0" w:color="000000"/>
              <w:right w:val="single" w:sz="4" w:space="0" w:color="000000"/>
            </w:tcBorders>
            <w:hideMark/>
          </w:tcPr>
          <w:p w14:paraId="3D63FDA9"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20.61</w:t>
            </w:r>
          </w:p>
        </w:tc>
        <w:tc>
          <w:tcPr>
            <w:tcW w:w="692" w:type="pct"/>
            <w:tcBorders>
              <w:top w:val="single" w:sz="4" w:space="0" w:color="000000"/>
              <w:left w:val="single" w:sz="4" w:space="0" w:color="000000"/>
              <w:bottom w:val="single" w:sz="4" w:space="0" w:color="000000"/>
              <w:right w:val="single" w:sz="4" w:space="0" w:color="000000"/>
            </w:tcBorders>
            <w:hideMark/>
          </w:tcPr>
          <w:p w14:paraId="40070B98"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5.3±0.05</w:t>
            </w:r>
          </w:p>
        </w:tc>
        <w:tc>
          <w:tcPr>
            <w:tcW w:w="696" w:type="pct"/>
            <w:tcBorders>
              <w:top w:val="single" w:sz="4" w:space="0" w:color="000000"/>
              <w:left w:val="single" w:sz="4" w:space="0" w:color="000000"/>
              <w:bottom w:val="single" w:sz="4" w:space="0" w:color="000000"/>
              <w:right w:val="single" w:sz="4" w:space="0" w:color="000000"/>
            </w:tcBorders>
            <w:hideMark/>
          </w:tcPr>
          <w:p w14:paraId="69549FD5"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24.42</w:t>
            </w:r>
          </w:p>
        </w:tc>
      </w:tr>
      <w:tr w:rsidR="00A2698A" w:rsidRPr="00A872F0" w14:paraId="715AC1C9" w14:textId="77777777" w:rsidTr="002C554B">
        <w:trPr>
          <w:trHeight w:val="289"/>
        </w:trPr>
        <w:tc>
          <w:tcPr>
            <w:tcW w:w="853" w:type="pct"/>
            <w:tcBorders>
              <w:top w:val="single" w:sz="4" w:space="0" w:color="000000"/>
              <w:left w:val="single" w:sz="4" w:space="0" w:color="000000"/>
              <w:bottom w:val="single" w:sz="4" w:space="0" w:color="000000"/>
              <w:right w:val="single" w:sz="4" w:space="0" w:color="000000"/>
            </w:tcBorders>
            <w:hideMark/>
          </w:tcPr>
          <w:p w14:paraId="6ECF0DFA"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XII</w:t>
            </w:r>
          </w:p>
        </w:tc>
        <w:tc>
          <w:tcPr>
            <w:tcW w:w="651" w:type="pct"/>
            <w:tcBorders>
              <w:top w:val="single" w:sz="4" w:space="0" w:color="000000"/>
              <w:left w:val="single" w:sz="4" w:space="0" w:color="000000"/>
              <w:bottom w:val="single" w:sz="4" w:space="0" w:color="000000"/>
              <w:right w:val="single" w:sz="4" w:space="0" w:color="000000"/>
            </w:tcBorders>
            <w:hideMark/>
          </w:tcPr>
          <w:p w14:paraId="1858237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29" w:type="pct"/>
            <w:tcBorders>
              <w:top w:val="single" w:sz="4" w:space="0" w:color="000000"/>
              <w:left w:val="single" w:sz="4" w:space="0" w:color="000000"/>
              <w:bottom w:val="single" w:sz="4" w:space="0" w:color="000000"/>
              <w:right w:val="single" w:sz="4" w:space="0" w:color="000000"/>
            </w:tcBorders>
            <w:hideMark/>
          </w:tcPr>
          <w:p w14:paraId="08543DA8"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36" w:type="pct"/>
            <w:tcBorders>
              <w:top w:val="single" w:sz="4" w:space="0" w:color="000000"/>
              <w:left w:val="single" w:sz="4" w:space="0" w:color="000000"/>
              <w:bottom w:val="single" w:sz="4" w:space="0" w:color="000000"/>
              <w:right w:val="single" w:sz="4" w:space="0" w:color="000000"/>
            </w:tcBorders>
            <w:hideMark/>
          </w:tcPr>
          <w:p w14:paraId="22CE11D3"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41" w:type="pct"/>
            <w:tcBorders>
              <w:top w:val="single" w:sz="4" w:space="0" w:color="000000"/>
              <w:left w:val="single" w:sz="4" w:space="0" w:color="000000"/>
              <w:bottom w:val="single" w:sz="4" w:space="0" w:color="000000"/>
              <w:right w:val="single" w:sz="4" w:space="0" w:color="000000"/>
            </w:tcBorders>
            <w:hideMark/>
          </w:tcPr>
          <w:p w14:paraId="568EA38B"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2" w:type="pct"/>
            <w:tcBorders>
              <w:top w:val="single" w:sz="4" w:space="0" w:color="000000"/>
              <w:left w:val="single" w:sz="4" w:space="0" w:color="000000"/>
              <w:bottom w:val="single" w:sz="4" w:space="0" w:color="000000"/>
              <w:right w:val="single" w:sz="4" w:space="0" w:color="000000"/>
            </w:tcBorders>
            <w:hideMark/>
          </w:tcPr>
          <w:p w14:paraId="3924E7CF"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4.7±0.15</w:t>
            </w:r>
          </w:p>
        </w:tc>
        <w:tc>
          <w:tcPr>
            <w:tcW w:w="696" w:type="pct"/>
            <w:tcBorders>
              <w:top w:val="single" w:sz="4" w:space="0" w:color="000000"/>
              <w:left w:val="single" w:sz="4" w:space="0" w:color="000000"/>
              <w:bottom w:val="single" w:sz="4" w:space="0" w:color="000000"/>
              <w:right w:val="single" w:sz="4" w:space="0" w:color="000000"/>
            </w:tcBorders>
            <w:hideMark/>
          </w:tcPr>
          <w:p w14:paraId="57DDC1A5"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21.65</w:t>
            </w:r>
          </w:p>
        </w:tc>
      </w:tr>
      <w:tr w:rsidR="00A2698A" w:rsidRPr="00A872F0" w14:paraId="00393679" w14:textId="77777777" w:rsidTr="002C554B">
        <w:trPr>
          <w:trHeight w:val="246"/>
        </w:trPr>
        <w:tc>
          <w:tcPr>
            <w:tcW w:w="853" w:type="pct"/>
            <w:tcBorders>
              <w:top w:val="single" w:sz="4" w:space="0" w:color="000000"/>
              <w:left w:val="single" w:sz="4" w:space="0" w:color="000000"/>
              <w:bottom w:val="single" w:sz="4" w:space="0" w:color="000000"/>
              <w:right w:val="single" w:sz="4" w:space="0" w:color="000000"/>
            </w:tcBorders>
            <w:hideMark/>
          </w:tcPr>
          <w:p w14:paraId="41C93CF9"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XIII</w:t>
            </w:r>
          </w:p>
        </w:tc>
        <w:tc>
          <w:tcPr>
            <w:tcW w:w="651" w:type="pct"/>
            <w:tcBorders>
              <w:top w:val="single" w:sz="4" w:space="0" w:color="000000"/>
              <w:left w:val="single" w:sz="4" w:space="0" w:color="000000"/>
              <w:bottom w:val="single" w:sz="4" w:space="0" w:color="000000"/>
              <w:right w:val="single" w:sz="4" w:space="0" w:color="000000"/>
            </w:tcBorders>
            <w:hideMark/>
          </w:tcPr>
          <w:p w14:paraId="6034E729"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29" w:type="pct"/>
            <w:tcBorders>
              <w:top w:val="single" w:sz="4" w:space="0" w:color="000000"/>
              <w:left w:val="single" w:sz="4" w:space="0" w:color="000000"/>
              <w:bottom w:val="single" w:sz="4" w:space="0" w:color="000000"/>
              <w:right w:val="single" w:sz="4" w:space="0" w:color="000000"/>
            </w:tcBorders>
            <w:hideMark/>
          </w:tcPr>
          <w:p w14:paraId="6894ED67"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36" w:type="pct"/>
            <w:tcBorders>
              <w:top w:val="single" w:sz="4" w:space="0" w:color="000000"/>
              <w:left w:val="single" w:sz="4" w:space="0" w:color="000000"/>
              <w:bottom w:val="single" w:sz="4" w:space="0" w:color="000000"/>
              <w:right w:val="single" w:sz="4" w:space="0" w:color="000000"/>
            </w:tcBorders>
            <w:hideMark/>
          </w:tcPr>
          <w:p w14:paraId="34647CA2"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5.2±0.21</w:t>
            </w:r>
          </w:p>
        </w:tc>
        <w:tc>
          <w:tcPr>
            <w:tcW w:w="741" w:type="pct"/>
            <w:tcBorders>
              <w:top w:val="single" w:sz="4" w:space="0" w:color="000000"/>
              <w:left w:val="single" w:sz="4" w:space="0" w:color="000000"/>
              <w:bottom w:val="single" w:sz="4" w:space="0" w:color="000000"/>
              <w:right w:val="single" w:sz="4" w:space="0" w:color="000000"/>
            </w:tcBorders>
            <w:hideMark/>
          </w:tcPr>
          <w:p w14:paraId="0E0E2221"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22.81</w:t>
            </w:r>
          </w:p>
        </w:tc>
        <w:tc>
          <w:tcPr>
            <w:tcW w:w="692" w:type="pct"/>
            <w:tcBorders>
              <w:top w:val="single" w:sz="4" w:space="0" w:color="000000"/>
              <w:left w:val="single" w:sz="4" w:space="0" w:color="000000"/>
              <w:bottom w:val="single" w:sz="4" w:space="0" w:color="000000"/>
              <w:right w:val="single" w:sz="4" w:space="0" w:color="000000"/>
            </w:tcBorders>
            <w:hideMark/>
          </w:tcPr>
          <w:p w14:paraId="4F400635"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7.3±0.15</w:t>
            </w:r>
          </w:p>
        </w:tc>
        <w:tc>
          <w:tcPr>
            <w:tcW w:w="696" w:type="pct"/>
            <w:tcBorders>
              <w:top w:val="single" w:sz="4" w:space="0" w:color="000000"/>
              <w:left w:val="single" w:sz="4" w:space="0" w:color="000000"/>
              <w:bottom w:val="single" w:sz="4" w:space="0" w:color="000000"/>
              <w:right w:val="single" w:sz="4" w:space="0" w:color="000000"/>
            </w:tcBorders>
            <w:hideMark/>
          </w:tcPr>
          <w:p w14:paraId="663AFE43"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34.10</w:t>
            </w:r>
          </w:p>
        </w:tc>
      </w:tr>
      <w:tr w:rsidR="00A2698A" w:rsidRPr="00A872F0" w14:paraId="71CB601A" w14:textId="77777777" w:rsidTr="002C554B">
        <w:trPr>
          <w:trHeight w:val="238"/>
        </w:trPr>
        <w:tc>
          <w:tcPr>
            <w:tcW w:w="853" w:type="pct"/>
            <w:tcBorders>
              <w:top w:val="single" w:sz="4" w:space="0" w:color="000000"/>
              <w:left w:val="single" w:sz="4" w:space="0" w:color="000000"/>
              <w:bottom w:val="single" w:sz="4" w:space="0" w:color="000000"/>
              <w:right w:val="single" w:sz="4" w:space="0" w:color="000000"/>
            </w:tcBorders>
            <w:hideMark/>
          </w:tcPr>
          <w:p w14:paraId="2DEB632D"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XIV</w:t>
            </w:r>
          </w:p>
        </w:tc>
        <w:tc>
          <w:tcPr>
            <w:tcW w:w="651" w:type="pct"/>
            <w:tcBorders>
              <w:top w:val="single" w:sz="4" w:space="0" w:color="000000"/>
              <w:left w:val="single" w:sz="4" w:space="0" w:color="000000"/>
              <w:bottom w:val="single" w:sz="4" w:space="0" w:color="000000"/>
              <w:right w:val="single" w:sz="4" w:space="0" w:color="000000"/>
            </w:tcBorders>
            <w:hideMark/>
          </w:tcPr>
          <w:p w14:paraId="3A48771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4.2±0.15</w:t>
            </w:r>
          </w:p>
        </w:tc>
        <w:tc>
          <w:tcPr>
            <w:tcW w:w="729" w:type="pct"/>
            <w:tcBorders>
              <w:top w:val="single" w:sz="4" w:space="0" w:color="000000"/>
              <w:left w:val="single" w:sz="4" w:space="0" w:color="000000"/>
              <w:bottom w:val="single" w:sz="4" w:space="0" w:color="000000"/>
              <w:right w:val="single" w:sz="4" w:space="0" w:color="000000"/>
            </w:tcBorders>
            <w:hideMark/>
          </w:tcPr>
          <w:p w14:paraId="090C6E24"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19.81</w:t>
            </w:r>
          </w:p>
        </w:tc>
        <w:tc>
          <w:tcPr>
            <w:tcW w:w="636" w:type="pct"/>
            <w:tcBorders>
              <w:top w:val="single" w:sz="4" w:space="0" w:color="000000"/>
              <w:left w:val="single" w:sz="4" w:space="0" w:color="000000"/>
              <w:bottom w:val="single" w:sz="4" w:space="0" w:color="000000"/>
              <w:right w:val="single" w:sz="4" w:space="0" w:color="000000"/>
            </w:tcBorders>
            <w:hideMark/>
          </w:tcPr>
          <w:p w14:paraId="3CEA1FF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41" w:type="pct"/>
            <w:tcBorders>
              <w:top w:val="single" w:sz="4" w:space="0" w:color="000000"/>
              <w:left w:val="single" w:sz="4" w:space="0" w:color="000000"/>
              <w:bottom w:val="single" w:sz="4" w:space="0" w:color="000000"/>
              <w:right w:val="single" w:sz="4" w:space="0" w:color="000000"/>
            </w:tcBorders>
            <w:hideMark/>
          </w:tcPr>
          <w:p w14:paraId="7CD8114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2" w:type="pct"/>
            <w:tcBorders>
              <w:top w:val="single" w:sz="4" w:space="0" w:color="000000"/>
              <w:left w:val="single" w:sz="4" w:space="0" w:color="000000"/>
              <w:bottom w:val="single" w:sz="4" w:space="0" w:color="000000"/>
              <w:right w:val="single" w:sz="4" w:space="0" w:color="000000"/>
            </w:tcBorders>
            <w:hideMark/>
          </w:tcPr>
          <w:p w14:paraId="081AC701"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6" w:type="pct"/>
            <w:tcBorders>
              <w:top w:val="single" w:sz="4" w:space="0" w:color="000000"/>
              <w:left w:val="single" w:sz="4" w:space="0" w:color="000000"/>
              <w:bottom w:val="single" w:sz="4" w:space="0" w:color="000000"/>
              <w:right w:val="single" w:sz="4" w:space="0" w:color="000000"/>
            </w:tcBorders>
            <w:hideMark/>
          </w:tcPr>
          <w:p w14:paraId="0651237F"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r>
      <w:tr w:rsidR="00A2698A" w:rsidRPr="00A872F0" w14:paraId="7CBA5941" w14:textId="77777777" w:rsidTr="002C554B">
        <w:trPr>
          <w:trHeight w:val="212"/>
        </w:trPr>
        <w:tc>
          <w:tcPr>
            <w:tcW w:w="853" w:type="pct"/>
            <w:tcBorders>
              <w:top w:val="single" w:sz="4" w:space="0" w:color="000000"/>
              <w:left w:val="single" w:sz="4" w:space="0" w:color="000000"/>
              <w:bottom w:val="single" w:sz="4" w:space="0" w:color="000000"/>
              <w:right w:val="single" w:sz="4" w:space="0" w:color="000000"/>
            </w:tcBorders>
            <w:hideMark/>
          </w:tcPr>
          <w:p w14:paraId="2232C2A7"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XV</w:t>
            </w:r>
          </w:p>
        </w:tc>
        <w:tc>
          <w:tcPr>
            <w:tcW w:w="651" w:type="pct"/>
            <w:tcBorders>
              <w:top w:val="single" w:sz="4" w:space="0" w:color="000000"/>
              <w:left w:val="single" w:sz="4" w:space="0" w:color="000000"/>
              <w:bottom w:val="single" w:sz="4" w:space="0" w:color="000000"/>
              <w:right w:val="single" w:sz="4" w:space="0" w:color="000000"/>
            </w:tcBorders>
            <w:hideMark/>
          </w:tcPr>
          <w:p w14:paraId="1062483A"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3.5±0.15</w:t>
            </w:r>
          </w:p>
        </w:tc>
        <w:tc>
          <w:tcPr>
            <w:tcW w:w="729" w:type="pct"/>
            <w:tcBorders>
              <w:top w:val="single" w:sz="4" w:space="0" w:color="000000"/>
              <w:left w:val="single" w:sz="4" w:space="0" w:color="000000"/>
              <w:bottom w:val="single" w:sz="4" w:space="0" w:color="000000"/>
              <w:right w:val="single" w:sz="4" w:space="0" w:color="000000"/>
            </w:tcBorders>
            <w:hideMark/>
          </w:tcPr>
          <w:p w14:paraId="25799E75"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16.51</w:t>
            </w:r>
          </w:p>
        </w:tc>
        <w:tc>
          <w:tcPr>
            <w:tcW w:w="636" w:type="pct"/>
            <w:tcBorders>
              <w:top w:val="single" w:sz="4" w:space="0" w:color="000000"/>
              <w:left w:val="single" w:sz="4" w:space="0" w:color="000000"/>
              <w:bottom w:val="single" w:sz="4" w:space="0" w:color="000000"/>
              <w:right w:val="single" w:sz="4" w:space="0" w:color="000000"/>
            </w:tcBorders>
            <w:hideMark/>
          </w:tcPr>
          <w:p w14:paraId="45C0A99F"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6.5±0.15</w:t>
            </w:r>
          </w:p>
        </w:tc>
        <w:tc>
          <w:tcPr>
            <w:tcW w:w="741" w:type="pct"/>
            <w:tcBorders>
              <w:top w:val="single" w:sz="4" w:space="0" w:color="000000"/>
              <w:left w:val="single" w:sz="4" w:space="0" w:color="000000"/>
              <w:bottom w:val="single" w:sz="4" w:space="0" w:color="000000"/>
              <w:right w:val="single" w:sz="4" w:space="0" w:color="000000"/>
            </w:tcBorders>
            <w:hideMark/>
          </w:tcPr>
          <w:p w14:paraId="0B381EAB"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28.51</w:t>
            </w:r>
          </w:p>
        </w:tc>
        <w:tc>
          <w:tcPr>
            <w:tcW w:w="692" w:type="pct"/>
            <w:tcBorders>
              <w:top w:val="single" w:sz="4" w:space="0" w:color="000000"/>
              <w:left w:val="single" w:sz="4" w:space="0" w:color="000000"/>
              <w:bottom w:val="single" w:sz="4" w:space="0" w:color="000000"/>
              <w:right w:val="single" w:sz="4" w:space="0" w:color="000000"/>
            </w:tcBorders>
            <w:hideMark/>
          </w:tcPr>
          <w:p w14:paraId="02FD3ACD"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7.4±0.11</w:t>
            </w:r>
          </w:p>
        </w:tc>
        <w:tc>
          <w:tcPr>
            <w:tcW w:w="696" w:type="pct"/>
            <w:tcBorders>
              <w:top w:val="single" w:sz="4" w:space="0" w:color="000000"/>
              <w:left w:val="single" w:sz="4" w:space="0" w:color="000000"/>
              <w:bottom w:val="single" w:sz="4" w:space="0" w:color="000000"/>
              <w:right w:val="single" w:sz="4" w:space="0" w:color="000000"/>
            </w:tcBorders>
            <w:hideMark/>
          </w:tcPr>
          <w:p w14:paraId="47C5722F"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34.12</w:t>
            </w:r>
          </w:p>
        </w:tc>
      </w:tr>
      <w:tr w:rsidR="00A2698A" w:rsidRPr="00A872F0" w14:paraId="781AD53C" w14:textId="77777777" w:rsidTr="002C554B">
        <w:trPr>
          <w:trHeight w:val="289"/>
        </w:trPr>
        <w:tc>
          <w:tcPr>
            <w:tcW w:w="853" w:type="pct"/>
            <w:tcBorders>
              <w:top w:val="single" w:sz="4" w:space="0" w:color="000000"/>
              <w:left w:val="single" w:sz="4" w:space="0" w:color="000000"/>
              <w:bottom w:val="single" w:sz="4" w:space="0" w:color="000000"/>
              <w:right w:val="single" w:sz="4" w:space="0" w:color="000000"/>
            </w:tcBorders>
            <w:hideMark/>
          </w:tcPr>
          <w:p w14:paraId="13FEFDD7"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XVI</w:t>
            </w:r>
          </w:p>
        </w:tc>
        <w:tc>
          <w:tcPr>
            <w:tcW w:w="651" w:type="pct"/>
            <w:tcBorders>
              <w:top w:val="single" w:sz="4" w:space="0" w:color="000000"/>
              <w:left w:val="single" w:sz="4" w:space="0" w:color="000000"/>
              <w:bottom w:val="single" w:sz="4" w:space="0" w:color="000000"/>
              <w:right w:val="single" w:sz="4" w:space="0" w:color="000000"/>
            </w:tcBorders>
            <w:hideMark/>
          </w:tcPr>
          <w:p w14:paraId="385CD1E2"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15.8±0.25</w:t>
            </w:r>
          </w:p>
        </w:tc>
        <w:tc>
          <w:tcPr>
            <w:tcW w:w="729" w:type="pct"/>
            <w:tcBorders>
              <w:top w:val="single" w:sz="4" w:space="0" w:color="000000"/>
              <w:left w:val="single" w:sz="4" w:space="0" w:color="000000"/>
              <w:bottom w:val="single" w:sz="4" w:space="0" w:color="000000"/>
              <w:right w:val="single" w:sz="4" w:space="0" w:color="000000"/>
            </w:tcBorders>
            <w:hideMark/>
          </w:tcPr>
          <w:p w14:paraId="5BECAE75"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74.52</w:t>
            </w:r>
          </w:p>
        </w:tc>
        <w:tc>
          <w:tcPr>
            <w:tcW w:w="636" w:type="pct"/>
            <w:tcBorders>
              <w:top w:val="single" w:sz="4" w:space="0" w:color="000000"/>
              <w:left w:val="single" w:sz="4" w:space="0" w:color="000000"/>
              <w:bottom w:val="single" w:sz="4" w:space="0" w:color="000000"/>
              <w:right w:val="single" w:sz="4" w:space="0" w:color="000000"/>
            </w:tcBorders>
            <w:hideMark/>
          </w:tcPr>
          <w:p w14:paraId="21ED92CD"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15.3±0.15</w:t>
            </w:r>
          </w:p>
        </w:tc>
        <w:tc>
          <w:tcPr>
            <w:tcW w:w="741" w:type="pct"/>
            <w:tcBorders>
              <w:top w:val="single" w:sz="4" w:space="0" w:color="000000"/>
              <w:left w:val="single" w:sz="4" w:space="0" w:color="000000"/>
              <w:bottom w:val="single" w:sz="4" w:space="0" w:color="000000"/>
              <w:right w:val="single" w:sz="4" w:space="0" w:color="000000"/>
            </w:tcBorders>
            <w:hideMark/>
          </w:tcPr>
          <w:p w14:paraId="32258336"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67.10</w:t>
            </w:r>
          </w:p>
        </w:tc>
        <w:tc>
          <w:tcPr>
            <w:tcW w:w="692" w:type="pct"/>
            <w:tcBorders>
              <w:top w:val="single" w:sz="4" w:space="0" w:color="000000"/>
              <w:left w:val="single" w:sz="4" w:space="0" w:color="000000"/>
              <w:bottom w:val="single" w:sz="4" w:space="0" w:color="000000"/>
              <w:right w:val="single" w:sz="4" w:space="0" w:color="000000"/>
            </w:tcBorders>
            <w:hideMark/>
          </w:tcPr>
          <w:p w14:paraId="6427860E"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16.7±0.11</w:t>
            </w:r>
          </w:p>
        </w:tc>
        <w:tc>
          <w:tcPr>
            <w:tcW w:w="696" w:type="pct"/>
            <w:tcBorders>
              <w:top w:val="single" w:sz="4" w:space="0" w:color="000000"/>
              <w:left w:val="single" w:sz="4" w:space="0" w:color="000000"/>
              <w:bottom w:val="single" w:sz="4" w:space="0" w:color="000000"/>
              <w:right w:val="single" w:sz="4" w:space="0" w:color="000000"/>
            </w:tcBorders>
            <w:hideMark/>
          </w:tcPr>
          <w:p w14:paraId="5B4EC650"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76.95</w:t>
            </w:r>
          </w:p>
        </w:tc>
      </w:tr>
      <w:tr w:rsidR="00A2698A" w:rsidRPr="00A872F0" w14:paraId="396E31A1" w14:textId="77777777" w:rsidTr="002C554B">
        <w:trPr>
          <w:trHeight w:val="246"/>
        </w:trPr>
        <w:tc>
          <w:tcPr>
            <w:tcW w:w="853" w:type="pct"/>
            <w:tcBorders>
              <w:top w:val="single" w:sz="4" w:space="0" w:color="000000"/>
              <w:left w:val="single" w:sz="4" w:space="0" w:color="000000"/>
              <w:bottom w:val="single" w:sz="4" w:space="0" w:color="000000"/>
              <w:right w:val="single" w:sz="4" w:space="0" w:color="000000"/>
            </w:tcBorders>
            <w:hideMark/>
          </w:tcPr>
          <w:p w14:paraId="38734766"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Ciprofloxacin (5µg/ml)</w:t>
            </w:r>
          </w:p>
        </w:tc>
        <w:tc>
          <w:tcPr>
            <w:tcW w:w="651" w:type="pct"/>
            <w:tcBorders>
              <w:top w:val="single" w:sz="4" w:space="0" w:color="000000"/>
              <w:left w:val="single" w:sz="4" w:space="0" w:color="000000"/>
              <w:bottom w:val="single" w:sz="4" w:space="0" w:color="000000"/>
              <w:right w:val="single" w:sz="4" w:space="0" w:color="000000"/>
            </w:tcBorders>
            <w:hideMark/>
          </w:tcPr>
          <w:p w14:paraId="3986DD69"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21.2±0.15</w:t>
            </w:r>
          </w:p>
        </w:tc>
        <w:tc>
          <w:tcPr>
            <w:tcW w:w="729" w:type="pct"/>
            <w:tcBorders>
              <w:top w:val="single" w:sz="4" w:space="0" w:color="000000"/>
              <w:left w:val="single" w:sz="4" w:space="0" w:color="000000"/>
              <w:bottom w:val="single" w:sz="4" w:space="0" w:color="000000"/>
              <w:right w:val="single" w:sz="4" w:space="0" w:color="000000"/>
            </w:tcBorders>
          </w:tcPr>
          <w:p w14:paraId="05E8D852"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p>
        </w:tc>
        <w:tc>
          <w:tcPr>
            <w:tcW w:w="636" w:type="pct"/>
            <w:tcBorders>
              <w:top w:val="single" w:sz="4" w:space="0" w:color="000000"/>
              <w:left w:val="single" w:sz="4" w:space="0" w:color="000000"/>
              <w:bottom w:val="single" w:sz="4" w:space="0" w:color="000000"/>
              <w:right w:val="single" w:sz="4" w:space="0" w:color="000000"/>
            </w:tcBorders>
            <w:hideMark/>
          </w:tcPr>
          <w:p w14:paraId="50BF66BA"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41" w:type="pct"/>
            <w:tcBorders>
              <w:top w:val="single" w:sz="4" w:space="0" w:color="000000"/>
              <w:left w:val="single" w:sz="4" w:space="0" w:color="000000"/>
              <w:bottom w:val="single" w:sz="4" w:space="0" w:color="000000"/>
              <w:right w:val="single" w:sz="4" w:space="0" w:color="000000"/>
            </w:tcBorders>
          </w:tcPr>
          <w:p w14:paraId="59D4DC77"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p>
        </w:tc>
        <w:tc>
          <w:tcPr>
            <w:tcW w:w="692" w:type="pct"/>
            <w:tcBorders>
              <w:top w:val="single" w:sz="4" w:space="0" w:color="000000"/>
              <w:left w:val="single" w:sz="4" w:space="0" w:color="000000"/>
              <w:bottom w:val="single" w:sz="4" w:space="0" w:color="000000"/>
              <w:right w:val="single" w:sz="4" w:space="0" w:color="000000"/>
            </w:tcBorders>
            <w:hideMark/>
          </w:tcPr>
          <w:p w14:paraId="561A947A"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6" w:type="pct"/>
            <w:tcBorders>
              <w:top w:val="single" w:sz="4" w:space="0" w:color="000000"/>
              <w:left w:val="single" w:sz="4" w:space="0" w:color="000000"/>
              <w:bottom w:val="single" w:sz="4" w:space="0" w:color="000000"/>
              <w:right w:val="single" w:sz="4" w:space="0" w:color="000000"/>
            </w:tcBorders>
          </w:tcPr>
          <w:p w14:paraId="54BEDE97"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p>
        </w:tc>
      </w:tr>
      <w:tr w:rsidR="00A2698A" w:rsidRPr="00A872F0" w14:paraId="730A116A" w14:textId="77777777" w:rsidTr="002C554B">
        <w:trPr>
          <w:trHeight w:val="246"/>
        </w:trPr>
        <w:tc>
          <w:tcPr>
            <w:tcW w:w="853" w:type="pct"/>
            <w:tcBorders>
              <w:top w:val="single" w:sz="4" w:space="0" w:color="000000"/>
              <w:left w:val="single" w:sz="4" w:space="0" w:color="000000"/>
              <w:bottom w:val="single" w:sz="4" w:space="0" w:color="000000"/>
              <w:right w:val="single" w:sz="4" w:space="0" w:color="000000"/>
            </w:tcBorders>
            <w:hideMark/>
          </w:tcPr>
          <w:p w14:paraId="5372C11B"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Gentamicin (5µg/ml)</w:t>
            </w:r>
          </w:p>
        </w:tc>
        <w:tc>
          <w:tcPr>
            <w:tcW w:w="651" w:type="pct"/>
            <w:tcBorders>
              <w:top w:val="single" w:sz="4" w:space="0" w:color="000000"/>
              <w:left w:val="single" w:sz="4" w:space="0" w:color="000000"/>
              <w:bottom w:val="single" w:sz="4" w:space="0" w:color="000000"/>
              <w:right w:val="single" w:sz="4" w:space="0" w:color="000000"/>
            </w:tcBorders>
            <w:hideMark/>
          </w:tcPr>
          <w:p w14:paraId="74671DEB"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29" w:type="pct"/>
            <w:tcBorders>
              <w:top w:val="single" w:sz="4" w:space="0" w:color="000000"/>
              <w:left w:val="single" w:sz="4" w:space="0" w:color="000000"/>
              <w:bottom w:val="single" w:sz="4" w:space="0" w:color="000000"/>
              <w:right w:val="single" w:sz="4" w:space="0" w:color="000000"/>
            </w:tcBorders>
          </w:tcPr>
          <w:p w14:paraId="32F3BCE7"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p>
        </w:tc>
        <w:tc>
          <w:tcPr>
            <w:tcW w:w="636" w:type="pct"/>
            <w:tcBorders>
              <w:top w:val="single" w:sz="4" w:space="0" w:color="000000"/>
              <w:left w:val="single" w:sz="4" w:space="0" w:color="000000"/>
              <w:bottom w:val="single" w:sz="4" w:space="0" w:color="000000"/>
              <w:right w:val="single" w:sz="4" w:space="0" w:color="000000"/>
            </w:tcBorders>
            <w:hideMark/>
          </w:tcPr>
          <w:p w14:paraId="4BA2BF9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22.8±0.06</w:t>
            </w:r>
          </w:p>
        </w:tc>
        <w:tc>
          <w:tcPr>
            <w:tcW w:w="741" w:type="pct"/>
            <w:tcBorders>
              <w:top w:val="single" w:sz="4" w:space="0" w:color="000000"/>
              <w:left w:val="single" w:sz="4" w:space="0" w:color="000000"/>
              <w:bottom w:val="single" w:sz="4" w:space="0" w:color="000000"/>
              <w:right w:val="single" w:sz="4" w:space="0" w:color="000000"/>
            </w:tcBorders>
          </w:tcPr>
          <w:p w14:paraId="3D9BC264"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p>
        </w:tc>
        <w:tc>
          <w:tcPr>
            <w:tcW w:w="692" w:type="pct"/>
            <w:tcBorders>
              <w:top w:val="single" w:sz="4" w:space="0" w:color="000000"/>
              <w:left w:val="single" w:sz="4" w:space="0" w:color="000000"/>
              <w:bottom w:val="single" w:sz="4" w:space="0" w:color="000000"/>
              <w:right w:val="single" w:sz="4" w:space="0" w:color="000000"/>
            </w:tcBorders>
            <w:hideMark/>
          </w:tcPr>
          <w:p w14:paraId="1B7D5052"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6" w:type="pct"/>
            <w:tcBorders>
              <w:top w:val="single" w:sz="4" w:space="0" w:color="000000"/>
              <w:left w:val="single" w:sz="4" w:space="0" w:color="000000"/>
              <w:bottom w:val="single" w:sz="4" w:space="0" w:color="000000"/>
              <w:right w:val="single" w:sz="4" w:space="0" w:color="000000"/>
            </w:tcBorders>
          </w:tcPr>
          <w:p w14:paraId="317F1309"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p>
        </w:tc>
      </w:tr>
      <w:tr w:rsidR="00A2698A" w:rsidRPr="00A872F0" w14:paraId="313A2FCC" w14:textId="77777777" w:rsidTr="002C554B">
        <w:trPr>
          <w:trHeight w:val="246"/>
        </w:trPr>
        <w:tc>
          <w:tcPr>
            <w:tcW w:w="853" w:type="pct"/>
            <w:tcBorders>
              <w:top w:val="single" w:sz="4" w:space="0" w:color="000000"/>
              <w:left w:val="single" w:sz="4" w:space="0" w:color="000000"/>
              <w:bottom w:val="single" w:sz="4" w:space="0" w:color="000000"/>
              <w:right w:val="single" w:sz="4" w:space="0" w:color="000000"/>
            </w:tcBorders>
            <w:hideMark/>
          </w:tcPr>
          <w:p w14:paraId="644B04D8"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Nystatin (5µg/ml)</w:t>
            </w:r>
          </w:p>
        </w:tc>
        <w:tc>
          <w:tcPr>
            <w:tcW w:w="651" w:type="pct"/>
            <w:tcBorders>
              <w:top w:val="single" w:sz="4" w:space="0" w:color="000000"/>
              <w:left w:val="single" w:sz="4" w:space="0" w:color="000000"/>
              <w:bottom w:val="single" w:sz="4" w:space="0" w:color="000000"/>
              <w:right w:val="single" w:sz="4" w:space="0" w:color="000000"/>
            </w:tcBorders>
            <w:hideMark/>
          </w:tcPr>
          <w:p w14:paraId="2D05BDB1"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29" w:type="pct"/>
            <w:tcBorders>
              <w:top w:val="single" w:sz="4" w:space="0" w:color="000000"/>
              <w:left w:val="single" w:sz="4" w:space="0" w:color="000000"/>
              <w:bottom w:val="single" w:sz="4" w:space="0" w:color="000000"/>
              <w:right w:val="single" w:sz="4" w:space="0" w:color="000000"/>
            </w:tcBorders>
          </w:tcPr>
          <w:p w14:paraId="504B065E"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p>
        </w:tc>
        <w:tc>
          <w:tcPr>
            <w:tcW w:w="636" w:type="pct"/>
            <w:tcBorders>
              <w:top w:val="single" w:sz="4" w:space="0" w:color="000000"/>
              <w:left w:val="single" w:sz="4" w:space="0" w:color="000000"/>
              <w:bottom w:val="single" w:sz="4" w:space="0" w:color="000000"/>
              <w:right w:val="single" w:sz="4" w:space="0" w:color="000000"/>
            </w:tcBorders>
            <w:hideMark/>
          </w:tcPr>
          <w:p w14:paraId="69402088"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41" w:type="pct"/>
            <w:tcBorders>
              <w:top w:val="single" w:sz="4" w:space="0" w:color="000000"/>
              <w:left w:val="single" w:sz="4" w:space="0" w:color="000000"/>
              <w:bottom w:val="single" w:sz="4" w:space="0" w:color="000000"/>
              <w:right w:val="single" w:sz="4" w:space="0" w:color="000000"/>
            </w:tcBorders>
          </w:tcPr>
          <w:p w14:paraId="5C2D002F"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p>
        </w:tc>
        <w:tc>
          <w:tcPr>
            <w:tcW w:w="692" w:type="pct"/>
            <w:tcBorders>
              <w:top w:val="single" w:sz="4" w:space="0" w:color="000000"/>
              <w:left w:val="single" w:sz="4" w:space="0" w:color="000000"/>
              <w:bottom w:val="single" w:sz="4" w:space="0" w:color="000000"/>
              <w:right w:val="single" w:sz="4" w:space="0" w:color="000000"/>
            </w:tcBorders>
            <w:hideMark/>
          </w:tcPr>
          <w:p w14:paraId="456CF1CD"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21.7±0.10</w:t>
            </w:r>
          </w:p>
        </w:tc>
        <w:tc>
          <w:tcPr>
            <w:tcW w:w="696" w:type="pct"/>
            <w:tcBorders>
              <w:top w:val="single" w:sz="4" w:space="0" w:color="000000"/>
              <w:left w:val="single" w:sz="4" w:space="0" w:color="000000"/>
              <w:bottom w:val="single" w:sz="4" w:space="0" w:color="000000"/>
              <w:right w:val="single" w:sz="4" w:space="0" w:color="000000"/>
            </w:tcBorders>
          </w:tcPr>
          <w:p w14:paraId="7F85206F"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p>
        </w:tc>
      </w:tr>
      <w:tr w:rsidR="00A2698A" w:rsidRPr="00A872F0" w14:paraId="14A8EB14" w14:textId="77777777" w:rsidTr="002C554B">
        <w:trPr>
          <w:trHeight w:val="246"/>
        </w:trPr>
        <w:tc>
          <w:tcPr>
            <w:tcW w:w="5000" w:type="pct"/>
            <w:gridSpan w:val="7"/>
            <w:tcBorders>
              <w:top w:val="single" w:sz="4" w:space="0" w:color="000000"/>
              <w:left w:val="single" w:sz="4" w:space="0" w:color="000000"/>
              <w:bottom w:val="single" w:sz="4" w:space="0" w:color="000000"/>
              <w:right w:val="single" w:sz="4" w:space="0" w:color="000000"/>
            </w:tcBorders>
            <w:hideMark/>
          </w:tcPr>
          <w:p w14:paraId="2048672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The tests were performed in triplicates and results are expressed as mean ± SD</w:t>
            </w:r>
          </w:p>
        </w:tc>
      </w:tr>
    </w:tbl>
    <w:p w14:paraId="0EBA50E2" w14:textId="77777777" w:rsidR="00D32B8B" w:rsidRPr="008B33CC" w:rsidRDefault="00D32B8B" w:rsidP="0008082E">
      <w:pPr>
        <w:spacing w:before="120" w:after="120" w:line="480" w:lineRule="auto"/>
        <w:jc w:val="both"/>
        <w:rPr>
          <w:rFonts w:ascii="Times New Roman" w:hAnsi="Times New Roman"/>
          <w:b/>
          <w:color w:val="000000" w:themeColor="text1"/>
          <w:sz w:val="24"/>
          <w:szCs w:val="24"/>
        </w:rPr>
      </w:pPr>
    </w:p>
    <w:p w14:paraId="074B32AF" w14:textId="177B3357" w:rsidR="00D32B8B" w:rsidRPr="008B33CC" w:rsidRDefault="00D32B8B" w:rsidP="0008082E">
      <w:pPr>
        <w:spacing w:before="120" w:after="120" w:line="480" w:lineRule="auto"/>
        <w:jc w:val="both"/>
        <w:rPr>
          <w:rFonts w:ascii="Times New Roman" w:hAnsi="Times New Roman"/>
          <w:b/>
          <w:color w:val="000000" w:themeColor="text1"/>
          <w:sz w:val="24"/>
          <w:szCs w:val="24"/>
        </w:rPr>
      </w:pPr>
      <w:r w:rsidRPr="008B33CC">
        <w:rPr>
          <w:rFonts w:ascii="Times New Roman" w:hAnsi="Times New Roman"/>
          <w:i/>
          <w:noProof/>
          <w:color w:val="000000" w:themeColor="text1"/>
          <w:sz w:val="24"/>
          <w:szCs w:val="24"/>
        </w:rPr>
        <w:drawing>
          <wp:inline distT="0" distB="0" distL="0" distR="0" wp14:anchorId="68EF8BBB" wp14:editId="48D08476">
            <wp:extent cx="5943600" cy="1931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1931035"/>
                    </a:xfrm>
                    <a:prstGeom prst="rect">
                      <a:avLst/>
                    </a:prstGeom>
                  </pic:spPr>
                </pic:pic>
              </a:graphicData>
            </a:graphic>
          </wp:inline>
        </w:drawing>
      </w:r>
    </w:p>
    <w:p w14:paraId="296AF135" w14:textId="14762BEF" w:rsidR="00E50D65" w:rsidRPr="00E37EA2" w:rsidRDefault="00E50D65" w:rsidP="0008082E">
      <w:pPr>
        <w:spacing w:before="120" w:after="120" w:line="480" w:lineRule="auto"/>
        <w:jc w:val="both"/>
        <w:rPr>
          <w:rFonts w:ascii="Times New Roman" w:hAnsi="Times New Roman"/>
          <w:b/>
          <w:color w:val="000000" w:themeColor="text1"/>
          <w:sz w:val="24"/>
          <w:szCs w:val="24"/>
        </w:rPr>
      </w:pPr>
      <w:r w:rsidRPr="008B33CC">
        <w:rPr>
          <w:rFonts w:ascii="Times New Roman" w:hAnsi="Times New Roman"/>
          <w:b/>
          <w:color w:val="000000" w:themeColor="text1"/>
          <w:sz w:val="24"/>
          <w:szCs w:val="24"/>
        </w:rPr>
        <w:lastRenderedPageBreak/>
        <w:t>Figure 1</w:t>
      </w:r>
      <w:r w:rsidRPr="008B33CC">
        <w:rPr>
          <w:rFonts w:ascii="Times New Roman" w:hAnsi="Times New Roman"/>
          <w:color w:val="000000" w:themeColor="text1"/>
          <w:sz w:val="24"/>
          <w:szCs w:val="24"/>
        </w:rPr>
        <w:t xml:space="preserve">: </w:t>
      </w:r>
      <w:r w:rsidRPr="008B33CC">
        <w:rPr>
          <w:rFonts w:ascii="Times New Roman" w:hAnsi="Times New Roman"/>
          <w:bCs/>
          <w:color w:val="000000" w:themeColor="text1"/>
          <w:sz w:val="24"/>
          <w:szCs w:val="24"/>
        </w:rPr>
        <w:t xml:space="preserve">Zones of inhibition of isolated fractions (I-XVI) against </w:t>
      </w:r>
      <w:r w:rsidR="00CD3B6F" w:rsidRPr="00CD3B6F">
        <w:rPr>
          <w:rFonts w:ascii="Times New Roman" w:hAnsi="Times New Roman"/>
          <w:b/>
          <w:color w:val="000000" w:themeColor="text1"/>
          <w:sz w:val="24"/>
          <w:szCs w:val="24"/>
        </w:rPr>
        <w:t>a)</w:t>
      </w:r>
      <w:r w:rsidR="00CD3B6F">
        <w:rPr>
          <w:rFonts w:ascii="Times New Roman" w:hAnsi="Times New Roman"/>
          <w:bCs/>
          <w:color w:val="000000" w:themeColor="text1"/>
          <w:sz w:val="24"/>
          <w:szCs w:val="24"/>
        </w:rPr>
        <w:t xml:space="preserve"> </w:t>
      </w:r>
      <w:r w:rsidRPr="008B33CC">
        <w:rPr>
          <w:rFonts w:ascii="Times New Roman" w:hAnsi="Times New Roman"/>
          <w:bCs/>
          <w:i/>
          <w:color w:val="000000" w:themeColor="text1"/>
          <w:sz w:val="24"/>
          <w:szCs w:val="24"/>
        </w:rPr>
        <w:t>Candida albicans</w:t>
      </w:r>
      <w:r w:rsidR="00EB1E20" w:rsidRPr="008B33CC">
        <w:rPr>
          <w:rFonts w:ascii="Times New Roman" w:hAnsi="Times New Roman"/>
          <w:bCs/>
          <w:i/>
          <w:color w:val="000000" w:themeColor="text1"/>
          <w:sz w:val="24"/>
          <w:szCs w:val="24"/>
        </w:rPr>
        <w:t>,</w:t>
      </w:r>
      <w:r w:rsidR="00F06E3C" w:rsidRPr="008B33CC">
        <w:rPr>
          <w:rFonts w:ascii="Times New Roman" w:hAnsi="Times New Roman"/>
          <w:bCs/>
          <w:i/>
          <w:color w:val="000000" w:themeColor="text1"/>
          <w:sz w:val="24"/>
          <w:szCs w:val="24"/>
        </w:rPr>
        <w:t xml:space="preserve"> </w:t>
      </w:r>
      <w:proofErr w:type="gramStart"/>
      <w:r w:rsidR="00CD3B6F" w:rsidRPr="00CD3B6F">
        <w:rPr>
          <w:rFonts w:ascii="Times New Roman" w:hAnsi="Times New Roman"/>
          <w:b/>
          <w:iCs/>
          <w:color w:val="000000" w:themeColor="text1"/>
          <w:sz w:val="24"/>
          <w:szCs w:val="24"/>
        </w:rPr>
        <w:t>b)</w:t>
      </w:r>
      <w:r w:rsidRPr="008B33CC">
        <w:rPr>
          <w:rFonts w:ascii="Times New Roman" w:hAnsi="Times New Roman"/>
          <w:bCs/>
          <w:i/>
          <w:color w:val="000000" w:themeColor="text1"/>
          <w:sz w:val="24"/>
          <w:szCs w:val="24"/>
        </w:rPr>
        <w:t>Escherichia</w:t>
      </w:r>
      <w:proofErr w:type="gramEnd"/>
      <w:r w:rsidRPr="008B33CC">
        <w:rPr>
          <w:rFonts w:ascii="Times New Roman" w:hAnsi="Times New Roman"/>
          <w:bCs/>
          <w:i/>
          <w:color w:val="000000" w:themeColor="text1"/>
          <w:sz w:val="24"/>
          <w:szCs w:val="24"/>
        </w:rPr>
        <w:t xml:space="preserve"> coli </w:t>
      </w:r>
      <w:r w:rsidRPr="008B33CC">
        <w:rPr>
          <w:rFonts w:ascii="Times New Roman" w:hAnsi="Times New Roman"/>
          <w:bCs/>
          <w:color w:val="000000" w:themeColor="text1"/>
          <w:sz w:val="24"/>
          <w:szCs w:val="24"/>
        </w:rPr>
        <w:t>and</w:t>
      </w:r>
      <w:r w:rsidR="00CD3B6F">
        <w:rPr>
          <w:rFonts w:ascii="Times New Roman" w:hAnsi="Times New Roman"/>
          <w:bCs/>
          <w:color w:val="000000" w:themeColor="text1"/>
          <w:sz w:val="24"/>
          <w:szCs w:val="24"/>
        </w:rPr>
        <w:t xml:space="preserve"> </w:t>
      </w:r>
      <w:r w:rsidR="00CD3B6F" w:rsidRPr="00CD3B6F">
        <w:rPr>
          <w:rFonts w:ascii="Times New Roman" w:hAnsi="Times New Roman"/>
          <w:b/>
          <w:color w:val="000000" w:themeColor="text1"/>
          <w:sz w:val="24"/>
          <w:szCs w:val="24"/>
        </w:rPr>
        <w:t>c)</w:t>
      </w:r>
      <w:r w:rsidR="00CD3B6F">
        <w:rPr>
          <w:rFonts w:ascii="Times New Roman" w:hAnsi="Times New Roman"/>
          <w:b/>
          <w:color w:val="000000" w:themeColor="text1"/>
          <w:sz w:val="24"/>
          <w:szCs w:val="24"/>
        </w:rPr>
        <w:t xml:space="preserve"> </w:t>
      </w:r>
      <w:r w:rsidRPr="008B33CC">
        <w:rPr>
          <w:rFonts w:ascii="Times New Roman" w:hAnsi="Times New Roman"/>
          <w:bCs/>
          <w:i/>
          <w:color w:val="000000" w:themeColor="text1"/>
          <w:sz w:val="24"/>
          <w:szCs w:val="24"/>
        </w:rPr>
        <w:t>Staphylococcus aureus</w:t>
      </w:r>
      <w:r w:rsidR="00F06E3C" w:rsidRPr="00E37EA2">
        <w:rPr>
          <w:rFonts w:ascii="Times New Roman" w:hAnsi="Times New Roman"/>
          <w:bCs/>
          <w:i/>
          <w:color w:val="000000" w:themeColor="text1"/>
          <w:sz w:val="24"/>
          <w:szCs w:val="24"/>
        </w:rPr>
        <w:t xml:space="preserve"> </w:t>
      </w:r>
    </w:p>
    <w:p w14:paraId="06B45207" w14:textId="2385BB99" w:rsidR="00E50D65" w:rsidRPr="009F3C86" w:rsidRDefault="00E50D65" w:rsidP="0008082E">
      <w:pPr>
        <w:spacing w:before="120" w:after="120" w:line="480" w:lineRule="auto"/>
        <w:jc w:val="both"/>
        <w:rPr>
          <w:rFonts w:ascii="Times New Roman" w:hAnsi="Times New Roman"/>
          <w:b/>
          <w:bCs/>
          <w:i/>
          <w:color w:val="000000" w:themeColor="text1"/>
          <w:sz w:val="24"/>
          <w:szCs w:val="24"/>
        </w:rPr>
      </w:pPr>
      <w:r w:rsidRPr="009F3C86">
        <w:rPr>
          <w:rFonts w:ascii="Times New Roman" w:hAnsi="Times New Roman"/>
          <w:b/>
          <w:bCs/>
          <w:i/>
          <w:color w:val="000000" w:themeColor="text1"/>
          <w:sz w:val="24"/>
          <w:szCs w:val="24"/>
        </w:rPr>
        <w:t xml:space="preserve">Anti-oxidant activity </w:t>
      </w:r>
    </w:p>
    <w:p w14:paraId="428230C6" w14:textId="46F28EE9" w:rsidR="002F50F6"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The results demonstrated that fraction XVI was having significantly lowest IC</w:t>
      </w:r>
      <w:r w:rsidRPr="00E37EA2">
        <w:rPr>
          <w:rFonts w:ascii="Times New Roman" w:hAnsi="Times New Roman"/>
          <w:color w:val="000000" w:themeColor="text1"/>
          <w:sz w:val="24"/>
          <w:szCs w:val="24"/>
          <w:vertAlign w:val="subscript"/>
        </w:rPr>
        <w:t xml:space="preserve">50 </w:t>
      </w:r>
      <w:r w:rsidRPr="00E37EA2">
        <w:rPr>
          <w:rFonts w:ascii="Times New Roman" w:hAnsi="Times New Roman"/>
          <w:color w:val="000000" w:themeColor="text1"/>
          <w:sz w:val="24"/>
          <w:szCs w:val="24"/>
        </w:rPr>
        <w:t>value (p&lt;0.0001</w:t>
      </w:r>
      <w:r w:rsidR="00262A5E" w:rsidRPr="00E37EA2">
        <w:rPr>
          <w:rFonts w:ascii="Times New Roman" w:hAnsi="Times New Roman"/>
          <w:color w:val="000000" w:themeColor="text1"/>
          <w:sz w:val="24"/>
          <w:szCs w:val="24"/>
        </w:rPr>
        <w:t>)</w:t>
      </w:r>
      <w:r w:rsidR="003638B0" w:rsidRPr="00E37EA2">
        <w:rPr>
          <w:rFonts w:ascii="Times New Roman" w:hAnsi="Times New Roman"/>
          <w:color w:val="000000" w:themeColor="text1"/>
          <w:sz w:val="24"/>
          <w:szCs w:val="24"/>
        </w:rPr>
        <w:t xml:space="preserve"> as shown in Figure 2</w:t>
      </w:r>
      <w:r w:rsidR="00262A5E" w:rsidRPr="00E37EA2">
        <w:rPr>
          <w:rFonts w:ascii="Times New Roman" w:hAnsi="Times New Roman"/>
          <w:color w:val="000000" w:themeColor="text1"/>
          <w:sz w:val="24"/>
          <w:szCs w:val="24"/>
        </w:rPr>
        <w:t>.</w:t>
      </w:r>
      <w:r w:rsidRPr="00E37EA2">
        <w:rPr>
          <w:rFonts w:ascii="Times New Roman" w:hAnsi="Times New Roman"/>
          <w:color w:val="000000" w:themeColor="text1"/>
          <w:sz w:val="24"/>
          <w:szCs w:val="24"/>
        </w:rPr>
        <w:t xml:space="preserve"> </w:t>
      </w:r>
    </w:p>
    <w:p w14:paraId="179601FC" w14:textId="6EC04777" w:rsidR="002F50F6" w:rsidRPr="00E37EA2" w:rsidRDefault="00A1665C" w:rsidP="0008082E">
      <w:pPr>
        <w:spacing w:before="120" w:after="120" w:line="48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14:anchorId="433A344A" wp14:editId="260161A0">
            <wp:extent cx="5848350" cy="2276475"/>
            <wp:effectExtent l="0" t="0" r="0" b="9525"/>
            <wp:docPr id="203229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277" t="2847" r="5355" b="2249"/>
                    <a:stretch>
                      <a:fillRect/>
                    </a:stretch>
                  </pic:blipFill>
                  <pic:spPr bwMode="auto">
                    <a:xfrm>
                      <a:off x="0" y="0"/>
                      <a:ext cx="5886775" cy="2291432"/>
                    </a:xfrm>
                    <a:prstGeom prst="rect">
                      <a:avLst/>
                    </a:prstGeom>
                    <a:noFill/>
                    <a:ln>
                      <a:noFill/>
                    </a:ln>
                    <a:extLst>
                      <a:ext uri="{53640926-AAD7-44D8-BBD7-CCE9431645EC}">
                        <a14:shadowObscured xmlns:a14="http://schemas.microsoft.com/office/drawing/2010/main"/>
                      </a:ext>
                    </a:extLst>
                  </pic:spPr>
                </pic:pic>
              </a:graphicData>
            </a:graphic>
          </wp:inline>
        </w:drawing>
      </w:r>
    </w:p>
    <w:p w14:paraId="0C17EE94" w14:textId="19AE01F6" w:rsidR="00E50D65" w:rsidRPr="00E37EA2" w:rsidRDefault="00E50D65" w:rsidP="0008082E">
      <w:pPr>
        <w:pStyle w:val="ListParagraph"/>
        <w:spacing w:before="120" w:after="120" w:line="480" w:lineRule="auto"/>
        <w:ind w:left="0"/>
        <w:contextualSpacing w:val="0"/>
        <w:jc w:val="both"/>
        <w:rPr>
          <w:rFonts w:ascii="Times New Roman" w:hAnsi="Times New Roman"/>
          <w:bCs/>
          <w:color w:val="000000" w:themeColor="text1"/>
          <w:sz w:val="24"/>
          <w:szCs w:val="24"/>
        </w:rPr>
      </w:pPr>
      <w:r w:rsidRPr="00E37EA2">
        <w:rPr>
          <w:rFonts w:ascii="Times New Roman" w:hAnsi="Times New Roman"/>
          <w:b/>
          <w:bCs/>
          <w:color w:val="000000" w:themeColor="text1"/>
          <w:sz w:val="24"/>
          <w:szCs w:val="24"/>
        </w:rPr>
        <w:t>Figure 2</w:t>
      </w:r>
      <w:r w:rsidRPr="00E37EA2">
        <w:rPr>
          <w:rFonts w:ascii="Times New Roman" w:hAnsi="Times New Roman"/>
          <w:bCs/>
          <w:color w:val="000000" w:themeColor="text1"/>
          <w:sz w:val="24"/>
          <w:szCs w:val="24"/>
        </w:rPr>
        <w:t>: Anti-oxidant potential of various isolated fractions by comparison of IC</w:t>
      </w:r>
      <w:r w:rsidRPr="00E37EA2">
        <w:rPr>
          <w:rFonts w:ascii="Times New Roman" w:hAnsi="Times New Roman"/>
          <w:bCs/>
          <w:color w:val="000000" w:themeColor="text1"/>
          <w:sz w:val="24"/>
          <w:szCs w:val="24"/>
          <w:vertAlign w:val="subscript"/>
        </w:rPr>
        <w:t>50</w:t>
      </w:r>
      <w:r w:rsidRPr="00E37EA2">
        <w:rPr>
          <w:rFonts w:ascii="Times New Roman" w:hAnsi="Times New Roman"/>
          <w:bCs/>
          <w:color w:val="000000" w:themeColor="text1"/>
          <w:sz w:val="24"/>
          <w:szCs w:val="24"/>
        </w:rPr>
        <w:t xml:space="preserve"> values (mean</w:t>
      </w:r>
      <w:r w:rsidR="00391B86" w:rsidRPr="00E37EA2">
        <w:rPr>
          <w:rFonts w:ascii="Times New Roman" w:hAnsi="Times New Roman"/>
          <w:bCs/>
          <w:color w:val="000000" w:themeColor="text1"/>
          <w:sz w:val="24"/>
          <w:szCs w:val="24"/>
        </w:rPr>
        <w:t xml:space="preserve"> </w:t>
      </w:r>
      <w:r w:rsidRPr="00E37EA2">
        <w:rPr>
          <w:rFonts w:ascii="Times New Roman" w:hAnsi="Times New Roman"/>
          <w:bCs/>
          <w:color w:val="000000" w:themeColor="text1"/>
          <w:sz w:val="24"/>
          <w:szCs w:val="24"/>
        </w:rPr>
        <w:t>±</w:t>
      </w:r>
      <w:r w:rsidR="00391B86" w:rsidRPr="00E37EA2">
        <w:rPr>
          <w:rFonts w:ascii="Times New Roman" w:hAnsi="Times New Roman"/>
          <w:bCs/>
          <w:color w:val="000000" w:themeColor="text1"/>
          <w:sz w:val="24"/>
          <w:szCs w:val="24"/>
        </w:rPr>
        <w:t xml:space="preserve"> </w:t>
      </w:r>
      <w:r w:rsidRPr="00E37EA2">
        <w:rPr>
          <w:rFonts w:ascii="Times New Roman" w:hAnsi="Times New Roman"/>
          <w:bCs/>
          <w:color w:val="000000" w:themeColor="text1"/>
          <w:sz w:val="24"/>
          <w:szCs w:val="24"/>
        </w:rPr>
        <w:t>SD, n=3)</w:t>
      </w:r>
    </w:p>
    <w:p w14:paraId="0D2853A6" w14:textId="77777777" w:rsidR="00E50D65" w:rsidRPr="00E37EA2" w:rsidRDefault="00E50D65" w:rsidP="0008082E">
      <w:pPr>
        <w:pStyle w:val="ListParagraph"/>
        <w:spacing w:before="120" w:after="120" w:line="480" w:lineRule="auto"/>
        <w:ind w:left="0"/>
        <w:contextualSpacing w:val="0"/>
        <w:jc w:val="both"/>
        <w:rPr>
          <w:rFonts w:ascii="Times New Roman" w:hAnsi="Times New Roman"/>
          <w:i/>
          <w:color w:val="000000" w:themeColor="text1"/>
          <w:sz w:val="24"/>
          <w:szCs w:val="24"/>
        </w:rPr>
      </w:pPr>
      <w:r w:rsidRPr="00E37EA2">
        <w:rPr>
          <w:rFonts w:ascii="Times New Roman" w:hAnsi="Times New Roman"/>
          <w:i/>
          <w:color w:val="000000" w:themeColor="text1"/>
          <w:sz w:val="24"/>
          <w:szCs w:val="24"/>
        </w:rPr>
        <w:t>Isolation of SHK from potent fraction</w:t>
      </w:r>
    </w:p>
    <w:p w14:paraId="5F1DBD67" w14:textId="096C6CF0" w:rsidR="00E50D65" w:rsidRPr="00E37EA2" w:rsidRDefault="00E50D65" w:rsidP="0008082E">
      <w:pPr>
        <w:pStyle w:val="ListParagraph"/>
        <w:spacing w:before="120" w:after="120" w:line="480" w:lineRule="auto"/>
        <w:ind w:left="0"/>
        <w:contextualSpacing w:val="0"/>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Fraction XVI was subjected to sub column chromatography with 5% ethyl acetate which showed four distinct bands and one prominent band. Consequently, </w:t>
      </w:r>
      <w:r w:rsidR="001E20A4">
        <w:rPr>
          <w:rFonts w:ascii="Times New Roman" w:hAnsi="Times New Roman"/>
          <w:color w:val="000000" w:themeColor="text1"/>
          <w:sz w:val="24"/>
          <w:szCs w:val="24"/>
        </w:rPr>
        <w:t>Thin Layer Chromatography</w:t>
      </w:r>
      <w:r w:rsidR="001E20A4" w:rsidRPr="00E37EA2">
        <w:rPr>
          <w:rFonts w:ascii="Times New Roman" w:hAnsi="Times New Roman"/>
          <w:color w:val="000000" w:themeColor="text1"/>
          <w:sz w:val="24"/>
          <w:szCs w:val="24"/>
        </w:rPr>
        <w:t xml:space="preserve"> </w:t>
      </w:r>
      <w:r w:rsidR="001E20A4">
        <w:rPr>
          <w:rFonts w:ascii="Times New Roman" w:hAnsi="Times New Roman"/>
          <w:color w:val="000000" w:themeColor="text1"/>
          <w:sz w:val="24"/>
          <w:szCs w:val="24"/>
        </w:rPr>
        <w:t>(</w:t>
      </w:r>
      <w:r w:rsidRPr="00E37EA2">
        <w:rPr>
          <w:rFonts w:ascii="Times New Roman" w:hAnsi="Times New Roman"/>
          <w:color w:val="000000" w:themeColor="text1"/>
          <w:sz w:val="24"/>
          <w:szCs w:val="24"/>
        </w:rPr>
        <w:t>TLC</w:t>
      </w:r>
      <w:r w:rsidR="001E20A4">
        <w:rPr>
          <w:rFonts w:ascii="Times New Roman" w:hAnsi="Times New Roman"/>
          <w:color w:val="000000" w:themeColor="text1"/>
          <w:sz w:val="24"/>
          <w:szCs w:val="24"/>
        </w:rPr>
        <w:t>)</w:t>
      </w:r>
      <w:r w:rsidRPr="00E37EA2">
        <w:rPr>
          <w:rFonts w:ascii="Times New Roman" w:hAnsi="Times New Roman"/>
          <w:color w:val="000000" w:themeColor="text1"/>
          <w:sz w:val="24"/>
          <w:szCs w:val="24"/>
        </w:rPr>
        <w:t xml:space="preserve"> analysis of fraction XVI was performed using </w:t>
      </w:r>
      <w:r w:rsidR="006C0305" w:rsidRPr="00E37EA2">
        <w:rPr>
          <w:rFonts w:ascii="Times New Roman" w:hAnsi="Times New Roman"/>
          <w:color w:val="000000" w:themeColor="text1"/>
          <w:sz w:val="24"/>
          <w:szCs w:val="24"/>
        </w:rPr>
        <w:t>hexane: ethyl</w:t>
      </w:r>
      <w:r w:rsidRPr="00E37EA2">
        <w:rPr>
          <w:rFonts w:ascii="Times New Roman" w:hAnsi="Times New Roman"/>
          <w:color w:val="000000" w:themeColor="text1"/>
          <w:sz w:val="24"/>
          <w:szCs w:val="24"/>
        </w:rPr>
        <w:t xml:space="preserve"> acetate (7:3) solvent system revealing the presence of distinct spots with visual, short UV and long UV. Further, TLC of hydrolyzed extract resulted in a distinct spot and its comparison with reference SHK accentuated isolation of SHK in its purest form (97% pure). A sub column of the hydrolyzed extract of fraction (FXVI) </w:t>
      </w:r>
      <w:r w:rsidRPr="00E37EA2">
        <w:rPr>
          <w:rFonts w:ascii="Times New Roman" w:hAnsi="Times New Roman"/>
          <w:color w:val="000000" w:themeColor="text1"/>
          <w:sz w:val="24"/>
          <w:szCs w:val="24"/>
        </w:rPr>
        <w:lastRenderedPageBreak/>
        <w:t>was then maintained to obtain higher yield of SHK (20 mg from 100 g roots).</w:t>
      </w:r>
      <w:r w:rsidRPr="00E37EA2">
        <w:rPr>
          <w:rFonts w:ascii="Times New Roman" w:hAnsi="Times New Roman"/>
          <w:i/>
          <w:color w:val="000000" w:themeColor="text1"/>
          <w:sz w:val="24"/>
          <w:szCs w:val="24"/>
        </w:rPr>
        <w:t xml:space="preserve"> </w:t>
      </w:r>
      <w:r w:rsidRPr="00E37EA2">
        <w:rPr>
          <w:rFonts w:ascii="Times New Roman" w:hAnsi="Times New Roman"/>
          <w:color w:val="000000" w:themeColor="text1"/>
          <w:sz w:val="24"/>
          <w:szCs w:val="24"/>
        </w:rPr>
        <w:t xml:space="preserve">Identification of potent fraction is a vital step prior to proceeding with the formulation development. </w:t>
      </w:r>
    </w:p>
    <w:p w14:paraId="12F7F7CE" w14:textId="77777777" w:rsidR="00E50D65" w:rsidRPr="00E37EA2" w:rsidRDefault="00E50D65" w:rsidP="0008082E">
      <w:pPr>
        <w:pStyle w:val="ListParagraph"/>
        <w:spacing w:before="120" w:after="120" w:line="480" w:lineRule="auto"/>
        <w:ind w:left="0"/>
        <w:contextualSpacing w:val="0"/>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3.2 Identification and analysis of isolated SHK</w:t>
      </w:r>
    </w:p>
    <w:p w14:paraId="19A019A2" w14:textId="2FE34E10" w:rsidR="00245E9A" w:rsidRPr="00245E9A" w:rsidRDefault="00E50D65" w:rsidP="0008082E">
      <w:pPr>
        <w:pStyle w:val="ListParagraph"/>
        <w:spacing w:before="120" w:after="120" w:line="480" w:lineRule="auto"/>
        <w:ind w:left="0"/>
        <w:contextualSpacing w:val="0"/>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Isolated SHK (red powder) was freely soluble in chloroform, methanol and acetonitrile (10 mg soluble in &gt; 1 mL) and insoluble in water (10 mg insoluble in &gt; 100 mL). It exhibited a sharp melting point at 146 ℃. HPLC chromatogram of SHK was recorded in order to determine its purity. Representative </w:t>
      </w:r>
      <w:r w:rsidRPr="00104DE4">
        <w:rPr>
          <w:rFonts w:ascii="Times New Roman" w:hAnsi="Times New Roman"/>
          <w:color w:val="000000" w:themeColor="text1"/>
          <w:sz w:val="24"/>
          <w:szCs w:val="24"/>
        </w:rPr>
        <w:t xml:space="preserve">chromatogram of SHK was monitored at 518 nm and the SHK retention time was found to be 4.308 (Figure </w:t>
      </w:r>
      <w:r w:rsidR="00B843E4" w:rsidRPr="00104DE4">
        <w:rPr>
          <w:rFonts w:ascii="Times New Roman" w:hAnsi="Times New Roman"/>
          <w:color w:val="000000" w:themeColor="text1"/>
          <w:sz w:val="24"/>
          <w:szCs w:val="24"/>
        </w:rPr>
        <w:t>S2</w:t>
      </w:r>
      <w:r w:rsidR="00AA014D" w:rsidRPr="00104DE4">
        <w:rPr>
          <w:rFonts w:ascii="Times New Roman" w:hAnsi="Times New Roman"/>
          <w:color w:val="000000" w:themeColor="text1"/>
          <w:sz w:val="24"/>
          <w:szCs w:val="24"/>
        </w:rPr>
        <w:t>a</w:t>
      </w:r>
      <w:r w:rsidRPr="00104DE4">
        <w:rPr>
          <w:rFonts w:ascii="Times New Roman" w:hAnsi="Times New Roman"/>
          <w:color w:val="000000" w:themeColor="text1"/>
          <w:sz w:val="24"/>
          <w:szCs w:val="24"/>
        </w:rPr>
        <w:t>)</w:t>
      </w:r>
      <w:r w:rsidR="00245E9A" w:rsidRPr="00104DE4">
        <w:rPr>
          <w:rFonts w:ascii="Times New Roman" w:hAnsi="Times New Roman"/>
          <w:color w:val="000000" w:themeColor="text1"/>
          <w:sz w:val="24"/>
          <w:szCs w:val="24"/>
        </w:rPr>
        <w:t xml:space="preserve"> </w:t>
      </w:r>
      <w:r w:rsidR="00B843E4" w:rsidRPr="00104DE4">
        <w:rPr>
          <w:rFonts w:ascii="Times New Roman" w:hAnsi="Times New Roman"/>
          <w:color w:val="000000" w:themeColor="text1"/>
          <w:sz w:val="24"/>
          <w:szCs w:val="24"/>
        </w:rPr>
        <w:t>and compared with reported data</w:t>
      </w:r>
      <w:r w:rsidR="00AA014D" w:rsidRPr="00104DE4">
        <w:rPr>
          <w:rFonts w:ascii="Times New Roman" w:hAnsi="Times New Roman"/>
          <w:color w:val="000000" w:themeColor="text1"/>
          <w:sz w:val="24"/>
          <w:szCs w:val="24"/>
        </w:rPr>
        <w:t xml:space="preserve"> (Figure S2b)</w:t>
      </w:r>
      <w:r w:rsidRPr="00104DE4">
        <w:rPr>
          <w:rFonts w:ascii="Times New Roman" w:hAnsi="Times New Roman"/>
          <w:color w:val="000000" w:themeColor="text1"/>
          <w:sz w:val="24"/>
          <w:szCs w:val="24"/>
        </w:rPr>
        <w:t>.</w:t>
      </w:r>
      <w:r w:rsidR="00B843E4" w:rsidRPr="00104DE4">
        <w:rPr>
          <w:rFonts w:ascii="Times New Roman" w:hAnsi="Times New Roman"/>
          <w:color w:val="000000" w:themeColor="text1"/>
          <w:sz w:val="24"/>
          <w:szCs w:val="24"/>
        </w:rPr>
        <w:t xml:space="preserve"> Furthermore, the spectra obtained from FTIR analysis </w:t>
      </w:r>
      <w:r w:rsidR="00EE5145" w:rsidRPr="00104DE4">
        <w:rPr>
          <w:rFonts w:ascii="Times New Roman" w:hAnsi="Times New Roman"/>
          <w:color w:val="000000" w:themeColor="text1"/>
          <w:sz w:val="24"/>
          <w:szCs w:val="24"/>
        </w:rPr>
        <w:t xml:space="preserve">was </w:t>
      </w:r>
      <w:r w:rsidR="00B843E4" w:rsidRPr="00104DE4">
        <w:rPr>
          <w:rFonts w:ascii="Times New Roman" w:hAnsi="Times New Roman"/>
          <w:color w:val="000000" w:themeColor="text1"/>
          <w:sz w:val="24"/>
          <w:szCs w:val="24"/>
        </w:rPr>
        <w:t xml:space="preserve">compared with </w:t>
      </w:r>
      <w:r w:rsidR="00EE5145" w:rsidRPr="00104DE4">
        <w:rPr>
          <w:rFonts w:ascii="Times New Roman" w:hAnsi="Times New Roman"/>
          <w:color w:val="000000" w:themeColor="text1"/>
          <w:sz w:val="24"/>
          <w:szCs w:val="24"/>
        </w:rPr>
        <w:t xml:space="preserve">standard spectra of Shikalkin </w:t>
      </w:r>
      <w:r w:rsidR="00B843E4" w:rsidRPr="00104DE4">
        <w:rPr>
          <w:rFonts w:ascii="Times New Roman" w:hAnsi="Times New Roman"/>
          <w:color w:val="000000" w:themeColor="text1"/>
          <w:sz w:val="24"/>
          <w:szCs w:val="24"/>
        </w:rPr>
        <w:t>(Figure S3)</w:t>
      </w:r>
      <w:r w:rsidR="00EE5145" w:rsidRPr="00104DE4">
        <w:rPr>
          <w:rFonts w:ascii="Times New Roman" w:hAnsi="Times New Roman"/>
          <w:color w:val="000000" w:themeColor="text1"/>
          <w:sz w:val="24"/>
          <w:szCs w:val="24"/>
        </w:rPr>
        <w:t>, therefore</w:t>
      </w:r>
      <w:r w:rsidR="00EE5145">
        <w:rPr>
          <w:rFonts w:ascii="Times New Roman" w:hAnsi="Times New Roman"/>
          <w:color w:val="000000" w:themeColor="text1"/>
          <w:sz w:val="24"/>
          <w:szCs w:val="24"/>
        </w:rPr>
        <w:t xml:space="preserve">, </w:t>
      </w:r>
      <w:r w:rsidR="00EE5145" w:rsidRPr="00EE5145">
        <w:rPr>
          <w:rFonts w:ascii="Times New Roman" w:hAnsi="Times New Roman"/>
          <w:color w:val="000000" w:themeColor="text1"/>
          <w:sz w:val="24"/>
          <w:szCs w:val="24"/>
        </w:rPr>
        <w:t>verif</w:t>
      </w:r>
      <w:r w:rsidR="00EE5145">
        <w:rPr>
          <w:rFonts w:ascii="Times New Roman" w:hAnsi="Times New Roman"/>
          <w:color w:val="000000" w:themeColor="text1"/>
          <w:sz w:val="24"/>
          <w:szCs w:val="24"/>
        </w:rPr>
        <w:t xml:space="preserve">ying </w:t>
      </w:r>
      <w:r w:rsidR="00EE5145" w:rsidRPr="00EE5145">
        <w:rPr>
          <w:rFonts w:ascii="Times New Roman" w:hAnsi="Times New Roman"/>
          <w:color w:val="000000" w:themeColor="text1"/>
          <w:sz w:val="24"/>
          <w:szCs w:val="24"/>
        </w:rPr>
        <w:t xml:space="preserve">that the isolated potent fraction contains </w:t>
      </w:r>
      <w:proofErr w:type="spellStart"/>
      <w:r w:rsidR="00EE5145" w:rsidRPr="00EE5145">
        <w:rPr>
          <w:rFonts w:ascii="Times New Roman" w:hAnsi="Times New Roman"/>
          <w:color w:val="000000" w:themeColor="text1"/>
          <w:sz w:val="24"/>
          <w:szCs w:val="24"/>
        </w:rPr>
        <w:t>shikalkin</w:t>
      </w:r>
      <w:proofErr w:type="spellEnd"/>
      <w:r w:rsidR="00EE5145">
        <w:rPr>
          <w:rFonts w:ascii="Times New Roman" w:hAnsi="Times New Roman"/>
          <w:color w:val="000000" w:themeColor="text1"/>
          <w:sz w:val="24"/>
          <w:szCs w:val="24"/>
        </w:rPr>
        <w:t xml:space="preserve">. </w:t>
      </w:r>
      <w:r w:rsidRPr="00B843E4">
        <w:rPr>
          <w:rFonts w:ascii="Times New Roman" w:hAnsi="Times New Roman"/>
          <w:color w:val="000000" w:themeColor="text1"/>
          <w:sz w:val="24"/>
          <w:szCs w:val="24"/>
        </w:rPr>
        <w:t xml:space="preserve">In addition, the X-ray pattern of potent fraction showed sharp peaks at 9° and 21° at the 2θ scale which signifies crystalline nature of isolated compound (Figure </w:t>
      </w:r>
      <w:r w:rsidR="006C0305" w:rsidRPr="00B843E4">
        <w:rPr>
          <w:rFonts w:ascii="Times New Roman" w:hAnsi="Times New Roman"/>
          <w:color w:val="000000" w:themeColor="text1"/>
          <w:sz w:val="24"/>
          <w:szCs w:val="24"/>
        </w:rPr>
        <w:t>3</w:t>
      </w:r>
      <w:r w:rsidRPr="00B843E4">
        <w:rPr>
          <w:rFonts w:ascii="Times New Roman" w:hAnsi="Times New Roman"/>
          <w:color w:val="000000" w:themeColor="text1"/>
          <w:sz w:val="24"/>
          <w:szCs w:val="24"/>
        </w:rPr>
        <w:t>).</w:t>
      </w:r>
    </w:p>
    <w:p w14:paraId="2FE189E9" w14:textId="6324E633" w:rsidR="00671AE0" w:rsidRPr="008E1E53" w:rsidRDefault="008E1E53" w:rsidP="0008082E">
      <w:pPr>
        <w:pStyle w:val="ListParagraph"/>
        <w:spacing w:before="120" w:after="120" w:line="480" w:lineRule="auto"/>
        <w:ind w:left="0"/>
        <w:contextualSpacing w:val="0"/>
        <w:jc w:val="both"/>
        <w:rPr>
          <w:rFonts w:ascii="Times New Roman" w:hAnsi="Times New Roman"/>
          <w:b/>
          <w:color w:val="000000" w:themeColor="text1"/>
          <w:sz w:val="24"/>
          <w:szCs w:val="24"/>
        </w:rPr>
      </w:pPr>
      <w:r>
        <w:rPr>
          <w:noProof/>
        </w:rPr>
        <w:drawing>
          <wp:inline distT="0" distB="0" distL="0" distR="0" wp14:anchorId="190B66AD" wp14:editId="3D570F84">
            <wp:extent cx="6162675" cy="2047788"/>
            <wp:effectExtent l="0" t="0" r="0" b="0"/>
            <wp:docPr id="17710594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59432" name=""/>
                    <pic:cNvPicPr/>
                  </pic:nvPicPr>
                  <pic:blipFill rotWithShape="1">
                    <a:blip r:embed="rId10">
                      <a:extLst>
                        <a:ext uri="{96DAC541-7B7A-43D3-8B79-37D633B846F1}">
                          <asvg:svgBlip xmlns:asvg="http://schemas.microsoft.com/office/drawing/2016/SVG/main" r:embed="rId11"/>
                        </a:ext>
                      </a:extLst>
                    </a:blip>
                    <a:srcRect l="25571" t="32460" r="24653" b="32474"/>
                    <a:stretch>
                      <a:fillRect/>
                    </a:stretch>
                  </pic:blipFill>
                  <pic:spPr bwMode="auto">
                    <a:xfrm>
                      <a:off x="0" y="0"/>
                      <a:ext cx="6263051" cy="2081142"/>
                    </a:xfrm>
                    <a:prstGeom prst="rect">
                      <a:avLst/>
                    </a:prstGeom>
                    <a:ln>
                      <a:noFill/>
                    </a:ln>
                    <a:extLst>
                      <a:ext uri="{53640926-AAD7-44D8-BBD7-CCE9431645EC}">
                        <a14:shadowObscured xmlns:a14="http://schemas.microsoft.com/office/drawing/2010/main"/>
                      </a:ext>
                    </a:extLst>
                  </pic:spPr>
                </pic:pic>
              </a:graphicData>
            </a:graphic>
          </wp:inline>
        </w:drawing>
      </w:r>
      <w:r w:rsidR="00E50D65" w:rsidRPr="00EE5145">
        <w:rPr>
          <w:rFonts w:ascii="Times New Roman" w:hAnsi="Times New Roman"/>
          <w:b/>
          <w:color w:val="000000" w:themeColor="text1"/>
          <w:sz w:val="24"/>
          <w:szCs w:val="24"/>
        </w:rPr>
        <w:t>Figure 3</w:t>
      </w:r>
      <w:r w:rsidR="00EE5145" w:rsidRPr="00EE5145">
        <w:rPr>
          <w:rFonts w:ascii="Times New Roman" w:hAnsi="Times New Roman"/>
          <w:b/>
          <w:color w:val="000000" w:themeColor="text1"/>
          <w:sz w:val="24"/>
          <w:szCs w:val="24"/>
        </w:rPr>
        <w:t>:</w:t>
      </w:r>
      <w:r w:rsidR="00E50D65" w:rsidRPr="00E37EA2">
        <w:rPr>
          <w:rFonts w:ascii="Times New Roman" w:hAnsi="Times New Roman"/>
          <w:b/>
          <w:color w:val="000000" w:themeColor="text1"/>
          <w:sz w:val="24"/>
          <w:szCs w:val="24"/>
        </w:rPr>
        <w:t xml:space="preserve"> </w:t>
      </w:r>
      <w:r w:rsidR="00E50D65" w:rsidRPr="00E37EA2">
        <w:rPr>
          <w:rFonts w:ascii="Times New Roman" w:hAnsi="Times New Roman"/>
          <w:color w:val="000000" w:themeColor="text1"/>
          <w:sz w:val="24"/>
          <w:szCs w:val="24"/>
        </w:rPr>
        <w:t xml:space="preserve">X-ray </w:t>
      </w:r>
      <w:r w:rsidR="006C0305" w:rsidRPr="00E37EA2">
        <w:rPr>
          <w:rFonts w:ascii="Times New Roman" w:hAnsi="Times New Roman"/>
          <w:color w:val="000000" w:themeColor="text1"/>
          <w:sz w:val="24"/>
          <w:szCs w:val="24"/>
        </w:rPr>
        <w:t>diffractogram</w:t>
      </w:r>
      <w:r w:rsidR="00E50D65" w:rsidRPr="00E37EA2">
        <w:rPr>
          <w:rFonts w:ascii="Times New Roman" w:hAnsi="Times New Roman"/>
          <w:color w:val="000000" w:themeColor="text1"/>
          <w:sz w:val="24"/>
          <w:szCs w:val="24"/>
        </w:rPr>
        <w:t xml:space="preserve"> of</w:t>
      </w:r>
      <w:r>
        <w:rPr>
          <w:rFonts w:ascii="Times New Roman" w:hAnsi="Times New Roman"/>
          <w:color w:val="000000" w:themeColor="text1"/>
          <w:sz w:val="24"/>
          <w:szCs w:val="24"/>
        </w:rPr>
        <w:t xml:space="preserve"> </w:t>
      </w:r>
      <w:r w:rsidR="00E50D65" w:rsidRPr="00E37EA2">
        <w:rPr>
          <w:rFonts w:ascii="Times New Roman" w:hAnsi="Times New Roman"/>
          <w:color w:val="000000" w:themeColor="text1"/>
          <w:sz w:val="24"/>
          <w:szCs w:val="24"/>
        </w:rPr>
        <w:t xml:space="preserve">isolated SHK </w:t>
      </w:r>
    </w:p>
    <w:p w14:paraId="62F7E5E2" w14:textId="77777777" w:rsidR="00E50D65" w:rsidRPr="00E37EA2" w:rsidRDefault="00E50D65"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3.3 Preliminary selection screening of excipients for microsponges and the optimization of formulation and process variables</w:t>
      </w:r>
    </w:p>
    <w:p w14:paraId="1067579A" w14:textId="50C2E9A9" w:rsidR="00A1665C" w:rsidRDefault="00E50D65" w:rsidP="00A1665C">
      <w:pPr>
        <w:spacing w:before="120" w:after="120" w:line="480" w:lineRule="auto"/>
        <w:jc w:val="both"/>
        <w:rPr>
          <w:rFonts w:ascii="Times New Roman" w:hAnsi="Times New Roman"/>
          <w:color w:val="000000" w:themeColor="text1"/>
          <w:sz w:val="24"/>
          <w:szCs w:val="24"/>
        </w:rPr>
      </w:pPr>
      <w:r w:rsidRPr="00104DE4">
        <w:rPr>
          <w:rFonts w:ascii="Times New Roman" w:hAnsi="Times New Roman"/>
          <w:color w:val="000000" w:themeColor="text1"/>
          <w:sz w:val="24"/>
          <w:szCs w:val="24"/>
        </w:rPr>
        <w:lastRenderedPageBreak/>
        <w:t>The results of the preliminary s</w:t>
      </w:r>
      <w:r w:rsidR="00322A2D" w:rsidRPr="00104DE4">
        <w:rPr>
          <w:rFonts w:ascii="Times New Roman" w:hAnsi="Times New Roman"/>
          <w:color w:val="000000" w:themeColor="text1"/>
          <w:sz w:val="24"/>
          <w:szCs w:val="24"/>
        </w:rPr>
        <w:t xml:space="preserve">tudies are summarized in Table </w:t>
      </w:r>
      <w:r w:rsidR="005B0EA6" w:rsidRPr="00104DE4">
        <w:rPr>
          <w:rFonts w:ascii="Times New Roman" w:hAnsi="Times New Roman"/>
          <w:color w:val="000000" w:themeColor="text1"/>
          <w:sz w:val="24"/>
          <w:szCs w:val="24"/>
        </w:rPr>
        <w:t>S</w:t>
      </w:r>
      <w:r w:rsidR="00B5071C" w:rsidRPr="00104DE4">
        <w:rPr>
          <w:rFonts w:ascii="Times New Roman" w:hAnsi="Times New Roman"/>
          <w:color w:val="000000" w:themeColor="text1"/>
          <w:sz w:val="24"/>
          <w:szCs w:val="24"/>
        </w:rPr>
        <w:t>2</w:t>
      </w:r>
      <w:r w:rsidRPr="00104DE4">
        <w:rPr>
          <w:rFonts w:ascii="Times New Roman" w:hAnsi="Times New Roman"/>
          <w:color w:val="000000" w:themeColor="text1"/>
          <w:sz w:val="24"/>
          <w:szCs w:val="24"/>
        </w:rPr>
        <w:t>. On</w:t>
      </w:r>
      <w:r w:rsidRPr="008B33CC">
        <w:rPr>
          <w:rFonts w:ascii="Times New Roman" w:hAnsi="Times New Roman"/>
          <w:color w:val="000000" w:themeColor="text1"/>
          <w:sz w:val="24"/>
          <w:szCs w:val="24"/>
        </w:rPr>
        <w:t xml:space="preserve"> the basis of percent yield, particle size and polydispersity index of developed batches, formulations F6, F8, F13 and F19 were selected for evaluation of SHK loading capacity. Formulation F6 containing ethyl</w:t>
      </w:r>
      <w:r w:rsidR="00C50BE2" w:rsidRPr="008B33CC">
        <w:rPr>
          <w:rFonts w:ascii="Times New Roman" w:hAnsi="Times New Roman"/>
          <w:color w:val="000000" w:themeColor="text1"/>
          <w:sz w:val="24"/>
          <w:szCs w:val="24"/>
        </w:rPr>
        <w:t xml:space="preserve"> </w:t>
      </w:r>
      <w:r w:rsidRPr="008B33CC">
        <w:rPr>
          <w:rFonts w:ascii="Times New Roman" w:hAnsi="Times New Roman"/>
          <w:color w:val="000000" w:themeColor="text1"/>
          <w:sz w:val="24"/>
          <w:szCs w:val="24"/>
        </w:rPr>
        <w:t xml:space="preserve">cellulose as polymer and dichloromethane: methanol (5:1) mixture as solvent was selected as it showed significantly higher SHK content (p&lt;0.0001) of 90.11±0.92 µg/ml. Moreover, the rate of diffusion of this solvent mixture was found to be highest as compared to other solvents. SHK was freely soluble in the solvent providing better entrapment and imparting better </w:t>
      </w:r>
      <w:proofErr w:type="spellStart"/>
      <w:r w:rsidRPr="008B33CC">
        <w:rPr>
          <w:rFonts w:ascii="Times New Roman" w:hAnsi="Times New Roman"/>
          <w:color w:val="000000" w:themeColor="text1"/>
          <w:sz w:val="24"/>
          <w:szCs w:val="24"/>
        </w:rPr>
        <w:t>microsponge</w:t>
      </w:r>
      <w:proofErr w:type="spellEnd"/>
      <w:r w:rsidRPr="008B33CC">
        <w:rPr>
          <w:rFonts w:ascii="Times New Roman" w:hAnsi="Times New Roman"/>
          <w:color w:val="000000" w:themeColor="text1"/>
          <w:sz w:val="24"/>
          <w:szCs w:val="24"/>
        </w:rPr>
        <w:t xml:space="preserve"> characteristics. </w:t>
      </w:r>
    </w:p>
    <w:p w14:paraId="522E3CF9" w14:textId="77777777" w:rsidR="00E50D65"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Preliminary trials undertaken to establish the effect of polymer concentration, internal phase volume, ratio of internal phase, surfactant concentration, external phase volume and stirring speed on the varied characteristics of microsponges which aids better perception in controlling the process parameters during the development microsponges.</w:t>
      </w:r>
    </w:p>
    <w:p w14:paraId="7CC4EB64" w14:textId="77777777" w:rsidR="003B7775"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i/>
          <w:color w:val="000000" w:themeColor="text1"/>
          <w:sz w:val="24"/>
          <w:szCs w:val="24"/>
        </w:rPr>
        <w:t>Effect of various process variables on the particle size</w:t>
      </w:r>
      <w:r w:rsidR="006F319A" w:rsidRPr="00E37EA2">
        <w:rPr>
          <w:rFonts w:ascii="Times New Roman" w:hAnsi="Times New Roman"/>
          <w:color w:val="000000" w:themeColor="text1"/>
          <w:sz w:val="24"/>
          <w:szCs w:val="24"/>
        </w:rPr>
        <w:t>-</w:t>
      </w:r>
    </w:p>
    <w:p w14:paraId="52E60116" w14:textId="5E8A99B0" w:rsidR="00E50D65" w:rsidRPr="00E37EA2" w:rsidRDefault="006F319A"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Increase</w:t>
      </w:r>
      <w:r w:rsidR="00E50D65" w:rsidRPr="00E37EA2">
        <w:rPr>
          <w:rFonts w:ascii="Times New Roman" w:hAnsi="Times New Roman"/>
          <w:color w:val="000000" w:themeColor="text1"/>
          <w:sz w:val="24"/>
          <w:szCs w:val="24"/>
        </w:rPr>
        <w:t xml:space="preserve"> in polymer concentration led to significant increase (p&lt;0.0001</w:t>
      </w:r>
      <w:r w:rsidRPr="00E37EA2">
        <w:rPr>
          <w:rFonts w:ascii="Times New Roman" w:hAnsi="Times New Roman"/>
          <w:color w:val="000000" w:themeColor="text1"/>
          <w:sz w:val="24"/>
          <w:szCs w:val="24"/>
        </w:rPr>
        <w:t>) in</w:t>
      </w:r>
      <w:r w:rsidR="00E50D65" w:rsidRPr="00E37EA2">
        <w:rPr>
          <w:rFonts w:ascii="Times New Roman" w:hAnsi="Times New Roman"/>
          <w:color w:val="000000" w:themeColor="text1"/>
          <w:sz w:val="24"/>
          <w:szCs w:val="24"/>
        </w:rPr>
        <w:t xml:space="preserve"> particle size of microsponges (Figure </w:t>
      </w:r>
      <w:r w:rsidR="003B7775" w:rsidRPr="008B33CC">
        <w:rPr>
          <w:rFonts w:ascii="Times New Roman" w:hAnsi="Times New Roman"/>
          <w:color w:val="000000" w:themeColor="text1"/>
          <w:sz w:val="24"/>
          <w:szCs w:val="24"/>
        </w:rPr>
        <w:t>4</w:t>
      </w:r>
      <w:r w:rsidR="00552A44" w:rsidRPr="008B33CC">
        <w:rPr>
          <w:rFonts w:ascii="Times New Roman" w:hAnsi="Times New Roman"/>
          <w:color w:val="000000" w:themeColor="text1"/>
          <w:sz w:val="24"/>
          <w:szCs w:val="24"/>
        </w:rPr>
        <w:t>a).</w:t>
      </w:r>
      <w:r w:rsidR="00E50D65" w:rsidRPr="00E37EA2">
        <w:rPr>
          <w:rFonts w:ascii="Times New Roman" w:hAnsi="Times New Roman"/>
          <w:color w:val="000000" w:themeColor="text1"/>
          <w:sz w:val="24"/>
          <w:szCs w:val="24"/>
        </w:rPr>
        <w:t xml:space="preserve"> that can be attributed to increased viscosity of the internal phase which resulted in more rigid and compact polymer coat</w:t>
      </w:r>
      <w:r w:rsidR="00A45E23">
        <w:rPr>
          <w:rFonts w:ascii="Times New Roman" w:hAnsi="Times New Roman"/>
          <w:color w:val="000000" w:themeColor="text1"/>
          <w:sz w:val="24"/>
          <w:szCs w:val="24"/>
        </w:rPr>
        <w:t xml:space="preserve"> (</w:t>
      </w:r>
      <w:proofErr w:type="spellStart"/>
      <w:r w:rsidR="00F87D02" w:rsidRPr="00AB6F37">
        <w:rPr>
          <w:rFonts w:ascii="Times New Roman" w:hAnsi="Times New Roman"/>
          <w:sz w:val="24"/>
          <w:szCs w:val="24"/>
        </w:rPr>
        <w:t>Çomoğlu</w:t>
      </w:r>
      <w:proofErr w:type="spellEnd"/>
      <w:r w:rsidR="00F87D02" w:rsidRPr="00AB6F37">
        <w:rPr>
          <w:rFonts w:ascii="Times New Roman" w:hAnsi="Times New Roman"/>
          <w:sz w:val="24"/>
          <w:szCs w:val="24"/>
        </w:rPr>
        <w:t xml:space="preserve"> </w:t>
      </w:r>
      <w:r w:rsidR="00F87D02">
        <w:rPr>
          <w:rFonts w:ascii="Times New Roman" w:hAnsi="Times New Roman"/>
          <w:sz w:val="24"/>
          <w:szCs w:val="24"/>
        </w:rPr>
        <w:t xml:space="preserve">et al., 2003; </w:t>
      </w:r>
      <w:r w:rsidR="00A45E23" w:rsidRPr="00AB6F37">
        <w:rPr>
          <w:rFonts w:ascii="Times New Roman" w:hAnsi="Times New Roman"/>
          <w:sz w:val="24"/>
          <w:szCs w:val="24"/>
        </w:rPr>
        <w:t>Abdelmalak</w:t>
      </w:r>
      <w:r w:rsidR="00A45E23">
        <w:rPr>
          <w:rFonts w:ascii="Times New Roman" w:hAnsi="Times New Roman"/>
          <w:sz w:val="24"/>
          <w:szCs w:val="24"/>
        </w:rPr>
        <w:t xml:space="preserve"> and </w:t>
      </w:r>
      <w:r w:rsidR="00A45E23" w:rsidRPr="00AB6F37">
        <w:rPr>
          <w:rFonts w:ascii="Times New Roman" w:hAnsi="Times New Roman"/>
          <w:sz w:val="24"/>
          <w:szCs w:val="24"/>
        </w:rPr>
        <w:t>El-</w:t>
      </w:r>
      <w:proofErr w:type="spellStart"/>
      <w:r w:rsidR="00A45E23" w:rsidRPr="00AB6F37">
        <w:rPr>
          <w:rFonts w:ascii="Times New Roman" w:hAnsi="Times New Roman"/>
          <w:sz w:val="24"/>
          <w:szCs w:val="24"/>
        </w:rPr>
        <w:t>Menshawe</w:t>
      </w:r>
      <w:proofErr w:type="spellEnd"/>
      <w:r w:rsidR="00F87D02">
        <w:rPr>
          <w:rFonts w:ascii="Times New Roman" w:hAnsi="Times New Roman"/>
          <w:sz w:val="24"/>
          <w:szCs w:val="24"/>
        </w:rPr>
        <w:t xml:space="preserve"> </w:t>
      </w:r>
      <w:r w:rsidR="00A45E23" w:rsidRPr="00AB6F37">
        <w:rPr>
          <w:rFonts w:ascii="Times New Roman" w:hAnsi="Times New Roman"/>
          <w:sz w:val="24"/>
          <w:szCs w:val="24"/>
        </w:rPr>
        <w:t>2012</w:t>
      </w:r>
      <w:r w:rsidR="00A45E23">
        <w:rPr>
          <w:rFonts w:ascii="Times New Roman" w:hAnsi="Times New Roman"/>
          <w:sz w:val="24"/>
          <w:szCs w:val="24"/>
        </w:rPr>
        <w:t xml:space="preserve">; </w:t>
      </w:r>
      <w:r w:rsidR="00A45E23" w:rsidRPr="00AB6F37">
        <w:rPr>
          <w:rFonts w:ascii="Times New Roman" w:hAnsi="Times New Roman"/>
          <w:sz w:val="24"/>
          <w:szCs w:val="24"/>
        </w:rPr>
        <w:t>Arya</w:t>
      </w:r>
      <w:r w:rsidR="00A45E23">
        <w:rPr>
          <w:rFonts w:ascii="Times New Roman" w:hAnsi="Times New Roman"/>
          <w:sz w:val="24"/>
          <w:szCs w:val="24"/>
        </w:rPr>
        <w:t xml:space="preserve"> </w:t>
      </w:r>
      <w:r w:rsidR="00455EAA">
        <w:rPr>
          <w:rFonts w:ascii="Times New Roman" w:hAnsi="Times New Roman"/>
          <w:sz w:val="24"/>
          <w:szCs w:val="24"/>
        </w:rPr>
        <w:t>&amp;</w:t>
      </w:r>
      <w:r w:rsidR="00A45E23">
        <w:rPr>
          <w:rFonts w:ascii="Times New Roman" w:hAnsi="Times New Roman"/>
          <w:sz w:val="24"/>
          <w:szCs w:val="24"/>
        </w:rPr>
        <w:t xml:space="preserve"> </w:t>
      </w:r>
      <w:r w:rsidR="00A45E23" w:rsidRPr="00AB6F37">
        <w:rPr>
          <w:rFonts w:ascii="Times New Roman" w:hAnsi="Times New Roman"/>
          <w:sz w:val="24"/>
          <w:szCs w:val="24"/>
        </w:rPr>
        <w:t>Pathak</w:t>
      </w:r>
      <w:r w:rsidR="00A45E23">
        <w:rPr>
          <w:rFonts w:ascii="Times New Roman" w:hAnsi="Times New Roman"/>
          <w:sz w:val="24"/>
          <w:szCs w:val="24"/>
        </w:rPr>
        <w:t xml:space="preserve"> </w:t>
      </w:r>
      <w:r w:rsidR="00A45E23" w:rsidRPr="00AB6F37">
        <w:rPr>
          <w:rFonts w:ascii="Times New Roman" w:hAnsi="Times New Roman"/>
          <w:sz w:val="24"/>
          <w:szCs w:val="24"/>
        </w:rPr>
        <w:t>2014</w:t>
      </w:r>
      <w:r w:rsidR="00A45E23">
        <w:rPr>
          <w:rFonts w:ascii="Times New Roman" w:hAnsi="Times New Roman"/>
          <w:sz w:val="24"/>
          <w:szCs w:val="24"/>
        </w:rPr>
        <w:t>)</w:t>
      </w:r>
      <w:r w:rsidR="00A45E23" w:rsidRPr="00AB6F37">
        <w:rPr>
          <w:rFonts w:ascii="Times New Roman" w:hAnsi="Times New Roman"/>
          <w:sz w:val="24"/>
          <w:szCs w:val="24"/>
        </w:rPr>
        <w:t xml:space="preserve">. </w:t>
      </w:r>
      <w:r w:rsidR="00E50D65" w:rsidRPr="00E37EA2">
        <w:rPr>
          <w:rFonts w:ascii="Times New Roman" w:hAnsi="Times New Roman"/>
          <w:color w:val="000000" w:themeColor="text1"/>
          <w:sz w:val="24"/>
          <w:szCs w:val="24"/>
        </w:rPr>
        <w:t xml:space="preserve"> An increase in the volume of solvent (dichloromethane: methanol) in the internal phase led to decreased particle size of the microsponges (p&lt;0.002) owing to lesser concentration of the SHK in high volume of solvent. </w:t>
      </w:r>
      <w:proofErr w:type="spellStart"/>
      <w:r w:rsidR="00E50D65" w:rsidRPr="00E37EA2">
        <w:rPr>
          <w:rFonts w:ascii="Times New Roman" w:hAnsi="Times New Roman"/>
          <w:color w:val="000000" w:themeColor="text1"/>
          <w:sz w:val="24"/>
          <w:szCs w:val="24"/>
        </w:rPr>
        <w:t>Nokhodchi</w:t>
      </w:r>
      <w:proofErr w:type="spellEnd"/>
      <w:r w:rsidR="00E50D65" w:rsidRPr="00E37EA2">
        <w:rPr>
          <w:rFonts w:ascii="Times New Roman" w:hAnsi="Times New Roman"/>
          <w:color w:val="000000" w:themeColor="text1"/>
          <w:sz w:val="24"/>
          <w:szCs w:val="24"/>
        </w:rPr>
        <w:t xml:space="preserve"> et al</w:t>
      </w:r>
      <w:r w:rsidR="00B570B2" w:rsidRPr="00E37EA2">
        <w:rPr>
          <w:rFonts w:ascii="Times New Roman" w:hAnsi="Times New Roman"/>
          <w:color w:val="000000" w:themeColor="text1"/>
          <w:sz w:val="24"/>
          <w:szCs w:val="24"/>
        </w:rPr>
        <w:t xml:space="preserve">. </w:t>
      </w:r>
      <w:r w:rsidR="00E50D65" w:rsidRPr="00E37EA2">
        <w:rPr>
          <w:rFonts w:ascii="Times New Roman" w:hAnsi="Times New Roman"/>
          <w:color w:val="000000" w:themeColor="text1"/>
          <w:sz w:val="24"/>
          <w:szCs w:val="24"/>
        </w:rPr>
        <w:t>reported similar results about the influence of volume of internal phase on the particle size of microsponges</w:t>
      </w:r>
      <w:r w:rsidR="00F87D02">
        <w:rPr>
          <w:rFonts w:ascii="Times New Roman" w:hAnsi="Times New Roman"/>
          <w:color w:val="000000" w:themeColor="text1"/>
          <w:sz w:val="24"/>
          <w:szCs w:val="24"/>
        </w:rPr>
        <w:t xml:space="preserve"> (</w:t>
      </w:r>
      <w:proofErr w:type="spellStart"/>
      <w:r w:rsidR="00F87D02" w:rsidRPr="00AB6F37">
        <w:rPr>
          <w:rFonts w:ascii="Times New Roman" w:hAnsi="Times New Roman"/>
          <w:sz w:val="24"/>
          <w:szCs w:val="24"/>
        </w:rPr>
        <w:t>Nokhodchi</w:t>
      </w:r>
      <w:proofErr w:type="spellEnd"/>
      <w:r w:rsidR="00F87D02">
        <w:rPr>
          <w:rFonts w:ascii="Times New Roman" w:hAnsi="Times New Roman"/>
          <w:sz w:val="24"/>
          <w:szCs w:val="24"/>
        </w:rPr>
        <w:t xml:space="preserve"> et al., 2007).</w:t>
      </w:r>
      <w:r w:rsidR="00F856DB" w:rsidRPr="00E37EA2">
        <w:rPr>
          <w:rFonts w:ascii="Times New Roman" w:hAnsi="Times New Roman"/>
          <w:color w:val="000000" w:themeColor="text1"/>
          <w:sz w:val="24"/>
          <w:szCs w:val="24"/>
        </w:rPr>
        <w:t xml:space="preserve"> Moreover</w:t>
      </w:r>
      <w:r w:rsidR="00E50D65" w:rsidRPr="00E37EA2">
        <w:rPr>
          <w:rFonts w:ascii="Times New Roman" w:hAnsi="Times New Roman"/>
          <w:color w:val="000000" w:themeColor="text1"/>
          <w:sz w:val="24"/>
          <w:szCs w:val="24"/>
        </w:rPr>
        <w:t xml:space="preserve">, high volume of internal phase ruptured the sponges resulting in irregular shaped and smaller microsponges whereas the lesser volume of internal phase </w:t>
      </w:r>
      <w:r w:rsidR="00E50D65" w:rsidRPr="00E37EA2">
        <w:rPr>
          <w:rFonts w:ascii="Times New Roman" w:hAnsi="Times New Roman"/>
          <w:color w:val="000000" w:themeColor="text1"/>
          <w:sz w:val="24"/>
          <w:szCs w:val="24"/>
        </w:rPr>
        <w:lastRenderedPageBreak/>
        <w:t>increased the viscosity of internal phase leading to formation of larger droplets that need more energy to be divided when added to external aqueous phase</w:t>
      </w:r>
      <w:r w:rsidR="00F87D02">
        <w:rPr>
          <w:rFonts w:ascii="Times New Roman" w:hAnsi="Times New Roman"/>
          <w:color w:val="000000" w:themeColor="text1"/>
          <w:sz w:val="24"/>
          <w:szCs w:val="24"/>
        </w:rPr>
        <w:t xml:space="preserve"> (</w:t>
      </w:r>
      <w:proofErr w:type="spellStart"/>
      <w:r w:rsidR="00F87D02" w:rsidRPr="00AB6F37">
        <w:rPr>
          <w:rFonts w:ascii="Times New Roman" w:hAnsi="Times New Roman"/>
          <w:sz w:val="24"/>
          <w:szCs w:val="24"/>
        </w:rPr>
        <w:t>Obiedallah</w:t>
      </w:r>
      <w:proofErr w:type="spellEnd"/>
      <w:r w:rsidR="00F87D02">
        <w:rPr>
          <w:rFonts w:ascii="Times New Roman" w:hAnsi="Times New Roman"/>
          <w:sz w:val="24"/>
          <w:szCs w:val="24"/>
        </w:rPr>
        <w:t xml:space="preserve"> et al., 2018).</w:t>
      </w:r>
    </w:p>
    <w:p w14:paraId="5CC480A8" w14:textId="5BC1D841" w:rsidR="00E50D65" w:rsidRPr="00E37EA2" w:rsidRDefault="00E50D65" w:rsidP="0008082E">
      <w:pPr>
        <w:spacing w:before="120" w:after="120" w:line="480" w:lineRule="auto"/>
        <w:jc w:val="both"/>
        <w:rPr>
          <w:rFonts w:ascii="Times New Roman" w:hAnsi="Times New Roman"/>
          <w:b/>
          <w:i/>
          <w:color w:val="000000" w:themeColor="text1"/>
          <w:sz w:val="24"/>
          <w:szCs w:val="24"/>
        </w:rPr>
      </w:pPr>
      <w:r w:rsidRPr="00E37EA2">
        <w:rPr>
          <w:rFonts w:ascii="Times New Roman" w:hAnsi="Times New Roman"/>
          <w:color w:val="000000" w:themeColor="text1"/>
          <w:sz w:val="24"/>
          <w:szCs w:val="24"/>
        </w:rPr>
        <w:t>The ratio of solvents in the organic phase had a prominent effect on the size of microsponges. Increase in amount of dichloromethane in the solvent mixture significantly increased (p&lt;0.0001) the particle size of microsponges. Concentration of emulsifying agent seems preponderant in controlling the particle size of microsponges with a proportionate effect. Increase in surfactant concentration significantly decreases interfacial tension (p&lt;0.0001) resulting in reduced particle size. It has been established that increased differences in the viscosities of internal and external phase results in increased mean particle size of microsponges</w:t>
      </w:r>
      <w:r w:rsidR="00F87D02">
        <w:rPr>
          <w:rFonts w:ascii="Times New Roman" w:hAnsi="Times New Roman"/>
          <w:color w:val="000000" w:themeColor="text1"/>
          <w:sz w:val="24"/>
          <w:szCs w:val="24"/>
        </w:rPr>
        <w:t xml:space="preserve"> (Perumal 2001). </w:t>
      </w:r>
      <w:r w:rsidRPr="00E37EA2">
        <w:rPr>
          <w:rFonts w:ascii="Times New Roman" w:hAnsi="Times New Roman"/>
          <w:color w:val="000000" w:themeColor="text1"/>
          <w:sz w:val="24"/>
          <w:szCs w:val="24"/>
        </w:rPr>
        <w:t xml:space="preserve">Increase in volume of external phase also significantly increased </w:t>
      </w:r>
      <w:r w:rsidR="00196D95" w:rsidRPr="00E37EA2">
        <w:rPr>
          <w:rFonts w:ascii="Times New Roman" w:hAnsi="Times New Roman"/>
          <w:color w:val="000000" w:themeColor="text1"/>
          <w:sz w:val="24"/>
          <w:szCs w:val="24"/>
        </w:rPr>
        <w:t xml:space="preserve">the </w:t>
      </w:r>
      <w:r w:rsidRPr="00E37EA2">
        <w:rPr>
          <w:rFonts w:ascii="Times New Roman" w:hAnsi="Times New Roman"/>
          <w:color w:val="000000" w:themeColor="text1"/>
          <w:sz w:val="24"/>
          <w:szCs w:val="24"/>
        </w:rPr>
        <w:t>particle size (p&lt;0.0001).</w:t>
      </w:r>
    </w:p>
    <w:p w14:paraId="4BEFAB84" w14:textId="5131B778" w:rsidR="00FE0329" w:rsidRPr="00A1665C"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Furthermore, stirring speed was also observed to have a crucial impact on the particle size of developed microsponges. A significant decrease in the size of microsponges</w:t>
      </w:r>
      <w:r w:rsidR="00196D95" w:rsidRPr="00E37EA2">
        <w:rPr>
          <w:rFonts w:ascii="Times New Roman" w:hAnsi="Times New Roman"/>
          <w:color w:val="000000" w:themeColor="text1"/>
          <w:sz w:val="24"/>
          <w:szCs w:val="24"/>
        </w:rPr>
        <w:t xml:space="preserve"> </w:t>
      </w:r>
      <w:r w:rsidR="009A1E4F">
        <w:rPr>
          <w:rFonts w:ascii="Times New Roman" w:hAnsi="Times New Roman"/>
          <w:color w:val="000000" w:themeColor="text1"/>
          <w:sz w:val="24"/>
          <w:szCs w:val="24"/>
        </w:rPr>
        <w:t>(p&lt;0.0001)</w:t>
      </w:r>
      <w:r w:rsidRPr="00E37EA2">
        <w:rPr>
          <w:rFonts w:ascii="Times New Roman" w:hAnsi="Times New Roman"/>
          <w:color w:val="000000" w:themeColor="text1"/>
          <w:sz w:val="24"/>
          <w:szCs w:val="24"/>
        </w:rPr>
        <w:t xml:space="preserve"> with increase in stirring speed can be attributed to turbulence effect at the high speed, probably related to constant, dynamic and increased mechanical shear at higher mixing resulting in rapid dispersion of formed droplets which may have less chances of coalescing into larger droplets</w:t>
      </w:r>
      <w:r w:rsidR="00F87D02">
        <w:rPr>
          <w:rFonts w:ascii="Times New Roman" w:hAnsi="Times New Roman"/>
          <w:color w:val="000000" w:themeColor="text1"/>
          <w:sz w:val="24"/>
          <w:szCs w:val="24"/>
        </w:rPr>
        <w:t xml:space="preserve"> (Salah et al., 2018). </w:t>
      </w:r>
      <w:r w:rsidRPr="00E37EA2">
        <w:rPr>
          <w:rFonts w:ascii="Times New Roman" w:hAnsi="Times New Roman"/>
          <w:color w:val="000000" w:themeColor="text1"/>
          <w:sz w:val="24"/>
          <w:szCs w:val="24"/>
        </w:rPr>
        <w:t>An optimum stirring speed of 600 rpm was thus selected which yielded spherical and uniform particles.</w:t>
      </w:r>
    </w:p>
    <w:p w14:paraId="08A78849" w14:textId="0C5774C6" w:rsidR="00E50D65" w:rsidRPr="00E37EA2" w:rsidRDefault="0011653D" w:rsidP="0008082E">
      <w:pPr>
        <w:spacing w:before="120" w:after="120" w:line="480" w:lineRule="auto"/>
        <w:jc w:val="both"/>
        <w:rPr>
          <w:rFonts w:ascii="Times New Roman" w:hAnsi="Times New Roman"/>
          <w:color w:val="000000" w:themeColor="text1"/>
          <w:sz w:val="24"/>
          <w:szCs w:val="24"/>
        </w:rPr>
      </w:pPr>
      <w:r w:rsidRPr="008B33CC">
        <w:rPr>
          <w:rFonts w:ascii="Times New Roman" w:hAnsi="Times New Roman"/>
          <w:noProof/>
          <w:sz w:val="24"/>
          <w:szCs w:val="24"/>
        </w:rPr>
        <w:lastRenderedPageBreak/>
        <mc:AlternateContent>
          <mc:Choice Requires="wps">
            <w:drawing>
              <wp:anchor distT="0" distB="0" distL="114300" distR="114300" simplePos="0" relativeHeight="251661312" behindDoc="0" locked="0" layoutInCell="1" allowOverlap="1" wp14:anchorId="0A9FC5A6" wp14:editId="01E88FF4">
                <wp:simplePos x="0" y="0"/>
                <wp:positionH relativeFrom="column">
                  <wp:posOffset>99060</wp:posOffset>
                </wp:positionH>
                <wp:positionV relativeFrom="paragraph">
                  <wp:posOffset>-22860</wp:posOffset>
                </wp:positionV>
                <wp:extent cx="327660" cy="220980"/>
                <wp:effectExtent l="0" t="0" r="15240" b="26670"/>
                <wp:wrapNone/>
                <wp:docPr id="248183414" name="Rectangle 3"/>
                <wp:cNvGraphicFramePr/>
                <a:graphic xmlns:a="http://schemas.openxmlformats.org/drawingml/2006/main">
                  <a:graphicData uri="http://schemas.microsoft.com/office/word/2010/wordprocessingShape">
                    <wps:wsp>
                      <wps:cNvSpPr/>
                      <wps:spPr>
                        <a:xfrm>
                          <a:off x="0" y="0"/>
                          <a:ext cx="327660" cy="22098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270F825" w14:textId="47190678" w:rsidR="001437BB" w:rsidRPr="0011653D" w:rsidRDefault="001437BB" w:rsidP="0011653D">
                            <w:pPr>
                              <w:jc w:val="center"/>
                              <w:rPr>
                                <w:rFonts w:ascii="Times New Roman" w:hAnsi="Times New Roman"/>
                                <w:b/>
                                <w:bCs/>
                                <w:sz w:val="14"/>
                                <w:szCs w:val="14"/>
                              </w:rPr>
                            </w:pPr>
                            <w:r w:rsidRPr="0011653D">
                              <w:rPr>
                                <w:rFonts w:ascii="Times New Roman" w:hAnsi="Times New Roman"/>
                                <w:b/>
                                <w:bCs/>
                                <w:sz w:val="14"/>
                                <w:szCs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FC5A6" id="Rectangle 3" o:spid="_x0000_s1026" style="position:absolute;left:0;text-align:left;margin-left:7.8pt;margin-top:-1.8pt;width:25.8pt;height:1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4prZwIAAC4FAAAOAAAAZHJzL2Uyb0RvYy54bWysVEtv2zAMvg/YfxB0X514XR9BnSJo0WFA&#10;0QZth54VWUqMyaJGKbGzXz9KfiToih2GXWTR5MfnR11dt7VhO4W+Alvw6cmEM2UllJVdF/z7y92n&#10;C858ELYUBqwq+F55fj3/+OGqcTOVwwZMqZCRE+tnjSv4JgQ3yzIvN6oW/gScsqTUgLUIJOI6K1E0&#10;5L02WT6ZnGUNYOkQpPKe/t52Sj5P/rVWMjxq7VVgpuCUW0gnpnMVz2x+JWZrFG5TyT4N8Q9Z1KKy&#10;FHR0dSuCYFus/nBVVxLBgw4nEuoMtK6kSjVQNdPJm2qeN8KpVAs1x7uxTf7/uZUPu2e3RGpD4/zM&#10;0zVW0Wqs45fyY21q1n5slmoDk/Tzc35+dkYtlaTK88nlRWpmdgA79OGrgprFS8GRZpFaJHb3PlBA&#10;Mh1MYixj4+nBVOVdZUwSIgvUjUG2EzS/1Xoa50W4IyuSIjI7pJ9uYW9U5/VJaVaVlHCeoidmHXyW&#10;PwafxpJlhGiKPoKm74FMGEC9bYSpxLYROHkPeIg2WqeIYMMIrCsL+Hew7uyHqrtaY9mhXbX9KFdQ&#10;7pfIEDrKeyfvKprDvfBhKZA4TqOjvQ2PdGgDTcGhv3G2Afz13v9oT9QjLWcN7UzB/c+tQMWZ+WaJ&#10;lJfT09O4ZEk4/XKek4DHmtWxxm7rG6CxTumFcDJdo30ww1Uj1K+03osYlVTCSopdcBlwEG5Ct8v0&#10;QEi1WCQzWiwnwr19djI6jw2OPHtpXwW6noyBWPwAw36J2RtOdrYRaWGxDaCrRNjY4q6vfetpKRMf&#10;+wckbv2xnKwOz9z8NwAAAP//AwBQSwMEFAAGAAgAAAAhAEL6f4fcAAAABwEAAA8AAABkcnMvZG93&#10;bnJldi54bWxMjsFOwzAQRO9I/IO1SFyq1kkqAoQ4VVXEgQMqFD7AiZckwl5HsZOGv2c5wWk0mtHM&#10;K3eLs2LGMfSeFKSbBARS401PrYKP96f1HYgQNRltPaGCbwywqy4vSl0Yf6Y3nE+xFTxCodAKuhiH&#10;QsrQdOh02PgBibNPPzod2Y6tNKM+87izMkuSXDrdEz90esBDh83XaXIKDvE4rx7rem/NtHoN9y/P&#10;IfWDUtdXy/4BRMQl/pXhF5/RoWKm2k9kgrDsb3JuKlhvWTnPbzMQtYJtmoGsSvmfv/oBAAD//wMA&#10;UEsBAi0AFAAGAAgAAAAhALaDOJL+AAAA4QEAABMAAAAAAAAAAAAAAAAAAAAAAFtDb250ZW50X1R5&#10;cGVzXS54bWxQSwECLQAUAAYACAAAACEAOP0h/9YAAACUAQAACwAAAAAAAAAAAAAAAAAvAQAAX3Jl&#10;bHMvLnJlbHNQSwECLQAUAAYACAAAACEARi+Ka2cCAAAuBQAADgAAAAAAAAAAAAAAAAAuAgAAZHJz&#10;L2Uyb0RvYy54bWxQSwECLQAUAAYACAAAACEAQvp/h9wAAAAHAQAADwAAAAAAAAAAAAAAAADBBAAA&#10;ZHJzL2Rvd25yZXYueG1sUEsFBgAAAAAEAAQA8wAAAMoFAAAAAA==&#10;" fillcolor="white [3201]" strokecolor="white [3212]" strokeweight="2pt">
                <v:textbox>
                  <w:txbxContent>
                    <w:p w14:paraId="2270F825" w14:textId="47190678" w:rsidR="001437BB" w:rsidRPr="0011653D" w:rsidRDefault="001437BB" w:rsidP="0011653D">
                      <w:pPr>
                        <w:jc w:val="center"/>
                        <w:rPr>
                          <w:rFonts w:ascii="Times New Roman" w:hAnsi="Times New Roman"/>
                          <w:b/>
                          <w:bCs/>
                          <w:sz w:val="14"/>
                          <w:szCs w:val="14"/>
                        </w:rPr>
                      </w:pPr>
                      <w:r w:rsidRPr="0011653D">
                        <w:rPr>
                          <w:rFonts w:ascii="Times New Roman" w:hAnsi="Times New Roman"/>
                          <w:b/>
                          <w:bCs/>
                          <w:sz w:val="14"/>
                          <w:szCs w:val="14"/>
                        </w:rPr>
                        <w:t>a</w:t>
                      </w:r>
                    </w:p>
                  </w:txbxContent>
                </v:textbox>
              </v:rect>
            </w:pict>
          </mc:Fallback>
        </mc:AlternateContent>
      </w:r>
      <w:r w:rsidR="00FE0329" w:rsidRPr="008B33CC">
        <w:rPr>
          <w:rFonts w:ascii="Times New Roman" w:hAnsi="Times New Roman"/>
          <w:noProof/>
          <w:sz w:val="24"/>
          <w:szCs w:val="24"/>
        </w:rPr>
        <w:drawing>
          <wp:inline distT="0" distB="0" distL="0" distR="0" wp14:anchorId="2F3F5A05" wp14:editId="60223AE0">
            <wp:extent cx="5638799" cy="1862667"/>
            <wp:effectExtent l="0" t="0" r="635" b="444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a:srcRect l="2566" t="4086" r="2468" b="67307"/>
                    <a:stretch/>
                  </pic:blipFill>
                  <pic:spPr bwMode="auto">
                    <a:xfrm>
                      <a:off x="0" y="0"/>
                      <a:ext cx="5650782" cy="1866625"/>
                    </a:xfrm>
                    <a:prstGeom prst="rect">
                      <a:avLst/>
                    </a:prstGeom>
                    <a:ln>
                      <a:noFill/>
                    </a:ln>
                    <a:extLst>
                      <a:ext uri="{53640926-AAD7-44D8-BBD7-CCE9431645EC}">
                        <a14:shadowObscured xmlns:a14="http://schemas.microsoft.com/office/drawing/2010/main"/>
                      </a:ext>
                    </a:extLst>
                  </pic:spPr>
                </pic:pic>
              </a:graphicData>
            </a:graphic>
          </wp:inline>
        </w:drawing>
      </w:r>
      <w:r w:rsidR="00E50D65" w:rsidRPr="008B33CC">
        <w:rPr>
          <w:rFonts w:ascii="Times New Roman" w:hAnsi="Times New Roman"/>
          <w:b/>
          <w:color w:val="000000" w:themeColor="text1"/>
          <w:sz w:val="24"/>
          <w:szCs w:val="24"/>
        </w:rPr>
        <w:t xml:space="preserve">Figure </w:t>
      </w:r>
      <w:r w:rsidR="002A61AD" w:rsidRPr="008B33CC">
        <w:rPr>
          <w:rFonts w:ascii="Times New Roman" w:hAnsi="Times New Roman"/>
          <w:b/>
          <w:color w:val="000000" w:themeColor="text1"/>
          <w:sz w:val="24"/>
          <w:szCs w:val="24"/>
        </w:rPr>
        <w:t>4</w:t>
      </w:r>
      <w:r w:rsidR="00E50D65" w:rsidRPr="008B33CC">
        <w:rPr>
          <w:rFonts w:ascii="Times New Roman" w:hAnsi="Times New Roman"/>
          <w:b/>
          <w:color w:val="000000" w:themeColor="text1"/>
          <w:sz w:val="24"/>
          <w:szCs w:val="24"/>
        </w:rPr>
        <w:t xml:space="preserve"> </w:t>
      </w:r>
      <w:r w:rsidR="00552A44" w:rsidRPr="008B33CC">
        <w:rPr>
          <w:rFonts w:ascii="Times New Roman" w:hAnsi="Times New Roman"/>
          <w:b/>
          <w:color w:val="000000" w:themeColor="text1"/>
          <w:sz w:val="24"/>
          <w:szCs w:val="24"/>
        </w:rPr>
        <w:t>a</w:t>
      </w:r>
      <w:r w:rsidR="000E4335">
        <w:rPr>
          <w:rFonts w:ascii="Times New Roman" w:hAnsi="Times New Roman"/>
          <w:b/>
          <w:color w:val="000000" w:themeColor="text1"/>
          <w:sz w:val="24"/>
          <w:szCs w:val="24"/>
        </w:rPr>
        <w:t>)</w:t>
      </w:r>
      <w:r w:rsidR="00E12161" w:rsidRPr="008B33CC">
        <w:rPr>
          <w:rFonts w:ascii="Times New Roman" w:hAnsi="Times New Roman"/>
          <w:b/>
          <w:color w:val="000000" w:themeColor="text1"/>
          <w:sz w:val="24"/>
          <w:szCs w:val="24"/>
        </w:rPr>
        <w:t>:</w:t>
      </w:r>
      <w:r w:rsidR="00552A44" w:rsidRPr="008B33CC">
        <w:rPr>
          <w:rFonts w:ascii="Times New Roman" w:hAnsi="Times New Roman"/>
          <w:b/>
          <w:color w:val="000000" w:themeColor="text1"/>
          <w:sz w:val="24"/>
          <w:szCs w:val="24"/>
        </w:rPr>
        <w:t xml:space="preserve"> </w:t>
      </w:r>
      <w:r w:rsidR="00E50D65" w:rsidRPr="008B33CC">
        <w:rPr>
          <w:rFonts w:ascii="Times New Roman" w:hAnsi="Times New Roman"/>
          <w:color w:val="000000" w:themeColor="text1"/>
          <w:sz w:val="24"/>
          <w:szCs w:val="24"/>
        </w:rPr>
        <w:t>Effect of formulation and process variables on particle size of microsponges (Mean ± S.D., n=3)</w:t>
      </w:r>
    </w:p>
    <w:p w14:paraId="22B19C39" w14:textId="6A87A157" w:rsidR="00DA5B9C" w:rsidRPr="00DA5B9C" w:rsidRDefault="00E50D65" w:rsidP="0008082E">
      <w:pPr>
        <w:spacing w:before="120" w:after="120" w:line="480" w:lineRule="auto"/>
        <w:jc w:val="both"/>
        <w:rPr>
          <w:rFonts w:ascii="Times New Roman" w:hAnsi="Times New Roman"/>
          <w:color w:val="000000" w:themeColor="text1"/>
          <w:sz w:val="24"/>
          <w:szCs w:val="24"/>
          <w:vertAlign w:val="superscript"/>
        </w:rPr>
      </w:pPr>
      <w:r w:rsidRPr="00E37EA2">
        <w:rPr>
          <w:rFonts w:ascii="Times New Roman" w:hAnsi="Times New Roman"/>
          <w:b/>
          <w:i/>
          <w:color w:val="000000" w:themeColor="text1"/>
          <w:sz w:val="24"/>
          <w:szCs w:val="24"/>
        </w:rPr>
        <w:t xml:space="preserve">Effect of various process variables on percentage yield- </w:t>
      </w:r>
      <w:r w:rsidRPr="00E37EA2">
        <w:rPr>
          <w:rFonts w:ascii="Times New Roman" w:hAnsi="Times New Roman"/>
          <w:color w:val="000000" w:themeColor="text1"/>
          <w:sz w:val="24"/>
          <w:szCs w:val="24"/>
        </w:rPr>
        <w:t>Increase in the polymer concentration, inner phase ratio, and external phase volume resulted in higher percentage yield of microsponges (p&lt;0.0001), attributed to increased amount of polymer available for SHK encapsulation</w:t>
      </w:r>
      <w:r w:rsidR="00552A44" w:rsidRPr="00E37EA2">
        <w:rPr>
          <w:rFonts w:ascii="Times New Roman" w:hAnsi="Times New Roman"/>
          <w:color w:val="000000" w:themeColor="text1"/>
          <w:sz w:val="24"/>
          <w:szCs w:val="24"/>
        </w:rPr>
        <w:t xml:space="preserve"> (Figure </w:t>
      </w:r>
      <w:r w:rsidR="002A61AD" w:rsidRPr="008B33CC">
        <w:rPr>
          <w:rFonts w:ascii="Times New Roman" w:hAnsi="Times New Roman"/>
          <w:color w:val="000000" w:themeColor="text1"/>
          <w:sz w:val="24"/>
          <w:szCs w:val="24"/>
        </w:rPr>
        <w:t>4</w:t>
      </w:r>
      <w:r w:rsidR="00552A44" w:rsidRPr="008B33CC">
        <w:rPr>
          <w:rFonts w:ascii="Times New Roman" w:hAnsi="Times New Roman"/>
          <w:color w:val="000000" w:themeColor="text1"/>
          <w:sz w:val="24"/>
          <w:szCs w:val="24"/>
        </w:rPr>
        <w:t xml:space="preserve"> b).</w:t>
      </w:r>
      <w:r w:rsidRPr="00E37EA2">
        <w:rPr>
          <w:rFonts w:ascii="Times New Roman" w:hAnsi="Times New Roman"/>
          <w:color w:val="000000" w:themeColor="text1"/>
          <w:sz w:val="24"/>
          <w:szCs w:val="24"/>
        </w:rPr>
        <w:t xml:space="preserve">  On the contrary, increase in the volume of internal phase, surfactant concentration and stirring speed decreased the production yield with a rationale that turbulence created within the external phase at higher stirring rates adhered polymer to the paddle resulting in decrease in the production yield. Studies of Perumal et al. reported similar conclusion about the influence of stirring rates on the percentage yield of</w:t>
      </w:r>
      <w:r w:rsidR="004F743F">
        <w:rPr>
          <w:rFonts w:ascii="Times New Roman" w:hAnsi="Times New Roman"/>
          <w:color w:val="000000" w:themeColor="text1"/>
          <w:sz w:val="24"/>
          <w:szCs w:val="24"/>
        </w:rPr>
        <w:t xml:space="preserve"> </w:t>
      </w:r>
      <w:r w:rsidR="00B5071C">
        <w:rPr>
          <w:rFonts w:ascii="Times New Roman" w:hAnsi="Times New Roman"/>
          <w:color w:val="000000" w:themeColor="text1"/>
          <w:sz w:val="24"/>
          <w:szCs w:val="24"/>
        </w:rPr>
        <w:t>m</w:t>
      </w:r>
      <w:r w:rsidR="004F743F">
        <w:rPr>
          <w:rFonts w:ascii="Times New Roman" w:hAnsi="Times New Roman"/>
          <w:color w:val="000000" w:themeColor="text1"/>
          <w:sz w:val="24"/>
          <w:szCs w:val="24"/>
        </w:rPr>
        <w:t xml:space="preserve">icrosponges </w:t>
      </w:r>
      <w:r w:rsidR="004F743F" w:rsidRPr="004F743F">
        <w:rPr>
          <w:rFonts w:ascii="Times New Roman" w:hAnsi="Times New Roman"/>
          <w:color w:val="000000" w:themeColor="text1"/>
          <w:sz w:val="24"/>
          <w:szCs w:val="24"/>
          <w:highlight w:val="yellow"/>
        </w:rPr>
        <w:t>(Salah et al., 2018</w:t>
      </w:r>
      <w:r w:rsidR="004F743F" w:rsidRPr="004F743F">
        <w:rPr>
          <w:rFonts w:ascii="Times New Roman" w:hAnsi="Times New Roman"/>
          <w:noProof/>
          <w:sz w:val="24"/>
          <w:szCs w:val="24"/>
          <w:highlight w:val="yellow"/>
        </w:rPr>
        <w:t>)</w:t>
      </w:r>
      <w:r w:rsidR="004F743F">
        <w:rPr>
          <w:rFonts w:ascii="Times New Roman" w:hAnsi="Times New Roman"/>
          <w:noProof/>
          <w:sz w:val="24"/>
          <w:szCs w:val="24"/>
        </w:rPr>
        <w:t>.</w:t>
      </w:r>
    </w:p>
    <w:p w14:paraId="6A4E6BE4" w14:textId="4F33ABED" w:rsidR="00E50D65" w:rsidRPr="00A16A66" w:rsidRDefault="00DA5B9C" w:rsidP="0008082E">
      <w:pPr>
        <w:spacing w:before="120" w:after="120" w:line="480" w:lineRule="auto"/>
        <w:jc w:val="both"/>
        <w:rPr>
          <w:rFonts w:ascii="Times New Roman" w:hAnsi="Times New Roman"/>
          <w:b/>
          <w:color w:val="000000" w:themeColor="text1"/>
          <w:sz w:val="24"/>
          <w:szCs w:val="24"/>
        </w:rPr>
      </w:pPr>
      <w:r>
        <w:rPr>
          <w:noProof/>
        </w:rPr>
        <w:lastRenderedPageBreak/>
        <w:drawing>
          <wp:inline distT="0" distB="0" distL="0" distR="0" wp14:anchorId="12182A0C" wp14:editId="3036BC67">
            <wp:extent cx="6085662" cy="2005542"/>
            <wp:effectExtent l="0" t="0" r="0" b="0"/>
            <wp:docPr id="540210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1026" name=""/>
                    <pic:cNvPicPr/>
                  </pic:nvPicPr>
                  <pic:blipFill rotWithShape="1">
                    <a:blip r:embed="rId13">
                      <a:extLst>
                        <a:ext uri="{96DAC541-7B7A-43D3-8B79-37D633B846F1}">
                          <asvg:svgBlip xmlns:asvg="http://schemas.microsoft.com/office/drawing/2016/SVG/main" r:embed="rId14"/>
                        </a:ext>
                      </a:extLst>
                    </a:blip>
                    <a:srcRect l="12398" t="23045" r="8532" b="18699"/>
                    <a:stretch>
                      <a:fillRect/>
                    </a:stretch>
                  </pic:blipFill>
                  <pic:spPr bwMode="auto">
                    <a:xfrm>
                      <a:off x="0" y="0"/>
                      <a:ext cx="6154141" cy="2028109"/>
                    </a:xfrm>
                    <a:prstGeom prst="rect">
                      <a:avLst/>
                    </a:prstGeom>
                    <a:ln>
                      <a:noFill/>
                    </a:ln>
                    <a:extLst>
                      <a:ext uri="{53640926-AAD7-44D8-BBD7-CCE9431645EC}">
                        <a14:shadowObscured xmlns:a14="http://schemas.microsoft.com/office/drawing/2010/main"/>
                      </a:ext>
                    </a:extLst>
                  </pic:spPr>
                </pic:pic>
              </a:graphicData>
            </a:graphic>
          </wp:inline>
        </w:drawing>
      </w:r>
      <w:r w:rsidR="00E50D65" w:rsidRPr="008B33CC">
        <w:rPr>
          <w:rFonts w:ascii="Times New Roman" w:hAnsi="Times New Roman"/>
          <w:b/>
          <w:color w:val="000000" w:themeColor="text1"/>
          <w:sz w:val="24"/>
          <w:szCs w:val="24"/>
        </w:rPr>
        <w:t xml:space="preserve">Figure </w:t>
      </w:r>
      <w:r w:rsidR="009A1E4F">
        <w:rPr>
          <w:rFonts w:ascii="Times New Roman" w:hAnsi="Times New Roman"/>
          <w:b/>
          <w:color w:val="000000" w:themeColor="text1"/>
          <w:sz w:val="24"/>
          <w:szCs w:val="24"/>
        </w:rPr>
        <w:t>4</w:t>
      </w:r>
      <w:r w:rsidR="00552A44" w:rsidRPr="008B33CC">
        <w:rPr>
          <w:rFonts w:ascii="Times New Roman" w:hAnsi="Times New Roman"/>
          <w:b/>
          <w:color w:val="000000" w:themeColor="text1"/>
          <w:sz w:val="24"/>
          <w:szCs w:val="24"/>
        </w:rPr>
        <w:t xml:space="preserve"> b</w:t>
      </w:r>
      <w:r w:rsidR="000E4335">
        <w:rPr>
          <w:rFonts w:ascii="Times New Roman" w:hAnsi="Times New Roman"/>
          <w:b/>
          <w:color w:val="000000" w:themeColor="text1"/>
          <w:sz w:val="24"/>
          <w:szCs w:val="24"/>
        </w:rPr>
        <w:t>)</w:t>
      </w:r>
      <w:r w:rsidR="00E50D65" w:rsidRPr="008B33CC">
        <w:rPr>
          <w:rFonts w:ascii="Times New Roman" w:hAnsi="Times New Roman"/>
          <w:b/>
          <w:color w:val="000000" w:themeColor="text1"/>
          <w:sz w:val="24"/>
          <w:szCs w:val="24"/>
        </w:rPr>
        <w:t xml:space="preserve">: </w:t>
      </w:r>
      <w:r w:rsidR="00E50D65" w:rsidRPr="008B33CC">
        <w:rPr>
          <w:rFonts w:ascii="Times New Roman" w:hAnsi="Times New Roman"/>
          <w:color w:val="000000" w:themeColor="text1"/>
          <w:sz w:val="24"/>
          <w:szCs w:val="24"/>
        </w:rPr>
        <w:t>Effect of formulation and process variables on percentage yield of microsponges (Mean ± S.D., n=3).</w:t>
      </w:r>
    </w:p>
    <w:p w14:paraId="53B01E1F" w14:textId="26806D1F" w:rsidR="00A16A66" w:rsidRPr="00A16A66"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i/>
          <w:color w:val="000000" w:themeColor="text1"/>
          <w:sz w:val="24"/>
          <w:szCs w:val="24"/>
        </w:rPr>
        <w:t xml:space="preserve">Effect of various process variables on the polydispersity index- </w:t>
      </w:r>
      <w:r w:rsidRPr="00E37EA2">
        <w:rPr>
          <w:rFonts w:ascii="Times New Roman" w:hAnsi="Times New Roman"/>
          <w:color w:val="000000" w:themeColor="text1"/>
          <w:sz w:val="24"/>
          <w:szCs w:val="24"/>
        </w:rPr>
        <w:t>With an increase in the amount of organic solvent in the internal phase or the surfactant concentration, the polydispersity of particles was found to increase significantly (p&lt;0.0001) whereas increased volume of external phase led to a decrease in the polydispersity index (p&lt;0.0001) due to availability of larger amount of external phase upon addition of internal phase for droplet formation. As the content of DCM in the internal phase was increased, the polydispersity index reduced significantly (p&lt;0.0001) attributable to quick diffusion of internal phase owing to low boiling point of DCM, thus eventually causing all the dispersed phase containing the polymer and SHK to be converted into solid microsponges</w:t>
      </w:r>
      <w:r w:rsidR="00F87D02">
        <w:rPr>
          <w:rFonts w:ascii="Times New Roman" w:hAnsi="Times New Roman"/>
          <w:color w:val="000000" w:themeColor="text1"/>
          <w:sz w:val="24"/>
          <w:szCs w:val="24"/>
        </w:rPr>
        <w:t xml:space="preserve"> (Cheng et al., 1995). </w:t>
      </w:r>
      <w:r w:rsidRPr="00E37EA2">
        <w:rPr>
          <w:rFonts w:ascii="Times New Roman" w:hAnsi="Times New Roman"/>
          <w:color w:val="000000" w:themeColor="text1"/>
          <w:sz w:val="24"/>
          <w:szCs w:val="24"/>
        </w:rPr>
        <w:t xml:space="preserve">An increase in surfactant (PVA) concentration imparts a confirmation to the </w:t>
      </w:r>
      <w:proofErr w:type="spellStart"/>
      <w:r w:rsidRPr="00E37EA2">
        <w:rPr>
          <w:rFonts w:ascii="Times New Roman" w:hAnsi="Times New Roman"/>
          <w:color w:val="000000" w:themeColor="text1"/>
          <w:sz w:val="24"/>
          <w:szCs w:val="24"/>
        </w:rPr>
        <w:t>microsponge</w:t>
      </w:r>
      <w:proofErr w:type="spellEnd"/>
      <w:r w:rsidRPr="00E37EA2">
        <w:rPr>
          <w:rFonts w:ascii="Times New Roman" w:hAnsi="Times New Roman"/>
          <w:color w:val="000000" w:themeColor="text1"/>
          <w:sz w:val="24"/>
          <w:szCs w:val="24"/>
        </w:rPr>
        <w:t xml:space="preserve"> where the diffusion of DCM is slow, thus leaving particles of varying diameters behind (p&lt;0.0001). A surge in stirring rate increases the polydispersity (p&lt;0.0001) of particles due to greater mechanical strength</w:t>
      </w:r>
      <w:r w:rsidR="00B570B2" w:rsidRPr="00E37EA2">
        <w:rPr>
          <w:rFonts w:ascii="Times New Roman" w:hAnsi="Times New Roman"/>
          <w:color w:val="000000" w:themeColor="text1"/>
          <w:sz w:val="24"/>
          <w:szCs w:val="24"/>
        </w:rPr>
        <w:t xml:space="preserve"> </w:t>
      </w:r>
      <w:r w:rsidR="00552A44" w:rsidRPr="00E37EA2">
        <w:rPr>
          <w:rFonts w:ascii="Times New Roman" w:hAnsi="Times New Roman"/>
          <w:color w:val="000000" w:themeColor="text1"/>
          <w:sz w:val="24"/>
          <w:szCs w:val="24"/>
        </w:rPr>
        <w:t>(</w:t>
      </w:r>
      <w:r w:rsidRPr="008B33CC">
        <w:rPr>
          <w:rFonts w:ascii="Times New Roman" w:hAnsi="Times New Roman"/>
          <w:color w:val="000000" w:themeColor="text1"/>
          <w:sz w:val="24"/>
          <w:szCs w:val="24"/>
        </w:rPr>
        <w:t xml:space="preserve">Figure </w:t>
      </w:r>
      <w:r w:rsidR="002A61AD" w:rsidRPr="008B33CC">
        <w:rPr>
          <w:rFonts w:ascii="Times New Roman" w:hAnsi="Times New Roman"/>
          <w:color w:val="000000" w:themeColor="text1"/>
          <w:sz w:val="24"/>
          <w:szCs w:val="24"/>
        </w:rPr>
        <w:t xml:space="preserve">4 </w:t>
      </w:r>
      <w:r w:rsidR="00552A44" w:rsidRPr="008B33CC">
        <w:rPr>
          <w:rFonts w:ascii="Times New Roman" w:hAnsi="Times New Roman"/>
          <w:color w:val="000000" w:themeColor="text1"/>
          <w:sz w:val="24"/>
          <w:szCs w:val="24"/>
        </w:rPr>
        <w:t>c)</w:t>
      </w:r>
      <w:r w:rsidR="00B570B2" w:rsidRPr="008B33CC">
        <w:rPr>
          <w:rFonts w:ascii="Times New Roman" w:hAnsi="Times New Roman"/>
          <w:color w:val="000000" w:themeColor="text1"/>
          <w:sz w:val="24"/>
          <w:szCs w:val="24"/>
        </w:rPr>
        <w:t>.</w:t>
      </w:r>
    </w:p>
    <w:p w14:paraId="28A01A92" w14:textId="33DA0D0E" w:rsidR="00E50D65" w:rsidRPr="00A16A66" w:rsidRDefault="00A16A66" w:rsidP="0008082E">
      <w:pPr>
        <w:spacing w:before="120" w:after="120" w:line="480" w:lineRule="auto"/>
        <w:jc w:val="both"/>
        <w:rPr>
          <w:rFonts w:ascii="Times New Roman" w:hAnsi="Times New Roman"/>
          <w:b/>
          <w:color w:val="000000" w:themeColor="text1"/>
          <w:sz w:val="24"/>
          <w:szCs w:val="24"/>
        </w:rPr>
      </w:pPr>
      <w:r>
        <w:rPr>
          <w:noProof/>
        </w:rPr>
        <w:lastRenderedPageBreak/>
        <w:drawing>
          <wp:inline distT="0" distB="0" distL="0" distR="0" wp14:anchorId="18A37B63" wp14:editId="32CB1464">
            <wp:extent cx="6087533" cy="1870710"/>
            <wp:effectExtent l="0" t="0" r="8890" b="0"/>
            <wp:docPr id="4228488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48892" name=""/>
                    <pic:cNvPicPr/>
                  </pic:nvPicPr>
                  <pic:blipFill rotWithShape="1">
                    <a:blip r:embed="rId15">
                      <a:extLst>
                        <a:ext uri="{96DAC541-7B7A-43D3-8B79-37D633B846F1}">
                          <asvg:svgBlip xmlns:asvg="http://schemas.microsoft.com/office/drawing/2016/SVG/main" r:embed="rId16"/>
                        </a:ext>
                      </a:extLst>
                    </a:blip>
                    <a:srcRect l="13230" t="9878" r="7836" b="34125"/>
                    <a:stretch>
                      <a:fillRect/>
                    </a:stretch>
                  </pic:blipFill>
                  <pic:spPr bwMode="auto">
                    <a:xfrm>
                      <a:off x="0" y="0"/>
                      <a:ext cx="6100153" cy="1874588"/>
                    </a:xfrm>
                    <a:prstGeom prst="rect">
                      <a:avLst/>
                    </a:prstGeom>
                    <a:ln>
                      <a:noFill/>
                    </a:ln>
                    <a:extLst>
                      <a:ext uri="{53640926-AAD7-44D8-BBD7-CCE9431645EC}">
                        <a14:shadowObscured xmlns:a14="http://schemas.microsoft.com/office/drawing/2010/main"/>
                      </a:ext>
                    </a:extLst>
                  </pic:spPr>
                </pic:pic>
              </a:graphicData>
            </a:graphic>
          </wp:inline>
        </w:drawing>
      </w:r>
      <w:r w:rsidR="00E50D65" w:rsidRPr="008B33CC">
        <w:rPr>
          <w:rFonts w:ascii="Times New Roman" w:hAnsi="Times New Roman"/>
          <w:b/>
          <w:color w:val="000000" w:themeColor="text1"/>
          <w:sz w:val="24"/>
          <w:szCs w:val="24"/>
        </w:rPr>
        <w:t xml:space="preserve">Figure </w:t>
      </w:r>
      <w:r w:rsidR="00BC5BA1" w:rsidRPr="008B33CC">
        <w:rPr>
          <w:rFonts w:ascii="Times New Roman" w:hAnsi="Times New Roman"/>
          <w:b/>
          <w:color w:val="000000" w:themeColor="text1"/>
          <w:sz w:val="24"/>
          <w:szCs w:val="24"/>
        </w:rPr>
        <w:t>4</w:t>
      </w:r>
      <w:r w:rsidR="00552A44" w:rsidRPr="008B33CC">
        <w:rPr>
          <w:rFonts w:ascii="Times New Roman" w:hAnsi="Times New Roman"/>
          <w:b/>
          <w:color w:val="000000" w:themeColor="text1"/>
          <w:sz w:val="24"/>
          <w:szCs w:val="24"/>
        </w:rPr>
        <w:t xml:space="preserve"> c</w:t>
      </w:r>
      <w:r w:rsidR="000E4335">
        <w:rPr>
          <w:rFonts w:ascii="Times New Roman" w:hAnsi="Times New Roman"/>
          <w:b/>
          <w:color w:val="000000" w:themeColor="text1"/>
          <w:sz w:val="24"/>
          <w:szCs w:val="24"/>
        </w:rPr>
        <w:t>)</w:t>
      </w:r>
      <w:r w:rsidR="00E50D65" w:rsidRPr="008B33CC">
        <w:rPr>
          <w:rFonts w:ascii="Times New Roman" w:hAnsi="Times New Roman"/>
          <w:b/>
          <w:color w:val="000000" w:themeColor="text1"/>
          <w:sz w:val="24"/>
          <w:szCs w:val="24"/>
        </w:rPr>
        <w:t xml:space="preserve">: </w:t>
      </w:r>
      <w:r w:rsidR="00E50D65" w:rsidRPr="008B33CC">
        <w:rPr>
          <w:rFonts w:ascii="Times New Roman" w:hAnsi="Times New Roman"/>
          <w:color w:val="000000" w:themeColor="text1"/>
          <w:sz w:val="24"/>
          <w:szCs w:val="24"/>
        </w:rPr>
        <w:t>Effect of formulation and process variables on polydispersity index of microsponges (Mean ± S.D., n=3).</w:t>
      </w:r>
    </w:p>
    <w:p w14:paraId="188BBC3F" w14:textId="77777777" w:rsidR="00E50D65" w:rsidRPr="00E37EA2" w:rsidRDefault="00E50D65" w:rsidP="0008082E">
      <w:pPr>
        <w:spacing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3.4 Characterization of developed microsponges</w:t>
      </w:r>
    </w:p>
    <w:p w14:paraId="43C184E5" w14:textId="1FFAFF5E" w:rsidR="00E50D65" w:rsidRPr="008B33CC" w:rsidRDefault="00E50D65" w:rsidP="0008082E">
      <w:pPr>
        <w:spacing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Dynamic light scattering (DLS)</w:t>
      </w:r>
    </w:p>
    <w:p w14:paraId="5878D388" w14:textId="5BBF3C3D" w:rsidR="00B0034F"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Droplet size is a crucial factor in the formation of microsponges as it determines the rate and extent of drug release as well as drug absorption. The optimized SHK loaded microsponges showed polydispersity index (PDI) of 0.187 indicating uniformity in the particle s</w:t>
      </w:r>
      <w:r w:rsidRPr="00104DE4">
        <w:rPr>
          <w:rFonts w:ascii="Times New Roman" w:hAnsi="Times New Roman"/>
          <w:color w:val="000000" w:themeColor="text1"/>
          <w:sz w:val="24"/>
          <w:szCs w:val="24"/>
        </w:rPr>
        <w:t xml:space="preserve">ize (Figure </w:t>
      </w:r>
      <w:r w:rsidR="005B0EA6" w:rsidRPr="00104DE4">
        <w:rPr>
          <w:rFonts w:ascii="Times New Roman" w:hAnsi="Times New Roman"/>
          <w:color w:val="000000" w:themeColor="text1"/>
          <w:sz w:val="24"/>
          <w:szCs w:val="24"/>
        </w:rPr>
        <w:t>S</w:t>
      </w:r>
      <w:r w:rsidR="00B843E4" w:rsidRPr="00104DE4">
        <w:rPr>
          <w:rFonts w:ascii="Times New Roman" w:hAnsi="Times New Roman"/>
          <w:color w:val="000000" w:themeColor="text1"/>
          <w:sz w:val="24"/>
          <w:szCs w:val="24"/>
        </w:rPr>
        <w:t>4</w:t>
      </w:r>
      <w:r w:rsidRPr="00104DE4">
        <w:rPr>
          <w:rFonts w:ascii="Times New Roman" w:hAnsi="Times New Roman"/>
          <w:color w:val="000000" w:themeColor="text1"/>
          <w:sz w:val="24"/>
          <w:szCs w:val="24"/>
        </w:rPr>
        <w:t xml:space="preserve"> a).</w:t>
      </w:r>
      <w:r w:rsidR="00A41485" w:rsidRPr="00104DE4">
        <w:rPr>
          <w:rFonts w:ascii="Times New Roman" w:hAnsi="Times New Roman"/>
          <w:color w:val="000000" w:themeColor="text1"/>
          <w:sz w:val="24"/>
          <w:szCs w:val="24"/>
        </w:rPr>
        <w:t xml:space="preserve"> </w:t>
      </w:r>
      <w:r w:rsidRPr="00104DE4">
        <w:rPr>
          <w:rFonts w:ascii="Times New Roman" w:hAnsi="Times New Roman"/>
          <w:color w:val="000000" w:themeColor="text1"/>
          <w:sz w:val="24"/>
          <w:szCs w:val="24"/>
        </w:rPr>
        <w:t>One of the fundamental parameters known to affect physical stability of microparticulate system is zeta potential since it reflects the degree of repulsion between particles. The zeta potential of optimized SHK loaded microsponges was found to be -2.40</w:t>
      </w:r>
      <w:r w:rsidR="006A18AA" w:rsidRPr="00104DE4">
        <w:rPr>
          <w:rFonts w:ascii="Times New Roman" w:hAnsi="Times New Roman"/>
          <w:color w:val="000000" w:themeColor="text1"/>
          <w:sz w:val="24"/>
          <w:szCs w:val="24"/>
        </w:rPr>
        <w:t xml:space="preserve"> </w:t>
      </w:r>
      <w:r w:rsidRPr="00104DE4">
        <w:rPr>
          <w:rFonts w:ascii="Times New Roman" w:hAnsi="Times New Roman"/>
          <w:color w:val="000000" w:themeColor="text1"/>
          <w:sz w:val="24"/>
          <w:szCs w:val="24"/>
        </w:rPr>
        <w:t xml:space="preserve">mv (Figure </w:t>
      </w:r>
      <w:r w:rsidR="005B0EA6" w:rsidRPr="00104DE4">
        <w:rPr>
          <w:rFonts w:ascii="Times New Roman" w:hAnsi="Times New Roman"/>
          <w:color w:val="000000" w:themeColor="text1"/>
          <w:sz w:val="24"/>
          <w:szCs w:val="24"/>
        </w:rPr>
        <w:t>S</w:t>
      </w:r>
      <w:r w:rsidR="00B843E4" w:rsidRPr="00104DE4">
        <w:rPr>
          <w:rFonts w:ascii="Times New Roman" w:hAnsi="Times New Roman"/>
          <w:color w:val="000000" w:themeColor="text1"/>
          <w:sz w:val="24"/>
          <w:szCs w:val="24"/>
        </w:rPr>
        <w:t>4</w:t>
      </w:r>
      <w:r w:rsidR="00B0034F" w:rsidRPr="00104DE4">
        <w:rPr>
          <w:rFonts w:ascii="Times New Roman" w:hAnsi="Times New Roman"/>
          <w:color w:val="000000" w:themeColor="text1"/>
          <w:sz w:val="24"/>
          <w:szCs w:val="24"/>
        </w:rPr>
        <w:t xml:space="preserve"> b</w:t>
      </w:r>
      <w:r w:rsidRPr="00104DE4">
        <w:rPr>
          <w:rFonts w:ascii="Times New Roman" w:hAnsi="Times New Roman"/>
          <w:color w:val="000000" w:themeColor="text1"/>
          <w:sz w:val="24"/>
          <w:szCs w:val="24"/>
        </w:rPr>
        <w:t>).</w:t>
      </w:r>
      <w:r w:rsidRPr="00E37EA2">
        <w:rPr>
          <w:rFonts w:ascii="Times New Roman" w:hAnsi="Times New Roman"/>
          <w:color w:val="000000" w:themeColor="text1"/>
          <w:sz w:val="24"/>
          <w:szCs w:val="24"/>
        </w:rPr>
        <w:t xml:space="preserve"> </w:t>
      </w:r>
    </w:p>
    <w:p w14:paraId="4911ED0D" w14:textId="1B2DAE60" w:rsidR="00E50D65" w:rsidRPr="008B33CC" w:rsidRDefault="00F0568C"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Drug-</w:t>
      </w:r>
      <w:r w:rsidR="00E50D65" w:rsidRPr="008B33CC">
        <w:rPr>
          <w:rFonts w:ascii="Times New Roman" w:hAnsi="Times New Roman"/>
          <w:b/>
          <w:i/>
          <w:color w:val="000000" w:themeColor="text1"/>
          <w:sz w:val="24"/>
          <w:szCs w:val="24"/>
        </w:rPr>
        <w:t>excipient interaction</w:t>
      </w:r>
    </w:p>
    <w:p w14:paraId="605C9592" w14:textId="496D8C57" w:rsidR="00C3210B" w:rsidRPr="00C3210B"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FTIR spectral analysis of potent fraction, physical mixture, polyvinyl alcohol, ethyl cellulose and SHK loaded microsponges is shown in Figure </w:t>
      </w:r>
      <w:r w:rsidR="005B0EA6">
        <w:rPr>
          <w:rFonts w:ascii="Times New Roman" w:hAnsi="Times New Roman"/>
          <w:color w:val="000000" w:themeColor="text1"/>
          <w:sz w:val="24"/>
          <w:szCs w:val="24"/>
        </w:rPr>
        <w:t>5</w:t>
      </w:r>
      <w:r w:rsidRPr="00E37EA2">
        <w:rPr>
          <w:rFonts w:ascii="Times New Roman" w:hAnsi="Times New Roman"/>
          <w:color w:val="000000" w:themeColor="text1"/>
          <w:sz w:val="24"/>
          <w:szCs w:val="24"/>
        </w:rPr>
        <w:t>. The spectrum of SHK containing potent fraction showed characteristic peaks at 3429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(O-H stretching), 2922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(C-H stretching), 1722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(C=O stretching),1610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(C=C stretching), 1058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(C-O stretching) and 775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(C-H bending). The EC spectrum exhibited bands at 3459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1729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and 1379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whereas the characteristic peaks detected in PVA spectrum were at 1416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and 1319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However, the </w:t>
      </w:r>
      <w:r w:rsidRPr="00E37EA2">
        <w:rPr>
          <w:rFonts w:ascii="Times New Roman" w:hAnsi="Times New Roman"/>
          <w:color w:val="000000" w:themeColor="text1"/>
          <w:sz w:val="24"/>
          <w:szCs w:val="24"/>
        </w:rPr>
        <w:lastRenderedPageBreak/>
        <w:t>spectrum of SHK loaded microsponges depicted signals at 3459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1744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1446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and 1371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These characteristic peaks of SHK were also identified in the physical mixture as well as in SHK-loaded microsponges with no appreciable changes in frequencies. </w:t>
      </w:r>
    </w:p>
    <w:p w14:paraId="518F71DA" w14:textId="77777777" w:rsidR="00C3210B" w:rsidRDefault="00C3210B" w:rsidP="0008082E">
      <w:pPr>
        <w:spacing w:before="120" w:after="120" w:line="480" w:lineRule="auto"/>
        <w:jc w:val="both"/>
        <w:rPr>
          <w:rFonts w:ascii="Times New Roman" w:hAnsi="Times New Roman"/>
          <w:b/>
          <w:color w:val="000000" w:themeColor="text1"/>
          <w:sz w:val="24"/>
          <w:szCs w:val="24"/>
        </w:rPr>
      </w:pPr>
      <w:r>
        <w:rPr>
          <w:noProof/>
        </w:rPr>
        <w:drawing>
          <wp:inline distT="0" distB="0" distL="0" distR="0" wp14:anchorId="0CB3F9FC" wp14:editId="226417EC">
            <wp:extent cx="6075218" cy="2465705"/>
            <wp:effectExtent l="0" t="0" r="1905" b="0"/>
            <wp:docPr id="13703285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28576" name=""/>
                    <pic:cNvPicPr/>
                  </pic:nvPicPr>
                  <pic:blipFill rotWithShape="1">
                    <a:blip r:embed="rId17">
                      <a:extLst>
                        <a:ext uri="{96DAC541-7B7A-43D3-8B79-37D633B846F1}">
                          <asvg:svgBlip xmlns:asvg="http://schemas.microsoft.com/office/drawing/2016/SVG/main" r:embed="rId18"/>
                        </a:ext>
                      </a:extLst>
                    </a:blip>
                    <a:srcRect l="7343" t="4975" r="5245" b="21249"/>
                    <a:stretch>
                      <a:fillRect/>
                    </a:stretch>
                  </pic:blipFill>
                  <pic:spPr bwMode="auto">
                    <a:xfrm>
                      <a:off x="0" y="0"/>
                      <a:ext cx="6090007" cy="2471707"/>
                    </a:xfrm>
                    <a:prstGeom prst="rect">
                      <a:avLst/>
                    </a:prstGeom>
                    <a:ln>
                      <a:noFill/>
                    </a:ln>
                    <a:extLst>
                      <a:ext uri="{53640926-AAD7-44D8-BBD7-CCE9431645EC}">
                        <a14:shadowObscured xmlns:a14="http://schemas.microsoft.com/office/drawing/2010/main"/>
                      </a:ext>
                    </a:extLst>
                  </pic:spPr>
                </pic:pic>
              </a:graphicData>
            </a:graphic>
          </wp:inline>
        </w:drawing>
      </w:r>
    </w:p>
    <w:p w14:paraId="56F007E1" w14:textId="2FBBC55E" w:rsidR="00254B61" w:rsidRPr="00C3210B" w:rsidRDefault="00E50D65"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 xml:space="preserve">Figure </w:t>
      </w:r>
      <w:r w:rsidR="005B0EA6">
        <w:rPr>
          <w:rFonts w:ascii="Times New Roman" w:hAnsi="Times New Roman"/>
          <w:b/>
          <w:color w:val="000000" w:themeColor="text1"/>
          <w:sz w:val="24"/>
          <w:szCs w:val="24"/>
        </w:rPr>
        <w:t>5</w:t>
      </w:r>
      <w:r w:rsidRPr="00E37EA2">
        <w:rPr>
          <w:rFonts w:ascii="Times New Roman" w:hAnsi="Times New Roman"/>
          <w:b/>
          <w:color w:val="000000" w:themeColor="text1"/>
          <w:sz w:val="24"/>
          <w:szCs w:val="24"/>
        </w:rPr>
        <w:t xml:space="preserve">: </w:t>
      </w:r>
      <w:r w:rsidRPr="00E37EA2">
        <w:rPr>
          <w:rFonts w:ascii="Times New Roman" w:hAnsi="Times New Roman"/>
          <w:color w:val="000000" w:themeColor="text1"/>
          <w:sz w:val="24"/>
          <w:szCs w:val="24"/>
        </w:rPr>
        <w:t xml:space="preserve">FTIR Spectra of </w:t>
      </w:r>
      <w:r w:rsidRPr="00E37EA2">
        <w:rPr>
          <w:rFonts w:ascii="Times New Roman" w:hAnsi="Times New Roman"/>
          <w:b/>
          <w:color w:val="000000" w:themeColor="text1"/>
          <w:sz w:val="24"/>
          <w:szCs w:val="24"/>
        </w:rPr>
        <w:t>A)</w:t>
      </w:r>
      <w:r w:rsidRPr="00E37EA2">
        <w:rPr>
          <w:rFonts w:ascii="Times New Roman" w:hAnsi="Times New Roman"/>
          <w:color w:val="000000" w:themeColor="text1"/>
          <w:sz w:val="24"/>
          <w:szCs w:val="24"/>
        </w:rPr>
        <w:t xml:space="preserve"> optimized fractio</w:t>
      </w:r>
      <w:r w:rsidR="00B570B2" w:rsidRPr="00E37EA2">
        <w:rPr>
          <w:rFonts w:ascii="Times New Roman" w:hAnsi="Times New Roman"/>
          <w:color w:val="000000" w:themeColor="text1"/>
          <w:sz w:val="24"/>
          <w:szCs w:val="24"/>
        </w:rPr>
        <w:t xml:space="preserve">n of </w:t>
      </w:r>
      <w:proofErr w:type="spellStart"/>
      <w:r w:rsidR="00B570B2" w:rsidRPr="00E37EA2">
        <w:rPr>
          <w:rFonts w:ascii="Times New Roman" w:hAnsi="Times New Roman"/>
          <w:i/>
          <w:iCs/>
          <w:color w:val="000000" w:themeColor="text1"/>
          <w:sz w:val="24"/>
          <w:szCs w:val="24"/>
        </w:rPr>
        <w:t>Arnebia</w:t>
      </w:r>
      <w:proofErr w:type="spellEnd"/>
      <w:r w:rsidR="00B570B2" w:rsidRPr="00E37EA2">
        <w:rPr>
          <w:rFonts w:ascii="Times New Roman" w:hAnsi="Times New Roman"/>
          <w:i/>
          <w:iCs/>
          <w:color w:val="000000" w:themeColor="text1"/>
          <w:sz w:val="24"/>
          <w:szCs w:val="24"/>
        </w:rPr>
        <w:t xml:space="preserve"> nobilis</w:t>
      </w:r>
      <w:r w:rsidR="00B570B2" w:rsidRPr="00E37EA2">
        <w:rPr>
          <w:rFonts w:ascii="Times New Roman" w:hAnsi="Times New Roman"/>
          <w:color w:val="000000" w:themeColor="text1"/>
          <w:sz w:val="24"/>
          <w:szCs w:val="24"/>
        </w:rPr>
        <w:t xml:space="preserve"> containing SHK</w:t>
      </w:r>
      <w:r w:rsidRPr="00E37EA2">
        <w:rPr>
          <w:rFonts w:ascii="Times New Roman" w:hAnsi="Times New Roman"/>
          <w:color w:val="000000" w:themeColor="text1"/>
          <w:sz w:val="24"/>
          <w:szCs w:val="24"/>
        </w:rPr>
        <w:t xml:space="preserve"> </w:t>
      </w:r>
      <w:r w:rsidRPr="00E37EA2">
        <w:rPr>
          <w:rFonts w:ascii="Times New Roman" w:hAnsi="Times New Roman"/>
          <w:b/>
          <w:color w:val="000000" w:themeColor="text1"/>
          <w:sz w:val="24"/>
          <w:szCs w:val="24"/>
        </w:rPr>
        <w:t>B)</w:t>
      </w:r>
      <w:r w:rsidRPr="00E37EA2">
        <w:rPr>
          <w:rFonts w:ascii="Times New Roman" w:hAnsi="Times New Roman"/>
          <w:color w:val="000000" w:themeColor="text1"/>
          <w:sz w:val="24"/>
          <w:szCs w:val="24"/>
        </w:rPr>
        <w:t xml:space="preserve"> Ethyl</w:t>
      </w:r>
      <w:r w:rsidR="006F319A" w:rsidRPr="00E37EA2">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 xml:space="preserve">cellulose </w:t>
      </w:r>
      <w:r w:rsidRPr="00E37EA2">
        <w:rPr>
          <w:rFonts w:ascii="Times New Roman" w:hAnsi="Times New Roman"/>
          <w:b/>
          <w:color w:val="000000" w:themeColor="text1"/>
          <w:sz w:val="24"/>
          <w:szCs w:val="24"/>
        </w:rPr>
        <w:t>C)</w:t>
      </w:r>
      <w:r w:rsidRPr="00E37EA2">
        <w:rPr>
          <w:rFonts w:ascii="Times New Roman" w:hAnsi="Times New Roman"/>
          <w:color w:val="000000" w:themeColor="text1"/>
          <w:sz w:val="24"/>
          <w:szCs w:val="24"/>
        </w:rPr>
        <w:t xml:space="preserve"> </w:t>
      </w:r>
      <w:proofErr w:type="spellStart"/>
      <w:r w:rsidRPr="00E37EA2">
        <w:rPr>
          <w:rFonts w:ascii="Times New Roman" w:hAnsi="Times New Roman"/>
          <w:color w:val="000000" w:themeColor="text1"/>
          <w:sz w:val="24"/>
          <w:szCs w:val="24"/>
        </w:rPr>
        <w:t>Polyvinylalcohol</w:t>
      </w:r>
      <w:proofErr w:type="spellEnd"/>
      <w:r w:rsidRPr="00E37EA2">
        <w:rPr>
          <w:rFonts w:ascii="Times New Roman" w:hAnsi="Times New Roman"/>
          <w:color w:val="000000" w:themeColor="text1"/>
          <w:sz w:val="24"/>
          <w:szCs w:val="24"/>
        </w:rPr>
        <w:t xml:space="preserve"> </w:t>
      </w:r>
      <w:r w:rsidRPr="00E37EA2">
        <w:rPr>
          <w:rFonts w:ascii="Times New Roman" w:hAnsi="Times New Roman"/>
          <w:b/>
          <w:color w:val="000000" w:themeColor="text1"/>
          <w:sz w:val="24"/>
          <w:szCs w:val="24"/>
        </w:rPr>
        <w:t>D)</w:t>
      </w:r>
      <w:r w:rsidRPr="00E37EA2">
        <w:rPr>
          <w:rFonts w:ascii="Times New Roman" w:hAnsi="Times New Roman"/>
          <w:color w:val="000000" w:themeColor="text1"/>
          <w:sz w:val="24"/>
          <w:szCs w:val="24"/>
        </w:rPr>
        <w:t xml:space="preserve"> Physical Mixture </w:t>
      </w:r>
      <w:r w:rsidRPr="00E37EA2">
        <w:rPr>
          <w:rFonts w:ascii="Times New Roman" w:hAnsi="Times New Roman"/>
          <w:b/>
          <w:color w:val="000000" w:themeColor="text1"/>
          <w:sz w:val="24"/>
          <w:szCs w:val="24"/>
        </w:rPr>
        <w:t>E)</w:t>
      </w:r>
      <w:r w:rsidRPr="00E37EA2">
        <w:rPr>
          <w:rFonts w:ascii="Times New Roman" w:hAnsi="Times New Roman"/>
          <w:color w:val="000000" w:themeColor="text1"/>
          <w:sz w:val="24"/>
          <w:szCs w:val="24"/>
        </w:rPr>
        <w:t xml:space="preserve"> SHK loaded microsponges</w:t>
      </w:r>
      <w:r w:rsidR="00254B61" w:rsidRPr="00E37EA2">
        <w:rPr>
          <w:rFonts w:ascii="Times New Roman" w:hAnsi="Times New Roman"/>
          <w:color w:val="000000" w:themeColor="text1"/>
          <w:sz w:val="24"/>
          <w:szCs w:val="24"/>
        </w:rPr>
        <w:t xml:space="preserve">. </w:t>
      </w:r>
    </w:p>
    <w:p w14:paraId="30D58BDA" w14:textId="02CC44EA" w:rsidR="00E50D65" w:rsidRPr="008B33CC" w:rsidRDefault="00254B61" w:rsidP="0008082E">
      <w:pPr>
        <w:spacing w:before="120" w:after="120" w:line="480" w:lineRule="auto"/>
        <w:jc w:val="both"/>
        <w:rPr>
          <w:rFonts w:ascii="Times New Roman" w:hAnsi="Times New Roman"/>
          <w:i/>
          <w:color w:val="000000" w:themeColor="text1"/>
          <w:sz w:val="24"/>
          <w:szCs w:val="24"/>
        </w:rPr>
      </w:pPr>
      <w:r w:rsidRPr="008B33CC">
        <w:rPr>
          <w:rFonts w:ascii="Times New Roman" w:hAnsi="Times New Roman"/>
          <w:i/>
          <w:color w:val="000000" w:themeColor="text1"/>
          <w:sz w:val="24"/>
          <w:szCs w:val="24"/>
        </w:rPr>
        <w:t>S</w:t>
      </w:r>
      <w:r w:rsidR="00E50D65" w:rsidRPr="008B33CC">
        <w:rPr>
          <w:rFonts w:ascii="Times New Roman" w:hAnsi="Times New Roman"/>
          <w:b/>
          <w:i/>
          <w:color w:val="000000" w:themeColor="text1"/>
          <w:sz w:val="24"/>
          <w:szCs w:val="24"/>
        </w:rPr>
        <w:t>canning electron microscopy (SEM)</w:t>
      </w:r>
      <w:r w:rsidR="00196D95" w:rsidRPr="008B33CC">
        <w:rPr>
          <w:rFonts w:ascii="Times New Roman" w:hAnsi="Times New Roman"/>
          <w:b/>
          <w:i/>
          <w:color w:val="000000" w:themeColor="text1"/>
          <w:sz w:val="24"/>
          <w:szCs w:val="24"/>
        </w:rPr>
        <w:t xml:space="preserve"> </w:t>
      </w:r>
    </w:p>
    <w:p w14:paraId="0B630456" w14:textId="51F60F7A" w:rsidR="00E50D65"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SEM images of optimized SHK loaded microsponges formulation providing evidence that microsponges were uniform and spherical in shape with highly porous nature</w:t>
      </w:r>
      <w:r w:rsidR="00FD1F18" w:rsidRPr="00E37EA2">
        <w:rPr>
          <w:rFonts w:ascii="Times New Roman" w:hAnsi="Times New Roman"/>
          <w:color w:val="000000" w:themeColor="text1"/>
          <w:sz w:val="24"/>
          <w:szCs w:val="24"/>
        </w:rPr>
        <w:t xml:space="preserve"> as represents in Figure</w:t>
      </w:r>
      <w:r w:rsidR="005B0EA6">
        <w:rPr>
          <w:rFonts w:ascii="Times New Roman" w:hAnsi="Times New Roman"/>
          <w:color w:val="000000" w:themeColor="text1"/>
          <w:sz w:val="24"/>
          <w:szCs w:val="24"/>
        </w:rPr>
        <w:t xml:space="preserve"> 6</w:t>
      </w:r>
      <w:r w:rsidRPr="00E37EA2">
        <w:rPr>
          <w:rFonts w:ascii="Times New Roman" w:hAnsi="Times New Roman"/>
          <w:color w:val="000000" w:themeColor="text1"/>
          <w:sz w:val="24"/>
          <w:szCs w:val="24"/>
        </w:rPr>
        <w:t xml:space="preserve">. </w:t>
      </w:r>
    </w:p>
    <w:p w14:paraId="64F3A38C" w14:textId="66EF0B2A" w:rsidR="00FE0329" w:rsidRPr="00E37EA2" w:rsidRDefault="00FE0329" w:rsidP="0008082E">
      <w:pPr>
        <w:spacing w:before="120" w:after="120" w:line="480" w:lineRule="auto"/>
        <w:jc w:val="both"/>
        <w:rPr>
          <w:rFonts w:ascii="Times New Roman" w:hAnsi="Times New Roman"/>
          <w:color w:val="000000" w:themeColor="text1"/>
          <w:sz w:val="24"/>
          <w:szCs w:val="24"/>
        </w:rPr>
      </w:pPr>
      <w:r w:rsidRPr="008B33CC">
        <w:rPr>
          <w:rFonts w:ascii="Times New Roman" w:hAnsi="Times New Roman"/>
          <w:noProof/>
          <w:sz w:val="24"/>
          <w:szCs w:val="24"/>
        </w:rPr>
        <w:drawing>
          <wp:inline distT="0" distB="0" distL="0" distR="0" wp14:anchorId="7B8C4450" wp14:editId="284BFCEB">
            <wp:extent cx="5923128" cy="1883391"/>
            <wp:effectExtent l="0" t="0" r="1905" b="3175"/>
            <wp:docPr id="38" name="Picture 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9"/>
                    <a:stretch>
                      <a:fillRect/>
                    </a:stretch>
                  </pic:blipFill>
                  <pic:spPr>
                    <a:xfrm>
                      <a:off x="0" y="0"/>
                      <a:ext cx="5943600" cy="1889901"/>
                    </a:xfrm>
                    <a:prstGeom prst="rect">
                      <a:avLst/>
                    </a:prstGeom>
                  </pic:spPr>
                </pic:pic>
              </a:graphicData>
            </a:graphic>
          </wp:inline>
        </w:drawing>
      </w:r>
    </w:p>
    <w:p w14:paraId="70AA1E6C" w14:textId="1C5E15F2" w:rsidR="00E50D65" w:rsidRPr="00E37EA2" w:rsidRDefault="00FD1F18"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lastRenderedPageBreak/>
        <w:t xml:space="preserve">Figure </w:t>
      </w:r>
      <w:r w:rsidR="005B0EA6">
        <w:rPr>
          <w:rFonts w:ascii="Times New Roman" w:hAnsi="Times New Roman"/>
          <w:b/>
          <w:color w:val="000000" w:themeColor="text1"/>
          <w:sz w:val="24"/>
          <w:szCs w:val="24"/>
        </w:rPr>
        <w:t>6</w:t>
      </w:r>
      <w:r w:rsidR="00E50D65" w:rsidRPr="00E37EA2">
        <w:rPr>
          <w:rFonts w:ascii="Times New Roman" w:hAnsi="Times New Roman"/>
          <w:color w:val="000000" w:themeColor="text1"/>
          <w:sz w:val="24"/>
          <w:szCs w:val="24"/>
        </w:rPr>
        <w:t>: Scanning Electron Microscope images of optimized SHK loaded microsponges</w:t>
      </w:r>
    </w:p>
    <w:p w14:paraId="495E0481" w14:textId="7043327A" w:rsidR="00E50D65" w:rsidRPr="008B33CC" w:rsidRDefault="00E50D65"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X-Ray Diffraction Analysis (XRD)</w:t>
      </w:r>
    </w:p>
    <w:p w14:paraId="5FFBC52E" w14:textId="3230F3FE" w:rsidR="00571C86" w:rsidRPr="00571C86" w:rsidRDefault="00E50D65" w:rsidP="00571C86">
      <w:pPr>
        <w:spacing w:line="360" w:lineRule="auto"/>
        <w:jc w:val="both"/>
        <w:rPr>
          <w:rFonts w:ascii="Times New Roman" w:hAnsi="Times New Roman"/>
          <w:sz w:val="24"/>
          <w:szCs w:val="24"/>
        </w:rPr>
      </w:pPr>
      <w:r w:rsidRPr="004162E8">
        <w:rPr>
          <w:rFonts w:ascii="Times New Roman" w:hAnsi="Times New Roman"/>
          <w:sz w:val="24"/>
          <w:szCs w:val="24"/>
        </w:rPr>
        <w:t xml:space="preserve">The XRD pattern of SHK loaded fraction showed sharp peaks at 21°and 24° at the 2-theta scale which reveals the crystalline nature of the drug as shown in Figure </w:t>
      </w:r>
      <w:r w:rsidR="005B0EA6" w:rsidRPr="004162E8">
        <w:rPr>
          <w:rFonts w:ascii="Times New Roman" w:hAnsi="Times New Roman"/>
          <w:sz w:val="24"/>
          <w:szCs w:val="24"/>
        </w:rPr>
        <w:t>7</w:t>
      </w:r>
      <w:r w:rsidRPr="004162E8">
        <w:rPr>
          <w:rFonts w:ascii="Times New Roman" w:hAnsi="Times New Roman"/>
          <w:sz w:val="24"/>
          <w:szCs w:val="24"/>
        </w:rPr>
        <w:t xml:space="preserve">. </w:t>
      </w:r>
      <w:r w:rsidR="00636D50" w:rsidRPr="004162E8">
        <w:rPr>
          <w:rFonts w:ascii="Times New Roman" w:hAnsi="Times New Roman"/>
          <w:sz w:val="24"/>
          <w:szCs w:val="24"/>
        </w:rPr>
        <w:t>However, no sharp peaks were detected in the n drug-loaded microsponges which confirmed transformation of drug into amorphous</w:t>
      </w:r>
      <w:r w:rsidR="004162E8" w:rsidRPr="004162E8">
        <w:rPr>
          <w:rFonts w:ascii="Times New Roman" w:hAnsi="Times New Roman"/>
          <w:sz w:val="24"/>
          <w:szCs w:val="24"/>
        </w:rPr>
        <w:t xml:space="preserve"> </w:t>
      </w:r>
      <w:r w:rsidR="00636D50" w:rsidRPr="004162E8">
        <w:rPr>
          <w:rFonts w:ascii="Times New Roman" w:hAnsi="Times New Roman"/>
          <w:sz w:val="24"/>
          <w:szCs w:val="24"/>
        </w:rPr>
        <w:t>form</w:t>
      </w:r>
      <w:r w:rsidR="004162E8" w:rsidRPr="004162E8">
        <w:rPr>
          <w:rFonts w:ascii="Times New Roman" w:hAnsi="Times New Roman"/>
          <w:sz w:val="24"/>
          <w:szCs w:val="24"/>
        </w:rPr>
        <w:t>.</w:t>
      </w:r>
    </w:p>
    <w:p w14:paraId="3AF07665" w14:textId="51B6FCAC" w:rsidR="00E50D65" w:rsidRPr="00571C86" w:rsidRDefault="00AE4C2F" w:rsidP="0008082E">
      <w:pPr>
        <w:spacing w:before="120" w:after="120" w:line="480" w:lineRule="auto"/>
        <w:jc w:val="both"/>
        <w:rPr>
          <w:rFonts w:ascii="Times New Roman" w:hAnsi="Times New Roman"/>
          <w:b/>
          <w:color w:val="000000" w:themeColor="text1"/>
          <w:sz w:val="24"/>
          <w:szCs w:val="24"/>
        </w:rPr>
      </w:pPr>
      <w:r>
        <w:rPr>
          <w:noProof/>
        </w:rPr>
        <w:drawing>
          <wp:inline distT="0" distB="0" distL="0" distR="0" wp14:anchorId="4DE354F4" wp14:editId="12408EE7">
            <wp:extent cx="6013450" cy="2336091"/>
            <wp:effectExtent l="0" t="0" r="6350" b="7620"/>
            <wp:docPr id="15563371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7186" name=""/>
                    <pic:cNvPicPr/>
                  </pic:nvPicPr>
                  <pic:blipFill rotWithShape="1">
                    <a:blip r:embed="rId20">
                      <a:extLst>
                        <a:ext uri="{96DAC541-7B7A-43D3-8B79-37D633B846F1}">
                          <asvg:svgBlip xmlns:asvg="http://schemas.microsoft.com/office/drawing/2016/SVG/main" r:embed="rId21"/>
                        </a:ext>
                      </a:extLst>
                    </a:blip>
                    <a:srcRect l="13035" t="17476" r="15784" b="12612"/>
                    <a:stretch>
                      <a:fillRect/>
                    </a:stretch>
                  </pic:blipFill>
                  <pic:spPr bwMode="auto">
                    <a:xfrm>
                      <a:off x="0" y="0"/>
                      <a:ext cx="6087835" cy="2364988"/>
                    </a:xfrm>
                    <a:prstGeom prst="rect">
                      <a:avLst/>
                    </a:prstGeom>
                    <a:ln>
                      <a:noFill/>
                    </a:ln>
                    <a:extLst>
                      <a:ext uri="{53640926-AAD7-44D8-BBD7-CCE9431645EC}">
                        <a14:shadowObscured xmlns:a14="http://schemas.microsoft.com/office/drawing/2010/main"/>
                      </a:ext>
                    </a:extLst>
                  </pic:spPr>
                </pic:pic>
              </a:graphicData>
            </a:graphic>
          </wp:inline>
        </w:drawing>
      </w:r>
      <w:r w:rsidR="00076F12" w:rsidRPr="00E37EA2">
        <w:rPr>
          <w:rFonts w:ascii="Times New Roman" w:hAnsi="Times New Roman"/>
          <w:b/>
          <w:color w:val="000000" w:themeColor="text1"/>
          <w:sz w:val="24"/>
          <w:szCs w:val="24"/>
        </w:rPr>
        <w:t xml:space="preserve">Figure </w:t>
      </w:r>
      <w:r w:rsidR="005B0EA6">
        <w:rPr>
          <w:rFonts w:ascii="Times New Roman" w:hAnsi="Times New Roman"/>
          <w:b/>
          <w:color w:val="000000" w:themeColor="text1"/>
          <w:sz w:val="24"/>
          <w:szCs w:val="24"/>
        </w:rPr>
        <w:t>7</w:t>
      </w:r>
      <w:r w:rsidR="00E50D65" w:rsidRPr="00E37EA2">
        <w:rPr>
          <w:rFonts w:ascii="Times New Roman" w:hAnsi="Times New Roman"/>
          <w:b/>
          <w:color w:val="000000" w:themeColor="text1"/>
          <w:sz w:val="24"/>
          <w:szCs w:val="24"/>
        </w:rPr>
        <w:t>:</w:t>
      </w:r>
      <w:r w:rsidR="00E50D65" w:rsidRPr="00E37EA2">
        <w:rPr>
          <w:rFonts w:ascii="Times New Roman" w:hAnsi="Times New Roman"/>
          <w:color w:val="000000" w:themeColor="text1"/>
          <w:sz w:val="24"/>
          <w:szCs w:val="24"/>
        </w:rPr>
        <w:t xml:space="preserve"> X-Ray diffraction peaks of </w:t>
      </w:r>
      <w:r w:rsidR="00E50D65" w:rsidRPr="00E37EA2">
        <w:rPr>
          <w:rFonts w:ascii="Times New Roman" w:hAnsi="Times New Roman"/>
          <w:b/>
          <w:color w:val="000000" w:themeColor="text1"/>
          <w:sz w:val="24"/>
          <w:szCs w:val="24"/>
        </w:rPr>
        <w:t>A)</w:t>
      </w:r>
      <w:r w:rsidR="00E50D65" w:rsidRPr="00E37EA2">
        <w:rPr>
          <w:rFonts w:ascii="Times New Roman" w:hAnsi="Times New Roman"/>
          <w:color w:val="000000" w:themeColor="text1"/>
          <w:sz w:val="24"/>
          <w:szCs w:val="24"/>
        </w:rPr>
        <w:t xml:space="preserve"> Potent </w:t>
      </w:r>
      <w:r w:rsidR="00896A45" w:rsidRPr="00E37EA2">
        <w:rPr>
          <w:rFonts w:ascii="Times New Roman" w:hAnsi="Times New Roman"/>
          <w:color w:val="000000" w:themeColor="text1"/>
          <w:sz w:val="24"/>
          <w:szCs w:val="24"/>
        </w:rPr>
        <w:t>fraction of</w:t>
      </w:r>
      <w:r w:rsidR="00254B61" w:rsidRPr="00E37EA2">
        <w:rPr>
          <w:rFonts w:ascii="Times New Roman" w:hAnsi="Times New Roman"/>
          <w:color w:val="000000" w:themeColor="text1"/>
          <w:sz w:val="24"/>
          <w:szCs w:val="24"/>
        </w:rPr>
        <w:t xml:space="preserve"> </w:t>
      </w:r>
      <w:proofErr w:type="spellStart"/>
      <w:r w:rsidR="00254B61" w:rsidRPr="00E37EA2">
        <w:rPr>
          <w:rFonts w:ascii="Times New Roman" w:hAnsi="Times New Roman"/>
          <w:i/>
          <w:iCs/>
          <w:color w:val="000000" w:themeColor="text1"/>
          <w:sz w:val="24"/>
          <w:szCs w:val="24"/>
        </w:rPr>
        <w:t>Arnebia</w:t>
      </w:r>
      <w:proofErr w:type="spellEnd"/>
      <w:r w:rsidR="00254B61" w:rsidRPr="00E37EA2">
        <w:rPr>
          <w:rFonts w:ascii="Times New Roman" w:hAnsi="Times New Roman"/>
          <w:i/>
          <w:iCs/>
          <w:color w:val="000000" w:themeColor="text1"/>
          <w:sz w:val="24"/>
          <w:szCs w:val="24"/>
        </w:rPr>
        <w:t xml:space="preserve"> nobilis</w:t>
      </w:r>
      <w:r w:rsidR="00254B61" w:rsidRPr="00E37EA2">
        <w:rPr>
          <w:rFonts w:ascii="Times New Roman" w:hAnsi="Times New Roman"/>
          <w:color w:val="000000" w:themeColor="text1"/>
          <w:sz w:val="24"/>
          <w:szCs w:val="24"/>
        </w:rPr>
        <w:t xml:space="preserve"> containing SHK </w:t>
      </w:r>
      <w:r w:rsidR="00E50D65" w:rsidRPr="00E37EA2">
        <w:rPr>
          <w:rFonts w:ascii="Times New Roman" w:hAnsi="Times New Roman"/>
          <w:b/>
          <w:color w:val="000000" w:themeColor="text1"/>
          <w:sz w:val="24"/>
          <w:szCs w:val="24"/>
        </w:rPr>
        <w:t>B)</w:t>
      </w:r>
      <w:r w:rsidR="00E50D65" w:rsidRPr="00E37EA2">
        <w:rPr>
          <w:rFonts w:ascii="Times New Roman" w:hAnsi="Times New Roman"/>
          <w:color w:val="000000" w:themeColor="text1"/>
          <w:sz w:val="24"/>
          <w:szCs w:val="24"/>
        </w:rPr>
        <w:t xml:space="preserve"> </w:t>
      </w:r>
      <w:r w:rsidR="0037024F">
        <w:rPr>
          <w:rFonts w:ascii="Times New Roman" w:hAnsi="Times New Roman"/>
          <w:color w:val="000000" w:themeColor="text1"/>
          <w:sz w:val="24"/>
          <w:szCs w:val="24"/>
        </w:rPr>
        <w:t xml:space="preserve">Ethyl cellulose </w:t>
      </w:r>
      <w:r w:rsidR="0037024F">
        <w:rPr>
          <w:rFonts w:ascii="Times New Roman" w:hAnsi="Times New Roman"/>
          <w:b/>
          <w:bCs/>
          <w:color w:val="000000" w:themeColor="text1"/>
          <w:sz w:val="24"/>
          <w:szCs w:val="24"/>
        </w:rPr>
        <w:t xml:space="preserve">C) </w:t>
      </w:r>
      <w:r w:rsidR="00E50D65" w:rsidRPr="00E37EA2">
        <w:rPr>
          <w:rFonts w:ascii="Times New Roman" w:hAnsi="Times New Roman"/>
          <w:color w:val="000000" w:themeColor="text1"/>
          <w:sz w:val="24"/>
          <w:szCs w:val="24"/>
        </w:rPr>
        <w:t xml:space="preserve">SHK loaded </w:t>
      </w:r>
      <w:proofErr w:type="spellStart"/>
      <w:r w:rsidR="00E50D65" w:rsidRPr="00E37EA2">
        <w:rPr>
          <w:rFonts w:ascii="Times New Roman" w:hAnsi="Times New Roman"/>
          <w:color w:val="000000" w:themeColor="text1"/>
          <w:sz w:val="24"/>
          <w:szCs w:val="24"/>
        </w:rPr>
        <w:t>micropsonges</w:t>
      </w:r>
      <w:proofErr w:type="spellEnd"/>
    </w:p>
    <w:p w14:paraId="35FAC2DB" w14:textId="57CE793D" w:rsidR="00E50D65" w:rsidRPr="008B33CC" w:rsidRDefault="00E50D65"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Total drug content and entrapment efficiency</w:t>
      </w:r>
    </w:p>
    <w:p w14:paraId="70120DF1" w14:textId="77777777" w:rsidR="00E50D65"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The total SHK content and entrapment efficiency of optimized microsponges was found to be 95.5% and 81.35±1.3%, respectively, hence indicating uniform distribution of SHK in the microsponges. </w:t>
      </w:r>
    </w:p>
    <w:p w14:paraId="7FADD434" w14:textId="7BB1DFCD" w:rsidR="00E50D65" w:rsidRPr="008B33CC" w:rsidRDefault="00E50D65"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Micromeritic</w:t>
      </w:r>
      <w:r w:rsidR="00196D95" w:rsidRPr="008B33CC">
        <w:rPr>
          <w:rFonts w:ascii="Times New Roman" w:hAnsi="Times New Roman"/>
          <w:b/>
          <w:i/>
          <w:color w:val="000000" w:themeColor="text1"/>
          <w:sz w:val="24"/>
          <w:szCs w:val="24"/>
        </w:rPr>
        <w:t>s</w:t>
      </w:r>
      <w:r w:rsidRPr="008B33CC">
        <w:rPr>
          <w:rFonts w:ascii="Times New Roman" w:hAnsi="Times New Roman"/>
          <w:b/>
          <w:i/>
          <w:color w:val="000000" w:themeColor="text1"/>
          <w:sz w:val="24"/>
          <w:szCs w:val="24"/>
        </w:rPr>
        <w:t xml:space="preserve"> properties</w:t>
      </w:r>
    </w:p>
    <w:p w14:paraId="4AB2C042" w14:textId="455548DF" w:rsidR="00E50D65"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The bulk density, tapped density, angle of repose, compressibility index, Hausner’s ratio of optimized microsponges were 79.36 g/ml, 94.33 g/ml, 28.6°, 15.86 and 1.18, respectively. The increase in the tapped density indicated the presence of pores in the microsponges. However, the </w:t>
      </w:r>
      <w:r w:rsidRPr="00E37EA2">
        <w:rPr>
          <w:rFonts w:ascii="Times New Roman" w:hAnsi="Times New Roman"/>
          <w:color w:val="000000" w:themeColor="text1"/>
          <w:sz w:val="24"/>
          <w:szCs w:val="24"/>
        </w:rPr>
        <w:lastRenderedPageBreak/>
        <w:t>present values of angle of repose, Hausner</w:t>
      </w:r>
      <w:r w:rsidR="00254B61" w:rsidRPr="00E37EA2">
        <w:rPr>
          <w:rFonts w:ascii="Times New Roman" w:hAnsi="Times New Roman"/>
          <w:color w:val="000000" w:themeColor="text1"/>
          <w:sz w:val="24"/>
          <w:szCs w:val="24"/>
        </w:rPr>
        <w:t>’s</w:t>
      </w:r>
      <w:r w:rsidRPr="00E37EA2">
        <w:rPr>
          <w:rFonts w:ascii="Times New Roman" w:hAnsi="Times New Roman"/>
          <w:color w:val="000000" w:themeColor="text1"/>
          <w:sz w:val="24"/>
          <w:szCs w:val="24"/>
        </w:rPr>
        <w:t xml:space="preserve"> ratio and Compressibility index reveals free flowing nature of microsponges.</w:t>
      </w:r>
    </w:p>
    <w:p w14:paraId="46867712" w14:textId="57ADBF3A" w:rsidR="00E50D65" w:rsidRPr="008B33CC" w:rsidRDefault="00E50D65"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Porosity studies</w:t>
      </w:r>
    </w:p>
    <w:p w14:paraId="2F92D83D" w14:textId="3426BDD5" w:rsidR="00E50D65"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The quasi-emulsion diffusion method of microsponges preparation has been established to produce particles with high porosity. The blank microsponges possessed average surface area of 72.63 m</w:t>
      </w:r>
      <w:r w:rsidRPr="00E37EA2">
        <w:rPr>
          <w:rFonts w:ascii="Times New Roman" w:hAnsi="Times New Roman"/>
          <w:color w:val="000000" w:themeColor="text1"/>
          <w:sz w:val="24"/>
          <w:szCs w:val="24"/>
          <w:vertAlign w:val="superscript"/>
        </w:rPr>
        <w:t>2</w:t>
      </w:r>
      <w:r w:rsidRPr="00E37EA2">
        <w:rPr>
          <w:rFonts w:ascii="Times New Roman" w:hAnsi="Times New Roman"/>
          <w:color w:val="000000" w:themeColor="text1"/>
          <w:sz w:val="24"/>
          <w:szCs w:val="24"/>
        </w:rPr>
        <w:t xml:space="preserve"> /</w:t>
      </w:r>
      <w:r w:rsidR="00F125C4" w:rsidRPr="00E37EA2">
        <w:rPr>
          <w:rFonts w:ascii="Times New Roman" w:hAnsi="Times New Roman"/>
          <w:color w:val="000000" w:themeColor="text1"/>
          <w:sz w:val="24"/>
          <w:szCs w:val="24"/>
        </w:rPr>
        <w:t>g,</w:t>
      </w:r>
      <w:r w:rsidRPr="00E37EA2">
        <w:rPr>
          <w:rFonts w:ascii="Times New Roman" w:hAnsi="Times New Roman"/>
          <w:color w:val="000000" w:themeColor="text1"/>
          <w:sz w:val="24"/>
          <w:szCs w:val="24"/>
        </w:rPr>
        <w:t xml:space="preserve"> average pore volume of 0.141 cc/g and average pore diameter of 0.24µm indicating the presence of numerous pores. However, SHK loaded microsponges showed an average surface area of 3.09 m</w:t>
      </w:r>
      <w:r w:rsidRPr="00E37EA2">
        <w:rPr>
          <w:rFonts w:ascii="Times New Roman" w:hAnsi="Times New Roman"/>
          <w:color w:val="000000" w:themeColor="text1"/>
          <w:sz w:val="24"/>
          <w:szCs w:val="24"/>
          <w:vertAlign w:val="superscript"/>
        </w:rPr>
        <w:t>2</w:t>
      </w:r>
      <w:r w:rsidRPr="00E37EA2">
        <w:rPr>
          <w:rFonts w:ascii="Times New Roman" w:hAnsi="Times New Roman"/>
          <w:color w:val="000000" w:themeColor="text1"/>
          <w:sz w:val="24"/>
          <w:szCs w:val="24"/>
        </w:rPr>
        <w:t xml:space="preserve">/g, pore volume of 0.027 cc/g and average pore diameter of 0.19 µm. This substantial decrease in the surface area, pore volume and pore diameter </w:t>
      </w:r>
      <w:proofErr w:type="gramStart"/>
      <w:r w:rsidRPr="00E37EA2">
        <w:rPr>
          <w:rFonts w:ascii="Times New Roman" w:hAnsi="Times New Roman"/>
          <w:color w:val="000000" w:themeColor="text1"/>
          <w:sz w:val="24"/>
          <w:szCs w:val="24"/>
        </w:rPr>
        <w:t>is</w:t>
      </w:r>
      <w:proofErr w:type="gramEnd"/>
      <w:r w:rsidRPr="00E37EA2">
        <w:rPr>
          <w:rFonts w:ascii="Times New Roman" w:hAnsi="Times New Roman"/>
          <w:color w:val="000000" w:themeColor="text1"/>
          <w:sz w:val="24"/>
          <w:szCs w:val="24"/>
        </w:rPr>
        <w:t xml:space="preserve"> attributable to encapsulation of SHK within the pores of microsponges.</w:t>
      </w:r>
    </w:p>
    <w:p w14:paraId="2F7E68D0" w14:textId="3FB581B5" w:rsidR="00E50D65" w:rsidRPr="008B33CC" w:rsidRDefault="00E50D65"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Photostability studies</w:t>
      </w:r>
    </w:p>
    <w:p w14:paraId="6C303F95" w14:textId="6BAC8EB0" w:rsidR="00DC28CF" w:rsidRPr="00DC28CF" w:rsidRDefault="00E50D65" w:rsidP="00DC28CF">
      <w:pPr>
        <w:spacing w:before="120" w:after="120" w:line="480" w:lineRule="auto"/>
        <w:jc w:val="both"/>
        <w:rPr>
          <w:rFonts w:ascii="Times New Roman" w:hAnsi="Times New Roman"/>
          <w:noProof/>
          <w:sz w:val="24"/>
          <w:szCs w:val="24"/>
        </w:rPr>
      </w:pPr>
      <w:r w:rsidRPr="00E37EA2">
        <w:rPr>
          <w:rFonts w:ascii="Times New Roman" w:hAnsi="Times New Roman"/>
          <w:color w:val="000000" w:themeColor="text1"/>
          <w:sz w:val="24"/>
          <w:szCs w:val="24"/>
        </w:rPr>
        <w:t>SHK gets absorbed in the UV region displaying a peak around 518</w:t>
      </w:r>
      <w:r w:rsidR="00254B61" w:rsidRPr="00E37EA2">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 xml:space="preserve">nm, whose intensity retarded upon UVA irradiation (Figure </w:t>
      </w:r>
      <w:r w:rsidR="005B0EA6">
        <w:rPr>
          <w:rFonts w:ascii="Times New Roman" w:hAnsi="Times New Roman"/>
          <w:color w:val="000000" w:themeColor="text1"/>
          <w:sz w:val="24"/>
          <w:szCs w:val="24"/>
        </w:rPr>
        <w:t>8</w:t>
      </w:r>
      <w:r w:rsidRPr="008B33CC">
        <w:rPr>
          <w:rFonts w:ascii="Times New Roman" w:hAnsi="Times New Roman"/>
          <w:color w:val="000000" w:themeColor="text1"/>
          <w:sz w:val="24"/>
          <w:szCs w:val="24"/>
        </w:rPr>
        <w:t xml:space="preserve">). </w:t>
      </w:r>
    </w:p>
    <w:p w14:paraId="6355BFD1" w14:textId="77777777" w:rsidR="00DC28CF" w:rsidRDefault="00DC28CF" w:rsidP="00DC28CF">
      <w:pPr>
        <w:spacing w:before="120" w:after="120" w:line="480" w:lineRule="auto"/>
        <w:jc w:val="center"/>
        <w:rPr>
          <w:rFonts w:ascii="Times New Roman" w:hAnsi="Times New Roman"/>
          <w:color w:val="000000" w:themeColor="text1"/>
          <w:sz w:val="24"/>
          <w:szCs w:val="24"/>
        </w:rPr>
      </w:pPr>
      <w:r>
        <w:rPr>
          <w:noProof/>
        </w:rPr>
        <w:drawing>
          <wp:inline distT="0" distB="0" distL="0" distR="0" wp14:anchorId="2C132FA4" wp14:editId="6195016B">
            <wp:extent cx="5021580" cy="2621280"/>
            <wp:effectExtent l="0" t="0" r="7620" b="7620"/>
            <wp:docPr id="11901785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78560" name=""/>
                    <pic:cNvPicPr/>
                  </pic:nvPicPr>
                  <pic:blipFill rotWithShape="1">
                    <a:blip r:embed="rId22">
                      <a:extLst>
                        <a:ext uri="{96DAC541-7B7A-43D3-8B79-37D633B846F1}">
                          <asvg:svgBlip xmlns:asvg="http://schemas.microsoft.com/office/drawing/2016/SVG/main" r:embed="rId23"/>
                        </a:ext>
                      </a:extLst>
                    </a:blip>
                    <a:srcRect l="29785" t="32145" r="27811" b="11793"/>
                    <a:stretch>
                      <a:fillRect/>
                    </a:stretch>
                  </pic:blipFill>
                  <pic:spPr bwMode="auto">
                    <a:xfrm>
                      <a:off x="0" y="0"/>
                      <a:ext cx="5021580" cy="2621280"/>
                    </a:xfrm>
                    <a:prstGeom prst="rect">
                      <a:avLst/>
                    </a:prstGeom>
                    <a:ln>
                      <a:noFill/>
                    </a:ln>
                    <a:extLst>
                      <a:ext uri="{53640926-AAD7-44D8-BBD7-CCE9431645EC}">
                        <a14:shadowObscured xmlns:a14="http://schemas.microsoft.com/office/drawing/2010/main"/>
                      </a:ext>
                    </a:extLst>
                  </pic:spPr>
                </pic:pic>
              </a:graphicData>
            </a:graphic>
          </wp:inline>
        </w:drawing>
      </w:r>
    </w:p>
    <w:p w14:paraId="36D4661E" w14:textId="20B88F14" w:rsidR="00E50D65" w:rsidRPr="00DC28CF" w:rsidRDefault="00E50D65" w:rsidP="00DC28CF">
      <w:pPr>
        <w:spacing w:before="120" w:after="120" w:line="480" w:lineRule="auto"/>
        <w:jc w:val="center"/>
        <w:rPr>
          <w:rFonts w:ascii="Times New Roman" w:hAnsi="Times New Roman"/>
          <w:color w:val="000000" w:themeColor="text1"/>
          <w:sz w:val="24"/>
          <w:szCs w:val="24"/>
        </w:rPr>
      </w:pPr>
      <w:r w:rsidRPr="00E37EA2">
        <w:rPr>
          <w:rFonts w:ascii="Times New Roman" w:eastAsia="Times New Roman" w:hAnsi="Times New Roman"/>
          <w:b/>
          <w:color w:val="000000" w:themeColor="text1"/>
          <w:sz w:val="24"/>
          <w:szCs w:val="24"/>
        </w:rPr>
        <w:t>Figure</w:t>
      </w:r>
      <w:r w:rsidR="00552A44" w:rsidRPr="00E37EA2">
        <w:rPr>
          <w:rFonts w:ascii="Times New Roman" w:eastAsia="Times New Roman" w:hAnsi="Times New Roman"/>
          <w:b/>
          <w:color w:val="000000" w:themeColor="text1"/>
          <w:sz w:val="24"/>
          <w:szCs w:val="24"/>
        </w:rPr>
        <w:t xml:space="preserve"> </w:t>
      </w:r>
      <w:r w:rsidR="005B0EA6">
        <w:rPr>
          <w:rFonts w:ascii="Times New Roman" w:eastAsia="Times New Roman" w:hAnsi="Times New Roman"/>
          <w:b/>
          <w:color w:val="000000" w:themeColor="text1"/>
          <w:sz w:val="24"/>
          <w:szCs w:val="24"/>
        </w:rPr>
        <w:t>8</w:t>
      </w:r>
      <w:r w:rsidRPr="00E37EA2">
        <w:rPr>
          <w:rFonts w:ascii="Times New Roman" w:eastAsia="Times New Roman" w:hAnsi="Times New Roman"/>
          <w:b/>
          <w:color w:val="000000" w:themeColor="text1"/>
          <w:sz w:val="24"/>
          <w:szCs w:val="24"/>
        </w:rPr>
        <w:t xml:space="preserve">: </w:t>
      </w:r>
      <w:r w:rsidRPr="00E37EA2">
        <w:rPr>
          <w:rFonts w:ascii="Times New Roman" w:eastAsia="Times New Roman" w:hAnsi="Times New Roman"/>
          <w:color w:val="000000" w:themeColor="text1"/>
          <w:sz w:val="24"/>
          <w:szCs w:val="24"/>
        </w:rPr>
        <w:t>Photostability stud</w:t>
      </w:r>
      <w:r w:rsidR="00254B61" w:rsidRPr="00E37EA2">
        <w:rPr>
          <w:rFonts w:ascii="Times New Roman" w:eastAsia="Times New Roman" w:hAnsi="Times New Roman"/>
          <w:color w:val="000000" w:themeColor="text1"/>
          <w:sz w:val="24"/>
          <w:szCs w:val="24"/>
        </w:rPr>
        <w:t>y</w:t>
      </w:r>
      <w:r w:rsidRPr="00E37EA2">
        <w:rPr>
          <w:rFonts w:ascii="Times New Roman" w:eastAsia="Times New Roman" w:hAnsi="Times New Roman"/>
          <w:color w:val="000000" w:themeColor="text1"/>
          <w:sz w:val="24"/>
          <w:szCs w:val="24"/>
        </w:rPr>
        <w:t xml:space="preserve"> of pure </w:t>
      </w:r>
      <w:proofErr w:type="spellStart"/>
      <w:r w:rsidRPr="00E37EA2">
        <w:rPr>
          <w:rFonts w:ascii="Times New Roman" w:eastAsia="Times New Roman" w:hAnsi="Times New Roman"/>
          <w:color w:val="000000" w:themeColor="text1"/>
          <w:sz w:val="24"/>
          <w:szCs w:val="24"/>
        </w:rPr>
        <w:t>shi</w:t>
      </w:r>
      <w:r w:rsidR="00A728D9">
        <w:rPr>
          <w:rFonts w:ascii="Times New Roman" w:eastAsia="Times New Roman" w:hAnsi="Times New Roman"/>
          <w:color w:val="000000" w:themeColor="text1"/>
          <w:sz w:val="24"/>
          <w:szCs w:val="24"/>
        </w:rPr>
        <w:t>kalkin</w:t>
      </w:r>
      <w:proofErr w:type="spellEnd"/>
      <w:r w:rsidRPr="00E37EA2">
        <w:rPr>
          <w:rFonts w:ascii="Times New Roman" w:eastAsia="Times New Roman" w:hAnsi="Times New Roman"/>
          <w:color w:val="000000" w:themeColor="text1"/>
          <w:sz w:val="24"/>
          <w:szCs w:val="24"/>
        </w:rPr>
        <w:t xml:space="preserve"> and SHK loaded microsponges</w:t>
      </w:r>
      <w:r w:rsidR="00254B61" w:rsidRPr="00E37EA2">
        <w:rPr>
          <w:rFonts w:ascii="Times New Roman" w:eastAsia="Times New Roman" w:hAnsi="Times New Roman"/>
          <w:color w:val="000000" w:themeColor="text1"/>
          <w:sz w:val="24"/>
          <w:szCs w:val="24"/>
        </w:rPr>
        <w:t xml:space="preserve"> at 518 nm</w:t>
      </w:r>
    </w:p>
    <w:p w14:paraId="0D5E65EB" w14:textId="77777777" w:rsidR="00E50D65" w:rsidRPr="00E37EA2" w:rsidRDefault="00E50D65" w:rsidP="0008082E">
      <w:pPr>
        <w:spacing w:before="120" w:after="120" w:line="480" w:lineRule="auto"/>
        <w:jc w:val="both"/>
        <w:rPr>
          <w:rFonts w:ascii="Times New Roman" w:eastAsia="Times New Roman" w:hAnsi="Times New Roman"/>
          <w:b/>
          <w:color w:val="000000" w:themeColor="text1"/>
          <w:sz w:val="24"/>
          <w:szCs w:val="24"/>
        </w:rPr>
      </w:pPr>
      <w:r w:rsidRPr="00E37EA2">
        <w:rPr>
          <w:rFonts w:ascii="Times New Roman" w:eastAsia="Times New Roman" w:hAnsi="Times New Roman"/>
          <w:b/>
          <w:color w:val="000000" w:themeColor="text1"/>
          <w:sz w:val="24"/>
          <w:szCs w:val="24"/>
        </w:rPr>
        <w:lastRenderedPageBreak/>
        <w:t>3.5 Optimization of SHK loaded microsponges based gel</w:t>
      </w:r>
    </w:p>
    <w:p w14:paraId="797893C0" w14:textId="77777777" w:rsidR="00E50D65" w:rsidRPr="00E37EA2" w:rsidRDefault="00E50D65" w:rsidP="0008082E">
      <w:pPr>
        <w:spacing w:before="120" w:after="120" w:line="480" w:lineRule="auto"/>
        <w:jc w:val="both"/>
        <w:rPr>
          <w:rFonts w:ascii="Times New Roman" w:eastAsia="Times New Roman" w:hAnsi="Times New Roman"/>
          <w:b/>
          <w:color w:val="000000" w:themeColor="text1"/>
          <w:sz w:val="24"/>
          <w:szCs w:val="24"/>
        </w:rPr>
      </w:pPr>
      <w:r w:rsidRPr="00E37EA2">
        <w:rPr>
          <w:rFonts w:ascii="Times New Roman" w:eastAsia="Times New Roman" w:hAnsi="Times New Roman"/>
          <w:b/>
          <w:color w:val="000000" w:themeColor="text1"/>
          <w:sz w:val="24"/>
          <w:szCs w:val="24"/>
        </w:rPr>
        <w:t xml:space="preserve">Visual inspection, pH, </w:t>
      </w:r>
      <w:proofErr w:type="spellStart"/>
      <w:r w:rsidRPr="00E37EA2">
        <w:rPr>
          <w:rFonts w:ascii="Times New Roman" w:eastAsia="Times New Roman" w:hAnsi="Times New Roman"/>
          <w:b/>
          <w:color w:val="000000" w:themeColor="text1"/>
          <w:sz w:val="24"/>
          <w:szCs w:val="24"/>
        </w:rPr>
        <w:t>spreadability</w:t>
      </w:r>
      <w:proofErr w:type="spellEnd"/>
      <w:r w:rsidRPr="00E37EA2">
        <w:rPr>
          <w:rFonts w:ascii="Times New Roman" w:eastAsia="Times New Roman" w:hAnsi="Times New Roman"/>
          <w:b/>
          <w:color w:val="000000" w:themeColor="text1"/>
          <w:sz w:val="24"/>
          <w:szCs w:val="24"/>
        </w:rPr>
        <w:t>, tube extrudability, occlusivity and viscoelastic properties</w:t>
      </w:r>
    </w:p>
    <w:p w14:paraId="21C93379" w14:textId="2D54CCB1" w:rsidR="00E50D65" w:rsidRPr="00104DE4" w:rsidRDefault="00E50D65" w:rsidP="0008082E">
      <w:pPr>
        <w:spacing w:before="120" w:after="120" w:line="480" w:lineRule="auto"/>
        <w:jc w:val="both"/>
        <w:rPr>
          <w:rFonts w:ascii="Times New Roman" w:eastAsia="Times New Roman" w:hAnsi="Times New Roman"/>
          <w:color w:val="000000" w:themeColor="text1"/>
          <w:sz w:val="24"/>
          <w:szCs w:val="24"/>
        </w:rPr>
      </w:pPr>
      <w:r w:rsidRPr="00E37EA2">
        <w:rPr>
          <w:rFonts w:ascii="Times New Roman" w:eastAsia="Times New Roman" w:hAnsi="Times New Roman"/>
          <w:color w:val="000000" w:themeColor="text1"/>
          <w:sz w:val="24"/>
          <w:szCs w:val="24"/>
        </w:rPr>
        <w:t xml:space="preserve">The results of visual inspection of blank gels prepared by taking different chitosan concentration are given in </w:t>
      </w:r>
      <w:r w:rsidRPr="00104DE4">
        <w:rPr>
          <w:rFonts w:ascii="Times New Roman" w:eastAsia="Times New Roman" w:hAnsi="Times New Roman"/>
          <w:color w:val="000000" w:themeColor="text1"/>
          <w:sz w:val="24"/>
          <w:szCs w:val="24"/>
        </w:rPr>
        <w:t xml:space="preserve">Table </w:t>
      </w:r>
      <w:r w:rsidR="005B0EA6" w:rsidRPr="00104DE4">
        <w:rPr>
          <w:rFonts w:ascii="Times New Roman" w:eastAsia="Times New Roman" w:hAnsi="Times New Roman"/>
          <w:color w:val="000000" w:themeColor="text1"/>
          <w:sz w:val="24"/>
          <w:szCs w:val="24"/>
        </w:rPr>
        <w:t>S</w:t>
      </w:r>
      <w:r w:rsidR="00B5071C" w:rsidRPr="00104DE4">
        <w:rPr>
          <w:rFonts w:ascii="Times New Roman" w:eastAsia="Times New Roman" w:hAnsi="Times New Roman"/>
          <w:color w:val="000000" w:themeColor="text1"/>
          <w:sz w:val="24"/>
          <w:szCs w:val="24"/>
        </w:rPr>
        <w:t>3</w:t>
      </w:r>
      <w:r w:rsidRPr="00104DE4">
        <w:rPr>
          <w:rFonts w:ascii="Times New Roman" w:eastAsia="Times New Roman" w:hAnsi="Times New Roman"/>
          <w:color w:val="000000" w:themeColor="text1"/>
          <w:sz w:val="24"/>
          <w:szCs w:val="24"/>
        </w:rPr>
        <w:t xml:space="preserve">. Chitosan was selected as gelling agent in concentration range of 0.5-2.5% </w:t>
      </w:r>
      <w:r w:rsidRPr="00104DE4">
        <w:rPr>
          <w:rFonts w:ascii="Times New Roman" w:eastAsia="Times New Roman" w:hAnsi="Times New Roman"/>
          <w:i/>
          <w:color w:val="000000" w:themeColor="text1"/>
          <w:sz w:val="24"/>
          <w:szCs w:val="24"/>
        </w:rPr>
        <w:t>w/v</w:t>
      </w:r>
      <w:r w:rsidRPr="00104DE4">
        <w:rPr>
          <w:rFonts w:ascii="Times New Roman" w:eastAsia="Times New Roman" w:hAnsi="Times New Roman"/>
          <w:color w:val="000000" w:themeColor="text1"/>
          <w:sz w:val="24"/>
          <w:szCs w:val="24"/>
        </w:rPr>
        <w:t xml:space="preserve">, discerning 2% </w:t>
      </w:r>
      <w:r w:rsidRPr="00104DE4">
        <w:rPr>
          <w:rFonts w:ascii="Times New Roman" w:eastAsia="Times New Roman" w:hAnsi="Times New Roman"/>
          <w:i/>
          <w:color w:val="000000" w:themeColor="text1"/>
          <w:sz w:val="24"/>
          <w:szCs w:val="24"/>
        </w:rPr>
        <w:t>w/v</w:t>
      </w:r>
      <w:r w:rsidRPr="00104DE4">
        <w:rPr>
          <w:rFonts w:ascii="Times New Roman" w:eastAsia="Times New Roman" w:hAnsi="Times New Roman"/>
          <w:color w:val="000000" w:themeColor="text1"/>
          <w:sz w:val="24"/>
          <w:szCs w:val="24"/>
        </w:rPr>
        <w:t xml:space="preserve"> chitosan gel as homogenous and viscous as compared to other gel formulations. Further, to the selected concentration of chitosan gel microsponges were incorporated and the gels were evaluated for pH, % drug content, </w:t>
      </w:r>
      <w:proofErr w:type="spellStart"/>
      <w:r w:rsidRPr="00104DE4">
        <w:rPr>
          <w:rFonts w:ascii="Times New Roman" w:eastAsia="Times New Roman" w:hAnsi="Times New Roman"/>
          <w:color w:val="000000" w:themeColor="text1"/>
          <w:sz w:val="24"/>
          <w:szCs w:val="24"/>
        </w:rPr>
        <w:t>spreadability</w:t>
      </w:r>
      <w:proofErr w:type="spellEnd"/>
      <w:r w:rsidRPr="00104DE4">
        <w:rPr>
          <w:rFonts w:ascii="Times New Roman" w:eastAsia="Times New Roman" w:hAnsi="Times New Roman"/>
          <w:color w:val="000000" w:themeColor="text1"/>
          <w:sz w:val="24"/>
          <w:szCs w:val="24"/>
        </w:rPr>
        <w:t>, extrudability and occlusivity. Results reveal</w:t>
      </w:r>
      <w:r w:rsidR="005717CC" w:rsidRPr="00104DE4">
        <w:rPr>
          <w:rFonts w:ascii="Times New Roman" w:eastAsia="Times New Roman" w:hAnsi="Times New Roman"/>
          <w:color w:val="000000" w:themeColor="text1"/>
          <w:sz w:val="24"/>
          <w:szCs w:val="24"/>
        </w:rPr>
        <w:t>ed that</w:t>
      </w:r>
      <w:r w:rsidRPr="00104DE4">
        <w:rPr>
          <w:rFonts w:ascii="Times New Roman" w:eastAsia="Times New Roman" w:hAnsi="Times New Roman"/>
          <w:color w:val="000000" w:themeColor="text1"/>
          <w:sz w:val="24"/>
          <w:szCs w:val="24"/>
        </w:rPr>
        <w:t xml:space="preserve"> 2%</w:t>
      </w:r>
      <w:r w:rsidRPr="00104DE4">
        <w:rPr>
          <w:rFonts w:ascii="Times New Roman" w:eastAsia="Times New Roman" w:hAnsi="Times New Roman"/>
          <w:i/>
          <w:color w:val="000000" w:themeColor="text1"/>
          <w:sz w:val="24"/>
          <w:szCs w:val="24"/>
        </w:rPr>
        <w:t>w/v</w:t>
      </w:r>
      <w:r w:rsidRPr="00104DE4">
        <w:rPr>
          <w:rFonts w:ascii="Times New Roman" w:eastAsia="Times New Roman" w:hAnsi="Times New Roman"/>
          <w:color w:val="000000" w:themeColor="text1"/>
          <w:sz w:val="24"/>
          <w:szCs w:val="24"/>
        </w:rPr>
        <w:t xml:space="preserve"> chitosan gel exhibiting highest SHK content with optimum pH 6.7 ± 0.1, indicat</w:t>
      </w:r>
      <w:r w:rsidR="005717CC" w:rsidRPr="00104DE4">
        <w:rPr>
          <w:rFonts w:ascii="Times New Roman" w:eastAsia="Times New Roman" w:hAnsi="Times New Roman"/>
          <w:color w:val="000000" w:themeColor="text1"/>
          <w:sz w:val="24"/>
          <w:szCs w:val="24"/>
        </w:rPr>
        <w:t>ed</w:t>
      </w:r>
      <w:r w:rsidRPr="00104DE4">
        <w:rPr>
          <w:rFonts w:ascii="Times New Roman" w:eastAsia="Times New Roman" w:hAnsi="Times New Roman"/>
          <w:color w:val="000000" w:themeColor="text1"/>
          <w:sz w:val="24"/>
          <w:szCs w:val="24"/>
        </w:rPr>
        <w:t xml:space="preserve"> suitability of gel formulation to pass the threat of irritation to the skin on application. Moreover, its spreadibility was found to be 10.3</w:t>
      </w:r>
      <w:r w:rsidR="007017D9" w:rsidRPr="00104DE4">
        <w:rPr>
          <w:rFonts w:ascii="Times New Roman" w:eastAsia="Times New Roman" w:hAnsi="Times New Roman"/>
          <w:color w:val="000000" w:themeColor="text1"/>
          <w:sz w:val="24"/>
          <w:szCs w:val="24"/>
        </w:rPr>
        <w:t xml:space="preserve"> </w:t>
      </w:r>
      <w:r w:rsidRPr="00104DE4">
        <w:rPr>
          <w:rFonts w:ascii="Times New Roman" w:eastAsia="Times New Roman" w:hAnsi="Times New Roman"/>
          <w:color w:val="000000" w:themeColor="text1"/>
          <w:sz w:val="24"/>
          <w:szCs w:val="24"/>
        </w:rPr>
        <w:t>cm signifying its ease of spread by little shear while maintaining a good contact time when applied to the site of application. The percentage extrudability was found to be 80.69% indicating its suitability for application.</w:t>
      </w:r>
      <w:r w:rsidR="005717CC" w:rsidRPr="00104DE4">
        <w:rPr>
          <w:rFonts w:ascii="Times New Roman" w:eastAsia="Times New Roman" w:hAnsi="Times New Roman"/>
          <w:color w:val="000000" w:themeColor="text1"/>
          <w:sz w:val="24"/>
          <w:szCs w:val="24"/>
        </w:rPr>
        <w:t xml:space="preserve"> A</w:t>
      </w:r>
      <w:r w:rsidRPr="00104DE4">
        <w:rPr>
          <w:rFonts w:ascii="Times New Roman" w:eastAsia="Times New Roman" w:hAnsi="Times New Roman"/>
          <w:color w:val="000000" w:themeColor="text1"/>
          <w:sz w:val="24"/>
          <w:szCs w:val="24"/>
        </w:rPr>
        <w:t xml:space="preserve"> 2% </w:t>
      </w:r>
      <w:r w:rsidRPr="00104DE4">
        <w:rPr>
          <w:rFonts w:ascii="Times New Roman" w:eastAsia="Times New Roman" w:hAnsi="Times New Roman"/>
          <w:i/>
          <w:color w:val="000000" w:themeColor="text1"/>
          <w:sz w:val="24"/>
          <w:szCs w:val="24"/>
        </w:rPr>
        <w:t>w/v</w:t>
      </w:r>
      <w:r w:rsidRPr="00104DE4">
        <w:rPr>
          <w:rFonts w:ascii="Times New Roman" w:eastAsia="Times New Roman" w:hAnsi="Times New Roman"/>
          <w:color w:val="000000" w:themeColor="text1"/>
          <w:sz w:val="24"/>
          <w:szCs w:val="24"/>
        </w:rPr>
        <w:t xml:space="preserve"> chitosan gel showed maximum occlusivity</w:t>
      </w:r>
      <w:r w:rsidR="00755C8C" w:rsidRPr="00104DE4">
        <w:rPr>
          <w:rFonts w:ascii="Times New Roman" w:eastAsia="Times New Roman" w:hAnsi="Times New Roman"/>
          <w:color w:val="000000" w:themeColor="text1"/>
          <w:sz w:val="24"/>
          <w:szCs w:val="24"/>
        </w:rPr>
        <w:t xml:space="preserve"> (Table </w:t>
      </w:r>
      <w:r w:rsidR="005B0EA6" w:rsidRPr="00104DE4">
        <w:rPr>
          <w:rFonts w:ascii="Times New Roman" w:eastAsia="Times New Roman" w:hAnsi="Times New Roman"/>
          <w:color w:val="000000" w:themeColor="text1"/>
          <w:sz w:val="24"/>
          <w:szCs w:val="24"/>
        </w:rPr>
        <w:t>S</w:t>
      </w:r>
      <w:r w:rsidR="00B5071C" w:rsidRPr="00104DE4">
        <w:rPr>
          <w:rFonts w:ascii="Times New Roman" w:eastAsia="Times New Roman" w:hAnsi="Times New Roman"/>
          <w:color w:val="000000" w:themeColor="text1"/>
          <w:sz w:val="24"/>
          <w:szCs w:val="24"/>
        </w:rPr>
        <w:t>4</w:t>
      </w:r>
      <w:r w:rsidR="00755C8C" w:rsidRPr="00104DE4">
        <w:rPr>
          <w:rFonts w:ascii="Times New Roman" w:eastAsia="Times New Roman" w:hAnsi="Times New Roman"/>
          <w:color w:val="000000" w:themeColor="text1"/>
          <w:sz w:val="24"/>
          <w:szCs w:val="24"/>
        </w:rPr>
        <w:t>)</w:t>
      </w:r>
      <w:r w:rsidRPr="00104DE4">
        <w:rPr>
          <w:rFonts w:ascii="Times New Roman" w:eastAsia="Times New Roman" w:hAnsi="Times New Roman"/>
          <w:color w:val="000000" w:themeColor="text1"/>
          <w:sz w:val="24"/>
          <w:szCs w:val="24"/>
        </w:rPr>
        <w:t xml:space="preserve">. </w:t>
      </w:r>
    </w:p>
    <w:p w14:paraId="1FD7D76D" w14:textId="2E67661C" w:rsidR="002D2F21" w:rsidRPr="00E37EA2" w:rsidRDefault="00E50D65" w:rsidP="0008082E">
      <w:pPr>
        <w:spacing w:before="120" w:after="120" w:line="480" w:lineRule="auto"/>
        <w:jc w:val="both"/>
        <w:rPr>
          <w:rFonts w:ascii="Times New Roman" w:eastAsia="Times New Roman" w:hAnsi="Times New Roman"/>
          <w:color w:val="000000" w:themeColor="text1"/>
          <w:sz w:val="24"/>
          <w:szCs w:val="24"/>
        </w:rPr>
      </w:pPr>
      <w:r w:rsidRPr="00104DE4">
        <w:rPr>
          <w:rFonts w:ascii="Times New Roman" w:eastAsia="Times New Roman" w:hAnsi="Times New Roman"/>
          <w:color w:val="000000" w:themeColor="text1"/>
          <w:sz w:val="24"/>
          <w:szCs w:val="24"/>
        </w:rPr>
        <w:t xml:space="preserve">Rheological characterization for the optimization of gel concentration for microsponges performed using Cup and Bob Rheometer depicted that no change in the viscosity was observed with constant shear and with increasing time, (Table </w:t>
      </w:r>
      <w:r w:rsidR="00B5071C" w:rsidRPr="00104DE4">
        <w:rPr>
          <w:rFonts w:ascii="Times New Roman" w:eastAsia="Times New Roman" w:hAnsi="Times New Roman"/>
          <w:color w:val="000000" w:themeColor="text1"/>
          <w:sz w:val="24"/>
          <w:szCs w:val="24"/>
        </w:rPr>
        <w:t xml:space="preserve">2 </w:t>
      </w:r>
      <w:r w:rsidRPr="00104DE4">
        <w:rPr>
          <w:rFonts w:ascii="Times New Roman" w:eastAsia="Times New Roman" w:hAnsi="Times New Roman"/>
          <w:color w:val="000000" w:themeColor="text1"/>
          <w:sz w:val="24"/>
          <w:szCs w:val="24"/>
        </w:rPr>
        <w:t xml:space="preserve">and Figure </w:t>
      </w:r>
      <w:r w:rsidR="001C3C56" w:rsidRPr="00104DE4">
        <w:rPr>
          <w:rFonts w:ascii="Times New Roman" w:eastAsia="Times New Roman" w:hAnsi="Times New Roman"/>
          <w:color w:val="000000" w:themeColor="text1"/>
          <w:sz w:val="24"/>
          <w:szCs w:val="24"/>
        </w:rPr>
        <w:t>S</w:t>
      </w:r>
      <w:r w:rsidR="00B843E4" w:rsidRPr="00104DE4">
        <w:rPr>
          <w:rFonts w:ascii="Times New Roman" w:eastAsia="Times New Roman" w:hAnsi="Times New Roman"/>
          <w:color w:val="000000" w:themeColor="text1"/>
          <w:sz w:val="24"/>
          <w:szCs w:val="24"/>
        </w:rPr>
        <w:t>5</w:t>
      </w:r>
      <w:r w:rsidR="001C3C56" w:rsidRPr="00104DE4">
        <w:rPr>
          <w:rFonts w:ascii="Times New Roman" w:eastAsia="Times New Roman" w:hAnsi="Times New Roman"/>
          <w:color w:val="000000" w:themeColor="text1"/>
          <w:sz w:val="24"/>
          <w:szCs w:val="24"/>
        </w:rPr>
        <w:t xml:space="preserve"> </w:t>
      </w:r>
      <w:r w:rsidR="00896A45" w:rsidRPr="00104DE4">
        <w:rPr>
          <w:rFonts w:ascii="Times New Roman" w:eastAsia="Times New Roman" w:hAnsi="Times New Roman"/>
          <w:color w:val="000000" w:themeColor="text1"/>
          <w:sz w:val="24"/>
          <w:szCs w:val="24"/>
        </w:rPr>
        <w:t>a)</w:t>
      </w:r>
      <w:r w:rsidRPr="00104DE4">
        <w:rPr>
          <w:rFonts w:ascii="Times New Roman" w:eastAsia="Times New Roman" w:hAnsi="Times New Roman"/>
          <w:color w:val="000000" w:themeColor="text1"/>
          <w:sz w:val="24"/>
          <w:szCs w:val="24"/>
        </w:rPr>
        <w:t xml:space="preserve"> whereas the varying shear rate resulted in decreased viscosity of the chitosan gel (Figure </w:t>
      </w:r>
      <w:r w:rsidR="001C3C56" w:rsidRPr="00104DE4">
        <w:rPr>
          <w:rFonts w:ascii="Times New Roman" w:eastAsia="Times New Roman" w:hAnsi="Times New Roman"/>
          <w:color w:val="000000" w:themeColor="text1"/>
          <w:sz w:val="24"/>
          <w:szCs w:val="24"/>
        </w:rPr>
        <w:t>S</w:t>
      </w:r>
      <w:r w:rsidR="00B843E4" w:rsidRPr="00104DE4">
        <w:rPr>
          <w:rFonts w:ascii="Times New Roman" w:eastAsia="Times New Roman" w:hAnsi="Times New Roman"/>
          <w:color w:val="000000" w:themeColor="text1"/>
          <w:sz w:val="24"/>
          <w:szCs w:val="24"/>
        </w:rPr>
        <w:t>5</w:t>
      </w:r>
      <w:r w:rsidR="001C3C56" w:rsidRPr="00104DE4">
        <w:rPr>
          <w:rFonts w:ascii="Times New Roman" w:eastAsia="Times New Roman" w:hAnsi="Times New Roman"/>
          <w:color w:val="000000" w:themeColor="text1"/>
          <w:sz w:val="24"/>
          <w:szCs w:val="24"/>
        </w:rPr>
        <w:t xml:space="preserve"> </w:t>
      </w:r>
      <w:r w:rsidR="00755C8C" w:rsidRPr="00104DE4">
        <w:rPr>
          <w:rFonts w:ascii="Times New Roman" w:eastAsia="Times New Roman" w:hAnsi="Times New Roman"/>
          <w:color w:val="000000" w:themeColor="text1"/>
          <w:sz w:val="24"/>
          <w:szCs w:val="24"/>
        </w:rPr>
        <w:t>b</w:t>
      </w:r>
      <w:r w:rsidR="00896A45" w:rsidRPr="00104DE4">
        <w:rPr>
          <w:rFonts w:ascii="Times New Roman" w:eastAsia="Times New Roman" w:hAnsi="Times New Roman"/>
          <w:color w:val="000000" w:themeColor="text1"/>
          <w:sz w:val="24"/>
          <w:szCs w:val="24"/>
        </w:rPr>
        <w:t>)</w:t>
      </w:r>
      <w:r w:rsidRPr="00104DE4">
        <w:rPr>
          <w:rFonts w:ascii="Times New Roman" w:eastAsia="Times New Roman" w:hAnsi="Times New Roman"/>
          <w:color w:val="000000" w:themeColor="text1"/>
          <w:sz w:val="24"/>
          <w:szCs w:val="24"/>
        </w:rPr>
        <w:t>.</w:t>
      </w:r>
      <w:r w:rsidRPr="00E37EA2">
        <w:rPr>
          <w:rFonts w:ascii="Times New Roman" w:eastAsia="Times New Roman" w:hAnsi="Times New Roman"/>
          <w:color w:val="000000" w:themeColor="text1"/>
          <w:sz w:val="24"/>
          <w:szCs w:val="24"/>
        </w:rPr>
        <w:t xml:space="preserve"> 2% </w:t>
      </w:r>
      <w:r w:rsidRPr="00E37EA2">
        <w:rPr>
          <w:rFonts w:ascii="Times New Roman" w:eastAsia="Times New Roman" w:hAnsi="Times New Roman"/>
          <w:i/>
          <w:color w:val="000000" w:themeColor="text1"/>
          <w:sz w:val="24"/>
          <w:szCs w:val="24"/>
        </w:rPr>
        <w:t>w/v</w:t>
      </w:r>
      <w:r w:rsidRPr="00E37EA2">
        <w:rPr>
          <w:rFonts w:ascii="Times New Roman" w:eastAsia="Times New Roman" w:hAnsi="Times New Roman"/>
          <w:color w:val="000000" w:themeColor="text1"/>
          <w:sz w:val="24"/>
          <w:szCs w:val="24"/>
        </w:rPr>
        <w:t xml:space="preserve"> chitosan gel showed higher viscosity at zero shear rate. Viscosity of gels decreased with an increase in the shear rate and became constant at higher shear rate.  Further, the gel formulations were also evaluated for thixotropic analysis which showed shear thinning or pseudo plastic behavior </w:t>
      </w:r>
      <w:r w:rsidRPr="00104DE4">
        <w:rPr>
          <w:rFonts w:ascii="Times New Roman" w:eastAsia="Times New Roman" w:hAnsi="Times New Roman"/>
          <w:color w:val="000000" w:themeColor="text1"/>
          <w:sz w:val="24"/>
          <w:szCs w:val="24"/>
        </w:rPr>
        <w:t>(Figure</w:t>
      </w:r>
      <w:r w:rsidR="001C3C56" w:rsidRPr="00104DE4">
        <w:rPr>
          <w:rFonts w:ascii="Times New Roman" w:eastAsia="Times New Roman" w:hAnsi="Times New Roman"/>
          <w:color w:val="000000" w:themeColor="text1"/>
          <w:sz w:val="24"/>
          <w:szCs w:val="24"/>
        </w:rPr>
        <w:t xml:space="preserve"> S</w:t>
      </w:r>
      <w:r w:rsidR="00B843E4" w:rsidRPr="00104DE4">
        <w:rPr>
          <w:rFonts w:ascii="Times New Roman" w:eastAsia="Times New Roman" w:hAnsi="Times New Roman"/>
          <w:color w:val="000000" w:themeColor="text1"/>
          <w:sz w:val="24"/>
          <w:szCs w:val="24"/>
        </w:rPr>
        <w:t>6</w:t>
      </w:r>
      <w:r w:rsidR="00896A45" w:rsidRPr="00104DE4">
        <w:rPr>
          <w:rFonts w:ascii="Times New Roman" w:eastAsia="Times New Roman" w:hAnsi="Times New Roman"/>
          <w:color w:val="000000" w:themeColor="text1"/>
          <w:sz w:val="24"/>
          <w:szCs w:val="24"/>
        </w:rPr>
        <w:t>)</w:t>
      </w:r>
      <w:r w:rsidRPr="00104DE4">
        <w:rPr>
          <w:rFonts w:ascii="Times New Roman" w:eastAsia="Times New Roman" w:hAnsi="Times New Roman"/>
          <w:color w:val="000000" w:themeColor="text1"/>
          <w:sz w:val="24"/>
          <w:szCs w:val="24"/>
        </w:rPr>
        <w:t>. Based</w:t>
      </w:r>
      <w:r w:rsidRPr="00E37EA2">
        <w:rPr>
          <w:rFonts w:ascii="Times New Roman" w:eastAsia="Times New Roman" w:hAnsi="Times New Roman"/>
          <w:color w:val="000000" w:themeColor="text1"/>
          <w:sz w:val="24"/>
          <w:szCs w:val="24"/>
        </w:rPr>
        <w:t xml:space="preserve"> on the results, gel containing 2%</w:t>
      </w:r>
      <w:r w:rsidRPr="00E37EA2">
        <w:rPr>
          <w:rFonts w:ascii="Times New Roman" w:eastAsia="Times New Roman" w:hAnsi="Times New Roman"/>
          <w:i/>
          <w:color w:val="000000" w:themeColor="text1"/>
          <w:sz w:val="24"/>
          <w:szCs w:val="24"/>
        </w:rPr>
        <w:t>w/v</w:t>
      </w:r>
      <w:r w:rsidRPr="00E37EA2">
        <w:rPr>
          <w:rFonts w:ascii="Times New Roman" w:eastAsia="Times New Roman" w:hAnsi="Times New Roman"/>
          <w:color w:val="000000" w:themeColor="text1"/>
          <w:sz w:val="24"/>
          <w:szCs w:val="24"/>
        </w:rPr>
        <w:t xml:space="preserve"> chitosan was considered as the final optimized gel concentration for further </w:t>
      </w:r>
      <w:proofErr w:type="spellStart"/>
      <w:r w:rsidRPr="00E37EA2">
        <w:rPr>
          <w:rFonts w:ascii="Times New Roman" w:eastAsia="Times New Roman" w:hAnsi="Times New Roman"/>
          <w:color w:val="000000" w:themeColor="text1"/>
          <w:sz w:val="24"/>
          <w:szCs w:val="24"/>
        </w:rPr>
        <w:t>microsponge</w:t>
      </w:r>
      <w:proofErr w:type="spellEnd"/>
      <w:r w:rsidRPr="00E37EA2">
        <w:rPr>
          <w:rFonts w:ascii="Times New Roman" w:eastAsia="Times New Roman" w:hAnsi="Times New Roman"/>
          <w:color w:val="000000" w:themeColor="text1"/>
          <w:sz w:val="24"/>
          <w:szCs w:val="24"/>
        </w:rPr>
        <w:t xml:space="preserve"> incorporation.</w:t>
      </w:r>
    </w:p>
    <w:p w14:paraId="22D1D1CA" w14:textId="33BF860F" w:rsidR="00E50D65" w:rsidRPr="00E37EA2" w:rsidRDefault="00E50D65" w:rsidP="0008082E">
      <w:pPr>
        <w:spacing w:before="120" w:after="120" w:line="480" w:lineRule="auto"/>
        <w:jc w:val="both"/>
        <w:rPr>
          <w:rFonts w:ascii="Times New Roman" w:eastAsia="Times New Roman" w:hAnsi="Times New Roman"/>
          <w:bCs/>
          <w:color w:val="000000" w:themeColor="text1"/>
          <w:sz w:val="24"/>
          <w:szCs w:val="24"/>
        </w:rPr>
      </w:pPr>
      <w:r w:rsidRPr="00E37EA2">
        <w:rPr>
          <w:rFonts w:ascii="Times New Roman" w:eastAsia="Times New Roman" w:hAnsi="Times New Roman"/>
          <w:b/>
          <w:bCs/>
          <w:color w:val="000000" w:themeColor="text1"/>
          <w:sz w:val="24"/>
          <w:szCs w:val="24"/>
        </w:rPr>
        <w:lastRenderedPageBreak/>
        <w:t xml:space="preserve">Table </w:t>
      </w:r>
      <w:r w:rsidR="00B5071C">
        <w:rPr>
          <w:rFonts w:ascii="Times New Roman" w:eastAsia="Times New Roman" w:hAnsi="Times New Roman"/>
          <w:b/>
          <w:bCs/>
          <w:color w:val="000000" w:themeColor="text1"/>
          <w:sz w:val="24"/>
          <w:szCs w:val="24"/>
        </w:rPr>
        <w:t>2</w:t>
      </w:r>
      <w:r w:rsidRPr="00E37EA2">
        <w:rPr>
          <w:rFonts w:ascii="Times New Roman" w:eastAsia="Times New Roman" w:hAnsi="Times New Roman"/>
          <w:b/>
          <w:bCs/>
          <w:color w:val="000000" w:themeColor="text1"/>
          <w:sz w:val="24"/>
          <w:szCs w:val="24"/>
        </w:rPr>
        <w:t xml:space="preserve">: </w:t>
      </w:r>
      <w:r w:rsidRPr="00E37EA2">
        <w:rPr>
          <w:rFonts w:ascii="Times New Roman" w:eastAsia="Times New Roman" w:hAnsi="Times New Roman"/>
          <w:bCs/>
          <w:color w:val="000000" w:themeColor="text1"/>
          <w:sz w:val="24"/>
          <w:szCs w:val="24"/>
        </w:rPr>
        <w:t>Table representing values of constant shear rate, varying shear rate, yield and flux used for evaluating various concentrations of SHK loaded microsponges based chitosan gel.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2"/>
        <w:gridCol w:w="1877"/>
        <w:gridCol w:w="2063"/>
        <w:gridCol w:w="1618"/>
        <w:gridCol w:w="1882"/>
      </w:tblGrid>
      <w:tr w:rsidR="00A02280" w:rsidRPr="00465046" w14:paraId="12387F4D" w14:textId="77777777" w:rsidTr="002C554B">
        <w:tc>
          <w:tcPr>
            <w:tcW w:w="1808" w:type="dxa"/>
            <w:tcBorders>
              <w:top w:val="single" w:sz="4" w:space="0" w:color="auto"/>
              <w:left w:val="single" w:sz="4" w:space="0" w:color="auto"/>
              <w:bottom w:val="single" w:sz="4" w:space="0" w:color="auto"/>
              <w:right w:val="single" w:sz="4" w:space="0" w:color="auto"/>
            </w:tcBorders>
            <w:hideMark/>
          </w:tcPr>
          <w:p w14:paraId="2A63BAFA" w14:textId="77777777" w:rsidR="00A02280" w:rsidRPr="00465046" w:rsidRDefault="00A02280" w:rsidP="002C554B">
            <w:pPr>
              <w:spacing w:after="0" w:line="240" w:lineRule="auto"/>
              <w:jc w:val="center"/>
              <w:rPr>
                <w:rFonts w:ascii="Times New Roman" w:hAnsi="Times New Roman"/>
                <w:b/>
                <w:color w:val="000000"/>
                <w:sz w:val="24"/>
                <w:szCs w:val="24"/>
              </w:rPr>
            </w:pPr>
            <w:r w:rsidRPr="00465046">
              <w:rPr>
                <w:rFonts w:ascii="Times New Roman" w:hAnsi="Times New Roman"/>
                <w:b/>
                <w:color w:val="000000"/>
                <w:sz w:val="24"/>
                <w:szCs w:val="24"/>
              </w:rPr>
              <w:t>Chitosan gel (</w:t>
            </w:r>
            <w:r w:rsidRPr="00465046">
              <w:rPr>
                <w:rFonts w:ascii="Times New Roman" w:hAnsi="Times New Roman"/>
                <w:b/>
                <w:i/>
                <w:color w:val="000000"/>
                <w:sz w:val="24"/>
                <w:szCs w:val="24"/>
              </w:rPr>
              <w:t>w/v</w:t>
            </w:r>
            <w:r w:rsidRPr="00465046">
              <w:rPr>
                <w:rFonts w:ascii="Times New Roman" w:hAnsi="Times New Roman"/>
                <w:b/>
                <w:color w:val="000000"/>
                <w:sz w:val="24"/>
                <w:szCs w:val="24"/>
              </w:rPr>
              <w:t>)</w:t>
            </w:r>
          </w:p>
        </w:tc>
        <w:tc>
          <w:tcPr>
            <w:tcW w:w="1882" w:type="dxa"/>
            <w:tcBorders>
              <w:top w:val="single" w:sz="4" w:space="0" w:color="auto"/>
              <w:left w:val="single" w:sz="4" w:space="0" w:color="auto"/>
              <w:bottom w:val="single" w:sz="4" w:space="0" w:color="auto"/>
              <w:right w:val="single" w:sz="4" w:space="0" w:color="auto"/>
            </w:tcBorders>
            <w:hideMark/>
          </w:tcPr>
          <w:p w14:paraId="4F08D2C6" w14:textId="77777777" w:rsidR="00A02280" w:rsidRPr="00465046" w:rsidRDefault="00A02280" w:rsidP="002C554B">
            <w:pPr>
              <w:spacing w:after="0" w:line="240" w:lineRule="auto"/>
              <w:jc w:val="center"/>
              <w:rPr>
                <w:rFonts w:ascii="Times New Roman" w:hAnsi="Times New Roman"/>
                <w:b/>
                <w:color w:val="000000"/>
                <w:sz w:val="24"/>
                <w:szCs w:val="24"/>
              </w:rPr>
            </w:pPr>
            <w:r w:rsidRPr="00465046">
              <w:rPr>
                <w:rFonts w:ascii="Times New Roman" w:hAnsi="Times New Roman"/>
                <w:b/>
                <w:color w:val="000000"/>
                <w:sz w:val="24"/>
                <w:szCs w:val="24"/>
              </w:rPr>
              <w:t>Constant shear rate (s</w:t>
            </w:r>
            <w:r w:rsidRPr="00465046">
              <w:rPr>
                <w:rFonts w:ascii="Times New Roman" w:hAnsi="Times New Roman"/>
                <w:b/>
                <w:color w:val="000000"/>
                <w:sz w:val="24"/>
                <w:szCs w:val="24"/>
                <w:vertAlign w:val="superscript"/>
              </w:rPr>
              <w:t>-`1</w:t>
            </w:r>
            <w:r w:rsidRPr="00465046">
              <w:rPr>
                <w:rFonts w:ascii="Times New Roman" w:hAnsi="Times New Roman"/>
                <w:b/>
                <w:color w:val="000000"/>
                <w:sz w:val="24"/>
                <w:szCs w:val="24"/>
              </w:rPr>
              <w:t>)</w:t>
            </w:r>
          </w:p>
        </w:tc>
        <w:tc>
          <w:tcPr>
            <w:tcW w:w="2070" w:type="dxa"/>
            <w:tcBorders>
              <w:top w:val="single" w:sz="4" w:space="0" w:color="auto"/>
              <w:left w:val="single" w:sz="4" w:space="0" w:color="auto"/>
              <w:bottom w:val="single" w:sz="4" w:space="0" w:color="auto"/>
              <w:right w:val="single" w:sz="4" w:space="0" w:color="auto"/>
            </w:tcBorders>
            <w:hideMark/>
          </w:tcPr>
          <w:p w14:paraId="208ADA7C" w14:textId="77777777" w:rsidR="00A02280" w:rsidRPr="00465046" w:rsidRDefault="00A02280" w:rsidP="002C554B">
            <w:pPr>
              <w:spacing w:after="0" w:line="240" w:lineRule="auto"/>
              <w:jc w:val="center"/>
              <w:rPr>
                <w:rFonts w:ascii="Times New Roman" w:hAnsi="Times New Roman"/>
                <w:b/>
                <w:color w:val="000000"/>
                <w:sz w:val="24"/>
                <w:szCs w:val="24"/>
              </w:rPr>
            </w:pPr>
            <w:r w:rsidRPr="00465046">
              <w:rPr>
                <w:rFonts w:ascii="Times New Roman" w:hAnsi="Times New Roman"/>
                <w:b/>
                <w:color w:val="000000"/>
                <w:sz w:val="24"/>
                <w:szCs w:val="24"/>
              </w:rPr>
              <w:t>Variable shear rate (s</w:t>
            </w:r>
            <w:r w:rsidRPr="00465046">
              <w:rPr>
                <w:rFonts w:ascii="Times New Roman" w:hAnsi="Times New Roman"/>
                <w:b/>
                <w:color w:val="000000"/>
                <w:sz w:val="24"/>
                <w:szCs w:val="24"/>
                <w:vertAlign w:val="superscript"/>
              </w:rPr>
              <w:t>-`1</w:t>
            </w:r>
            <w:r w:rsidRPr="00465046">
              <w:rPr>
                <w:rFonts w:ascii="Times New Roman" w:hAnsi="Times New Roman"/>
                <w:b/>
                <w:color w:val="000000"/>
                <w:sz w:val="24"/>
                <w:szCs w:val="24"/>
              </w:rPr>
              <w:t>)</w:t>
            </w:r>
          </w:p>
        </w:tc>
        <w:tc>
          <w:tcPr>
            <w:tcW w:w="1620" w:type="dxa"/>
            <w:tcBorders>
              <w:top w:val="single" w:sz="4" w:space="0" w:color="auto"/>
              <w:left w:val="single" w:sz="4" w:space="0" w:color="auto"/>
              <w:bottom w:val="single" w:sz="4" w:space="0" w:color="auto"/>
              <w:right w:val="single" w:sz="4" w:space="0" w:color="auto"/>
            </w:tcBorders>
            <w:hideMark/>
          </w:tcPr>
          <w:p w14:paraId="09EC97C0" w14:textId="77777777" w:rsidR="00A02280" w:rsidRPr="00465046" w:rsidRDefault="00A02280" w:rsidP="002C554B">
            <w:pPr>
              <w:spacing w:after="0" w:line="240" w:lineRule="auto"/>
              <w:jc w:val="center"/>
              <w:rPr>
                <w:rFonts w:ascii="Times New Roman" w:hAnsi="Times New Roman"/>
                <w:b/>
                <w:color w:val="000000"/>
                <w:sz w:val="24"/>
                <w:szCs w:val="24"/>
              </w:rPr>
            </w:pPr>
            <w:r w:rsidRPr="00465046">
              <w:rPr>
                <w:rFonts w:ascii="Times New Roman" w:hAnsi="Times New Roman"/>
                <w:b/>
                <w:color w:val="000000"/>
                <w:sz w:val="24"/>
                <w:szCs w:val="24"/>
              </w:rPr>
              <w:t>Yield</w:t>
            </w:r>
          </w:p>
        </w:tc>
        <w:tc>
          <w:tcPr>
            <w:tcW w:w="1890" w:type="dxa"/>
            <w:tcBorders>
              <w:top w:val="single" w:sz="4" w:space="0" w:color="auto"/>
              <w:left w:val="single" w:sz="4" w:space="0" w:color="auto"/>
              <w:bottom w:val="single" w:sz="4" w:space="0" w:color="auto"/>
              <w:right w:val="single" w:sz="4" w:space="0" w:color="auto"/>
            </w:tcBorders>
            <w:hideMark/>
          </w:tcPr>
          <w:p w14:paraId="548645EA" w14:textId="77777777" w:rsidR="00A02280" w:rsidRPr="00465046" w:rsidRDefault="00A02280" w:rsidP="002C554B">
            <w:pPr>
              <w:spacing w:after="0" w:line="240" w:lineRule="auto"/>
              <w:jc w:val="center"/>
              <w:rPr>
                <w:rFonts w:ascii="Times New Roman" w:hAnsi="Times New Roman"/>
                <w:b/>
                <w:color w:val="000000"/>
                <w:sz w:val="24"/>
                <w:szCs w:val="24"/>
              </w:rPr>
            </w:pPr>
            <w:r w:rsidRPr="00465046">
              <w:rPr>
                <w:rFonts w:ascii="Times New Roman" w:hAnsi="Times New Roman"/>
                <w:b/>
                <w:color w:val="000000"/>
                <w:sz w:val="24"/>
                <w:szCs w:val="24"/>
              </w:rPr>
              <w:t xml:space="preserve">Flux </w:t>
            </w:r>
          </w:p>
          <w:p w14:paraId="3E34FF72" w14:textId="77777777" w:rsidR="00A02280" w:rsidRPr="00465046" w:rsidRDefault="00A02280" w:rsidP="002C554B">
            <w:pPr>
              <w:spacing w:after="0" w:line="240" w:lineRule="auto"/>
              <w:jc w:val="center"/>
              <w:rPr>
                <w:rFonts w:ascii="Times New Roman" w:hAnsi="Times New Roman"/>
                <w:b/>
                <w:color w:val="000000"/>
                <w:sz w:val="24"/>
                <w:szCs w:val="24"/>
              </w:rPr>
            </w:pPr>
            <w:r w:rsidRPr="00465046">
              <w:rPr>
                <w:rFonts w:ascii="Times New Roman" w:hAnsi="Times New Roman"/>
                <w:b/>
                <w:color w:val="000000"/>
                <w:sz w:val="24"/>
                <w:szCs w:val="24"/>
              </w:rPr>
              <w:t>(mg cm</w:t>
            </w:r>
            <w:r w:rsidRPr="00465046">
              <w:rPr>
                <w:rFonts w:ascii="Times New Roman" w:hAnsi="Times New Roman"/>
                <w:b/>
                <w:color w:val="000000"/>
                <w:sz w:val="24"/>
                <w:szCs w:val="24"/>
                <w:vertAlign w:val="superscript"/>
              </w:rPr>
              <w:t>-2</w:t>
            </w:r>
            <w:r w:rsidRPr="00465046">
              <w:rPr>
                <w:rFonts w:ascii="Times New Roman" w:hAnsi="Times New Roman"/>
                <w:b/>
                <w:color w:val="000000"/>
                <w:sz w:val="24"/>
                <w:szCs w:val="24"/>
              </w:rPr>
              <w:t xml:space="preserve"> h</w:t>
            </w:r>
            <w:r w:rsidRPr="00465046">
              <w:rPr>
                <w:rFonts w:ascii="Times New Roman" w:hAnsi="Times New Roman"/>
                <w:b/>
                <w:color w:val="000000"/>
                <w:sz w:val="24"/>
                <w:szCs w:val="24"/>
                <w:vertAlign w:val="superscript"/>
              </w:rPr>
              <w:t>-1</w:t>
            </w:r>
            <w:r w:rsidRPr="00465046">
              <w:rPr>
                <w:rFonts w:ascii="Times New Roman" w:hAnsi="Times New Roman"/>
                <w:b/>
                <w:color w:val="000000"/>
                <w:sz w:val="24"/>
                <w:szCs w:val="24"/>
              </w:rPr>
              <w:t>)</w:t>
            </w:r>
          </w:p>
        </w:tc>
      </w:tr>
      <w:tr w:rsidR="00A02280" w:rsidRPr="00465046" w14:paraId="0E713985" w14:textId="77777777" w:rsidTr="002C554B">
        <w:tc>
          <w:tcPr>
            <w:tcW w:w="1808" w:type="dxa"/>
            <w:tcBorders>
              <w:top w:val="single" w:sz="4" w:space="0" w:color="auto"/>
              <w:left w:val="single" w:sz="4" w:space="0" w:color="auto"/>
              <w:bottom w:val="single" w:sz="4" w:space="0" w:color="auto"/>
              <w:right w:val="single" w:sz="4" w:space="0" w:color="auto"/>
            </w:tcBorders>
            <w:hideMark/>
          </w:tcPr>
          <w:p w14:paraId="1C785A02"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1%</w:t>
            </w:r>
          </w:p>
        </w:tc>
        <w:tc>
          <w:tcPr>
            <w:tcW w:w="1882" w:type="dxa"/>
            <w:tcBorders>
              <w:top w:val="single" w:sz="4" w:space="0" w:color="auto"/>
              <w:left w:val="single" w:sz="4" w:space="0" w:color="auto"/>
              <w:bottom w:val="single" w:sz="4" w:space="0" w:color="auto"/>
              <w:right w:val="single" w:sz="4" w:space="0" w:color="auto"/>
            </w:tcBorders>
            <w:hideMark/>
          </w:tcPr>
          <w:p w14:paraId="5021B892"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0.38</w:t>
            </w:r>
          </w:p>
        </w:tc>
        <w:tc>
          <w:tcPr>
            <w:tcW w:w="2070" w:type="dxa"/>
            <w:tcBorders>
              <w:top w:val="single" w:sz="4" w:space="0" w:color="auto"/>
              <w:left w:val="single" w:sz="4" w:space="0" w:color="auto"/>
              <w:bottom w:val="single" w:sz="4" w:space="0" w:color="auto"/>
              <w:right w:val="single" w:sz="4" w:space="0" w:color="auto"/>
            </w:tcBorders>
            <w:hideMark/>
          </w:tcPr>
          <w:p w14:paraId="38B29B92"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5630.42-0.764</w:t>
            </w:r>
          </w:p>
        </w:tc>
        <w:tc>
          <w:tcPr>
            <w:tcW w:w="1620" w:type="dxa"/>
            <w:tcBorders>
              <w:top w:val="single" w:sz="4" w:space="0" w:color="auto"/>
              <w:left w:val="single" w:sz="4" w:space="0" w:color="auto"/>
              <w:bottom w:val="single" w:sz="4" w:space="0" w:color="auto"/>
              <w:right w:val="single" w:sz="4" w:space="0" w:color="auto"/>
            </w:tcBorders>
            <w:hideMark/>
          </w:tcPr>
          <w:p w14:paraId="37070469"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0.811±0.61</w:t>
            </w:r>
          </w:p>
        </w:tc>
        <w:tc>
          <w:tcPr>
            <w:tcW w:w="1890" w:type="dxa"/>
            <w:tcBorders>
              <w:top w:val="single" w:sz="4" w:space="0" w:color="auto"/>
              <w:left w:val="single" w:sz="4" w:space="0" w:color="auto"/>
              <w:bottom w:val="single" w:sz="4" w:space="0" w:color="auto"/>
              <w:right w:val="single" w:sz="4" w:space="0" w:color="auto"/>
            </w:tcBorders>
            <w:hideMark/>
          </w:tcPr>
          <w:p w14:paraId="2340F7DA"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0.861-0.81</w:t>
            </w:r>
          </w:p>
        </w:tc>
      </w:tr>
      <w:tr w:rsidR="00A02280" w:rsidRPr="00465046" w14:paraId="35894BB0" w14:textId="77777777" w:rsidTr="002C554B">
        <w:tc>
          <w:tcPr>
            <w:tcW w:w="1808" w:type="dxa"/>
            <w:tcBorders>
              <w:top w:val="single" w:sz="4" w:space="0" w:color="auto"/>
              <w:left w:val="single" w:sz="4" w:space="0" w:color="auto"/>
              <w:bottom w:val="single" w:sz="4" w:space="0" w:color="auto"/>
              <w:right w:val="single" w:sz="4" w:space="0" w:color="auto"/>
            </w:tcBorders>
            <w:hideMark/>
          </w:tcPr>
          <w:p w14:paraId="28B85632"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1.5%</w:t>
            </w:r>
          </w:p>
        </w:tc>
        <w:tc>
          <w:tcPr>
            <w:tcW w:w="1882" w:type="dxa"/>
            <w:tcBorders>
              <w:top w:val="single" w:sz="4" w:space="0" w:color="auto"/>
              <w:left w:val="single" w:sz="4" w:space="0" w:color="auto"/>
              <w:bottom w:val="single" w:sz="4" w:space="0" w:color="auto"/>
              <w:right w:val="single" w:sz="4" w:space="0" w:color="auto"/>
            </w:tcBorders>
            <w:hideMark/>
          </w:tcPr>
          <w:p w14:paraId="42CF7C74"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0.79</w:t>
            </w:r>
          </w:p>
        </w:tc>
        <w:tc>
          <w:tcPr>
            <w:tcW w:w="2070" w:type="dxa"/>
            <w:tcBorders>
              <w:top w:val="single" w:sz="4" w:space="0" w:color="auto"/>
              <w:left w:val="single" w:sz="4" w:space="0" w:color="auto"/>
              <w:bottom w:val="single" w:sz="4" w:space="0" w:color="auto"/>
              <w:right w:val="single" w:sz="4" w:space="0" w:color="auto"/>
            </w:tcBorders>
            <w:hideMark/>
          </w:tcPr>
          <w:p w14:paraId="2CE64223"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5706.12-2.37</w:t>
            </w:r>
          </w:p>
        </w:tc>
        <w:tc>
          <w:tcPr>
            <w:tcW w:w="1620" w:type="dxa"/>
            <w:tcBorders>
              <w:top w:val="single" w:sz="4" w:space="0" w:color="auto"/>
              <w:left w:val="single" w:sz="4" w:space="0" w:color="auto"/>
              <w:bottom w:val="single" w:sz="4" w:space="0" w:color="auto"/>
              <w:right w:val="single" w:sz="4" w:space="0" w:color="auto"/>
            </w:tcBorders>
            <w:hideMark/>
          </w:tcPr>
          <w:p w14:paraId="188403F2"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41.99±2.79</w:t>
            </w:r>
          </w:p>
        </w:tc>
        <w:tc>
          <w:tcPr>
            <w:tcW w:w="1890" w:type="dxa"/>
            <w:tcBorders>
              <w:top w:val="single" w:sz="4" w:space="0" w:color="auto"/>
              <w:left w:val="single" w:sz="4" w:space="0" w:color="auto"/>
              <w:bottom w:val="single" w:sz="4" w:space="0" w:color="auto"/>
              <w:right w:val="single" w:sz="4" w:space="0" w:color="auto"/>
            </w:tcBorders>
            <w:hideMark/>
          </w:tcPr>
          <w:p w14:paraId="1B981C7B"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4.18-3.64</w:t>
            </w:r>
          </w:p>
        </w:tc>
      </w:tr>
      <w:tr w:rsidR="00A02280" w:rsidRPr="00465046" w14:paraId="5F5D3527" w14:textId="77777777" w:rsidTr="002C554B">
        <w:tc>
          <w:tcPr>
            <w:tcW w:w="1808" w:type="dxa"/>
            <w:tcBorders>
              <w:top w:val="single" w:sz="4" w:space="0" w:color="auto"/>
              <w:left w:val="single" w:sz="4" w:space="0" w:color="auto"/>
              <w:bottom w:val="single" w:sz="4" w:space="0" w:color="auto"/>
              <w:right w:val="single" w:sz="4" w:space="0" w:color="auto"/>
            </w:tcBorders>
            <w:hideMark/>
          </w:tcPr>
          <w:p w14:paraId="6F2970D5"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2%</w:t>
            </w:r>
          </w:p>
        </w:tc>
        <w:tc>
          <w:tcPr>
            <w:tcW w:w="1882" w:type="dxa"/>
            <w:tcBorders>
              <w:top w:val="single" w:sz="4" w:space="0" w:color="auto"/>
              <w:left w:val="single" w:sz="4" w:space="0" w:color="auto"/>
              <w:bottom w:val="single" w:sz="4" w:space="0" w:color="auto"/>
              <w:right w:val="single" w:sz="4" w:space="0" w:color="auto"/>
            </w:tcBorders>
            <w:hideMark/>
          </w:tcPr>
          <w:p w14:paraId="23DA89AD"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2.23</w:t>
            </w:r>
          </w:p>
        </w:tc>
        <w:tc>
          <w:tcPr>
            <w:tcW w:w="2070" w:type="dxa"/>
            <w:tcBorders>
              <w:top w:val="single" w:sz="4" w:space="0" w:color="auto"/>
              <w:left w:val="single" w:sz="4" w:space="0" w:color="auto"/>
              <w:bottom w:val="single" w:sz="4" w:space="0" w:color="auto"/>
              <w:right w:val="single" w:sz="4" w:space="0" w:color="auto"/>
            </w:tcBorders>
            <w:hideMark/>
          </w:tcPr>
          <w:p w14:paraId="11E073B6"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5582.41-12.21</w:t>
            </w:r>
          </w:p>
        </w:tc>
        <w:tc>
          <w:tcPr>
            <w:tcW w:w="1620" w:type="dxa"/>
            <w:tcBorders>
              <w:top w:val="single" w:sz="4" w:space="0" w:color="auto"/>
              <w:left w:val="single" w:sz="4" w:space="0" w:color="auto"/>
              <w:bottom w:val="single" w:sz="4" w:space="0" w:color="auto"/>
              <w:right w:val="single" w:sz="4" w:space="0" w:color="auto"/>
            </w:tcBorders>
            <w:hideMark/>
          </w:tcPr>
          <w:p w14:paraId="6AC3D9FE"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13.13±7.66</w:t>
            </w:r>
          </w:p>
        </w:tc>
        <w:tc>
          <w:tcPr>
            <w:tcW w:w="1890" w:type="dxa"/>
            <w:tcBorders>
              <w:top w:val="single" w:sz="4" w:space="0" w:color="auto"/>
              <w:left w:val="single" w:sz="4" w:space="0" w:color="auto"/>
              <w:bottom w:val="single" w:sz="4" w:space="0" w:color="auto"/>
              <w:right w:val="single" w:sz="4" w:space="0" w:color="auto"/>
            </w:tcBorders>
            <w:hideMark/>
          </w:tcPr>
          <w:p w14:paraId="768ECD0C"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21.03-18.9</w:t>
            </w:r>
          </w:p>
        </w:tc>
      </w:tr>
    </w:tbl>
    <w:p w14:paraId="36C239AE" w14:textId="15CCF34F" w:rsidR="0029461D" w:rsidRPr="00E37EA2" w:rsidRDefault="00A02280" w:rsidP="0008082E">
      <w:pPr>
        <w:spacing w:before="120" w:after="120" w:line="480" w:lineRule="auto"/>
        <w:jc w:val="both"/>
        <w:rPr>
          <w:rFonts w:ascii="Times New Roman" w:eastAsia="Times New Roman" w:hAnsi="Times New Roman"/>
          <w:b/>
          <w:bCs/>
          <w:color w:val="000000"/>
          <w:sz w:val="24"/>
          <w:szCs w:val="24"/>
        </w:rPr>
      </w:pPr>
      <w:r w:rsidRPr="00E37EA2">
        <w:rPr>
          <w:rFonts w:ascii="Times New Roman" w:hAnsi="Times New Roman"/>
          <w:b/>
          <w:color w:val="000000"/>
          <w:sz w:val="24"/>
          <w:szCs w:val="24"/>
        </w:rPr>
        <w:t xml:space="preserve"> </w:t>
      </w:r>
      <w:r w:rsidR="00465046" w:rsidRPr="00E37EA2">
        <w:rPr>
          <w:rFonts w:ascii="Times New Roman" w:hAnsi="Times New Roman"/>
          <w:b/>
          <w:color w:val="000000"/>
          <w:sz w:val="24"/>
          <w:szCs w:val="24"/>
        </w:rPr>
        <w:t>(</w:t>
      </w:r>
      <w:proofErr w:type="spellStart"/>
      <w:r w:rsidR="00465046" w:rsidRPr="00E37EA2">
        <w:rPr>
          <w:rFonts w:ascii="Times New Roman" w:eastAsia="Times New Roman" w:hAnsi="Times New Roman"/>
          <w:b/>
          <w:bCs/>
          <w:color w:val="000000"/>
          <w:sz w:val="24"/>
          <w:szCs w:val="24"/>
        </w:rPr>
        <w:t>mean±SD</w:t>
      </w:r>
      <w:proofErr w:type="spellEnd"/>
      <w:r w:rsidR="00465046" w:rsidRPr="00E37EA2">
        <w:rPr>
          <w:rFonts w:ascii="Times New Roman" w:eastAsia="Times New Roman" w:hAnsi="Times New Roman"/>
          <w:b/>
          <w:bCs/>
          <w:color w:val="000000"/>
          <w:sz w:val="24"/>
          <w:szCs w:val="24"/>
        </w:rPr>
        <w:t>, n=3)</w:t>
      </w:r>
    </w:p>
    <w:p w14:paraId="1C9C7F54" w14:textId="77777777" w:rsidR="00E50D65" w:rsidRPr="00E37EA2" w:rsidRDefault="00E50D65"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3.6</w:t>
      </w:r>
      <w:r w:rsidRPr="00E37EA2">
        <w:rPr>
          <w:rFonts w:ascii="Times New Roman" w:hAnsi="Times New Roman"/>
          <w:b/>
          <w:i/>
          <w:color w:val="000000" w:themeColor="text1"/>
          <w:sz w:val="24"/>
          <w:szCs w:val="24"/>
        </w:rPr>
        <w:t xml:space="preserve"> In vitro</w:t>
      </w:r>
      <w:r w:rsidRPr="00E37EA2">
        <w:rPr>
          <w:rFonts w:ascii="Times New Roman" w:hAnsi="Times New Roman"/>
          <w:b/>
          <w:color w:val="000000" w:themeColor="text1"/>
          <w:sz w:val="24"/>
          <w:szCs w:val="24"/>
        </w:rPr>
        <w:t xml:space="preserve"> anti-microbial activity of SHK loaded microsponges based gel </w:t>
      </w:r>
    </w:p>
    <w:p w14:paraId="3ACD6E0A" w14:textId="2CF1FE62" w:rsidR="00E50D65"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Agar well diffusion assay demonstrated that Placebo gel was found to exhibit slight antimicrobial property which might be due to presence of chitosan with known anti-microbial potential. Also, SHK suspension gel showed activity attributing to some </w:t>
      </w:r>
      <w:r w:rsidR="00F125C4" w:rsidRPr="00E37EA2">
        <w:rPr>
          <w:rFonts w:ascii="Times New Roman" w:hAnsi="Times New Roman"/>
          <w:color w:val="000000" w:themeColor="text1"/>
          <w:sz w:val="24"/>
          <w:szCs w:val="24"/>
        </w:rPr>
        <w:t>water-soluble</w:t>
      </w:r>
      <w:r w:rsidRPr="00E37EA2">
        <w:rPr>
          <w:rFonts w:ascii="Times New Roman" w:hAnsi="Times New Roman"/>
          <w:color w:val="000000" w:themeColor="text1"/>
          <w:sz w:val="24"/>
          <w:szCs w:val="24"/>
        </w:rPr>
        <w:t xml:space="preserve"> entities in the potent fraction. However, maximum zone of inhibition (more than 15mm) was observed in SHK loaded microsponges based gel (Table </w:t>
      </w:r>
      <w:r w:rsidR="00361A2E">
        <w:rPr>
          <w:rFonts w:ascii="Times New Roman" w:hAnsi="Times New Roman"/>
          <w:color w:val="000000" w:themeColor="text1"/>
          <w:sz w:val="24"/>
          <w:szCs w:val="24"/>
        </w:rPr>
        <w:t>3</w:t>
      </w:r>
      <w:r w:rsidRPr="00E37EA2">
        <w:rPr>
          <w:rFonts w:ascii="Times New Roman" w:hAnsi="Times New Roman"/>
          <w:color w:val="000000" w:themeColor="text1"/>
          <w:sz w:val="24"/>
          <w:szCs w:val="24"/>
        </w:rPr>
        <w:t xml:space="preserve">, Figure </w:t>
      </w:r>
      <w:r w:rsidR="001C3C56">
        <w:rPr>
          <w:rFonts w:ascii="Times New Roman" w:hAnsi="Times New Roman"/>
          <w:color w:val="000000" w:themeColor="text1"/>
          <w:sz w:val="24"/>
          <w:szCs w:val="24"/>
        </w:rPr>
        <w:t>9 a</w:t>
      </w:r>
      <w:r w:rsidRPr="00E37EA2">
        <w:rPr>
          <w:rFonts w:ascii="Times New Roman" w:hAnsi="Times New Roman"/>
          <w:color w:val="000000" w:themeColor="text1"/>
          <w:sz w:val="24"/>
          <w:szCs w:val="24"/>
        </w:rPr>
        <w:t xml:space="preserve">, Figure </w:t>
      </w:r>
      <w:r w:rsidR="00417B10">
        <w:rPr>
          <w:rFonts w:ascii="Times New Roman" w:hAnsi="Times New Roman"/>
          <w:color w:val="000000" w:themeColor="text1"/>
          <w:sz w:val="24"/>
          <w:szCs w:val="24"/>
        </w:rPr>
        <w:t xml:space="preserve">9 </w:t>
      </w:r>
      <w:r w:rsidRPr="00E37EA2">
        <w:rPr>
          <w:rFonts w:ascii="Times New Roman" w:hAnsi="Times New Roman"/>
          <w:color w:val="000000" w:themeColor="text1"/>
          <w:sz w:val="24"/>
          <w:szCs w:val="24"/>
        </w:rPr>
        <w:t>b).</w:t>
      </w:r>
    </w:p>
    <w:p w14:paraId="34D02E1E" w14:textId="3F62CF10" w:rsidR="00465046"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t xml:space="preserve">Table </w:t>
      </w:r>
      <w:r w:rsidR="00361A2E">
        <w:rPr>
          <w:rFonts w:ascii="Times New Roman" w:hAnsi="Times New Roman"/>
          <w:b/>
          <w:color w:val="000000" w:themeColor="text1"/>
          <w:sz w:val="24"/>
          <w:szCs w:val="24"/>
        </w:rPr>
        <w:t>3</w:t>
      </w:r>
      <w:r w:rsidRPr="00E37EA2">
        <w:rPr>
          <w:rFonts w:ascii="Times New Roman" w:hAnsi="Times New Roman"/>
          <w:b/>
          <w:color w:val="000000" w:themeColor="text1"/>
          <w:sz w:val="24"/>
          <w:szCs w:val="24"/>
        </w:rPr>
        <w:t xml:space="preserve">: </w:t>
      </w:r>
      <w:r w:rsidRPr="00E37EA2">
        <w:rPr>
          <w:rFonts w:ascii="Times New Roman" w:hAnsi="Times New Roman"/>
          <w:color w:val="000000" w:themeColor="text1"/>
          <w:sz w:val="24"/>
          <w:szCs w:val="24"/>
        </w:rPr>
        <w:t>Table representing the zone of inhibition of placebo gel, suspension gel and SHK loaded MSPs based gel against bu</w:t>
      </w:r>
      <w:r w:rsidR="00465046" w:rsidRPr="00E37EA2">
        <w:rPr>
          <w:rFonts w:ascii="Times New Roman" w:hAnsi="Times New Roman"/>
          <w:color w:val="000000" w:themeColor="text1"/>
          <w:sz w:val="24"/>
          <w:szCs w:val="24"/>
        </w:rPr>
        <w:t>rn pathogens (</w:t>
      </w:r>
      <w:proofErr w:type="spellStart"/>
      <w:r w:rsidR="00465046" w:rsidRPr="00E37EA2">
        <w:rPr>
          <w:rFonts w:ascii="Times New Roman" w:hAnsi="Times New Roman"/>
          <w:color w:val="000000" w:themeColor="text1"/>
          <w:sz w:val="24"/>
          <w:szCs w:val="24"/>
        </w:rPr>
        <w:t>Mean±S.D</w:t>
      </w:r>
      <w:proofErr w:type="spellEnd"/>
      <w:r w:rsidR="00465046" w:rsidRPr="00E37EA2">
        <w:rPr>
          <w:rFonts w:ascii="Times New Roman" w:hAnsi="Times New Roman"/>
          <w:color w:val="000000" w:themeColor="text1"/>
          <w:sz w:val="24"/>
          <w:szCs w:val="24"/>
        </w:rPr>
        <w:t>).</w:t>
      </w:r>
    </w:p>
    <w:tbl>
      <w:tblPr>
        <w:tblW w:w="50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54"/>
        <w:gridCol w:w="2557"/>
        <w:gridCol w:w="1989"/>
        <w:gridCol w:w="2272"/>
      </w:tblGrid>
      <w:tr w:rsidR="00A02280" w:rsidRPr="00465046" w14:paraId="3E7E8203" w14:textId="77777777" w:rsidTr="002C554B">
        <w:trPr>
          <w:trHeight w:val="390"/>
        </w:trPr>
        <w:tc>
          <w:tcPr>
            <w:tcW w:w="1363" w:type="pct"/>
            <w:vMerge w:val="restart"/>
            <w:tcBorders>
              <w:top w:val="single" w:sz="4" w:space="0" w:color="000000"/>
              <w:left w:val="single" w:sz="4" w:space="0" w:color="000000"/>
              <w:bottom w:val="single" w:sz="4" w:space="0" w:color="000000"/>
              <w:right w:val="single" w:sz="4" w:space="0" w:color="000000"/>
            </w:tcBorders>
          </w:tcPr>
          <w:p w14:paraId="7BB09E41" w14:textId="77777777" w:rsidR="00A02280" w:rsidRPr="00465046" w:rsidRDefault="00A02280" w:rsidP="002C554B">
            <w:pPr>
              <w:widowControl w:val="0"/>
              <w:autoSpaceDE w:val="0"/>
              <w:autoSpaceDN w:val="0"/>
              <w:spacing w:after="0"/>
              <w:rPr>
                <w:rFonts w:ascii="Times New Roman" w:eastAsia="Times New Roman" w:hAnsi="Times New Roman"/>
                <w:b/>
                <w:color w:val="000000"/>
                <w:sz w:val="24"/>
                <w:szCs w:val="24"/>
              </w:rPr>
            </w:pPr>
          </w:p>
          <w:p w14:paraId="41B4270A" w14:textId="77777777" w:rsidR="00A02280" w:rsidRPr="00465046" w:rsidRDefault="00A02280" w:rsidP="002C554B">
            <w:pPr>
              <w:widowControl w:val="0"/>
              <w:autoSpaceDE w:val="0"/>
              <w:autoSpaceDN w:val="0"/>
              <w:spacing w:after="0"/>
              <w:rPr>
                <w:rFonts w:ascii="Times New Roman" w:eastAsia="Times New Roman" w:hAnsi="Times New Roman"/>
                <w:b/>
                <w:color w:val="000000"/>
                <w:sz w:val="24"/>
                <w:szCs w:val="24"/>
              </w:rPr>
            </w:pPr>
            <w:r w:rsidRPr="00465046">
              <w:rPr>
                <w:rFonts w:ascii="Times New Roman" w:eastAsia="Times New Roman" w:hAnsi="Times New Roman"/>
                <w:b/>
                <w:color w:val="000000"/>
                <w:sz w:val="24"/>
                <w:szCs w:val="24"/>
              </w:rPr>
              <w:t xml:space="preserve">         Formulation</w:t>
            </w:r>
          </w:p>
        </w:tc>
        <w:tc>
          <w:tcPr>
            <w:tcW w:w="3637" w:type="pct"/>
            <w:gridSpan w:val="3"/>
            <w:tcBorders>
              <w:top w:val="single" w:sz="4" w:space="0" w:color="000000"/>
              <w:left w:val="single" w:sz="4" w:space="0" w:color="000000"/>
              <w:bottom w:val="single" w:sz="4" w:space="0" w:color="000000"/>
              <w:right w:val="single" w:sz="4" w:space="0" w:color="000000"/>
            </w:tcBorders>
            <w:hideMark/>
          </w:tcPr>
          <w:p w14:paraId="374A7530" w14:textId="77777777" w:rsidR="00A02280" w:rsidRPr="00465046" w:rsidRDefault="00A02280" w:rsidP="002C554B">
            <w:pPr>
              <w:widowControl w:val="0"/>
              <w:autoSpaceDE w:val="0"/>
              <w:autoSpaceDN w:val="0"/>
              <w:spacing w:after="0"/>
              <w:rPr>
                <w:rFonts w:ascii="Times New Roman" w:eastAsia="Times New Roman" w:hAnsi="Times New Roman"/>
                <w:b/>
                <w:color w:val="000000"/>
                <w:sz w:val="24"/>
                <w:szCs w:val="24"/>
              </w:rPr>
            </w:pPr>
            <w:r w:rsidRPr="00465046">
              <w:rPr>
                <w:rFonts w:ascii="Times New Roman" w:eastAsia="Times New Roman" w:hAnsi="Times New Roman"/>
                <w:b/>
                <w:color w:val="000000"/>
                <w:sz w:val="24"/>
                <w:szCs w:val="24"/>
              </w:rPr>
              <w:t xml:space="preserve">                                  Zone of Inhibition (mm)</w:t>
            </w:r>
          </w:p>
        </w:tc>
      </w:tr>
      <w:tr w:rsidR="00A02280" w:rsidRPr="00465046" w14:paraId="2EF09605" w14:textId="77777777" w:rsidTr="002C554B">
        <w:trPr>
          <w:trHeight w:val="6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4E832F" w14:textId="77777777" w:rsidR="00A02280" w:rsidRPr="00465046" w:rsidRDefault="00A02280" w:rsidP="002C554B">
            <w:pPr>
              <w:spacing w:after="0"/>
              <w:rPr>
                <w:rFonts w:ascii="Times New Roman" w:eastAsia="Times New Roman" w:hAnsi="Times New Roman"/>
                <w:b/>
                <w:color w:val="000000"/>
                <w:sz w:val="24"/>
                <w:szCs w:val="24"/>
              </w:rPr>
            </w:pPr>
          </w:p>
        </w:tc>
        <w:tc>
          <w:tcPr>
            <w:tcW w:w="1364" w:type="pct"/>
            <w:tcBorders>
              <w:top w:val="single" w:sz="4" w:space="0" w:color="000000"/>
              <w:left w:val="single" w:sz="4" w:space="0" w:color="000000"/>
              <w:bottom w:val="single" w:sz="4" w:space="0" w:color="000000"/>
              <w:right w:val="single" w:sz="4" w:space="0" w:color="000000"/>
            </w:tcBorders>
            <w:hideMark/>
          </w:tcPr>
          <w:p w14:paraId="5D0B7099" w14:textId="12868908" w:rsidR="00A02280" w:rsidRPr="00465046" w:rsidRDefault="00A02280" w:rsidP="002C554B">
            <w:pPr>
              <w:widowControl w:val="0"/>
              <w:autoSpaceDE w:val="0"/>
              <w:autoSpaceDN w:val="0"/>
              <w:spacing w:after="0"/>
              <w:ind w:left="110" w:right="192"/>
              <w:jc w:val="center"/>
              <w:rPr>
                <w:rFonts w:ascii="Times New Roman" w:eastAsia="Times New Roman" w:hAnsi="Times New Roman"/>
                <w:b/>
                <w:i/>
                <w:color w:val="000000"/>
                <w:spacing w:val="-1"/>
                <w:sz w:val="24"/>
                <w:szCs w:val="24"/>
              </w:rPr>
            </w:pPr>
            <w:r w:rsidRPr="00465046">
              <w:rPr>
                <w:rFonts w:ascii="Times New Roman" w:eastAsia="Times New Roman" w:hAnsi="Times New Roman"/>
                <w:b/>
                <w:i/>
                <w:color w:val="000000"/>
                <w:spacing w:val="-1"/>
                <w:sz w:val="24"/>
                <w:szCs w:val="24"/>
              </w:rPr>
              <w:t>Staphylococcus</w:t>
            </w:r>
            <w:r w:rsidRPr="00465046">
              <w:rPr>
                <w:rFonts w:ascii="Times New Roman" w:eastAsia="Times New Roman" w:hAnsi="Times New Roman"/>
                <w:b/>
                <w:i/>
                <w:color w:val="000000"/>
                <w:spacing w:val="-57"/>
                <w:sz w:val="24"/>
                <w:szCs w:val="24"/>
              </w:rPr>
              <w:t xml:space="preserve"> </w:t>
            </w:r>
            <w:r w:rsidR="001D206A">
              <w:rPr>
                <w:rFonts w:ascii="Times New Roman" w:eastAsia="Times New Roman" w:hAnsi="Times New Roman"/>
                <w:b/>
                <w:i/>
                <w:color w:val="000000"/>
                <w:spacing w:val="-57"/>
                <w:sz w:val="24"/>
                <w:szCs w:val="24"/>
              </w:rPr>
              <w:t xml:space="preserve">          </w:t>
            </w:r>
            <w:r w:rsidRPr="00465046">
              <w:rPr>
                <w:rFonts w:ascii="Times New Roman" w:eastAsia="Times New Roman" w:hAnsi="Times New Roman"/>
                <w:b/>
                <w:i/>
                <w:color w:val="000000"/>
                <w:sz w:val="24"/>
                <w:szCs w:val="24"/>
              </w:rPr>
              <w:t>aureus</w:t>
            </w:r>
            <w:r w:rsidRPr="00465046">
              <w:rPr>
                <w:rFonts w:ascii="Times New Roman" w:eastAsia="Times New Roman" w:hAnsi="Times New Roman"/>
                <w:b/>
                <w:color w:val="000000"/>
                <w:spacing w:val="-2"/>
                <w:sz w:val="24"/>
                <w:szCs w:val="24"/>
              </w:rPr>
              <w:t xml:space="preserve"> (MTCC 740)</w:t>
            </w:r>
          </w:p>
        </w:tc>
        <w:tc>
          <w:tcPr>
            <w:tcW w:w="1061" w:type="pct"/>
            <w:tcBorders>
              <w:top w:val="single" w:sz="4" w:space="0" w:color="000000"/>
              <w:left w:val="single" w:sz="4" w:space="0" w:color="000000"/>
              <w:bottom w:val="single" w:sz="4" w:space="0" w:color="000000"/>
              <w:right w:val="single" w:sz="4" w:space="0" w:color="000000"/>
            </w:tcBorders>
            <w:hideMark/>
          </w:tcPr>
          <w:p w14:paraId="1AEB8536" w14:textId="77777777" w:rsidR="00A02280" w:rsidRPr="00465046" w:rsidRDefault="00A02280" w:rsidP="002C554B">
            <w:pPr>
              <w:widowControl w:val="0"/>
              <w:autoSpaceDE w:val="0"/>
              <w:autoSpaceDN w:val="0"/>
              <w:spacing w:after="0"/>
              <w:ind w:left="109" w:right="382"/>
              <w:jc w:val="center"/>
              <w:rPr>
                <w:rFonts w:ascii="Times New Roman" w:eastAsia="Times New Roman" w:hAnsi="Times New Roman"/>
                <w:b/>
                <w:i/>
                <w:color w:val="000000"/>
                <w:spacing w:val="-1"/>
                <w:sz w:val="24"/>
                <w:szCs w:val="24"/>
              </w:rPr>
            </w:pPr>
            <w:r w:rsidRPr="00465046">
              <w:rPr>
                <w:rFonts w:ascii="Times New Roman" w:eastAsia="Times New Roman" w:hAnsi="Times New Roman"/>
                <w:b/>
                <w:i/>
                <w:color w:val="000000"/>
                <w:spacing w:val="-1"/>
                <w:sz w:val="24"/>
                <w:szCs w:val="24"/>
              </w:rPr>
              <w:t>Escherichia</w:t>
            </w:r>
            <w:r w:rsidRPr="00465046">
              <w:rPr>
                <w:rFonts w:ascii="Times New Roman" w:eastAsia="Times New Roman" w:hAnsi="Times New Roman"/>
                <w:b/>
                <w:i/>
                <w:color w:val="000000"/>
                <w:spacing w:val="-57"/>
                <w:sz w:val="24"/>
                <w:szCs w:val="24"/>
              </w:rPr>
              <w:t xml:space="preserve"> </w:t>
            </w:r>
            <w:r w:rsidRPr="00465046">
              <w:rPr>
                <w:rFonts w:ascii="Times New Roman" w:eastAsia="Times New Roman" w:hAnsi="Times New Roman"/>
                <w:b/>
                <w:i/>
                <w:color w:val="000000"/>
                <w:sz w:val="24"/>
                <w:szCs w:val="24"/>
              </w:rPr>
              <w:t xml:space="preserve">coli </w:t>
            </w:r>
            <w:r w:rsidRPr="00465046">
              <w:rPr>
                <w:rFonts w:ascii="Times New Roman" w:eastAsia="Times New Roman" w:hAnsi="Times New Roman"/>
                <w:b/>
                <w:color w:val="000000"/>
                <w:sz w:val="24"/>
                <w:szCs w:val="24"/>
              </w:rPr>
              <w:t xml:space="preserve">(MTCC119) </w:t>
            </w:r>
          </w:p>
        </w:tc>
        <w:tc>
          <w:tcPr>
            <w:tcW w:w="1211" w:type="pct"/>
            <w:tcBorders>
              <w:top w:val="single" w:sz="4" w:space="0" w:color="000000"/>
              <w:left w:val="single" w:sz="4" w:space="0" w:color="000000"/>
              <w:bottom w:val="single" w:sz="4" w:space="0" w:color="000000"/>
              <w:right w:val="single" w:sz="4" w:space="0" w:color="000000"/>
            </w:tcBorders>
            <w:hideMark/>
          </w:tcPr>
          <w:p w14:paraId="5862241C" w14:textId="77777777" w:rsidR="00A02280" w:rsidRPr="00465046" w:rsidRDefault="00A02280" w:rsidP="002C554B">
            <w:pPr>
              <w:widowControl w:val="0"/>
              <w:autoSpaceDE w:val="0"/>
              <w:autoSpaceDN w:val="0"/>
              <w:spacing w:after="0"/>
              <w:ind w:left="107" w:right="275"/>
              <w:jc w:val="center"/>
              <w:rPr>
                <w:rFonts w:ascii="Times New Roman" w:eastAsia="Times New Roman" w:hAnsi="Times New Roman"/>
                <w:b/>
                <w:i/>
                <w:color w:val="000000"/>
                <w:sz w:val="24"/>
                <w:szCs w:val="24"/>
              </w:rPr>
            </w:pPr>
            <w:r w:rsidRPr="00465046">
              <w:rPr>
                <w:rFonts w:ascii="Times New Roman" w:eastAsia="Times New Roman" w:hAnsi="Times New Roman"/>
                <w:b/>
                <w:i/>
                <w:color w:val="000000"/>
                <w:sz w:val="24"/>
                <w:szCs w:val="24"/>
              </w:rPr>
              <w:t>Candida</w:t>
            </w:r>
            <w:r w:rsidRPr="00465046">
              <w:rPr>
                <w:rFonts w:ascii="Times New Roman" w:eastAsia="Times New Roman" w:hAnsi="Times New Roman"/>
                <w:b/>
                <w:i/>
                <w:color w:val="000000"/>
                <w:spacing w:val="-57"/>
                <w:sz w:val="24"/>
                <w:szCs w:val="24"/>
              </w:rPr>
              <w:t xml:space="preserve">       </w:t>
            </w:r>
            <w:r w:rsidRPr="00465046">
              <w:rPr>
                <w:rFonts w:ascii="Times New Roman" w:eastAsia="Times New Roman" w:hAnsi="Times New Roman"/>
                <w:b/>
                <w:i/>
                <w:color w:val="000000"/>
                <w:sz w:val="24"/>
                <w:szCs w:val="24"/>
              </w:rPr>
              <w:t>albicans</w:t>
            </w:r>
          </w:p>
          <w:p w14:paraId="4810288D" w14:textId="77777777" w:rsidR="00A02280" w:rsidRPr="00465046" w:rsidRDefault="00A02280" w:rsidP="002C554B">
            <w:pPr>
              <w:widowControl w:val="0"/>
              <w:autoSpaceDE w:val="0"/>
              <w:autoSpaceDN w:val="0"/>
              <w:spacing w:after="0"/>
              <w:ind w:left="107" w:right="275"/>
              <w:jc w:val="center"/>
              <w:rPr>
                <w:rFonts w:ascii="Times New Roman" w:eastAsia="Times New Roman" w:hAnsi="Times New Roman"/>
                <w:b/>
                <w:color w:val="000000"/>
                <w:sz w:val="24"/>
                <w:szCs w:val="24"/>
              </w:rPr>
            </w:pPr>
            <w:r w:rsidRPr="00465046">
              <w:rPr>
                <w:rFonts w:ascii="Times New Roman" w:eastAsia="Times New Roman" w:hAnsi="Times New Roman"/>
                <w:b/>
                <w:color w:val="000000"/>
                <w:sz w:val="24"/>
                <w:szCs w:val="24"/>
              </w:rPr>
              <w:t>(MTCC 227)</w:t>
            </w:r>
          </w:p>
        </w:tc>
      </w:tr>
      <w:tr w:rsidR="00A02280" w:rsidRPr="00465046" w14:paraId="24352A26" w14:textId="77777777" w:rsidTr="002C554B">
        <w:trPr>
          <w:trHeight w:val="430"/>
        </w:trPr>
        <w:tc>
          <w:tcPr>
            <w:tcW w:w="1363" w:type="pct"/>
            <w:tcBorders>
              <w:top w:val="single" w:sz="4" w:space="0" w:color="000000"/>
              <w:left w:val="single" w:sz="4" w:space="0" w:color="000000"/>
              <w:bottom w:val="single" w:sz="4" w:space="0" w:color="000000"/>
              <w:right w:val="single" w:sz="4" w:space="0" w:color="000000"/>
            </w:tcBorders>
            <w:hideMark/>
          </w:tcPr>
          <w:p w14:paraId="5EB80DC3"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b/>
                <w:color w:val="000000"/>
                <w:sz w:val="24"/>
                <w:szCs w:val="24"/>
              </w:rPr>
            </w:pPr>
            <w:r w:rsidRPr="00465046">
              <w:rPr>
                <w:rFonts w:ascii="Times New Roman" w:eastAsia="Times New Roman" w:hAnsi="Times New Roman"/>
                <w:b/>
                <w:color w:val="000000"/>
                <w:sz w:val="24"/>
                <w:szCs w:val="24"/>
              </w:rPr>
              <w:t>Placebo</w:t>
            </w:r>
            <w:r w:rsidRPr="00465046">
              <w:rPr>
                <w:rFonts w:ascii="Times New Roman" w:eastAsia="Times New Roman" w:hAnsi="Times New Roman"/>
                <w:b/>
                <w:color w:val="000000"/>
                <w:spacing w:val="-1"/>
                <w:sz w:val="24"/>
                <w:szCs w:val="24"/>
              </w:rPr>
              <w:t xml:space="preserve"> </w:t>
            </w:r>
            <w:r w:rsidRPr="00465046">
              <w:rPr>
                <w:rFonts w:ascii="Times New Roman" w:eastAsia="Times New Roman" w:hAnsi="Times New Roman"/>
                <w:b/>
                <w:color w:val="000000"/>
                <w:sz w:val="24"/>
                <w:szCs w:val="24"/>
              </w:rPr>
              <w:t>gel</w:t>
            </w:r>
          </w:p>
        </w:tc>
        <w:tc>
          <w:tcPr>
            <w:tcW w:w="1364" w:type="pct"/>
            <w:tcBorders>
              <w:top w:val="single" w:sz="4" w:space="0" w:color="000000"/>
              <w:left w:val="single" w:sz="4" w:space="0" w:color="000000"/>
              <w:bottom w:val="single" w:sz="4" w:space="0" w:color="000000"/>
              <w:right w:val="single" w:sz="4" w:space="0" w:color="000000"/>
            </w:tcBorders>
            <w:hideMark/>
          </w:tcPr>
          <w:p w14:paraId="55F4EAC6"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1.6±0.11</w:t>
            </w:r>
          </w:p>
        </w:tc>
        <w:tc>
          <w:tcPr>
            <w:tcW w:w="1061" w:type="pct"/>
            <w:tcBorders>
              <w:top w:val="single" w:sz="4" w:space="0" w:color="000000"/>
              <w:left w:val="single" w:sz="4" w:space="0" w:color="000000"/>
              <w:bottom w:val="single" w:sz="4" w:space="0" w:color="000000"/>
              <w:right w:val="single" w:sz="4" w:space="0" w:color="000000"/>
            </w:tcBorders>
            <w:hideMark/>
          </w:tcPr>
          <w:p w14:paraId="2FDF8E37" w14:textId="77777777" w:rsidR="00A02280" w:rsidRPr="00465046" w:rsidRDefault="00A02280" w:rsidP="002C554B">
            <w:pPr>
              <w:widowControl w:val="0"/>
              <w:autoSpaceDE w:val="0"/>
              <w:autoSpaceDN w:val="0"/>
              <w:spacing w:after="0"/>
              <w:ind w:left="109"/>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2.8±0.11</w:t>
            </w:r>
          </w:p>
        </w:tc>
        <w:tc>
          <w:tcPr>
            <w:tcW w:w="1211" w:type="pct"/>
            <w:tcBorders>
              <w:top w:val="single" w:sz="4" w:space="0" w:color="000000"/>
              <w:left w:val="single" w:sz="4" w:space="0" w:color="000000"/>
              <w:bottom w:val="single" w:sz="4" w:space="0" w:color="000000"/>
              <w:right w:val="single" w:sz="4" w:space="0" w:color="000000"/>
            </w:tcBorders>
            <w:hideMark/>
          </w:tcPr>
          <w:p w14:paraId="2E5F971E" w14:textId="77777777" w:rsidR="00A02280" w:rsidRPr="00465046" w:rsidRDefault="00A02280" w:rsidP="002C554B">
            <w:pPr>
              <w:widowControl w:val="0"/>
              <w:autoSpaceDE w:val="0"/>
              <w:autoSpaceDN w:val="0"/>
              <w:spacing w:after="0"/>
              <w:ind w:left="107"/>
              <w:jc w:val="center"/>
              <w:rPr>
                <w:rFonts w:ascii="Times New Roman" w:eastAsia="Times New Roman" w:hAnsi="Times New Roman"/>
                <w:b/>
                <w:color w:val="000000"/>
                <w:sz w:val="24"/>
                <w:szCs w:val="24"/>
              </w:rPr>
            </w:pPr>
            <w:r w:rsidRPr="00465046">
              <w:rPr>
                <w:rFonts w:ascii="Times New Roman" w:eastAsia="Times New Roman" w:hAnsi="Times New Roman"/>
                <w:b/>
                <w:color w:val="000000"/>
                <w:w w:val="99"/>
                <w:sz w:val="24"/>
                <w:szCs w:val="24"/>
              </w:rPr>
              <w:t>-</w:t>
            </w:r>
          </w:p>
        </w:tc>
      </w:tr>
      <w:tr w:rsidR="00A02280" w:rsidRPr="00465046" w14:paraId="68F03307" w14:textId="77777777" w:rsidTr="002C554B">
        <w:trPr>
          <w:trHeight w:val="68"/>
        </w:trPr>
        <w:tc>
          <w:tcPr>
            <w:tcW w:w="1363" w:type="pct"/>
            <w:tcBorders>
              <w:top w:val="single" w:sz="4" w:space="0" w:color="000000"/>
              <w:left w:val="single" w:sz="4" w:space="0" w:color="000000"/>
              <w:bottom w:val="single" w:sz="4" w:space="0" w:color="000000"/>
              <w:right w:val="single" w:sz="4" w:space="0" w:color="000000"/>
            </w:tcBorders>
            <w:hideMark/>
          </w:tcPr>
          <w:p w14:paraId="269EBBE3"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b/>
                <w:color w:val="000000"/>
                <w:sz w:val="24"/>
                <w:szCs w:val="24"/>
              </w:rPr>
            </w:pPr>
            <w:r w:rsidRPr="00465046">
              <w:rPr>
                <w:rFonts w:ascii="Times New Roman" w:eastAsia="Times New Roman" w:hAnsi="Times New Roman"/>
                <w:b/>
                <w:color w:val="000000"/>
                <w:sz w:val="24"/>
                <w:szCs w:val="24"/>
              </w:rPr>
              <w:t>SHK Suspension</w:t>
            </w:r>
            <w:r w:rsidRPr="00465046">
              <w:rPr>
                <w:rFonts w:ascii="Times New Roman" w:eastAsia="Times New Roman" w:hAnsi="Times New Roman"/>
                <w:b/>
                <w:color w:val="000000"/>
                <w:spacing w:val="-1"/>
                <w:sz w:val="24"/>
                <w:szCs w:val="24"/>
              </w:rPr>
              <w:t xml:space="preserve"> </w:t>
            </w:r>
            <w:r w:rsidRPr="00465046">
              <w:rPr>
                <w:rFonts w:ascii="Times New Roman" w:eastAsia="Times New Roman" w:hAnsi="Times New Roman"/>
                <w:b/>
                <w:color w:val="000000"/>
                <w:sz w:val="24"/>
                <w:szCs w:val="24"/>
              </w:rPr>
              <w:t>gel</w:t>
            </w:r>
          </w:p>
        </w:tc>
        <w:tc>
          <w:tcPr>
            <w:tcW w:w="1364" w:type="pct"/>
            <w:tcBorders>
              <w:top w:val="single" w:sz="4" w:space="0" w:color="000000"/>
              <w:left w:val="single" w:sz="4" w:space="0" w:color="000000"/>
              <w:bottom w:val="single" w:sz="4" w:space="0" w:color="000000"/>
              <w:right w:val="single" w:sz="4" w:space="0" w:color="000000"/>
            </w:tcBorders>
            <w:hideMark/>
          </w:tcPr>
          <w:p w14:paraId="329AC344"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3.5±0.21</w:t>
            </w:r>
          </w:p>
        </w:tc>
        <w:tc>
          <w:tcPr>
            <w:tcW w:w="1061" w:type="pct"/>
            <w:tcBorders>
              <w:top w:val="single" w:sz="4" w:space="0" w:color="000000"/>
              <w:left w:val="single" w:sz="4" w:space="0" w:color="000000"/>
              <w:bottom w:val="single" w:sz="4" w:space="0" w:color="000000"/>
              <w:right w:val="single" w:sz="4" w:space="0" w:color="000000"/>
            </w:tcBorders>
            <w:hideMark/>
          </w:tcPr>
          <w:p w14:paraId="7641CC56" w14:textId="77777777" w:rsidR="00A02280" w:rsidRPr="00465046" w:rsidRDefault="00A02280" w:rsidP="002C554B">
            <w:pPr>
              <w:widowControl w:val="0"/>
              <w:autoSpaceDE w:val="0"/>
              <w:autoSpaceDN w:val="0"/>
              <w:spacing w:after="0"/>
              <w:ind w:left="109"/>
              <w:jc w:val="center"/>
              <w:rPr>
                <w:rFonts w:ascii="Times New Roman" w:eastAsia="Times New Roman" w:hAnsi="Times New Roman"/>
                <w:color w:val="000000"/>
                <w:sz w:val="24"/>
                <w:szCs w:val="24"/>
              </w:rPr>
            </w:pPr>
            <w:r w:rsidRPr="00465046">
              <w:rPr>
                <w:rFonts w:ascii="Times New Roman" w:eastAsia="Times New Roman" w:hAnsi="Times New Roman"/>
                <w:color w:val="000000"/>
                <w:w w:val="99"/>
                <w:sz w:val="24"/>
                <w:szCs w:val="24"/>
              </w:rPr>
              <w:t>-</w:t>
            </w:r>
          </w:p>
        </w:tc>
        <w:tc>
          <w:tcPr>
            <w:tcW w:w="1211" w:type="pct"/>
            <w:tcBorders>
              <w:top w:val="single" w:sz="4" w:space="0" w:color="000000"/>
              <w:left w:val="single" w:sz="4" w:space="0" w:color="000000"/>
              <w:bottom w:val="single" w:sz="4" w:space="0" w:color="000000"/>
              <w:right w:val="single" w:sz="4" w:space="0" w:color="000000"/>
            </w:tcBorders>
            <w:hideMark/>
          </w:tcPr>
          <w:p w14:paraId="5548E7C4" w14:textId="77777777" w:rsidR="00A02280" w:rsidRPr="00465046" w:rsidRDefault="00A02280" w:rsidP="002C554B">
            <w:pPr>
              <w:widowControl w:val="0"/>
              <w:autoSpaceDE w:val="0"/>
              <w:autoSpaceDN w:val="0"/>
              <w:spacing w:after="0"/>
              <w:ind w:left="107"/>
              <w:jc w:val="center"/>
              <w:rPr>
                <w:rFonts w:ascii="Times New Roman" w:eastAsia="Times New Roman" w:hAnsi="Times New Roman"/>
                <w:color w:val="000000"/>
                <w:sz w:val="24"/>
                <w:szCs w:val="24"/>
              </w:rPr>
            </w:pPr>
            <w:r w:rsidRPr="00465046">
              <w:rPr>
                <w:rFonts w:ascii="Times New Roman" w:eastAsia="Times New Roman" w:hAnsi="Times New Roman"/>
                <w:color w:val="000000"/>
                <w:w w:val="99"/>
                <w:sz w:val="24"/>
                <w:szCs w:val="24"/>
              </w:rPr>
              <w:t>-</w:t>
            </w:r>
          </w:p>
        </w:tc>
      </w:tr>
      <w:tr w:rsidR="00A02280" w:rsidRPr="00465046" w14:paraId="2E7C9C36" w14:textId="77777777" w:rsidTr="002C554B">
        <w:trPr>
          <w:trHeight w:val="620"/>
        </w:trPr>
        <w:tc>
          <w:tcPr>
            <w:tcW w:w="1363" w:type="pct"/>
            <w:tcBorders>
              <w:top w:val="single" w:sz="4" w:space="0" w:color="000000"/>
              <w:left w:val="single" w:sz="4" w:space="0" w:color="000000"/>
              <w:bottom w:val="single" w:sz="4" w:space="0" w:color="000000"/>
              <w:right w:val="single" w:sz="4" w:space="0" w:color="000000"/>
            </w:tcBorders>
            <w:hideMark/>
          </w:tcPr>
          <w:p w14:paraId="61E271CD"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b/>
                <w:color w:val="000000"/>
                <w:sz w:val="24"/>
                <w:szCs w:val="24"/>
              </w:rPr>
            </w:pPr>
            <w:r w:rsidRPr="00465046">
              <w:rPr>
                <w:rFonts w:ascii="Times New Roman" w:eastAsia="Times New Roman" w:hAnsi="Times New Roman"/>
                <w:b/>
                <w:color w:val="000000"/>
                <w:sz w:val="24"/>
                <w:szCs w:val="24"/>
              </w:rPr>
              <w:t>SHK</w:t>
            </w:r>
          </w:p>
          <w:p w14:paraId="4734B2A5"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b/>
                <w:color w:val="000000"/>
                <w:sz w:val="24"/>
                <w:szCs w:val="24"/>
              </w:rPr>
            </w:pPr>
            <w:r w:rsidRPr="00465046">
              <w:rPr>
                <w:rFonts w:ascii="Times New Roman" w:eastAsia="Times New Roman" w:hAnsi="Times New Roman"/>
                <w:b/>
                <w:color w:val="000000"/>
                <w:sz w:val="24"/>
                <w:szCs w:val="24"/>
              </w:rPr>
              <w:t>loaded</w:t>
            </w:r>
            <w:r w:rsidRPr="00465046">
              <w:rPr>
                <w:rFonts w:ascii="Times New Roman" w:eastAsia="Times New Roman" w:hAnsi="Times New Roman"/>
                <w:b/>
                <w:color w:val="000000"/>
                <w:spacing w:val="-1"/>
                <w:sz w:val="24"/>
                <w:szCs w:val="24"/>
              </w:rPr>
              <w:t xml:space="preserve"> </w:t>
            </w:r>
            <w:proofErr w:type="spellStart"/>
            <w:r w:rsidRPr="00465046">
              <w:rPr>
                <w:rFonts w:ascii="Times New Roman" w:eastAsia="Times New Roman" w:hAnsi="Times New Roman"/>
                <w:b/>
                <w:color w:val="000000"/>
                <w:sz w:val="24"/>
                <w:szCs w:val="24"/>
              </w:rPr>
              <w:t>Microsponge</w:t>
            </w:r>
            <w:proofErr w:type="spellEnd"/>
            <w:r w:rsidRPr="00465046">
              <w:rPr>
                <w:rFonts w:ascii="Times New Roman" w:eastAsia="Times New Roman" w:hAnsi="Times New Roman"/>
                <w:b/>
                <w:color w:val="000000"/>
                <w:spacing w:val="-2"/>
                <w:sz w:val="24"/>
                <w:szCs w:val="24"/>
              </w:rPr>
              <w:t xml:space="preserve"> </w:t>
            </w:r>
            <w:r w:rsidRPr="00465046">
              <w:rPr>
                <w:rFonts w:ascii="Times New Roman" w:eastAsia="Times New Roman" w:hAnsi="Times New Roman"/>
                <w:b/>
                <w:color w:val="000000"/>
                <w:sz w:val="24"/>
                <w:szCs w:val="24"/>
              </w:rPr>
              <w:t>gel</w:t>
            </w:r>
          </w:p>
        </w:tc>
        <w:tc>
          <w:tcPr>
            <w:tcW w:w="1364" w:type="pct"/>
            <w:tcBorders>
              <w:top w:val="single" w:sz="4" w:space="0" w:color="000000"/>
              <w:left w:val="single" w:sz="4" w:space="0" w:color="000000"/>
              <w:bottom w:val="single" w:sz="4" w:space="0" w:color="000000"/>
              <w:right w:val="single" w:sz="4" w:space="0" w:color="000000"/>
            </w:tcBorders>
            <w:hideMark/>
          </w:tcPr>
          <w:p w14:paraId="4BB6305E"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19.7±0.13</w:t>
            </w:r>
          </w:p>
        </w:tc>
        <w:tc>
          <w:tcPr>
            <w:tcW w:w="1061" w:type="pct"/>
            <w:tcBorders>
              <w:top w:val="single" w:sz="4" w:space="0" w:color="000000"/>
              <w:left w:val="single" w:sz="4" w:space="0" w:color="000000"/>
              <w:bottom w:val="single" w:sz="4" w:space="0" w:color="000000"/>
              <w:right w:val="single" w:sz="4" w:space="0" w:color="000000"/>
            </w:tcBorders>
            <w:hideMark/>
          </w:tcPr>
          <w:p w14:paraId="276A6A7B" w14:textId="77777777" w:rsidR="00A02280" w:rsidRPr="00465046" w:rsidRDefault="00A02280" w:rsidP="002C554B">
            <w:pPr>
              <w:widowControl w:val="0"/>
              <w:autoSpaceDE w:val="0"/>
              <w:autoSpaceDN w:val="0"/>
              <w:spacing w:after="0"/>
              <w:ind w:left="109"/>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20.6±0.25</w:t>
            </w:r>
          </w:p>
        </w:tc>
        <w:tc>
          <w:tcPr>
            <w:tcW w:w="1211" w:type="pct"/>
            <w:tcBorders>
              <w:top w:val="single" w:sz="4" w:space="0" w:color="000000"/>
              <w:left w:val="single" w:sz="4" w:space="0" w:color="000000"/>
              <w:bottom w:val="single" w:sz="4" w:space="0" w:color="000000"/>
              <w:right w:val="single" w:sz="4" w:space="0" w:color="000000"/>
            </w:tcBorders>
            <w:hideMark/>
          </w:tcPr>
          <w:p w14:paraId="3883AC7A" w14:textId="77777777" w:rsidR="00A02280" w:rsidRPr="00465046" w:rsidRDefault="00A02280" w:rsidP="002C554B">
            <w:pPr>
              <w:widowControl w:val="0"/>
              <w:autoSpaceDE w:val="0"/>
              <w:autoSpaceDN w:val="0"/>
              <w:spacing w:after="0"/>
              <w:ind w:left="107"/>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18.1±0.13</w:t>
            </w:r>
          </w:p>
        </w:tc>
      </w:tr>
      <w:tr w:rsidR="00A02280" w:rsidRPr="00465046" w14:paraId="67A4FB27" w14:textId="77777777" w:rsidTr="002C554B">
        <w:trPr>
          <w:trHeight w:val="457"/>
        </w:trPr>
        <w:tc>
          <w:tcPr>
            <w:tcW w:w="1363" w:type="pct"/>
            <w:tcBorders>
              <w:top w:val="single" w:sz="4" w:space="0" w:color="000000"/>
              <w:left w:val="single" w:sz="4" w:space="0" w:color="000000"/>
              <w:bottom w:val="single" w:sz="4" w:space="0" w:color="000000"/>
              <w:right w:val="single" w:sz="4" w:space="0" w:color="000000"/>
            </w:tcBorders>
            <w:hideMark/>
          </w:tcPr>
          <w:p w14:paraId="7D819FED"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b/>
                <w:color w:val="000000"/>
                <w:sz w:val="24"/>
                <w:szCs w:val="24"/>
              </w:rPr>
            </w:pPr>
            <w:r w:rsidRPr="00465046">
              <w:rPr>
                <w:rFonts w:ascii="Times New Roman" w:eastAsia="Times New Roman" w:hAnsi="Times New Roman"/>
                <w:b/>
                <w:color w:val="000000"/>
                <w:sz w:val="24"/>
                <w:szCs w:val="24"/>
              </w:rPr>
              <w:t>Ciprofloxacin (5µg/ml)</w:t>
            </w:r>
          </w:p>
        </w:tc>
        <w:tc>
          <w:tcPr>
            <w:tcW w:w="1364" w:type="pct"/>
            <w:tcBorders>
              <w:top w:val="single" w:sz="4" w:space="0" w:color="000000"/>
              <w:left w:val="single" w:sz="4" w:space="0" w:color="000000"/>
              <w:bottom w:val="single" w:sz="4" w:space="0" w:color="000000"/>
              <w:right w:val="single" w:sz="4" w:space="0" w:color="000000"/>
            </w:tcBorders>
            <w:hideMark/>
          </w:tcPr>
          <w:p w14:paraId="70E13EE8"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w:t>
            </w:r>
          </w:p>
        </w:tc>
        <w:tc>
          <w:tcPr>
            <w:tcW w:w="1061" w:type="pct"/>
            <w:tcBorders>
              <w:top w:val="single" w:sz="4" w:space="0" w:color="000000"/>
              <w:left w:val="single" w:sz="4" w:space="0" w:color="000000"/>
              <w:bottom w:val="single" w:sz="4" w:space="0" w:color="000000"/>
              <w:right w:val="single" w:sz="4" w:space="0" w:color="000000"/>
            </w:tcBorders>
            <w:hideMark/>
          </w:tcPr>
          <w:p w14:paraId="0C373535" w14:textId="77777777" w:rsidR="00A02280" w:rsidRPr="00465046" w:rsidRDefault="00A02280" w:rsidP="002C554B">
            <w:pPr>
              <w:widowControl w:val="0"/>
              <w:autoSpaceDE w:val="0"/>
              <w:autoSpaceDN w:val="0"/>
              <w:spacing w:after="0"/>
              <w:ind w:left="109"/>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23.9±0.15</w:t>
            </w:r>
          </w:p>
        </w:tc>
        <w:tc>
          <w:tcPr>
            <w:tcW w:w="1211" w:type="pct"/>
            <w:tcBorders>
              <w:top w:val="single" w:sz="4" w:space="0" w:color="000000"/>
              <w:left w:val="single" w:sz="4" w:space="0" w:color="000000"/>
              <w:bottom w:val="single" w:sz="4" w:space="0" w:color="000000"/>
              <w:right w:val="single" w:sz="4" w:space="0" w:color="000000"/>
            </w:tcBorders>
            <w:hideMark/>
          </w:tcPr>
          <w:p w14:paraId="3D00ED86" w14:textId="77777777" w:rsidR="00A02280" w:rsidRPr="00465046" w:rsidRDefault="00A02280" w:rsidP="002C554B">
            <w:pPr>
              <w:widowControl w:val="0"/>
              <w:autoSpaceDE w:val="0"/>
              <w:autoSpaceDN w:val="0"/>
              <w:spacing w:after="0"/>
              <w:ind w:left="107"/>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w:t>
            </w:r>
          </w:p>
        </w:tc>
      </w:tr>
      <w:tr w:rsidR="00A02280" w:rsidRPr="00465046" w14:paraId="3A267792" w14:textId="77777777" w:rsidTr="002C554B">
        <w:trPr>
          <w:trHeight w:val="457"/>
        </w:trPr>
        <w:tc>
          <w:tcPr>
            <w:tcW w:w="1363" w:type="pct"/>
            <w:tcBorders>
              <w:top w:val="single" w:sz="4" w:space="0" w:color="000000"/>
              <w:left w:val="single" w:sz="4" w:space="0" w:color="000000"/>
              <w:bottom w:val="single" w:sz="4" w:space="0" w:color="000000"/>
              <w:right w:val="single" w:sz="4" w:space="0" w:color="000000"/>
            </w:tcBorders>
            <w:hideMark/>
          </w:tcPr>
          <w:p w14:paraId="3F440054"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b/>
                <w:color w:val="000000"/>
                <w:sz w:val="24"/>
                <w:szCs w:val="24"/>
              </w:rPr>
            </w:pPr>
            <w:r w:rsidRPr="00465046">
              <w:rPr>
                <w:rFonts w:ascii="Times New Roman" w:eastAsia="Times New Roman" w:hAnsi="Times New Roman"/>
                <w:b/>
                <w:color w:val="000000"/>
                <w:sz w:val="24"/>
                <w:szCs w:val="24"/>
              </w:rPr>
              <w:t>Gentamicin (5µg/ml)</w:t>
            </w:r>
          </w:p>
        </w:tc>
        <w:tc>
          <w:tcPr>
            <w:tcW w:w="1364" w:type="pct"/>
            <w:tcBorders>
              <w:top w:val="single" w:sz="4" w:space="0" w:color="000000"/>
              <w:left w:val="single" w:sz="4" w:space="0" w:color="000000"/>
              <w:bottom w:val="single" w:sz="4" w:space="0" w:color="000000"/>
              <w:right w:val="single" w:sz="4" w:space="0" w:color="000000"/>
            </w:tcBorders>
            <w:hideMark/>
          </w:tcPr>
          <w:p w14:paraId="2ECD6557"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22.6±0.05</w:t>
            </w:r>
          </w:p>
        </w:tc>
        <w:tc>
          <w:tcPr>
            <w:tcW w:w="1061" w:type="pct"/>
            <w:tcBorders>
              <w:top w:val="single" w:sz="4" w:space="0" w:color="000000"/>
              <w:left w:val="single" w:sz="4" w:space="0" w:color="000000"/>
              <w:bottom w:val="single" w:sz="4" w:space="0" w:color="000000"/>
              <w:right w:val="single" w:sz="4" w:space="0" w:color="000000"/>
            </w:tcBorders>
            <w:hideMark/>
          </w:tcPr>
          <w:p w14:paraId="18B597BE" w14:textId="77777777" w:rsidR="00A02280" w:rsidRPr="00465046" w:rsidRDefault="00A02280" w:rsidP="002C554B">
            <w:pPr>
              <w:widowControl w:val="0"/>
              <w:autoSpaceDE w:val="0"/>
              <w:autoSpaceDN w:val="0"/>
              <w:spacing w:after="0"/>
              <w:ind w:left="109"/>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w:t>
            </w:r>
          </w:p>
        </w:tc>
        <w:tc>
          <w:tcPr>
            <w:tcW w:w="1211" w:type="pct"/>
            <w:tcBorders>
              <w:top w:val="single" w:sz="4" w:space="0" w:color="000000"/>
              <w:left w:val="single" w:sz="4" w:space="0" w:color="000000"/>
              <w:bottom w:val="single" w:sz="4" w:space="0" w:color="000000"/>
              <w:right w:val="single" w:sz="4" w:space="0" w:color="000000"/>
            </w:tcBorders>
            <w:hideMark/>
          </w:tcPr>
          <w:p w14:paraId="098B2566" w14:textId="77777777" w:rsidR="00A02280" w:rsidRPr="00465046" w:rsidRDefault="00A02280" w:rsidP="002C554B">
            <w:pPr>
              <w:widowControl w:val="0"/>
              <w:autoSpaceDE w:val="0"/>
              <w:autoSpaceDN w:val="0"/>
              <w:spacing w:after="0"/>
              <w:ind w:left="107"/>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w:t>
            </w:r>
          </w:p>
        </w:tc>
      </w:tr>
      <w:tr w:rsidR="00A02280" w:rsidRPr="00465046" w14:paraId="399F8B23" w14:textId="77777777" w:rsidTr="002C554B">
        <w:trPr>
          <w:trHeight w:val="457"/>
        </w:trPr>
        <w:tc>
          <w:tcPr>
            <w:tcW w:w="1363" w:type="pct"/>
            <w:tcBorders>
              <w:top w:val="single" w:sz="4" w:space="0" w:color="000000"/>
              <w:left w:val="single" w:sz="4" w:space="0" w:color="000000"/>
              <w:bottom w:val="single" w:sz="4" w:space="0" w:color="000000"/>
              <w:right w:val="single" w:sz="4" w:space="0" w:color="000000"/>
            </w:tcBorders>
            <w:hideMark/>
          </w:tcPr>
          <w:p w14:paraId="70C5FABF"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b/>
                <w:color w:val="000000"/>
                <w:sz w:val="24"/>
                <w:szCs w:val="24"/>
              </w:rPr>
            </w:pPr>
            <w:r w:rsidRPr="00465046">
              <w:rPr>
                <w:rFonts w:ascii="Times New Roman" w:eastAsia="Times New Roman" w:hAnsi="Times New Roman"/>
                <w:b/>
                <w:color w:val="000000"/>
                <w:sz w:val="24"/>
                <w:szCs w:val="24"/>
              </w:rPr>
              <w:lastRenderedPageBreak/>
              <w:t>Nystatin (5µg/ml)</w:t>
            </w:r>
          </w:p>
        </w:tc>
        <w:tc>
          <w:tcPr>
            <w:tcW w:w="1364" w:type="pct"/>
            <w:tcBorders>
              <w:top w:val="single" w:sz="4" w:space="0" w:color="000000"/>
              <w:left w:val="single" w:sz="4" w:space="0" w:color="000000"/>
              <w:bottom w:val="single" w:sz="4" w:space="0" w:color="000000"/>
              <w:right w:val="single" w:sz="4" w:space="0" w:color="000000"/>
            </w:tcBorders>
            <w:hideMark/>
          </w:tcPr>
          <w:p w14:paraId="76316200"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w:t>
            </w:r>
          </w:p>
        </w:tc>
        <w:tc>
          <w:tcPr>
            <w:tcW w:w="1061" w:type="pct"/>
            <w:tcBorders>
              <w:top w:val="single" w:sz="4" w:space="0" w:color="000000"/>
              <w:left w:val="single" w:sz="4" w:space="0" w:color="000000"/>
              <w:bottom w:val="single" w:sz="4" w:space="0" w:color="000000"/>
              <w:right w:val="single" w:sz="4" w:space="0" w:color="000000"/>
            </w:tcBorders>
            <w:hideMark/>
          </w:tcPr>
          <w:p w14:paraId="5F899A80" w14:textId="77777777" w:rsidR="00A02280" w:rsidRPr="00465046" w:rsidRDefault="00A02280" w:rsidP="002C554B">
            <w:pPr>
              <w:widowControl w:val="0"/>
              <w:autoSpaceDE w:val="0"/>
              <w:autoSpaceDN w:val="0"/>
              <w:spacing w:after="0"/>
              <w:ind w:left="109"/>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w:t>
            </w:r>
          </w:p>
        </w:tc>
        <w:tc>
          <w:tcPr>
            <w:tcW w:w="1211" w:type="pct"/>
            <w:tcBorders>
              <w:top w:val="single" w:sz="4" w:space="0" w:color="000000"/>
              <w:left w:val="single" w:sz="4" w:space="0" w:color="000000"/>
              <w:bottom w:val="single" w:sz="4" w:space="0" w:color="000000"/>
              <w:right w:val="single" w:sz="4" w:space="0" w:color="000000"/>
            </w:tcBorders>
            <w:hideMark/>
          </w:tcPr>
          <w:p w14:paraId="3CF90E1F" w14:textId="77777777" w:rsidR="00A02280" w:rsidRPr="00465046" w:rsidRDefault="00A02280" w:rsidP="002C554B">
            <w:pPr>
              <w:widowControl w:val="0"/>
              <w:autoSpaceDE w:val="0"/>
              <w:autoSpaceDN w:val="0"/>
              <w:spacing w:after="0"/>
              <w:ind w:left="107"/>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21.4±0.10</w:t>
            </w:r>
          </w:p>
        </w:tc>
      </w:tr>
    </w:tbl>
    <w:p w14:paraId="50E4F10B" w14:textId="5C228588" w:rsidR="005A5C5A" w:rsidRPr="00E37EA2" w:rsidRDefault="00A02280" w:rsidP="0008082E">
      <w:pPr>
        <w:spacing w:before="120" w:after="120" w:line="480" w:lineRule="auto"/>
        <w:jc w:val="both"/>
        <w:rPr>
          <w:rFonts w:ascii="Times New Roman" w:hAnsi="Times New Roman"/>
          <w:color w:val="000000" w:themeColor="text1"/>
          <w:sz w:val="24"/>
          <w:szCs w:val="24"/>
        </w:rPr>
      </w:pPr>
      <w:r>
        <w:rPr>
          <w:noProof/>
        </w:rPr>
        <w:drawing>
          <wp:inline distT="0" distB="0" distL="0" distR="0" wp14:anchorId="336997C9" wp14:editId="44054ECE">
            <wp:extent cx="5943600" cy="2369820"/>
            <wp:effectExtent l="0" t="0" r="0" b="0"/>
            <wp:docPr id="339512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369820"/>
                    </a:xfrm>
                    <a:prstGeom prst="rect">
                      <a:avLst/>
                    </a:prstGeom>
                    <a:noFill/>
                    <a:ln>
                      <a:noFill/>
                    </a:ln>
                  </pic:spPr>
                </pic:pic>
              </a:graphicData>
            </a:graphic>
          </wp:inline>
        </w:drawing>
      </w:r>
    </w:p>
    <w:p w14:paraId="6EE97D22" w14:textId="3F3BDBEF" w:rsidR="004834A2" w:rsidRPr="00934BC2" w:rsidRDefault="00E50D65" w:rsidP="00934BC2">
      <w:pPr>
        <w:widowControl w:val="0"/>
        <w:autoSpaceDE w:val="0"/>
        <w:autoSpaceDN w:val="0"/>
        <w:spacing w:after="0" w:line="360" w:lineRule="auto"/>
        <w:ind w:right="275"/>
        <w:jc w:val="both"/>
        <w:rPr>
          <w:rFonts w:ascii="Times New Roman" w:eastAsia="Times New Roman" w:hAnsi="Times New Roman"/>
          <w:b/>
          <w:i/>
          <w:color w:val="000000"/>
          <w:sz w:val="24"/>
          <w:szCs w:val="24"/>
        </w:rPr>
      </w:pPr>
      <w:r w:rsidRPr="00E37EA2">
        <w:rPr>
          <w:rFonts w:ascii="Times New Roman" w:hAnsi="Times New Roman"/>
          <w:b/>
          <w:color w:val="000000" w:themeColor="text1"/>
          <w:sz w:val="24"/>
          <w:szCs w:val="24"/>
        </w:rPr>
        <w:t>Figure</w:t>
      </w:r>
      <w:r w:rsidR="007017D9" w:rsidRPr="00E37EA2">
        <w:rPr>
          <w:rFonts w:ascii="Times New Roman" w:hAnsi="Times New Roman"/>
          <w:b/>
          <w:color w:val="000000" w:themeColor="text1"/>
          <w:sz w:val="24"/>
          <w:szCs w:val="24"/>
        </w:rPr>
        <w:t xml:space="preserve"> </w:t>
      </w:r>
      <w:r w:rsidR="001C3C56">
        <w:rPr>
          <w:rFonts w:ascii="Times New Roman" w:hAnsi="Times New Roman"/>
          <w:b/>
          <w:color w:val="000000" w:themeColor="text1"/>
          <w:sz w:val="24"/>
          <w:szCs w:val="24"/>
        </w:rPr>
        <w:t xml:space="preserve">9 </w:t>
      </w:r>
      <w:r w:rsidRPr="00E37EA2">
        <w:rPr>
          <w:rFonts w:ascii="Times New Roman" w:hAnsi="Times New Roman"/>
          <w:b/>
          <w:color w:val="000000" w:themeColor="text1"/>
          <w:sz w:val="24"/>
          <w:szCs w:val="24"/>
        </w:rPr>
        <w:t>a</w:t>
      </w:r>
      <w:r w:rsidR="00B5164E">
        <w:rPr>
          <w:rFonts w:ascii="Times New Roman" w:hAnsi="Times New Roman"/>
          <w:b/>
          <w:color w:val="000000" w:themeColor="text1"/>
          <w:sz w:val="24"/>
          <w:szCs w:val="24"/>
        </w:rPr>
        <w:t>)</w:t>
      </w:r>
      <w:r w:rsidRPr="00E37EA2">
        <w:rPr>
          <w:rFonts w:ascii="Times New Roman" w:hAnsi="Times New Roman"/>
          <w:b/>
          <w:color w:val="000000" w:themeColor="text1"/>
          <w:sz w:val="24"/>
          <w:szCs w:val="24"/>
        </w:rPr>
        <w:t xml:space="preserve">: </w:t>
      </w:r>
      <w:r w:rsidRPr="00E37EA2">
        <w:rPr>
          <w:rFonts w:ascii="Times New Roman" w:hAnsi="Times New Roman"/>
          <w:color w:val="000000" w:themeColor="text1"/>
          <w:sz w:val="24"/>
          <w:szCs w:val="24"/>
        </w:rPr>
        <w:t>Zone of inhibition of placebo gel, suspension gel and SHK loaded gel against common pathogens</w:t>
      </w:r>
      <w:r w:rsidR="001D206A">
        <w:rPr>
          <w:rFonts w:ascii="Times New Roman" w:hAnsi="Times New Roman"/>
          <w:color w:val="000000" w:themeColor="text1"/>
          <w:sz w:val="24"/>
          <w:szCs w:val="24"/>
        </w:rPr>
        <w:t xml:space="preserve"> </w:t>
      </w:r>
      <w:r w:rsidR="001D206A">
        <w:rPr>
          <w:rFonts w:ascii="Times New Roman" w:hAnsi="Times New Roman"/>
          <w:b/>
          <w:bCs/>
          <w:color w:val="000000" w:themeColor="text1"/>
          <w:sz w:val="24"/>
          <w:szCs w:val="24"/>
        </w:rPr>
        <w:t xml:space="preserve">A) </w:t>
      </w:r>
      <w:r w:rsidR="001D206A" w:rsidRPr="001D206A">
        <w:rPr>
          <w:rFonts w:ascii="Times New Roman" w:eastAsia="Times New Roman" w:hAnsi="Times New Roman"/>
          <w:bCs/>
          <w:i/>
          <w:color w:val="000000"/>
          <w:spacing w:val="-1"/>
          <w:sz w:val="24"/>
          <w:szCs w:val="24"/>
        </w:rPr>
        <w:t>Staphylococcus</w:t>
      </w:r>
      <w:r w:rsidR="001D206A" w:rsidRPr="001D206A">
        <w:rPr>
          <w:rFonts w:ascii="Times New Roman" w:eastAsia="Times New Roman" w:hAnsi="Times New Roman"/>
          <w:bCs/>
          <w:i/>
          <w:color w:val="000000"/>
          <w:spacing w:val="-57"/>
          <w:sz w:val="24"/>
          <w:szCs w:val="24"/>
        </w:rPr>
        <w:t xml:space="preserve">               </w:t>
      </w:r>
      <w:r w:rsidR="001D206A" w:rsidRPr="001D206A">
        <w:rPr>
          <w:rFonts w:ascii="Times New Roman" w:eastAsia="Times New Roman" w:hAnsi="Times New Roman"/>
          <w:bCs/>
          <w:i/>
          <w:color w:val="000000"/>
          <w:sz w:val="24"/>
          <w:szCs w:val="24"/>
        </w:rPr>
        <w:t>aureus</w:t>
      </w:r>
      <w:r w:rsidR="001D206A">
        <w:rPr>
          <w:rFonts w:ascii="Times New Roman" w:hAnsi="Times New Roman"/>
          <w:b/>
          <w:bCs/>
          <w:color w:val="000000" w:themeColor="text1"/>
          <w:sz w:val="24"/>
          <w:szCs w:val="24"/>
        </w:rPr>
        <w:t xml:space="preserve">   B) </w:t>
      </w:r>
      <w:r w:rsidR="001D206A" w:rsidRPr="001D206A">
        <w:rPr>
          <w:rFonts w:ascii="Times New Roman" w:eastAsia="Times New Roman" w:hAnsi="Times New Roman"/>
          <w:bCs/>
          <w:i/>
          <w:color w:val="000000"/>
          <w:spacing w:val="-1"/>
          <w:sz w:val="24"/>
          <w:szCs w:val="24"/>
        </w:rPr>
        <w:t>Escherichia</w:t>
      </w:r>
      <w:r w:rsidR="001D206A" w:rsidRPr="001D206A">
        <w:rPr>
          <w:rFonts w:ascii="Times New Roman" w:eastAsia="Times New Roman" w:hAnsi="Times New Roman"/>
          <w:bCs/>
          <w:i/>
          <w:color w:val="000000"/>
          <w:spacing w:val="-57"/>
          <w:sz w:val="24"/>
          <w:szCs w:val="24"/>
        </w:rPr>
        <w:t xml:space="preserve">                     </w:t>
      </w:r>
      <w:r w:rsidR="001D206A" w:rsidRPr="001D206A">
        <w:rPr>
          <w:rFonts w:ascii="Times New Roman" w:eastAsia="Times New Roman" w:hAnsi="Times New Roman"/>
          <w:bCs/>
          <w:i/>
          <w:color w:val="000000"/>
          <w:sz w:val="24"/>
          <w:szCs w:val="24"/>
        </w:rPr>
        <w:t>coli</w:t>
      </w:r>
      <w:r w:rsidR="001D206A">
        <w:rPr>
          <w:rFonts w:ascii="Times New Roman" w:hAnsi="Times New Roman"/>
          <w:b/>
          <w:bCs/>
          <w:color w:val="000000" w:themeColor="text1"/>
          <w:sz w:val="24"/>
          <w:szCs w:val="24"/>
        </w:rPr>
        <w:t xml:space="preserve">   C)</w:t>
      </w:r>
      <w:r w:rsidRPr="00E37EA2">
        <w:rPr>
          <w:rFonts w:ascii="Times New Roman" w:hAnsi="Times New Roman"/>
          <w:color w:val="000000" w:themeColor="text1"/>
          <w:sz w:val="24"/>
          <w:szCs w:val="24"/>
        </w:rPr>
        <w:t xml:space="preserve"> </w:t>
      </w:r>
      <w:r w:rsidR="001D206A" w:rsidRPr="001D206A">
        <w:rPr>
          <w:rFonts w:ascii="Times New Roman" w:eastAsia="Times New Roman" w:hAnsi="Times New Roman"/>
          <w:bCs/>
          <w:i/>
          <w:color w:val="000000"/>
          <w:sz w:val="24"/>
          <w:szCs w:val="24"/>
        </w:rPr>
        <w:t>Candida</w:t>
      </w:r>
      <w:r w:rsidR="001D206A" w:rsidRPr="001D206A">
        <w:rPr>
          <w:rFonts w:ascii="Times New Roman" w:eastAsia="Times New Roman" w:hAnsi="Times New Roman"/>
          <w:bCs/>
          <w:i/>
          <w:color w:val="000000"/>
          <w:spacing w:val="-57"/>
          <w:sz w:val="24"/>
          <w:szCs w:val="24"/>
        </w:rPr>
        <w:t xml:space="preserve">                    </w:t>
      </w:r>
      <w:r w:rsidR="001D206A" w:rsidRPr="001D206A">
        <w:rPr>
          <w:rFonts w:ascii="Times New Roman" w:eastAsia="Times New Roman" w:hAnsi="Times New Roman"/>
          <w:bCs/>
          <w:i/>
          <w:color w:val="000000"/>
          <w:sz w:val="24"/>
          <w:szCs w:val="24"/>
        </w:rPr>
        <w:t>albicans</w:t>
      </w:r>
      <w:r w:rsidR="00934BC2">
        <w:rPr>
          <w:rFonts w:ascii="Times New Roman" w:eastAsia="Times New Roman" w:hAnsi="Times New Roman"/>
          <w:b/>
          <w:i/>
          <w:color w:val="000000"/>
          <w:sz w:val="24"/>
          <w:szCs w:val="24"/>
        </w:rPr>
        <w:t xml:space="preserve"> </w:t>
      </w:r>
      <w:r w:rsidRPr="00E37EA2">
        <w:rPr>
          <w:rFonts w:ascii="Times New Roman" w:hAnsi="Times New Roman"/>
          <w:b/>
          <w:color w:val="000000" w:themeColor="text1"/>
          <w:sz w:val="24"/>
          <w:szCs w:val="24"/>
        </w:rPr>
        <w:t>b</w:t>
      </w:r>
      <w:r w:rsidR="00B5164E">
        <w:rPr>
          <w:rFonts w:ascii="Times New Roman" w:hAnsi="Times New Roman"/>
          <w:b/>
          <w:color w:val="000000" w:themeColor="text1"/>
          <w:sz w:val="24"/>
          <w:szCs w:val="24"/>
        </w:rPr>
        <w:t>)</w:t>
      </w:r>
      <w:r w:rsidRPr="00E37EA2">
        <w:rPr>
          <w:rFonts w:ascii="Times New Roman" w:hAnsi="Times New Roman"/>
          <w:b/>
          <w:color w:val="000000" w:themeColor="text1"/>
          <w:sz w:val="24"/>
          <w:szCs w:val="24"/>
        </w:rPr>
        <w:t xml:space="preserve">: </w:t>
      </w:r>
      <w:r w:rsidRPr="00E37EA2">
        <w:rPr>
          <w:rFonts w:ascii="Times New Roman" w:hAnsi="Times New Roman"/>
          <w:color w:val="000000" w:themeColor="text1"/>
          <w:sz w:val="24"/>
          <w:szCs w:val="24"/>
        </w:rPr>
        <w:t>Graph representing % activity of SHK loaded Microsponges based gel against common pathogen</w:t>
      </w:r>
    </w:p>
    <w:p w14:paraId="7A1218F1" w14:textId="60C489DB" w:rsidR="004834A2" w:rsidRPr="00E37EA2" w:rsidRDefault="004834A2"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 xml:space="preserve">4. Discussion </w:t>
      </w:r>
    </w:p>
    <w:p w14:paraId="2353DC46" w14:textId="3731CDB0" w:rsidR="004834A2" w:rsidRPr="00E37EA2" w:rsidRDefault="004834A2"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Phytoconstituents derived from Lithospermum family are often tormented by an issue of photostability. </w:t>
      </w:r>
      <w:proofErr w:type="spellStart"/>
      <w:r w:rsidRPr="00E37EA2">
        <w:rPr>
          <w:rFonts w:ascii="Times New Roman" w:hAnsi="Times New Roman"/>
          <w:color w:val="000000" w:themeColor="text1"/>
          <w:sz w:val="24"/>
          <w:szCs w:val="24"/>
        </w:rPr>
        <w:t>Micropsponge</w:t>
      </w:r>
      <w:proofErr w:type="spellEnd"/>
      <w:r w:rsidRPr="00E37EA2">
        <w:rPr>
          <w:rFonts w:ascii="Times New Roman" w:hAnsi="Times New Roman"/>
          <w:color w:val="000000" w:themeColor="text1"/>
          <w:sz w:val="24"/>
          <w:szCs w:val="24"/>
        </w:rPr>
        <w:t xml:space="preserve"> technology seems to bastion these constituents and aid in their successful delivery at the desired location. Hence, upon successful isolation and confirmation by sophisticated techniques, photosensitive SHK </w:t>
      </w:r>
      <w:r w:rsidR="005717CC" w:rsidRPr="00E37EA2">
        <w:rPr>
          <w:rFonts w:ascii="Times New Roman" w:hAnsi="Times New Roman"/>
          <w:color w:val="000000" w:themeColor="text1"/>
          <w:sz w:val="24"/>
          <w:szCs w:val="24"/>
        </w:rPr>
        <w:t>was loaded</w:t>
      </w:r>
      <w:r w:rsidRPr="00E37EA2">
        <w:rPr>
          <w:rFonts w:ascii="Times New Roman" w:hAnsi="Times New Roman"/>
          <w:color w:val="000000" w:themeColor="text1"/>
          <w:sz w:val="24"/>
          <w:szCs w:val="24"/>
        </w:rPr>
        <w:t xml:space="preserve"> into microsponges prepared using ethyl cellulose as polymer and dichloromethane: methanol (5:1) as solvent. The proposed mechanism of </w:t>
      </w:r>
      <w:proofErr w:type="spellStart"/>
      <w:r w:rsidRPr="00E37EA2">
        <w:rPr>
          <w:rFonts w:ascii="Times New Roman" w:hAnsi="Times New Roman"/>
          <w:color w:val="000000" w:themeColor="text1"/>
          <w:sz w:val="24"/>
          <w:szCs w:val="24"/>
        </w:rPr>
        <w:t>microsponge</w:t>
      </w:r>
      <w:proofErr w:type="spellEnd"/>
      <w:r w:rsidRPr="00E37EA2">
        <w:rPr>
          <w:rFonts w:ascii="Times New Roman" w:hAnsi="Times New Roman"/>
          <w:color w:val="000000" w:themeColor="text1"/>
          <w:sz w:val="24"/>
          <w:szCs w:val="24"/>
        </w:rPr>
        <w:t xml:space="preserve"> formation highlights that upon addition of internal phase to external phase, the instant mixing of DCM: methanol and water at the interface of the droplets induced precipitation of ethyl cellulose forming a shell enclosing SHK and organic solvents. Further, the counter diffusion of organic solvents and water induces precipitation of SHK into the core of solidified microsponges.</w:t>
      </w:r>
    </w:p>
    <w:p w14:paraId="7ACE8B57" w14:textId="75A54310" w:rsidR="004834A2" w:rsidRPr="00E37EA2" w:rsidRDefault="004834A2"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lastRenderedPageBreak/>
        <w:t xml:space="preserve">Characterization of prepared </w:t>
      </w:r>
      <w:proofErr w:type="spellStart"/>
      <w:r w:rsidRPr="00E37EA2">
        <w:rPr>
          <w:rFonts w:ascii="Times New Roman" w:hAnsi="Times New Roman"/>
          <w:color w:val="000000" w:themeColor="text1"/>
          <w:sz w:val="24"/>
          <w:szCs w:val="24"/>
        </w:rPr>
        <w:t>microsponge</w:t>
      </w:r>
      <w:proofErr w:type="spellEnd"/>
      <w:r w:rsidRPr="00E37EA2">
        <w:rPr>
          <w:rFonts w:ascii="Times New Roman" w:hAnsi="Times New Roman"/>
          <w:color w:val="000000" w:themeColor="text1"/>
          <w:sz w:val="24"/>
          <w:szCs w:val="24"/>
        </w:rPr>
        <w:t xml:space="preserve"> system reveals particle size of microsponges to be directly proportional to the apparent viscosity of dispersed phase. Furthermore, larger the difference between apparent viscosity of internal and external phase with higher viscosity of the internal phase, the globules of the formed emulsion </w:t>
      </w:r>
      <w:r w:rsidR="00FC1546" w:rsidRPr="00E37EA2">
        <w:rPr>
          <w:rFonts w:ascii="Times New Roman" w:hAnsi="Times New Roman"/>
          <w:color w:val="000000" w:themeColor="text1"/>
          <w:sz w:val="24"/>
          <w:szCs w:val="24"/>
        </w:rPr>
        <w:t>led</w:t>
      </w:r>
      <w:r w:rsidRPr="00E37EA2">
        <w:rPr>
          <w:rFonts w:ascii="Times New Roman" w:hAnsi="Times New Roman"/>
          <w:color w:val="000000" w:themeColor="text1"/>
          <w:sz w:val="24"/>
          <w:szCs w:val="24"/>
        </w:rPr>
        <w:t xml:space="preserve"> to formation of bigger droplets. Higher values of z-potential specify high electric charge on the surface aggregation of the microsponges which develops strong repellent forces between particles thereby preventing of the particles. Furthermore, it was noticed that blank microsponges had lower zeta-potential values than SHK loaded microsponges. The presence of SHK in microsponges tends to increase zeta potential values indicating that drug loading leads </w:t>
      </w:r>
      <w:r w:rsidR="005717CC" w:rsidRPr="00E37EA2">
        <w:rPr>
          <w:rFonts w:ascii="Times New Roman" w:hAnsi="Times New Roman"/>
          <w:color w:val="000000" w:themeColor="text1"/>
          <w:sz w:val="24"/>
          <w:szCs w:val="24"/>
        </w:rPr>
        <w:t>to significant</w:t>
      </w:r>
      <w:r w:rsidRPr="00E37EA2">
        <w:rPr>
          <w:rFonts w:ascii="Times New Roman" w:hAnsi="Times New Roman"/>
          <w:color w:val="000000" w:themeColor="text1"/>
          <w:sz w:val="24"/>
          <w:szCs w:val="24"/>
        </w:rPr>
        <w:t xml:space="preserve"> changes in the orientation and surface structure of particles. In addition, the negative value of zeta potential indicates the stability of microsponges against aggregation potential. Additionally, FTIR spectra analysis depicted absence </w:t>
      </w:r>
      <w:r w:rsidR="00756C65" w:rsidRPr="00E37EA2">
        <w:rPr>
          <w:rFonts w:ascii="Times New Roman" w:hAnsi="Times New Roman"/>
          <w:color w:val="000000" w:themeColor="text1"/>
          <w:sz w:val="24"/>
          <w:szCs w:val="24"/>
        </w:rPr>
        <w:t>of new</w:t>
      </w:r>
      <w:r w:rsidRPr="00E37EA2">
        <w:rPr>
          <w:rFonts w:ascii="Times New Roman" w:hAnsi="Times New Roman"/>
          <w:color w:val="000000" w:themeColor="text1"/>
          <w:sz w:val="24"/>
          <w:szCs w:val="24"/>
        </w:rPr>
        <w:t xml:space="preserve"> peak, or disappearance of existing peaks thereby eliminating probability of any chemical interaction between drug and excipients (F</w:t>
      </w:r>
      <w:r w:rsidR="00756C65" w:rsidRPr="00E37EA2">
        <w:rPr>
          <w:rFonts w:ascii="Times New Roman" w:hAnsi="Times New Roman"/>
          <w:color w:val="000000" w:themeColor="text1"/>
          <w:sz w:val="24"/>
          <w:szCs w:val="24"/>
        </w:rPr>
        <w:t xml:space="preserve">igure </w:t>
      </w:r>
      <w:r w:rsidR="00B843E4">
        <w:rPr>
          <w:rFonts w:ascii="Times New Roman" w:hAnsi="Times New Roman"/>
          <w:color w:val="000000" w:themeColor="text1"/>
          <w:sz w:val="24"/>
          <w:szCs w:val="24"/>
        </w:rPr>
        <w:t>5</w:t>
      </w:r>
      <w:r w:rsidRPr="00E37EA2">
        <w:rPr>
          <w:rFonts w:ascii="Times New Roman" w:hAnsi="Times New Roman"/>
          <w:color w:val="000000" w:themeColor="text1"/>
          <w:sz w:val="24"/>
          <w:szCs w:val="24"/>
        </w:rPr>
        <w:t>). Hence, the study indicated that SHK was compatible with excipients as well as confirming the encapsulation and stability of SHK in the prepared porous microsponges.</w:t>
      </w:r>
      <w:r w:rsidR="005F6919">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 xml:space="preserve">Surface topography of microsponges contained tiny pores which were induced by diffusion of volatile solvent from core to the surface of microsponges. However, no sharp peaks were detected in SHK loaded microsponges which confirmed transformation of SHK into amorphous form due to complete pore confinement and entanglement with the polymer matrix. Diameter of </w:t>
      </w:r>
      <w:proofErr w:type="spellStart"/>
      <w:r w:rsidRPr="00E37EA2">
        <w:rPr>
          <w:rFonts w:ascii="Times New Roman" w:hAnsi="Times New Roman"/>
          <w:color w:val="000000" w:themeColor="text1"/>
          <w:sz w:val="24"/>
          <w:szCs w:val="24"/>
        </w:rPr>
        <w:t>microsponge</w:t>
      </w:r>
      <w:proofErr w:type="spellEnd"/>
      <w:r w:rsidRPr="00E37EA2">
        <w:rPr>
          <w:rFonts w:ascii="Times New Roman" w:hAnsi="Times New Roman"/>
          <w:color w:val="000000" w:themeColor="text1"/>
          <w:sz w:val="24"/>
          <w:szCs w:val="24"/>
        </w:rPr>
        <w:t xml:space="preserve"> is attributable to encapsulation of SHK within the pores of microsponges. Entrapment Efficiency was found to not only depend on the SHK-ethyl cellulose interactions but was also influenced by the diffusion rate and further evaporation of the solvent (DCM and methanol) which caused precipitation and further entrapment of drug. The reduction in intensity of SHK indicated photolysis of pure Shikonin as seen during the photostability studies. </w:t>
      </w:r>
      <w:r w:rsidRPr="00E37EA2">
        <w:rPr>
          <w:rFonts w:ascii="Times New Roman" w:hAnsi="Times New Roman"/>
          <w:color w:val="000000" w:themeColor="text1"/>
          <w:sz w:val="24"/>
          <w:szCs w:val="24"/>
        </w:rPr>
        <w:lastRenderedPageBreak/>
        <w:t>Underlying mechanism of photo-oxidation has been postulated as addition of molecular oxygen at C-13 position and subsequent detachment of allylic hydroperoxide (Schenck reaction) which further undergoes chemical degradation</w:t>
      </w:r>
      <w:r w:rsidR="00F87D02">
        <w:rPr>
          <w:rFonts w:ascii="Times New Roman" w:hAnsi="Times New Roman"/>
          <w:color w:val="000000" w:themeColor="text1"/>
          <w:sz w:val="24"/>
          <w:szCs w:val="24"/>
        </w:rPr>
        <w:t xml:space="preserve"> (Cheng et al., 1995).</w:t>
      </w:r>
      <w:r w:rsidR="00F87D02" w:rsidRPr="00E37EA2">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Results of photodegradation studies ascertained that SHK loaded microsponges were more photostable than pure SHK which could be attributed to its effective encapsulation within the microsponges.</w:t>
      </w:r>
      <w:r w:rsidR="004557EA">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Further, incorporation of the microsponges in the chitosan gel helped in obtaining a suitable product for application with better spreadibility, extrud</w:t>
      </w:r>
      <w:r w:rsidR="005717CC" w:rsidRPr="00E37EA2">
        <w:rPr>
          <w:rFonts w:ascii="Times New Roman" w:hAnsi="Times New Roman"/>
          <w:color w:val="000000" w:themeColor="text1"/>
          <w:sz w:val="24"/>
          <w:szCs w:val="24"/>
        </w:rPr>
        <w:t>a</w:t>
      </w:r>
      <w:r w:rsidRPr="00E37EA2">
        <w:rPr>
          <w:rFonts w:ascii="Times New Roman" w:hAnsi="Times New Roman"/>
          <w:color w:val="000000" w:themeColor="text1"/>
          <w:sz w:val="24"/>
          <w:szCs w:val="24"/>
        </w:rPr>
        <w:t>bility and occlusivity indicating its property of retaining hydration in skin thereby preventing adverse drug reactions such as itching, dryness etc. In-vitro anti-microbial analysis further proved microsponges based gel to be an effective system against burn pathogens attributable to synergistic effect of chitosan as well as SHK loaded potent fraction with excellent anti-microbial potential.</w:t>
      </w:r>
    </w:p>
    <w:p w14:paraId="120D8E6B" w14:textId="15230048" w:rsidR="00E50D65" w:rsidRPr="00E37EA2" w:rsidRDefault="00E50D65"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5. Conclusion</w:t>
      </w:r>
    </w:p>
    <w:p w14:paraId="3564170E" w14:textId="656009C6" w:rsidR="002C3D8B" w:rsidRPr="0041154A" w:rsidRDefault="00E50D65" w:rsidP="007E42F3">
      <w:pPr>
        <w:spacing w:before="120" w:after="120" w:line="480" w:lineRule="auto"/>
        <w:jc w:val="both"/>
        <w:rPr>
          <w:rFonts w:ascii="Times New Roman" w:hAnsi="Times New Roman"/>
          <w:b/>
          <w:color w:val="000000" w:themeColor="text1"/>
          <w:sz w:val="24"/>
          <w:szCs w:val="24"/>
        </w:rPr>
      </w:pPr>
      <w:r w:rsidRPr="00E37EA2">
        <w:rPr>
          <w:rFonts w:ascii="Times New Roman" w:hAnsi="Times New Roman"/>
          <w:color w:val="000000" w:themeColor="text1"/>
          <w:sz w:val="24"/>
          <w:szCs w:val="24"/>
        </w:rPr>
        <w:t xml:space="preserve">Microsponges based delivery system has been investigated as one of the key technologies displaying a strong rationale in order to enhance the therapeutic performance of active moieties, with improved patient compliance. In the present study, we described the preparation and successful optimization of SHK loaded cellulosic microsponges gel and assessment of its anti-microbial activity against common pathogens, conferring its ability to treat microbial infections in the near future. Photostability studies of prepared microsponges system reveals microsponges to become a new burgeoning drug delivery matrix for SHK holding promise as a novel and efficient delivery system to treat several microbial infections caused by drug resistant pathogens consequently protecting it from photodegradation. Effective encapsulation of SHK into the microsponges with no possible interaction has helped in masking the shortcomings associated with this compound. We envision that the versatility of this developed system could open new frontiers </w:t>
      </w:r>
      <w:r w:rsidRPr="00E37EA2">
        <w:rPr>
          <w:rFonts w:ascii="Times New Roman" w:hAnsi="Times New Roman"/>
          <w:color w:val="000000" w:themeColor="text1"/>
          <w:sz w:val="24"/>
          <w:szCs w:val="24"/>
        </w:rPr>
        <w:lastRenderedPageBreak/>
        <w:t>and provide promising and excellent opportunities for broad application in myriad fields to treat microbial infections.</w:t>
      </w:r>
      <w:r w:rsidRPr="00E37EA2">
        <w:rPr>
          <w:rFonts w:ascii="Times New Roman" w:hAnsi="Times New Roman"/>
          <w:b/>
          <w:color w:val="000000" w:themeColor="text1"/>
          <w:sz w:val="24"/>
          <w:szCs w:val="24"/>
        </w:rPr>
        <w:t xml:space="preserve"> </w:t>
      </w:r>
    </w:p>
    <w:p w14:paraId="00EA7743" w14:textId="3C8E2D13" w:rsidR="00A20278" w:rsidRPr="00340A77" w:rsidRDefault="00A20278" w:rsidP="007E42F3">
      <w:pPr>
        <w:spacing w:before="120" w:after="120" w:line="480" w:lineRule="auto"/>
        <w:jc w:val="both"/>
        <w:rPr>
          <w:rFonts w:ascii="Times New Roman" w:hAnsi="Times New Roman"/>
          <w:b/>
          <w:bCs/>
          <w:color w:val="333333"/>
          <w:sz w:val="24"/>
          <w:szCs w:val="24"/>
          <w:shd w:val="clear" w:color="auto" w:fill="FFFFFF"/>
        </w:rPr>
      </w:pPr>
      <w:r w:rsidRPr="00AD625B">
        <w:rPr>
          <w:rFonts w:ascii="Times New Roman" w:hAnsi="Times New Roman"/>
          <w:b/>
          <w:bCs/>
          <w:color w:val="333333"/>
          <w:sz w:val="24"/>
          <w:szCs w:val="24"/>
          <w:shd w:val="clear" w:color="auto" w:fill="FFFFFF"/>
        </w:rPr>
        <w:t>Disclaimer (Artificial intelligence)</w:t>
      </w:r>
    </w:p>
    <w:p w14:paraId="5591A742" w14:textId="1A81D422" w:rsidR="00A20278" w:rsidRDefault="00A20278" w:rsidP="007E42F3">
      <w:pPr>
        <w:spacing w:before="120" w:after="120" w:line="480" w:lineRule="auto"/>
        <w:jc w:val="both"/>
        <w:rPr>
          <w:rFonts w:ascii="Times New Roman" w:hAnsi="Times New Roman"/>
          <w:color w:val="333333"/>
          <w:sz w:val="24"/>
          <w:szCs w:val="24"/>
          <w:shd w:val="clear" w:color="auto" w:fill="FFFFFF"/>
        </w:rPr>
      </w:pPr>
      <w:r w:rsidRPr="00A20278">
        <w:rPr>
          <w:rFonts w:ascii="Times New Roman" w:hAnsi="Times New Roman"/>
          <w:color w:val="333333"/>
          <w:sz w:val="24"/>
          <w:szCs w:val="24"/>
          <w:shd w:val="clear" w:color="auto" w:fill="FFFFFF"/>
        </w:rPr>
        <w:t xml:space="preserve">Author(s) hereby </w:t>
      </w:r>
      <w:proofErr w:type="gramStart"/>
      <w:r w:rsidRPr="00A20278">
        <w:rPr>
          <w:rFonts w:ascii="Times New Roman" w:hAnsi="Times New Roman"/>
          <w:color w:val="333333"/>
          <w:sz w:val="24"/>
          <w:szCs w:val="24"/>
          <w:shd w:val="clear" w:color="auto" w:fill="FFFFFF"/>
        </w:rPr>
        <w:t>declare</w:t>
      </w:r>
      <w:proofErr w:type="gramEnd"/>
      <w:r w:rsidRPr="00A20278">
        <w:rPr>
          <w:rFonts w:ascii="Times New Roman" w:hAnsi="Times New Roman"/>
          <w:color w:val="333333"/>
          <w:sz w:val="24"/>
          <w:szCs w:val="24"/>
          <w:shd w:val="clear" w:color="auto" w:fill="FFFFFF"/>
        </w:rPr>
        <w:t xml:space="preserve"> that generative AI technologies such as Large Language Models (ChatGPT, COPILOT, </w:t>
      </w:r>
      <w:proofErr w:type="spellStart"/>
      <w:r w:rsidRPr="00A20278">
        <w:rPr>
          <w:rFonts w:ascii="Times New Roman" w:hAnsi="Times New Roman"/>
          <w:color w:val="333333"/>
          <w:sz w:val="24"/>
          <w:szCs w:val="24"/>
          <w:shd w:val="clear" w:color="auto" w:fill="FFFFFF"/>
        </w:rPr>
        <w:t>etc</w:t>
      </w:r>
      <w:proofErr w:type="spellEnd"/>
      <w:r w:rsidRPr="00A20278">
        <w:rPr>
          <w:rFonts w:ascii="Times New Roman" w:hAnsi="Times New Roman"/>
          <w:color w:val="333333"/>
          <w:sz w:val="24"/>
          <w:szCs w:val="24"/>
          <w:shd w:val="clear" w:color="auto" w:fill="FFFFFF"/>
        </w:rPr>
        <w:t>)</w:t>
      </w:r>
      <w:r>
        <w:rPr>
          <w:rFonts w:ascii="Times New Roman" w:hAnsi="Times New Roman"/>
          <w:color w:val="333333"/>
          <w:sz w:val="24"/>
          <w:szCs w:val="24"/>
          <w:shd w:val="clear" w:color="auto" w:fill="FFFFFF"/>
        </w:rPr>
        <w:t xml:space="preserve"> and</w:t>
      </w:r>
      <w:r w:rsidRPr="00A20278">
        <w:rPr>
          <w:rFonts w:ascii="Times New Roman" w:hAnsi="Times New Roman"/>
          <w:color w:val="333333"/>
          <w:sz w:val="24"/>
          <w:szCs w:val="24"/>
          <w:shd w:val="clear" w:color="auto" w:fill="FFFFFF"/>
        </w:rPr>
        <w:t xml:space="preserve"> text-to-image generators </w:t>
      </w:r>
      <w:r w:rsidR="00AD7757">
        <w:rPr>
          <w:rFonts w:ascii="Times New Roman" w:hAnsi="Times New Roman"/>
          <w:color w:val="333333"/>
          <w:sz w:val="24"/>
          <w:szCs w:val="24"/>
          <w:shd w:val="clear" w:color="auto" w:fill="FFFFFF"/>
        </w:rPr>
        <w:t xml:space="preserve">have not been </w:t>
      </w:r>
      <w:r>
        <w:rPr>
          <w:rFonts w:ascii="Times New Roman" w:hAnsi="Times New Roman"/>
          <w:color w:val="333333"/>
          <w:sz w:val="24"/>
          <w:szCs w:val="24"/>
          <w:shd w:val="clear" w:color="auto" w:fill="FFFFFF"/>
        </w:rPr>
        <w:t>used during writing or editing the manuscript.</w:t>
      </w:r>
    </w:p>
    <w:p w14:paraId="7254C96B" w14:textId="37428E10" w:rsidR="007E42F3" w:rsidRPr="00AD625B" w:rsidRDefault="00340A77" w:rsidP="007E42F3">
      <w:pPr>
        <w:spacing w:line="360" w:lineRule="auto"/>
        <w:jc w:val="both"/>
        <w:rPr>
          <w:rFonts w:ascii="Times New Roman" w:hAnsi="Times New Roman"/>
          <w:b/>
        </w:rPr>
      </w:pPr>
      <w:r w:rsidRPr="00AD625B">
        <w:rPr>
          <w:rFonts w:ascii="Times New Roman" w:hAnsi="Times New Roman"/>
          <w:b/>
        </w:rPr>
        <w:t>Consent</w:t>
      </w:r>
    </w:p>
    <w:p w14:paraId="6206EFC2" w14:textId="26AA7CC7" w:rsidR="007E42F3" w:rsidRPr="00AD625B" w:rsidRDefault="007E42F3" w:rsidP="007E42F3">
      <w:pPr>
        <w:spacing w:line="360" w:lineRule="auto"/>
        <w:jc w:val="both"/>
        <w:rPr>
          <w:rFonts w:ascii="Times New Roman" w:hAnsi="Times New Roman"/>
        </w:rPr>
      </w:pPr>
      <w:r w:rsidRPr="00AD625B">
        <w:rPr>
          <w:rFonts w:ascii="Times New Roman" w:hAnsi="Times New Roman"/>
        </w:rPr>
        <w:t>Not applicable</w:t>
      </w:r>
    </w:p>
    <w:p w14:paraId="70863297" w14:textId="27FF3D6C" w:rsidR="007E42F3" w:rsidRPr="00AD625B" w:rsidRDefault="00340A77" w:rsidP="007E42F3">
      <w:pPr>
        <w:spacing w:before="120" w:after="120" w:line="480" w:lineRule="auto"/>
        <w:jc w:val="both"/>
        <w:rPr>
          <w:rFonts w:ascii="Times New Roman" w:hAnsi="Times New Roman"/>
          <w:b/>
          <w:bCs/>
        </w:rPr>
      </w:pPr>
      <w:r w:rsidRPr="00AD625B">
        <w:rPr>
          <w:rFonts w:ascii="Times New Roman" w:hAnsi="Times New Roman"/>
          <w:b/>
          <w:bCs/>
        </w:rPr>
        <w:t>Ethical Approval</w:t>
      </w:r>
    </w:p>
    <w:p w14:paraId="0B70AE50" w14:textId="773902CA" w:rsidR="007E42F3" w:rsidRDefault="007E42F3" w:rsidP="007E42F3">
      <w:pPr>
        <w:spacing w:before="120" w:after="120" w:line="480" w:lineRule="auto"/>
        <w:jc w:val="both"/>
        <w:rPr>
          <w:rFonts w:ascii="Times New Roman" w:hAnsi="Times New Roman"/>
          <w:bCs/>
        </w:rPr>
      </w:pPr>
      <w:r w:rsidRPr="00AD625B">
        <w:rPr>
          <w:rFonts w:ascii="Times New Roman" w:hAnsi="Times New Roman"/>
          <w:bCs/>
        </w:rPr>
        <w:t>Not applicable</w:t>
      </w:r>
    </w:p>
    <w:p w14:paraId="320AF974" w14:textId="77777777" w:rsidR="00274ADE" w:rsidRDefault="00274ADE" w:rsidP="007E42F3">
      <w:pPr>
        <w:spacing w:before="120" w:after="120" w:line="480" w:lineRule="auto"/>
        <w:jc w:val="both"/>
        <w:rPr>
          <w:rFonts w:ascii="Times New Roman" w:hAnsi="Times New Roman"/>
          <w:bCs/>
        </w:rPr>
      </w:pPr>
    </w:p>
    <w:p w14:paraId="71A2C7AD" w14:textId="77777777" w:rsidR="00274ADE" w:rsidRPr="00C22DD9" w:rsidRDefault="00274ADE" w:rsidP="00274ADE">
      <w:pPr>
        <w:spacing w:before="120" w:after="120"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Abbreviations</w:t>
      </w:r>
    </w:p>
    <w:p w14:paraId="0CD32A44"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Attenuated total reflectance</w:t>
      </w:r>
      <w:r>
        <w:rPr>
          <w:rFonts w:ascii="Times New Roman" w:hAnsi="Times New Roman"/>
          <w:color w:val="000000" w:themeColor="text1"/>
          <w:sz w:val="24"/>
          <w:szCs w:val="24"/>
        </w:rPr>
        <w:t xml:space="preserve"> - </w:t>
      </w:r>
      <w:r w:rsidRPr="00C22DD9">
        <w:rPr>
          <w:rFonts w:ascii="Times New Roman" w:hAnsi="Times New Roman"/>
          <w:color w:val="000000" w:themeColor="text1"/>
          <w:sz w:val="24"/>
          <w:szCs w:val="24"/>
        </w:rPr>
        <w:t>ATR</w:t>
      </w:r>
    </w:p>
    <w:p w14:paraId="1C093445"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 xml:space="preserve">Deoxyribose nucleic acid </w:t>
      </w:r>
      <w:r>
        <w:rPr>
          <w:rFonts w:ascii="Times New Roman" w:hAnsi="Times New Roman"/>
          <w:color w:val="000000" w:themeColor="text1"/>
          <w:sz w:val="24"/>
          <w:szCs w:val="24"/>
        </w:rPr>
        <w:t>-</w:t>
      </w:r>
      <w:r w:rsidRPr="00C22DD9">
        <w:rPr>
          <w:rFonts w:ascii="Times New Roman" w:hAnsi="Times New Roman"/>
          <w:color w:val="000000" w:themeColor="text1"/>
          <w:sz w:val="24"/>
          <w:szCs w:val="24"/>
        </w:rPr>
        <w:t xml:space="preserve"> DNA</w:t>
      </w:r>
    </w:p>
    <w:p w14:paraId="2826EC12"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Dichloromethane</w:t>
      </w:r>
      <w:r>
        <w:rPr>
          <w:rFonts w:ascii="Times New Roman" w:hAnsi="Times New Roman"/>
          <w:color w:val="000000" w:themeColor="text1"/>
          <w:sz w:val="24"/>
          <w:szCs w:val="24"/>
        </w:rPr>
        <w:t xml:space="preserve"> </w:t>
      </w:r>
      <w:r w:rsidRPr="00C22DD9">
        <w:rPr>
          <w:rFonts w:ascii="Times New Roman" w:hAnsi="Times New Roman"/>
          <w:color w:val="000000" w:themeColor="text1"/>
          <w:sz w:val="24"/>
          <w:szCs w:val="24"/>
        </w:rPr>
        <w:t>- DCM</w:t>
      </w:r>
    </w:p>
    <w:p w14:paraId="783B406F"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Dimethyl sulfoxide</w:t>
      </w:r>
      <w:r>
        <w:rPr>
          <w:rFonts w:ascii="Times New Roman" w:hAnsi="Times New Roman"/>
          <w:color w:val="000000" w:themeColor="text1"/>
          <w:sz w:val="24"/>
          <w:szCs w:val="24"/>
        </w:rPr>
        <w:t xml:space="preserve"> - </w:t>
      </w:r>
      <w:r w:rsidRPr="00C22DD9">
        <w:rPr>
          <w:rFonts w:ascii="Times New Roman" w:hAnsi="Times New Roman"/>
          <w:color w:val="000000" w:themeColor="text1"/>
          <w:sz w:val="24"/>
          <w:szCs w:val="24"/>
        </w:rPr>
        <w:t>DMSO</w:t>
      </w:r>
    </w:p>
    <w:p w14:paraId="1423D09F"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2,2-Diphenyl-1-picrylhydazyl</w:t>
      </w:r>
      <w:r>
        <w:rPr>
          <w:rFonts w:ascii="Times New Roman" w:hAnsi="Times New Roman"/>
          <w:color w:val="000000" w:themeColor="text1"/>
          <w:sz w:val="24"/>
          <w:szCs w:val="24"/>
        </w:rPr>
        <w:t xml:space="preserve"> </w:t>
      </w:r>
      <w:r w:rsidRPr="00C22DD9">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C22DD9">
        <w:rPr>
          <w:rFonts w:ascii="Times New Roman" w:hAnsi="Times New Roman"/>
          <w:color w:val="000000" w:themeColor="text1"/>
          <w:sz w:val="24"/>
          <w:szCs w:val="24"/>
        </w:rPr>
        <w:t>DPPH</w:t>
      </w:r>
    </w:p>
    <w:p w14:paraId="3D0725A0"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 xml:space="preserve">Dynamic light scattering </w:t>
      </w:r>
      <w:r>
        <w:rPr>
          <w:rFonts w:ascii="Times New Roman" w:hAnsi="Times New Roman"/>
          <w:color w:val="000000" w:themeColor="text1"/>
          <w:sz w:val="24"/>
          <w:szCs w:val="24"/>
        </w:rPr>
        <w:t xml:space="preserve">- </w:t>
      </w:r>
      <w:r w:rsidRPr="00C22DD9">
        <w:rPr>
          <w:rFonts w:ascii="Times New Roman" w:hAnsi="Times New Roman"/>
          <w:color w:val="000000" w:themeColor="text1"/>
          <w:sz w:val="24"/>
          <w:szCs w:val="24"/>
        </w:rPr>
        <w:t>DLS</w:t>
      </w:r>
    </w:p>
    <w:p w14:paraId="563B3800"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Entrapment efficiency- EE</w:t>
      </w:r>
    </w:p>
    <w:p w14:paraId="38E03FC7"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Ethyl Cellulose - EC</w:t>
      </w:r>
    </w:p>
    <w:p w14:paraId="0DFB7EBA"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High Performance Liquid Chromatography - HPLC</w:t>
      </w:r>
    </w:p>
    <w:p w14:paraId="0439595A"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Methicillin-resistant Staphylococcus aureus – MRSA</w:t>
      </w:r>
    </w:p>
    <w:p w14:paraId="27257284"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lastRenderedPageBreak/>
        <w:t>Minimum inhibitory concentration – MIC</w:t>
      </w:r>
    </w:p>
    <w:p w14:paraId="62A6FADB"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Mitochondrial respiration electron transport chain related gene - MRF 1</w:t>
      </w:r>
    </w:p>
    <w:p w14:paraId="3AF299A5"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bookmarkStart w:id="3" w:name="_Hlk200976940"/>
      <w:r w:rsidRPr="00C22DD9">
        <w:rPr>
          <w:rFonts w:ascii="Times New Roman" w:hAnsi="Times New Roman"/>
          <w:color w:val="000000" w:themeColor="text1"/>
          <w:sz w:val="24"/>
          <w:szCs w:val="24"/>
        </w:rPr>
        <w:t>Nicotinamide Adenine Dinucleotide Phosphate</w:t>
      </w:r>
      <w:bookmarkStart w:id="4" w:name="_Hlk200976950"/>
      <w:bookmarkEnd w:id="3"/>
      <w:r>
        <w:rPr>
          <w:rFonts w:ascii="Times New Roman" w:hAnsi="Times New Roman"/>
          <w:color w:val="000000" w:themeColor="text1"/>
          <w:sz w:val="24"/>
          <w:szCs w:val="24"/>
        </w:rPr>
        <w:t xml:space="preserve"> </w:t>
      </w:r>
      <w:r w:rsidRPr="00C22DD9">
        <w:rPr>
          <w:rFonts w:ascii="Times New Roman" w:hAnsi="Times New Roman"/>
          <w:color w:val="000000" w:themeColor="text1"/>
          <w:sz w:val="24"/>
          <w:szCs w:val="24"/>
        </w:rPr>
        <w:t>- NADPH</w:t>
      </w:r>
      <w:bookmarkEnd w:id="4"/>
    </w:p>
    <w:p w14:paraId="07FD32F9"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Polydispersity index - PDI</w:t>
      </w:r>
    </w:p>
    <w:p w14:paraId="179940BE"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Polyvinyl alcohol- PVA</w:t>
      </w:r>
    </w:p>
    <w:p w14:paraId="6D557B08"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Reactive oxygen species – ROS</w:t>
      </w:r>
    </w:p>
    <w:p w14:paraId="035DE316"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Scanning electron microscopy – SEM</w:t>
      </w:r>
    </w:p>
    <w:p w14:paraId="43DD7C2A"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Shikalkin - SHK</w:t>
      </w:r>
    </w:p>
    <w:p w14:paraId="22F12170"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Thin Layer Chromatography</w:t>
      </w:r>
      <w:r>
        <w:rPr>
          <w:rFonts w:ascii="Times New Roman" w:hAnsi="Times New Roman"/>
          <w:color w:val="000000" w:themeColor="text1"/>
          <w:sz w:val="24"/>
          <w:szCs w:val="24"/>
        </w:rPr>
        <w:t xml:space="preserve"> </w:t>
      </w:r>
      <w:r w:rsidRPr="00C22DD9">
        <w:rPr>
          <w:rFonts w:ascii="Times New Roman" w:hAnsi="Times New Roman"/>
          <w:color w:val="000000" w:themeColor="text1"/>
          <w:sz w:val="24"/>
          <w:szCs w:val="24"/>
        </w:rPr>
        <w:t>- TLC</w:t>
      </w:r>
    </w:p>
    <w:p w14:paraId="179C98C9"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Thioredoxin reductase related gene</w:t>
      </w:r>
      <w:r>
        <w:rPr>
          <w:rFonts w:ascii="Times New Roman" w:hAnsi="Times New Roman"/>
          <w:color w:val="000000" w:themeColor="text1"/>
          <w:sz w:val="24"/>
          <w:szCs w:val="24"/>
        </w:rPr>
        <w:t xml:space="preserve"> </w:t>
      </w:r>
      <w:r w:rsidRPr="00C22DD9">
        <w:rPr>
          <w:rFonts w:ascii="Times New Roman" w:hAnsi="Times New Roman"/>
          <w:color w:val="000000" w:themeColor="text1"/>
          <w:sz w:val="24"/>
          <w:szCs w:val="24"/>
        </w:rPr>
        <w:t>- TRR 1</w:t>
      </w:r>
    </w:p>
    <w:p w14:paraId="6D9E1B5A"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 xml:space="preserve">X-Ray Diffraction </w:t>
      </w:r>
      <w:r>
        <w:rPr>
          <w:rFonts w:ascii="Times New Roman" w:hAnsi="Times New Roman"/>
          <w:color w:val="000000" w:themeColor="text1"/>
          <w:sz w:val="24"/>
          <w:szCs w:val="24"/>
        </w:rPr>
        <w:t xml:space="preserve">- </w:t>
      </w:r>
      <w:r w:rsidRPr="00C22DD9">
        <w:rPr>
          <w:rFonts w:ascii="Times New Roman" w:hAnsi="Times New Roman"/>
          <w:color w:val="000000" w:themeColor="text1"/>
          <w:sz w:val="24"/>
          <w:szCs w:val="24"/>
        </w:rPr>
        <w:t xml:space="preserve">XRD </w:t>
      </w:r>
    </w:p>
    <w:p w14:paraId="1B06BA04" w14:textId="77777777" w:rsidR="00274ADE" w:rsidRPr="00AD625B" w:rsidRDefault="00274ADE" w:rsidP="007E42F3">
      <w:pPr>
        <w:spacing w:before="120" w:after="120" w:line="480" w:lineRule="auto"/>
        <w:jc w:val="both"/>
        <w:rPr>
          <w:rFonts w:ascii="Times New Roman" w:hAnsi="Times New Roman"/>
          <w:bCs/>
        </w:rPr>
      </w:pPr>
    </w:p>
    <w:p w14:paraId="7E417172" w14:textId="57D0816E" w:rsidR="00291B73" w:rsidRPr="00E37EA2" w:rsidRDefault="00291B73"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 xml:space="preserve">References </w:t>
      </w:r>
    </w:p>
    <w:p w14:paraId="061206E0"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Abdelmalak, N. S., &amp; El-</w:t>
      </w:r>
      <w:proofErr w:type="spellStart"/>
      <w:r w:rsidRPr="00536F9B">
        <w:rPr>
          <w:rFonts w:ascii="Times New Roman" w:hAnsi="Times New Roman"/>
          <w:sz w:val="24"/>
          <w:szCs w:val="24"/>
        </w:rPr>
        <w:t>Menshawe</w:t>
      </w:r>
      <w:proofErr w:type="spellEnd"/>
      <w:r w:rsidRPr="00536F9B">
        <w:rPr>
          <w:rFonts w:ascii="Times New Roman" w:hAnsi="Times New Roman"/>
          <w:sz w:val="24"/>
          <w:szCs w:val="24"/>
        </w:rPr>
        <w:t xml:space="preserve">, S. F. (2012). A new topical fluconazole </w:t>
      </w:r>
      <w:proofErr w:type="spellStart"/>
      <w:r w:rsidRPr="00536F9B">
        <w:rPr>
          <w:rFonts w:ascii="Times New Roman" w:hAnsi="Times New Roman"/>
          <w:sz w:val="24"/>
          <w:szCs w:val="24"/>
        </w:rPr>
        <w:t>microsponge</w:t>
      </w:r>
      <w:proofErr w:type="spellEnd"/>
      <w:r w:rsidRPr="00536F9B">
        <w:rPr>
          <w:rFonts w:ascii="Times New Roman" w:hAnsi="Times New Roman"/>
          <w:sz w:val="24"/>
          <w:szCs w:val="24"/>
        </w:rPr>
        <w:t xml:space="preserve"> loaded hydrogel: preparation and characterization</w:t>
      </w:r>
      <w:r w:rsidRPr="00536F9B">
        <w:rPr>
          <w:rFonts w:ascii="Times New Roman" w:hAnsi="Times New Roman"/>
          <w:i/>
          <w:iCs/>
          <w:sz w:val="24"/>
          <w:szCs w:val="24"/>
        </w:rPr>
        <w:t>. Journal of Pharmacy and Pharmaceutical Sciences</w:t>
      </w:r>
      <w:r w:rsidRPr="00536F9B">
        <w:rPr>
          <w:rFonts w:ascii="Times New Roman" w:hAnsi="Times New Roman"/>
          <w:sz w:val="24"/>
          <w:szCs w:val="24"/>
        </w:rPr>
        <w:t>, 4(1), 460-468.</w:t>
      </w:r>
    </w:p>
    <w:p w14:paraId="7C9E7D7D"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Arya, P., &amp; Pathak, K. (2014). Assessing the viability of microsponges as gastro retentive drug delivery system of curcumin: optimization and pharmacokinetics. </w:t>
      </w:r>
      <w:r w:rsidRPr="00536F9B">
        <w:rPr>
          <w:rFonts w:ascii="Times New Roman" w:hAnsi="Times New Roman"/>
          <w:i/>
          <w:iCs/>
          <w:sz w:val="24"/>
          <w:szCs w:val="24"/>
        </w:rPr>
        <w:t>International Journal of Pharmaceutics</w:t>
      </w:r>
      <w:r w:rsidRPr="00536F9B">
        <w:rPr>
          <w:rFonts w:ascii="Times New Roman" w:hAnsi="Times New Roman"/>
          <w:sz w:val="24"/>
          <w:szCs w:val="24"/>
        </w:rPr>
        <w:t>, 460(1-2), 1-12.</w:t>
      </w:r>
    </w:p>
    <w:p w14:paraId="67411480"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Atiyeh, B. S., Costagliola, M., Hayek, S. N., &amp; Dibo, S. A. (2007). Effect of silver on burn wound infection control and healing: review of the literature. </w:t>
      </w:r>
      <w:r w:rsidRPr="00536F9B">
        <w:rPr>
          <w:rFonts w:ascii="Times New Roman" w:hAnsi="Times New Roman"/>
          <w:i/>
          <w:sz w:val="24"/>
          <w:szCs w:val="24"/>
        </w:rPr>
        <w:t>Burns</w:t>
      </w:r>
      <w:r w:rsidRPr="00536F9B">
        <w:rPr>
          <w:rFonts w:ascii="Times New Roman" w:hAnsi="Times New Roman"/>
          <w:sz w:val="24"/>
          <w:szCs w:val="24"/>
        </w:rPr>
        <w:t xml:space="preserve">, </w:t>
      </w:r>
      <w:r w:rsidRPr="00536F9B">
        <w:rPr>
          <w:rFonts w:ascii="Times New Roman" w:hAnsi="Times New Roman"/>
          <w:iCs/>
          <w:sz w:val="24"/>
          <w:szCs w:val="24"/>
        </w:rPr>
        <w:t>33</w:t>
      </w:r>
      <w:r w:rsidRPr="00536F9B">
        <w:rPr>
          <w:rFonts w:ascii="Times New Roman" w:hAnsi="Times New Roman"/>
          <w:sz w:val="24"/>
          <w:szCs w:val="24"/>
        </w:rPr>
        <w:t>(2), 139-148.</w:t>
      </w:r>
    </w:p>
    <w:p w14:paraId="46BC6883"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Bhatia, M., &amp; Saini, M. (2018). Formulation and evaluation of curcumin microsponges for oral and topical drug delivery. </w:t>
      </w:r>
      <w:r w:rsidRPr="00536F9B">
        <w:rPr>
          <w:rFonts w:ascii="Times New Roman" w:hAnsi="Times New Roman"/>
          <w:i/>
          <w:iCs/>
          <w:sz w:val="24"/>
          <w:szCs w:val="24"/>
        </w:rPr>
        <w:t>Progress in Biomaterials</w:t>
      </w:r>
      <w:r w:rsidRPr="00536F9B">
        <w:rPr>
          <w:rFonts w:ascii="Times New Roman" w:hAnsi="Times New Roman"/>
          <w:sz w:val="24"/>
          <w:szCs w:val="24"/>
        </w:rPr>
        <w:t>, 7, 239-248.</w:t>
      </w:r>
    </w:p>
    <w:p w14:paraId="450246A7"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Chen, G., </w:t>
      </w:r>
      <w:proofErr w:type="spellStart"/>
      <w:r w:rsidRPr="00536F9B">
        <w:rPr>
          <w:rFonts w:ascii="Times New Roman" w:hAnsi="Times New Roman"/>
          <w:sz w:val="24"/>
          <w:szCs w:val="24"/>
        </w:rPr>
        <w:t>Ushida</w:t>
      </w:r>
      <w:proofErr w:type="spellEnd"/>
      <w:r w:rsidRPr="00536F9B">
        <w:rPr>
          <w:rFonts w:ascii="Times New Roman" w:hAnsi="Times New Roman"/>
          <w:sz w:val="24"/>
          <w:szCs w:val="24"/>
        </w:rPr>
        <w:t xml:space="preserve">, T., &amp; Tateishi, T. (2002). Scaffold design for tissue engineering. </w:t>
      </w:r>
      <w:r w:rsidRPr="00536F9B">
        <w:rPr>
          <w:rFonts w:ascii="Times New Roman" w:hAnsi="Times New Roman"/>
          <w:i/>
          <w:iCs/>
          <w:sz w:val="24"/>
          <w:szCs w:val="24"/>
        </w:rPr>
        <w:t>Macromolecular Bioscience</w:t>
      </w:r>
      <w:r w:rsidRPr="00536F9B">
        <w:rPr>
          <w:rFonts w:ascii="Times New Roman" w:hAnsi="Times New Roman"/>
          <w:sz w:val="24"/>
          <w:szCs w:val="24"/>
        </w:rPr>
        <w:t xml:space="preserve">, </w:t>
      </w:r>
      <w:r w:rsidRPr="00536F9B">
        <w:rPr>
          <w:rFonts w:ascii="Times New Roman" w:hAnsi="Times New Roman"/>
          <w:i/>
          <w:iCs/>
          <w:sz w:val="24"/>
          <w:szCs w:val="24"/>
        </w:rPr>
        <w:t>2</w:t>
      </w:r>
      <w:r w:rsidRPr="00536F9B">
        <w:rPr>
          <w:rFonts w:ascii="Times New Roman" w:hAnsi="Times New Roman"/>
          <w:sz w:val="24"/>
          <w:szCs w:val="24"/>
        </w:rPr>
        <w:t>(2), 67-77.</w:t>
      </w:r>
    </w:p>
    <w:p w14:paraId="035D3F13" w14:textId="7DA8FA90"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lastRenderedPageBreak/>
        <w:t>Cheng, H. W., Chen, F. A., Hsu, H. C., &amp; Chen</w:t>
      </w:r>
      <w:r w:rsidRPr="00523FEC">
        <w:rPr>
          <w:rFonts w:ascii="Times New Roman" w:hAnsi="Times New Roman"/>
          <w:sz w:val="24"/>
          <w:szCs w:val="24"/>
        </w:rPr>
        <w:t>, C.</w:t>
      </w:r>
      <w:r w:rsidR="00A850F6" w:rsidRPr="00523FEC">
        <w:rPr>
          <w:rFonts w:ascii="Times New Roman" w:hAnsi="Times New Roman"/>
          <w:sz w:val="24"/>
          <w:szCs w:val="24"/>
        </w:rPr>
        <w:t xml:space="preserve"> </w:t>
      </w:r>
      <w:r w:rsidRPr="00523FEC">
        <w:rPr>
          <w:rFonts w:ascii="Times New Roman" w:hAnsi="Times New Roman"/>
          <w:sz w:val="24"/>
          <w:szCs w:val="24"/>
        </w:rPr>
        <w:t>Y.</w:t>
      </w:r>
      <w:r w:rsidRPr="00536F9B">
        <w:rPr>
          <w:rFonts w:ascii="Times New Roman" w:hAnsi="Times New Roman"/>
          <w:sz w:val="24"/>
          <w:szCs w:val="24"/>
        </w:rPr>
        <w:t xml:space="preserve"> (1995). Photochemical decomposition of alkannin/</w:t>
      </w:r>
      <w:proofErr w:type="spellStart"/>
      <w:r w:rsidRPr="00536F9B">
        <w:rPr>
          <w:rFonts w:ascii="Times New Roman" w:hAnsi="Times New Roman"/>
          <w:sz w:val="24"/>
          <w:szCs w:val="24"/>
        </w:rPr>
        <w:t>shikonin</w:t>
      </w:r>
      <w:proofErr w:type="spellEnd"/>
      <w:r w:rsidRPr="00536F9B">
        <w:rPr>
          <w:rFonts w:ascii="Times New Roman" w:hAnsi="Times New Roman"/>
          <w:sz w:val="24"/>
          <w:szCs w:val="24"/>
        </w:rPr>
        <w:t xml:space="preserve"> enantiomers. </w:t>
      </w:r>
      <w:r w:rsidRPr="00536F9B">
        <w:rPr>
          <w:rFonts w:ascii="Times New Roman" w:hAnsi="Times New Roman"/>
          <w:i/>
          <w:iCs/>
          <w:sz w:val="24"/>
          <w:szCs w:val="24"/>
        </w:rPr>
        <w:t>International Journal of Pharmaceutics</w:t>
      </w:r>
      <w:r w:rsidRPr="00536F9B">
        <w:rPr>
          <w:rFonts w:ascii="Times New Roman" w:hAnsi="Times New Roman"/>
          <w:sz w:val="24"/>
          <w:szCs w:val="24"/>
        </w:rPr>
        <w:t>, 120(2), 137-144.</w:t>
      </w:r>
    </w:p>
    <w:p w14:paraId="2B497D8B" w14:textId="77777777" w:rsidR="00A1665C" w:rsidRPr="00536F9B" w:rsidRDefault="00A1665C" w:rsidP="00A1665C">
      <w:pPr>
        <w:spacing w:line="360" w:lineRule="auto"/>
        <w:jc w:val="both"/>
        <w:rPr>
          <w:rFonts w:ascii="Times New Roman" w:hAnsi="Times New Roman"/>
          <w:sz w:val="24"/>
          <w:szCs w:val="24"/>
        </w:rPr>
      </w:pPr>
      <w:proofErr w:type="spellStart"/>
      <w:r w:rsidRPr="00536F9B">
        <w:rPr>
          <w:rFonts w:ascii="Times New Roman" w:hAnsi="Times New Roman"/>
          <w:sz w:val="24"/>
          <w:szCs w:val="24"/>
        </w:rPr>
        <w:t>Coklar</w:t>
      </w:r>
      <w:proofErr w:type="spellEnd"/>
      <w:r w:rsidRPr="00536F9B">
        <w:rPr>
          <w:rFonts w:ascii="Times New Roman" w:hAnsi="Times New Roman"/>
          <w:sz w:val="24"/>
          <w:szCs w:val="24"/>
        </w:rPr>
        <w:t xml:space="preserve">, H., &amp; Akbulut, M. (2017). Anthocyanins and phenolic compounds of Mahonia </w:t>
      </w:r>
      <w:proofErr w:type="spellStart"/>
      <w:r w:rsidRPr="00536F9B">
        <w:rPr>
          <w:rFonts w:ascii="Times New Roman" w:hAnsi="Times New Roman"/>
          <w:sz w:val="24"/>
          <w:szCs w:val="24"/>
        </w:rPr>
        <w:t>aquifolium</w:t>
      </w:r>
      <w:proofErr w:type="spellEnd"/>
      <w:r w:rsidRPr="00536F9B">
        <w:rPr>
          <w:rFonts w:ascii="Times New Roman" w:hAnsi="Times New Roman"/>
          <w:sz w:val="24"/>
          <w:szCs w:val="24"/>
        </w:rPr>
        <w:t xml:space="preserve"> berries and their contributions to antioxidant activity. </w:t>
      </w:r>
      <w:r w:rsidRPr="00536F9B">
        <w:rPr>
          <w:rFonts w:ascii="Times New Roman" w:hAnsi="Times New Roman"/>
          <w:i/>
          <w:iCs/>
          <w:sz w:val="24"/>
          <w:szCs w:val="24"/>
        </w:rPr>
        <w:t>Journal of Functional Foods</w:t>
      </w:r>
      <w:r w:rsidRPr="00536F9B">
        <w:rPr>
          <w:rFonts w:ascii="Times New Roman" w:hAnsi="Times New Roman"/>
          <w:sz w:val="24"/>
          <w:szCs w:val="24"/>
        </w:rPr>
        <w:t>, 35, 166-174.</w:t>
      </w:r>
    </w:p>
    <w:p w14:paraId="3D61F578" w14:textId="77777777" w:rsidR="00A1665C" w:rsidRPr="00536F9B" w:rsidRDefault="00A1665C" w:rsidP="00A1665C">
      <w:pPr>
        <w:spacing w:line="360" w:lineRule="auto"/>
        <w:jc w:val="both"/>
        <w:rPr>
          <w:rFonts w:ascii="Times New Roman" w:hAnsi="Times New Roman"/>
          <w:sz w:val="24"/>
          <w:szCs w:val="24"/>
        </w:rPr>
      </w:pPr>
      <w:proofErr w:type="spellStart"/>
      <w:r w:rsidRPr="00536F9B">
        <w:rPr>
          <w:rFonts w:ascii="Times New Roman" w:hAnsi="Times New Roman"/>
          <w:sz w:val="24"/>
          <w:szCs w:val="24"/>
        </w:rPr>
        <w:t>Çomoğlu</w:t>
      </w:r>
      <w:proofErr w:type="spellEnd"/>
      <w:r w:rsidRPr="00536F9B">
        <w:rPr>
          <w:rFonts w:ascii="Times New Roman" w:hAnsi="Times New Roman"/>
          <w:sz w:val="24"/>
          <w:szCs w:val="24"/>
        </w:rPr>
        <w:t>, T., Gönül, N., &amp; Baykara, T. (2003). Preparation and in vitro evaluation of modified release ketoprofen microsponges</w:t>
      </w:r>
      <w:r w:rsidRPr="00536F9B">
        <w:rPr>
          <w:rFonts w:ascii="Times New Roman" w:hAnsi="Times New Roman"/>
          <w:i/>
          <w:iCs/>
          <w:sz w:val="24"/>
          <w:szCs w:val="24"/>
        </w:rPr>
        <w:t xml:space="preserve">. II </w:t>
      </w:r>
      <w:proofErr w:type="spellStart"/>
      <w:r w:rsidRPr="00536F9B">
        <w:rPr>
          <w:rFonts w:ascii="Times New Roman" w:hAnsi="Times New Roman"/>
          <w:i/>
          <w:iCs/>
          <w:sz w:val="24"/>
          <w:szCs w:val="24"/>
        </w:rPr>
        <w:t>farmaco</w:t>
      </w:r>
      <w:proofErr w:type="spellEnd"/>
      <w:r w:rsidRPr="00536F9B">
        <w:rPr>
          <w:rFonts w:ascii="Times New Roman" w:hAnsi="Times New Roman"/>
          <w:sz w:val="24"/>
          <w:szCs w:val="24"/>
        </w:rPr>
        <w:t>, 58(2), 101-106.</w:t>
      </w:r>
    </w:p>
    <w:p w14:paraId="7212CA5E"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Dantas, M. G. B., Reis, S. A. G. B., Damasceno, C. M. D., Rolim, L. A., Rolim-Neto, P. J., Carvalho, F. O. et al. (2016). Development and evaluation of stability of a gel formulation containing the monoterpene borneol</w:t>
      </w:r>
      <w:r w:rsidRPr="00536F9B">
        <w:rPr>
          <w:rFonts w:ascii="Times New Roman" w:hAnsi="Times New Roman"/>
          <w:i/>
          <w:iCs/>
          <w:sz w:val="24"/>
          <w:szCs w:val="24"/>
        </w:rPr>
        <w:t>. Scientific World Journal</w:t>
      </w:r>
      <w:r w:rsidRPr="00536F9B">
        <w:rPr>
          <w:rFonts w:ascii="Times New Roman" w:hAnsi="Times New Roman"/>
          <w:sz w:val="24"/>
          <w:szCs w:val="24"/>
        </w:rPr>
        <w:t>, 1-5.</w:t>
      </w:r>
    </w:p>
    <w:p w14:paraId="1C7744B5" w14:textId="77777777" w:rsidR="00A1665C" w:rsidRDefault="00A1665C" w:rsidP="00A1665C">
      <w:pPr>
        <w:spacing w:line="360" w:lineRule="auto"/>
        <w:jc w:val="both"/>
        <w:rPr>
          <w:rFonts w:ascii="Times New Roman" w:hAnsi="Times New Roman"/>
          <w:sz w:val="24"/>
          <w:szCs w:val="24"/>
        </w:rPr>
      </w:pPr>
      <w:bookmarkStart w:id="5" w:name="_Hlk200918755"/>
      <w:r w:rsidRPr="00536F9B">
        <w:rPr>
          <w:rFonts w:ascii="Times New Roman" w:hAnsi="Times New Roman"/>
          <w:sz w:val="24"/>
          <w:szCs w:val="24"/>
        </w:rPr>
        <w:t xml:space="preserve">Fair, R. J., &amp; Tor, Y. (2014). Antibiotics and bacterial resistance in the 21st century. </w:t>
      </w:r>
      <w:r w:rsidRPr="00536F9B">
        <w:rPr>
          <w:rFonts w:ascii="Times New Roman" w:hAnsi="Times New Roman"/>
          <w:i/>
          <w:iCs/>
          <w:sz w:val="24"/>
          <w:szCs w:val="24"/>
        </w:rPr>
        <w:t>Perspectives in Medicinal Chemistry</w:t>
      </w:r>
      <w:r w:rsidRPr="00536F9B">
        <w:rPr>
          <w:rFonts w:ascii="Times New Roman" w:hAnsi="Times New Roman"/>
          <w:sz w:val="24"/>
          <w:szCs w:val="24"/>
        </w:rPr>
        <w:t xml:space="preserve">, </w:t>
      </w:r>
      <w:r w:rsidRPr="00536F9B">
        <w:rPr>
          <w:rFonts w:ascii="Times New Roman" w:hAnsi="Times New Roman"/>
          <w:iCs/>
          <w:sz w:val="24"/>
          <w:szCs w:val="24"/>
        </w:rPr>
        <w:t>6</w:t>
      </w:r>
      <w:r w:rsidRPr="00536F9B">
        <w:rPr>
          <w:rFonts w:ascii="Times New Roman" w:hAnsi="Times New Roman"/>
          <w:sz w:val="24"/>
          <w:szCs w:val="24"/>
        </w:rPr>
        <w:t>, 25-64.</w:t>
      </w:r>
    </w:p>
    <w:p w14:paraId="3BC45B80" w14:textId="1B21B4F7" w:rsidR="00B67A6A" w:rsidRPr="00536F9B" w:rsidRDefault="00B67A6A" w:rsidP="00A1665C">
      <w:pPr>
        <w:spacing w:line="360" w:lineRule="auto"/>
        <w:jc w:val="both"/>
        <w:rPr>
          <w:rFonts w:ascii="Times New Roman" w:hAnsi="Times New Roman"/>
          <w:sz w:val="24"/>
          <w:szCs w:val="24"/>
        </w:rPr>
      </w:pPr>
      <w:r w:rsidRPr="00B67A6A">
        <w:rPr>
          <w:rFonts w:ascii="Times New Roman" w:hAnsi="Times New Roman"/>
          <w:sz w:val="24"/>
          <w:szCs w:val="24"/>
          <w:highlight w:val="yellow"/>
        </w:rPr>
        <w:t>Ferreira, G. M.</w:t>
      </w:r>
      <w:r>
        <w:rPr>
          <w:rFonts w:ascii="Times New Roman" w:hAnsi="Times New Roman"/>
          <w:sz w:val="24"/>
          <w:szCs w:val="24"/>
          <w:highlight w:val="yellow"/>
        </w:rPr>
        <w:t>,</w:t>
      </w:r>
      <w:r w:rsidRPr="00B67A6A">
        <w:rPr>
          <w:rFonts w:ascii="Times New Roman" w:hAnsi="Times New Roman"/>
          <w:sz w:val="24"/>
          <w:szCs w:val="24"/>
          <w:highlight w:val="yellow"/>
        </w:rPr>
        <w:t xml:space="preserve"> </w:t>
      </w:r>
      <w:r>
        <w:rPr>
          <w:rFonts w:ascii="Times New Roman" w:hAnsi="Times New Roman"/>
          <w:sz w:val="24"/>
          <w:szCs w:val="24"/>
          <w:highlight w:val="yellow"/>
        </w:rPr>
        <w:t>&amp;</w:t>
      </w:r>
      <w:r w:rsidRPr="00B67A6A">
        <w:rPr>
          <w:rFonts w:ascii="Times New Roman" w:hAnsi="Times New Roman"/>
          <w:sz w:val="24"/>
          <w:szCs w:val="24"/>
          <w:highlight w:val="yellow"/>
        </w:rPr>
        <w:t xml:space="preserve"> Laddha, K. S. (2013). A new method for isolation of natural </w:t>
      </w:r>
      <w:proofErr w:type="spellStart"/>
      <w:r w:rsidRPr="00B67A6A">
        <w:rPr>
          <w:rFonts w:ascii="Times New Roman" w:hAnsi="Times New Roman"/>
          <w:sz w:val="24"/>
          <w:szCs w:val="24"/>
          <w:highlight w:val="yellow"/>
        </w:rPr>
        <w:t>colourant</w:t>
      </w:r>
      <w:proofErr w:type="spellEnd"/>
      <w:r w:rsidRPr="00B67A6A">
        <w:rPr>
          <w:rFonts w:ascii="Times New Roman" w:hAnsi="Times New Roman"/>
          <w:sz w:val="24"/>
          <w:szCs w:val="24"/>
          <w:highlight w:val="yellow"/>
        </w:rPr>
        <w:t xml:space="preserve">, </w:t>
      </w:r>
      <w:proofErr w:type="spellStart"/>
      <w:r w:rsidRPr="00B67A6A">
        <w:rPr>
          <w:rFonts w:ascii="Times New Roman" w:hAnsi="Times New Roman"/>
          <w:sz w:val="24"/>
          <w:szCs w:val="24"/>
          <w:highlight w:val="yellow"/>
        </w:rPr>
        <w:t>shikalkin</w:t>
      </w:r>
      <w:proofErr w:type="spellEnd"/>
      <w:r w:rsidRPr="00B67A6A">
        <w:rPr>
          <w:rFonts w:ascii="Times New Roman" w:hAnsi="Times New Roman"/>
          <w:sz w:val="24"/>
          <w:szCs w:val="24"/>
          <w:highlight w:val="yellow"/>
        </w:rPr>
        <w:t xml:space="preserve"> from </w:t>
      </w:r>
      <w:proofErr w:type="spellStart"/>
      <w:r w:rsidRPr="00B67A6A">
        <w:rPr>
          <w:rFonts w:ascii="Times New Roman" w:hAnsi="Times New Roman"/>
          <w:sz w:val="24"/>
          <w:szCs w:val="24"/>
          <w:highlight w:val="yellow"/>
        </w:rPr>
        <w:t>Arnebia</w:t>
      </w:r>
      <w:proofErr w:type="spellEnd"/>
      <w:r w:rsidRPr="00B67A6A">
        <w:rPr>
          <w:rFonts w:ascii="Times New Roman" w:hAnsi="Times New Roman"/>
          <w:sz w:val="24"/>
          <w:szCs w:val="24"/>
          <w:highlight w:val="yellow"/>
        </w:rPr>
        <w:t xml:space="preserve"> nobilis </w:t>
      </w:r>
      <w:proofErr w:type="spellStart"/>
      <w:r w:rsidRPr="00B67A6A">
        <w:rPr>
          <w:rFonts w:ascii="Times New Roman" w:hAnsi="Times New Roman"/>
          <w:sz w:val="24"/>
          <w:szCs w:val="24"/>
          <w:highlight w:val="yellow"/>
        </w:rPr>
        <w:t>Reichb</w:t>
      </w:r>
      <w:proofErr w:type="spellEnd"/>
      <w:r w:rsidRPr="00B67A6A">
        <w:rPr>
          <w:rFonts w:ascii="Times New Roman" w:hAnsi="Times New Roman"/>
          <w:sz w:val="24"/>
          <w:szCs w:val="24"/>
          <w:highlight w:val="yellow"/>
        </w:rPr>
        <w:t xml:space="preserve">. f. roots. </w:t>
      </w:r>
      <w:r w:rsidRPr="00B67A6A">
        <w:rPr>
          <w:rFonts w:ascii="Times New Roman" w:hAnsi="Times New Roman"/>
          <w:i/>
          <w:iCs/>
          <w:sz w:val="24"/>
          <w:szCs w:val="24"/>
          <w:highlight w:val="yellow"/>
        </w:rPr>
        <w:t>Indian Journal of Natural Product and Resources</w:t>
      </w:r>
      <w:r w:rsidRPr="00B67A6A">
        <w:rPr>
          <w:rFonts w:ascii="Times New Roman" w:hAnsi="Times New Roman"/>
          <w:sz w:val="24"/>
          <w:szCs w:val="24"/>
          <w:highlight w:val="yellow"/>
        </w:rPr>
        <w:t xml:space="preserve"> 4(3): 270-272.</w:t>
      </w:r>
    </w:p>
    <w:p w14:paraId="067AFFCE"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Jadhav, K., </w:t>
      </w:r>
      <w:proofErr w:type="spellStart"/>
      <w:r w:rsidRPr="00536F9B">
        <w:rPr>
          <w:rFonts w:ascii="Times New Roman" w:hAnsi="Times New Roman"/>
          <w:sz w:val="24"/>
          <w:szCs w:val="24"/>
        </w:rPr>
        <w:t>Dhamecha</w:t>
      </w:r>
      <w:proofErr w:type="spellEnd"/>
      <w:r w:rsidRPr="00536F9B">
        <w:rPr>
          <w:rFonts w:ascii="Times New Roman" w:hAnsi="Times New Roman"/>
          <w:sz w:val="24"/>
          <w:szCs w:val="24"/>
        </w:rPr>
        <w:t xml:space="preserve">, D., Bhattacharya, D., &amp; Patil, M. (2016). Green and ecofriendly synthesis of silver nanoparticles: characterization, biocompatibility studies and gel formulation for treatment of infections in burns. </w:t>
      </w:r>
      <w:r w:rsidRPr="00536F9B">
        <w:rPr>
          <w:rFonts w:ascii="Times New Roman" w:hAnsi="Times New Roman"/>
          <w:i/>
          <w:sz w:val="24"/>
          <w:szCs w:val="24"/>
        </w:rPr>
        <w:t>Journal of Photochemistry and Photobiology B: Biology</w:t>
      </w:r>
      <w:r w:rsidRPr="00536F9B">
        <w:rPr>
          <w:rFonts w:ascii="Times New Roman" w:hAnsi="Times New Roman"/>
          <w:sz w:val="24"/>
          <w:szCs w:val="24"/>
        </w:rPr>
        <w:t xml:space="preserve">, </w:t>
      </w:r>
      <w:r w:rsidRPr="00536F9B">
        <w:rPr>
          <w:rFonts w:ascii="Times New Roman" w:hAnsi="Times New Roman"/>
          <w:iCs/>
          <w:sz w:val="24"/>
          <w:szCs w:val="24"/>
        </w:rPr>
        <w:t>155</w:t>
      </w:r>
      <w:r w:rsidRPr="00536F9B">
        <w:rPr>
          <w:rFonts w:ascii="Times New Roman" w:hAnsi="Times New Roman"/>
          <w:sz w:val="24"/>
          <w:szCs w:val="24"/>
        </w:rPr>
        <w:t>, 109-115.</w:t>
      </w:r>
    </w:p>
    <w:p w14:paraId="37B43A08"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Jamadar, M. J. &amp; Shaikh, R.H. (2017). Preparation and evaluation of herbal gel formulation. </w:t>
      </w:r>
      <w:r w:rsidRPr="00536F9B">
        <w:rPr>
          <w:rFonts w:ascii="Times New Roman" w:hAnsi="Times New Roman"/>
          <w:i/>
          <w:iCs/>
          <w:sz w:val="24"/>
          <w:szCs w:val="24"/>
        </w:rPr>
        <w:t>Journal of Pharmaceutical Research and Education</w:t>
      </w:r>
      <w:r w:rsidRPr="00536F9B">
        <w:rPr>
          <w:rFonts w:ascii="Times New Roman" w:hAnsi="Times New Roman"/>
          <w:sz w:val="24"/>
          <w:szCs w:val="24"/>
        </w:rPr>
        <w:t>, 1(2), 201-24.</w:t>
      </w:r>
    </w:p>
    <w:p w14:paraId="18232797" w14:textId="77777777" w:rsidR="00A1665C"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Jyothi, K. N., Kumar, P. D., Arshad, P., Karthik, M., &amp; Panneerselvam, T. (2019). Microsponges: a promising novel drug delivery system. </w:t>
      </w:r>
      <w:r w:rsidRPr="00A850F6">
        <w:rPr>
          <w:rFonts w:ascii="Times New Roman" w:hAnsi="Times New Roman"/>
          <w:i/>
          <w:iCs/>
          <w:sz w:val="24"/>
          <w:szCs w:val="24"/>
        </w:rPr>
        <w:t>Journal of Drug Delivery and Therapeutics</w:t>
      </w:r>
      <w:r w:rsidRPr="00536F9B">
        <w:rPr>
          <w:rFonts w:ascii="Times New Roman" w:hAnsi="Times New Roman"/>
          <w:sz w:val="24"/>
          <w:szCs w:val="24"/>
        </w:rPr>
        <w:t>, 9(5-s), 188-194.</w:t>
      </w:r>
    </w:p>
    <w:p w14:paraId="3A0A79CE" w14:textId="6F89C7B0" w:rsidR="002244BF" w:rsidRPr="00536F9B" w:rsidRDefault="002244BF"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Kumar, P. M., &amp; Ghosh, A. (2017). Development and evaluation of silver sulfadiazine loaded </w:t>
      </w:r>
      <w:proofErr w:type="spellStart"/>
      <w:r w:rsidRPr="00536F9B">
        <w:rPr>
          <w:rFonts w:ascii="Times New Roman" w:hAnsi="Times New Roman"/>
          <w:sz w:val="24"/>
          <w:szCs w:val="24"/>
        </w:rPr>
        <w:t>microsponge</w:t>
      </w:r>
      <w:proofErr w:type="spellEnd"/>
      <w:r w:rsidRPr="00536F9B">
        <w:rPr>
          <w:rFonts w:ascii="Times New Roman" w:hAnsi="Times New Roman"/>
          <w:sz w:val="24"/>
          <w:szCs w:val="24"/>
        </w:rPr>
        <w:t xml:space="preserve"> based gel for partial thickness (second degree) burn wounds. </w:t>
      </w:r>
      <w:r w:rsidRPr="00536F9B">
        <w:rPr>
          <w:rFonts w:ascii="Times New Roman" w:hAnsi="Times New Roman"/>
          <w:i/>
          <w:iCs/>
          <w:sz w:val="24"/>
          <w:szCs w:val="24"/>
        </w:rPr>
        <w:t>European Journal of Pharmaceutical Sciences</w:t>
      </w:r>
      <w:r w:rsidRPr="00536F9B">
        <w:rPr>
          <w:rFonts w:ascii="Times New Roman" w:hAnsi="Times New Roman"/>
          <w:sz w:val="24"/>
          <w:szCs w:val="24"/>
        </w:rPr>
        <w:t>, 96, 243-254.</w:t>
      </w:r>
    </w:p>
    <w:p w14:paraId="42275F58" w14:textId="4E239ACC" w:rsidR="00E86F03" w:rsidRPr="00536F9B" w:rsidRDefault="00E86F03" w:rsidP="00A1665C">
      <w:pPr>
        <w:spacing w:line="360" w:lineRule="auto"/>
        <w:jc w:val="both"/>
        <w:rPr>
          <w:rFonts w:ascii="Times New Roman" w:hAnsi="Times New Roman"/>
          <w:sz w:val="24"/>
          <w:szCs w:val="24"/>
        </w:rPr>
      </w:pPr>
      <w:r w:rsidRPr="00E86F03">
        <w:rPr>
          <w:rFonts w:ascii="Times New Roman" w:hAnsi="Times New Roman"/>
          <w:sz w:val="24"/>
          <w:szCs w:val="24"/>
          <w:highlight w:val="yellow"/>
        </w:rPr>
        <w:lastRenderedPageBreak/>
        <w:t xml:space="preserve">Kuril, A. K., &amp; Saravanan, K. (2024). Particulate Matter determination in Biosimilar Parenteral Product by the Application of Dynamic Light Scattering (DLS) Followed by Statistical Evaluation. </w:t>
      </w:r>
      <w:r w:rsidRPr="00376745">
        <w:rPr>
          <w:rFonts w:ascii="Times New Roman" w:hAnsi="Times New Roman"/>
          <w:i/>
          <w:iCs/>
          <w:sz w:val="24"/>
          <w:szCs w:val="24"/>
          <w:highlight w:val="yellow"/>
        </w:rPr>
        <w:t>Sciences</w:t>
      </w:r>
      <w:r w:rsidRPr="00E86F03">
        <w:rPr>
          <w:rFonts w:ascii="Times New Roman" w:hAnsi="Times New Roman"/>
          <w:sz w:val="24"/>
          <w:szCs w:val="24"/>
          <w:highlight w:val="yellow"/>
        </w:rPr>
        <w:t>, 29(2).</w:t>
      </w:r>
    </w:p>
    <w:p w14:paraId="371082F0"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Laxminarayan, R., &amp; Bhutta, Z. A. (2016). Antimicrobial resistance—a threat to neonate survival. </w:t>
      </w:r>
      <w:r w:rsidRPr="00536F9B">
        <w:rPr>
          <w:rFonts w:ascii="Times New Roman" w:hAnsi="Times New Roman"/>
          <w:i/>
          <w:sz w:val="24"/>
          <w:szCs w:val="24"/>
        </w:rPr>
        <w:t>The Lancet Global Health</w:t>
      </w:r>
      <w:r w:rsidRPr="00536F9B">
        <w:rPr>
          <w:rFonts w:ascii="Times New Roman" w:hAnsi="Times New Roman"/>
          <w:sz w:val="24"/>
          <w:szCs w:val="24"/>
        </w:rPr>
        <w:t xml:space="preserve">, </w:t>
      </w:r>
      <w:r w:rsidRPr="00536F9B">
        <w:rPr>
          <w:rFonts w:ascii="Times New Roman" w:hAnsi="Times New Roman"/>
          <w:iCs/>
          <w:sz w:val="24"/>
          <w:szCs w:val="24"/>
        </w:rPr>
        <w:t>4</w:t>
      </w:r>
      <w:r w:rsidRPr="00536F9B">
        <w:rPr>
          <w:rFonts w:ascii="Times New Roman" w:hAnsi="Times New Roman"/>
          <w:sz w:val="24"/>
          <w:szCs w:val="24"/>
        </w:rPr>
        <w:t>(10), e676-e677.</w:t>
      </w:r>
    </w:p>
    <w:p w14:paraId="23E2872D"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Londonkar, R. L., &amp; Hugar, A. L. (2017). Physicochemical, phytochemical profiling and antimicrobial activity of Pterocarpus marsupium. </w:t>
      </w:r>
      <w:r w:rsidRPr="00536F9B">
        <w:rPr>
          <w:rFonts w:ascii="Times New Roman" w:hAnsi="Times New Roman"/>
          <w:i/>
          <w:iCs/>
          <w:sz w:val="24"/>
          <w:szCs w:val="24"/>
        </w:rPr>
        <w:t>International Journal of Pharmaceutical Sciences and Research</w:t>
      </w:r>
      <w:r w:rsidRPr="00536F9B">
        <w:rPr>
          <w:rFonts w:ascii="Times New Roman" w:hAnsi="Times New Roman"/>
          <w:sz w:val="24"/>
          <w:szCs w:val="24"/>
        </w:rPr>
        <w:t>, 8(5), 2177.</w:t>
      </w:r>
    </w:p>
    <w:p w14:paraId="446886CA" w14:textId="56A16949"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Malik, </w:t>
      </w:r>
      <w:r w:rsidRPr="00523FEC">
        <w:rPr>
          <w:rFonts w:ascii="Times New Roman" w:hAnsi="Times New Roman"/>
          <w:sz w:val="24"/>
          <w:szCs w:val="24"/>
        </w:rPr>
        <w:t>D.</w:t>
      </w:r>
      <w:r w:rsidR="00A850F6" w:rsidRPr="00523FEC">
        <w:rPr>
          <w:rFonts w:ascii="Times New Roman" w:hAnsi="Times New Roman"/>
          <w:sz w:val="24"/>
          <w:szCs w:val="24"/>
        </w:rPr>
        <w:t xml:space="preserve"> </w:t>
      </w:r>
      <w:r w:rsidRPr="00523FEC">
        <w:rPr>
          <w:rFonts w:ascii="Times New Roman" w:hAnsi="Times New Roman"/>
          <w:sz w:val="24"/>
          <w:szCs w:val="24"/>
        </w:rPr>
        <w:t>S.,</w:t>
      </w:r>
      <w:r w:rsidRPr="00536F9B">
        <w:rPr>
          <w:rFonts w:ascii="Times New Roman" w:hAnsi="Times New Roman"/>
          <w:sz w:val="24"/>
          <w:szCs w:val="24"/>
        </w:rPr>
        <w:t xml:space="preserve"> &amp; Kaur, G. (2018). Nanostructured gel for topical delivery of azelaic acid: Designing, characterization, and in-vitro evaluation. </w:t>
      </w:r>
      <w:r w:rsidRPr="00536F9B">
        <w:rPr>
          <w:rFonts w:ascii="Times New Roman" w:hAnsi="Times New Roman"/>
          <w:i/>
          <w:iCs/>
          <w:sz w:val="24"/>
          <w:szCs w:val="24"/>
        </w:rPr>
        <w:t>Journal of Drug Delivery Science and Technology</w:t>
      </w:r>
      <w:r w:rsidRPr="00536F9B">
        <w:rPr>
          <w:rFonts w:ascii="Times New Roman" w:hAnsi="Times New Roman"/>
          <w:sz w:val="24"/>
          <w:szCs w:val="24"/>
        </w:rPr>
        <w:t>, 47, 123-136.</w:t>
      </w:r>
    </w:p>
    <w:p w14:paraId="7907CB1F"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Moin, T. K., Deb, R. A. M., Osmani, R. R., Moin, A., Deb, T. K., Osmani, R. A. M. et al. (2016). Fabrication, characterization, and evaluation of </w:t>
      </w:r>
      <w:proofErr w:type="spellStart"/>
      <w:r w:rsidRPr="00536F9B">
        <w:rPr>
          <w:rFonts w:ascii="Times New Roman" w:hAnsi="Times New Roman"/>
          <w:sz w:val="24"/>
          <w:szCs w:val="24"/>
        </w:rPr>
        <w:t>microsponge</w:t>
      </w:r>
      <w:proofErr w:type="spellEnd"/>
      <w:r w:rsidRPr="00536F9B">
        <w:rPr>
          <w:rFonts w:ascii="Times New Roman" w:hAnsi="Times New Roman"/>
          <w:sz w:val="24"/>
          <w:szCs w:val="24"/>
        </w:rPr>
        <w:t xml:space="preserve"> delivery system for facilitated fungal therapy. </w:t>
      </w:r>
      <w:r w:rsidRPr="00536F9B">
        <w:rPr>
          <w:rFonts w:ascii="Times New Roman" w:hAnsi="Times New Roman"/>
          <w:i/>
          <w:iCs/>
          <w:sz w:val="24"/>
          <w:szCs w:val="24"/>
        </w:rPr>
        <w:t>Journal of Basic and Clinical Pharmacy</w:t>
      </w:r>
      <w:r w:rsidRPr="00536F9B">
        <w:rPr>
          <w:rFonts w:ascii="Times New Roman" w:hAnsi="Times New Roman"/>
          <w:sz w:val="24"/>
          <w:szCs w:val="24"/>
        </w:rPr>
        <w:t>, 7(2), 39.</w:t>
      </w:r>
    </w:p>
    <w:p w14:paraId="3B085900" w14:textId="77777777" w:rsidR="00A1665C" w:rsidRPr="00536F9B" w:rsidRDefault="00A1665C" w:rsidP="00A1665C">
      <w:pPr>
        <w:spacing w:line="360" w:lineRule="auto"/>
        <w:jc w:val="both"/>
        <w:rPr>
          <w:rFonts w:ascii="Times New Roman" w:hAnsi="Times New Roman"/>
          <w:sz w:val="24"/>
          <w:szCs w:val="24"/>
        </w:rPr>
      </w:pPr>
      <w:proofErr w:type="spellStart"/>
      <w:r w:rsidRPr="00536F9B">
        <w:rPr>
          <w:rFonts w:ascii="Times New Roman" w:hAnsi="Times New Roman"/>
          <w:sz w:val="24"/>
          <w:szCs w:val="24"/>
        </w:rPr>
        <w:t>Nasrollahzadeh</w:t>
      </w:r>
      <w:proofErr w:type="spellEnd"/>
      <w:r w:rsidRPr="00536F9B">
        <w:rPr>
          <w:rFonts w:ascii="Times New Roman" w:hAnsi="Times New Roman"/>
          <w:sz w:val="24"/>
          <w:szCs w:val="24"/>
        </w:rPr>
        <w:t xml:space="preserve"> Sabet, M., Biglari, S., Khorram Khorshid, H. R., &amp; Esmaeilzadeh, E. (2020). Shikonin ameliorates experimental autoimmune encephalomyelitis (EAE) via immunomodulatory, anti-apoptotic and antioxidative activity. </w:t>
      </w:r>
      <w:r w:rsidRPr="00536F9B">
        <w:rPr>
          <w:rFonts w:ascii="Times New Roman" w:hAnsi="Times New Roman"/>
          <w:i/>
          <w:iCs/>
          <w:sz w:val="24"/>
          <w:szCs w:val="24"/>
        </w:rPr>
        <w:t>Journal of Pharmacy and Pharmacol</w:t>
      </w:r>
      <w:r w:rsidRPr="00536F9B">
        <w:rPr>
          <w:rFonts w:ascii="Times New Roman" w:hAnsi="Times New Roman"/>
          <w:sz w:val="24"/>
          <w:szCs w:val="24"/>
        </w:rPr>
        <w:t>ogy, 72(12), 1970-1976.</w:t>
      </w:r>
    </w:p>
    <w:p w14:paraId="4A4B2ED7" w14:textId="77777777" w:rsidR="00A1665C" w:rsidRPr="00536F9B" w:rsidRDefault="00A1665C" w:rsidP="00A1665C">
      <w:pPr>
        <w:spacing w:line="360" w:lineRule="auto"/>
        <w:jc w:val="both"/>
        <w:rPr>
          <w:rFonts w:ascii="Times New Roman" w:hAnsi="Times New Roman"/>
          <w:sz w:val="24"/>
          <w:szCs w:val="24"/>
        </w:rPr>
      </w:pPr>
      <w:proofErr w:type="spellStart"/>
      <w:r w:rsidRPr="00536F9B">
        <w:rPr>
          <w:rFonts w:ascii="Times New Roman" w:hAnsi="Times New Roman"/>
          <w:sz w:val="24"/>
          <w:szCs w:val="24"/>
        </w:rPr>
        <w:t>Nokhodchi</w:t>
      </w:r>
      <w:proofErr w:type="spellEnd"/>
      <w:r w:rsidRPr="00536F9B">
        <w:rPr>
          <w:rFonts w:ascii="Times New Roman" w:hAnsi="Times New Roman"/>
          <w:sz w:val="24"/>
          <w:szCs w:val="24"/>
        </w:rPr>
        <w:t xml:space="preserve">, A., </w:t>
      </w:r>
      <w:proofErr w:type="spellStart"/>
      <w:r w:rsidRPr="00536F9B">
        <w:rPr>
          <w:rFonts w:ascii="Times New Roman" w:hAnsi="Times New Roman"/>
          <w:sz w:val="24"/>
          <w:szCs w:val="24"/>
        </w:rPr>
        <w:t>Jelvehgari</w:t>
      </w:r>
      <w:proofErr w:type="spellEnd"/>
      <w:r w:rsidRPr="00536F9B">
        <w:rPr>
          <w:rFonts w:ascii="Times New Roman" w:hAnsi="Times New Roman"/>
          <w:sz w:val="24"/>
          <w:szCs w:val="24"/>
        </w:rPr>
        <w:t xml:space="preserve">, M., </w:t>
      </w:r>
      <w:proofErr w:type="spellStart"/>
      <w:r w:rsidRPr="00536F9B">
        <w:rPr>
          <w:rFonts w:ascii="Times New Roman" w:hAnsi="Times New Roman"/>
          <w:sz w:val="24"/>
          <w:szCs w:val="24"/>
        </w:rPr>
        <w:t>Siahi</w:t>
      </w:r>
      <w:proofErr w:type="spellEnd"/>
      <w:r w:rsidRPr="00536F9B">
        <w:rPr>
          <w:rFonts w:ascii="Times New Roman" w:hAnsi="Times New Roman"/>
          <w:sz w:val="24"/>
          <w:szCs w:val="24"/>
        </w:rPr>
        <w:t xml:space="preserve">, M. R., &amp; </w:t>
      </w:r>
      <w:proofErr w:type="spellStart"/>
      <w:r w:rsidRPr="00536F9B">
        <w:rPr>
          <w:rFonts w:ascii="Times New Roman" w:hAnsi="Times New Roman"/>
          <w:sz w:val="24"/>
          <w:szCs w:val="24"/>
        </w:rPr>
        <w:t>Mozafari</w:t>
      </w:r>
      <w:proofErr w:type="spellEnd"/>
      <w:r w:rsidRPr="00536F9B">
        <w:rPr>
          <w:rFonts w:ascii="Times New Roman" w:hAnsi="Times New Roman"/>
          <w:sz w:val="24"/>
          <w:szCs w:val="24"/>
        </w:rPr>
        <w:t xml:space="preserve">, M. R. (2007). Factors affecting the morphology of benzoyl peroxide microsponges. </w:t>
      </w:r>
      <w:r w:rsidRPr="00536F9B">
        <w:rPr>
          <w:rFonts w:ascii="Times New Roman" w:hAnsi="Times New Roman"/>
          <w:i/>
          <w:iCs/>
          <w:sz w:val="24"/>
          <w:szCs w:val="24"/>
        </w:rPr>
        <w:t>Micron</w:t>
      </w:r>
      <w:r w:rsidRPr="00536F9B">
        <w:rPr>
          <w:rFonts w:ascii="Times New Roman" w:hAnsi="Times New Roman"/>
          <w:sz w:val="24"/>
          <w:szCs w:val="24"/>
        </w:rPr>
        <w:t>, 38(8), 834-840.</w:t>
      </w:r>
    </w:p>
    <w:p w14:paraId="4150BFC7" w14:textId="77777777" w:rsidR="00A1665C" w:rsidRPr="00536F9B" w:rsidRDefault="00A1665C" w:rsidP="00A1665C">
      <w:pPr>
        <w:spacing w:line="360" w:lineRule="auto"/>
        <w:jc w:val="both"/>
        <w:rPr>
          <w:rFonts w:ascii="Times New Roman" w:hAnsi="Times New Roman"/>
          <w:sz w:val="24"/>
          <w:szCs w:val="24"/>
        </w:rPr>
      </w:pPr>
      <w:proofErr w:type="spellStart"/>
      <w:r w:rsidRPr="00536F9B">
        <w:rPr>
          <w:rFonts w:ascii="Times New Roman" w:hAnsi="Times New Roman"/>
          <w:sz w:val="24"/>
          <w:szCs w:val="24"/>
        </w:rPr>
        <w:t>Obiedallah</w:t>
      </w:r>
      <w:proofErr w:type="spellEnd"/>
      <w:r w:rsidRPr="00536F9B">
        <w:rPr>
          <w:rFonts w:ascii="Times New Roman" w:hAnsi="Times New Roman"/>
          <w:sz w:val="24"/>
          <w:szCs w:val="24"/>
        </w:rPr>
        <w:t>, M. M., Abdel-</w:t>
      </w:r>
      <w:proofErr w:type="spellStart"/>
      <w:r w:rsidRPr="00536F9B">
        <w:rPr>
          <w:rFonts w:ascii="Times New Roman" w:hAnsi="Times New Roman"/>
          <w:sz w:val="24"/>
          <w:szCs w:val="24"/>
        </w:rPr>
        <w:t>Mageed</w:t>
      </w:r>
      <w:proofErr w:type="spellEnd"/>
      <w:r w:rsidRPr="00536F9B">
        <w:rPr>
          <w:rFonts w:ascii="Times New Roman" w:hAnsi="Times New Roman"/>
          <w:sz w:val="24"/>
          <w:szCs w:val="24"/>
        </w:rPr>
        <w:t xml:space="preserve">, A. M., &amp; </w:t>
      </w:r>
      <w:proofErr w:type="spellStart"/>
      <w:r w:rsidRPr="00536F9B">
        <w:rPr>
          <w:rFonts w:ascii="Times New Roman" w:hAnsi="Times New Roman"/>
          <w:sz w:val="24"/>
          <w:szCs w:val="24"/>
        </w:rPr>
        <w:t>Elfaham</w:t>
      </w:r>
      <w:proofErr w:type="spellEnd"/>
      <w:r w:rsidRPr="00536F9B">
        <w:rPr>
          <w:rFonts w:ascii="Times New Roman" w:hAnsi="Times New Roman"/>
          <w:sz w:val="24"/>
          <w:szCs w:val="24"/>
        </w:rPr>
        <w:t xml:space="preserve">, T.H. (2018). Ocular administration of acetazolamide microsponges in situ gel formulations. </w:t>
      </w:r>
      <w:r w:rsidRPr="00536F9B">
        <w:rPr>
          <w:rFonts w:ascii="Times New Roman" w:hAnsi="Times New Roman"/>
          <w:i/>
          <w:iCs/>
          <w:sz w:val="24"/>
          <w:szCs w:val="24"/>
        </w:rPr>
        <w:t>Saudi Pharmaceutical Journal</w:t>
      </w:r>
      <w:r w:rsidRPr="00536F9B">
        <w:rPr>
          <w:rFonts w:ascii="Times New Roman" w:hAnsi="Times New Roman"/>
          <w:sz w:val="24"/>
          <w:szCs w:val="24"/>
        </w:rPr>
        <w:t>, 26(7), 909-920.</w:t>
      </w:r>
    </w:p>
    <w:p w14:paraId="63B8AAFE" w14:textId="77777777" w:rsidR="00FB591B" w:rsidRDefault="00FB591B" w:rsidP="00A1665C">
      <w:pPr>
        <w:spacing w:line="360" w:lineRule="auto"/>
        <w:jc w:val="both"/>
        <w:rPr>
          <w:rFonts w:ascii="Times New Roman" w:hAnsi="Times New Roman"/>
          <w:sz w:val="24"/>
          <w:szCs w:val="24"/>
        </w:rPr>
      </w:pPr>
      <w:r w:rsidRPr="00BA15C8">
        <w:rPr>
          <w:rFonts w:ascii="Times New Roman" w:hAnsi="Times New Roman"/>
          <w:sz w:val="24"/>
          <w:szCs w:val="24"/>
          <w:highlight w:val="yellow"/>
        </w:rPr>
        <w:t xml:space="preserve">Papageorgiou, V. P., </w:t>
      </w:r>
      <w:proofErr w:type="spellStart"/>
      <w:r w:rsidRPr="00BA15C8">
        <w:rPr>
          <w:rFonts w:ascii="Times New Roman" w:hAnsi="Times New Roman"/>
          <w:sz w:val="24"/>
          <w:szCs w:val="24"/>
          <w:highlight w:val="yellow"/>
        </w:rPr>
        <w:t>Assimopoulou</w:t>
      </w:r>
      <w:proofErr w:type="spellEnd"/>
      <w:r w:rsidRPr="00BA15C8">
        <w:rPr>
          <w:rFonts w:ascii="Times New Roman" w:hAnsi="Times New Roman"/>
          <w:sz w:val="24"/>
          <w:szCs w:val="24"/>
          <w:highlight w:val="yellow"/>
        </w:rPr>
        <w:t xml:space="preserve">, A. N., &amp; Ballis, A. C. (2008). Alkannins and </w:t>
      </w:r>
      <w:proofErr w:type="spellStart"/>
      <w:r w:rsidRPr="00BA15C8">
        <w:rPr>
          <w:rFonts w:ascii="Times New Roman" w:hAnsi="Times New Roman"/>
          <w:sz w:val="24"/>
          <w:szCs w:val="24"/>
          <w:highlight w:val="yellow"/>
        </w:rPr>
        <w:t>shikonins</w:t>
      </w:r>
      <w:proofErr w:type="spellEnd"/>
      <w:r w:rsidRPr="00BA15C8">
        <w:rPr>
          <w:rFonts w:ascii="Times New Roman" w:hAnsi="Times New Roman"/>
          <w:sz w:val="24"/>
          <w:szCs w:val="24"/>
          <w:highlight w:val="yellow"/>
        </w:rPr>
        <w:t>: a new class of wound healing agents. </w:t>
      </w:r>
      <w:r w:rsidRPr="00BA15C8">
        <w:rPr>
          <w:rFonts w:ascii="Times New Roman" w:hAnsi="Times New Roman"/>
          <w:i/>
          <w:iCs/>
          <w:sz w:val="24"/>
          <w:szCs w:val="24"/>
          <w:highlight w:val="yellow"/>
        </w:rPr>
        <w:t>Current medicinal chemistry</w:t>
      </w:r>
      <w:r w:rsidRPr="00BA15C8">
        <w:rPr>
          <w:rFonts w:ascii="Times New Roman" w:hAnsi="Times New Roman"/>
          <w:sz w:val="24"/>
          <w:szCs w:val="24"/>
          <w:highlight w:val="yellow"/>
        </w:rPr>
        <w:t>, </w:t>
      </w:r>
      <w:r w:rsidRPr="00BA15C8">
        <w:rPr>
          <w:rFonts w:ascii="Times New Roman" w:hAnsi="Times New Roman"/>
          <w:i/>
          <w:iCs/>
          <w:sz w:val="24"/>
          <w:szCs w:val="24"/>
          <w:highlight w:val="yellow"/>
        </w:rPr>
        <w:t>15</w:t>
      </w:r>
      <w:r w:rsidRPr="00BA15C8">
        <w:rPr>
          <w:rFonts w:ascii="Times New Roman" w:hAnsi="Times New Roman"/>
          <w:sz w:val="24"/>
          <w:szCs w:val="24"/>
          <w:highlight w:val="yellow"/>
        </w:rPr>
        <w:t>(30), 3248-3267</w:t>
      </w:r>
    </w:p>
    <w:p w14:paraId="75EE0D39" w14:textId="646076C1"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Perumal, D. (2001). Microencapsulation of ibuprofen and Eudragit® RS 100 by the emulsion solvent diffusion technique. </w:t>
      </w:r>
      <w:r w:rsidRPr="00536F9B">
        <w:rPr>
          <w:rFonts w:ascii="Times New Roman" w:hAnsi="Times New Roman"/>
          <w:i/>
          <w:iCs/>
          <w:sz w:val="24"/>
          <w:szCs w:val="24"/>
        </w:rPr>
        <w:t>International Journal of Pharmaceutics</w:t>
      </w:r>
      <w:r w:rsidRPr="00536F9B">
        <w:rPr>
          <w:rFonts w:ascii="Times New Roman" w:hAnsi="Times New Roman"/>
          <w:sz w:val="24"/>
          <w:szCs w:val="24"/>
        </w:rPr>
        <w:t>, 218, 1-11.</w:t>
      </w:r>
    </w:p>
    <w:p w14:paraId="487E360C" w14:textId="7241612C" w:rsidR="00A1665C"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lastRenderedPageBreak/>
        <w:t xml:space="preserve">PB, M., SG, K., VS, H., &amp; </w:t>
      </w:r>
      <w:r w:rsidR="004F743F" w:rsidRPr="00536F9B">
        <w:rPr>
          <w:rFonts w:ascii="Times New Roman" w:hAnsi="Times New Roman"/>
          <w:sz w:val="24"/>
          <w:szCs w:val="24"/>
        </w:rPr>
        <w:t>Yogita</w:t>
      </w:r>
      <w:r w:rsidRPr="00536F9B">
        <w:rPr>
          <w:rFonts w:ascii="Times New Roman" w:hAnsi="Times New Roman"/>
          <w:sz w:val="24"/>
          <w:szCs w:val="24"/>
        </w:rPr>
        <w:t xml:space="preserve">, S. (2015). </w:t>
      </w:r>
      <w:bookmarkStart w:id="6" w:name="_Hlk156517354"/>
      <w:r w:rsidRPr="00536F9B">
        <w:rPr>
          <w:rFonts w:ascii="Times New Roman" w:hAnsi="Times New Roman"/>
          <w:sz w:val="24"/>
          <w:szCs w:val="24"/>
        </w:rPr>
        <w:t xml:space="preserve">Recent advances in microsponges drug delivery system. </w:t>
      </w:r>
      <w:bookmarkEnd w:id="6"/>
      <w:r w:rsidRPr="00536F9B">
        <w:rPr>
          <w:rFonts w:ascii="Times New Roman" w:hAnsi="Times New Roman"/>
          <w:i/>
          <w:iCs/>
          <w:sz w:val="24"/>
          <w:szCs w:val="24"/>
        </w:rPr>
        <w:t>Journal of Critical Reviews</w:t>
      </w:r>
      <w:r w:rsidRPr="00536F9B">
        <w:rPr>
          <w:rFonts w:ascii="Times New Roman" w:hAnsi="Times New Roman"/>
          <w:sz w:val="24"/>
          <w:szCs w:val="24"/>
        </w:rPr>
        <w:t>, 3(1), 2016.</w:t>
      </w:r>
    </w:p>
    <w:p w14:paraId="7B14D906" w14:textId="6E8908CA" w:rsidR="00376745" w:rsidRPr="00536F9B" w:rsidRDefault="00376745" w:rsidP="00A1665C">
      <w:pPr>
        <w:spacing w:line="360" w:lineRule="auto"/>
        <w:jc w:val="both"/>
        <w:rPr>
          <w:rFonts w:ascii="Times New Roman" w:hAnsi="Times New Roman"/>
          <w:sz w:val="24"/>
          <w:szCs w:val="24"/>
        </w:rPr>
      </w:pPr>
      <w:r w:rsidRPr="00BA15C8">
        <w:rPr>
          <w:rFonts w:ascii="Times New Roman" w:hAnsi="Times New Roman"/>
          <w:sz w:val="24"/>
          <w:szCs w:val="24"/>
          <w:highlight w:val="yellow"/>
        </w:rPr>
        <w:t xml:space="preserve">Priyadarshi, R., &amp; Rhim, J. W. (2022). Shikonin: Extraction, properties and applications in active and intelligent packaging. </w:t>
      </w:r>
      <w:r w:rsidRPr="00BA15C8">
        <w:rPr>
          <w:rFonts w:ascii="Times New Roman" w:hAnsi="Times New Roman"/>
          <w:i/>
          <w:iCs/>
          <w:sz w:val="24"/>
          <w:szCs w:val="24"/>
          <w:highlight w:val="yellow"/>
        </w:rPr>
        <w:t>Packaging Technology and Science</w:t>
      </w:r>
      <w:r w:rsidRPr="00BA15C8">
        <w:rPr>
          <w:rFonts w:ascii="Times New Roman" w:hAnsi="Times New Roman"/>
          <w:sz w:val="24"/>
          <w:szCs w:val="24"/>
          <w:highlight w:val="yellow"/>
        </w:rPr>
        <w:t>, 35(12), 863-877.</w:t>
      </w:r>
    </w:p>
    <w:p w14:paraId="2CEC4B65"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Salah, S., Awad, G. E., &amp; Makhlouf, A. I. (2018). Improved vaginal retention and enhanced antifungal activity of miconazole microsponges gel: Formulation development and in vivo therapeutic efficacy in rats. </w:t>
      </w:r>
      <w:r w:rsidRPr="00536F9B">
        <w:rPr>
          <w:rFonts w:ascii="Times New Roman" w:hAnsi="Times New Roman"/>
          <w:i/>
          <w:iCs/>
          <w:sz w:val="24"/>
          <w:szCs w:val="24"/>
        </w:rPr>
        <w:t>European Journal of Pharmaceutical Sciences</w:t>
      </w:r>
      <w:r w:rsidRPr="00536F9B">
        <w:rPr>
          <w:rFonts w:ascii="Times New Roman" w:hAnsi="Times New Roman"/>
          <w:sz w:val="24"/>
          <w:szCs w:val="24"/>
        </w:rPr>
        <w:t>, 114, 255-266.</w:t>
      </w:r>
    </w:p>
    <w:p w14:paraId="00151DCA"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Shen, C. C., </w:t>
      </w:r>
      <w:proofErr w:type="spellStart"/>
      <w:r w:rsidRPr="00536F9B">
        <w:rPr>
          <w:rFonts w:ascii="Times New Roman" w:hAnsi="Times New Roman"/>
          <w:sz w:val="24"/>
          <w:szCs w:val="24"/>
        </w:rPr>
        <w:t>Syu</w:t>
      </w:r>
      <w:proofErr w:type="spellEnd"/>
      <w:r w:rsidRPr="00536F9B">
        <w:rPr>
          <w:rFonts w:ascii="Times New Roman" w:hAnsi="Times New Roman"/>
          <w:sz w:val="24"/>
          <w:szCs w:val="24"/>
        </w:rPr>
        <w:t xml:space="preserve">, W. J., Li, S. Y., Lin, C. H., Lee, G. H., &amp; Sun, C. M. (2002). Antimicrobial activities of naphthazarins from </w:t>
      </w:r>
      <w:proofErr w:type="spellStart"/>
      <w:r w:rsidRPr="00536F9B">
        <w:rPr>
          <w:rFonts w:ascii="Times New Roman" w:hAnsi="Times New Roman"/>
          <w:sz w:val="24"/>
          <w:szCs w:val="24"/>
        </w:rPr>
        <w:t>arnebia</w:t>
      </w:r>
      <w:proofErr w:type="spellEnd"/>
      <w:r w:rsidRPr="00536F9B">
        <w:rPr>
          <w:rFonts w:ascii="Times New Roman" w:hAnsi="Times New Roman"/>
          <w:sz w:val="24"/>
          <w:szCs w:val="24"/>
        </w:rPr>
        <w:t xml:space="preserve"> e </w:t>
      </w:r>
      <w:proofErr w:type="spellStart"/>
      <w:r w:rsidRPr="00536F9B">
        <w:rPr>
          <w:rFonts w:ascii="Times New Roman" w:hAnsi="Times New Roman"/>
          <w:sz w:val="24"/>
          <w:szCs w:val="24"/>
        </w:rPr>
        <w:t>uchroma</w:t>
      </w:r>
      <w:proofErr w:type="spellEnd"/>
      <w:r w:rsidRPr="00536F9B">
        <w:rPr>
          <w:rFonts w:ascii="Times New Roman" w:hAnsi="Times New Roman"/>
          <w:i/>
          <w:iCs/>
          <w:sz w:val="24"/>
          <w:szCs w:val="24"/>
        </w:rPr>
        <w:t>. Journal of Natural Products</w:t>
      </w:r>
      <w:r w:rsidRPr="00536F9B">
        <w:rPr>
          <w:rFonts w:ascii="Times New Roman" w:hAnsi="Times New Roman"/>
          <w:sz w:val="24"/>
          <w:szCs w:val="24"/>
        </w:rPr>
        <w:t>, 65(12), 1857-1862.</w:t>
      </w:r>
    </w:p>
    <w:p w14:paraId="4524756C" w14:textId="338BFA90"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Shu, G., Xu, D., Zhang, W., Zhao, X., Li, H., Xu, F. et al. (2022). Preparation of </w:t>
      </w:r>
      <w:proofErr w:type="spellStart"/>
      <w:r w:rsidRPr="00536F9B">
        <w:rPr>
          <w:rFonts w:ascii="Times New Roman" w:hAnsi="Times New Roman"/>
          <w:sz w:val="24"/>
          <w:szCs w:val="24"/>
        </w:rPr>
        <w:t>shikonin</w:t>
      </w:r>
      <w:proofErr w:type="spellEnd"/>
      <w:r w:rsidRPr="00536F9B">
        <w:rPr>
          <w:rFonts w:ascii="Times New Roman" w:hAnsi="Times New Roman"/>
          <w:sz w:val="24"/>
          <w:szCs w:val="24"/>
        </w:rPr>
        <w:t xml:space="preserve"> liposome and evaluation of its in vitro antibacterial and in vivo infected wound healing activity. </w:t>
      </w:r>
      <w:r w:rsidRPr="00536F9B">
        <w:rPr>
          <w:rFonts w:ascii="Times New Roman" w:hAnsi="Times New Roman"/>
          <w:i/>
          <w:sz w:val="24"/>
          <w:szCs w:val="24"/>
        </w:rPr>
        <w:t>Phytomedicine,</w:t>
      </w:r>
      <w:r w:rsidRPr="00536F9B">
        <w:rPr>
          <w:rFonts w:ascii="Times New Roman" w:hAnsi="Times New Roman"/>
          <w:sz w:val="24"/>
          <w:szCs w:val="24"/>
        </w:rPr>
        <w:t xml:space="preserve"> </w:t>
      </w:r>
      <w:r w:rsidRPr="00536F9B">
        <w:rPr>
          <w:rFonts w:ascii="Times New Roman" w:hAnsi="Times New Roman"/>
          <w:iCs/>
          <w:sz w:val="24"/>
          <w:szCs w:val="24"/>
        </w:rPr>
        <w:t>99</w:t>
      </w:r>
      <w:r w:rsidRPr="00536F9B">
        <w:rPr>
          <w:rFonts w:ascii="Times New Roman" w:hAnsi="Times New Roman"/>
          <w:sz w:val="24"/>
          <w:szCs w:val="24"/>
        </w:rPr>
        <w:t>, 154035.</w:t>
      </w:r>
    </w:p>
    <w:p w14:paraId="40D95265"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Vidhya, E., Vijayakumar, S., Rajalakshmi, S., Kalaiselvi, S., &amp; Pandiyan, P. (2020). Antimicrobial activity and phytochemical screening of Ocimum americanum L extracts against pathogenic microorganisms. </w:t>
      </w:r>
      <w:r w:rsidRPr="00536F9B">
        <w:rPr>
          <w:rFonts w:ascii="Times New Roman" w:hAnsi="Times New Roman"/>
          <w:i/>
          <w:iCs/>
          <w:sz w:val="24"/>
          <w:szCs w:val="24"/>
        </w:rPr>
        <w:t xml:space="preserve">Acta </w:t>
      </w:r>
      <w:proofErr w:type="spellStart"/>
      <w:r w:rsidRPr="00536F9B">
        <w:rPr>
          <w:rFonts w:ascii="Times New Roman" w:hAnsi="Times New Roman"/>
          <w:i/>
          <w:iCs/>
          <w:sz w:val="24"/>
          <w:szCs w:val="24"/>
        </w:rPr>
        <w:t>Ecologica</w:t>
      </w:r>
      <w:proofErr w:type="spellEnd"/>
      <w:r w:rsidRPr="00536F9B">
        <w:rPr>
          <w:rFonts w:ascii="Times New Roman" w:hAnsi="Times New Roman"/>
          <w:i/>
          <w:iCs/>
          <w:sz w:val="24"/>
          <w:szCs w:val="24"/>
        </w:rPr>
        <w:t xml:space="preserve"> Sinica</w:t>
      </w:r>
      <w:r w:rsidRPr="00536F9B">
        <w:rPr>
          <w:rFonts w:ascii="Times New Roman" w:hAnsi="Times New Roman"/>
          <w:sz w:val="24"/>
          <w:szCs w:val="24"/>
        </w:rPr>
        <w:t>, 40(3), 214-220.</w:t>
      </w:r>
    </w:p>
    <w:p w14:paraId="6C3ACBB3"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Vishwakarma, P., &amp; Choudhary, R. (2019). Microsponges: A novel strategy to control the delivery rate of active agents with reduced skin irritancy</w:t>
      </w:r>
      <w:r w:rsidRPr="00536F9B">
        <w:rPr>
          <w:rFonts w:ascii="Times New Roman" w:hAnsi="Times New Roman"/>
          <w:i/>
          <w:iCs/>
          <w:sz w:val="24"/>
          <w:szCs w:val="24"/>
        </w:rPr>
        <w:t>. Journal of Drug Delivery &amp; Therapeutics</w:t>
      </w:r>
      <w:r w:rsidRPr="00536F9B">
        <w:rPr>
          <w:rFonts w:ascii="Times New Roman" w:hAnsi="Times New Roman"/>
          <w:sz w:val="24"/>
          <w:szCs w:val="24"/>
        </w:rPr>
        <w:t xml:space="preserve">, </w:t>
      </w:r>
      <w:r w:rsidRPr="00536F9B">
        <w:rPr>
          <w:rFonts w:ascii="Times New Roman" w:hAnsi="Times New Roman"/>
          <w:iCs/>
          <w:sz w:val="24"/>
          <w:szCs w:val="24"/>
        </w:rPr>
        <w:t>9</w:t>
      </w:r>
      <w:r w:rsidRPr="00536F9B">
        <w:rPr>
          <w:rFonts w:ascii="Times New Roman" w:hAnsi="Times New Roman"/>
          <w:sz w:val="24"/>
          <w:szCs w:val="24"/>
        </w:rPr>
        <w:t>(6), 238-247.</w:t>
      </w:r>
    </w:p>
    <w:p w14:paraId="26A57828"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Wadhwa, G., Kumar, S., Mittal, V., &amp; Rao, R. (2019). Encapsulation of babchi essential oil into microsponges: Physicochemical properties, cytotoxic evaluation and anti-microbial activity. </w:t>
      </w:r>
      <w:r w:rsidRPr="00536F9B">
        <w:rPr>
          <w:rFonts w:ascii="Times New Roman" w:hAnsi="Times New Roman"/>
          <w:i/>
          <w:iCs/>
          <w:sz w:val="24"/>
          <w:szCs w:val="24"/>
        </w:rPr>
        <w:t>Journal of Food and Drug Analysis</w:t>
      </w:r>
      <w:r w:rsidRPr="00536F9B">
        <w:rPr>
          <w:rFonts w:ascii="Times New Roman" w:hAnsi="Times New Roman"/>
          <w:sz w:val="24"/>
          <w:szCs w:val="24"/>
        </w:rPr>
        <w:t>, 27(1), 60-70.</w:t>
      </w:r>
    </w:p>
    <w:bookmarkEnd w:id="5"/>
    <w:p w14:paraId="1E520913" w14:textId="77777777" w:rsidR="001105B9" w:rsidRPr="008B33CC" w:rsidRDefault="001105B9" w:rsidP="0008082E">
      <w:pPr>
        <w:spacing w:line="480" w:lineRule="auto"/>
        <w:jc w:val="both"/>
        <w:rPr>
          <w:rFonts w:ascii="Times New Roman" w:hAnsi="Times New Roman"/>
          <w:sz w:val="24"/>
          <w:szCs w:val="24"/>
        </w:rPr>
      </w:pPr>
    </w:p>
    <w:sectPr w:rsidR="001105B9" w:rsidRPr="008B33CC" w:rsidSect="00E93211">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58864" w14:textId="77777777" w:rsidR="00146626" w:rsidRDefault="00146626" w:rsidP="002C3D8B">
      <w:pPr>
        <w:spacing w:after="0" w:line="240" w:lineRule="auto"/>
      </w:pPr>
      <w:r>
        <w:separator/>
      </w:r>
    </w:p>
  </w:endnote>
  <w:endnote w:type="continuationSeparator" w:id="0">
    <w:p w14:paraId="43187FB9" w14:textId="77777777" w:rsidR="00146626" w:rsidRDefault="00146626" w:rsidP="002C3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dvOT56309c18.I">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6009E" w14:textId="77777777" w:rsidR="002C3D8B" w:rsidRDefault="002C3D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A9B29" w14:textId="77777777" w:rsidR="002C3D8B" w:rsidRDefault="002C3D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E65F3" w14:textId="77777777" w:rsidR="002C3D8B" w:rsidRDefault="002C3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8C6DB" w14:textId="77777777" w:rsidR="00146626" w:rsidRDefault="00146626" w:rsidP="002C3D8B">
      <w:pPr>
        <w:spacing w:after="0" w:line="240" w:lineRule="auto"/>
      </w:pPr>
      <w:r>
        <w:separator/>
      </w:r>
    </w:p>
  </w:footnote>
  <w:footnote w:type="continuationSeparator" w:id="0">
    <w:p w14:paraId="1EA68EB2" w14:textId="77777777" w:rsidR="00146626" w:rsidRDefault="00146626" w:rsidP="002C3D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8AFCD" w14:textId="67E8973F" w:rsidR="002C3D8B" w:rsidRDefault="00000000">
    <w:pPr>
      <w:pStyle w:val="Header"/>
    </w:pPr>
    <w:r>
      <w:rPr>
        <w:noProof/>
      </w:rPr>
      <w:pict w14:anchorId="5BB27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36360"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34C18" w14:textId="306837D2" w:rsidR="002C3D8B" w:rsidRDefault="00000000">
    <w:pPr>
      <w:pStyle w:val="Header"/>
    </w:pPr>
    <w:r>
      <w:rPr>
        <w:noProof/>
      </w:rPr>
      <w:pict w14:anchorId="4C714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36361"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A1C36" w14:textId="5F13721A" w:rsidR="002C3D8B" w:rsidRDefault="00000000">
    <w:pPr>
      <w:pStyle w:val="Header"/>
    </w:pPr>
    <w:r>
      <w:rPr>
        <w:noProof/>
      </w:rPr>
      <w:pict w14:anchorId="317E8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36359"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E1873"/>
    <w:multiLevelType w:val="hybridMultilevel"/>
    <w:tmpl w:val="F5D0EDB6"/>
    <w:lvl w:ilvl="0" w:tplc="FC6A0694">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966AE"/>
    <w:multiLevelType w:val="hybridMultilevel"/>
    <w:tmpl w:val="C85AB28C"/>
    <w:lvl w:ilvl="0" w:tplc="ED929DB6">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9A236C"/>
    <w:multiLevelType w:val="multilevel"/>
    <w:tmpl w:val="52B0809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661AF0"/>
    <w:multiLevelType w:val="hybridMultilevel"/>
    <w:tmpl w:val="DA0CB39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F4418CB"/>
    <w:multiLevelType w:val="hybridMultilevel"/>
    <w:tmpl w:val="33EA1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D4488B"/>
    <w:multiLevelType w:val="hybridMultilevel"/>
    <w:tmpl w:val="EC24D678"/>
    <w:lvl w:ilvl="0" w:tplc="4F746D26">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7B5748B"/>
    <w:multiLevelType w:val="hybridMultilevel"/>
    <w:tmpl w:val="80A80BB8"/>
    <w:lvl w:ilvl="0" w:tplc="9FB08BCC">
      <w:start w:val="2"/>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EB62B9"/>
    <w:multiLevelType w:val="multilevel"/>
    <w:tmpl w:val="CA4418C4"/>
    <w:lvl w:ilvl="0">
      <w:start w:val="1"/>
      <w:numFmt w:val="decimal"/>
      <w:lvlText w:val="%1."/>
      <w:lvlJc w:val="left"/>
      <w:pPr>
        <w:ind w:left="360" w:hanging="360"/>
      </w:pPr>
      <w:rPr>
        <w:rFonts w:hint="default"/>
      </w:rPr>
    </w:lvl>
    <w:lvl w:ilvl="1">
      <w:start w:val="1"/>
      <w:numFmt w:val="decimal"/>
      <w:isLgl/>
      <w:lvlText w:val="%1.%2."/>
      <w:lvlJc w:val="left"/>
      <w:pPr>
        <w:ind w:left="495" w:hanging="495"/>
      </w:pPr>
      <w:rPr>
        <w:rFonts w:ascii="Times New Roman" w:hAnsi="Times New Roman" w:cs="Times New Roman" w:hint="default"/>
        <w:color w:val="auto"/>
        <w:sz w:val="24"/>
        <w:szCs w:val="24"/>
      </w:rPr>
    </w:lvl>
    <w:lvl w:ilvl="2">
      <w:start w:val="1"/>
      <w:numFmt w:val="decimal"/>
      <w:isLgl/>
      <w:lvlText w:val="%1.%2.%3."/>
      <w:lvlJc w:val="left"/>
      <w:pPr>
        <w:ind w:left="720" w:hanging="720"/>
      </w:pPr>
      <w:rPr>
        <w:rFonts w:ascii="AdvOT56309c18.I" w:hAnsi="AdvOT56309c18.I" w:cs="AdvOT56309c18.I" w:hint="default"/>
        <w:color w:val="5478B4"/>
        <w:sz w:val="20"/>
      </w:rPr>
    </w:lvl>
    <w:lvl w:ilvl="3">
      <w:start w:val="1"/>
      <w:numFmt w:val="decimal"/>
      <w:isLgl/>
      <w:lvlText w:val="%1.%2.%3.%4."/>
      <w:lvlJc w:val="left"/>
      <w:pPr>
        <w:ind w:left="720" w:hanging="720"/>
      </w:pPr>
      <w:rPr>
        <w:rFonts w:ascii="AdvOT56309c18.I" w:hAnsi="AdvOT56309c18.I" w:cs="AdvOT56309c18.I" w:hint="default"/>
        <w:color w:val="5478B4"/>
        <w:sz w:val="20"/>
      </w:rPr>
    </w:lvl>
    <w:lvl w:ilvl="4">
      <w:start w:val="1"/>
      <w:numFmt w:val="decimal"/>
      <w:isLgl/>
      <w:lvlText w:val="%1.%2.%3.%4.%5."/>
      <w:lvlJc w:val="left"/>
      <w:pPr>
        <w:ind w:left="1080" w:hanging="1080"/>
      </w:pPr>
      <w:rPr>
        <w:rFonts w:ascii="AdvOT56309c18.I" w:hAnsi="AdvOT56309c18.I" w:cs="AdvOT56309c18.I" w:hint="default"/>
        <w:color w:val="5478B4"/>
        <w:sz w:val="20"/>
      </w:rPr>
    </w:lvl>
    <w:lvl w:ilvl="5">
      <w:start w:val="1"/>
      <w:numFmt w:val="decimal"/>
      <w:isLgl/>
      <w:lvlText w:val="%1.%2.%3.%4.%5.%6."/>
      <w:lvlJc w:val="left"/>
      <w:pPr>
        <w:ind w:left="1080" w:hanging="1080"/>
      </w:pPr>
      <w:rPr>
        <w:rFonts w:ascii="AdvOT56309c18.I" w:hAnsi="AdvOT56309c18.I" w:cs="AdvOT56309c18.I" w:hint="default"/>
        <w:color w:val="5478B4"/>
        <w:sz w:val="20"/>
      </w:rPr>
    </w:lvl>
    <w:lvl w:ilvl="6">
      <w:start w:val="1"/>
      <w:numFmt w:val="decimal"/>
      <w:isLgl/>
      <w:lvlText w:val="%1.%2.%3.%4.%5.%6.%7."/>
      <w:lvlJc w:val="left"/>
      <w:pPr>
        <w:ind w:left="1440" w:hanging="1440"/>
      </w:pPr>
      <w:rPr>
        <w:rFonts w:ascii="AdvOT56309c18.I" w:hAnsi="AdvOT56309c18.I" w:cs="AdvOT56309c18.I" w:hint="default"/>
        <w:color w:val="5478B4"/>
        <w:sz w:val="20"/>
      </w:rPr>
    </w:lvl>
    <w:lvl w:ilvl="7">
      <w:start w:val="1"/>
      <w:numFmt w:val="decimal"/>
      <w:isLgl/>
      <w:lvlText w:val="%1.%2.%3.%4.%5.%6.%7.%8."/>
      <w:lvlJc w:val="left"/>
      <w:pPr>
        <w:ind w:left="1440" w:hanging="1440"/>
      </w:pPr>
      <w:rPr>
        <w:rFonts w:ascii="AdvOT56309c18.I" w:hAnsi="AdvOT56309c18.I" w:cs="AdvOT56309c18.I" w:hint="default"/>
        <w:color w:val="5478B4"/>
        <w:sz w:val="20"/>
      </w:rPr>
    </w:lvl>
    <w:lvl w:ilvl="8">
      <w:start w:val="1"/>
      <w:numFmt w:val="decimal"/>
      <w:isLgl/>
      <w:lvlText w:val="%1.%2.%3.%4.%5.%6.%7.%8.%9."/>
      <w:lvlJc w:val="left"/>
      <w:pPr>
        <w:ind w:left="1800" w:hanging="1800"/>
      </w:pPr>
      <w:rPr>
        <w:rFonts w:ascii="AdvOT56309c18.I" w:hAnsi="AdvOT56309c18.I" w:cs="AdvOT56309c18.I" w:hint="default"/>
        <w:color w:val="5478B4"/>
        <w:sz w:val="20"/>
      </w:rPr>
    </w:lvl>
  </w:abstractNum>
  <w:abstractNum w:abstractNumId="8" w15:restartNumberingAfterBreak="0">
    <w:nsid w:val="3C9C5FF3"/>
    <w:multiLevelType w:val="hybridMultilevel"/>
    <w:tmpl w:val="0A469B94"/>
    <w:lvl w:ilvl="0" w:tplc="60947758">
      <w:start w:val="2"/>
      <w:numFmt w:val="lowerLetter"/>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4A974B62"/>
    <w:multiLevelType w:val="hybridMultilevel"/>
    <w:tmpl w:val="0E729888"/>
    <w:lvl w:ilvl="0" w:tplc="B94896B4">
      <w:start w:val="8"/>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4AE43ED7"/>
    <w:multiLevelType w:val="hybridMultilevel"/>
    <w:tmpl w:val="D7FA3F6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4004AB1"/>
    <w:multiLevelType w:val="hybridMultilevel"/>
    <w:tmpl w:val="7478B438"/>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578B376E"/>
    <w:multiLevelType w:val="hybridMultilevel"/>
    <w:tmpl w:val="49AA96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A75C36"/>
    <w:multiLevelType w:val="hybridMultilevel"/>
    <w:tmpl w:val="641A8EB4"/>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E30720F"/>
    <w:multiLevelType w:val="hybridMultilevel"/>
    <w:tmpl w:val="0D7CB8FC"/>
    <w:lvl w:ilvl="0" w:tplc="025A80A0">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6559468">
    <w:abstractNumId w:val="7"/>
  </w:num>
  <w:num w:numId="2" w16cid:durableId="1723090984">
    <w:abstractNumId w:val="12"/>
  </w:num>
  <w:num w:numId="3" w16cid:durableId="1862551063">
    <w:abstractNumId w:val="2"/>
  </w:num>
  <w:num w:numId="4" w16cid:durableId="316224151">
    <w:abstractNumId w:val="3"/>
  </w:num>
  <w:num w:numId="5" w16cid:durableId="680856577">
    <w:abstractNumId w:val="6"/>
  </w:num>
  <w:num w:numId="6" w16cid:durableId="926884322">
    <w:abstractNumId w:val="9"/>
  </w:num>
  <w:num w:numId="7" w16cid:durableId="471949187">
    <w:abstractNumId w:val="10"/>
  </w:num>
  <w:num w:numId="8" w16cid:durableId="1472600876">
    <w:abstractNumId w:val="8"/>
  </w:num>
  <w:num w:numId="9" w16cid:durableId="899249436">
    <w:abstractNumId w:val="11"/>
  </w:num>
  <w:num w:numId="10" w16cid:durableId="1865710181">
    <w:abstractNumId w:val="13"/>
  </w:num>
  <w:num w:numId="11" w16cid:durableId="14505308">
    <w:abstractNumId w:val="4"/>
  </w:num>
  <w:num w:numId="12" w16cid:durableId="939873343">
    <w:abstractNumId w:val="5"/>
  </w:num>
  <w:num w:numId="13" w16cid:durableId="1218279589">
    <w:abstractNumId w:val="14"/>
  </w:num>
  <w:num w:numId="14" w16cid:durableId="878322584">
    <w:abstractNumId w:val="1"/>
  </w:num>
  <w:num w:numId="15" w16cid:durableId="1877043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oNotDisplayPageBoundarie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819"/>
    <w:rsid w:val="000229D1"/>
    <w:rsid w:val="00026E69"/>
    <w:rsid w:val="00031871"/>
    <w:rsid w:val="00076F12"/>
    <w:rsid w:val="0008082E"/>
    <w:rsid w:val="000973D6"/>
    <w:rsid w:val="000A1B70"/>
    <w:rsid w:val="000A71B8"/>
    <w:rsid w:val="000D054C"/>
    <w:rsid w:val="000D40DF"/>
    <w:rsid w:val="000D69CB"/>
    <w:rsid w:val="000E4335"/>
    <w:rsid w:val="000F711F"/>
    <w:rsid w:val="00104DE4"/>
    <w:rsid w:val="0010560C"/>
    <w:rsid w:val="001105B9"/>
    <w:rsid w:val="00110F28"/>
    <w:rsid w:val="0011653D"/>
    <w:rsid w:val="00120D10"/>
    <w:rsid w:val="001437BB"/>
    <w:rsid w:val="00146626"/>
    <w:rsid w:val="001552FD"/>
    <w:rsid w:val="00173A89"/>
    <w:rsid w:val="00184D59"/>
    <w:rsid w:val="0018532B"/>
    <w:rsid w:val="00196D95"/>
    <w:rsid w:val="001B7DA3"/>
    <w:rsid w:val="001C1825"/>
    <w:rsid w:val="001C3C56"/>
    <w:rsid w:val="001D206A"/>
    <w:rsid w:val="001E20A4"/>
    <w:rsid w:val="001E54E6"/>
    <w:rsid w:val="001F5189"/>
    <w:rsid w:val="00206DFB"/>
    <w:rsid w:val="002160AD"/>
    <w:rsid w:val="002244BF"/>
    <w:rsid w:val="00237148"/>
    <w:rsid w:val="00245E9A"/>
    <w:rsid w:val="0024743F"/>
    <w:rsid w:val="00247784"/>
    <w:rsid w:val="00254B61"/>
    <w:rsid w:val="00262A5E"/>
    <w:rsid w:val="00274ADE"/>
    <w:rsid w:val="002918DE"/>
    <w:rsid w:val="00291B73"/>
    <w:rsid w:val="0029461D"/>
    <w:rsid w:val="002A61AD"/>
    <w:rsid w:val="002B5683"/>
    <w:rsid w:val="002C3D8B"/>
    <w:rsid w:val="002D2F21"/>
    <w:rsid w:val="002E540D"/>
    <w:rsid w:val="002F50F6"/>
    <w:rsid w:val="002F7C53"/>
    <w:rsid w:val="00304698"/>
    <w:rsid w:val="00320A31"/>
    <w:rsid w:val="00322A2D"/>
    <w:rsid w:val="003318B2"/>
    <w:rsid w:val="00332A80"/>
    <w:rsid w:val="00340A77"/>
    <w:rsid w:val="00357B30"/>
    <w:rsid w:val="00360235"/>
    <w:rsid w:val="00361100"/>
    <w:rsid w:val="00361A2E"/>
    <w:rsid w:val="00362DE1"/>
    <w:rsid w:val="003638B0"/>
    <w:rsid w:val="0037024F"/>
    <w:rsid w:val="00376745"/>
    <w:rsid w:val="0038032F"/>
    <w:rsid w:val="00390788"/>
    <w:rsid w:val="00391B86"/>
    <w:rsid w:val="0039346D"/>
    <w:rsid w:val="003A7777"/>
    <w:rsid w:val="003B7775"/>
    <w:rsid w:val="003D3628"/>
    <w:rsid w:val="003D6CAF"/>
    <w:rsid w:val="004108F2"/>
    <w:rsid w:val="0041154A"/>
    <w:rsid w:val="004162E8"/>
    <w:rsid w:val="00417B10"/>
    <w:rsid w:val="00432845"/>
    <w:rsid w:val="0044679A"/>
    <w:rsid w:val="004557EA"/>
    <w:rsid w:val="00455EAA"/>
    <w:rsid w:val="004644D1"/>
    <w:rsid w:val="00465046"/>
    <w:rsid w:val="0047678F"/>
    <w:rsid w:val="004814C0"/>
    <w:rsid w:val="004834A2"/>
    <w:rsid w:val="00484031"/>
    <w:rsid w:val="004A4FB0"/>
    <w:rsid w:val="004B70D2"/>
    <w:rsid w:val="004D6ED5"/>
    <w:rsid w:val="004D787C"/>
    <w:rsid w:val="004F743F"/>
    <w:rsid w:val="00507E2E"/>
    <w:rsid w:val="00522762"/>
    <w:rsid w:val="00523FEC"/>
    <w:rsid w:val="005445CE"/>
    <w:rsid w:val="0054733D"/>
    <w:rsid w:val="00552A44"/>
    <w:rsid w:val="00562217"/>
    <w:rsid w:val="005717CC"/>
    <w:rsid w:val="00571B81"/>
    <w:rsid w:val="00571C86"/>
    <w:rsid w:val="0057592A"/>
    <w:rsid w:val="005815B3"/>
    <w:rsid w:val="00586645"/>
    <w:rsid w:val="0058755D"/>
    <w:rsid w:val="005A5C5A"/>
    <w:rsid w:val="005B0EA6"/>
    <w:rsid w:val="005D24CC"/>
    <w:rsid w:val="005E7EA5"/>
    <w:rsid w:val="005F3807"/>
    <w:rsid w:val="005F6919"/>
    <w:rsid w:val="006063D6"/>
    <w:rsid w:val="00612BF8"/>
    <w:rsid w:val="00636D50"/>
    <w:rsid w:val="0066418C"/>
    <w:rsid w:val="00671AE0"/>
    <w:rsid w:val="00674299"/>
    <w:rsid w:val="006A18AA"/>
    <w:rsid w:val="006A1938"/>
    <w:rsid w:val="006C0305"/>
    <w:rsid w:val="006C6873"/>
    <w:rsid w:val="006E1457"/>
    <w:rsid w:val="006E3DA2"/>
    <w:rsid w:val="006E6C8E"/>
    <w:rsid w:val="006F319A"/>
    <w:rsid w:val="007017D9"/>
    <w:rsid w:val="00703030"/>
    <w:rsid w:val="00712E36"/>
    <w:rsid w:val="007516F2"/>
    <w:rsid w:val="00755C8C"/>
    <w:rsid w:val="00756C65"/>
    <w:rsid w:val="00760A7F"/>
    <w:rsid w:val="0077670B"/>
    <w:rsid w:val="007B0432"/>
    <w:rsid w:val="007D0471"/>
    <w:rsid w:val="007E42F3"/>
    <w:rsid w:val="007F23CB"/>
    <w:rsid w:val="00851181"/>
    <w:rsid w:val="00896A45"/>
    <w:rsid w:val="008A613F"/>
    <w:rsid w:val="008A6221"/>
    <w:rsid w:val="008A7379"/>
    <w:rsid w:val="008B33CC"/>
    <w:rsid w:val="008B7F52"/>
    <w:rsid w:val="008C5561"/>
    <w:rsid w:val="008E1E53"/>
    <w:rsid w:val="008F3B0B"/>
    <w:rsid w:val="008F41E6"/>
    <w:rsid w:val="0090464F"/>
    <w:rsid w:val="00915332"/>
    <w:rsid w:val="00934BC2"/>
    <w:rsid w:val="009448DC"/>
    <w:rsid w:val="00944F6F"/>
    <w:rsid w:val="00965F4C"/>
    <w:rsid w:val="009A0CB8"/>
    <w:rsid w:val="009A1E4F"/>
    <w:rsid w:val="009A437F"/>
    <w:rsid w:val="009A7535"/>
    <w:rsid w:val="009B0A16"/>
    <w:rsid w:val="009C26AC"/>
    <w:rsid w:val="009C602D"/>
    <w:rsid w:val="009C61A3"/>
    <w:rsid w:val="009C7E5D"/>
    <w:rsid w:val="009F126F"/>
    <w:rsid w:val="009F3C86"/>
    <w:rsid w:val="00A00BB6"/>
    <w:rsid w:val="00A02280"/>
    <w:rsid w:val="00A04B13"/>
    <w:rsid w:val="00A105BA"/>
    <w:rsid w:val="00A1665C"/>
    <w:rsid w:val="00A16A66"/>
    <w:rsid w:val="00A20278"/>
    <w:rsid w:val="00A2698A"/>
    <w:rsid w:val="00A41485"/>
    <w:rsid w:val="00A45E23"/>
    <w:rsid w:val="00A6463D"/>
    <w:rsid w:val="00A728D9"/>
    <w:rsid w:val="00A84D9D"/>
    <w:rsid w:val="00A850F6"/>
    <w:rsid w:val="00A872F0"/>
    <w:rsid w:val="00AA014D"/>
    <w:rsid w:val="00AB6F37"/>
    <w:rsid w:val="00AC28A2"/>
    <w:rsid w:val="00AD625B"/>
    <w:rsid w:val="00AD75BD"/>
    <w:rsid w:val="00AD7757"/>
    <w:rsid w:val="00AE28A2"/>
    <w:rsid w:val="00AE4C2F"/>
    <w:rsid w:val="00B0034F"/>
    <w:rsid w:val="00B00B49"/>
    <w:rsid w:val="00B076A8"/>
    <w:rsid w:val="00B4158A"/>
    <w:rsid w:val="00B5071C"/>
    <w:rsid w:val="00B50ACE"/>
    <w:rsid w:val="00B5164E"/>
    <w:rsid w:val="00B570B2"/>
    <w:rsid w:val="00B626C0"/>
    <w:rsid w:val="00B67A6A"/>
    <w:rsid w:val="00B73FF3"/>
    <w:rsid w:val="00B75DBB"/>
    <w:rsid w:val="00B80367"/>
    <w:rsid w:val="00B843E4"/>
    <w:rsid w:val="00B87304"/>
    <w:rsid w:val="00B975ED"/>
    <w:rsid w:val="00BA15C8"/>
    <w:rsid w:val="00BA4B0C"/>
    <w:rsid w:val="00BA5BF8"/>
    <w:rsid w:val="00BB439B"/>
    <w:rsid w:val="00BB5AC0"/>
    <w:rsid w:val="00BB76CC"/>
    <w:rsid w:val="00BC5BA1"/>
    <w:rsid w:val="00BD26BE"/>
    <w:rsid w:val="00BE5D50"/>
    <w:rsid w:val="00C10EE0"/>
    <w:rsid w:val="00C22DD9"/>
    <w:rsid w:val="00C2544E"/>
    <w:rsid w:val="00C26B5C"/>
    <w:rsid w:val="00C3210B"/>
    <w:rsid w:val="00C32345"/>
    <w:rsid w:val="00C42788"/>
    <w:rsid w:val="00C47A5D"/>
    <w:rsid w:val="00C50BE2"/>
    <w:rsid w:val="00C52DF5"/>
    <w:rsid w:val="00C56819"/>
    <w:rsid w:val="00C8550E"/>
    <w:rsid w:val="00C915BF"/>
    <w:rsid w:val="00C94D01"/>
    <w:rsid w:val="00CB12DD"/>
    <w:rsid w:val="00CD3B6F"/>
    <w:rsid w:val="00CF2768"/>
    <w:rsid w:val="00D05FFC"/>
    <w:rsid w:val="00D06202"/>
    <w:rsid w:val="00D32B8B"/>
    <w:rsid w:val="00D40620"/>
    <w:rsid w:val="00D40AB4"/>
    <w:rsid w:val="00D52D89"/>
    <w:rsid w:val="00D66874"/>
    <w:rsid w:val="00D75662"/>
    <w:rsid w:val="00D91D83"/>
    <w:rsid w:val="00DA5B9C"/>
    <w:rsid w:val="00DC28CF"/>
    <w:rsid w:val="00DC42DA"/>
    <w:rsid w:val="00DC4763"/>
    <w:rsid w:val="00DD00BE"/>
    <w:rsid w:val="00DD1EF3"/>
    <w:rsid w:val="00DD799F"/>
    <w:rsid w:val="00E12161"/>
    <w:rsid w:val="00E245DA"/>
    <w:rsid w:val="00E35241"/>
    <w:rsid w:val="00E37EA2"/>
    <w:rsid w:val="00E41462"/>
    <w:rsid w:val="00E50D65"/>
    <w:rsid w:val="00E514C0"/>
    <w:rsid w:val="00E8055F"/>
    <w:rsid w:val="00E83D18"/>
    <w:rsid w:val="00E86F03"/>
    <w:rsid w:val="00E93211"/>
    <w:rsid w:val="00E94363"/>
    <w:rsid w:val="00EA4BC0"/>
    <w:rsid w:val="00EB1E20"/>
    <w:rsid w:val="00EB28B1"/>
    <w:rsid w:val="00EB5612"/>
    <w:rsid w:val="00EB6689"/>
    <w:rsid w:val="00EE0D9A"/>
    <w:rsid w:val="00EE1793"/>
    <w:rsid w:val="00EE5145"/>
    <w:rsid w:val="00EF7A64"/>
    <w:rsid w:val="00F0568C"/>
    <w:rsid w:val="00F06E3C"/>
    <w:rsid w:val="00F125C4"/>
    <w:rsid w:val="00F1321E"/>
    <w:rsid w:val="00F514FE"/>
    <w:rsid w:val="00F6215A"/>
    <w:rsid w:val="00F67E6C"/>
    <w:rsid w:val="00F851F5"/>
    <w:rsid w:val="00F856DB"/>
    <w:rsid w:val="00F87D02"/>
    <w:rsid w:val="00F91538"/>
    <w:rsid w:val="00F96DAA"/>
    <w:rsid w:val="00FA685B"/>
    <w:rsid w:val="00FB591B"/>
    <w:rsid w:val="00FC1546"/>
    <w:rsid w:val="00FD1F18"/>
    <w:rsid w:val="00FE0329"/>
    <w:rsid w:val="00FE3E25"/>
    <w:rsid w:val="00FF0D2C"/>
    <w:rsid w:val="00FF4C02"/>
    <w:rsid w:val="0281A6EA"/>
    <w:rsid w:val="043AFFBC"/>
    <w:rsid w:val="0456A429"/>
    <w:rsid w:val="04B6D45C"/>
    <w:rsid w:val="054A671C"/>
    <w:rsid w:val="06E377D6"/>
    <w:rsid w:val="06F22969"/>
    <w:rsid w:val="076A8F08"/>
    <w:rsid w:val="0781BF27"/>
    <w:rsid w:val="07CDA2C4"/>
    <w:rsid w:val="085B1D3D"/>
    <w:rsid w:val="085D6959"/>
    <w:rsid w:val="08FB725C"/>
    <w:rsid w:val="09175073"/>
    <w:rsid w:val="099497A0"/>
    <w:rsid w:val="0ABCC424"/>
    <w:rsid w:val="0B82F21D"/>
    <w:rsid w:val="0BA17FF7"/>
    <w:rsid w:val="0BABFE5F"/>
    <w:rsid w:val="0CC0A42D"/>
    <w:rsid w:val="0CD19C89"/>
    <w:rsid w:val="0D59B279"/>
    <w:rsid w:val="0E6F5DA9"/>
    <w:rsid w:val="0F267BEA"/>
    <w:rsid w:val="0F404337"/>
    <w:rsid w:val="0F486DD7"/>
    <w:rsid w:val="0F9B38F7"/>
    <w:rsid w:val="0FC8CABF"/>
    <w:rsid w:val="0FECCC57"/>
    <w:rsid w:val="1069F8FB"/>
    <w:rsid w:val="109EFCB4"/>
    <w:rsid w:val="112D69D8"/>
    <w:rsid w:val="122A01DF"/>
    <w:rsid w:val="12414898"/>
    <w:rsid w:val="12FD4FC4"/>
    <w:rsid w:val="13178FFC"/>
    <w:rsid w:val="134C44E7"/>
    <w:rsid w:val="13A1B916"/>
    <w:rsid w:val="157B8846"/>
    <w:rsid w:val="15917E69"/>
    <w:rsid w:val="162BE5AD"/>
    <w:rsid w:val="1637716E"/>
    <w:rsid w:val="1643BEA1"/>
    <w:rsid w:val="18264C67"/>
    <w:rsid w:val="18391B86"/>
    <w:rsid w:val="1849465C"/>
    <w:rsid w:val="188D5412"/>
    <w:rsid w:val="191F5F4E"/>
    <w:rsid w:val="195E285B"/>
    <w:rsid w:val="19777B51"/>
    <w:rsid w:val="1A526236"/>
    <w:rsid w:val="1B037DE9"/>
    <w:rsid w:val="1B275447"/>
    <w:rsid w:val="1B7E220D"/>
    <w:rsid w:val="1C139469"/>
    <w:rsid w:val="1D28D4C6"/>
    <w:rsid w:val="1D6D9A8E"/>
    <w:rsid w:val="1DEE2253"/>
    <w:rsid w:val="1E1D4086"/>
    <w:rsid w:val="1E73224A"/>
    <w:rsid w:val="1F255454"/>
    <w:rsid w:val="1F27FFCC"/>
    <w:rsid w:val="1F2AC323"/>
    <w:rsid w:val="1F801C65"/>
    <w:rsid w:val="1FC67671"/>
    <w:rsid w:val="20142164"/>
    <w:rsid w:val="203378B5"/>
    <w:rsid w:val="204366F5"/>
    <w:rsid w:val="204C53C1"/>
    <w:rsid w:val="208C8377"/>
    <w:rsid w:val="20A6C3AF"/>
    <w:rsid w:val="20E9C369"/>
    <w:rsid w:val="210D49B4"/>
    <w:rsid w:val="2169A7F4"/>
    <w:rsid w:val="21784DE5"/>
    <w:rsid w:val="21B7129C"/>
    <w:rsid w:val="21DEF05C"/>
    <w:rsid w:val="25B4809B"/>
    <w:rsid w:val="260DFCC2"/>
    <w:rsid w:val="268FE094"/>
    <w:rsid w:val="26905A22"/>
    <w:rsid w:val="26D248FB"/>
    <w:rsid w:val="27A7F05D"/>
    <w:rsid w:val="280E0504"/>
    <w:rsid w:val="289D94CD"/>
    <w:rsid w:val="29B52B53"/>
    <w:rsid w:val="29F19F56"/>
    <w:rsid w:val="2A0A8F5C"/>
    <w:rsid w:val="2A181822"/>
    <w:rsid w:val="2AD46CA6"/>
    <w:rsid w:val="2B4BD414"/>
    <w:rsid w:val="2B562B0C"/>
    <w:rsid w:val="2B7B24B6"/>
    <w:rsid w:val="2BA01E78"/>
    <w:rsid w:val="2BA977EF"/>
    <w:rsid w:val="2BEA2DE0"/>
    <w:rsid w:val="2C0DEFD6"/>
    <w:rsid w:val="2C75C1AA"/>
    <w:rsid w:val="2C9CD4E7"/>
    <w:rsid w:val="2CD046C7"/>
    <w:rsid w:val="2DB94EEF"/>
    <w:rsid w:val="2E40D5E9"/>
    <w:rsid w:val="2EE21FA5"/>
    <w:rsid w:val="30291F0F"/>
    <w:rsid w:val="304CBB79"/>
    <w:rsid w:val="30D2C6E2"/>
    <w:rsid w:val="312705F9"/>
    <w:rsid w:val="319195A1"/>
    <w:rsid w:val="32F90AB0"/>
    <w:rsid w:val="331058A8"/>
    <w:rsid w:val="33BF5805"/>
    <w:rsid w:val="33C9AF09"/>
    <w:rsid w:val="34EA4E66"/>
    <w:rsid w:val="355709E5"/>
    <w:rsid w:val="35777D24"/>
    <w:rsid w:val="35967708"/>
    <w:rsid w:val="35A9B698"/>
    <w:rsid w:val="364BA4B3"/>
    <w:rsid w:val="36AD47CF"/>
    <w:rsid w:val="371C1079"/>
    <w:rsid w:val="374E483B"/>
    <w:rsid w:val="37554040"/>
    <w:rsid w:val="3764BABD"/>
    <w:rsid w:val="37661B35"/>
    <w:rsid w:val="377577E1"/>
    <w:rsid w:val="38C524AC"/>
    <w:rsid w:val="393380B2"/>
    <w:rsid w:val="39D1F23C"/>
    <w:rsid w:val="39EC0BF6"/>
    <w:rsid w:val="3A1EDB80"/>
    <w:rsid w:val="3A3A19E1"/>
    <w:rsid w:val="3A5529D6"/>
    <w:rsid w:val="3B0FBC49"/>
    <w:rsid w:val="3B1A60C3"/>
    <w:rsid w:val="3C6D3874"/>
    <w:rsid w:val="3CB63124"/>
    <w:rsid w:val="3CD3B04A"/>
    <w:rsid w:val="3DB582A2"/>
    <w:rsid w:val="3DCD8DC0"/>
    <w:rsid w:val="3E04C561"/>
    <w:rsid w:val="3E15335C"/>
    <w:rsid w:val="3E8CF303"/>
    <w:rsid w:val="3F12D3F3"/>
    <w:rsid w:val="3F89E42C"/>
    <w:rsid w:val="3FEDD1E6"/>
    <w:rsid w:val="4048DDE9"/>
    <w:rsid w:val="4051CAB5"/>
    <w:rsid w:val="40541518"/>
    <w:rsid w:val="40A95B65"/>
    <w:rsid w:val="41551CE1"/>
    <w:rsid w:val="4203B93F"/>
    <w:rsid w:val="42111795"/>
    <w:rsid w:val="422C7F04"/>
    <w:rsid w:val="42634B0A"/>
    <w:rsid w:val="42859B03"/>
    <w:rsid w:val="42B7AE91"/>
    <w:rsid w:val="43F776D9"/>
    <w:rsid w:val="44548860"/>
    <w:rsid w:val="4463BF17"/>
    <w:rsid w:val="44D697EA"/>
    <w:rsid w:val="45D0CFB0"/>
    <w:rsid w:val="45D6454E"/>
    <w:rsid w:val="46E34D3A"/>
    <w:rsid w:val="472FC175"/>
    <w:rsid w:val="47811E91"/>
    <w:rsid w:val="47DB04D5"/>
    <w:rsid w:val="48120C7F"/>
    <w:rsid w:val="482F4DB6"/>
    <w:rsid w:val="484149E9"/>
    <w:rsid w:val="48A76B93"/>
    <w:rsid w:val="490F21F1"/>
    <w:rsid w:val="498D6C46"/>
    <w:rsid w:val="4A838989"/>
    <w:rsid w:val="4AB9D8F1"/>
    <w:rsid w:val="4ABB62E0"/>
    <w:rsid w:val="4AC70E6D"/>
    <w:rsid w:val="4AE150C1"/>
    <w:rsid w:val="4AF00151"/>
    <w:rsid w:val="4AFB8C52"/>
    <w:rsid w:val="4B3F428D"/>
    <w:rsid w:val="4B7E5E74"/>
    <w:rsid w:val="4B7EE36C"/>
    <w:rsid w:val="4C3F6F0A"/>
    <w:rsid w:val="4D111C2D"/>
    <w:rsid w:val="4DF20D91"/>
    <w:rsid w:val="4DFFDAF5"/>
    <w:rsid w:val="4E1A778C"/>
    <w:rsid w:val="4E1EB104"/>
    <w:rsid w:val="4E3D1A59"/>
    <w:rsid w:val="4E5E3F8B"/>
    <w:rsid w:val="4E760650"/>
    <w:rsid w:val="4EB2412F"/>
    <w:rsid w:val="4F29581E"/>
    <w:rsid w:val="4F8DDDF2"/>
    <w:rsid w:val="4F9AC2AB"/>
    <w:rsid w:val="4F9C4F20"/>
    <w:rsid w:val="4F9E855F"/>
    <w:rsid w:val="5027F111"/>
    <w:rsid w:val="5167874E"/>
    <w:rsid w:val="516D7652"/>
    <w:rsid w:val="51EFD30E"/>
    <w:rsid w:val="5272B7C5"/>
    <w:rsid w:val="527FDEAB"/>
    <w:rsid w:val="5298BE9B"/>
    <w:rsid w:val="53449E87"/>
    <w:rsid w:val="541DA25C"/>
    <w:rsid w:val="547BF24C"/>
    <w:rsid w:val="5546C580"/>
    <w:rsid w:val="55A02F1A"/>
    <w:rsid w:val="56433906"/>
    <w:rsid w:val="5643D55B"/>
    <w:rsid w:val="56681F50"/>
    <w:rsid w:val="566DFB5B"/>
    <w:rsid w:val="576B7C01"/>
    <w:rsid w:val="57F89C0D"/>
    <w:rsid w:val="585BD3FD"/>
    <w:rsid w:val="58FAB08D"/>
    <w:rsid w:val="593B4728"/>
    <w:rsid w:val="5977761A"/>
    <w:rsid w:val="5988E8D5"/>
    <w:rsid w:val="5A4F49AE"/>
    <w:rsid w:val="5A760E72"/>
    <w:rsid w:val="5ACCA85C"/>
    <w:rsid w:val="5B12EF15"/>
    <w:rsid w:val="5BD46F90"/>
    <w:rsid w:val="5DFFAA75"/>
    <w:rsid w:val="5E0DC101"/>
    <w:rsid w:val="5EBC64CC"/>
    <w:rsid w:val="5F9DA2BA"/>
    <w:rsid w:val="5FA0DEF6"/>
    <w:rsid w:val="60D24810"/>
    <w:rsid w:val="610DBFBF"/>
    <w:rsid w:val="6195988F"/>
    <w:rsid w:val="62399422"/>
    <w:rsid w:val="62E7C881"/>
    <w:rsid w:val="6310DD70"/>
    <w:rsid w:val="633B91CF"/>
    <w:rsid w:val="63443145"/>
    <w:rsid w:val="666F4488"/>
    <w:rsid w:val="674A8B7B"/>
    <w:rsid w:val="6813F088"/>
    <w:rsid w:val="68249EBC"/>
    <w:rsid w:val="68BEBACB"/>
    <w:rsid w:val="68CC7082"/>
    <w:rsid w:val="6993058F"/>
    <w:rsid w:val="6A333BA3"/>
    <w:rsid w:val="6B355C40"/>
    <w:rsid w:val="6B4DAF14"/>
    <w:rsid w:val="6B4F8FE0"/>
    <w:rsid w:val="6BE8FC61"/>
    <w:rsid w:val="6CA859D0"/>
    <w:rsid w:val="6CCE394E"/>
    <w:rsid w:val="6D057B89"/>
    <w:rsid w:val="6D0A6F8B"/>
    <w:rsid w:val="6D372905"/>
    <w:rsid w:val="6D5839EA"/>
    <w:rsid w:val="6D59E44B"/>
    <w:rsid w:val="6D6A0413"/>
    <w:rsid w:val="6E85C1F1"/>
    <w:rsid w:val="6FF4ADD7"/>
    <w:rsid w:val="7016AF48"/>
    <w:rsid w:val="7049DC87"/>
    <w:rsid w:val="70658741"/>
    <w:rsid w:val="70B0A453"/>
    <w:rsid w:val="70C3844E"/>
    <w:rsid w:val="70D8956E"/>
    <w:rsid w:val="712B472E"/>
    <w:rsid w:val="72660E82"/>
    <w:rsid w:val="734E5CEF"/>
    <w:rsid w:val="7405D8A4"/>
    <w:rsid w:val="74A94AFB"/>
    <w:rsid w:val="74C6ACCC"/>
    <w:rsid w:val="751990E6"/>
    <w:rsid w:val="754AAB1F"/>
    <w:rsid w:val="75722532"/>
    <w:rsid w:val="75C8589C"/>
    <w:rsid w:val="75EF8959"/>
    <w:rsid w:val="76633E36"/>
    <w:rsid w:val="778A1FB8"/>
    <w:rsid w:val="781E60C5"/>
    <w:rsid w:val="782573B0"/>
    <w:rsid w:val="7963C3A6"/>
    <w:rsid w:val="79D57132"/>
    <w:rsid w:val="79DE0BF5"/>
    <w:rsid w:val="79F01A99"/>
    <w:rsid w:val="79F1B76F"/>
    <w:rsid w:val="7A5222AC"/>
    <w:rsid w:val="7B17517B"/>
    <w:rsid w:val="7B286FB6"/>
    <w:rsid w:val="7C84CCBC"/>
    <w:rsid w:val="7C9E759D"/>
    <w:rsid w:val="7CD0D82E"/>
    <w:rsid w:val="7DDA00EE"/>
    <w:rsid w:val="7DE80579"/>
    <w:rsid w:val="7ED5F4E6"/>
    <w:rsid w:val="7F7D2A25"/>
    <w:rsid w:val="7F922ED6"/>
    <w:rsid w:val="7FD6DDEF"/>
    <w:rsid w:val="7FF2A1A9"/>
    <w:rsid w:val="7FF71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A0C74"/>
  <w15:docId w15:val="{4F49A899-6203-7647-951B-E55A9C854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81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819"/>
    <w:pPr>
      <w:ind w:left="720"/>
      <w:contextualSpacing/>
    </w:pPr>
  </w:style>
  <w:style w:type="paragraph" w:styleId="BalloonText">
    <w:name w:val="Balloon Text"/>
    <w:basedOn w:val="Normal"/>
    <w:link w:val="BalloonTextChar"/>
    <w:uiPriority w:val="99"/>
    <w:semiHidden/>
    <w:unhideWhenUsed/>
    <w:rsid w:val="00C568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819"/>
    <w:rPr>
      <w:rFonts w:ascii="Tahoma" w:eastAsia="Calibri" w:hAnsi="Tahoma" w:cs="Tahoma"/>
      <w:sz w:val="16"/>
      <w:szCs w:val="16"/>
    </w:rPr>
  </w:style>
  <w:style w:type="paragraph" w:customStyle="1" w:styleId="TableParagraph">
    <w:name w:val="Table Paragraph"/>
    <w:basedOn w:val="Normal"/>
    <w:uiPriority w:val="1"/>
    <w:qFormat/>
    <w:rsid w:val="00C56819"/>
    <w:pPr>
      <w:widowControl w:val="0"/>
      <w:autoSpaceDE w:val="0"/>
      <w:autoSpaceDN w:val="0"/>
      <w:spacing w:after="0" w:line="240" w:lineRule="auto"/>
      <w:ind w:left="110"/>
    </w:pPr>
    <w:rPr>
      <w:rFonts w:ascii="Times New Roman" w:eastAsia="Times New Roman" w:hAnsi="Times New Roman"/>
    </w:rPr>
  </w:style>
  <w:style w:type="character" w:styleId="CommentReference">
    <w:name w:val="annotation reference"/>
    <w:uiPriority w:val="99"/>
    <w:semiHidden/>
    <w:unhideWhenUsed/>
    <w:rsid w:val="00C56819"/>
    <w:rPr>
      <w:sz w:val="16"/>
      <w:szCs w:val="16"/>
    </w:rPr>
  </w:style>
  <w:style w:type="paragraph" w:styleId="CommentText">
    <w:name w:val="annotation text"/>
    <w:basedOn w:val="Normal"/>
    <w:link w:val="CommentTextChar"/>
    <w:uiPriority w:val="99"/>
    <w:semiHidden/>
    <w:unhideWhenUsed/>
    <w:rsid w:val="00C56819"/>
    <w:rPr>
      <w:sz w:val="20"/>
      <w:szCs w:val="20"/>
    </w:rPr>
  </w:style>
  <w:style w:type="character" w:customStyle="1" w:styleId="CommentTextChar">
    <w:name w:val="Comment Text Char"/>
    <w:basedOn w:val="DefaultParagraphFont"/>
    <w:link w:val="CommentText"/>
    <w:uiPriority w:val="99"/>
    <w:semiHidden/>
    <w:rsid w:val="00C56819"/>
    <w:rPr>
      <w:rFonts w:ascii="Calibri" w:eastAsia="Calibri" w:hAnsi="Calibri" w:cs="Times New Roman"/>
      <w:sz w:val="20"/>
      <w:szCs w:val="20"/>
    </w:rPr>
  </w:style>
  <w:style w:type="table" w:styleId="TableGrid">
    <w:name w:val="Table Grid"/>
    <w:basedOn w:val="TableNormal"/>
    <w:uiPriority w:val="39"/>
    <w:rsid w:val="00C5681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C56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819"/>
    <w:rPr>
      <w:rFonts w:ascii="Calibri" w:eastAsia="Calibri" w:hAnsi="Calibri" w:cs="Times New Roman"/>
    </w:rPr>
  </w:style>
  <w:style w:type="paragraph" w:styleId="Footer">
    <w:name w:val="footer"/>
    <w:basedOn w:val="Normal"/>
    <w:link w:val="FooterChar"/>
    <w:uiPriority w:val="99"/>
    <w:unhideWhenUsed/>
    <w:rsid w:val="00C56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819"/>
    <w:rPr>
      <w:rFonts w:ascii="Calibri" w:eastAsia="Calibri" w:hAnsi="Calibri" w:cs="Times New Roman"/>
    </w:rPr>
  </w:style>
  <w:style w:type="paragraph" w:styleId="Caption">
    <w:name w:val="caption"/>
    <w:basedOn w:val="Normal"/>
    <w:next w:val="Normal"/>
    <w:qFormat/>
    <w:rsid w:val="00C56819"/>
    <w:pPr>
      <w:spacing w:after="0" w:line="360" w:lineRule="auto"/>
      <w:ind w:firstLine="720"/>
      <w:jc w:val="center"/>
    </w:pPr>
    <w:rPr>
      <w:rFonts w:ascii="Times New Roman" w:eastAsia="Times New Roman" w:hAnsi="Times New Roman"/>
      <w:b/>
      <w:bCs/>
      <w:sz w:val="24"/>
      <w:szCs w:val="20"/>
    </w:rPr>
  </w:style>
  <w:style w:type="character" w:styleId="Hyperlink">
    <w:name w:val="Hyperlink"/>
    <w:uiPriority w:val="99"/>
    <w:unhideWhenUsed/>
    <w:rsid w:val="00C56819"/>
    <w:rPr>
      <w:color w:val="0000FF"/>
      <w:u w:val="single"/>
    </w:rPr>
  </w:style>
  <w:style w:type="paragraph" w:styleId="CommentSubject">
    <w:name w:val="annotation subject"/>
    <w:basedOn w:val="CommentText"/>
    <w:next w:val="CommentText"/>
    <w:link w:val="CommentSubjectChar"/>
    <w:uiPriority w:val="99"/>
    <w:semiHidden/>
    <w:unhideWhenUsed/>
    <w:rsid w:val="00C56819"/>
    <w:pPr>
      <w:spacing w:line="240" w:lineRule="auto"/>
    </w:pPr>
    <w:rPr>
      <w:b/>
      <w:bCs/>
    </w:rPr>
  </w:style>
  <w:style w:type="character" w:customStyle="1" w:styleId="CommentSubjectChar">
    <w:name w:val="Comment Subject Char"/>
    <w:basedOn w:val="CommentTextChar"/>
    <w:link w:val="CommentSubject"/>
    <w:uiPriority w:val="99"/>
    <w:semiHidden/>
    <w:rsid w:val="00C56819"/>
    <w:rPr>
      <w:rFonts w:ascii="Calibri" w:eastAsia="Calibri" w:hAnsi="Calibri" w:cs="Times New Roman"/>
      <w:b/>
      <w:bCs/>
      <w:sz w:val="20"/>
      <w:szCs w:val="20"/>
    </w:rPr>
  </w:style>
  <w:style w:type="character" w:styleId="PlaceholderText">
    <w:name w:val="Placeholder Text"/>
    <w:uiPriority w:val="99"/>
    <w:semiHidden/>
    <w:rsid w:val="00C56819"/>
    <w:rPr>
      <w:color w:val="808080"/>
    </w:rPr>
  </w:style>
  <w:style w:type="paragraph" w:styleId="Revision">
    <w:name w:val="Revision"/>
    <w:hidden/>
    <w:uiPriority w:val="99"/>
    <w:semiHidden/>
    <w:rsid w:val="00C8550E"/>
    <w:pPr>
      <w:spacing w:after="0" w:line="240" w:lineRule="auto"/>
    </w:pPr>
    <w:rPr>
      <w:rFonts w:ascii="Calibri" w:eastAsia="Calibri" w:hAnsi="Calibri" w:cs="Times New Roman"/>
    </w:rPr>
  </w:style>
  <w:style w:type="character" w:styleId="Strong">
    <w:name w:val="Strong"/>
    <w:basedOn w:val="DefaultParagraphFont"/>
    <w:uiPriority w:val="22"/>
    <w:qFormat/>
    <w:rsid w:val="00247784"/>
    <w:rPr>
      <w:b/>
      <w:bCs/>
    </w:rPr>
  </w:style>
  <w:style w:type="character" w:styleId="UnresolvedMention">
    <w:name w:val="Unresolved Mention"/>
    <w:basedOn w:val="DefaultParagraphFont"/>
    <w:uiPriority w:val="99"/>
    <w:semiHidden/>
    <w:unhideWhenUsed/>
    <w:rsid w:val="004814C0"/>
    <w:rPr>
      <w:color w:val="605E5C"/>
      <w:shd w:val="clear" w:color="auto" w:fill="E1DFDD"/>
    </w:rPr>
  </w:style>
  <w:style w:type="paragraph" w:styleId="NoSpacing">
    <w:name w:val="No Spacing"/>
    <w:uiPriority w:val="1"/>
    <w:qFormat/>
    <w:rsid w:val="004162E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91606">
      <w:bodyDiv w:val="1"/>
      <w:marLeft w:val="0"/>
      <w:marRight w:val="0"/>
      <w:marTop w:val="0"/>
      <w:marBottom w:val="0"/>
      <w:divBdr>
        <w:top w:val="none" w:sz="0" w:space="0" w:color="auto"/>
        <w:left w:val="none" w:sz="0" w:space="0" w:color="auto"/>
        <w:bottom w:val="none" w:sz="0" w:space="0" w:color="auto"/>
        <w:right w:val="none" w:sz="0" w:space="0" w:color="auto"/>
      </w:divBdr>
    </w:div>
    <w:div w:id="209341042">
      <w:bodyDiv w:val="1"/>
      <w:marLeft w:val="0"/>
      <w:marRight w:val="0"/>
      <w:marTop w:val="0"/>
      <w:marBottom w:val="0"/>
      <w:divBdr>
        <w:top w:val="none" w:sz="0" w:space="0" w:color="auto"/>
        <w:left w:val="none" w:sz="0" w:space="0" w:color="auto"/>
        <w:bottom w:val="none" w:sz="0" w:space="0" w:color="auto"/>
        <w:right w:val="none" w:sz="0" w:space="0" w:color="auto"/>
      </w:divBdr>
    </w:div>
    <w:div w:id="290599158">
      <w:bodyDiv w:val="1"/>
      <w:marLeft w:val="0"/>
      <w:marRight w:val="0"/>
      <w:marTop w:val="0"/>
      <w:marBottom w:val="0"/>
      <w:divBdr>
        <w:top w:val="none" w:sz="0" w:space="0" w:color="auto"/>
        <w:left w:val="none" w:sz="0" w:space="0" w:color="auto"/>
        <w:bottom w:val="none" w:sz="0" w:space="0" w:color="auto"/>
        <w:right w:val="none" w:sz="0" w:space="0" w:color="auto"/>
      </w:divBdr>
    </w:div>
    <w:div w:id="864098909">
      <w:bodyDiv w:val="1"/>
      <w:marLeft w:val="0"/>
      <w:marRight w:val="0"/>
      <w:marTop w:val="0"/>
      <w:marBottom w:val="0"/>
      <w:divBdr>
        <w:top w:val="none" w:sz="0" w:space="0" w:color="auto"/>
        <w:left w:val="none" w:sz="0" w:space="0" w:color="auto"/>
        <w:bottom w:val="none" w:sz="0" w:space="0" w:color="auto"/>
        <w:right w:val="none" w:sz="0" w:space="0" w:color="auto"/>
      </w:divBdr>
    </w:div>
    <w:div w:id="893735771">
      <w:bodyDiv w:val="1"/>
      <w:marLeft w:val="0"/>
      <w:marRight w:val="0"/>
      <w:marTop w:val="0"/>
      <w:marBottom w:val="0"/>
      <w:divBdr>
        <w:top w:val="none" w:sz="0" w:space="0" w:color="auto"/>
        <w:left w:val="none" w:sz="0" w:space="0" w:color="auto"/>
        <w:bottom w:val="none" w:sz="0" w:space="0" w:color="auto"/>
        <w:right w:val="none" w:sz="0" w:space="0" w:color="auto"/>
      </w:divBdr>
    </w:div>
    <w:div w:id="1018042612">
      <w:bodyDiv w:val="1"/>
      <w:marLeft w:val="0"/>
      <w:marRight w:val="0"/>
      <w:marTop w:val="0"/>
      <w:marBottom w:val="0"/>
      <w:divBdr>
        <w:top w:val="none" w:sz="0" w:space="0" w:color="auto"/>
        <w:left w:val="none" w:sz="0" w:space="0" w:color="auto"/>
        <w:bottom w:val="none" w:sz="0" w:space="0" w:color="auto"/>
        <w:right w:val="none" w:sz="0" w:space="0" w:color="auto"/>
      </w:divBdr>
    </w:div>
    <w:div w:id="1034185488">
      <w:bodyDiv w:val="1"/>
      <w:marLeft w:val="0"/>
      <w:marRight w:val="0"/>
      <w:marTop w:val="0"/>
      <w:marBottom w:val="0"/>
      <w:divBdr>
        <w:top w:val="none" w:sz="0" w:space="0" w:color="auto"/>
        <w:left w:val="none" w:sz="0" w:space="0" w:color="auto"/>
        <w:bottom w:val="none" w:sz="0" w:space="0" w:color="auto"/>
        <w:right w:val="none" w:sz="0" w:space="0" w:color="auto"/>
      </w:divBdr>
    </w:div>
    <w:div w:id="1247037669">
      <w:bodyDiv w:val="1"/>
      <w:marLeft w:val="0"/>
      <w:marRight w:val="0"/>
      <w:marTop w:val="0"/>
      <w:marBottom w:val="0"/>
      <w:divBdr>
        <w:top w:val="none" w:sz="0" w:space="0" w:color="auto"/>
        <w:left w:val="none" w:sz="0" w:space="0" w:color="auto"/>
        <w:bottom w:val="none" w:sz="0" w:space="0" w:color="auto"/>
        <w:right w:val="none" w:sz="0" w:space="0" w:color="auto"/>
      </w:divBdr>
    </w:div>
    <w:div w:id="1282952650">
      <w:bodyDiv w:val="1"/>
      <w:marLeft w:val="0"/>
      <w:marRight w:val="0"/>
      <w:marTop w:val="0"/>
      <w:marBottom w:val="0"/>
      <w:divBdr>
        <w:top w:val="none" w:sz="0" w:space="0" w:color="auto"/>
        <w:left w:val="none" w:sz="0" w:space="0" w:color="auto"/>
        <w:bottom w:val="none" w:sz="0" w:space="0" w:color="auto"/>
        <w:right w:val="none" w:sz="0" w:space="0" w:color="auto"/>
      </w:divBdr>
    </w:div>
    <w:div w:id="1335450761">
      <w:bodyDiv w:val="1"/>
      <w:marLeft w:val="0"/>
      <w:marRight w:val="0"/>
      <w:marTop w:val="0"/>
      <w:marBottom w:val="0"/>
      <w:divBdr>
        <w:top w:val="none" w:sz="0" w:space="0" w:color="auto"/>
        <w:left w:val="none" w:sz="0" w:space="0" w:color="auto"/>
        <w:bottom w:val="none" w:sz="0" w:space="0" w:color="auto"/>
        <w:right w:val="none" w:sz="0" w:space="0" w:color="auto"/>
      </w:divBdr>
    </w:div>
    <w:div w:id="1396054074">
      <w:bodyDiv w:val="1"/>
      <w:marLeft w:val="0"/>
      <w:marRight w:val="0"/>
      <w:marTop w:val="0"/>
      <w:marBottom w:val="0"/>
      <w:divBdr>
        <w:top w:val="none" w:sz="0" w:space="0" w:color="auto"/>
        <w:left w:val="none" w:sz="0" w:space="0" w:color="auto"/>
        <w:bottom w:val="none" w:sz="0" w:space="0" w:color="auto"/>
        <w:right w:val="none" w:sz="0" w:space="0" w:color="auto"/>
      </w:divBdr>
    </w:div>
    <w:div w:id="1415278265">
      <w:bodyDiv w:val="1"/>
      <w:marLeft w:val="0"/>
      <w:marRight w:val="0"/>
      <w:marTop w:val="0"/>
      <w:marBottom w:val="0"/>
      <w:divBdr>
        <w:top w:val="none" w:sz="0" w:space="0" w:color="auto"/>
        <w:left w:val="none" w:sz="0" w:space="0" w:color="auto"/>
        <w:bottom w:val="none" w:sz="0" w:space="0" w:color="auto"/>
        <w:right w:val="none" w:sz="0" w:space="0" w:color="auto"/>
      </w:divBdr>
    </w:div>
    <w:div w:id="1633169001">
      <w:bodyDiv w:val="1"/>
      <w:marLeft w:val="0"/>
      <w:marRight w:val="0"/>
      <w:marTop w:val="0"/>
      <w:marBottom w:val="0"/>
      <w:divBdr>
        <w:top w:val="none" w:sz="0" w:space="0" w:color="auto"/>
        <w:left w:val="none" w:sz="0" w:space="0" w:color="auto"/>
        <w:bottom w:val="none" w:sz="0" w:space="0" w:color="auto"/>
        <w:right w:val="none" w:sz="0" w:space="0" w:color="auto"/>
      </w:divBdr>
    </w:div>
    <w:div w:id="1721245323">
      <w:bodyDiv w:val="1"/>
      <w:marLeft w:val="0"/>
      <w:marRight w:val="0"/>
      <w:marTop w:val="0"/>
      <w:marBottom w:val="0"/>
      <w:divBdr>
        <w:top w:val="none" w:sz="0" w:space="0" w:color="auto"/>
        <w:left w:val="none" w:sz="0" w:space="0" w:color="auto"/>
        <w:bottom w:val="none" w:sz="0" w:space="0" w:color="auto"/>
        <w:right w:val="none" w:sz="0" w:space="0" w:color="auto"/>
      </w:divBdr>
    </w:div>
    <w:div w:id="1789935669">
      <w:bodyDiv w:val="1"/>
      <w:marLeft w:val="0"/>
      <w:marRight w:val="0"/>
      <w:marTop w:val="0"/>
      <w:marBottom w:val="0"/>
      <w:divBdr>
        <w:top w:val="none" w:sz="0" w:space="0" w:color="auto"/>
        <w:left w:val="none" w:sz="0" w:space="0" w:color="auto"/>
        <w:bottom w:val="none" w:sz="0" w:space="0" w:color="auto"/>
        <w:right w:val="none" w:sz="0" w:space="0" w:color="auto"/>
      </w:divBdr>
    </w:div>
    <w:div w:id="1806585392">
      <w:bodyDiv w:val="1"/>
      <w:marLeft w:val="0"/>
      <w:marRight w:val="0"/>
      <w:marTop w:val="0"/>
      <w:marBottom w:val="0"/>
      <w:divBdr>
        <w:top w:val="none" w:sz="0" w:space="0" w:color="auto"/>
        <w:left w:val="none" w:sz="0" w:space="0" w:color="auto"/>
        <w:bottom w:val="none" w:sz="0" w:space="0" w:color="auto"/>
        <w:right w:val="none" w:sz="0" w:space="0" w:color="auto"/>
      </w:divBdr>
    </w:div>
    <w:div w:id="210202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sv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3358B-E66B-FD41-B031-09CD415B8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35</Pages>
  <Words>7885</Words>
  <Characters>44946</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dc:creator>
  <cp:lastModifiedBy>jaanvi k</cp:lastModifiedBy>
  <cp:revision>59</cp:revision>
  <dcterms:created xsi:type="dcterms:W3CDTF">2025-06-16T14:13:00Z</dcterms:created>
  <dcterms:modified xsi:type="dcterms:W3CDTF">2025-06-22T11:20:00Z</dcterms:modified>
</cp:coreProperties>
</file>