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C1B12">
      <w:pPr>
        <w:spacing w:line="240" w:lineRule="auto"/>
        <w:jc w:val="center"/>
        <w:rPr>
          <w:rFonts w:ascii="Times New Roman Bold" w:hAnsi="Times New Roman Bold" w:eastAsia="Times New Roman Bold" w:cs="Times New Roman Bold"/>
          <w:b/>
          <w:bCs/>
          <w:color w:val="000000"/>
          <w:sz w:val="36"/>
          <w:szCs w:val="36"/>
          <w:lang w:eastAsia="zh-CN" w:bidi="ar"/>
        </w:rPr>
      </w:pPr>
      <w:r>
        <w:rPr>
          <w:rFonts w:ascii="Times New Roman Bold" w:hAnsi="Times New Roman Bold" w:eastAsia="Times New Roman Bold" w:cs="Times New Roman Bold"/>
          <w:b/>
          <w:bCs/>
          <w:color w:val="000000"/>
          <w:sz w:val="36"/>
          <w:szCs w:val="36"/>
          <w:lang w:eastAsia="zh-CN" w:bidi="ar"/>
        </w:rPr>
        <w:t xml:space="preserve">Original Research Article </w:t>
      </w:r>
    </w:p>
    <w:p w14:paraId="38E9D17C">
      <w:pPr>
        <w:spacing w:line="240" w:lineRule="auto"/>
        <w:jc w:val="center"/>
        <w:rPr>
          <w:rFonts w:ascii="Times New Roman Bold" w:hAnsi="Times New Roman Bold" w:eastAsia="Times New Roman Bold" w:cs="Times New Roman Bold"/>
          <w:b/>
          <w:bCs/>
          <w:color w:val="000000"/>
          <w:sz w:val="36"/>
          <w:szCs w:val="36"/>
          <w:lang w:eastAsia="zh-CN" w:bidi="ar"/>
        </w:rPr>
      </w:pPr>
    </w:p>
    <w:p w14:paraId="7119437D">
      <w:pPr>
        <w:spacing w:line="240" w:lineRule="auto"/>
        <w:jc w:val="center"/>
      </w:pPr>
      <w:r>
        <w:rPr>
          <w:rFonts w:ascii="Times New Roman Bold" w:hAnsi="Times New Roman Bold" w:eastAsia="Times New Roman Bold" w:cs="Times New Roman Bold"/>
          <w:b/>
          <w:bCs/>
          <w:color w:val="000000"/>
          <w:sz w:val="36"/>
          <w:szCs w:val="36"/>
          <w:lang w:eastAsia="zh-CN" w:bidi="ar"/>
        </w:rPr>
        <w:t>ANALYSING DEPRESSIVE SYMPTOMS DURING PREGNANCY PERIOD: A CROSS-SECTIONAL</w:t>
      </w:r>
    </w:p>
    <w:p w14:paraId="713F0CEA">
      <w:pPr>
        <w:spacing w:line="240" w:lineRule="auto"/>
        <w:jc w:val="center"/>
        <w:rPr>
          <w:rFonts w:ascii="Times New Roman Bold" w:hAnsi="Times New Roman Bold" w:eastAsia="Times New Roman Bold" w:cs="Times New Roman Bold"/>
          <w:b/>
          <w:bCs/>
          <w:color w:val="000000"/>
          <w:sz w:val="36"/>
          <w:szCs w:val="36"/>
          <w:lang w:eastAsia="zh-CN" w:bidi="ar"/>
        </w:rPr>
      </w:pPr>
      <w:r>
        <w:rPr>
          <w:rFonts w:ascii="Times New Roman Bold" w:hAnsi="Times New Roman Bold" w:eastAsia="Times New Roman Bold" w:cs="Times New Roman Bold"/>
          <w:b/>
          <w:bCs/>
          <w:color w:val="000000"/>
          <w:sz w:val="36"/>
          <w:szCs w:val="36"/>
          <w:lang w:eastAsia="zh-CN" w:bidi="ar"/>
        </w:rPr>
        <w:t>STUDY</w:t>
      </w:r>
    </w:p>
    <w:p w14:paraId="1ADF6C9D">
      <w:pPr>
        <w:spacing w:line="240" w:lineRule="auto"/>
        <w:jc w:val="center"/>
        <w:rPr>
          <w:rFonts w:ascii="Times New Roman Bold" w:hAnsi="Times New Roman Bold" w:eastAsia="Times New Roman Bold" w:cs="Times New Roman Bold"/>
          <w:b/>
          <w:bCs/>
          <w:color w:val="000000"/>
          <w:sz w:val="36"/>
          <w:szCs w:val="36"/>
          <w:lang w:eastAsia="zh-CN" w:bidi="ar"/>
        </w:rPr>
      </w:pPr>
    </w:p>
    <w:p w14:paraId="358D1181">
      <w:pPr>
        <w:spacing w:line="24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7FE54BF7">
      <w:pPr>
        <w:pStyle w:val="11"/>
        <w:jc w:val="both"/>
      </w:pPr>
      <w:r>
        <w:rPr>
          <w:rStyle w:val="12"/>
        </w:rPr>
        <w:t>BACKGROUND</w:t>
      </w:r>
      <w:r>
        <w:br w:type="textWrapping"/>
      </w:r>
      <w:r>
        <w:t>Depression is a mental health disorder characterized by persistent sadness, hopelessness, and loss of interest in activities. During pregnancy, it is referred to as antenatal depression, which can impact both maternal and fetal health. Untreated prenatal depression can lead to complications during pregnancy and childbirth, as well as long-term emotional and behavioral issues in the child. The Beck Depression Inventory (BDI) is widely used to assess the severity of depressive symptoms, and early diagnosis and treatment are important for managing this condition effectively.</w:t>
      </w:r>
    </w:p>
    <w:p w14:paraId="1AA03539">
      <w:pPr>
        <w:pStyle w:val="11"/>
        <w:jc w:val="both"/>
      </w:pPr>
      <w:r>
        <w:rPr>
          <w:rStyle w:val="12"/>
        </w:rPr>
        <w:t>AIM</w:t>
      </w:r>
      <w:r>
        <w:br w:type="textWrapping"/>
      </w:r>
      <w:r>
        <w:t>To analyze the prevalence of depressive symptoms during the pregnancy period.</w:t>
      </w:r>
    </w:p>
    <w:p w14:paraId="0F26942A">
      <w:pPr>
        <w:pStyle w:val="11"/>
        <w:jc w:val="both"/>
      </w:pPr>
      <w:r>
        <w:rPr>
          <w:rStyle w:val="12"/>
        </w:rPr>
        <w:t>OBJECTIVES</w:t>
      </w:r>
    </w:p>
    <w:p w14:paraId="560EDB89">
      <w:pPr>
        <w:pStyle w:val="11"/>
        <w:numPr>
          <w:ilvl w:val="0"/>
          <w:numId w:val="1"/>
        </w:numPr>
        <w:tabs>
          <w:tab w:val="clear" w:pos="425"/>
        </w:tabs>
        <w:jc w:val="both"/>
      </w:pPr>
      <w:r>
        <w:t>To determine the prevalence of depressive symptoms during pregnancy.</w:t>
      </w:r>
    </w:p>
    <w:p w14:paraId="1308ED2A">
      <w:pPr>
        <w:pStyle w:val="11"/>
        <w:numPr>
          <w:ilvl w:val="0"/>
          <w:numId w:val="1"/>
        </w:numPr>
        <w:tabs>
          <w:tab w:val="clear" w:pos="425"/>
        </w:tabs>
        <w:jc w:val="both"/>
      </w:pPr>
      <w:r>
        <w:t>To compare the prevalence of depressive symptoms across the first, second, and third trimesters.</w:t>
      </w:r>
    </w:p>
    <w:p w14:paraId="587F284B">
      <w:pPr>
        <w:pStyle w:val="11"/>
        <w:numPr>
          <w:ilvl w:val="0"/>
          <w:numId w:val="1"/>
        </w:numPr>
        <w:tabs>
          <w:tab w:val="clear" w:pos="425"/>
        </w:tabs>
        <w:jc w:val="both"/>
      </w:pPr>
      <w:r>
        <w:t>To educate patients and caregivers about the prevention of depressive conditions during pregnancy.</w:t>
      </w:r>
    </w:p>
    <w:p w14:paraId="21399C64">
      <w:pPr>
        <w:pStyle w:val="11"/>
        <w:jc w:val="both"/>
      </w:pPr>
      <w:r>
        <w:rPr>
          <w:rStyle w:val="12"/>
        </w:rPr>
        <w:t>METHODOLOGY</w:t>
      </w:r>
      <w:r>
        <w:br w:type="textWrapping"/>
      </w:r>
      <w:r>
        <w:t>A cross-sectional study was carried out at NIMS Medicity, Thiruvananthapuram, over a 6-month period. A total of 138 pregnant women were assessed for depressive symptoms using the Beck Depression Inventory (BDI). Data was collected in a structured form and analyzed using Microsoft Excel and SPSS version 24.</w:t>
      </w:r>
    </w:p>
    <w:p w14:paraId="3A316552">
      <w:pPr>
        <w:pStyle w:val="11"/>
        <w:jc w:val="both"/>
      </w:pPr>
      <w:r>
        <w:rPr>
          <w:rStyle w:val="12"/>
        </w:rPr>
        <w:t>RESULT AND DISCUSSION</w:t>
      </w:r>
      <w:r>
        <w:br w:type="textWrapping"/>
      </w:r>
      <w:r>
        <w:t>Out of the 138 participants, most were in the age group of 25-28 years. 52.7% had planned pregnancies, while 47.83% had unplanned pregnancies. 12.32% of the participants experienced obstetric complications such as thyroid issues, PCOD</w:t>
      </w:r>
      <w:r>
        <w:rPr>
          <w:rFonts w:hint="default"/>
          <w:lang w:val="en-IN"/>
        </w:rPr>
        <w:t xml:space="preserve"> (Polycystic Ovarian Disease)</w:t>
      </w:r>
      <w:r>
        <w:t>, or IVF</w:t>
      </w:r>
      <w:r>
        <w:rPr>
          <w:rFonts w:hint="default"/>
          <w:lang w:val="en-IN"/>
        </w:rPr>
        <w:t xml:space="preserve"> (In-vitro Fertilisation)</w:t>
      </w:r>
      <w:r>
        <w:t>, while 87.68% did not. The classification of depression was based on the BDI score, and mild mood disturbance was most common (35.51%). 61.59% of the participants had depressive symptoms, with the highest incidence observed in the third trimester.</w:t>
      </w:r>
    </w:p>
    <w:p w14:paraId="1408CF16">
      <w:pPr>
        <w:pStyle w:val="11"/>
        <w:jc w:val="both"/>
      </w:pPr>
      <w:r>
        <w:rPr>
          <w:rStyle w:val="12"/>
        </w:rPr>
        <w:t>CONCLUSION</w:t>
      </w:r>
      <w:r>
        <w:br w:type="textWrapping"/>
      </w:r>
      <w:r>
        <w:t>This study highlighted the significant prevalence of depressive symptoms during pregnancy. Factors such as age, unplanned pregnancies, trimester, and obstetric complications were found to influence the occurrence of depressive symptoms. The study underscores the importance of early detection and intervention for managing depression during pregnancy.</w:t>
      </w:r>
    </w:p>
    <w:p w14:paraId="30FD3FBB">
      <w:pPr>
        <w:pStyle w:val="11"/>
        <w:jc w:val="both"/>
      </w:pPr>
      <w:r>
        <w:rPr>
          <w:rStyle w:val="12"/>
        </w:rPr>
        <w:t>KEYWORDS</w:t>
      </w:r>
      <w:r>
        <w:br w:type="textWrapping"/>
      </w:r>
      <w:r>
        <w:t>Depression, Pregnancy, Primi gravida, Trimester, Beck Depression Inventory, Prevalence</w:t>
      </w:r>
    </w:p>
    <w:p w14:paraId="7E82C05F">
      <w:pPr>
        <w:spacing w:line="240" w:lineRule="auto"/>
        <w:jc w:val="both"/>
        <w:rPr>
          <w:rFonts w:ascii="Times New Roman" w:hAnsi="Times New Roman" w:cs="Times New Roman"/>
          <w:sz w:val="24"/>
          <w:szCs w:val="24"/>
          <w:lang w:val="en-IN"/>
        </w:rPr>
      </w:pPr>
    </w:p>
    <w:p w14:paraId="791AFBBD">
      <w:pPr>
        <w:spacing w:line="24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14:paraId="1B386BFC">
      <w:pPr>
        <w:pStyle w:val="13"/>
        <w:spacing w:line="240" w:lineRule="auto"/>
        <w:ind w:left="0" w:firstLine="720"/>
        <w:jc w:val="both"/>
        <w:rPr>
          <w:rFonts w:hint="default" w:ascii="Times New Roman" w:hAnsi="Times New Roman" w:cs="Times New Roman"/>
          <w:sz w:val="24"/>
          <w:szCs w:val="24"/>
          <w:lang w:val="en-IN"/>
        </w:rPr>
      </w:pPr>
      <w:r>
        <w:rPr>
          <w:rFonts w:ascii="Times New Roman" w:hAnsi="Times New Roman" w:cs="Times New Roman"/>
          <w:sz w:val="24"/>
          <w:szCs w:val="24"/>
        </w:rPr>
        <w:t xml:space="preserve">Depression is a group of conditions that are associated with alteration in mood. </w:t>
      </w:r>
      <w:r>
        <w:rPr>
          <w:rFonts w:hint="default" w:ascii="Times New Roman" w:hAnsi="Times New Roman" w:eastAsia="SimSun" w:cs="Times New Roman"/>
          <w:sz w:val="24"/>
          <w:szCs w:val="24"/>
        </w:rPr>
        <w:t>Depression during pregnancy, also known as prenatal or antenatal depression, is a serious mood disorder that affects expectant mothers and can have significant consequences for both the mother and the developing fetus.</w:t>
      </w:r>
      <w:r>
        <w:rPr>
          <w:rFonts w:hint="default" w:ascii="Times New Roman" w:hAnsi="Times New Roman" w:eastAsia="SimSun" w:cs="Times New Roman"/>
          <w:sz w:val="24"/>
          <w:szCs w:val="24"/>
          <w:lang w:val="en-IN"/>
        </w:rPr>
        <w:t>[1]</w:t>
      </w:r>
      <w:r>
        <w:rPr>
          <w:rFonts w:hint="default" w:ascii="Times New Roman" w:hAnsi="Times New Roman" w:eastAsia="SimSun" w:cs="Times New Roman"/>
          <w:sz w:val="24"/>
          <w:szCs w:val="24"/>
        </w:rPr>
        <w:t xml:space="preserve"> Characterized by persistent feelings of sadness, anxiety, hopelessness, and disinterest in daily activities, this condition often arises due to a combination of hormonal changes, psychological stressors, and pre-existing mental health vulnerabilities.</w:t>
      </w:r>
      <w:r>
        <w:rPr>
          <w:rFonts w:hint="default" w:ascii="Times New Roman" w:hAnsi="Times New Roman" w:eastAsia="SimSun" w:cs="Times New Roman"/>
          <w:sz w:val="24"/>
          <w:szCs w:val="24"/>
          <w:lang w:val="en-IN"/>
        </w:rPr>
        <w:t>[2,3]</w:t>
      </w:r>
      <w:r>
        <w:rPr>
          <w:rFonts w:hint="default" w:ascii="Times New Roman" w:hAnsi="Times New Roman" w:eastAsia="SimSun" w:cs="Times New Roman"/>
          <w:sz w:val="24"/>
          <w:szCs w:val="24"/>
        </w:rPr>
        <w:t xml:space="preserve"> Unlike the occasional emotional fluctuations that are common during pregnancy, prenatal depression is more intense and long-lasting, potentially impairing a woman’s ability to function and engage in prenatal care. If left untreated, it can increase the risk of complications such as poor maternal health, premature birth, and developmental issues in the infant. Therefore, early recognition and appropriate management are essential to ensure the well-being of both mother and child.</w:t>
      </w:r>
      <w:r>
        <w:rPr>
          <w:rFonts w:hint="default" w:ascii="Times New Roman" w:hAnsi="Times New Roman" w:eastAsia="SimSun" w:cs="Times New Roman"/>
          <w:sz w:val="24"/>
          <w:szCs w:val="24"/>
          <w:lang w:val="en-IN"/>
        </w:rPr>
        <w:t>[4]</w:t>
      </w:r>
    </w:p>
    <w:p w14:paraId="5E9372CB">
      <w:pPr>
        <w:spacing w:line="240" w:lineRule="auto"/>
        <w:ind w:firstLine="720"/>
        <w:jc w:val="both"/>
        <w:rPr>
          <w:rFonts w:hint="default" w:ascii="Times New Roman" w:hAnsi="Times New Roman" w:cs="Times New Roman"/>
          <w:sz w:val="24"/>
          <w:szCs w:val="24"/>
          <w:lang w:val="en-IN"/>
        </w:rPr>
      </w:pPr>
      <w:r>
        <w:rPr>
          <w:rFonts w:ascii="Times New Roman" w:hAnsi="Times New Roman" w:cs="Times New Roman"/>
          <w:sz w:val="24"/>
          <w:szCs w:val="24"/>
        </w:rPr>
        <w:t>The Beck Depression Inventory Scale (BDI) is the most widely used screening instrument for detecting symptoms of depression. It is a valid scale and tested to detect symptoms and severity of depression. It is a 21 measure designed to document a variety of depressive symptoms.</w:t>
      </w:r>
      <w:r>
        <w:rPr>
          <w:rFonts w:hint="default" w:ascii="Times New Roman" w:hAnsi="Times New Roman" w:cs="Times New Roman"/>
          <w:sz w:val="24"/>
          <w:szCs w:val="24"/>
          <w:lang w:val="en-IN"/>
        </w:rPr>
        <w:t>[5]</w:t>
      </w:r>
    </w:p>
    <w:p w14:paraId="59A7C430">
      <w:pPr>
        <w:pStyle w:val="13"/>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rPr>
        <w:t>BDI cut off scores used for detecting depression in several research literatures have ranged from 8.5 to 16.5. A cut score of either 17 or 18 provide the best balance between sensitivity and specificity</w:t>
      </w:r>
      <w:r>
        <w:rPr>
          <w:rFonts w:ascii="Times New Roman" w:hAnsi="Times New Roman" w:cs="Times New Roman"/>
          <w:sz w:val="24"/>
          <w:szCs w:val="24"/>
          <w:lang w:val="en-IN"/>
        </w:rPr>
        <w:t>. More than 20 indicates severe depression and over 40 indicates extreme depression.[6]</w:t>
      </w:r>
    </w:p>
    <w:p w14:paraId="141E5B9A">
      <w:pPr>
        <w:pStyle w:val="13"/>
        <w:spacing w:line="240" w:lineRule="auto"/>
        <w:jc w:val="both"/>
        <w:rPr>
          <w:rFonts w:ascii="Times New Roman" w:hAnsi="Times New Roman" w:cs="Times New Roman"/>
          <w:sz w:val="24"/>
          <w:szCs w:val="24"/>
          <w:lang w:val="en-IN"/>
        </w:rPr>
      </w:pPr>
    </w:p>
    <w:p w14:paraId="6BACE794">
      <w:pPr>
        <w:pStyle w:val="13"/>
        <w:spacing w:line="240" w:lineRule="auto"/>
        <w:ind w:left="0"/>
        <w:jc w:val="center"/>
        <w:rPr>
          <w:rFonts w:ascii="Times New Roman" w:hAnsi="Times New Roman" w:cs="Times New Roman"/>
          <w:b/>
          <w:bCs/>
          <w:sz w:val="24"/>
          <w:szCs w:val="24"/>
          <w:lang w:val="en-IN"/>
        </w:rPr>
      </w:pPr>
    </w:p>
    <w:p w14:paraId="633D014A">
      <w:pPr>
        <w:pStyle w:val="13"/>
        <w:spacing w:line="240" w:lineRule="auto"/>
        <w:ind w:left="0"/>
        <w:jc w:val="center"/>
        <w:rPr>
          <w:rFonts w:ascii="Times New Roman" w:hAnsi="Times New Roman" w:cs="Times New Roman"/>
          <w:b/>
          <w:bCs/>
          <w:sz w:val="24"/>
          <w:szCs w:val="24"/>
          <w:lang w:val="en-IN"/>
        </w:rPr>
      </w:pPr>
    </w:p>
    <w:p w14:paraId="36675CB5">
      <w:pPr>
        <w:pStyle w:val="13"/>
        <w:spacing w:line="240" w:lineRule="auto"/>
        <w:ind w:left="0"/>
        <w:jc w:val="center"/>
        <w:rPr>
          <w:rFonts w:ascii="Times New Roman" w:hAnsi="Times New Roman" w:cs="Times New Roman"/>
          <w:b/>
          <w:bCs/>
          <w:sz w:val="24"/>
          <w:szCs w:val="24"/>
          <w:lang w:val="en-IN"/>
        </w:rPr>
      </w:pPr>
    </w:p>
    <w:p w14:paraId="365C6A04">
      <w:pPr>
        <w:pStyle w:val="13"/>
        <w:spacing w:line="240" w:lineRule="auto"/>
        <w:ind w:left="0"/>
        <w:jc w:val="center"/>
        <w:rPr>
          <w:rFonts w:ascii="Times New Roman" w:hAnsi="Times New Roman" w:cs="Times New Roman"/>
          <w:b/>
          <w:bCs/>
          <w:sz w:val="24"/>
          <w:szCs w:val="24"/>
          <w:lang w:val="en-IN"/>
        </w:rPr>
      </w:pPr>
    </w:p>
    <w:p w14:paraId="125BE243">
      <w:pPr>
        <w:pStyle w:val="13"/>
        <w:spacing w:line="24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METHODOLOGY</w:t>
      </w:r>
    </w:p>
    <w:p w14:paraId="6A03F0C4">
      <w:pPr>
        <w:pStyle w:val="13"/>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Study setting</w:t>
      </w:r>
    </w:p>
    <w:p w14:paraId="34387388">
      <w:pPr>
        <w:pStyle w:val="13"/>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lang w:val="en-IN"/>
        </w:rPr>
        <w:t>This is cross- sectional study was carried out in NIMS Medicity, Neyyattinkara, Thiruvananthapuram, Kerala on outpatient basis of Obstetrics and Gynaecology department.</w:t>
      </w:r>
    </w:p>
    <w:p w14:paraId="74B50A8F">
      <w:pPr>
        <w:pStyle w:val="13"/>
        <w:spacing w:line="240" w:lineRule="auto"/>
        <w:ind w:left="0"/>
        <w:jc w:val="both"/>
        <w:rPr>
          <w:rFonts w:ascii="Times New Roman" w:hAnsi="Times New Roman" w:cs="Times New Roman"/>
          <w:sz w:val="24"/>
          <w:szCs w:val="24"/>
          <w:lang w:val="en-IN"/>
        </w:rPr>
      </w:pPr>
    </w:p>
    <w:p w14:paraId="60630E34">
      <w:pPr>
        <w:pStyle w:val="13"/>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Participants and Procedures</w:t>
      </w:r>
    </w:p>
    <w:p w14:paraId="5324BD47">
      <w:pPr>
        <w:rPr>
          <w:rFonts w:ascii="Times New Roman" w:hAnsi="Times New Roman" w:cs="Times New Roman"/>
          <w:sz w:val="24"/>
          <w:szCs w:val="24"/>
          <w:lang w:val="en-IN"/>
        </w:rPr>
      </w:pPr>
      <w:r>
        <w:rPr>
          <w:rFonts w:ascii="Times New Roman" w:hAnsi="Times New Roman" w:cs="Times New Roman"/>
          <w:sz w:val="24"/>
          <w:szCs w:val="24"/>
          <w:lang w:val="en-IN"/>
        </w:rPr>
        <w:t>After the consideration of attrition rate, the sample size taken to be 138. Inclusion criteria were age</w:t>
      </w:r>
      <w:r>
        <w:rPr>
          <w:rFonts w:ascii="Times New Roman" w:hAnsi="Times New Roman" w:eastAsia="SimSun" w:cs="Times New Roman"/>
          <w:color w:val="000000"/>
          <w:sz w:val="24"/>
          <w:szCs w:val="24"/>
          <w:lang w:eastAsia="zh-CN" w:bidi="ar"/>
        </w:rPr>
        <w:t xml:space="preserve"> between 18- 35 years (Pregnant Women)</w:t>
      </w:r>
      <w:r>
        <w:rPr>
          <w:rFonts w:ascii="Times New Roman" w:hAnsi="Times New Roman" w:eastAsia="SimSun" w:cs="Times New Roman"/>
          <w:color w:val="000000"/>
          <w:sz w:val="24"/>
          <w:szCs w:val="24"/>
          <w:lang w:val="en-IN" w:eastAsia="zh-CN" w:bidi="ar"/>
        </w:rPr>
        <w:t>, w</w:t>
      </w:r>
      <w:r>
        <w:rPr>
          <w:rFonts w:ascii="Times New Roman" w:hAnsi="Times New Roman" w:eastAsia="SimSun" w:cs="Times New Roman"/>
          <w:color w:val="000000"/>
          <w:sz w:val="24"/>
          <w:szCs w:val="24"/>
          <w:lang w:eastAsia="zh-CN" w:bidi="ar"/>
        </w:rPr>
        <w:t xml:space="preserve">omen who </w:t>
      </w:r>
      <w:r>
        <w:rPr>
          <w:rFonts w:ascii="Times New Roman" w:hAnsi="Times New Roman" w:eastAsia="SimSun" w:cs="Times New Roman"/>
          <w:color w:val="000000"/>
          <w:sz w:val="24"/>
          <w:szCs w:val="24"/>
          <w:lang w:val="en-IN" w:eastAsia="zh-CN" w:bidi="ar"/>
        </w:rPr>
        <w:t>wer</w:t>
      </w:r>
      <w:r>
        <w:rPr>
          <w:rFonts w:ascii="Times New Roman" w:hAnsi="Times New Roman" w:eastAsia="SimSun" w:cs="Times New Roman"/>
          <w:color w:val="000000"/>
          <w:sz w:val="24"/>
          <w:szCs w:val="24"/>
          <w:lang w:eastAsia="zh-CN" w:bidi="ar"/>
        </w:rPr>
        <w:t>e pregnant for the first time</w:t>
      </w:r>
      <w:r>
        <w:rPr>
          <w:rFonts w:ascii="Times New Roman" w:hAnsi="Times New Roman" w:eastAsia="SimSun" w:cs="Times New Roman"/>
          <w:color w:val="000000"/>
          <w:sz w:val="24"/>
          <w:szCs w:val="24"/>
          <w:lang w:val="en-IN" w:eastAsia="zh-CN" w:bidi="ar"/>
        </w:rPr>
        <w:t>, and t</w:t>
      </w:r>
      <w:r>
        <w:rPr>
          <w:rFonts w:ascii="Times New Roman" w:hAnsi="Times New Roman" w:eastAsia="SimSun" w:cs="Times New Roman"/>
          <w:color w:val="000000"/>
          <w:sz w:val="24"/>
          <w:szCs w:val="24"/>
          <w:lang w:eastAsia="zh-CN" w:bidi="ar"/>
        </w:rPr>
        <w:t xml:space="preserve">hose who </w:t>
      </w:r>
      <w:r>
        <w:rPr>
          <w:rFonts w:ascii="Times New Roman" w:hAnsi="Times New Roman" w:eastAsia="SimSun" w:cs="Times New Roman"/>
          <w:color w:val="000000"/>
          <w:sz w:val="24"/>
          <w:szCs w:val="24"/>
          <w:lang w:val="en-IN" w:eastAsia="zh-CN" w:bidi="ar"/>
        </w:rPr>
        <w:t>were</w:t>
      </w:r>
      <w:r>
        <w:rPr>
          <w:rFonts w:ascii="Times New Roman" w:hAnsi="Times New Roman" w:eastAsia="SimSun" w:cs="Times New Roman"/>
          <w:color w:val="000000"/>
          <w:sz w:val="24"/>
          <w:szCs w:val="24"/>
          <w:lang w:eastAsia="zh-CN" w:bidi="ar"/>
        </w:rPr>
        <w:t xml:space="preserve"> willing to participate in the study</w:t>
      </w:r>
      <w:r>
        <w:rPr>
          <w:rFonts w:ascii="Times New Roman" w:hAnsi="Times New Roman" w:cs="Times New Roman"/>
          <w:sz w:val="24"/>
          <w:szCs w:val="24"/>
          <w:lang w:val="en-IN"/>
        </w:rPr>
        <w:t>. People with history of Psychiatric conditions and miscarriage were excluded. Data were collected from  December 2023 to April 2024 by use of consecutive sampling method (collecting data from expecting mothers  in hospital for check-ups during the collecting time).</w:t>
      </w:r>
    </w:p>
    <w:p w14:paraId="437E2535">
      <w:pPr>
        <w:pStyle w:val="13"/>
        <w:spacing w:line="240" w:lineRule="auto"/>
        <w:ind w:left="0"/>
        <w:jc w:val="both"/>
        <w:rPr>
          <w:rFonts w:ascii="Times New Roman" w:hAnsi="Times New Roman" w:cs="Times New Roman"/>
          <w:sz w:val="24"/>
          <w:szCs w:val="24"/>
          <w:lang w:val="en-IN"/>
        </w:rPr>
      </w:pPr>
    </w:p>
    <w:p w14:paraId="596648FB">
      <w:pPr>
        <w:pStyle w:val="13"/>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Ethical Approval</w:t>
      </w:r>
    </w:p>
    <w:p w14:paraId="440AA026">
      <w:pPr>
        <w:pStyle w:val="13"/>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lang w:val="en-IN"/>
        </w:rPr>
        <w:t>Ethical approval was granted from ethics committees of Institutional Ethical Committee of College and Hospital, this study was conducted in compliance with the ethical priciples of Declaration of Helsinki. The informations regarding the study were explained in detail to the all participants before signing the consent form. Informed consent was obtained from all participants.</w:t>
      </w:r>
    </w:p>
    <w:p w14:paraId="66AE98E9">
      <w:pPr>
        <w:pStyle w:val="13"/>
        <w:spacing w:line="240" w:lineRule="auto"/>
        <w:ind w:left="0"/>
        <w:jc w:val="both"/>
        <w:rPr>
          <w:rFonts w:ascii="Times New Roman" w:hAnsi="Times New Roman" w:cs="Times New Roman"/>
          <w:sz w:val="24"/>
          <w:szCs w:val="24"/>
          <w:lang w:val="en-IN"/>
        </w:rPr>
      </w:pPr>
    </w:p>
    <w:p w14:paraId="532D0AF2">
      <w:pPr>
        <w:pStyle w:val="13"/>
        <w:spacing w:line="240" w:lineRule="auto"/>
        <w:ind w:left="0"/>
        <w:jc w:val="both"/>
        <w:rPr>
          <w:rFonts w:ascii="Times New Roman" w:hAnsi="Times New Roman" w:cs="Times New Roman"/>
          <w:sz w:val="24"/>
          <w:szCs w:val="24"/>
          <w:u w:val="single"/>
          <w:lang w:val="en-IN"/>
        </w:rPr>
      </w:pPr>
    </w:p>
    <w:p w14:paraId="0209B9C3">
      <w:pPr>
        <w:pStyle w:val="13"/>
        <w:spacing w:line="240" w:lineRule="auto"/>
        <w:ind w:left="0"/>
        <w:jc w:val="both"/>
        <w:rPr>
          <w:rFonts w:ascii="Times New Roman" w:hAnsi="Times New Roman" w:cs="Times New Roman"/>
          <w:sz w:val="24"/>
          <w:szCs w:val="24"/>
          <w:u w:val="single"/>
          <w:lang w:val="en-IN"/>
        </w:rPr>
      </w:pPr>
    </w:p>
    <w:p w14:paraId="4A282B22">
      <w:pPr>
        <w:pStyle w:val="13"/>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Measurements</w:t>
      </w:r>
    </w:p>
    <w:p w14:paraId="020B812A">
      <w:pPr>
        <w:pStyle w:val="13"/>
        <w:spacing w:line="240" w:lineRule="auto"/>
        <w:ind w:left="0" w:firstLine="720"/>
        <w:jc w:val="both"/>
        <w:rPr>
          <w:rFonts w:hint="default" w:ascii="Times New Roman" w:hAnsi="Times New Roman" w:cs="Times New Roman"/>
          <w:sz w:val="24"/>
          <w:szCs w:val="24"/>
          <w:lang w:val="en-IN"/>
        </w:rPr>
      </w:pPr>
      <w:r>
        <w:rPr>
          <w:rFonts w:ascii="Times New Roman" w:hAnsi="Times New Roman" w:cs="Times New Roman"/>
          <w:sz w:val="24"/>
          <w:szCs w:val="24"/>
          <w:lang w:val="en-IN"/>
        </w:rPr>
        <w:t>A data collection form was included that contains subject demographic details, trimester of pregnancy</w:t>
      </w:r>
      <w:r>
        <w:rPr>
          <w:rFonts w:hint="default" w:ascii="Times New Roman" w:hAnsi="Times New Roman" w:cs="Times New Roman"/>
          <w:sz w:val="24"/>
          <w:szCs w:val="24"/>
          <w:lang w:val="en-IN"/>
        </w:rPr>
        <w:t>, u</w:t>
      </w:r>
      <w:r>
        <w:rPr>
          <w:rFonts w:hint="default" w:ascii="Times New Roman" w:hAnsi="Times New Roman" w:cs="Times New Roman"/>
          <w:sz w:val="24"/>
          <w:szCs w:val="24"/>
        </w:rPr>
        <w:t>nplanned</w:t>
      </w:r>
      <w:r>
        <w:rPr>
          <w:rFonts w:hint="default" w:ascii="Times New Roman" w:hAnsi="Times New Roman" w:cs="Times New Roman"/>
          <w:spacing w:val="-8"/>
          <w:sz w:val="24"/>
          <w:szCs w:val="24"/>
        </w:rPr>
        <w:t xml:space="preserve"> </w:t>
      </w:r>
      <w:r>
        <w:rPr>
          <w:rFonts w:hint="default" w:ascii="Times New Roman" w:hAnsi="Times New Roman" w:cs="Times New Roman"/>
          <w:spacing w:val="-8"/>
          <w:sz w:val="24"/>
          <w:szCs w:val="24"/>
          <w:lang w:val="en-IN"/>
        </w:rPr>
        <w:t>p</w:t>
      </w:r>
      <w:r>
        <w:rPr>
          <w:rFonts w:hint="default" w:ascii="Times New Roman" w:hAnsi="Times New Roman" w:cs="Times New Roman"/>
          <w:spacing w:val="-2"/>
          <w:sz w:val="24"/>
          <w:szCs w:val="24"/>
        </w:rPr>
        <w:t>regnancy</w:t>
      </w:r>
      <w:r>
        <w:rPr>
          <w:rFonts w:hint="default" w:ascii="Times New Roman" w:hAnsi="Times New Roman" w:cs="Times New Roman"/>
          <w:spacing w:val="-2"/>
          <w:sz w:val="24"/>
          <w:szCs w:val="24"/>
          <w:lang w:val="en-IN"/>
        </w:rPr>
        <w:t>, obstetric complications, previous pregnancy</w:t>
      </w:r>
    </w:p>
    <w:p w14:paraId="0E66C928">
      <w:pPr>
        <w:pStyle w:val="13"/>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en-IN"/>
        </w:rPr>
        <w:t xml:space="preserve">A structured questionnaire named </w:t>
      </w:r>
      <w:r>
        <w:rPr>
          <w:rFonts w:ascii="Times New Roman" w:hAnsi="Times New Roman" w:cs="Times New Roman"/>
          <w:sz w:val="24"/>
          <w:szCs w:val="24"/>
        </w:rPr>
        <w:t>Beck Depression Inventory (BDI) scale</w:t>
      </w:r>
      <w:r>
        <w:rPr>
          <w:rFonts w:ascii="Times New Roman" w:hAnsi="Times New Roman" w:cs="Times New Roman"/>
          <w:sz w:val="24"/>
          <w:szCs w:val="24"/>
          <w:lang w:val="en-IN"/>
        </w:rPr>
        <w:t xml:space="preserve"> was included which is</w:t>
      </w:r>
      <w:r>
        <w:rPr>
          <w:rFonts w:ascii="Times New Roman" w:hAnsi="Times New Roman" w:cs="Times New Roman"/>
          <w:sz w:val="24"/>
          <w:szCs w:val="24"/>
        </w:rPr>
        <w:t xml:space="preserve"> a 21- item, self- report rating inventory that measures characteristic attitudes and symptoms of depression.</w:t>
      </w:r>
      <w:r>
        <w:rPr>
          <w:rFonts w:ascii="Times New Roman" w:hAnsi="Times New Roman" w:cs="Times New Roman"/>
          <w:sz w:val="24"/>
          <w:szCs w:val="24"/>
          <w:lang w:val="en-IN"/>
        </w:rPr>
        <w:t xml:space="preserve"> </w:t>
      </w:r>
      <w:r>
        <w:rPr>
          <w:rFonts w:ascii="Times New Roman" w:hAnsi="Times New Roman" w:cs="Times New Roman"/>
          <w:sz w:val="24"/>
          <w:szCs w:val="24"/>
        </w:rPr>
        <w:t>It is used to measure the severity of depression and to monitor the course of treatment.</w:t>
      </w:r>
      <w:r>
        <w:rPr>
          <w:rFonts w:ascii="Times New Roman" w:hAnsi="Times New Roman" w:cs="Times New Roman"/>
          <w:sz w:val="24"/>
          <w:szCs w:val="24"/>
          <w:lang w:val="en-IN"/>
        </w:rPr>
        <w:t xml:space="preserve"> </w:t>
      </w:r>
      <w:r>
        <w:rPr>
          <w:rFonts w:ascii="Times New Roman" w:hAnsi="Times New Roman" w:cs="Times New Roman"/>
          <w:sz w:val="24"/>
          <w:szCs w:val="24"/>
        </w:rPr>
        <w:t>It can help for diagnosis of the same.</w:t>
      </w:r>
      <w:r>
        <w:rPr>
          <w:rFonts w:ascii="Times New Roman" w:hAnsi="Times New Roman" w:cs="Times New Roman"/>
          <w:sz w:val="24"/>
          <w:szCs w:val="24"/>
          <w:lang w:val="en-IN"/>
        </w:rPr>
        <w:t xml:space="preserve"> </w:t>
      </w:r>
      <w:r>
        <w:rPr>
          <w:rFonts w:ascii="Times New Roman" w:hAnsi="Times New Roman" w:cs="Times New Roman"/>
          <w:sz w:val="24"/>
          <w:szCs w:val="24"/>
        </w:rPr>
        <w:t>It is scored by:</w:t>
      </w:r>
    </w:p>
    <w:p w14:paraId="183FAD0C">
      <w:pPr>
        <w:pStyle w:val="13"/>
        <w:spacing w:line="240" w:lineRule="auto"/>
        <w:jc w:val="both"/>
        <w:rPr>
          <w:rFonts w:ascii="Times New Roman" w:hAnsi="Times New Roman" w:cs="Times New Roman"/>
          <w:sz w:val="24"/>
          <w:szCs w:val="24"/>
        </w:rPr>
      </w:pPr>
      <w:r>
        <w:rPr>
          <w:rFonts w:ascii="Times New Roman" w:hAnsi="Times New Roman" w:cs="Times New Roman"/>
          <w:sz w:val="24"/>
          <w:szCs w:val="24"/>
        </w:rPr>
        <w:t>1-10: These ups and downs are considered normal</w:t>
      </w:r>
    </w:p>
    <w:p w14:paraId="5DDE619A">
      <w:pPr>
        <w:pStyle w:val="13"/>
        <w:spacing w:line="240" w:lineRule="auto"/>
        <w:jc w:val="both"/>
        <w:rPr>
          <w:rFonts w:ascii="Times New Roman" w:hAnsi="Times New Roman" w:cs="Times New Roman"/>
          <w:sz w:val="24"/>
          <w:szCs w:val="24"/>
        </w:rPr>
      </w:pPr>
      <w:r>
        <w:rPr>
          <w:rFonts w:ascii="Times New Roman" w:hAnsi="Times New Roman" w:cs="Times New Roman"/>
          <w:sz w:val="24"/>
          <w:szCs w:val="24"/>
        </w:rPr>
        <w:t>11-16: Mild mood disturbance</w:t>
      </w:r>
    </w:p>
    <w:p w14:paraId="37532C49">
      <w:pPr>
        <w:pStyle w:val="13"/>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17-20: Borderline clinical depression </w:t>
      </w:r>
    </w:p>
    <w:p w14:paraId="0CD6B01C">
      <w:pPr>
        <w:pStyle w:val="13"/>
        <w:spacing w:line="240" w:lineRule="auto"/>
        <w:jc w:val="both"/>
        <w:rPr>
          <w:rFonts w:ascii="Times New Roman" w:hAnsi="Times New Roman" w:cs="Times New Roman"/>
          <w:sz w:val="24"/>
          <w:szCs w:val="24"/>
        </w:rPr>
      </w:pPr>
      <w:r>
        <w:rPr>
          <w:rFonts w:ascii="Times New Roman" w:hAnsi="Times New Roman" w:cs="Times New Roman"/>
          <w:sz w:val="24"/>
          <w:szCs w:val="24"/>
        </w:rPr>
        <w:t>21-30: Moderate depression</w:t>
      </w:r>
    </w:p>
    <w:p w14:paraId="232ECF81">
      <w:pPr>
        <w:pStyle w:val="13"/>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31-40: Severe depression </w:t>
      </w:r>
    </w:p>
    <w:p w14:paraId="55DB5D95">
      <w:pPr>
        <w:pStyle w:val="13"/>
        <w:spacing w:line="240" w:lineRule="auto"/>
        <w:jc w:val="both"/>
        <w:rPr>
          <w:rFonts w:ascii="Times New Roman" w:hAnsi="Times New Roman" w:cs="Times New Roman"/>
          <w:sz w:val="24"/>
          <w:szCs w:val="24"/>
        </w:rPr>
      </w:pPr>
      <w:r>
        <w:rPr>
          <w:rFonts w:ascii="Times New Roman" w:hAnsi="Times New Roman" w:cs="Times New Roman"/>
          <w:sz w:val="24"/>
          <w:szCs w:val="24"/>
        </w:rPr>
        <w:t>Over 40: Extreme depression</w:t>
      </w:r>
    </w:p>
    <w:p w14:paraId="5BA1EF2D">
      <w:pPr>
        <w:pStyle w:val="13"/>
        <w:spacing w:line="240" w:lineRule="auto"/>
        <w:ind w:left="0"/>
        <w:rPr>
          <w:rFonts w:ascii="Times New Roman" w:hAnsi="Times New Roman" w:cs="Times New Roman"/>
          <w:sz w:val="24"/>
          <w:szCs w:val="24"/>
          <w:u w:val="single"/>
          <w:lang w:val="en-IN"/>
        </w:rPr>
      </w:pPr>
    </w:p>
    <w:p w14:paraId="00B0396F">
      <w:pPr>
        <w:pStyle w:val="13"/>
        <w:spacing w:line="240" w:lineRule="auto"/>
        <w:ind w:left="0"/>
        <w:jc w:val="center"/>
        <w:rPr>
          <w:rFonts w:ascii="Times New Roman" w:hAnsi="Times New Roman" w:cs="Times New Roman"/>
          <w:b/>
          <w:bCs/>
          <w:sz w:val="24"/>
          <w:szCs w:val="24"/>
          <w:lang w:val="en-IN"/>
        </w:rPr>
      </w:pPr>
      <w:bookmarkStart w:id="4" w:name="_GoBack"/>
      <w:bookmarkEnd w:id="4"/>
    </w:p>
    <w:p w14:paraId="039818AA">
      <w:pPr>
        <w:pStyle w:val="13"/>
        <w:spacing w:line="24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RESULTS AND DISCUSSION</w:t>
      </w:r>
    </w:p>
    <w:p w14:paraId="7CF6F438">
      <w:pPr>
        <w:jc w:val="both"/>
        <w:rPr>
          <w:rFonts w:ascii="Times New Roman" w:hAnsi="Times New Roman" w:cs="Times New Roman"/>
          <w:sz w:val="24"/>
          <w:szCs w:val="24"/>
          <w:lang w:val="en-IN"/>
        </w:rPr>
      </w:pPr>
      <w:r>
        <w:rPr>
          <w:rStyle w:val="12"/>
          <w:rFonts w:ascii="Times New Roman" w:hAnsi="Times New Roman" w:cs="Times New Roman"/>
          <w:sz w:val="24"/>
          <w:szCs w:val="24"/>
        </w:rPr>
        <w:t>Age-Wise Distribution:</w:t>
      </w:r>
      <w:r>
        <w:rPr>
          <w:rFonts w:ascii="Times New Roman" w:hAnsi="Times New Roman" w:cs="Times New Roman"/>
          <w:sz w:val="24"/>
          <w:szCs w:val="24"/>
        </w:rPr>
        <w:br w:type="textWrapping"/>
      </w:r>
      <w:r>
        <w:rPr>
          <w:rFonts w:ascii="Times New Roman" w:hAnsi="Times New Roman" w:cs="Times New Roman"/>
          <w:sz w:val="24"/>
          <w:szCs w:val="24"/>
        </w:rPr>
        <w:t>The age-wise distribution of the 138 participants revealed that the majority belonged to the age group of 26–29 years, comprising 47 individuals (34.06%). The second most common age group was 22–25 years, consisting of 44 individuals (31.88%), followed by 18–21 years with 27 individuals (19.57%), and the least representation was in the 30–35 years group with 20 participants (14.49%). This shows that the majority of the study population consisted of younger primi gravida women between the ages of 22 and 29.</w:t>
      </w:r>
      <w:r>
        <w:rPr>
          <w:rFonts w:ascii="Times New Roman" w:hAnsi="Times New Roman" w:cs="Times New Roman"/>
          <w:sz w:val="24"/>
          <w:szCs w:val="24"/>
          <w:lang w:val="en-IN"/>
        </w:rPr>
        <w:t xml:space="preserve"> 9. (table 1.1)</w:t>
      </w:r>
    </w:p>
    <w:p w14:paraId="2903F21A">
      <w:pPr>
        <w:jc w:val="both"/>
        <w:rPr>
          <w:rFonts w:ascii="Times New Roman" w:hAnsi="Times New Roman" w:cs="Times New Roman"/>
          <w:sz w:val="24"/>
          <w:szCs w:val="24"/>
          <w:lang w:val="en-IN"/>
        </w:rPr>
      </w:pPr>
    </w:p>
    <w:tbl>
      <w:tblPr>
        <w:tblStyle w:val="5"/>
        <w:tblpPr w:leftFromText="180" w:rightFromText="180" w:vertAnchor="text" w:horzAnchor="page" w:tblpX="2045" w:tblpY="216"/>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6"/>
        <w:gridCol w:w="2885"/>
        <w:gridCol w:w="2146"/>
        <w:gridCol w:w="2146"/>
      </w:tblGrid>
      <w:tr w14:paraId="6BF10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426" w:type="dxa"/>
          </w:tcPr>
          <w:p w14:paraId="176B9D4C">
            <w:pPr>
              <w:pStyle w:val="16"/>
              <w:spacing w:before="21"/>
              <w:jc w:val="left"/>
              <w:rPr>
                <w:b/>
              </w:rPr>
            </w:pPr>
          </w:p>
          <w:p w14:paraId="167E3BE3">
            <w:pPr>
              <w:pStyle w:val="16"/>
              <w:ind w:left="16" w:right="2"/>
              <w:rPr>
                <w:b/>
              </w:rPr>
            </w:pPr>
            <w:r>
              <w:rPr>
                <w:b/>
              </w:rPr>
              <w:t xml:space="preserve">Sl </w:t>
            </w:r>
            <w:r>
              <w:rPr>
                <w:b/>
                <w:spacing w:val="-5"/>
              </w:rPr>
              <w:t>No</w:t>
            </w:r>
          </w:p>
        </w:tc>
        <w:tc>
          <w:tcPr>
            <w:tcW w:w="2885" w:type="dxa"/>
          </w:tcPr>
          <w:p w14:paraId="03CC2DB0">
            <w:pPr>
              <w:pStyle w:val="16"/>
              <w:ind w:left="17"/>
              <w:rPr>
                <w:b/>
              </w:rPr>
            </w:pPr>
            <w:r>
              <w:rPr>
                <w:b/>
                <w:spacing w:val="-5"/>
              </w:rPr>
              <w:t>Age</w:t>
            </w:r>
          </w:p>
          <w:p w14:paraId="4B017195">
            <w:pPr>
              <w:pStyle w:val="16"/>
              <w:spacing w:before="46"/>
              <w:jc w:val="left"/>
              <w:rPr>
                <w:b/>
              </w:rPr>
            </w:pPr>
          </w:p>
          <w:p w14:paraId="116F4742">
            <w:pPr>
              <w:pStyle w:val="16"/>
              <w:spacing w:before="1" w:line="252" w:lineRule="exact"/>
              <w:ind w:left="17" w:right="10"/>
              <w:rPr>
                <w:b/>
              </w:rPr>
            </w:pPr>
            <w:r>
              <w:rPr>
                <w:b/>
                <w:spacing w:val="-2"/>
              </w:rPr>
              <w:t>(Years)</w:t>
            </w:r>
          </w:p>
        </w:tc>
        <w:tc>
          <w:tcPr>
            <w:tcW w:w="2146" w:type="dxa"/>
          </w:tcPr>
          <w:p w14:paraId="750D788E">
            <w:pPr>
              <w:pStyle w:val="16"/>
              <w:ind w:left="29" w:right="14"/>
              <w:rPr>
                <w:b/>
              </w:rPr>
            </w:pPr>
            <w:r>
              <w:rPr>
                <w:b/>
                <w:spacing w:val="-2"/>
              </w:rPr>
              <w:t>Frequency</w:t>
            </w:r>
          </w:p>
          <w:p w14:paraId="20D6C7AA">
            <w:pPr>
              <w:pStyle w:val="16"/>
              <w:spacing w:before="46"/>
              <w:jc w:val="left"/>
              <w:rPr>
                <w:b/>
              </w:rPr>
            </w:pPr>
          </w:p>
          <w:p w14:paraId="6AB683C5">
            <w:pPr>
              <w:pStyle w:val="16"/>
              <w:spacing w:before="1" w:line="252" w:lineRule="exact"/>
              <w:ind w:left="29" w:right="8"/>
              <w:rPr>
                <w:b/>
              </w:rPr>
            </w:pPr>
            <w:r>
              <w:rPr>
                <w:b/>
              </w:rPr>
              <w:t>(n</w:t>
            </w:r>
            <w:r>
              <w:rPr>
                <w:b/>
                <w:spacing w:val="-28"/>
              </w:rPr>
              <w:t xml:space="preserve"> </w:t>
            </w:r>
            <w:r>
              <w:rPr>
                <w:b/>
                <w:spacing w:val="-2"/>
              </w:rPr>
              <w:t>=138)</w:t>
            </w:r>
          </w:p>
        </w:tc>
        <w:tc>
          <w:tcPr>
            <w:tcW w:w="2146" w:type="dxa"/>
          </w:tcPr>
          <w:p w14:paraId="76EA138D">
            <w:pPr>
              <w:pStyle w:val="16"/>
              <w:ind w:left="29" w:right="9"/>
              <w:rPr>
                <w:b/>
              </w:rPr>
            </w:pPr>
            <w:r>
              <w:rPr>
                <w:b/>
                <w:spacing w:val="-2"/>
              </w:rPr>
              <w:t>Percentage</w:t>
            </w:r>
          </w:p>
          <w:p w14:paraId="0CFCF326">
            <w:pPr>
              <w:pStyle w:val="16"/>
              <w:spacing w:before="46"/>
              <w:jc w:val="left"/>
              <w:rPr>
                <w:b/>
              </w:rPr>
            </w:pPr>
          </w:p>
          <w:p w14:paraId="5F08B412">
            <w:pPr>
              <w:pStyle w:val="16"/>
              <w:spacing w:before="1" w:line="252" w:lineRule="exact"/>
              <w:ind w:left="29"/>
              <w:rPr>
                <w:b/>
              </w:rPr>
            </w:pPr>
            <w:r>
              <w:rPr>
                <w:b/>
                <w:spacing w:val="-5"/>
              </w:rPr>
              <w:t>(%)</w:t>
            </w:r>
          </w:p>
        </w:tc>
      </w:tr>
      <w:tr w14:paraId="64C8B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426" w:type="dxa"/>
          </w:tcPr>
          <w:p w14:paraId="1927FE09">
            <w:pPr>
              <w:pStyle w:val="16"/>
              <w:spacing w:before="154"/>
              <w:ind w:left="16"/>
            </w:pPr>
            <w:r>
              <w:rPr>
                <w:spacing w:val="-5"/>
              </w:rPr>
              <w:t>1.</w:t>
            </w:r>
          </w:p>
        </w:tc>
        <w:tc>
          <w:tcPr>
            <w:tcW w:w="2885" w:type="dxa"/>
          </w:tcPr>
          <w:p w14:paraId="2E496E2C">
            <w:pPr>
              <w:pStyle w:val="16"/>
              <w:spacing w:before="154"/>
              <w:ind w:left="17" w:right="8"/>
            </w:pPr>
            <w:r>
              <w:rPr>
                <w:spacing w:val="-2"/>
              </w:rPr>
              <w:t>18–21</w:t>
            </w:r>
          </w:p>
        </w:tc>
        <w:tc>
          <w:tcPr>
            <w:tcW w:w="2146" w:type="dxa"/>
          </w:tcPr>
          <w:p w14:paraId="52144BB9">
            <w:pPr>
              <w:pStyle w:val="16"/>
              <w:spacing w:before="154"/>
              <w:ind w:left="29" w:right="6"/>
            </w:pPr>
            <w:r>
              <w:rPr>
                <w:spacing w:val="-5"/>
              </w:rPr>
              <w:t>27</w:t>
            </w:r>
          </w:p>
        </w:tc>
        <w:tc>
          <w:tcPr>
            <w:tcW w:w="2146" w:type="dxa"/>
          </w:tcPr>
          <w:p w14:paraId="6FA9EBD2">
            <w:pPr>
              <w:pStyle w:val="16"/>
              <w:spacing w:before="154"/>
              <w:ind w:left="29" w:right="8"/>
            </w:pPr>
            <w:r>
              <w:rPr>
                <w:spacing w:val="-2"/>
              </w:rPr>
              <w:t>19.57</w:t>
            </w:r>
          </w:p>
        </w:tc>
      </w:tr>
      <w:tr w14:paraId="2F72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426" w:type="dxa"/>
          </w:tcPr>
          <w:p w14:paraId="03CF9ED6">
            <w:pPr>
              <w:pStyle w:val="16"/>
              <w:spacing w:before="154"/>
              <w:ind w:left="16"/>
            </w:pPr>
            <w:r>
              <w:rPr>
                <w:spacing w:val="-5"/>
              </w:rPr>
              <w:t>2.</w:t>
            </w:r>
          </w:p>
        </w:tc>
        <w:tc>
          <w:tcPr>
            <w:tcW w:w="2885" w:type="dxa"/>
          </w:tcPr>
          <w:p w14:paraId="4F0D3B54">
            <w:pPr>
              <w:pStyle w:val="16"/>
              <w:spacing w:before="154"/>
              <w:ind w:left="17" w:right="6"/>
            </w:pPr>
            <w:r>
              <w:t>22-</w:t>
            </w:r>
            <w:r>
              <w:rPr>
                <w:spacing w:val="-5"/>
              </w:rPr>
              <w:t>25</w:t>
            </w:r>
          </w:p>
        </w:tc>
        <w:tc>
          <w:tcPr>
            <w:tcW w:w="2146" w:type="dxa"/>
          </w:tcPr>
          <w:p w14:paraId="49A9D936">
            <w:pPr>
              <w:pStyle w:val="16"/>
              <w:spacing w:before="154"/>
              <w:ind w:left="29" w:right="6"/>
            </w:pPr>
            <w:r>
              <w:rPr>
                <w:spacing w:val="-5"/>
              </w:rPr>
              <w:t>44</w:t>
            </w:r>
          </w:p>
        </w:tc>
        <w:tc>
          <w:tcPr>
            <w:tcW w:w="2146" w:type="dxa"/>
          </w:tcPr>
          <w:p w14:paraId="13FEC257">
            <w:pPr>
              <w:pStyle w:val="16"/>
              <w:spacing w:before="154"/>
              <w:ind w:left="29" w:right="8"/>
            </w:pPr>
            <w:r>
              <w:rPr>
                <w:spacing w:val="-2"/>
              </w:rPr>
              <w:t>31.88</w:t>
            </w:r>
          </w:p>
        </w:tc>
      </w:tr>
      <w:tr w14:paraId="06473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426" w:type="dxa"/>
          </w:tcPr>
          <w:p w14:paraId="4A8CFFC0">
            <w:pPr>
              <w:pStyle w:val="16"/>
              <w:spacing w:before="154"/>
              <w:ind w:left="16"/>
            </w:pPr>
            <w:r>
              <w:rPr>
                <w:spacing w:val="-5"/>
              </w:rPr>
              <w:t>3.</w:t>
            </w:r>
          </w:p>
        </w:tc>
        <w:tc>
          <w:tcPr>
            <w:tcW w:w="2885" w:type="dxa"/>
          </w:tcPr>
          <w:p w14:paraId="1E3C48BC">
            <w:pPr>
              <w:pStyle w:val="16"/>
              <w:spacing w:before="154"/>
              <w:ind w:left="17" w:right="6"/>
            </w:pPr>
            <w:r>
              <w:t>26-</w:t>
            </w:r>
            <w:r>
              <w:rPr>
                <w:spacing w:val="-5"/>
              </w:rPr>
              <w:t>29</w:t>
            </w:r>
          </w:p>
        </w:tc>
        <w:tc>
          <w:tcPr>
            <w:tcW w:w="2146" w:type="dxa"/>
          </w:tcPr>
          <w:p w14:paraId="09BF21ED">
            <w:pPr>
              <w:pStyle w:val="16"/>
              <w:spacing w:before="154"/>
              <w:ind w:left="29" w:right="6"/>
            </w:pPr>
            <w:r>
              <w:rPr>
                <w:spacing w:val="-5"/>
              </w:rPr>
              <w:t>47</w:t>
            </w:r>
          </w:p>
        </w:tc>
        <w:tc>
          <w:tcPr>
            <w:tcW w:w="2146" w:type="dxa"/>
          </w:tcPr>
          <w:p w14:paraId="04853B79">
            <w:pPr>
              <w:pStyle w:val="16"/>
              <w:spacing w:before="154"/>
              <w:ind w:left="29" w:right="8"/>
            </w:pPr>
            <w:r>
              <w:rPr>
                <w:spacing w:val="-2"/>
              </w:rPr>
              <w:t>34.06</w:t>
            </w:r>
          </w:p>
        </w:tc>
      </w:tr>
      <w:tr w14:paraId="0760A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426" w:type="dxa"/>
          </w:tcPr>
          <w:p w14:paraId="7436693B">
            <w:pPr>
              <w:pStyle w:val="16"/>
              <w:spacing w:before="154"/>
              <w:ind w:left="16"/>
            </w:pPr>
            <w:r>
              <w:rPr>
                <w:spacing w:val="-5"/>
              </w:rPr>
              <w:t>4.</w:t>
            </w:r>
          </w:p>
        </w:tc>
        <w:tc>
          <w:tcPr>
            <w:tcW w:w="2885" w:type="dxa"/>
          </w:tcPr>
          <w:p w14:paraId="666FED20">
            <w:pPr>
              <w:pStyle w:val="16"/>
              <w:spacing w:before="154"/>
              <w:ind w:left="17" w:right="6"/>
            </w:pPr>
            <w:r>
              <w:t>30-</w:t>
            </w:r>
            <w:r>
              <w:rPr>
                <w:spacing w:val="-5"/>
              </w:rPr>
              <w:t>35</w:t>
            </w:r>
          </w:p>
        </w:tc>
        <w:tc>
          <w:tcPr>
            <w:tcW w:w="2146" w:type="dxa"/>
          </w:tcPr>
          <w:p w14:paraId="6EE8C5A8">
            <w:pPr>
              <w:pStyle w:val="16"/>
              <w:spacing w:before="154"/>
              <w:ind w:left="29" w:right="6"/>
            </w:pPr>
            <w:r>
              <w:rPr>
                <w:spacing w:val="-5"/>
              </w:rPr>
              <w:t>20</w:t>
            </w:r>
          </w:p>
        </w:tc>
        <w:tc>
          <w:tcPr>
            <w:tcW w:w="2146" w:type="dxa"/>
          </w:tcPr>
          <w:p w14:paraId="72F3A07C">
            <w:pPr>
              <w:pStyle w:val="16"/>
              <w:spacing w:before="154"/>
              <w:ind w:left="29" w:right="8"/>
            </w:pPr>
            <w:r>
              <w:rPr>
                <w:spacing w:val="-2"/>
              </w:rPr>
              <w:t>14.49</w:t>
            </w:r>
          </w:p>
        </w:tc>
      </w:tr>
    </w:tbl>
    <w:p w14:paraId="223EBF35">
      <w:pPr>
        <w:jc w:val="both"/>
        <w:rPr>
          <w:rFonts w:ascii="Times New Roman" w:hAnsi="Times New Roman" w:cs="Times New Roman"/>
          <w:sz w:val="24"/>
          <w:szCs w:val="24"/>
          <w:lang w:val="en-IN"/>
        </w:rPr>
      </w:pPr>
    </w:p>
    <w:p w14:paraId="5C3A25ED">
      <w:pPr>
        <w:jc w:val="both"/>
        <w:rPr>
          <w:rStyle w:val="12"/>
          <w:rFonts w:ascii="Times New Roman" w:hAnsi="Times New Roman" w:cs="Times New Roman"/>
          <w:sz w:val="24"/>
          <w:szCs w:val="24"/>
        </w:rPr>
      </w:pPr>
    </w:p>
    <w:p w14:paraId="3DCDCE7D">
      <w:pPr>
        <w:jc w:val="both"/>
        <w:rPr>
          <w:rStyle w:val="12"/>
          <w:rFonts w:ascii="Times New Roman" w:hAnsi="Times New Roman" w:cs="Times New Roman"/>
          <w:sz w:val="24"/>
          <w:szCs w:val="24"/>
        </w:rPr>
      </w:pPr>
    </w:p>
    <w:p w14:paraId="1B775FA3">
      <w:pPr>
        <w:jc w:val="both"/>
        <w:rPr>
          <w:rStyle w:val="12"/>
          <w:rFonts w:ascii="Times New Roman" w:hAnsi="Times New Roman" w:cs="Times New Roman"/>
          <w:sz w:val="24"/>
          <w:szCs w:val="24"/>
        </w:rPr>
      </w:pPr>
    </w:p>
    <w:p w14:paraId="4D9CBBF8">
      <w:pPr>
        <w:jc w:val="both"/>
        <w:rPr>
          <w:rStyle w:val="12"/>
          <w:rFonts w:ascii="Times New Roman" w:hAnsi="Times New Roman" w:cs="Times New Roman"/>
          <w:sz w:val="24"/>
          <w:szCs w:val="24"/>
        </w:rPr>
      </w:pPr>
    </w:p>
    <w:p w14:paraId="10E3E513">
      <w:pPr>
        <w:jc w:val="both"/>
        <w:rPr>
          <w:b/>
        </w:rPr>
      </w:pPr>
    </w:p>
    <w:p w14:paraId="11D7C46D">
      <w:pPr>
        <w:jc w:val="center"/>
        <w:rPr>
          <w:rFonts w:ascii="Times New Roman" w:hAnsi="Times New Roman" w:cs="Times New Roman"/>
          <w:b/>
        </w:rPr>
      </w:pPr>
      <w:r>
        <w:rPr>
          <w:rFonts w:ascii="Times New Roman" w:hAnsi="Times New Roman" w:cs="Times New Roman"/>
          <w:b/>
        </w:rPr>
        <w:t>Table</w:t>
      </w:r>
      <w:r>
        <w:rPr>
          <w:rFonts w:ascii="Times New Roman" w:hAnsi="Times New Roman" w:cs="Times New Roman"/>
          <w:b/>
          <w:spacing w:val="-6"/>
        </w:rPr>
        <w:t xml:space="preserve"> </w:t>
      </w:r>
      <w:r>
        <w:rPr>
          <w:rFonts w:ascii="Times New Roman" w:hAnsi="Times New Roman" w:cs="Times New Roman"/>
          <w:b/>
        </w:rPr>
        <w:t>1:</w:t>
      </w:r>
      <w:r>
        <w:rPr>
          <w:rFonts w:ascii="Times New Roman" w:hAnsi="Times New Roman" w:cs="Times New Roman"/>
          <w:b/>
          <w:spacing w:val="-1"/>
        </w:rPr>
        <w:t xml:space="preserve"> </w:t>
      </w:r>
      <w:r>
        <w:rPr>
          <w:rFonts w:ascii="Times New Roman" w:hAnsi="Times New Roman" w:cs="Times New Roman"/>
          <w:b/>
        </w:rPr>
        <w:t>Age</w:t>
      </w:r>
      <w:r>
        <w:rPr>
          <w:rFonts w:ascii="Times New Roman" w:hAnsi="Times New Roman" w:cs="Times New Roman"/>
          <w:b/>
          <w:spacing w:val="-1"/>
        </w:rPr>
        <w:t xml:space="preserve"> </w:t>
      </w:r>
      <w:r>
        <w:rPr>
          <w:rFonts w:ascii="Times New Roman" w:hAnsi="Times New Roman" w:cs="Times New Roman"/>
          <w:b/>
        </w:rPr>
        <w:t>wise</w:t>
      </w:r>
      <w:r>
        <w:rPr>
          <w:rFonts w:ascii="Times New Roman" w:hAnsi="Times New Roman" w:cs="Times New Roman"/>
          <w:b/>
          <w:spacing w:val="-1"/>
        </w:rPr>
        <w:t xml:space="preserve"> </w:t>
      </w:r>
      <w:r>
        <w:rPr>
          <w:rFonts w:ascii="Times New Roman" w:hAnsi="Times New Roman" w:cs="Times New Roman"/>
          <w:b/>
          <w:spacing w:val="-2"/>
        </w:rPr>
        <w:t>distribution</w:t>
      </w:r>
    </w:p>
    <w:p w14:paraId="1D9737C2">
      <w:pPr>
        <w:jc w:val="center"/>
        <w:rPr>
          <w:rStyle w:val="12"/>
          <w:rFonts w:ascii="Times New Roman" w:hAnsi="Times New Roman" w:cs="Times New Roman"/>
          <w:sz w:val="24"/>
          <w:szCs w:val="24"/>
        </w:rPr>
      </w:pPr>
    </w:p>
    <w:p w14:paraId="4D42BCC1">
      <w:pPr>
        <w:jc w:val="both"/>
        <w:rPr>
          <w:rFonts w:ascii="Times New Roman" w:hAnsi="Times New Roman" w:cs="Times New Roman"/>
          <w:sz w:val="24"/>
          <w:szCs w:val="24"/>
        </w:rPr>
      </w:pPr>
      <w:r>
        <w:rPr>
          <w:rStyle w:val="12"/>
          <w:rFonts w:ascii="Times New Roman" w:hAnsi="Times New Roman" w:cs="Times New Roman"/>
          <w:sz w:val="24"/>
          <w:szCs w:val="24"/>
        </w:rPr>
        <w:t>Unplanned Pregnancy:</w:t>
      </w:r>
      <w:r>
        <w:rPr>
          <w:rFonts w:ascii="Times New Roman" w:hAnsi="Times New Roman" w:cs="Times New Roman"/>
          <w:sz w:val="24"/>
          <w:szCs w:val="24"/>
        </w:rPr>
        <w:br w:type="textWrapping"/>
      </w:r>
      <w:r>
        <w:rPr>
          <w:rFonts w:ascii="Times New Roman" w:hAnsi="Times New Roman" w:cs="Times New Roman"/>
          <w:sz w:val="24"/>
          <w:szCs w:val="24"/>
        </w:rPr>
        <w:t>Among the total 138 participants, 66 women (47.83%) reported having unplanned pregnancies, while 72 women (52.17%) reported their pregnancies as planned. This shows a nearly equal distribution, with a slight majority reporting planned pregnancies.</w:t>
      </w:r>
      <w:r>
        <w:rPr>
          <w:rFonts w:ascii="Times New Roman" w:hAnsi="Times New Roman" w:cs="Times New Roman"/>
          <w:sz w:val="24"/>
          <w:szCs w:val="24"/>
          <w:lang w:val="en-IN"/>
        </w:rPr>
        <w:t xml:space="preserve"> (table.2).</w:t>
      </w:r>
      <w:r>
        <w:rPr>
          <w:rFonts w:ascii="Times New Roman" w:hAnsi="Times New Roman" w:cs="Times New Roman"/>
          <w:sz w:val="24"/>
          <w:szCs w:val="24"/>
        </w:rPr>
        <w:t xml:space="preserve"> In contrast, a study conducted by Niloufer S. Ali et al. among 167 participants showed a significantly higher rate of planned pregnancies (91%) and only 9% unplanned, indicating variation based on demographic or social factor</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4"/>
        <w:gridCol w:w="2905"/>
        <w:gridCol w:w="2257"/>
        <w:gridCol w:w="2262"/>
      </w:tblGrid>
      <w:tr w14:paraId="71DA3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jc w:val="center"/>
        </w:trPr>
        <w:tc>
          <w:tcPr>
            <w:tcW w:w="1594" w:type="dxa"/>
          </w:tcPr>
          <w:p w14:paraId="1450298F">
            <w:pPr>
              <w:pStyle w:val="16"/>
              <w:spacing w:before="58"/>
              <w:jc w:val="left"/>
              <w:rPr>
                <w:rFonts w:ascii="Calibri"/>
                <w:b/>
              </w:rPr>
            </w:pPr>
          </w:p>
          <w:p w14:paraId="62570693">
            <w:pPr>
              <w:pStyle w:val="16"/>
              <w:ind w:left="21" w:right="7"/>
              <w:rPr>
                <w:b/>
              </w:rPr>
            </w:pPr>
            <w:r>
              <w:rPr>
                <w:b/>
              </w:rPr>
              <w:t xml:space="preserve">Sl </w:t>
            </w:r>
            <w:r>
              <w:rPr>
                <w:b/>
                <w:spacing w:val="-5"/>
              </w:rPr>
              <w:t>No</w:t>
            </w:r>
          </w:p>
        </w:tc>
        <w:tc>
          <w:tcPr>
            <w:tcW w:w="2905" w:type="dxa"/>
          </w:tcPr>
          <w:p w14:paraId="3FA41503">
            <w:pPr>
              <w:pStyle w:val="16"/>
              <w:spacing w:before="58"/>
              <w:jc w:val="left"/>
              <w:rPr>
                <w:rFonts w:ascii="Calibri"/>
                <w:b/>
              </w:rPr>
            </w:pPr>
          </w:p>
          <w:p w14:paraId="14C6E53D">
            <w:pPr>
              <w:pStyle w:val="16"/>
              <w:ind w:left="10"/>
              <w:rPr>
                <w:b/>
              </w:rPr>
            </w:pPr>
            <w:r>
              <w:rPr>
                <w:b/>
              </w:rPr>
              <w:t>Unplanned</w:t>
            </w:r>
            <w:r>
              <w:rPr>
                <w:b/>
                <w:spacing w:val="-10"/>
              </w:rPr>
              <w:t xml:space="preserve"> </w:t>
            </w:r>
            <w:r>
              <w:rPr>
                <w:b/>
                <w:spacing w:val="-2"/>
              </w:rPr>
              <w:t>Pregnancy</w:t>
            </w:r>
          </w:p>
        </w:tc>
        <w:tc>
          <w:tcPr>
            <w:tcW w:w="2257" w:type="dxa"/>
          </w:tcPr>
          <w:p w14:paraId="2D552423">
            <w:pPr>
              <w:pStyle w:val="16"/>
              <w:spacing w:before="53"/>
              <w:ind w:left="562"/>
              <w:jc w:val="left"/>
              <w:rPr>
                <w:b/>
              </w:rPr>
            </w:pPr>
            <w:r>
              <w:rPr>
                <w:b/>
                <w:spacing w:val="-2"/>
              </w:rPr>
              <w:t>Frequency</w:t>
            </w:r>
          </w:p>
          <w:p w14:paraId="3658176D">
            <w:pPr>
              <w:pStyle w:val="16"/>
              <w:spacing w:before="26"/>
              <w:jc w:val="left"/>
              <w:rPr>
                <w:rFonts w:ascii="Calibri"/>
                <w:b/>
              </w:rPr>
            </w:pPr>
          </w:p>
          <w:p w14:paraId="6C8779BA">
            <w:pPr>
              <w:pStyle w:val="16"/>
              <w:ind w:left="682"/>
              <w:jc w:val="left"/>
              <w:rPr>
                <w:b/>
              </w:rPr>
            </w:pPr>
            <w:r>
              <w:rPr>
                <w:b/>
              </w:rPr>
              <w:t>(n</w:t>
            </w:r>
            <w:r>
              <w:rPr>
                <w:b/>
                <w:spacing w:val="-28"/>
              </w:rPr>
              <w:t xml:space="preserve"> </w:t>
            </w:r>
            <w:r>
              <w:rPr>
                <w:b/>
                <w:spacing w:val="-2"/>
              </w:rPr>
              <w:t>=138)</w:t>
            </w:r>
          </w:p>
        </w:tc>
        <w:tc>
          <w:tcPr>
            <w:tcW w:w="2262" w:type="dxa"/>
          </w:tcPr>
          <w:p w14:paraId="2455B933">
            <w:pPr>
              <w:pStyle w:val="16"/>
              <w:spacing w:before="53"/>
              <w:ind w:left="23" w:right="10"/>
              <w:rPr>
                <w:b/>
              </w:rPr>
            </w:pPr>
            <w:r>
              <w:rPr>
                <w:b/>
                <w:spacing w:val="-2"/>
              </w:rPr>
              <w:t>Percentage</w:t>
            </w:r>
          </w:p>
          <w:p w14:paraId="07AEB146">
            <w:pPr>
              <w:pStyle w:val="16"/>
              <w:spacing w:before="26"/>
              <w:jc w:val="left"/>
              <w:rPr>
                <w:rFonts w:ascii="Calibri"/>
                <w:b/>
              </w:rPr>
            </w:pPr>
          </w:p>
          <w:p w14:paraId="53D37271">
            <w:pPr>
              <w:pStyle w:val="16"/>
              <w:ind w:left="23" w:right="1"/>
              <w:rPr>
                <w:b/>
              </w:rPr>
            </w:pPr>
            <w:r>
              <w:rPr>
                <w:b/>
                <w:spacing w:val="-5"/>
              </w:rPr>
              <w:t>(%)</w:t>
            </w:r>
          </w:p>
        </w:tc>
      </w:tr>
      <w:tr w14:paraId="193B5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jc w:val="center"/>
        </w:trPr>
        <w:tc>
          <w:tcPr>
            <w:tcW w:w="1594" w:type="dxa"/>
          </w:tcPr>
          <w:p w14:paraId="5AD966C2">
            <w:pPr>
              <w:pStyle w:val="16"/>
              <w:jc w:val="left"/>
              <w:rPr>
                <w:rFonts w:ascii="Calibri"/>
                <w:b/>
              </w:rPr>
            </w:pPr>
          </w:p>
          <w:p w14:paraId="6148021B">
            <w:pPr>
              <w:pStyle w:val="16"/>
              <w:spacing w:before="1"/>
              <w:ind w:left="21" w:right="5"/>
            </w:pPr>
            <w:r>
              <w:rPr>
                <w:spacing w:val="-5"/>
              </w:rPr>
              <w:t>1.</w:t>
            </w:r>
          </w:p>
        </w:tc>
        <w:tc>
          <w:tcPr>
            <w:tcW w:w="2905" w:type="dxa"/>
          </w:tcPr>
          <w:p w14:paraId="2285B9A6">
            <w:pPr>
              <w:pStyle w:val="16"/>
              <w:jc w:val="left"/>
              <w:rPr>
                <w:rFonts w:ascii="Calibri"/>
                <w:b/>
              </w:rPr>
            </w:pPr>
          </w:p>
          <w:p w14:paraId="7F2FE819">
            <w:pPr>
              <w:pStyle w:val="16"/>
              <w:spacing w:before="1"/>
              <w:ind w:left="10" w:right="1"/>
            </w:pPr>
            <w:r>
              <w:rPr>
                <w:spacing w:val="-5"/>
              </w:rPr>
              <w:t>No</w:t>
            </w:r>
          </w:p>
        </w:tc>
        <w:tc>
          <w:tcPr>
            <w:tcW w:w="2257" w:type="dxa"/>
          </w:tcPr>
          <w:p w14:paraId="6BE7FC44">
            <w:pPr>
              <w:pStyle w:val="16"/>
              <w:jc w:val="left"/>
              <w:rPr>
                <w:rFonts w:ascii="Calibri"/>
                <w:b/>
              </w:rPr>
            </w:pPr>
          </w:p>
          <w:p w14:paraId="3DC5C034">
            <w:pPr>
              <w:pStyle w:val="16"/>
              <w:spacing w:before="1"/>
              <w:ind w:left="12"/>
            </w:pPr>
            <w:r>
              <w:rPr>
                <w:spacing w:val="-5"/>
              </w:rPr>
              <w:t>72</w:t>
            </w:r>
          </w:p>
        </w:tc>
        <w:tc>
          <w:tcPr>
            <w:tcW w:w="2262" w:type="dxa"/>
          </w:tcPr>
          <w:p w14:paraId="666B5C56">
            <w:pPr>
              <w:pStyle w:val="16"/>
              <w:jc w:val="left"/>
              <w:rPr>
                <w:rFonts w:ascii="Calibri"/>
                <w:b/>
              </w:rPr>
            </w:pPr>
          </w:p>
          <w:p w14:paraId="3FC23A17">
            <w:pPr>
              <w:pStyle w:val="16"/>
              <w:spacing w:before="1"/>
              <w:ind w:left="23"/>
            </w:pPr>
            <w:r>
              <w:rPr>
                <w:spacing w:val="-2"/>
              </w:rPr>
              <w:t>52.17</w:t>
            </w:r>
          </w:p>
        </w:tc>
      </w:tr>
      <w:tr w14:paraId="7A4AB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594" w:type="dxa"/>
          </w:tcPr>
          <w:p w14:paraId="15B6348C">
            <w:pPr>
              <w:pStyle w:val="16"/>
              <w:spacing w:before="5"/>
              <w:jc w:val="left"/>
              <w:rPr>
                <w:rFonts w:ascii="Calibri"/>
                <w:b/>
              </w:rPr>
            </w:pPr>
          </w:p>
          <w:p w14:paraId="0A0A8F0B">
            <w:pPr>
              <w:pStyle w:val="16"/>
              <w:spacing w:before="1"/>
              <w:ind w:left="21" w:right="5"/>
            </w:pPr>
            <w:r>
              <w:rPr>
                <w:spacing w:val="-5"/>
              </w:rPr>
              <w:t>2.</w:t>
            </w:r>
          </w:p>
        </w:tc>
        <w:tc>
          <w:tcPr>
            <w:tcW w:w="2905" w:type="dxa"/>
          </w:tcPr>
          <w:p w14:paraId="521E449B">
            <w:pPr>
              <w:pStyle w:val="16"/>
              <w:spacing w:before="5"/>
              <w:jc w:val="left"/>
              <w:rPr>
                <w:rFonts w:ascii="Calibri"/>
                <w:b/>
              </w:rPr>
            </w:pPr>
          </w:p>
          <w:p w14:paraId="6E3ABD35">
            <w:pPr>
              <w:pStyle w:val="16"/>
              <w:spacing w:before="1"/>
              <w:ind w:left="10" w:right="3"/>
            </w:pPr>
            <w:r>
              <w:rPr>
                <w:spacing w:val="-5"/>
              </w:rPr>
              <w:t>Yes</w:t>
            </w:r>
          </w:p>
        </w:tc>
        <w:tc>
          <w:tcPr>
            <w:tcW w:w="2257" w:type="dxa"/>
          </w:tcPr>
          <w:p w14:paraId="5E797E5B">
            <w:pPr>
              <w:pStyle w:val="16"/>
              <w:spacing w:before="5"/>
              <w:jc w:val="left"/>
              <w:rPr>
                <w:rFonts w:ascii="Calibri"/>
                <w:b/>
              </w:rPr>
            </w:pPr>
          </w:p>
          <w:p w14:paraId="75F15CAC">
            <w:pPr>
              <w:pStyle w:val="16"/>
              <w:spacing w:before="1"/>
              <w:ind w:left="12"/>
            </w:pPr>
            <w:r>
              <w:rPr>
                <w:spacing w:val="-5"/>
              </w:rPr>
              <w:t>66</w:t>
            </w:r>
          </w:p>
        </w:tc>
        <w:tc>
          <w:tcPr>
            <w:tcW w:w="2262" w:type="dxa"/>
          </w:tcPr>
          <w:p w14:paraId="477D16BD">
            <w:pPr>
              <w:pStyle w:val="16"/>
              <w:spacing w:before="5"/>
              <w:jc w:val="left"/>
              <w:rPr>
                <w:rFonts w:ascii="Calibri"/>
                <w:b/>
              </w:rPr>
            </w:pPr>
          </w:p>
          <w:p w14:paraId="24DE2C00">
            <w:pPr>
              <w:pStyle w:val="16"/>
              <w:spacing w:before="1"/>
              <w:ind w:left="23"/>
            </w:pPr>
            <w:r>
              <w:rPr>
                <w:spacing w:val="-2"/>
              </w:rPr>
              <w:t>47.83</w:t>
            </w:r>
          </w:p>
        </w:tc>
      </w:tr>
    </w:tbl>
    <w:p w14:paraId="20A4B130">
      <w:pPr>
        <w:spacing w:before="220"/>
        <w:jc w:val="center"/>
        <w:rPr>
          <w:rFonts w:ascii="Times New Roman" w:hAnsi="Times New Roman" w:cs="Times New Roman"/>
          <w:b/>
        </w:rPr>
      </w:pPr>
      <w:r>
        <w:rPr>
          <w:rFonts w:ascii="Times New Roman" w:hAnsi="Times New Roman" w:cs="Times New Roman"/>
          <w:b/>
        </w:rPr>
        <w:t>Table</w:t>
      </w:r>
      <w:r>
        <w:rPr>
          <w:rFonts w:ascii="Times New Roman" w:hAnsi="Times New Roman" w:cs="Times New Roman"/>
          <w:b/>
          <w:spacing w:val="-8"/>
        </w:rPr>
        <w:t xml:space="preserve"> </w:t>
      </w:r>
      <w:r>
        <w:rPr>
          <w:rFonts w:ascii="Times New Roman" w:hAnsi="Times New Roman" w:cs="Times New Roman"/>
          <w:b/>
        </w:rPr>
        <w:t>2:</w:t>
      </w:r>
      <w:r>
        <w:rPr>
          <w:rFonts w:ascii="Times New Roman" w:hAnsi="Times New Roman" w:cs="Times New Roman"/>
          <w:b/>
          <w:spacing w:val="-2"/>
        </w:rPr>
        <w:t xml:space="preserve"> </w:t>
      </w:r>
      <w:r>
        <w:rPr>
          <w:rFonts w:ascii="Times New Roman" w:hAnsi="Times New Roman" w:cs="Times New Roman"/>
          <w:b/>
        </w:rPr>
        <w:t>Unplanned</w:t>
      </w:r>
      <w:r>
        <w:rPr>
          <w:rFonts w:ascii="Times New Roman" w:hAnsi="Times New Roman" w:cs="Times New Roman"/>
          <w:b/>
          <w:spacing w:val="-2"/>
        </w:rPr>
        <w:t xml:space="preserve"> Pregnancy</w:t>
      </w:r>
    </w:p>
    <w:p w14:paraId="692E543A">
      <w:pPr>
        <w:jc w:val="both"/>
        <w:rPr>
          <w:rFonts w:ascii="Times New Roman" w:hAnsi="Times New Roman" w:cs="Times New Roman"/>
          <w:sz w:val="24"/>
          <w:szCs w:val="24"/>
        </w:rPr>
      </w:pPr>
    </w:p>
    <w:p w14:paraId="31623473">
      <w:pPr>
        <w:pStyle w:val="11"/>
        <w:jc w:val="both"/>
        <w:rPr>
          <w:lang w:val="en-IN"/>
        </w:rPr>
      </w:pPr>
      <w:r>
        <w:rPr>
          <w:rStyle w:val="12"/>
        </w:rPr>
        <w:t>Obstetric Complications:</w:t>
      </w:r>
      <w:r>
        <w:br w:type="textWrapping"/>
      </w:r>
      <w:r>
        <w:t xml:space="preserve">Obstetric complications were reported by 17 participants (12.32%) out of the total sample, while the majority, 121 participants (87.68%), did not report any complications. The complications observed included conditions such as thyroid issues, polycystic ovarian disease (PCOD), and conception through in vitro fertilization (IVF). The correlation analysis indicated that obstetric complications were more prevalent in the age group of 30–35 years, and this association between age and complication was statistically significant (p=0.001). </w:t>
      </w:r>
    </w:p>
    <w:tbl>
      <w:tblPr>
        <w:tblStyle w:val="5"/>
        <w:tblW w:w="83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4"/>
        <w:gridCol w:w="3087"/>
        <w:gridCol w:w="1973"/>
        <w:gridCol w:w="1968"/>
      </w:tblGrid>
      <w:tr w14:paraId="0582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jc w:val="center"/>
        </w:trPr>
        <w:tc>
          <w:tcPr>
            <w:tcW w:w="1344" w:type="dxa"/>
          </w:tcPr>
          <w:p w14:paraId="1F82F187">
            <w:pPr>
              <w:pStyle w:val="16"/>
              <w:spacing w:before="5"/>
              <w:jc w:val="left"/>
              <w:rPr>
                <w:rFonts w:ascii="Calibri"/>
                <w:b/>
              </w:rPr>
            </w:pPr>
          </w:p>
          <w:p w14:paraId="7D788209">
            <w:pPr>
              <w:pStyle w:val="16"/>
              <w:spacing w:before="1"/>
              <w:ind w:left="17" w:right="7"/>
              <w:rPr>
                <w:b/>
              </w:rPr>
            </w:pPr>
            <w:r>
              <w:rPr>
                <w:b/>
              </w:rPr>
              <w:t xml:space="preserve">Sl </w:t>
            </w:r>
            <w:r>
              <w:rPr>
                <w:b/>
                <w:spacing w:val="-5"/>
              </w:rPr>
              <w:t>No</w:t>
            </w:r>
          </w:p>
        </w:tc>
        <w:tc>
          <w:tcPr>
            <w:tcW w:w="3087" w:type="dxa"/>
          </w:tcPr>
          <w:p w14:paraId="132183BD">
            <w:pPr>
              <w:pStyle w:val="16"/>
              <w:spacing w:before="5"/>
              <w:jc w:val="left"/>
              <w:rPr>
                <w:rFonts w:ascii="Calibri"/>
                <w:b/>
              </w:rPr>
            </w:pPr>
          </w:p>
          <w:p w14:paraId="07C7B5DE">
            <w:pPr>
              <w:pStyle w:val="16"/>
              <w:spacing w:before="1"/>
              <w:ind w:left="15" w:right="8"/>
              <w:rPr>
                <w:b/>
              </w:rPr>
            </w:pPr>
            <w:r>
              <w:rPr>
                <w:b/>
              </w:rPr>
              <w:t>Obstetric</w:t>
            </w:r>
            <w:r>
              <w:rPr>
                <w:b/>
                <w:spacing w:val="-9"/>
              </w:rPr>
              <w:t xml:space="preserve"> </w:t>
            </w:r>
            <w:r>
              <w:rPr>
                <w:b/>
                <w:spacing w:val="-2"/>
              </w:rPr>
              <w:t>complication</w:t>
            </w:r>
          </w:p>
        </w:tc>
        <w:tc>
          <w:tcPr>
            <w:tcW w:w="1973" w:type="dxa"/>
          </w:tcPr>
          <w:p w14:paraId="1398AEB6">
            <w:pPr>
              <w:pStyle w:val="16"/>
              <w:spacing w:before="5"/>
              <w:ind w:left="486"/>
              <w:jc w:val="left"/>
              <w:rPr>
                <w:b/>
              </w:rPr>
            </w:pPr>
            <w:r>
              <w:rPr>
                <w:b/>
                <w:spacing w:val="-2"/>
              </w:rPr>
              <w:t>Frequency</w:t>
            </w:r>
          </w:p>
          <w:p w14:paraId="63734445">
            <w:pPr>
              <w:pStyle w:val="16"/>
              <w:spacing w:before="26"/>
              <w:jc w:val="left"/>
              <w:rPr>
                <w:rFonts w:ascii="Calibri"/>
                <w:b/>
              </w:rPr>
            </w:pPr>
          </w:p>
          <w:p w14:paraId="580F0832">
            <w:pPr>
              <w:pStyle w:val="16"/>
              <w:ind w:left="606"/>
              <w:jc w:val="left"/>
              <w:rPr>
                <w:b/>
              </w:rPr>
            </w:pPr>
            <w:r>
              <w:rPr>
                <w:b/>
              </w:rPr>
              <w:t>(n</w:t>
            </w:r>
            <w:r>
              <w:rPr>
                <w:b/>
                <w:spacing w:val="-28"/>
              </w:rPr>
              <w:t xml:space="preserve"> </w:t>
            </w:r>
            <w:r>
              <w:rPr>
                <w:b/>
                <w:spacing w:val="-2"/>
              </w:rPr>
              <w:t>=138)</w:t>
            </w:r>
          </w:p>
        </w:tc>
        <w:tc>
          <w:tcPr>
            <w:tcW w:w="1968" w:type="dxa"/>
          </w:tcPr>
          <w:p w14:paraId="53BA4D0A">
            <w:pPr>
              <w:pStyle w:val="16"/>
              <w:spacing w:before="5"/>
              <w:ind w:left="19" w:right="12"/>
              <w:rPr>
                <w:b/>
              </w:rPr>
            </w:pPr>
            <w:r>
              <w:rPr>
                <w:b/>
                <w:spacing w:val="-2"/>
              </w:rPr>
              <w:t>Percentage</w:t>
            </w:r>
          </w:p>
          <w:p w14:paraId="2D2A6189">
            <w:pPr>
              <w:pStyle w:val="16"/>
              <w:spacing w:before="26"/>
              <w:jc w:val="left"/>
              <w:rPr>
                <w:rFonts w:ascii="Calibri"/>
                <w:b/>
              </w:rPr>
            </w:pPr>
          </w:p>
          <w:p w14:paraId="4DEC83A2">
            <w:pPr>
              <w:pStyle w:val="16"/>
              <w:ind w:left="19" w:right="3"/>
              <w:rPr>
                <w:b/>
              </w:rPr>
            </w:pPr>
            <w:r>
              <w:rPr>
                <w:b/>
                <w:spacing w:val="-5"/>
              </w:rPr>
              <w:t>(%)</w:t>
            </w:r>
          </w:p>
        </w:tc>
      </w:tr>
      <w:tr w14:paraId="2AAB0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jc w:val="center"/>
        </w:trPr>
        <w:tc>
          <w:tcPr>
            <w:tcW w:w="1344" w:type="dxa"/>
          </w:tcPr>
          <w:p w14:paraId="051558B9">
            <w:pPr>
              <w:pStyle w:val="16"/>
              <w:spacing w:before="202"/>
              <w:ind w:left="17" w:right="5"/>
            </w:pPr>
            <w:r>
              <w:rPr>
                <w:spacing w:val="-5"/>
              </w:rPr>
              <w:t>1.</w:t>
            </w:r>
          </w:p>
        </w:tc>
        <w:tc>
          <w:tcPr>
            <w:tcW w:w="3087" w:type="dxa"/>
          </w:tcPr>
          <w:p w14:paraId="1EF96BA7">
            <w:pPr>
              <w:pStyle w:val="16"/>
              <w:spacing w:before="202"/>
              <w:ind w:left="15"/>
            </w:pPr>
            <w:r>
              <w:rPr>
                <w:spacing w:val="-5"/>
              </w:rPr>
              <w:t>No</w:t>
            </w:r>
          </w:p>
        </w:tc>
        <w:tc>
          <w:tcPr>
            <w:tcW w:w="1973" w:type="dxa"/>
          </w:tcPr>
          <w:p w14:paraId="61A3B338">
            <w:pPr>
              <w:pStyle w:val="16"/>
              <w:spacing w:before="202"/>
              <w:ind w:left="19"/>
            </w:pPr>
            <w:r>
              <w:rPr>
                <w:spacing w:val="-5"/>
              </w:rPr>
              <w:t>121</w:t>
            </w:r>
          </w:p>
        </w:tc>
        <w:tc>
          <w:tcPr>
            <w:tcW w:w="1968" w:type="dxa"/>
          </w:tcPr>
          <w:p w14:paraId="601F451B">
            <w:pPr>
              <w:pStyle w:val="16"/>
              <w:spacing w:before="202"/>
              <w:ind w:left="19"/>
            </w:pPr>
            <w:r>
              <w:rPr>
                <w:spacing w:val="-2"/>
              </w:rPr>
              <w:t>87.68</w:t>
            </w:r>
          </w:p>
        </w:tc>
      </w:tr>
      <w:tr w14:paraId="4FB3A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1344" w:type="dxa"/>
          </w:tcPr>
          <w:p w14:paraId="7F4027E2">
            <w:pPr>
              <w:pStyle w:val="16"/>
              <w:spacing w:before="207"/>
              <w:ind w:left="17" w:right="5"/>
            </w:pPr>
            <w:r>
              <w:rPr>
                <w:spacing w:val="-5"/>
              </w:rPr>
              <w:t>2.</w:t>
            </w:r>
          </w:p>
        </w:tc>
        <w:tc>
          <w:tcPr>
            <w:tcW w:w="3087" w:type="dxa"/>
          </w:tcPr>
          <w:p w14:paraId="5B46FD50">
            <w:pPr>
              <w:pStyle w:val="16"/>
              <w:spacing w:before="207"/>
              <w:ind w:left="15" w:right="11"/>
            </w:pPr>
            <w:r>
              <w:rPr>
                <w:spacing w:val="-5"/>
              </w:rPr>
              <w:t>Yes</w:t>
            </w:r>
          </w:p>
        </w:tc>
        <w:tc>
          <w:tcPr>
            <w:tcW w:w="1973" w:type="dxa"/>
          </w:tcPr>
          <w:p w14:paraId="4D70DBC6">
            <w:pPr>
              <w:pStyle w:val="16"/>
              <w:spacing w:before="207"/>
              <w:ind w:left="19" w:right="5"/>
            </w:pPr>
            <w:r>
              <w:rPr>
                <w:spacing w:val="-5"/>
              </w:rPr>
              <w:t>17</w:t>
            </w:r>
          </w:p>
        </w:tc>
        <w:tc>
          <w:tcPr>
            <w:tcW w:w="1968" w:type="dxa"/>
          </w:tcPr>
          <w:p w14:paraId="7DAC227A">
            <w:pPr>
              <w:pStyle w:val="16"/>
              <w:spacing w:before="207"/>
              <w:ind w:left="19"/>
            </w:pPr>
            <w:r>
              <w:rPr>
                <w:spacing w:val="-2"/>
              </w:rPr>
              <w:t>12.32</w:t>
            </w:r>
          </w:p>
        </w:tc>
      </w:tr>
    </w:tbl>
    <w:p w14:paraId="3996FE9E">
      <w:pPr>
        <w:tabs>
          <w:tab w:val="left" w:pos="5720"/>
        </w:tabs>
        <w:ind w:right="2425"/>
        <w:jc w:val="both"/>
        <w:rPr>
          <w:rFonts w:ascii="Calibri"/>
          <w:b/>
          <w:lang w:val="en-IN"/>
        </w:rPr>
      </w:pPr>
    </w:p>
    <w:p w14:paraId="70B2C06C">
      <w:pPr>
        <w:tabs>
          <w:tab w:val="left" w:pos="5720"/>
        </w:tabs>
        <w:ind w:right="2425"/>
        <w:jc w:val="center"/>
        <w:rPr>
          <w:rStyle w:val="12"/>
        </w:rPr>
      </w:pPr>
      <w:r>
        <w:rPr>
          <w:rFonts w:ascii="Calibri"/>
          <w:b/>
          <w:lang w:val="en-IN"/>
        </w:rPr>
        <w:t xml:space="preserve">                                  </w:t>
      </w:r>
      <w:r>
        <w:rPr>
          <w:rFonts w:ascii="Times New Roman" w:hAnsi="Times New Roman" w:cs="Times New Roman"/>
          <w:b/>
        </w:rPr>
        <w:t>Table</w:t>
      </w:r>
      <w:r>
        <w:rPr>
          <w:rFonts w:ascii="Times New Roman" w:hAnsi="Times New Roman" w:cs="Times New Roman"/>
          <w:b/>
          <w:spacing w:val="-7"/>
        </w:rPr>
        <w:t xml:space="preserve"> </w:t>
      </w:r>
      <w:r>
        <w:rPr>
          <w:rFonts w:ascii="Times New Roman" w:hAnsi="Times New Roman" w:cs="Times New Roman"/>
          <w:b/>
        </w:rPr>
        <w:t>3:</w:t>
      </w:r>
      <w:r>
        <w:rPr>
          <w:rFonts w:ascii="Times New Roman" w:hAnsi="Times New Roman" w:cs="Times New Roman"/>
          <w:b/>
          <w:spacing w:val="-4"/>
        </w:rPr>
        <w:t xml:space="preserve"> </w:t>
      </w:r>
      <w:r>
        <w:rPr>
          <w:rFonts w:ascii="Times New Roman" w:hAnsi="Times New Roman" w:cs="Times New Roman"/>
          <w:b/>
        </w:rPr>
        <w:t>Obstetric</w:t>
      </w:r>
      <w:r>
        <w:rPr>
          <w:rFonts w:ascii="Times New Roman" w:hAnsi="Times New Roman" w:cs="Times New Roman"/>
          <w:b/>
          <w:spacing w:val="-6"/>
        </w:rPr>
        <w:t xml:space="preserve"> </w:t>
      </w:r>
      <w:r>
        <w:rPr>
          <w:rFonts w:ascii="Times New Roman" w:hAnsi="Times New Roman" w:cs="Times New Roman"/>
          <w:b/>
          <w:spacing w:val="-2"/>
        </w:rPr>
        <w:t>Complication</w:t>
      </w:r>
    </w:p>
    <w:p w14:paraId="148CE4F3">
      <w:pPr>
        <w:pStyle w:val="11"/>
        <w:jc w:val="both"/>
        <w:rPr>
          <w:lang w:val="en-IN"/>
        </w:rPr>
      </w:pPr>
      <w:r>
        <w:rPr>
          <w:rStyle w:val="12"/>
        </w:rPr>
        <w:t>BDI Score Classification:</w:t>
      </w:r>
      <w:r>
        <w:br w:type="textWrapping"/>
      </w:r>
      <w:r>
        <w:t>Based on the Beck Depression Inventory (BDI) score, 18 participants (13.04%) were classified as normal, while the majority exhibited varying degrees of depressive symptoms. Mild mood disturbance was observed in 49 individuals (35.51%), followed by borderline clinical depression in 27 participants (19.57%), moderate depression in 28 (20.29%), and severe depression in 16 participants (11.59%). This distribution highlights that a significant portion of the study group experienced psychological distress during pregnancy.</w:t>
      </w:r>
      <w:r>
        <w:rPr>
          <w:lang w:val="en-IN"/>
        </w:rPr>
        <w:t xml:space="preserve"> </w:t>
      </w:r>
    </w:p>
    <w:tbl>
      <w:tblPr>
        <w:tblStyle w:val="5"/>
        <w:tblpPr w:leftFromText="180" w:rightFromText="180" w:vertAnchor="text" w:horzAnchor="page" w:tblpXSpec="center" w:tblpY="724"/>
        <w:tblOverlap w:val="neve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4431"/>
        <w:gridCol w:w="1762"/>
        <w:gridCol w:w="2026"/>
      </w:tblGrid>
      <w:tr w14:paraId="253C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9" w:hRule="atLeast"/>
          <w:jc w:val="center"/>
        </w:trPr>
        <w:tc>
          <w:tcPr>
            <w:tcW w:w="931" w:type="dxa"/>
          </w:tcPr>
          <w:p w14:paraId="7C37FF89">
            <w:pPr>
              <w:pStyle w:val="16"/>
              <w:spacing w:before="68"/>
              <w:ind w:left="31" w:right="1"/>
              <w:jc w:val="both"/>
              <w:rPr>
                <w:b/>
              </w:rPr>
            </w:pPr>
            <w:r>
              <w:rPr>
                <w:b/>
              </w:rPr>
              <w:t xml:space="preserve">Sl </w:t>
            </w:r>
            <w:r>
              <w:rPr>
                <w:b/>
                <w:spacing w:val="-5"/>
              </w:rPr>
              <w:t>No</w:t>
            </w:r>
          </w:p>
        </w:tc>
        <w:tc>
          <w:tcPr>
            <w:tcW w:w="4431" w:type="dxa"/>
          </w:tcPr>
          <w:p w14:paraId="0B5332FE">
            <w:pPr>
              <w:pStyle w:val="16"/>
              <w:spacing w:before="68"/>
              <w:ind w:left="23"/>
              <w:rPr>
                <w:b/>
              </w:rPr>
            </w:pPr>
            <w:r>
              <w:rPr>
                <w:b/>
              </w:rPr>
              <w:t>Classification</w:t>
            </w:r>
            <w:r>
              <w:rPr>
                <w:b/>
                <w:spacing w:val="-10"/>
              </w:rPr>
              <w:t xml:space="preserve"> </w:t>
            </w:r>
            <w:r>
              <w:rPr>
                <w:b/>
              </w:rPr>
              <w:t>According</w:t>
            </w:r>
            <w:r>
              <w:rPr>
                <w:b/>
                <w:spacing w:val="-3"/>
              </w:rPr>
              <w:t xml:space="preserve"> </w:t>
            </w:r>
            <w:r>
              <w:rPr>
                <w:b/>
              </w:rPr>
              <w:t>to</w:t>
            </w:r>
            <w:r>
              <w:rPr>
                <w:b/>
                <w:spacing w:val="-3"/>
              </w:rPr>
              <w:t xml:space="preserve"> </w:t>
            </w:r>
            <w:r>
              <w:rPr>
                <w:b/>
              </w:rPr>
              <w:t>BDI</w:t>
            </w:r>
            <w:r>
              <w:rPr>
                <w:b/>
                <w:spacing w:val="-5"/>
              </w:rPr>
              <w:t xml:space="preserve"> </w:t>
            </w:r>
            <w:r>
              <w:rPr>
                <w:b/>
                <w:spacing w:val="-2"/>
              </w:rPr>
              <w:t>Score</w:t>
            </w:r>
          </w:p>
        </w:tc>
        <w:tc>
          <w:tcPr>
            <w:tcW w:w="1762" w:type="dxa"/>
          </w:tcPr>
          <w:p w14:paraId="11D7F672">
            <w:pPr>
              <w:pStyle w:val="16"/>
              <w:spacing w:before="72"/>
              <w:ind w:left="381"/>
              <w:jc w:val="left"/>
              <w:rPr>
                <w:b/>
              </w:rPr>
            </w:pPr>
            <w:r>
              <w:rPr>
                <w:b/>
                <w:spacing w:val="-2"/>
              </w:rPr>
              <w:t>Frequency</w:t>
            </w:r>
          </w:p>
          <w:p w14:paraId="2516216C">
            <w:pPr>
              <w:pStyle w:val="16"/>
              <w:spacing w:before="31"/>
              <w:jc w:val="left"/>
              <w:rPr>
                <w:rFonts w:ascii="Calibri"/>
                <w:b/>
              </w:rPr>
            </w:pPr>
          </w:p>
          <w:p w14:paraId="5D0CF3F0">
            <w:pPr>
              <w:pStyle w:val="16"/>
              <w:ind w:left="501"/>
              <w:jc w:val="left"/>
              <w:rPr>
                <w:b/>
              </w:rPr>
            </w:pPr>
            <w:r>
              <w:rPr>
                <w:b/>
              </w:rPr>
              <w:t>(n</w:t>
            </w:r>
            <w:r>
              <w:rPr>
                <w:b/>
                <w:spacing w:val="-28"/>
              </w:rPr>
              <w:t xml:space="preserve"> </w:t>
            </w:r>
            <w:r>
              <w:rPr>
                <w:b/>
                <w:spacing w:val="-2"/>
              </w:rPr>
              <w:t>=138)</w:t>
            </w:r>
          </w:p>
        </w:tc>
        <w:tc>
          <w:tcPr>
            <w:tcW w:w="2026" w:type="dxa"/>
          </w:tcPr>
          <w:p w14:paraId="54F737DF">
            <w:pPr>
              <w:pStyle w:val="16"/>
              <w:spacing w:before="72"/>
              <w:ind w:left="25" w:right="9"/>
              <w:rPr>
                <w:b/>
              </w:rPr>
            </w:pPr>
            <w:r>
              <w:rPr>
                <w:b/>
                <w:spacing w:val="-2"/>
              </w:rPr>
              <w:t>Percentage</w:t>
            </w:r>
          </w:p>
          <w:p w14:paraId="2B273F41">
            <w:pPr>
              <w:pStyle w:val="16"/>
              <w:spacing w:before="31"/>
              <w:jc w:val="left"/>
              <w:rPr>
                <w:rFonts w:ascii="Calibri"/>
                <w:b/>
              </w:rPr>
            </w:pPr>
          </w:p>
          <w:p w14:paraId="1BB260E8">
            <w:pPr>
              <w:pStyle w:val="16"/>
              <w:ind w:left="25"/>
              <w:rPr>
                <w:b/>
              </w:rPr>
            </w:pPr>
            <w:r>
              <w:rPr>
                <w:b/>
                <w:spacing w:val="-5"/>
              </w:rPr>
              <w:t>(%)</w:t>
            </w:r>
          </w:p>
        </w:tc>
      </w:tr>
      <w:tr w14:paraId="7F5F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jc w:val="center"/>
        </w:trPr>
        <w:tc>
          <w:tcPr>
            <w:tcW w:w="931" w:type="dxa"/>
          </w:tcPr>
          <w:p w14:paraId="161F493D">
            <w:pPr>
              <w:pStyle w:val="16"/>
              <w:spacing w:before="68"/>
              <w:ind w:left="31"/>
            </w:pPr>
            <w:r>
              <w:rPr>
                <w:spacing w:val="-5"/>
              </w:rPr>
              <w:t>1.</w:t>
            </w:r>
          </w:p>
        </w:tc>
        <w:tc>
          <w:tcPr>
            <w:tcW w:w="4431" w:type="dxa"/>
          </w:tcPr>
          <w:p w14:paraId="49496AB9">
            <w:pPr>
              <w:pStyle w:val="16"/>
              <w:spacing w:before="68"/>
              <w:ind w:left="23" w:right="9"/>
            </w:pPr>
            <w:r>
              <w:rPr>
                <w:spacing w:val="-2"/>
              </w:rPr>
              <w:t>Normal</w:t>
            </w:r>
          </w:p>
        </w:tc>
        <w:tc>
          <w:tcPr>
            <w:tcW w:w="1762" w:type="dxa"/>
          </w:tcPr>
          <w:p w14:paraId="20901293">
            <w:pPr>
              <w:pStyle w:val="16"/>
              <w:spacing w:before="68"/>
              <w:ind w:left="14"/>
            </w:pPr>
            <w:r>
              <w:rPr>
                <w:spacing w:val="-5"/>
              </w:rPr>
              <w:t>18</w:t>
            </w:r>
          </w:p>
        </w:tc>
        <w:tc>
          <w:tcPr>
            <w:tcW w:w="2026" w:type="dxa"/>
          </w:tcPr>
          <w:p w14:paraId="5225634C">
            <w:pPr>
              <w:pStyle w:val="16"/>
              <w:spacing w:before="68"/>
              <w:ind w:left="25" w:right="9"/>
            </w:pPr>
            <w:r>
              <w:rPr>
                <w:spacing w:val="-2"/>
              </w:rPr>
              <w:t>13.04</w:t>
            </w:r>
          </w:p>
        </w:tc>
      </w:tr>
      <w:tr w14:paraId="4487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jc w:val="center"/>
        </w:trPr>
        <w:tc>
          <w:tcPr>
            <w:tcW w:w="931" w:type="dxa"/>
          </w:tcPr>
          <w:p w14:paraId="057CAE26">
            <w:pPr>
              <w:pStyle w:val="16"/>
              <w:spacing w:before="63"/>
              <w:ind w:left="31"/>
            </w:pPr>
            <w:r>
              <w:rPr>
                <w:spacing w:val="-5"/>
              </w:rPr>
              <w:t>2.</w:t>
            </w:r>
          </w:p>
        </w:tc>
        <w:tc>
          <w:tcPr>
            <w:tcW w:w="4431" w:type="dxa"/>
          </w:tcPr>
          <w:p w14:paraId="1B318E65">
            <w:pPr>
              <w:pStyle w:val="16"/>
              <w:spacing w:before="63"/>
              <w:ind w:left="23" w:right="2"/>
            </w:pPr>
            <w:r>
              <w:t>Mild</w:t>
            </w:r>
            <w:r>
              <w:rPr>
                <w:spacing w:val="-4"/>
              </w:rPr>
              <w:t xml:space="preserve"> </w:t>
            </w:r>
            <w:r>
              <w:t>Mood</w:t>
            </w:r>
            <w:r>
              <w:rPr>
                <w:spacing w:val="-4"/>
              </w:rPr>
              <w:t xml:space="preserve"> </w:t>
            </w:r>
            <w:r>
              <w:rPr>
                <w:spacing w:val="-2"/>
              </w:rPr>
              <w:t>Disturbance</w:t>
            </w:r>
          </w:p>
        </w:tc>
        <w:tc>
          <w:tcPr>
            <w:tcW w:w="1762" w:type="dxa"/>
          </w:tcPr>
          <w:p w14:paraId="57308112">
            <w:pPr>
              <w:pStyle w:val="16"/>
              <w:spacing w:before="63"/>
              <w:ind w:left="14"/>
            </w:pPr>
            <w:r>
              <w:rPr>
                <w:spacing w:val="-5"/>
              </w:rPr>
              <w:t>49</w:t>
            </w:r>
          </w:p>
        </w:tc>
        <w:tc>
          <w:tcPr>
            <w:tcW w:w="2026" w:type="dxa"/>
          </w:tcPr>
          <w:p w14:paraId="7AD47B35">
            <w:pPr>
              <w:pStyle w:val="16"/>
              <w:spacing w:before="63"/>
              <w:ind w:left="25" w:right="9"/>
            </w:pPr>
            <w:r>
              <w:rPr>
                <w:spacing w:val="-2"/>
              </w:rPr>
              <w:t>35.51</w:t>
            </w:r>
          </w:p>
        </w:tc>
      </w:tr>
      <w:tr w14:paraId="38DFC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jc w:val="center"/>
        </w:trPr>
        <w:tc>
          <w:tcPr>
            <w:tcW w:w="931" w:type="dxa"/>
          </w:tcPr>
          <w:p w14:paraId="223D5904">
            <w:pPr>
              <w:pStyle w:val="16"/>
              <w:spacing w:before="63"/>
              <w:ind w:left="31"/>
            </w:pPr>
            <w:r>
              <w:rPr>
                <w:spacing w:val="-5"/>
              </w:rPr>
              <w:t>3.</w:t>
            </w:r>
          </w:p>
        </w:tc>
        <w:tc>
          <w:tcPr>
            <w:tcW w:w="4431" w:type="dxa"/>
          </w:tcPr>
          <w:p w14:paraId="268CA2C1">
            <w:pPr>
              <w:pStyle w:val="16"/>
              <w:spacing w:before="63"/>
              <w:ind w:left="23" w:right="10"/>
            </w:pPr>
            <w:r>
              <w:t>Borderline</w:t>
            </w:r>
            <w:r>
              <w:rPr>
                <w:spacing w:val="-6"/>
              </w:rPr>
              <w:t xml:space="preserve"> </w:t>
            </w:r>
            <w:r>
              <w:t>Clinical</w:t>
            </w:r>
            <w:r>
              <w:rPr>
                <w:spacing w:val="-4"/>
              </w:rPr>
              <w:t xml:space="preserve"> </w:t>
            </w:r>
            <w:r>
              <w:rPr>
                <w:spacing w:val="-2"/>
              </w:rPr>
              <w:t>Depression</w:t>
            </w:r>
          </w:p>
        </w:tc>
        <w:tc>
          <w:tcPr>
            <w:tcW w:w="1762" w:type="dxa"/>
          </w:tcPr>
          <w:p w14:paraId="7C4C97B5">
            <w:pPr>
              <w:pStyle w:val="16"/>
              <w:spacing w:before="63"/>
              <w:ind w:left="14"/>
            </w:pPr>
            <w:r>
              <w:rPr>
                <w:spacing w:val="-5"/>
              </w:rPr>
              <w:t>27</w:t>
            </w:r>
          </w:p>
        </w:tc>
        <w:tc>
          <w:tcPr>
            <w:tcW w:w="2026" w:type="dxa"/>
          </w:tcPr>
          <w:p w14:paraId="2164F38A">
            <w:pPr>
              <w:pStyle w:val="16"/>
              <w:spacing w:before="63"/>
              <w:ind w:left="25" w:right="9"/>
            </w:pPr>
            <w:r>
              <w:rPr>
                <w:spacing w:val="-2"/>
              </w:rPr>
              <w:t>19.57</w:t>
            </w:r>
          </w:p>
        </w:tc>
      </w:tr>
      <w:tr w14:paraId="6D229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jc w:val="center"/>
        </w:trPr>
        <w:tc>
          <w:tcPr>
            <w:tcW w:w="931" w:type="dxa"/>
          </w:tcPr>
          <w:p w14:paraId="7BF4850F">
            <w:pPr>
              <w:pStyle w:val="16"/>
              <w:spacing w:before="63"/>
              <w:ind w:left="31"/>
            </w:pPr>
            <w:r>
              <w:rPr>
                <w:spacing w:val="-5"/>
              </w:rPr>
              <w:t>4.</w:t>
            </w:r>
          </w:p>
        </w:tc>
        <w:tc>
          <w:tcPr>
            <w:tcW w:w="4431" w:type="dxa"/>
          </w:tcPr>
          <w:p w14:paraId="6EA1864F">
            <w:pPr>
              <w:pStyle w:val="16"/>
              <w:spacing w:before="63"/>
              <w:ind w:left="23" w:right="6"/>
            </w:pPr>
            <w:r>
              <w:t>Moderate</w:t>
            </w:r>
            <w:r>
              <w:rPr>
                <w:spacing w:val="-8"/>
              </w:rPr>
              <w:t xml:space="preserve"> </w:t>
            </w:r>
            <w:r>
              <w:rPr>
                <w:spacing w:val="-2"/>
              </w:rPr>
              <w:t>Depression</w:t>
            </w:r>
          </w:p>
        </w:tc>
        <w:tc>
          <w:tcPr>
            <w:tcW w:w="1762" w:type="dxa"/>
          </w:tcPr>
          <w:p w14:paraId="45AA7A43">
            <w:pPr>
              <w:pStyle w:val="16"/>
              <w:spacing w:before="63"/>
              <w:ind w:left="14"/>
            </w:pPr>
            <w:r>
              <w:rPr>
                <w:spacing w:val="-5"/>
              </w:rPr>
              <w:t>28</w:t>
            </w:r>
          </w:p>
        </w:tc>
        <w:tc>
          <w:tcPr>
            <w:tcW w:w="2026" w:type="dxa"/>
          </w:tcPr>
          <w:p w14:paraId="38213608">
            <w:pPr>
              <w:pStyle w:val="16"/>
              <w:spacing w:before="63"/>
              <w:ind w:left="25" w:right="9"/>
            </w:pPr>
            <w:r>
              <w:rPr>
                <w:spacing w:val="-2"/>
              </w:rPr>
              <w:t>20.29</w:t>
            </w:r>
          </w:p>
        </w:tc>
      </w:tr>
      <w:tr w14:paraId="7E1F8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jc w:val="center"/>
        </w:trPr>
        <w:tc>
          <w:tcPr>
            <w:tcW w:w="931" w:type="dxa"/>
          </w:tcPr>
          <w:p w14:paraId="62AD3935">
            <w:pPr>
              <w:pStyle w:val="16"/>
              <w:spacing w:before="63"/>
              <w:ind w:left="31"/>
            </w:pPr>
            <w:r>
              <w:rPr>
                <w:spacing w:val="-5"/>
              </w:rPr>
              <w:t>5.</w:t>
            </w:r>
          </w:p>
        </w:tc>
        <w:tc>
          <w:tcPr>
            <w:tcW w:w="4431" w:type="dxa"/>
          </w:tcPr>
          <w:p w14:paraId="2A789A2B">
            <w:pPr>
              <w:pStyle w:val="16"/>
              <w:spacing w:before="63"/>
              <w:ind w:left="23" w:right="11"/>
            </w:pPr>
            <w:r>
              <w:t>Severe</w:t>
            </w:r>
            <w:r>
              <w:rPr>
                <w:spacing w:val="-4"/>
              </w:rPr>
              <w:t xml:space="preserve"> </w:t>
            </w:r>
            <w:r>
              <w:rPr>
                <w:spacing w:val="-2"/>
              </w:rPr>
              <w:t>Depression</w:t>
            </w:r>
          </w:p>
        </w:tc>
        <w:tc>
          <w:tcPr>
            <w:tcW w:w="1762" w:type="dxa"/>
          </w:tcPr>
          <w:p w14:paraId="6FBF3D62">
            <w:pPr>
              <w:pStyle w:val="16"/>
              <w:spacing w:before="63"/>
              <w:ind w:left="14"/>
            </w:pPr>
            <w:r>
              <w:rPr>
                <w:spacing w:val="-5"/>
              </w:rPr>
              <w:t>16</w:t>
            </w:r>
          </w:p>
        </w:tc>
        <w:tc>
          <w:tcPr>
            <w:tcW w:w="2026" w:type="dxa"/>
          </w:tcPr>
          <w:p w14:paraId="16A2C9AC">
            <w:pPr>
              <w:pStyle w:val="16"/>
              <w:spacing w:before="63"/>
              <w:ind w:left="25" w:right="9"/>
            </w:pPr>
            <w:r>
              <w:rPr>
                <w:spacing w:val="-2"/>
              </w:rPr>
              <w:t>11.59</w:t>
            </w:r>
          </w:p>
        </w:tc>
      </w:tr>
    </w:tbl>
    <w:p w14:paraId="19E62E93">
      <w:pPr>
        <w:pStyle w:val="11"/>
        <w:jc w:val="both"/>
        <w:rPr>
          <w:rStyle w:val="12"/>
        </w:rPr>
      </w:pPr>
      <w:r>
        <w:pict>
          <v:shape id="_x0000_s1066" o:spid="_x0000_s1066" o:spt="202" type="#_x0000_t202" style="position:absolute;left:0pt;margin-left:107.05pt;margin-top:263.3pt;height:26.8pt;width:249.35pt;z-index:251659264;mso-width-relative:page;mso-height-relative:page;" stroked="t" coordsize="21600,21600">
            <v:path/>
            <v:fill focussize="0,0"/>
            <v:stroke color="#FFFFFF" joinstyle="miter"/>
            <v:imagedata o:title=""/>
            <o:lock v:ext="edit"/>
            <v:textbox>
              <w:txbxContent>
                <w:p w14:paraId="39A1B0A9">
                  <w:pPr>
                    <w:rPr>
                      <w:rFonts w:ascii="Calibri"/>
                      <w:b/>
                    </w:rPr>
                  </w:pPr>
                  <w:r>
                    <w:rPr>
                      <w:rFonts w:ascii="Times New Roman" w:hAnsi="Times New Roman" w:cs="Times New Roman"/>
                      <w:b/>
                    </w:rPr>
                    <w:t>Table</w:t>
                  </w:r>
                  <w:r>
                    <w:rPr>
                      <w:rFonts w:ascii="Times New Roman" w:hAnsi="Times New Roman" w:cs="Times New Roman"/>
                      <w:b/>
                      <w:spacing w:val="-7"/>
                    </w:rPr>
                    <w:t xml:space="preserve"> </w:t>
                  </w:r>
                  <w:r>
                    <w:rPr>
                      <w:rFonts w:ascii="Times New Roman" w:hAnsi="Times New Roman" w:cs="Times New Roman"/>
                      <w:b/>
                    </w:rPr>
                    <w:t>4:</w:t>
                  </w:r>
                  <w:r>
                    <w:rPr>
                      <w:rFonts w:ascii="Times New Roman" w:hAnsi="Times New Roman" w:cs="Times New Roman"/>
                      <w:b/>
                      <w:spacing w:val="-4"/>
                    </w:rPr>
                    <w:t xml:space="preserve"> </w:t>
                  </w:r>
                  <w:r>
                    <w:rPr>
                      <w:rFonts w:ascii="Times New Roman" w:hAnsi="Times New Roman" w:cs="Times New Roman"/>
                      <w:b/>
                    </w:rPr>
                    <w:t>Classification</w:t>
                  </w:r>
                  <w:r>
                    <w:rPr>
                      <w:rFonts w:ascii="Times New Roman" w:hAnsi="Times New Roman" w:cs="Times New Roman"/>
                      <w:b/>
                      <w:spacing w:val="-3"/>
                    </w:rPr>
                    <w:t xml:space="preserve"> </w:t>
                  </w:r>
                  <w:r>
                    <w:rPr>
                      <w:rFonts w:ascii="Times New Roman" w:hAnsi="Times New Roman" w:cs="Times New Roman"/>
                      <w:b/>
                    </w:rPr>
                    <w:t>According</w:t>
                  </w:r>
                  <w:r>
                    <w:rPr>
                      <w:rFonts w:ascii="Times New Roman" w:hAnsi="Times New Roman" w:cs="Times New Roman"/>
                      <w:b/>
                      <w:spacing w:val="-4"/>
                    </w:rPr>
                    <w:t xml:space="preserve"> </w:t>
                  </w:r>
                  <w:r>
                    <w:rPr>
                      <w:rFonts w:ascii="Times New Roman" w:hAnsi="Times New Roman" w:cs="Times New Roman"/>
                      <w:b/>
                    </w:rPr>
                    <w:t>to</w:t>
                  </w:r>
                  <w:r>
                    <w:rPr>
                      <w:rFonts w:ascii="Times New Roman" w:hAnsi="Times New Roman" w:cs="Times New Roman"/>
                      <w:b/>
                      <w:spacing w:val="-4"/>
                    </w:rPr>
                    <w:t xml:space="preserve"> </w:t>
                  </w:r>
                  <w:r>
                    <w:rPr>
                      <w:rFonts w:ascii="Times New Roman" w:hAnsi="Times New Roman" w:cs="Times New Roman"/>
                      <w:b/>
                    </w:rPr>
                    <w:t>BDI</w:t>
                  </w:r>
                  <w:r>
                    <w:rPr>
                      <w:rFonts w:ascii="Times New Roman" w:hAnsi="Times New Roman" w:cs="Times New Roman"/>
                      <w:b/>
                      <w:spacing w:val="-6"/>
                    </w:rPr>
                    <w:t xml:space="preserve"> </w:t>
                  </w:r>
                  <w:r>
                    <w:rPr>
                      <w:rFonts w:ascii="Calibri"/>
                      <w:b/>
                      <w:spacing w:val="-2"/>
                    </w:rPr>
                    <w:t>Score</w:t>
                  </w:r>
                </w:p>
                <w:p w14:paraId="0B03118C"/>
              </w:txbxContent>
            </v:textbox>
          </v:shape>
        </w:pict>
      </w:r>
    </w:p>
    <w:p w14:paraId="2E95888F">
      <w:pPr>
        <w:pStyle w:val="11"/>
        <w:jc w:val="both"/>
        <w:rPr>
          <w:rStyle w:val="12"/>
        </w:rPr>
      </w:pPr>
    </w:p>
    <w:p w14:paraId="39A4908B">
      <w:pPr>
        <w:pStyle w:val="11"/>
        <w:jc w:val="both"/>
        <w:rPr>
          <w:rStyle w:val="12"/>
        </w:rPr>
      </w:pPr>
    </w:p>
    <w:p w14:paraId="7949FFFB">
      <w:pPr>
        <w:pStyle w:val="11"/>
        <w:jc w:val="both"/>
        <w:rPr>
          <w:rStyle w:val="12"/>
        </w:rPr>
      </w:pPr>
    </w:p>
    <w:p w14:paraId="26EE3812">
      <w:pPr>
        <w:pStyle w:val="11"/>
        <w:jc w:val="both"/>
        <w:rPr>
          <w:rStyle w:val="12"/>
        </w:rPr>
      </w:pPr>
    </w:p>
    <w:p w14:paraId="1BE9D5FF">
      <w:pPr>
        <w:pStyle w:val="11"/>
        <w:jc w:val="both"/>
      </w:pPr>
      <w:r>
        <w:rPr>
          <w:rStyle w:val="12"/>
        </w:rPr>
        <w:t>Correlation of Age with BDI Classification:</w:t>
      </w:r>
      <w:r>
        <w:br w:type="textWrapping"/>
      </w:r>
    </w:p>
    <w:p w14:paraId="74C347BD">
      <w:pPr>
        <w:pStyle w:val="11"/>
        <w:jc w:val="both"/>
        <w:rPr>
          <w:lang w:val="en-IN"/>
        </w:rPr>
      </w:pPr>
      <w:r>
        <w:t>When analyzing the relationship between age and BDI classification, no significant association was found (p=0.455). However, most cases of mild mood disturbance and borderline depression were reported in the 22–29 age range</w:t>
      </w:r>
      <w:r>
        <w:rPr>
          <w:lang w:val="en-IN"/>
        </w:rPr>
        <w:t>.</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436"/>
        <w:gridCol w:w="3001"/>
        <w:gridCol w:w="1378"/>
        <w:gridCol w:w="1431"/>
        <w:gridCol w:w="903"/>
      </w:tblGrid>
      <w:tr w14:paraId="74568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855" w:type="dxa"/>
          </w:tcPr>
          <w:p w14:paraId="02A40F08">
            <w:pPr>
              <w:pStyle w:val="16"/>
              <w:spacing w:before="1"/>
              <w:ind w:left="172"/>
              <w:jc w:val="left"/>
              <w:rPr>
                <w:b/>
              </w:rPr>
            </w:pPr>
            <w:r>
              <w:rPr>
                <w:b/>
              </w:rPr>
              <w:t xml:space="preserve">Sl </w:t>
            </w:r>
            <w:r>
              <w:rPr>
                <w:b/>
                <w:spacing w:val="-5"/>
              </w:rPr>
              <w:t>No</w:t>
            </w:r>
          </w:p>
        </w:tc>
        <w:tc>
          <w:tcPr>
            <w:tcW w:w="1436" w:type="dxa"/>
          </w:tcPr>
          <w:p w14:paraId="6AE152A3">
            <w:pPr>
              <w:pStyle w:val="16"/>
              <w:spacing w:before="1"/>
              <w:ind w:left="537"/>
              <w:jc w:val="left"/>
              <w:rPr>
                <w:b/>
              </w:rPr>
            </w:pPr>
            <w:r>
              <w:rPr>
                <w:b/>
                <w:spacing w:val="-5"/>
              </w:rPr>
              <w:t>Age</w:t>
            </w:r>
          </w:p>
          <w:p w14:paraId="612C21EA">
            <w:pPr>
              <w:pStyle w:val="16"/>
              <w:spacing w:before="20"/>
              <w:jc w:val="left"/>
              <w:rPr>
                <w:rFonts w:ascii="Calibri"/>
                <w:b/>
              </w:rPr>
            </w:pPr>
          </w:p>
          <w:p w14:paraId="751DF1BC">
            <w:pPr>
              <w:pStyle w:val="16"/>
              <w:spacing w:before="1"/>
              <w:ind w:left="455"/>
              <w:jc w:val="left"/>
              <w:rPr>
                <w:b/>
              </w:rPr>
            </w:pPr>
            <w:r>
              <w:rPr>
                <w:b/>
                <w:spacing w:val="-2"/>
              </w:rPr>
              <w:t>(Years)</w:t>
            </w:r>
          </w:p>
        </w:tc>
        <w:tc>
          <w:tcPr>
            <w:tcW w:w="3001" w:type="dxa"/>
          </w:tcPr>
          <w:p w14:paraId="18CFB070">
            <w:pPr>
              <w:pStyle w:val="16"/>
              <w:spacing w:before="1" w:line="364" w:lineRule="auto"/>
              <w:ind w:left="1011" w:right="224" w:hanging="788"/>
              <w:jc w:val="left"/>
              <w:rPr>
                <w:b/>
              </w:rPr>
            </w:pPr>
            <w:r>
              <w:rPr>
                <w:b/>
              </w:rPr>
              <w:t>Classification</w:t>
            </w:r>
            <w:r>
              <w:rPr>
                <w:b/>
                <w:spacing w:val="-14"/>
              </w:rPr>
              <w:t xml:space="preserve"> </w:t>
            </w:r>
            <w:r>
              <w:rPr>
                <w:b/>
              </w:rPr>
              <w:t>According</w:t>
            </w:r>
            <w:r>
              <w:rPr>
                <w:b/>
                <w:spacing w:val="-14"/>
              </w:rPr>
              <w:t xml:space="preserve"> </w:t>
            </w:r>
            <w:r>
              <w:rPr>
                <w:b/>
              </w:rPr>
              <w:t>to BDI Score</w:t>
            </w:r>
          </w:p>
        </w:tc>
        <w:tc>
          <w:tcPr>
            <w:tcW w:w="1378" w:type="dxa"/>
          </w:tcPr>
          <w:p w14:paraId="72B064F8">
            <w:pPr>
              <w:pStyle w:val="16"/>
              <w:spacing w:before="1"/>
              <w:ind w:left="11" w:right="9"/>
              <w:rPr>
                <w:b/>
              </w:rPr>
            </w:pPr>
            <w:r>
              <w:rPr>
                <w:b/>
                <w:spacing w:val="-2"/>
              </w:rPr>
              <w:t>Frequency</w:t>
            </w:r>
          </w:p>
        </w:tc>
        <w:tc>
          <w:tcPr>
            <w:tcW w:w="1431" w:type="dxa"/>
          </w:tcPr>
          <w:p w14:paraId="741E6558">
            <w:pPr>
              <w:pStyle w:val="16"/>
              <w:spacing w:before="1"/>
              <w:ind w:left="194"/>
              <w:jc w:val="left"/>
              <w:rPr>
                <w:b/>
              </w:rPr>
            </w:pPr>
            <w:r>
              <w:rPr>
                <w:b/>
                <w:spacing w:val="-2"/>
              </w:rPr>
              <w:t>Percentage</w:t>
            </w:r>
          </w:p>
          <w:p w14:paraId="4D22C67F">
            <w:pPr>
              <w:pStyle w:val="16"/>
              <w:spacing w:before="20"/>
              <w:jc w:val="left"/>
              <w:rPr>
                <w:rFonts w:ascii="Calibri"/>
                <w:b/>
              </w:rPr>
            </w:pPr>
          </w:p>
          <w:p w14:paraId="4A25D4C5">
            <w:pPr>
              <w:pStyle w:val="16"/>
              <w:spacing w:before="1"/>
              <w:ind w:left="617"/>
              <w:jc w:val="left"/>
              <w:rPr>
                <w:b/>
              </w:rPr>
            </w:pPr>
            <w:r>
              <w:rPr>
                <w:b/>
                <w:spacing w:val="-5"/>
              </w:rPr>
              <w:t>(%)</w:t>
            </w:r>
          </w:p>
        </w:tc>
        <w:tc>
          <w:tcPr>
            <w:tcW w:w="903" w:type="dxa"/>
          </w:tcPr>
          <w:p w14:paraId="28607338">
            <w:pPr>
              <w:pStyle w:val="16"/>
              <w:spacing w:before="1"/>
              <w:ind w:left="4"/>
              <w:rPr>
                <w:b/>
              </w:rPr>
            </w:pPr>
            <w:r>
              <w:rPr>
                <w:b/>
                <w:spacing w:val="-10"/>
              </w:rPr>
              <w:t>P</w:t>
            </w:r>
          </w:p>
          <w:p w14:paraId="1730E32B">
            <w:pPr>
              <w:pStyle w:val="16"/>
              <w:spacing w:before="20"/>
              <w:jc w:val="left"/>
              <w:rPr>
                <w:rFonts w:ascii="Calibri"/>
                <w:b/>
              </w:rPr>
            </w:pPr>
          </w:p>
          <w:p w14:paraId="4987A876">
            <w:pPr>
              <w:pStyle w:val="16"/>
              <w:spacing w:before="1"/>
              <w:ind w:left="4" w:right="3"/>
              <w:rPr>
                <w:b/>
              </w:rPr>
            </w:pPr>
            <w:r>
              <w:rPr>
                <w:b/>
                <w:spacing w:val="-2"/>
              </w:rPr>
              <w:t>value</w:t>
            </w:r>
          </w:p>
        </w:tc>
      </w:tr>
      <w:tr w14:paraId="5BAD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55" w:type="dxa"/>
            <w:vMerge w:val="restart"/>
          </w:tcPr>
          <w:p w14:paraId="3695D177">
            <w:pPr>
              <w:pStyle w:val="16"/>
              <w:spacing w:line="249" w:lineRule="exact"/>
              <w:ind w:left="11"/>
            </w:pPr>
            <w:r>
              <w:rPr>
                <w:spacing w:val="-5"/>
              </w:rPr>
              <w:t>1.</w:t>
            </w:r>
          </w:p>
        </w:tc>
        <w:tc>
          <w:tcPr>
            <w:tcW w:w="1436" w:type="dxa"/>
            <w:vMerge w:val="restart"/>
          </w:tcPr>
          <w:p w14:paraId="2C9181B2">
            <w:pPr>
              <w:pStyle w:val="16"/>
              <w:spacing w:line="249" w:lineRule="exact"/>
              <w:ind w:left="440"/>
              <w:jc w:val="left"/>
            </w:pPr>
            <w:r>
              <w:rPr>
                <w:spacing w:val="-2"/>
              </w:rPr>
              <w:t>18–21</w:t>
            </w:r>
          </w:p>
        </w:tc>
        <w:tc>
          <w:tcPr>
            <w:tcW w:w="3001" w:type="dxa"/>
          </w:tcPr>
          <w:p w14:paraId="65295DBB">
            <w:pPr>
              <w:pStyle w:val="16"/>
              <w:spacing w:line="249" w:lineRule="exact"/>
              <w:ind w:left="2" w:right="2"/>
            </w:pPr>
            <w:r>
              <w:rPr>
                <w:spacing w:val="-2"/>
              </w:rPr>
              <w:t>Normal</w:t>
            </w:r>
          </w:p>
        </w:tc>
        <w:tc>
          <w:tcPr>
            <w:tcW w:w="1378" w:type="dxa"/>
          </w:tcPr>
          <w:p w14:paraId="7EFDC77D">
            <w:pPr>
              <w:pStyle w:val="16"/>
              <w:spacing w:line="249" w:lineRule="exact"/>
              <w:ind w:left="11" w:right="6"/>
            </w:pPr>
            <w:r>
              <w:rPr>
                <w:spacing w:val="-10"/>
              </w:rPr>
              <w:t>2</w:t>
            </w:r>
          </w:p>
        </w:tc>
        <w:tc>
          <w:tcPr>
            <w:tcW w:w="1431" w:type="dxa"/>
          </w:tcPr>
          <w:p w14:paraId="68DB1093">
            <w:pPr>
              <w:pStyle w:val="16"/>
              <w:spacing w:line="249" w:lineRule="exact"/>
              <w:ind w:left="15" w:right="1"/>
            </w:pPr>
            <w:r>
              <w:rPr>
                <w:spacing w:val="-2"/>
              </w:rPr>
              <w:t>1.449</w:t>
            </w:r>
          </w:p>
        </w:tc>
        <w:tc>
          <w:tcPr>
            <w:tcW w:w="903" w:type="dxa"/>
            <w:vMerge w:val="restart"/>
          </w:tcPr>
          <w:p w14:paraId="3717D582">
            <w:pPr>
              <w:pStyle w:val="16"/>
              <w:jc w:val="left"/>
              <w:rPr>
                <w:rFonts w:ascii="Calibri"/>
                <w:b/>
              </w:rPr>
            </w:pPr>
          </w:p>
          <w:p w14:paraId="2866AA9A">
            <w:pPr>
              <w:pStyle w:val="16"/>
              <w:jc w:val="left"/>
              <w:rPr>
                <w:rFonts w:ascii="Calibri"/>
                <w:b/>
              </w:rPr>
            </w:pPr>
          </w:p>
          <w:p w14:paraId="05ABAFA3">
            <w:pPr>
              <w:pStyle w:val="16"/>
              <w:jc w:val="left"/>
              <w:rPr>
                <w:rFonts w:ascii="Calibri"/>
                <w:b/>
              </w:rPr>
            </w:pPr>
          </w:p>
          <w:p w14:paraId="267DC3F4">
            <w:pPr>
              <w:pStyle w:val="16"/>
              <w:jc w:val="left"/>
              <w:rPr>
                <w:rFonts w:ascii="Calibri"/>
                <w:b/>
              </w:rPr>
            </w:pPr>
          </w:p>
          <w:p w14:paraId="41D322E9">
            <w:pPr>
              <w:pStyle w:val="16"/>
              <w:jc w:val="left"/>
              <w:rPr>
                <w:rFonts w:ascii="Calibri"/>
                <w:b/>
              </w:rPr>
            </w:pPr>
          </w:p>
          <w:p w14:paraId="5BEF121E">
            <w:pPr>
              <w:pStyle w:val="16"/>
              <w:jc w:val="left"/>
              <w:rPr>
                <w:rFonts w:ascii="Calibri"/>
                <w:b/>
              </w:rPr>
            </w:pPr>
          </w:p>
          <w:p w14:paraId="7D97020E">
            <w:pPr>
              <w:pStyle w:val="16"/>
              <w:jc w:val="left"/>
              <w:rPr>
                <w:rFonts w:ascii="Calibri"/>
                <w:b/>
              </w:rPr>
            </w:pPr>
          </w:p>
          <w:p w14:paraId="2536C847">
            <w:pPr>
              <w:pStyle w:val="16"/>
              <w:jc w:val="left"/>
              <w:rPr>
                <w:rFonts w:ascii="Calibri"/>
                <w:b/>
              </w:rPr>
            </w:pPr>
          </w:p>
          <w:p w14:paraId="41AE0291">
            <w:pPr>
              <w:pStyle w:val="16"/>
              <w:jc w:val="left"/>
              <w:rPr>
                <w:rFonts w:ascii="Calibri"/>
                <w:b/>
              </w:rPr>
            </w:pPr>
          </w:p>
          <w:p w14:paraId="4BA5460C">
            <w:pPr>
              <w:pStyle w:val="16"/>
              <w:jc w:val="left"/>
              <w:rPr>
                <w:rFonts w:ascii="Calibri"/>
                <w:b/>
              </w:rPr>
            </w:pPr>
          </w:p>
          <w:p w14:paraId="1E7D1E3E">
            <w:pPr>
              <w:pStyle w:val="16"/>
              <w:jc w:val="left"/>
              <w:rPr>
                <w:rFonts w:ascii="Calibri"/>
                <w:b/>
              </w:rPr>
            </w:pPr>
          </w:p>
          <w:p w14:paraId="40FDE8DF">
            <w:pPr>
              <w:pStyle w:val="16"/>
              <w:jc w:val="left"/>
              <w:rPr>
                <w:rFonts w:ascii="Calibri"/>
                <w:b/>
              </w:rPr>
            </w:pPr>
          </w:p>
          <w:p w14:paraId="67DB7D43">
            <w:pPr>
              <w:pStyle w:val="16"/>
              <w:jc w:val="left"/>
              <w:rPr>
                <w:rFonts w:ascii="Calibri"/>
                <w:b/>
              </w:rPr>
            </w:pPr>
          </w:p>
          <w:p w14:paraId="6A6173C4">
            <w:pPr>
              <w:pStyle w:val="16"/>
              <w:jc w:val="left"/>
              <w:rPr>
                <w:rFonts w:ascii="Calibri"/>
                <w:b/>
              </w:rPr>
            </w:pPr>
          </w:p>
          <w:p w14:paraId="37A30CC8">
            <w:pPr>
              <w:pStyle w:val="16"/>
              <w:jc w:val="left"/>
              <w:rPr>
                <w:rFonts w:ascii="Calibri"/>
                <w:b/>
              </w:rPr>
            </w:pPr>
          </w:p>
          <w:p w14:paraId="052E21B0">
            <w:pPr>
              <w:pStyle w:val="16"/>
              <w:jc w:val="left"/>
              <w:rPr>
                <w:rFonts w:ascii="Calibri"/>
                <w:b/>
              </w:rPr>
            </w:pPr>
          </w:p>
          <w:p w14:paraId="55CF05EC">
            <w:pPr>
              <w:pStyle w:val="16"/>
              <w:jc w:val="left"/>
              <w:rPr>
                <w:rFonts w:ascii="Calibri"/>
                <w:b/>
              </w:rPr>
            </w:pPr>
          </w:p>
          <w:p w14:paraId="0223164A">
            <w:pPr>
              <w:pStyle w:val="16"/>
              <w:jc w:val="left"/>
              <w:rPr>
                <w:rFonts w:ascii="Calibri"/>
                <w:b/>
              </w:rPr>
            </w:pPr>
          </w:p>
          <w:p w14:paraId="171AC969">
            <w:pPr>
              <w:pStyle w:val="16"/>
              <w:jc w:val="left"/>
              <w:rPr>
                <w:rFonts w:ascii="Calibri"/>
                <w:b/>
              </w:rPr>
            </w:pPr>
          </w:p>
          <w:p w14:paraId="79AD8148">
            <w:pPr>
              <w:pStyle w:val="16"/>
              <w:spacing w:before="102"/>
              <w:jc w:val="left"/>
              <w:rPr>
                <w:rFonts w:ascii="Calibri"/>
                <w:b/>
              </w:rPr>
            </w:pPr>
          </w:p>
          <w:p w14:paraId="1045AA95">
            <w:pPr>
              <w:pStyle w:val="16"/>
              <w:ind w:left="203"/>
              <w:jc w:val="left"/>
            </w:pPr>
            <w:r>
              <w:rPr>
                <w:spacing w:val="-4"/>
              </w:rPr>
              <w:t>0.455</w:t>
            </w:r>
          </w:p>
        </w:tc>
      </w:tr>
      <w:tr w14:paraId="6FC4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continue"/>
            <w:tcBorders>
              <w:top w:val="nil"/>
            </w:tcBorders>
          </w:tcPr>
          <w:p w14:paraId="38916926">
            <w:pPr>
              <w:rPr>
                <w:sz w:val="2"/>
                <w:szCs w:val="2"/>
              </w:rPr>
            </w:pPr>
          </w:p>
        </w:tc>
        <w:tc>
          <w:tcPr>
            <w:tcW w:w="1436" w:type="dxa"/>
            <w:vMerge w:val="continue"/>
            <w:tcBorders>
              <w:top w:val="nil"/>
            </w:tcBorders>
          </w:tcPr>
          <w:p w14:paraId="3D7BACE6">
            <w:pPr>
              <w:rPr>
                <w:sz w:val="2"/>
                <w:szCs w:val="2"/>
              </w:rPr>
            </w:pPr>
          </w:p>
        </w:tc>
        <w:tc>
          <w:tcPr>
            <w:tcW w:w="3001" w:type="dxa"/>
          </w:tcPr>
          <w:p w14:paraId="4CA4C214">
            <w:pPr>
              <w:pStyle w:val="16"/>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67B660E4">
            <w:pPr>
              <w:pStyle w:val="16"/>
              <w:spacing w:line="249" w:lineRule="exact"/>
              <w:ind w:left="11" w:right="1"/>
            </w:pPr>
            <w:r>
              <w:rPr>
                <w:spacing w:val="-5"/>
              </w:rPr>
              <w:t>10</w:t>
            </w:r>
          </w:p>
        </w:tc>
        <w:tc>
          <w:tcPr>
            <w:tcW w:w="1431" w:type="dxa"/>
          </w:tcPr>
          <w:p w14:paraId="5AAFECAF">
            <w:pPr>
              <w:pStyle w:val="16"/>
              <w:spacing w:line="249" w:lineRule="exact"/>
              <w:ind w:left="15" w:right="1"/>
            </w:pPr>
            <w:r>
              <w:rPr>
                <w:spacing w:val="-2"/>
              </w:rPr>
              <w:t>7.246</w:t>
            </w:r>
          </w:p>
        </w:tc>
        <w:tc>
          <w:tcPr>
            <w:tcW w:w="903" w:type="dxa"/>
            <w:vMerge w:val="continue"/>
            <w:tcBorders>
              <w:top w:val="nil"/>
            </w:tcBorders>
          </w:tcPr>
          <w:p w14:paraId="2A17D7F5">
            <w:pPr>
              <w:rPr>
                <w:sz w:val="2"/>
                <w:szCs w:val="2"/>
              </w:rPr>
            </w:pPr>
          </w:p>
        </w:tc>
      </w:tr>
      <w:tr w14:paraId="11A4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855" w:type="dxa"/>
            <w:vMerge w:val="continue"/>
            <w:tcBorders>
              <w:top w:val="nil"/>
            </w:tcBorders>
          </w:tcPr>
          <w:p w14:paraId="6418D0A2">
            <w:pPr>
              <w:rPr>
                <w:sz w:val="2"/>
                <w:szCs w:val="2"/>
              </w:rPr>
            </w:pPr>
          </w:p>
        </w:tc>
        <w:tc>
          <w:tcPr>
            <w:tcW w:w="1436" w:type="dxa"/>
            <w:vMerge w:val="continue"/>
            <w:tcBorders>
              <w:top w:val="nil"/>
            </w:tcBorders>
          </w:tcPr>
          <w:p w14:paraId="2708CFDD">
            <w:pPr>
              <w:rPr>
                <w:sz w:val="2"/>
                <w:szCs w:val="2"/>
              </w:rPr>
            </w:pPr>
          </w:p>
        </w:tc>
        <w:tc>
          <w:tcPr>
            <w:tcW w:w="3001" w:type="dxa"/>
          </w:tcPr>
          <w:p w14:paraId="181B122D">
            <w:pPr>
              <w:pStyle w:val="16"/>
              <w:spacing w:line="249" w:lineRule="exact"/>
              <w:ind w:left="2" w:right="2"/>
            </w:pPr>
            <w:r>
              <w:t>Borderline</w:t>
            </w:r>
            <w:r>
              <w:rPr>
                <w:spacing w:val="-7"/>
              </w:rPr>
              <w:t xml:space="preserve"> </w:t>
            </w:r>
            <w:r>
              <w:t>Clinical</w:t>
            </w:r>
            <w:r>
              <w:rPr>
                <w:spacing w:val="-6"/>
              </w:rPr>
              <w:t xml:space="preserve"> </w:t>
            </w:r>
            <w:r>
              <w:rPr>
                <w:spacing w:val="-2"/>
              </w:rPr>
              <w:t>Depression</w:t>
            </w:r>
          </w:p>
        </w:tc>
        <w:tc>
          <w:tcPr>
            <w:tcW w:w="1378" w:type="dxa"/>
          </w:tcPr>
          <w:p w14:paraId="6195075C">
            <w:pPr>
              <w:pStyle w:val="16"/>
              <w:spacing w:line="249" w:lineRule="exact"/>
              <w:ind w:left="11" w:right="5"/>
            </w:pPr>
            <w:r>
              <w:rPr>
                <w:spacing w:val="-10"/>
              </w:rPr>
              <w:t>8</w:t>
            </w:r>
          </w:p>
        </w:tc>
        <w:tc>
          <w:tcPr>
            <w:tcW w:w="1431" w:type="dxa"/>
          </w:tcPr>
          <w:p w14:paraId="2D484B69">
            <w:pPr>
              <w:pStyle w:val="16"/>
              <w:spacing w:line="249" w:lineRule="exact"/>
              <w:ind w:left="15"/>
            </w:pPr>
            <w:r>
              <w:rPr>
                <w:spacing w:val="-2"/>
              </w:rPr>
              <w:t>5.797</w:t>
            </w:r>
          </w:p>
        </w:tc>
        <w:tc>
          <w:tcPr>
            <w:tcW w:w="903" w:type="dxa"/>
            <w:vMerge w:val="continue"/>
            <w:tcBorders>
              <w:top w:val="nil"/>
            </w:tcBorders>
          </w:tcPr>
          <w:p w14:paraId="4981BFB4">
            <w:pPr>
              <w:rPr>
                <w:sz w:val="2"/>
                <w:szCs w:val="2"/>
              </w:rPr>
            </w:pPr>
          </w:p>
        </w:tc>
      </w:tr>
      <w:tr w14:paraId="3CF36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55" w:type="dxa"/>
            <w:vMerge w:val="continue"/>
            <w:tcBorders>
              <w:top w:val="nil"/>
            </w:tcBorders>
          </w:tcPr>
          <w:p w14:paraId="64E959C8">
            <w:pPr>
              <w:rPr>
                <w:sz w:val="2"/>
                <w:szCs w:val="2"/>
              </w:rPr>
            </w:pPr>
          </w:p>
        </w:tc>
        <w:tc>
          <w:tcPr>
            <w:tcW w:w="1436" w:type="dxa"/>
            <w:vMerge w:val="continue"/>
            <w:tcBorders>
              <w:top w:val="nil"/>
            </w:tcBorders>
          </w:tcPr>
          <w:p w14:paraId="67264AEF">
            <w:pPr>
              <w:rPr>
                <w:sz w:val="2"/>
                <w:szCs w:val="2"/>
              </w:rPr>
            </w:pPr>
          </w:p>
        </w:tc>
        <w:tc>
          <w:tcPr>
            <w:tcW w:w="3001" w:type="dxa"/>
          </w:tcPr>
          <w:p w14:paraId="4315A7A3">
            <w:pPr>
              <w:pStyle w:val="16"/>
              <w:spacing w:line="249" w:lineRule="exact"/>
              <w:ind w:right="2"/>
            </w:pPr>
            <w:r>
              <w:t>Moderate</w:t>
            </w:r>
            <w:r>
              <w:rPr>
                <w:spacing w:val="-8"/>
              </w:rPr>
              <w:t xml:space="preserve"> </w:t>
            </w:r>
            <w:r>
              <w:rPr>
                <w:spacing w:val="-2"/>
              </w:rPr>
              <w:t>Depression</w:t>
            </w:r>
          </w:p>
        </w:tc>
        <w:tc>
          <w:tcPr>
            <w:tcW w:w="1378" w:type="dxa"/>
          </w:tcPr>
          <w:p w14:paraId="30CCF8E0">
            <w:pPr>
              <w:pStyle w:val="16"/>
              <w:spacing w:line="249" w:lineRule="exact"/>
              <w:ind w:left="11" w:right="5"/>
            </w:pPr>
            <w:r>
              <w:rPr>
                <w:spacing w:val="-10"/>
              </w:rPr>
              <w:t>3</w:t>
            </w:r>
          </w:p>
        </w:tc>
        <w:tc>
          <w:tcPr>
            <w:tcW w:w="1431" w:type="dxa"/>
          </w:tcPr>
          <w:p w14:paraId="427468FD">
            <w:pPr>
              <w:pStyle w:val="16"/>
              <w:spacing w:line="249" w:lineRule="exact"/>
              <w:ind w:left="15"/>
            </w:pPr>
            <w:r>
              <w:rPr>
                <w:spacing w:val="-2"/>
              </w:rPr>
              <w:t>2.174</w:t>
            </w:r>
          </w:p>
        </w:tc>
        <w:tc>
          <w:tcPr>
            <w:tcW w:w="903" w:type="dxa"/>
            <w:vMerge w:val="continue"/>
            <w:tcBorders>
              <w:top w:val="nil"/>
            </w:tcBorders>
          </w:tcPr>
          <w:p w14:paraId="06EC93EC">
            <w:pPr>
              <w:rPr>
                <w:sz w:val="2"/>
                <w:szCs w:val="2"/>
              </w:rPr>
            </w:pPr>
          </w:p>
        </w:tc>
      </w:tr>
      <w:tr w14:paraId="1406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continue"/>
            <w:tcBorders>
              <w:top w:val="nil"/>
            </w:tcBorders>
          </w:tcPr>
          <w:p w14:paraId="60F61CB4">
            <w:pPr>
              <w:rPr>
                <w:sz w:val="2"/>
                <w:szCs w:val="2"/>
              </w:rPr>
            </w:pPr>
          </w:p>
        </w:tc>
        <w:tc>
          <w:tcPr>
            <w:tcW w:w="1436" w:type="dxa"/>
            <w:vMerge w:val="continue"/>
            <w:tcBorders>
              <w:top w:val="nil"/>
            </w:tcBorders>
          </w:tcPr>
          <w:p w14:paraId="5CB81C73">
            <w:pPr>
              <w:rPr>
                <w:sz w:val="2"/>
                <w:szCs w:val="2"/>
              </w:rPr>
            </w:pPr>
          </w:p>
        </w:tc>
        <w:tc>
          <w:tcPr>
            <w:tcW w:w="3001" w:type="dxa"/>
          </w:tcPr>
          <w:p w14:paraId="1E2859AC">
            <w:pPr>
              <w:pStyle w:val="16"/>
              <w:spacing w:line="249" w:lineRule="exact"/>
              <w:ind w:left="2" w:right="2"/>
            </w:pPr>
            <w:r>
              <w:t>Severe</w:t>
            </w:r>
            <w:r>
              <w:rPr>
                <w:spacing w:val="-8"/>
              </w:rPr>
              <w:t xml:space="preserve"> </w:t>
            </w:r>
            <w:r>
              <w:rPr>
                <w:spacing w:val="-2"/>
              </w:rPr>
              <w:t>Depression</w:t>
            </w:r>
          </w:p>
        </w:tc>
        <w:tc>
          <w:tcPr>
            <w:tcW w:w="1378" w:type="dxa"/>
          </w:tcPr>
          <w:p w14:paraId="0D04D28F">
            <w:pPr>
              <w:pStyle w:val="16"/>
              <w:spacing w:line="249" w:lineRule="exact"/>
              <w:ind w:left="11" w:right="5"/>
            </w:pPr>
            <w:r>
              <w:rPr>
                <w:spacing w:val="-10"/>
              </w:rPr>
              <w:t>4</w:t>
            </w:r>
          </w:p>
        </w:tc>
        <w:tc>
          <w:tcPr>
            <w:tcW w:w="1431" w:type="dxa"/>
          </w:tcPr>
          <w:p w14:paraId="0D0E7ED6">
            <w:pPr>
              <w:pStyle w:val="16"/>
              <w:spacing w:line="249" w:lineRule="exact"/>
              <w:ind w:left="15"/>
            </w:pPr>
            <w:r>
              <w:rPr>
                <w:spacing w:val="-2"/>
              </w:rPr>
              <w:t>2.899</w:t>
            </w:r>
          </w:p>
        </w:tc>
        <w:tc>
          <w:tcPr>
            <w:tcW w:w="903" w:type="dxa"/>
            <w:vMerge w:val="continue"/>
            <w:tcBorders>
              <w:top w:val="nil"/>
            </w:tcBorders>
          </w:tcPr>
          <w:p w14:paraId="002484C7">
            <w:pPr>
              <w:rPr>
                <w:sz w:val="2"/>
                <w:szCs w:val="2"/>
              </w:rPr>
            </w:pPr>
          </w:p>
        </w:tc>
      </w:tr>
      <w:tr w14:paraId="044A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55" w:type="dxa"/>
            <w:vMerge w:val="restart"/>
          </w:tcPr>
          <w:p w14:paraId="586EA13F">
            <w:pPr>
              <w:pStyle w:val="16"/>
              <w:spacing w:line="249" w:lineRule="exact"/>
              <w:ind w:left="11"/>
            </w:pPr>
            <w:r>
              <w:rPr>
                <w:spacing w:val="-5"/>
              </w:rPr>
              <w:t>2.</w:t>
            </w:r>
          </w:p>
        </w:tc>
        <w:tc>
          <w:tcPr>
            <w:tcW w:w="1436" w:type="dxa"/>
            <w:vMerge w:val="restart"/>
          </w:tcPr>
          <w:p w14:paraId="272CD0A0">
            <w:pPr>
              <w:pStyle w:val="16"/>
              <w:spacing w:line="249" w:lineRule="exact"/>
              <w:ind w:left="460"/>
              <w:jc w:val="left"/>
            </w:pPr>
            <w:r>
              <w:t>22-</w:t>
            </w:r>
            <w:r>
              <w:rPr>
                <w:spacing w:val="-5"/>
              </w:rPr>
              <w:t>25</w:t>
            </w:r>
          </w:p>
        </w:tc>
        <w:tc>
          <w:tcPr>
            <w:tcW w:w="3001" w:type="dxa"/>
          </w:tcPr>
          <w:p w14:paraId="7D4C54E6">
            <w:pPr>
              <w:pStyle w:val="16"/>
              <w:spacing w:line="249" w:lineRule="exact"/>
              <w:ind w:left="2" w:right="2"/>
            </w:pPr>
            <w:r>
              <w:rPr>
                <w:spacing w:val="-2"/>
              </w:rPr>
              <w:t>Normal</w:t>
            </w:r>
          </w:p>
        </w:tc>
        <w:tc>
          <w:tcPr>
            <w:tcW w:w="1378" w:type="dxa"/>
          </w:tcPr>
          <w:p w14:paraId="74620665">
            <w:pPr>
              <w:pStyle w:val="16"/>
              <w:spacing w:line="249" w:lineRule="exact"/>
              <w:ind w:left="11" w:right="6"/>
            </w:pPr>
            <w:r>
              <w:rPr>
                <w:spacing w:val="-10"/>
              </w:rPr>
              <w:t>9</w:t>
            </w:r>
          </w:p>
        </w:tc>
        <w:tc>
          <w:tcPr>
            <w:tcW w:w="1431" w:type="dxa"/>
          </w:tcPr>
          <w:p w14:paraId="6F9C40DB">
            <w:pPr>
              <w:pStyle w:val="16"/>
              <w:spacing w:line="249" w:lineRule="exact"/>
              <w:ind w:left="15" w:right="1"/>
            </w:pPr>
            <w:r>
              <w:rPr>
                <w:spacing w:val="-2"/>
              </w:rPr>
              <w:t>6.522</w:t>
            </w:r>
          </w:p>
        </w:tc>
        <w:tc>
          <w:tcPr>
            <w:tcW w:w="903" w:type="dxa"/>
            <w:vMerge w:val="continue"/>
            <w:tcBorders>
              <w:top w:val="nil"/>
            </w:tcBorders>
          </w:tcPr>
          <w:p w14:paraId="58710E9D">
            <w:pPr>
              <w:rPr>
                <w:sz w:val="2"/>
                <w:szCs w:val="2"/>
              </w:rPr>
            </w:pPr>
          </w:p>
        </w:tc>
      </w:tr>
      <w:tr w14:paraId="09C0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continue"/>
            <w:tcBorders>
              <w:top w:val="nil"/>
            </w:tcBorders>
          </w:tcPr>
          <w:p w14:paraId="38AAF671">
            <w:pPr>
              <w:rPr>
                <w:sz w:val="2"/>
                <w:szCs w:val="2"/>
              </w:rPr>
            </w:pPr>
          </w:p>
        </w:tc>
        <w:tc>
          <w:tcPr>
            <w:tcW w:w="1436" w:type="dxa"/>
            <w:vMerge w:val="continue"/>
            <w:tcBorders>
              <w:top w:val="nil"/>
            </w:tcBorders>
          </w:tcPr>
          <w:p w14:paraId="11BD2DC9">
            <w:pPr>
              <w:rPr>
                <w:sz w:val="2"/>
                <w:szCs w:val="2"/>
              </w:rPr>
            </w:pPr>
          </w:p>
        </w:tc>
        <w:tc>
          <w:tcPr>
            <w:tcW w:w="3001" w:type="dxa"/>
          </w:tcPr>
          <w:p w14:paraId="21923E9B">
            <w:pPr>
              <w:pStyle w:val="16"/>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027877D6">
            <w:pPr>
              <w:pStyle w:val="16"/>
              <w:spacing w:line="249" w:lineRule="exact"/>
              <w:ind w:left="11" w:right="1"/>
            </w:pPr>
            <w:r>
              <w:rPr>
                <w:spacing w:val="-5"/>
              </w:rPr>
              <w:t>14</w:t>
            </w:r>
          </w:p>
        </w:tc>
        <w:tc>
          <w:tcPr>
            <w:tcW w:w="1431" w:type="dxa"/>
          </w:tcPr>
          <w:p w14:paraId="6299F0B5">
            <w:pPr>
              <w:pStyle w:val="16"/>
              <w:spacing w:line="249" w:lineRule="exact"/>
              <w:ind w:left="15" w:right="8"/>
            </w:pPr>
            <w:r>
              <w:rPr>
                <w:spacing w:val="-2"/>
              </w:rPr>
              <w:t>10.145</w:t>
            </w:r>
          </w:p>
        </w:tc>
        <w:tc>
          <w:tcPr>
            <w:tcW w:w="903" w:type="dxa"/>
            <w:vMerge w:val="continue"/>
            <w:tcBorders>
              <w:top w:val="nil"/>
            </w:tcBorders>
          </w:tcPr>
          <w:p w14:paraId="46B430CA">
            <w:pPr>
              <w:rPr>
                <w:sz w:val="2"/>
                <w:szCs w:val="2"/>
              </w:rPr>
            </w:pPr>
          </w:p>
        </w:tc>
      </w:tr>
      <w:tr w14:paraId="6CEB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855" w:type="dxa"/>
            <w:vMerge w:val="continue"/>
            <w:tcBorders>
              <w:top w:val="nil"/>
            </w:tcBorders>
          </w:tcPr>
          <w:p w14:paraId="3A409B05">
            <w:pPr>
              <w:rPr>
                <w:sz w:val="2"/>
                <w:szCs w:val="2"/>
              </w:rPr>
            </w:pPr>
          </w:p>
        </w:tc>
        <w:tc>
          <w:tcPr>
            <w:tcW w:w="1436" w:type="dxa"/>
            <w:vMerge w:val="continue"/>
            <w:tcBorders>
              <w:top w:val="nil"/>
            </w:tcBorders>
          </w:tcPr>
          <w:p w14:paraId="5B87DB77">
            <w:pPr>
              <w:rPr>
                <w:sz w:val="2"/>
                <w:szCs w:val="2"/>
              </w:rPr>
            </w:pPr>
          </w:p>
        </w:tc>
        <w:tc>
          <w:tcPr>
            <w:tcW w:w="3001" w:type="dxa"/>
          </w:tcPr>
          <w:p w14:paraId="05FB5D78">
            <w:pPr>
              <w:pStyle w:val="16"/>
              <w:spacing w:line="249" w:lineRule="exact"/>
              <w:ind w:left="2" w:right="2"/>
            </w:pPr>
            <w:r>
              <w:t>Borderline</w:t>
            </w:r>
            <w:r>
              <w:rPr>
                <w:spacing w:val="-7"/>
              </w:rPr>
              <w:t xml:space="preserve"> </w:t>
            </w:r>
            <w:r>
              <w:t>Clinical</w:t>
            </w:r>
            <w:r>
              <w:rPr>
                <w:spacing w:val="-6"/>
              </w:rPr>
              <w:t xml:space="preserve"> </w:t>
            </w:r>
            <w:r>
              <w:rPr>
                <w:spacing w:val="-2"/>
              </w:rPr>
              <w:t>Depression</w:t>
            </w:r>
          </w:p>
        </w:tc>
        <w:tc>
          <w:tcPr>
            <w:tcW w:w="1378" w:type="dxa"/>
          </w:tcPr>
          <w:p w14:paraId="173D7407">
            <w:pPr>
              <w:pStyle w:val="16"/>
              <w:spacing w:line="249" w:lineRule="exact"/>
              <w:ind w:left="11" w:right="5"/>
            </w:pPr>
            <w:r>
              <w:rPr>
                <w:spacing w:val="-10"/>
              </w:rPr>
              <w:t>8</w:t>
            </w:r>
          </w:p>
        </w:tc>
        <w:tc>
          <w:tcPr>
            <w:tcW w:w="1431" w:type="dxa"/>
          </w:tcPr>
          <w:p w14:paraId="2B98E332">
            <w:pPr>
              <w:pStyle w:val="16"/>
              <w:spacing w:line="249" w:lineRule="exact"/>
              <w:ind w:left="15"/>
            </w:pPr>
            <w:r>
              <w:rPr>
                <w:spacing w:val="-2"/>
              </w:rPr>
              <w:t>5.797</w:t>
            </w:r>
          </w:p>
        </w:tc>
        <w:tc>
          <w:tcPr>
            <w:tcW w:w="903" w:type="dxa"/>
            <w:vMerge w:val="continue"/>
            <w:tcBorders>
              <w:top w:val="nil"/>
            </w:tcBorders>
          </w:tcPr>
          <w:p w14:paraId="2350C6EA">
            <w:pPr>
              <w:rPr>
                <w:sz w:val="2"/>
                <w:szCs w:val="2"/>
              </w:rPr>
            </w:pPr>
          </w:p>
        </w:tc>
      </w:tr>
      <w:tr w14:paraId="6A141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55" w:type="dxa"/>
            <w:vMerge w:val="continue"/>
            <w:tcBorders>
              <w:top w:val="nil"/>
            </w:tcBorders>
          </w:tcPr>
          <w:p w14:paraId="2A252578">
            <w:pPr>
              <w:rPr>
                <w:sz w:val="2"/>
                <w:szCs w:val="2"/>
              </w:rPr>
            </w:pPr>
          </w:p>
        </w:tc>
        <w:tc>
          <w:tcPr>
            <w:tcW w:w="1436" w:type="dxa"/>
            <w:vMerge w:val="continue"/>
            <w:tcBorders>
              <w:top w:val="nil"/>
            </w:tcBorders>
          </w:tcPr>
          <w:p w14:paraId="6E1B38CB">
            <w:pPr>
              <w:rPr>
                <w:sz w:val="2"/>
                <w:szCs w:val="2"/>
              </w:rPr>
            </w:pPr>
          </w:p>
        </w:tc>
        <w:tc>
          <w:tcPr>
            <w:tcW w:w="3001" w:type="dxa"/>
          </w:tcPr>
          <w:p w14:paraId="255EB989">
            <w:pPr>
              <w:pStyle w:val="16"/>
              <w:spacing w:line="249" w:lineRule="exact"/>
              <w:ind w:right="2"/>
            </w:pPr>
            <w:r>
              <w:t>Moderate</w:t>
            </w:r>
            <w:r>
              <w:rPr>
                <w:spacing w:val="-8"/>
              </w:rPr>
              <w:t xml:space="preserve"> </w:t>
            </w:r>
            <w:r>
              <w:rPr>
                <w:spacing w:val="-2"/>
              </w:rPr>
              <w:t>Depression</w:t>
            </w:r>
          </w:p>
        </w:tc>
        <w:tc>
          <w:tcPr>
            <w:tcW w:w="1378" w:type="dxa"/>
          </w:tcPr>
          <w:p w14:paraId="3E0084ED">
            <w:pPr>
              <w:pStyle w:val="16"/>
              <w:spacing w:line="249" w:lineRule="exact"/>
              <w:ind w:left="11"/>
            </w:pPr>
            <w:r>
              <w:rPr>
                <w:spacing w:val="-5"/>
              </w:rPr>
              <w:t>11</w:t>
            </w:r>
          </w:p>
        </w:tc>
        <w:tc>
          <w:tcPr>
            <w:tcW w:w="1431" w:type="dxa"/>
          </w:tcPr>
          <w:p w14:paraId="34F84EDE">
            <w:pPr>
              <w:pStyle w:val="16"/>
              <w:spacing w:line="249" w:lineRule="exact"/>
              <w:ind w:left="15"/>
            </w:pPr>
            <w:r>
              <w:rPr>
                <w:spacing w:val="-2"/>
              </w:rPr>
              <w:t>7.971</w:t>
            </w:r>
          </w:p>
        </w:tc>
        <w:tc>
          <w:tcPr>
            <w:tcW w:w="903" w:type="dxa"/>
            <w:vMerge w:val="continue"/>
            <w:tcBorders>
              <w:top w:val="nil"/>
            </w:tcBorders>
          </w:tcPr>
          <w:p w14:paraId="34F65B2A">
            <w:pPr>
              <w:rPr>
                <w:sz w:val="2"/>
                <w:szCs w:val="2"/>
              </w:rPr>
            </w:pPr>
          </w:p>
        </w:tc>
      </w:tr>
      <w:tr w14:paraId="2A6D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continue"/>
            <w:tcBorders>
              <w:top w:val="nil"/>
            </w:tcBorders>
          </w:tcPr>
          <w:p w14:paraId="20A17CFA">
            <w:pPr>
              <w:rPr>
                <w:sz w:val="2"/>
                <w:szCs w:val="2"/>
              </w:rPr>
            </w:pPr>
          </w:p>
        </w:tc>
        <w:tc>
          <w:tcPr>
            <w:tcW w:w="1436" w:type="dxa"/>
            <w:vMerge w:val="continue"/>
            <w:tcBorders>
              <w:top w:val="nil"/>
            </w:tcBorders>
          </w:tcPr>
          <w:p w14:paraId="6E444581">
            <w:pPr>
              <w:rPr>
                <w:sz w:val="2"/>
                <w:szCs w:val="2"/>
              </w:rPr>
            </w:pPr>
          </w:p>
        </w:tc>
        <w:tc>
          <w:tcPr>
            <w:tcW w:w="3001" w:type="dxa"/>
          </w:tcPr>
          <w:p w14:paraId="4C2B5907">
            <w:pPr>
              <w:pStyle w:val="16"/>
              <w:spacing w:line="249" w:lineRule="exact"/>
              <w:ind w:left="2" w:right="2"/>
            </w:pPr>
            <w:r>
              <w:t>Severe</w:t>
            </w:r>
            <w:r>
              <w:rPr>
                <w:spacing w:val="-8"/>
              </w:rPr>
              <w:t xml:space="preserve"> </w:t>
            </w:r>
            <w:r>
              <w:rPr>
                <w:spacing w:val="-2"/>
              </w:rPr>
              <w:t>Depression</w:t>
            </w:r>
          </w:p>
        </w:tc>
        <w:tc>
          <w:tcPr>
            <w:tcW w:w="1378" w:type="dxa"/>
          </w:tcPr>
          <w:p w14:paraId="3603426D">
            <w:pPr>
              <w:pStyle w:val="16"/>
              <w:spacing w:line="249" w:lineRule="exact"/>
              <w:ind w:left="11" w:right="5"/>
            </w:pPr>
            <w:r>
              <w:rPr>
                <w:spacing w:val="-10"/>
              </w:rPr>
              <w:t>2</w:t>
            </w:r>
          </w:p>
        </w:tc>
        <w:tc>
          <w:tcPr>
            <w:tcW w:w="1431" w:type="dxa"/>
          </w:tcPr>
          <w:p w14:paraId="3618241E">
            <w:pPr>
              <w:pStyle w:val="16"/>
              <w:spacing w:line="249" w:lineRule="exact"/>
              <w:ind w:left="15"/>
            </w:pPr>
            <w:r>
              <w:rPr>
                <w:spacing w:val="-2"/>
              </w:rPr>
              <w:t>1.449</w:t>
            </w:r>
          </w:p>
        </w:tc>
        <w:tc>
          <w:tcPr>
            <w:tcW w:w="903" w:type="dxa"/>
            <w:vMerge w:val="continue"/>
            <w:tcBorders>
              <w:top w:val="nil"/>
            </w:tcBorders>
          </w:tcPr>
          <w:p w14:paraId="572E688A">
            <w:pPr>
              <w:rPr>
                <w:sz w:val="2"/>
                <w:szCs w:val="2"/>
              </w:rPr>
            </w:pPr>
          </w:p>
        </w:tc>
      </w:tr>
      <w:tr w14:paraId="4A5F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55" w:type="dxa"/>
            <w:vMerge w:val="restart"/>
          </w:tcPr>
          <w:p w14:paraId="422B4C64">
            <w:pPr>
              <w:pStyle w:val="16"/>
              <w:spacing w:line="249" w:lineRule="exact"/>
              <w:ind w:left="11"/>
            </w:pPr>
            <w:r>
              <w:rPr>
                <w:spacing w:val="-5"/>
              </w:rPr>
              <w:t>3.</w:t>
            </w:r>
          </w:p>
        </w:tc>
        <w:tc>
          <w:tcPr>
            <w:tcW w:w="1436" w:type="dxa"/>
            <w:vMerge w:val="restart"/>
          </w:tcPr>
          <w:p w14:paraId="121E77F1">
            <w:pPr>
              <w:pStyle w:val="16"/>
              <w:spacing w:line="249" w:lineRule="exact"/>
              <w:ind w:left="460"/>
              <w:jc w:val="left"/>
            </w:pPr>
            <w:r>
              <w:t>26-</w:t>
            </w:r>
            <w:r>
              <w:rPr>
                <w:spacing w:val="-5"/>
              </w:rPr>
              <w:t>29</w:t>
            </w:r>
          </w:p>
        </w:tc>
        <w:tc>
          <w:tcPr>
            <w:tcW w:w="3001" w:type="dxa"/>
          </w:tcPr>
          <w:p w14:paraId="35EC0356">
            <w:pPr>
              <w:pStyle w:val="16"/>
              <w:spacing w:line="249" w:lineRule="exact"/>
              <w:ind w:left="2" w:right="2"/>
            </w:pPr>
            <w:r>
              <w:rPr>
                <w:spacing w:val="-2"/>
              </w:rPr>
              <w:t>Normal</w:t>
            </w:r>
          </w:p>
        </w:tc>
        <w:tc>
          <w:tcPr>
            <w:tcW w:w="1378" w:type="dxa"/>
          </w:tcPr>
          <w:p w14:paraId="3A48C938">
            <w:pPr>
              <w:pStyle w:val="16"/>
              <w:spacing w:line="249" w:lineRule="exact"/>
              <w:ind w:left="11" w:right="6"/>
            </w:pPr>
            <w:r>
              <w:rPr>
                <w:spacing w:val="-10"/>
              </w:rPr>
              <w:t>5</w:t>
            </w:r>
          </w:p>
        </w:tc>
        <w:tc>
          <w:tcPr>
            <w:tcW w:w="1431" w:type="dxa"/>
          </w:tcPr>
          <w:p w14:paraId="155C2E0E">
            <w:pPr>
              <w:pStyle w:val="16"/>
              <w:spacing w:line="249" w:lineRule="exact"/>
              <w:ind w:left="15" w:right="1"/>
            </w:pPr>
            <w:r>
              <w:rPr>
                <w:spacing w:val="-2"/>
              </w:rPr>
              <w:t>3.623</w:t>
            </w:r>
          </w:p>
        </w:tc>
        <w:tc>
          <w:tcPr>
            <w:tcW w:w="903" w:type="dxa"/>
            <w:vMerge w:val="continue"/>
            <w:tcBorders>
              <w:top w:val="nil"/>
            </w:tcBorders>
          </w:tcPr>
          <w:p w14:paraId="0C5F9838">
            <w:pPr>
              <w:rPr>
                <w:sz w:val="2"/>
                <w:szCs w:val="2"/>
              </w:rPr>
            </w:pPr>
          </w:p>
        </w:tc>
      </w:tr>
      <w:tr w14:paraId="213A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continue"/>
            <w:tcBorders>
              <w:top w:val="nil"/>
            </w:tcBorders>
          </w:tcPr>
          <w:p w14:paraId="4723EA56">
            <w:pPr>
              <w:rPr>
                <w:sz w:val="2"/>
                <w:szCs w:val="2"/>
              </w:rPr>
            </w:pPr>
          </w:p>
        </w:tc>
        <w:tc>
          <w:tcPr>
            <w:tcW w:w="1436" w:type="dxa"/>
            <w:vMerge w:val="continue"/>
            <w:tcBorders>
              <w:top w:val="nil"/>
            </w:tcBorders>
          </w:tcPr>
          <w:p w14:paraId="47E1D303">
            <w:pPr>
              <w:rPr>
                <w:sz w:val="2"/>
                <w:szCs w:val="2"/>
              </w:rPr>
            </w:pPr>
          </w:p>
        </w:tc>
        <w:tc>
          <w:tcPr>
            <w:tcW w:w="3001" w:type="dxa"/>
          </w:tcPr>
          <w:p w14:paraId="3D68F7E7">
            <w:pPr>
              <w:pStyle w:val="16"/>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7EFB1C46">
            <w:pPr>
              <w:pStyle w:val="16"/>
              <w:spacing w:line="249" w:lineRule="exact"/>
              <w:ind w:left="11" w:right="1"/>
            </w:pPr>
            <w:r>
              <w:rPr>
                <w:spacing w:val="-5"/>
              </w:rPr>
              <w:t>16</w:t>
            </w:r>
          </w:p>
        </w:tc>
        <w:tc>
          <w:tcPr>
            <w:tcW w:w="1431" w:type="dxa"/>
          </w:tcPr>
          <w:p w14:paraId="0278B4F3">
            <w:pPr>
              <w:pStyle w:val="16"/>
              <w:spacing w:line="249" w:lineRule="exact"/>
              <w:ind w:left="15" w:right="8"/>
            </w:pPr>
            <w:r>
              <w:rPr>
                <w:spacing w:val="-2"/>
              </w:rPr>
              <w:t>11.594</w:t>
            </w:r>
          </w:p>
        </w:tc>
        <w:tc>
          <w:tcPr>
            <w:tcW w:w="903" w:type="dxa"/>
            <w:vMerge w:val="continue"/>
            <w:tcBorders>
              <w:top w:val="nil"/>
            </w:tcBorders>
          </w:tcPr>
          <w:p w14:paraId="6BC28A25">
            <w:pPr>
              <w:rPr>
                <w:sz w:val="2"/>
                <w:szCs w:val="2"/>
              </w:rPr>
            </w:pPr>
          </w:p>
        </w:tc>
      </w:tr>
      <w:tr w14:paraId="098DE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855" w:type="dxa"/>
            <w:vMerge w:val="continue"/>
            <w:tcBorders>
              <w:top w:val="nil"/>
            </w:tcBorders>
          </w:tcPr>
          <w:p w14:paraId="5E25553D">
            <w:pPr>
              <w:rPr>
                <w:sz w:val="2"/>
                <w:szCs w:val="2"/>
              </w:rPr>
            </w:pPr>
          </w:p>
        </w:tc>
        <w:tc>
          <w:tcPr>
            <w:tcW w:w="1436" w:type="dxa"/>
            <w:vMerge w:val="continue"/>
            <w:tcBorders>
              <w:top w:val="nil"/>
            </w:tcBorders>
          </w:tcPr>
          <w:p w14:paraId="5943FB3F">
            <w:pPr>
              <w:rPr>
                <w:sz w:val="2"/>
                <w:szCs w:val="2"/>
              </w:rPr>
            </w:pPr>
          </w:p>
        </w:tc>
        <w:tc>
          <w:tcPr>
            <w:tcW w:w="3001" w:type="dxa"/>
          </w:tcPr>
          <w:p w14:paraId="200A83EB">
            <w:pPr>
              <w:pStyle w:val="16"/>
              <w:spacing w:line="249" w:lineRule="exact"/>
              <w:ind w:left="2" w:right="2"/>
            </w:pPr>
            <w:r>
              <w:t>Borderline</w:t>
            </w:r>
            <w:r>
              <w:rPr>
                <w:spacing w:val="-7"/>
              </w:rPr>
              <w:t xml:space="preserve"> </w:t>
            </w:r>
            <w:r>
              <w:t>Clinical</w:t>
            </w:r>
            <w:r>
              <w:rPr>
                <w:spacing w:val="-6"/>
              </w:rPr>
              <w:t xml:space="preserve"> </w:t>
            </w:r>
            <w:r>
              <w:rPr>
                <w:spacing w:val="-2"/>
              </w:rPr>
              <w:t>Depression</w:t>
            </w:r>
          </w:p>
        </w:tc>
        <w:tc>
          <w:tcPr>
            <w:tcW w:w="1378" w:type="dxa"/>
          </w:tcPr>
          <w:p w14:paraId="4E7394A7">
            <w:pPr>
              <w:pStyle w:val="16"/>
              <w:spacing w:line="249" w:lineRule="exact"/>
              <w:ind w:left="11"/>
            </w:pPr>
            <w:r>
              <w:rPr>
                <w:spacing w:val="-5"/>
              </w:rPr>
              <w:t>10</w:t>
            </w:r>
          </w:p>
        </w:tc>
        <w:tc>
          <w:tcPr>
            <w:tcW w:w="1431" w:type="dxa"/>
          </w:tcPr>
          <w:p w14:paraId="431AB30B">
            <w:pPr>
              <w:pStyle w:val="16"/>
              <w:spacing w:line="249" w:lineRule="exact"/>
              <w:ind w:left="15"/>
            </w:pPr>
            <w:r>
              <w:rPr>
                <w:spacing w:val="-2"/>
              </w:rPr>
              <w:t>7.246</w:t>
            </w:r>
          </w:p>
        </w:tc>
        <w:tc>
          <w:tcPr>
            <w:tcW w:w="903" w:type="dxa"/>
            <w:vMerge w:val="continue"/>
            <w:tcBorders>
              <w:top w:val="nil"/>
            </w:tcBorders>
          </w:tcPr>
          <w:p w14:paraId="725387CE">
            <w:pPr>
              <w:rPr>
                <w:sz w:val="2"/>
                <w:szCs w:val="2"/>
              </w:rPr>
            </w:pPr>
          </w:p>
        </w:tc>
      </w:tr>
      <w:tr w14:paraId="50898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55" w:type="dxa"/>
            <w:vMerge w:val="continue"/>
            <w:tcBorders>
              <w:top w:val="nil"/>
            </w:tcBorders>
          </w:tcPr>
          <w:p w14:paraId="2532C98E">
            <w:pPr>
              <w:rPr>
                <w:sz w:val="2"/>
                <w:szCs w:val="2"/>
              </w:rPr>
            </w:pPr>
          </w:p>
        </w:tc>
        <w:tc>
          <w:tcPr>
            <w:tcW w:w="1436" w:type="dxa"/>
            <w:vMerge w:val="continue"/>
            <w:tcBorders>
              <w:top w:val="nil"/>
            </w:tcBorders>
          </w:tcPr>
          <w:p w14:paraId="286B004A">
            <w:pPr>
              <w:rPr>
                <w:sz w:val="2"/>
                <w:szCs w:val="2"/>
              </w:rPr>
            </w:pPr>
          </w:p>
        </w:tc>
        <w:tc>
          <w:tcPr>
            <w:tcW w:w="3001" w:type="dxa"/>
          </w:tcPr>
          <w:p w14:paraId="2BF6D719">
            <w:pPr>
              <w:pStyle w:val="16"/>
              <w:spacing w:line="249" w:lineRule="exact"/>
              <w:ind w:right="2"/>
            </w:pPr>
            <w:r>
              <w:t>Moderate</w:t>
            </w:r>
            <w:r>
              <w:rPr>
                <w:spacing w:val="-8"/>
              </w:rPr>
              <w:t xml:space="preserve"> </w:t>
            </w:r>
            <w:r>
              <w:rPr>
                <w:spacing w:val="-2"/>
              </w:rPr>
              <w:t>Depression</w:t>
            </w:r>
          </w:p>
        </w:tc>
        <w:tc>
          <w:tcPr>
            <w:tcW w:w="1378" w:type="dxa"/>
          </w:tcPr>
          <w:p w14:paraId="37A6A71C">
            <w:pPr>
              <w:pStyle w:val="16"/>
              <w:spacing w:line="249" w:lineRule="exact"/>
              <w:ind w:left="11" w:right="5"/>
            </w:pPr>
            <w:r>
              <w:rPr>
                <w:spacing w:val="-10"/>
              </w:rPr>
              <w:t>9</w:t>
            </w:r>
          </w:p>
        </w:tc>
        <w:tc>
          <w:tcPr>
            <w:tcW w:w="1431" w:type="dxa"/>
          </w:tcPr>
          <w:p w14:paraId="0F65AC86">
            <w:pPr>
              <w:pStyle w:val="16"/>
              <w:spacing w:line="249" w:lineRule="exact"/>
              <w:ind w:left="15"/>
            </w:pPr>
            <w:r>
              <w:rPr>
                <w:spacing w:val="-2"/>
              </w:rPr>
              <w:t>6.522</w:t>
            </w:r>
          </w:p>
        </w:tc>
        <w:tc>
          <w:tcPr>
            <w:tcW w:w="903" w:type="dxa"/>
            <w:vMerge w:val="continue"/>
            <w:tcBorders>
              <w:top w:val="nil"/>
            </w:tcBorders>
          </w:tcPr>
          <w:p w14:paraId="4A9851DE">
            <w:pPr>
              <w:rPr>
                <w:sz w:val="2"/>
                <w:szCs w:val="2"/>
              </w:rPr>
            </w:pPr>
          </w:p>
        </w:tc>
      </w:tr>
      <w:tr w14:paraId="459FA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continue"/>
            <w:tcBorders>
              <w:top w:val="nil"/>
            </w:tcBorders>
          </w:tcPr>
          <w:p w14:paraId="47E14A45">
            <w:pPr>
              <w:rPr>
                <w:sz w:val="2"/>
                <w:szCs w:val="2"/>
              </w:rPr>
            </w:pPr>
          </w:p>
        </w:tc>
        <w:tc>
          <w:tcPr>
            <w:tcW w:w="1436" w:type="dxa"/>
            <w:vMerge w:val="continue"/>
            <w:tcBorders>
              <w:top w:val="nil"/>
            </w:tcBorders>
          </w:tcPr>
          <w:p w14:paraId="28EB257D">
            <w:pPr>
              <w:rPr>
                <w:sz w:val="2"/>
                <w:szCs w:val="2"/>
              </w:rPr>
            </w:pPr>
          </w:p>
        </w:tc>
        <w:tc>
          <w:tcPr>
            <w:tcW w:w="3001" w:type="dxa"/>
          </w:tcPr>
          <w:p w14:paraId="6009FFE1">
            <w:pPr>
              <w:pStyle w:val="16"/>
              <w:spacing w:line="249" w:lineRule="exact"/>
              <w:ind w:left="2" w:right="2"/>
            </w:pPr>
            <w:r>
              <w:t>Severe</w:t>
            </w:r>
            <w:r>
              <w:rPr>
                <w:spacing w:val="-8"/>
              </w:rPr>
              <w:t xml:space="preserve"> </w:t>
            </w:r>
            <w:r>
              <w:rPr>
                <w:spacing w:val="-2"/>
              </w:rPr>
              <w:t>Depression</w:t>
            </w:r>
          </w:p>
        </w:tc>
        <w:tc>
          <w:tcPr>
            <w:tcW w:w="1378" w:type="dxa"/>
          </w:tcPr>
          <w:p w14:paraId="7AAA41E9">
            <w:pPr>
              <w:pStyle w:val="16"/>
              <w:spacing w:line="249" w:lineRule="exact"/>
              <w:ind w:left="11" w:right="5"/>
            </w:pPr>
            <w:r>
              <w:rPr>
                <w:spacing w:val="-10"/>
              </w:rPr>
              <w:t>7</w:t>
            </w:r>
          </w:p>
        </w:tc>
        <w:tc>
          <w:tcPr>
            <w:tcW w:w="1431" w:type="dxa"/>
          </w:tcPr>
          <w:p w14:paraId="70AF8C6A">
            <w:pPr>
              <w:pStyle w:val="16"/>
              <w:spacing w:line="249" w:lineRule="exact"/>
              <w:ind w:left="15"/>
            </w:pPr>
            <w:r>
              <w:rPr>
                <w:spacing w:val="-2"/>
              </w:rPr>
              <w:t>5.072</w:t>
            </w:r>
          </w:p>
        </w:tc>
        <w:tc>
          <w:tcPr>
            <w:tcW w:w="903" w:type="dxa"/>
            <w:vMerge w:val="continue"/>
            <w:tcBorders>
              <w:top w:val="nil"/>
            </w:tcBorders>
          </w:tcPr>
          <w:p w14:paraId="19AAB99E">
            <w:pPr>
              <w:rPr>
                <w:sz w:val="2"/>
                <w:szCs w:val="2"/>
              </w:rPr>
            </w:pPr>
          </w:p>
        </w:tc>
      </w:tr>
      <w:tr w14:paraId="3514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55" w:type="dxa"/>
            <w:vMerge w:val="restart"/>
          </w:tcPr>
          <w:p w14:paraId="18C96715">
            <w:pPr>
              <w:pStyle w:val="16"/>
              <w:spacing w:line="249" w:lineRule="exact"/>
              <w:ind w:left="11"/>
            </w:pPr>
            <w:r>
              <w:rPr>
                <w:spacing w:val="-5"/>
              </w:rPr>
              <w:t>4.</w:t>
            </w:r>
          </w:p>
        </w:tc>
        <w:tc>
          <w:tcPr>
            <w:tcW w:w="1436" w:type="dxa"/>
            <w:vMerge w:val="restart"/>
          </w:tcPr>
          <w:p w14:paraId="01844143">
            <w:pPr>
              <w:pStyle w:val="16"/>
              <w:spacing w:line="249" w:lineRule="exact"/>
            </w:pPr>
            <w:r>
              <w:t>30-</w:t>
            </w:r>
            <w:r>
              <w:rPr>
                <w:spacing w:val="-5"/>
              </w:rPr>
              <w:t>35</w:t>
            </w:r>
          </w:p>
        </w:tc>
        <w:tc>
          <w:tcPr>
            <w:tcW w:w="3001" w:type="dxa"/>
          </w:tcPr>
          <w:p w14:paraId="49C85665">
            <w:pPr>
              <w:pStyle w:val="16"/>
              <w:spacing w:line="249" w:lineRule="exact"/>
              <w:ind w:left="2" w:right="2"/>
            </w:pPr>
            <w:r>
              <w:rPr>
                <w:spacing w:val="-2"/>
              </w:rPr>
              <w:t>Normal</w:t>
            </w:r>
          </w:p>
        </w:tc>
        <w:tc>
          <w:tcPr>
            <w:tcW w:w="1378" w:type="dxa"/>
          </w:tcPr>
          <w:p w14:paraId="25A73D3B">
            <w:pPr>
              <w:pStyle w:val="16"/>
              <w:spacing w:line="249" w:lineRule="exact"/>
              <w:ind w:left="11" w:right="6"/>
            </w:pPr>
            <w:r>
              <w:rPr>
                <w:spacing w:val="-10"/>
              </w:rPr>
              <w:t>2</w:t>
            </w:r>
          </w:p>
        </w:tc>
        <w:tc>
          <w:tcPr>
            <w:tcW w:w="1431" w:type="dxa"/>
          </w:tcPr>
          <w:p w14:paraId="1BE4CBE4">
            <w:pPr>
              <w:pStyle w:val="16"/>
              <w:spacing w:line="249" w:lineRule="exact"/>
              <w:ind w:left="15" w:right="1"/>
            </w:pPr>
            <w:r>
              <w:rPr>
                <w:spacing w:val="-2"/>
              </w:rPr>
              <w:t>1.449</w:t>
            </w:r>
          </w:p>
        </w:tc>
        <w:tc>
          <w:tcPr>
            <w:tcW w:w="903" w:type="dxa"/>
            <w:vMerge w:val="continue"/>
            <w:tcBorders>
              <w:top w:val="nil"/>
            </w:tcBorders>
          </w:tcPr>
          <w:p w14:paraId="336E99EF">
            <w:pPr>
              <w:rPr>
                <w:sz w:val="2"/>
                <w:szCs w:val="2"/>
              </w:rPr>
            </w:pPr>
          </w:p>
        </w:tc>
      </w:tr>
      <w:tr w14:paraId="7BB7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continue"/>
            <w:tcBorders>
              <w:top w:val="nil"/>
              <w:bottom w:val="nil"/>
            </w:tcBorders>
          </w:tcPr>
          <w:p w14:paraId="62A20809">
            <w:pPr>
              <w:rPr>
                <w:sz w:val="2"/>
                <w:szCs w:val="2"/>
              </w:rPr>
            </w:pPr>
          </w:p>
        </w:tc>
        <w:tc>
          <w:tcPr>
            <w:tcW w:w="1436" w:type="dxa"/>
            <w:vMerge w:val="continue"/>
            <w:tcBorders>
              <w:top w:val="nil"/>
              <w:bottom w:val="nil"/>
            </w:tcBorders>
          </w:tcPr>
          <w:p w14:paraId="7D1B24FF">
            <w:pPr>
              <w:rPr>
                <w:sz w:val="2"/>
                <w:szCs w:val="2"/>
              </w:rPr>
            </w:pPr>
          </w:p>
        </w:tc>
        <w:tc>
          <w:tcPr>
            <w:tcW w:w="3001" w:type="dxa"/>
          </w:tcPr>
          <w:p w14:paraId="156741C7">
            <w:pPr>
              <w:pStyle w:val="16"/>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35531B94">
            <w:pPr>
              <w:pStyle w:val="16"/>
              <w:spacing w:line="249" w:lineRule="exact"/>
              <w:ind w:left="11" w:right="5"/>
            </w:pPr>
            <w:r>
              <w:rPr>
                <w:spacing w:val="-10"/>
              </w:rPr>
              <w:t>9</w:t>
            </w:r>
          </w:p>
        </w:tc>
        <w:tc>
          <w:tcPr>
            <w:tcW w:w="1431" w:type="dxa"/>
          </w:tcPr>
          <w:p w14:paraId="5055BDA7">
            <w:pPr>
              <w:pStyle w:val="16"/>
              <w:spacing w:line="249" w:lineRule="exact"/>
              <w:ind w:left="15" w:right="1"/>
            </w:pPr>
            <w:r>
              <w:rPr>
                <w:spacing w:val="-2"/>
              </w:rPr>
              <w:t>6.522</w:t>
            </w:r>
          </w:p>
        </w:tc>
        <w:tc>
          <w:tcPr>
            <w:tcW w:w="903" w:type="dxa"/>
            <w:vMerge w:val="continue"/>
            <w:tcBorders>
              <w:top w:val="nil"/>
              <w:bottom w:val="nil"/>
            </w:tcBorders>
          </w:tcPr>
          <w:p w14:paraId="0459950D">
            <w:pPr>
              <w:rPr>
                <w:sz w:val="2"/>
                <w:szCs w:val="2"/>
              </w:rPr>
            </w:pPr>
          </w:p>
        </w:tc>
      </w:tr>
      <w:tr w14:paraId="32DA6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restart"/>
            <w:tcBorders>
              <w:top w:val="nil"/>
            </w:tcBorders>
          </w:tcPr>
          <w:p w14:paraId="5300311B">
            <w:pPr>
              <w:rPr>
                <w:sz w:val="2"/>
                <w:szCs w:val="2"/>
              </w:rPr>
            </w:pPr>
          </w:p>
        </w:tc>
        <w:tc>
          <w:tcPr>
            <w:tcW w:w="1436" w:type="dxa"/>
            <w:vMerge w:val="restart"/>
            <w:tcBorders>
              <w:top w:val="nil"/>
            </w:tcBorders>
          </w:tcPr>
          <w:p w14:paraId="4968BA71">
            <w:pPr>
              <w:rPr>
                <w:sz w:val="2"/>
                <w:szCs w:val="2"/>
              </w:rPr>
            </w:pPr>
          </w:p>
        </w:tc>
        <w:tc>
          <w:tcPr>
            <w:tcW w:w="3001" w:type="dxa"/>
          </w:tcPr>
          <w:p w14:paraId="51C54E87">
            <w:pPr>
              <w:pStyle w:val="16"/>
              <w:spacing w:line="249" w:lineRule="exact"/>
              <w:ind w:left="2" w:right="2"/>
              <w:rPr>
                <w:lang w:val="en-IN"/>
              </w:rPr>
            </w:pPr>
            <w:r>
              <w:rPr>
                <w:lang w:val="en-IN"/>
              </w:rPr>
              <w:t>Border Clinical Depression</w:t>
            </w:r>
          </w:p>
        </w:tc>
        <w:tc>
          <w:tcPr>
            <w:tcW w:w="1378" w:type="dxa"/>
          </w:tcPr>
          <w:p w14:paraId="196263D7">
            <w:pPr>
              <w:pStyle w:val="16"/>
              <w:spacing w:line="249" w:lineRule="exact"/>
              <w:ind w:left="11" w:right="5"/>
              <w:rPr>
                <w:spacing w:val="-10"/>
                <w:lang w:val="en-IN"/>
              </w:rPr>
            </w:pPr>
            <w:r>
              <w:rPr>
                <w:spacing w:val="-10"/>
                <w:lang w:val="en-IN"/>
              </w:rPr>
              <w:t>1</w:t>
            </w:r>
          </w:p>
        </w:tc>
        <w:tc>
          <w:tcPr>
            <w:tcW w:w="1431" w:type="dxa"/>
          </w:tcPr>
          <w:p w14:paraId="6E9CFDED">
            <w:pPr>
              <w:pStyle w:val="16"/>
              <w:spacing w:line="249" w:lineRule="exact"/>
              <w:ind w:left="15" w:right="1"/>
              <w:rPr>
                <w:spacing w:val="-2"/>
                <w:lang w:val="en-IN"/>
              </w:rPr>
            </w:pPr>
            <w:r>
              <w:rPr>
                <w:spacing w:val="-2"/>
                <w:lang w:val="en-IN"/>
              </w:rPr>
              <w:t>0.725</w:t>
            </w:r>
          </w:p>
        </w:tc>
        <w:tc>
          <w:tcPr>
            <w:tcW w:w="903" w:type="dxa"/>
            <w:vMerge w:val="restart"/>
            <w:tcBorders>
              <w:top w:val="nil"/>
            </w:tcBorders>
          </w:tcPr>
          <w:p w14:paraId="17C67099">
            <w:pPr>
              <w:rPr>
                <w:sz w:val="2"/>
                <w:szCs w:val="2"/>
              </w:rPr>
            </w:pPr>
          </w:p>
        </w:tc>
      </w:tr>
      <w:tr w14:paraId="74CD1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continue"/>
          </w:tcPr>
          <w:p w14:paraId="00E24A65">
            <w:pPr>
              <w:rPr>
                <w:sz w:val="2"/>
                <w:szCs w:val="2"/>
              </w:rPr>
            </w:pPr>
          </w:p>
        </w:tc>
        <w:tc>
          <w:tcPr>
            <w:tcW w:w="1436" w:type="dxa"/>
            <w:vMerge w:val="continue"/>
          </w:tcPr>
          <w:p w14:paraId="044CB8EC">
            <w:pPr>
              <w:rPr>
                <w:sz w:val="2"/>
                <w:szCs w:val="2"/>
              </w:rPr>
            </w:pPr>
          </w:p>
        </w:tc>
        <w:tc>
          <w:tcPr>
            <w:tcW w:w="3001" w:type="dxa"/>
          </w:tcPr>
          <w:p w14:paraId="0E5EDA01">
            <w:pPr>
              <w:pStyle w:val="16"/>
              <w:spacing w:line="249" w:lineRule="exact"/>
              <w:ind w:left="2" w:right="2"/>
              <w:rPr>
                <w:lang w:val="en-IN"/>
              </w:rPr>
            </w:pPr>
            <w:r>
              <w:rPr>
                <w:lang w:val="en-IN"/>
              </w:rPr>
              <w:t>Moderate Depression</w:t>
            </w:r>
          </w:p>
        </w:tc>
        <w:tc>
          <w:tcPr>
            <w:tcW w:w="1378" w:type="dxa"/>
          </w:tcPr>
          <w:p w14:paraId="67DE1409">
            <w:pPr>
              <w:pStyle w:val="16"/>
              <w:spacing w:line="249" w:lineRule="exact"/>
              <w:ind w:left="11" w:right="5"/>
              <w:rPr>
                <w:spacing w:val="-10"/>
                <w:lang w:val="en-IN"/>
              </w:rPr>
            </w:pPr>
            <w:r>
              <w:rPr>
                <w:spacing w:val="-10"/>
                <w:lang w:val="en-IN"/>
              </w:rPr>
              <w:t>5</w:t>
            </w:r>
          </w:p>
        </w:tc>
        <w:tc>
          <w:tcPr>
            <w:tcW w:w="1431" w:type="dxa"/>
          </w:tcPr>
          <w:p w14:paraId="4DB39CA1">
            <w:pPr>
              <w:pStyle w:val="16"/>
              <w:spacing w:line="249" w:lineRule="exact"/>
              <w:ind w:left="15" w:right="1"/>
              <w:rPr>
                <w:spacing w:val="-2"/>
                <w:lang w:val="en-IN"/>
              </w:rPr>
            </w:pPr>
            <w:r>
              <w:rPr>
                <w:spacing w:val="-2"/>
                <w:lang w:val="en-IN"/>
              </w:rPr>
              <w:t>0.623</w:t>
            </w:r>
          </w:p>
        </w:tc>
        <w:tc>
          <w:tcPr>
            <w:tcW w:w="903" w:type="dxa"/>
            <w:vMerge w:val="continue"/>
          </w:tcPr>
          <w:p w14:paraId="7E8CA619">
            <w:pPr>
              <w:rPr>
                <w:sz w:val="2"/>
                <w:szCs w:val="2"/>
              </w:rPr>
            </w:pPr>
          </w:p>
        </w:tc>
      </w:tr>
      <w:tr w14:paraId="310F6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5" w:type="dxa"/>
            <w:vMerge w:val="continue"/>
          </w:tcPr>
          <w:p w14:paraId="7AE7EB3A">
            <w:pPr>
              <w:rPr>
                <w:sz w:val="2"/>
                <w:szCs w:val="2"/>
              </w:rPr>
            </w:pPr>
          </w:p>
        </w:tc>
        <w:tc>
          <w:tcPr>
            <w:tcW w:w="1436" w:type="dxa"/>
            <w:vMerge w:val="continue"/>
          </w:tcPr>
          <w:p w14:paraId="2E380A94">
            <w:pPr>
              <w:rPr>
                <w:sz w:val="2"/>
                <w:szCs w:val="2"/>
              </w:rPr>
            </w:pPr>
          </w:p>
        </w:tc>
        <w:tc>
          <w:tcPr>
            <w:tcW w:w="3001" w:type="dxa"/>
          </w:tcPr>
          <w:p w14:paraId="36FAA902">
            <w:pPr>
              <w:pStyle w:val="16"/>
              <w:spacing w:line="249" w:lineRule="exact"/>
              <w:ind w:left="2" w:right="2"/>
              <w:rPr>
                <w:lang w:val="en-IN"/>
              </w:rPr>
            </w:pPr>
            <w:r>
              <w:rPr>
                <w:lang w:val="en-IN"/>
              </w:rPr>
              <w:t>Severe Depression</w:t>
            </w:r>
          </w:p>
        </w:tc>
        <w:tc>
          <w:tcPr>
            <w:tcW w:w="1378" w:type="dxa"/>
          </w:tcPr>
          <w:p w14:paraId="49327204">
            <w:pPr>
              <w:pStyle w:val="16"/>
              <w:spacing w:line="249" w:lineRule="exact"/>
              <w:ind w:left="11" w:right="5"/>
              <w:rPr>
                <w:spacing w:val="-10"/>
                <w:lang w:val="en-IN"/>
              </w:rPr>
            </w:pPr>
            <w:r>
              <w:rPr>
                <w:spacing w:val="-10"/>
                <w:lang w:val="en-IN"/>
              </w:rPr>
              <w:t>3</w:t>
            </w:r>
          </w:p>
        </w:tc>
        <w:tc>
          <w:tcPr>
            <w:tcW w:w="1431" w:type="dxa"/>
          </w:tcPr>
          <w:p w14:paraId="2F4CD773">
            <w:pPr>
              <w:pStyle w:val="16"/>
              <w:spacing w:line="249" w:lineRule="exact"/>
              <w:ind w:left="15" w:right="1"/>
              <w:rPr>
                <w:spacing w:val="-2"/>
                <w:lang w:val="en-IN"/>
              </w:rPr>
            </w:pPr>
            <w:r>
              <w:rPr>
                <w:spacing w:val="-2"/>
                <w:lang w:val="en-IN"/>
              </w:rPr>
              <w:t>2.174</w:t>
            </w:r>
          </w:p>
        </w:tc>
        <w:tc>
          <w:tcPr>
            <w:tcW w:w="903" w:type="dxa"/>
            <w:vMerge w:val="continue"/>
          </w:tcPr>
          <w:p w14:paraId="31F22202">
            <w:pPr>
              <w:rPr>
                <w:sz w:val="2"/>
                <w:szCs w:val="2"/>
              </w:rPr>
            </w:pPr>
          </w:p>
        </w:tc>
      </w:tr>
    </w:tbl>
    <w:p w14:paraId="3720B640">
      <w:pPr>
        <w:pStyle w:val="11"/>
        <w:jc w:val="both"/>
        <w:rPr>
          <w:rStyle w:val="12"/>
        </w:rPr>
      </w:pPr>
      <w:r>
        <w:pict>
          <v:shape id="_x0000_s1068" o:spid="_x0000_s1068" o:spt="202" type="#_x0000_t202" style="position:absolute;left:0pt;margin-left:88.25pt;margin-top:16.9pt;height:26.8pt;width:319.55pt;z-index:251660288;mso-width-relative:page;mso-height-relative:page;" stroked="t" coordsize="21600,21600">
            <v:path/>
            <v:fill focussize="0,0"/>
            <v:stroke color="#FFFFFF" joinstyle="miter"/>
            <v:imagedata o:title=""/>
            <o:lock v:ext="edit"/>
            <v:textbox>
              <w:txbxContent>
                <w:p w14:paraId="10B7460B">
                  <w:pPr>
                    <w:rPr>
                      <w:rFonts w:ascii="Times New Roman" w:hAnsi="Times New Roman" w:cs="Times New Roman"/>
                      <w:b/>
                    </w:rPr>
                  </w:pPr>
                  <w:r>
                    <w:rPr>
                      <w:rFonts w:ascii="Times New Roman" w:hAnsi="Times New Roman" w:cs="Times New Roman"/>
                      <w:b/>
                    </w:rPr>
                    <w:t>Table</w:t>
                  </w:r>
                  <w:r>
                    <w:rPr>
                      <w:rFonts w:ascii="Times New Roman" w:hAnsi="Times New Roman" w:cs="Times New Roman"/>
                      <w:b/>
                      <w:spacing w:val="-7"/>
                    </w:rPr>
                    <w:t xml:space="preserve"> </w:t>
                  </w:r>
                  <w:r>
                    <w:rPr>
                      <w:rFonts w:ascii="Times New Roman" w:hAnsi="Times New Roman" w:cs="Times New Roman"/>
                      <w:b/>
                      <w:lang w:val="en-IN"/>
                    </w:rPr>
                    <w:t>5:</w:t>
                  </w:r>
                  <w:r>
                    <w:rPr>
                      <w:rFonts w:ascii="Times New Roman" w:hAnsi="Times New Roman" w:cs="Times New Roman"/>
                      <w:b/>
                      <w:spacing w:val="-4"/>
                    </w:rPr>
                    <w:t xml:space="preserve"> </w:t>
                  </w:r>
                  <w:r>
                    <w:rPr>
                      <w:rStyle w:val="12"/>
                      <w:rFonts w:ascii="Times New Roman" w:hAnsi="Times New Roman" w:cs="Times New Roman"/>
                    </w:rPr>
                    <w:t>Correlation of Age with BDI Classification</w:t>
                  </w:r>
                </w:p>
                <w:p w14:paraId="6206CE24"/>
              </w:txbxContent>
            </v:textbox>
          </v:shape>
        </w:pict>
      </w:r>
    </w:p>
    <w:p w14:paraId="7CFC8725">
      <w:pPr>
        <w:pStyle w:val="11"/>
        <w:jc w:val="both"/>
        <w:rPr>
          <w:rStyle w:val="12"/>
        </w:rPr>
      </w:pPr>
    </w:p>
    <w:p w14:paraId="7ED984BB">
      <w:pPr>
        <w:pStyle w:val="11"/>
        <w:jc w:val="both"/>
      </w:pPr>
      <w:r>
        <w:rPr>
          <w:rStyle w:val="12"/>
        </w:rPr>
        <w:t>Trimester-Wise Correlation with BDI Score:</w:t>
      </w:r>
      <w:r>
        <w:br w:type="textWrapping"/>
      </w:r>
      <w:r>
        <w:t xml:space="preserve">The BDI score was also analyzed in relation to the trimester of pregnancy. In the first trimester, most participants experienced mild mood disturbance (10.87%), followed by borderline and moderate depression. In the second trimester, a similar trend continued, but with slightly higher moderate depression (9.42%). In the third trimester, mild mood disturbance was the most common (14.49%) and the number of individuals with moderate and severe depression also increased. However, the association between trimester and BDI score classification was statistically insignificant (p=0.559).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431"/>
        <w:gridCol w:w="2559"/>
        <w:gridCol w:w="1570"/>
        <w:gridCol w:w="1594"/>
        <w:gridCol w:w="1124"/>
      </w:tblGrid>
      <w:tr w14:paraId="622B1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6" w:hRule="atLeast"/>
          <w:jc w:val="center"/>
        </w:trPr>
        <w:tc>
          <w:tcPr>
            <w:tcW w:w="725" w:type="dxa"/>
          </w:tcPr>
          <w:p w14:paraId="79C60885">
            <w:pPr>
              <w:pStyle w:val="16"/>
              <w:spacing w:line="357" w:lineRule="auto"/>
              <w:ind w:left="81" w:right="220" w:firstLine="172"/>
              <w:jc w:val="left"/>
              <w:rPr>
                <w:b/>
                <w:sz w:val="28"/>
              </w:rPr>
            </w:pPr>
            <w:r>
              <w:rPr>
                <w:b/>
                <w:spacing w:val="-6"/>
                <w:sz w:val="28"/>
              </w:rPr>
              <w:t>Sl No</w:t>
            </w:r>
          </w:p>
        </w:tc>
        <w:tc>
          <w:tcPr>
            <w:tcW w:w="1431" w:type="dxa"/>
          </w:tcPr>
          <w:p w14:paraId="3D41C9A2">
            <w:pPr>
              <w:pStyle w:val="16"/>
              <w:spacing w:line="315" w:lineRule="exact"/>
              <w:ind w:left="114"/>
              <w:jc w:val="left"/>
              <w:rPr>
                <w:b/>
                <w:sz w:val="28"/>
              </w:rPr>
            </w:pPr>
            <w:r>
              <w:rPr>
                <w:b/>
                <w:spacing w:val="-2"/>
                <w:sz w:val="28"/>
              </w:rPr>
              <w:t>Trimester</w:t>
            </w:r>
          </w:p>
        </w:tc>
        <w:tc>
          <w:tcPr>
            <w:tcW w:w="2559" w:type="dxa"/>
          </w:tcPr>
          <w:p w14:paraId="1FE1144F">
            <w:pPr>
              <w:pStyle w:val="16"/>
              <w:spacing w:line="360" w:lineRule="auto"/>
              <w:ind w:left="224" w:right="212" w:firstLine="8"/>
              <w:rPr>
                <w:b/>
                <w:sz w:val="28"/>
              </w:rPr>
            </w:pPr>
            <w:r>
              <w:rPr>
                <w:b/>
                <w:spacing w:val="-2"/>
                <w:sz w:val="28"/>
              </w:rPr>
              <w:t xml:space="preserve">Classification </w:t>
            </w:r>
            <w:r>
              <w:rPr>
                <w:b/>
                <w:sz w:val="28"/>
              </w:rPr>
              <w:t>According</w:t>
            </w:r>
            <w:r>
              <w:rPr>
                <w:b/>
                <w:spacing w:val="-18"/>
                <w:sz w:val="28"/>
              </w:rPr>
              <w:t xml:space="preserve"> </w:t>
            </w:r>
            <w:r>
              <w:rPr>
                <w:b/>
                <w:sz w:val="28"/>
              </w:rPr>
              <w:t>to</w:t>
            </w:r>
            <w:r>
              <w:rPr>
                <w:b/>
                <w:spacing w:val="-17"/>
                <w:sz w:val="28"/>
              </w:rPr>
              <w:t xml:space="preserve"> </w:t>
            </w:r>
            <w:r>
              <w:rPr>
                <w:b/>
                <w:sz w:val="28"/>
              </w:rPr>
              <w:t xml:space="preserve">BDI </w:t>
            </w:r>
            <w:r>
              <w:rPr>
                <w:b/>
                <w:spacing w:val="-2"/>
                <w:sz w:val="28"/>
              </w:rPr>
              <w:t>Score</w:t>
            </w:r>
          </w:p>
        </w:tc>
        <w:tc>
          <w:tcPr>
            <w:tcW w:w="1570" w:type="dxa"/>
          </w:tcPr>
          <w:p w14:paraId="18D4E6FB">
            <w:pPr>
              <w:pStyle w:val="16"/>
              <w:spacing w:line="315" w:lineRule="exact"/>
              <w:ind w:left="8" w:right="8"/>
              <w:rPr>
                <w:b/>
                <w:sz w:val="28"/>
              </w:rPr>
            </w:pPr>
            <w:r>
              <w:rPr>
                <w:b/>
                <w:spacing w:val="-2"/>
                <w:sz w:val="28"/>
              </w:rPr>
              <w:t>Frequency</w:t>
            </w:r>
          </w:p>
        </w:tc>
        <w:tc>
          <w:tcPr>
            <w:tcW w:w="1594" w:type="dxa"/>
          </w:tcPr>
          <w:p w14:paraId="3AADDB37">
            <w:pPr>
              <w:pStyle w:val="16"/>
              <w:spacing w:line="480" w:lineRule="auto"/>
              <w:ind w:left="560" w:right="130" w:hanging="428"/>
              <w:jc w:val="left"/>
              <w:rPr>
                <w:b/>
                <w:sz w:val="28"/>
              </w:rPr>
            </w:pPr>
            <w:r>
              <w:rPr>
                <w:b/>
                <w:spacing w:val="-2"/>
                <w:sz w:val="28"/>
              </w:rPr>
              <w:t xml:space="preserve">Percentage </w:t>
            </w:r>
            <w:r>
              <w:rPr>
                <w:b/>
                <w:spacing w:val="-4"/>
                <w:sz w:val="28"/>
              </w:rPr>
              <w:t>(%)</w:t>
            </w:r>
          </w:p>
        </w:tc>
        <w:tc>
          <w:tcPr>
            <w:tcW w:w="1124" w:type="dxa"/>
          </w:tcPr>
          <w:p w14:paraId="3ABF9104">
            <w:pPr>
              <w:pStyle w:val="16"/>
              <w:spacing w:line="357" w:lineRule="auto"/>
              <w:ind w:left="205" w:right="211" w:firstLine="273"/>
              <w:jc w:val="left"/>
              <w:rPr>
                <w:b/>
                <w:sz w:val="28"/>
              </w:rPr>
            </w:pPr>
            <w:r>
              <w:rPr>
                <w:b/>
                <w:spacing w:val="-10"/>
                <w:sz w:val="28"/>
              </w:rPr>
              <w:t xml:space="preserve">p </w:t>
            </w:r>
            <w:r>
              <w:rPr>
                <w:b/>
                <w:spacing w:val="-4"/>
                <w:sz w:val="28"/>
              </w:rPr>
              <w:t>Value</w:t>
            </w:r>
          </w:p>
        </w:tc>
      </w:tr>
      <w:tr w14:paraId="32CE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restart"/>
          </w:tcPr>
          <w:p w14:paraId="2B1B3393">
            <w:pPr>
              <w:pStyle w:val="16"/>
              <w:spacing w:line="249" w:lineRule="exact"/>
              <w:ind w:left="6"/>
            </w:pPr>
            <w:r>
              <w:rPr>
                <w:spacing w:val="-5"/>
              </w:rPr>
              <w:t>1.</w:t>
            </w:r>
          </w:p>
        </w:tc>
        <w:tc>
          <w:tcPr>
            <w:tcW w:w="1431" w:type="dxa"/>
            <w:vMerge w:val="restart"/>
          </w:tcPr>
          <w:p w14:paraId="4D9662B2">
            <w:pPr>
              <w:pStyle w:val="16"/>
              <w:spacing w:line="249" w:lineRule="exact"/>
              <w:ind w:left="15" w:right="14"/>
            </w:pPr>
            <w:r>
              <w:rPr>
                <w:spacing w:val="-2"/>
              </w:rPr>
              <w:t>First</w:t>
            </w:r>
          </w:p>
        </w:tc>
        <w:tc>
          <w:tcPr>
            <w:tcW w:w="2559" w:type="dxa"/>
          </w:tcPr>
          <w:p w14:paraId="1D552DC5">
            <w:pPr>
              <w:pStyle w:val="16"/>
              <w:spacing w:line="249" w:lineRule="exact"/>
              <w:ind w:left="11"/>
            </w:pPr>
            <w:r>
              <w:rPr>
                <w:spacing w:val="-2"/>
              </w:rPr>
              <w:t>Normal</w:t>
            </w:r>
          </w:p>
        </w:tc>
        <w:tc>
          <w:tcPr>
            <w:tcW w:w="1570" w:type="dxa"/>
          </w:tcPr>
          <w:p w14:paraId="67C98FA4">
            <w:pPr>
              <w:pStyle w:val="16"/>
              <w:spacing w:line="249" w:lineRule="exact"/>
              <w:ind w:left="8" w:right="1"/>
            </w:pPr>
            <w:r>
              <w:rPr>
                <w:spacing w:val="-10"/>
              </w:rPr>
              <w:t>4</w:t>
            </w:r>
          </w:p>
        </w:tc>
        <w:tc>
          <w:tcPr>
            <w:tcW w:w="1594" w:type="dxa"/>
          </w:tcPr>
          <w:p w14:paraId="3A9885CF">
            <w:pPr>
              <w:pStyle w:val="16"/>
              <w:spacing w:line="249" w:lineRule="exact"/>
              <w:ind w:left="7" w:right="1"/>
            </w:pPr>
            <w:r>
              <w:rPr>
                <w:spacing w:val="-2"/>
              </w:rPr>
              <w:t>2.899</w:t>
            </w:r>
          </w:p>
        </w:tc>
        <w:tc>
          <w:tcPr>
            <w:tcW w:w="1124" w:type="dxa"/>
            <w:vMerge w:val="restart"/>
          </w:tcPr>
          <w:p w14:paraId="08521A03">
            <w:pPr>
              <w:pStyle w:val="16"/>
              <w:jc w:val="left"/>
            </w:pPr>
          </w:p>
          <w:p w14:paraId="50BCA753">
            <w:pPr>
              <w:pStyle w:val="16"/>
              <w:jc w:val="left"/>
            </w:pPr>
          </w:p>
          <w:p w14:paraId="706C0ADE">
            <w:pPr>
              <w:pStyle w:val="16"/>
              <w:jc w:val="left"/>
            </w:pPr>
          </w:p>
          <w:p w14:paraId="7BE9E02E">
            <w:pPr>
              <w:pStyle w:val="16"/>
              <w:jc w:val="left"/>
            </w:pPr>
          </w:p>
          <w:p w14:paraId="564A3687">
            <w:pPr>
              <w:pStyle w:val="16"/>
              <w:jc w:val="left"/>
            </w:pPr>
          </w:p>
          <w:p w14:paraId="781AAF95">
            <w:pPr>
              <w:pStyle w:val="16"/>
              <w:rPr>
                <w:lang w:val="en-IN"/>
              </w:rPr>
            </w:pPr>
            <w:r>
              <w:rPr>
                <w:lang w:val="en-IN"/>
              </w:rPr>
              <w:t>0.176</w:t>
            </w:r>
          </w:p>
        </w:tc>
      </w:tr>
      <w:tr w14:paraId="71C1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25" w:type="dxa"/>
            <w:vMerge w:val="continue"/>
            <w:tcBorders>
              <w:top w:val="nil"/>
            </w:tcBorders>
          </w:tcPr>
          <w:p w14:paraId="455FA748">
            <w:pPr>
              <w:rPr>
                <w:sz w:val="2"/>
                <w:szCs w:val="2"/>
              </w:rPr>
            </w:pPr>
          </w:p>
        </w:tc>
        <w:tc>
          <w:tcPr>
            <w:tcW w:w="1431" w:type="dxa"/>
            <w:vMerge w:val="continue"/>
            <w:tcBorders>
              <w:top w:val="nil"/>
            </w:tcBorders>
          </w:tcPr>
          <w:p w14:paraId="01A140D7">
            <w:pPr>
              <w:rPr>
                <w:sz w:val="2"/>
                <w:szCs w:val="2"/>
              </w:rPr>
            </w:pPr>
          </w:p>
        </w:tc>
        <w:tc>
          <w:tcPr>
            <w:tcW w:w="2559" w:type="dxa"/>
          </w:tcPr>
          <w:p w14:paraId="224116C1">
            <w:pPr>
              <w:pStyle w:val="16"/>
              <w:spacing w:line="249" w:lineRule="exact"/>
              <w:ind w:left="11" w:right="1"/>
            </w:pPr>
            <w:r>
              <w:t>Mild</w:t>
            </w:r>
            <w:r>
              <w:rPr>
                <w:spacing w:val="-5"/>
              </w:rPr>
              <w:t xml:space="preserve"> </w:t>
            </w:r>
            <w:r>
              <w:t>Mood</w:t>
            </w:r>
            <w:r>
              <w:rPr>
                <w:spacing w:val="-6"/>
              </w:rPr>
              <w:t xml:space="preserve"> </w:t>
            </w:r>
            <w:r>
              <w:rPr>
                <w:spacing w:val="-2"/>
              </w:rPr>
              <w:t>Disturbance</w:t>
            </w:r>
          </w:p>
        </w:tc>
        <w:tc>
          <w:tcPr>
            <w:tcW w:w="1570" w:type="dxa"/>
          </w:tcPr>
          <w:p w14:paraId="3612A8C1">
            <w:pPr>
              <w:pStyle w:val="16"/>
              <w:spacing w:line="249" w:lineRule="exact"/>
              <w:ind w:left="8" w:right="5"/>
            </w:pPr>
            <w:r>
              <w:rPr>
                <w:spacing w:val="-5"/>
              </w:rPr>
              <w:t>15</w:t>
            </w:r>
          </w:p>
        </w:tc>
        <w:tc>
          <w:tcPr>
            <w:tcW w:w="1594" w:type="dxa"/>
          </w:tcPr>
          <w:p w14:paraId="04E0D3C3">
            <w:pPr>
              <w:pStyle w:val="16"/>
              <w:spacing w:line="249" w:lineRule="exact"/>
              <w:ind w:left="7"/>
            </w:pPr>
            <w:r>
              <w:rPr>
                <w:spacing w:val="-2"/>
              </w:rPr>
              <w:t>10.87</w:t>
            </w:r>
          </w:p>
        </w:tc>
        <w:tc>
          <w:tcPr>
            <w:tcW w:w="1124" w:type="dxa"/>
            <w:vMerge w:val="continue"/>
          </w:tcPr>
          <w:p w14:paraId="4028A154">
            <w:pPr>
              <w:rPr>
                <w:sz w:val="2"/>
                <w:szCs w:val="2"/>
              </w:rPr>
            </w:pPr>
          </w:p>
        </w:tc>
      </w:tr>
      <w:tr w14:paraId="55E09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725" w:type="dxa"/>
            <w:vMerge w:val="continue"/>
            <w:tcBorders>
              <w:top w:val="nil"/>
            </w:tcBorders>
          </w:tcPr>
          <w:p w14:paraId="36515E07">
            <w:pPr>
              <w:rPr>
                <w:sz w:val="2"/>
                <w:szCs w:val="2"/>
              </w:rPr>
            </w:pPr>
          </w:p>
        </w:tc>
        <w:tc>
          <w:tcPr>
            <w:tcW w:w="1431" w:type="dxa"/>
            <w:vMerge w:val="continue"/>
            <w:tcBorders>
              <w:top w:val="nil"/>
            </w:tcBorders>
          </w:tcPr>
          <w:p w14:paraId="6A90FA19">
            <w:pPr>
              <w:rPr>
                <w:sz w:val="2"/>
                <w:szCs w:val="2"/>
              </w:rPr>
            </w:pPr>
          </w:p>
        </w:tc>
        <w:tc>
          <w:tcPr>
            <w:tcW w:w="2559" w:type="dxa"/>
          </w:tcPr>
          <w:p w14:paraId="56D77CD4">
            <w:pPr>
              <w:pStyle w:val="16"/>
              <w:spacing w:line="360" w:lineRule="auto"/>
              <w:ind w:left="786" w:right="415" w:hanging="351"/>
              <w:jc w:val="left"/>
            </w:pPr>
            <w:r>
              <w:t>Borderline</w:t>
            </w:r>
            <w:r>
              <w:rPr>
                <w:spacing w:val="-14"/>
              </w:rPr>
              <w:t xml:space="preserve"> </w:t>
            </w:r>
            <w:r>
              <w:t xml:space="preserve">Clinical </w:t>
            </w:r>
            <w:r>
              <w:rPr>
                <w:spacing w:val="-2"/>
              </w:rPr>
              <w:t>Depression</w:t>
            </w:r>
          </w:p>
        </w:tc>
        <w:tc>
          <w:tcPr>
            <w:tcW w:w="1570" w:type="dxa"/>
          </w:tcPr>
          <w:p w14:paraId="23DCB280">
            <w:pPr>
              <w:pStyle w:val="16"/>
              <w:spacing w:line="249" w:lineRule="exact"/>
              <w:ind w:left="8" w:right="5"/>
            </w:pPr>
            <w:r>
              <w:rPr>
                <w:spacing w:val="-5"/>
              </w:rPr>
              <w:t>10</w:t>
            </w:r>
          </w:p>
        </w:tc>
        <w:tc>
          <w:tcPr>
            <w:tcW w:w="1594" w:type="dxa"/>
          </w:tcPr>
          <w:p w14:paraId="64B8980A">
            <w:pPr>
              <w:pStyle w:val="16"/>
              <w:spacing w:line="249" w:lineRule="exact"/>
              <w:ind w:left="7"/>
            </w:pPr>
            <w:r>
              <w:rPr>
                <w:spacing w:val="-2"/>
              </w:rPr>
              <w:t>7.246</w:t>
            </w:r>
          </w:p>
        </w:tc>
        <w:tc>
          <w:tcPr>
            <w:tcW w:w="1124" w:type="dxa"/>
            <w:vMerge w:val="continue"/>
          </w:tcPr>
          <w:p w14:paraId="18AD92AC">
            <w:pPr>
              <w:rPr>
                <w:sz w:val="2"/>
                <w:szCs w:val="2"/>
              </w:rPr>
            </w:pPr>
          </w:p>
        </w:tc>
      </w:tr>
      <w:tr w14:paraId="25D0B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25" w:type="dxa"/>
            <w:vMerge w:val="continue"/>
            <w:tcBorders>
              <w:top w:val="nil"/>
            </w:tcBorders>
          </w:tcPr>
          <w:p w14:paraId="252FB821">
            <w:pPr>
              <w:rPr>
                <w:sz w:val="2"/>
                <w:szCs w:val="2"/>
              </w:rPr>
            </w:pPr>
          </w:p>
        </w:tc>
        <w:tc>
          <w:tcPr>
            <w:tcW w:w="1431" w:type="dxa"/>
            <w:vMerge w:val="continue"/>
            <w:tcBorders>
              <w:top w:val="nil"/>
            </w:tcBorders>
          </w:tcPr>
          <w:p w14:paraId="32B79E35">
            <w:pPr>
              <w:rPr>
                <w:sz w:val="2"/>
                <w:szCs w:val="2"/>
              </w:rPr>
            </w:pPr>
          </w:p>
        </w:tc>
        <w:tc>
          <w:tcPr>
            <w:tcW w:w="2559" w:type="dxa"/>
          </w:tcPr>
          <w:p w14:paraId="493D3763">
            <w:pPr>
              <w:pStyle w:val="16"/>
              <w:spacing w:line="249" w:lineRule="exact"/>
              <w:ind w:left="11" w:right="5"/>
            </w:pPr>
            <w:r>
              <w:t>Moderate</w:t>
            </w:r>
            <w:r>
              <w:rPr>
                <w:spacing w:val="-8"/>
              </w:rPr>
              <w:t xml:space="preserve"> </w:t>
            </w:r>
            <w:r>
              <w:rPr>
                <w:spacing w:val="-2"/>
              </w:rPr>
              <w:t>Depression</w:t>
            </w:r>
          </w:p>
        </w:tc>
        <w:tc>
          <w:tcPr>
            <w:tcW w:w="1570" w:type="dxa"/>
          </w:tcPr>
          <w:p w14:paraId="4C82AC87">
            <w:pPr>
              <w:pStyle w:val="16"/>
              <w:spacing w:line="249" w:lineRule="exact"/>
              <w:ind w:left="8" w:right="5"/>
            </w:pPr>
            <w:r>
              <w:rPr>
                <w:spacing w:val="-5"/>
              </w:rPr>
              <w:t>13</w:t>
            </w:r>
          </w:p>
        </w:tc>
        <w:tc>
          <w:tcPr>
            <w:tcW w:w="1594" w:type="dxa"/>
          </w:tcPr>
          <w:p w14:paraId="4C218F88">
            <w:pPr>
              <w:pStyle w:val="16"/>
              <w:spacing w:line="249" w:lineRule="exact"/>
              <w:ind w:left="7" w:right="7"/>
            </w:pPr>
            <w:r>
              <w:rPr>
                <w:spacing w:val="-4"/>
              </w:rPr>
              <w:t>9.42</w:t>
            </w:r>
          </w:p>
        </w:tc>
        <w:tc>
          <w:tcPr>
            <w:tcW w:w="1124" w:type="dxa"/>
            <w:vMerge w:val="continue"/>
          </w:tcPr>
          <w:p w14:paraId="3E8C421A">
            <w:pPr>
              <w:rPr>
                <w:sz w:val="2"/>
                <w:szCs w:val="2"/>
              </w:rPr>
            </w:pPr>
          </w:p>
        </w:tc>
      </w:tr>
      <w:tr w14:paraId="7849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continue"/>
            <w:tcBorders>
              <w:top w:val="nil"/>
            </w:tcBorders>
          </w:tcPr>
          <w:p w14:paraId="52EDFC5D">
            <w:pPr>
              <w:rPr>
                <w:sz w:val="2"/>
                <w:szCs w:val="2"/>
              </w:rPr>
            </w:pPr>
          </w:p>
        </w:tc>
        <w:tc>
          <w:tcPr>
            <w:tcW w:w="1431" w:type="dxa"/>
            <w:vMerge w:val="continue"/>
            <w:tcBorders>
              <w:top w:val="nil"/>
            </w:tcBorders>
          </w:tcPr>
          <w:p w14:paraId="0EF76091">
            <w:pPr>
              <w:rPr>
                <w:sz w:val="2"/>
                <w:szCs w:val="2"/>
              </w:rPr>
            </w:pPr>
          </w:p>
        </w:tc>
        <w:tc>
          <w:tcPr>
            <w:tcW w:w="2559" w:type="dxa"/>
          </w:tcPr>
          <w:p w14:paraId="434059EA">
            <w:pPr>
              <w:pStyle w:val="16"/>
              <w:spacing w:line="249" w:lineRule="exact"/>
              <w:ind w:left="11" w:right="1"/>
            </w:pPr>
            <w:r>
              <w:t>Severe</w:t>
            </w:r>
            <w:r>
              <w:rPr>
                <w:spacing w:val="-4"/>
              </w:rPr>
              <w:t xml:space="preserve"> </w:t>
            </w:r>
            <w:r>
              <w:rPr>
                <w:spacing w:val="-2"/>
              </w:rPr>
              <w:t>Depression</w:t>
            </w:r>
          </w:p>
        </w:tc>
        <w:tc>
          <w:tcPr>
            <w:tcW w:w="1570" w:type="dxa"/>
          </w:tcPr>
          <w:p w14:paraId="16C64B8A">
            <w:pPr>
              <w:pStyle w:val="16"/>
              <w:spacing w:line="249" w:lineRule="exact"/>
              <w:ind w:left="8" w:right="1"/>
            </w:pPr>
            <w:r>
              <w:rPr>
                <w:spacing w:val="-10"/>
              </w:rPr>
              <w:t>4</w:t>
            </w:r>
          </w:p>
        </w:tc>
        <w:tc>
          <w:tcPr>
            <w:tcW w:w="1594" w:type="dxa"/>
          </w:tcPr>
          <w:p w14:paraId="504CA554">
            <w:pPr>
              <w:pStyle w:val="16"/>
              <w:spacing w:line="249" w:lineRule="exact"/>
              <w:ind w:left="7"/>
            </w:pPr>
            <w:r>
              <w:rPr>
                <w:spacing w:val="-2"/>
              </w:rPr>
              <w:t>2.899</w:t>
            </w:r>
          </w:p>
        </w:tc>
        <w:tc>
          <w:tcPr>
            <w:tcW w:w="1124" w:type="dxa"/>
            <w:vMerge w:val="continue"/>
          </w:tcPr>
          <w:p w14:paraId="276F6A33">
            <w:pPr>
              <w:rPr>
                <w:sz w:val="2"/>
                <w:szCs w:val="2"/>
              </w:rPr>
            </w:pPr>
          </w:p>
        </w:tc>
      </w:tr>
      <w:tr w14:paraId="1616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25" w:type="dxa"/>
            <w:vMerge w:val="restart"/>
          </w:tcPr>
          <w:p w14:paraId="4581FB6C">
            <w:pPr>
              <w:pStyle w:val="16"/>
              <w:spacing w:line="249" w:lineRule="exact"/>
              <w:ind w:left="6"/>
            </w:pPr>
            <w:r>
              <w:rPr>
                <w:spacing w:val="-5"/>
              </w:rPr>
              <w:t>2.</w:t>
            </w:r>
          </w:p>
        </w:tc>
        <w:tc>
          <w:tcPr>
            <w:tcW w:w="1431" w:type="dxa"/>
            <w:vMerge w:val="restart"/>
          </w:tcPr>
          <w:p w14:paraId="26973261">
            <w:pPr>
              <w:pStyle w:val="16"/>
              <w:spacing w:line="249" w:lineRule="exact"/>
              <w:ind w:left="388"/>
              <w:jc w:val="left"/>
            </w:pPr>
            <w:r>
              <w:rPr>
                <w:spacing w:val="-2"/>
              </w:rPr>
              <w:t>Second</w:t>
            </w:r>
          </w:p>
        </w:tc>
        <w:tc>
          <w:tcPr>
            <w:tcW w:w="2559" w:type="dxa"/>
          </w:tcPr>
          <w:p w14:paraId="11748C68">
            <w:pPr>
              <w:pStyle w:val="16"/>
              <w:spacing w:line="249" w:lineRule="exact"/>
              <w:ind w:left="11"/>
            </w:pPr>
            <w:r>
              <w:rPr>
                <w:spacing w:val="-2"/>
              </w:rPr>
              <w:t>Normal</w:t>
            </w:r>
          </w:p>
        </w:tc>
        <w:tc>
          <w:tcPr>
            <w:tcW w:w="1570" w:type="dxa"/>
          </w:tcPr>
          <w:p w14:paraId="3F3B2B1A">
            <w:pPr>
              <w:pStyle w:val="16"/>
              <w:spacing w:line="249" w:lineRule="exact"/>
              <w:ind w:left="8" w:right="1"/>
            </w:pPr>
            <w:r>
              <w:rPr>
                <w:spacing w:val="-10"/>
              </w:rPr>
              <w:t>8</w:t>
            </w:r>
          </w:p>
        </w:tc>
        <w:tc>
          <w:tcPr>
            <w:tcW w:w="1594" w:type="dxa"/>
          </w:tcPr>
          <w:p w14:paraId="5BF15C8F">
            <w:pPr>
              <w:pStyle w:val="16"/>
              <w:spacing w:line="249" w:lineRule="exact"/>
              <w:ind w:left="7"/>
            </w:pPr>
            <w:r>
              <w:rPr>
                <w:spacing w:val="-2"/>
              </w:rPr>
              <w:t>5.797</w:t>
            </w:r>
          </w:p>
        </w:tc>
        <w:tc>
          <w:tcPr>
            <w:tcW w:w="1124" w:type="dxa"/>
            <w:vMerge w:val="continue"/>
          </w:tcPr>
          <w:p w14:paraId="5578CB2A">
            <w:pPr>
              <w:rPr>
                <w:sz w:val="2"/>
                <w:szCs w:val="2"/>
              </w:rPr>
            </w:pPr>
          </w:p>
        </w:tc>
      </w:tr>
      <w:tr w14:paraId="3264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continue"/>
          </w:tcPr>
          <w:p w14:paraId="09DCE65E">
            <w:pPr>
              <w:rPr>
                <w:sz w:val="2"/>
                <w:szCs w:val="2"/>
              </w:rPr>
            </w:pPr>
          </w:p>
        </w:tc>
        <w:tc>
          <w:tcPr>
            <w:tcW w:w="1431" w:type="dxa"/>
            <w:vMerge w:val="continue"/>
          </w:tcPr>
          <w:p w14:paraId="7A7E4DCE">
            <w:pPr>
              <w:rPr>
                <w:sz w:val="2"/>
                <w:szCs w:val="2"/>
              </w:rPr>
            </w:pPr>
          </w:p>
        </w:tc>
        <w:tc>
          <w:tcPr>
            <w:tcW w:w="2559" w:type="dxa"/>
          </w:tcPr>
          <w:p w14:paraId="5A7BD7BD">
            <w:pPr>
              <w:pStyle w:val="16"/>
              <w:spacing w:line="249" w:lineRule="exact"/>
              <w:ind w:left="11" w:right="1"/>
            </w:pPr>
            <w:r>
              <w:t>Mild</w:t>
            </w:r>
            <w:r>
              <w:rPr>
                <w:spacing w:val="-5"/>
              </w:rPr>
              <w:t xml:space="preserve"> </w:t>
            </w:r>
            <w:r>
              <w:t>Mood</w:t>
            </w:r>
            <w:r>
              <w:rPr>
                <w:spacing w:val="-6"/>
              </w:rPr>
              <w:t xml:space="preserve"> </w:t>
            </w:r>
            <w:r>
              <w:rPr>
                <w:spacing w:val="-2"/>
              </w:rPr>
              <w:t>Disturbance</w:t>
            </w:r>
          </w:p>
        </w:tc>
        <w:tc>
          <w:tcPr>
            <w:tcW w:w="1570" w:type="dxa"/>
          </w:tcPr>
          <w:p w14:paraId="5C1049E5">
            <w:pPr>
              <w:pStyle w:val="16"/>
              <w:spacing w:line="249" w:lineRule="exact"/>
              <w:ind w:left="8" w:right="5"/>
            </w:pPr>
            <w:r>
              <w:rPr>
                <w:spacing w:val="-5"/>
              </w:rPr>
              <w:t>14</w:t>
            </w:r>
          </w:p>
        </w:tc>
        <w:tc>
          <w:tcPr>
            <w:tcW w:w="1594" w:type="dxa"/>
          </w:tcPr>
          <w:p w14:paraId="77EFC708">
            <w:pPr>
              <w:pStyle w:val="16"/>
              <w:spacing w:line="249" w:lineRule="exact"/>
              <w:ind w:left="7" w:right="7"/>
            </w:pPr>
            <w:r>
              <w:rPr>
                <w:spacing w:val="-2"/>
              </w:rPr>
              <w:t>10.145</w:t>
            </w:r>
          </w:p>
        </w:tc>
        <w:tc>
          <w:tcPr>
            <w:tcW w:w="1124" w:type="dxa"/>
            <w:vMerge w:val="continue"/>
          </w:tcPr>
          <w:p w14:paraId="44B36CE0">
            <w:pPr>
              <w:rPr>
                <w:sz w:val="2"/>
                <w:szCs w:val="2"/>
              </w:rPr>
            </w:pPr>
          </w:p>
        </w:tc>
      </w:tr>
      <w:tr w14:paraId="26F05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continue"/>
          </w:tcPr>
          <w:p w14:paraId="5A80F9E0">
            <w:pPr>
              <w:rPr>
                <w:sz w:val="2"/>
                <w:szCs w:val="2"/>
              </w:rPr>
            </w:pPr>
          </w:p>
        </w:tc>
        <w:tc>
          <w:tcPr>
            <w:tcW w:w="1431" w:type="dxa"/>
            <w:vMerge w:val="continue"/>
          </w:tcPr>
          <w:p w14:paraId="20FEED67">
            <w:pPr>
              <w:rPr>
                <w:sz w:val="2"/>
                <w:szCs w:val="2"/>
              </w:rPr>
            </w:pPr>
          </w:p>
        </w:tc>
        <w:tc>
          <w:tcPr>
            <w:tcW w:w="2559" w:type="dxa"/>
          </w:tcPr>
          <w:p w14:paraId="6EE658E3">
            <w:pPr>
              <w:pStyle w:val="16"/>
              <w:spacing w:line="360" w:lineRule="auto"/>
              <w:ind w:left="786" w:right="415" w:hanging="351"/>
              <w:jc w:val="left"/>
            </w:pPr>
            <w:r>
              <w:t>Borderline</w:t>
            </w:r>
            <w:r>
              <w:rPr>
                <w:spacing w:val="-14"/>
              </w:rPr>
              <w:t xml:space="preserve"> </w:t>
            </w:r>
            <w:r>
              <w:t xml:space="preserve">Clinical </w:t>
            </w:r>
            <w:r>
              <w:rPr>
                <w:spacing w:val="-2"/>
              </w:rPr>
              <w:t>Depression</w:t>
            </w:r>
          </w:p>
        </w:tc>
        <w:tc>
          <w:tcPr>
            <w:tcW w:w="1570" w:type="dxa"/>
          </w:tcPr>
          <w:p w14:paraId="15ECFFD1">
            <w:pPr>
              <w:pStyle w:val="16"/>
              <w:spacing w:line="249" w:lineRule="exact"/>
              <w:ind w:left="8" w:right="5"/>
              <w:rPr>
                <w:spacing w:val="-5"/>
              </w:rPr>
            </w:pPr>
            <w:r>
              <w:rPr>
                <w:spacing w:val="-5"/>
              </w:rPr>
              <w:t>13</w:t>
            </w:r>
          </w:p>
        </w:tc>
        <w:tc>
          <w:tcPr>
            <w:tcW w:w="1594" w:type="dxa"/>
          </w:tcPr>
          <w:p w14:paraId="401EB870">
            <w:pPr>
              <w:pStyle w:val="16"/>
              <w:spacing w:line="249" w:lineRule="exact"/>
              <w:ind w:left="7" w:right="7"/>
              <w:rPr>
                <w:spacing w:val="-2"/>
              </w:rPr>
            </w:pPr>
            <w:r>
              <w:rPr>
                <w:spacing w:val="-4"/>
              </w:rPr>
              <w:t>9.42</w:t>
            </w:r>
          </w:p>
        </w:tc>
        <w:tc>
          <w:tcPr>
            <w:tcW w:w="1124" w:type="dxa"/>
            <w:vMerge w:val="continue"/>
          </w:tcPr>
          <w:p w14:paraId="75966D69">
            <w:pPr>
              <w:rPr>
                <w:sz w:val="2"/>
                <w:szCs w:val="2"/>
              </w:rPr>
            </w:pPr>
          </w:p>
        </w:tc>
      </w:tr>
      <w:tr w14:paraId="2BD4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continue"/>
          </w:tcPr>
          <w:p w14:paraId="6D070914">
            <w:pPr>
              <w:rPr>
                <w:sz w:val="2"/>
                <w:szCs w:val="2"/>
              </w:rPr>
            </w:pPr>
          </w:p>
        </w:tc>
        <w:tc>
          <w:tcPr>
            <w:tcW w:w="1431" w:type="dxa"/>
            <w:vMerge w:val="continue"/>
          </w:tcPr>
          <w:p w14:paraId="41F424A0">
            <w:pPr>
              <w:rPr>
                <w:sz w:val="2"/>
                <w:szCs w:val="2"/>
              </w:rPr>
            </w:pPr>
          </w:p>
        </w:tc>
        <w:tc>
          <w:tcPr>
            <w:tcW w:w="2559" w:type="dxa"/>
          </w:tcPr>
          <w:p w14:paraId="4E2DD861">
            <w:pPr>
              <w:pStyle w:val="16"/>
              <w:spacing w:line="249" w:lineRule="exact"/>
              <w:ind w:left="11" w:right="5"/>
            </w:pPr>
            <w:r>
              <w:t>Moderate</w:t>
            </w:r>
            <w:r>
              <w:rPr>
                <w:spacing w:val="-8"/>
              </w:rPr>
              <w:t xml:space="preserve"> </w:t>
            </w:r>
            <w:r>
              <w:rPr>
                <w:spacing w:val="-2"/>
              </w:rPr>
              <w:t>Depression</w:t>
            </w:r>
          </w:p>
        </w:tc>
        <w:tc>
          <w:tcPr>
            <w:tcW w:w="1570" w:type="dxa"/>
          </w:tcPr>
          <w:p w14:paraId="4FD2DB4D">
            <w:pPr>
              <w:pStyle w:val="16"/>
              <w:spacing w:line="249" w:lineRule="exact"/>
              <w:ind w:left="8"/>
              <w:rPr>
                <w:spacing w:val="-5"/>
              </w:rPr>
            </w:pPr>
            <w:r>
              <w:rPr>
                <w:spacing w:val="-10"/>
              </w:rPr>
              <w:t>7</w:t>
            </w:r>
          </w:p>
        </w:tc>
        <w:tc>
          <w:tcPr>
            <w:tcW w:w="1594" w:type="dxa"/>
          </w:tcPr>
          <w:p w14:paraId="6733FF8C">
            <w:pPr>
              <w:pStyle w:val="16"/>
              <w:spacing w:line="249" w:lineRule="exact"/>
              <w:ind w:left="7"/>
              <w:rPr>
                <w:spacing w:val="-2"/>
              </w:rPr>
            </w:pPr>
            <w:r>
              <w:rPr>
                <w:spacing w:val="-2"/>
              </w:rPr>
              <w:t>5.072</w:t>
            </w:r>
          </w:p>
        </w:tc>
        <w:tc>
          <w:tcPr>
            <w:tcW w:w="1124" w:type="dxa"/>
            <w:vMerge w:val="continue"/>
          </w:tcPr>
          <w:p w14:paraId="50DF9140">
            <w:pPr>
              <w:rPr>
                <w:sz w:val="2"/>
                <w:szCs w:val="2"/>
              </w:rPr>
            </w:pPr>
          </w:p>
        </w:tc>
      </w:tr>
      <w:tr w14:paraId="7BA41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continue"/>
            <w:tcBorders>
              <w:bottom w:val="nil"/>
            </w:tcBorders>
          </w:tcPr>
          <w:p w14:paraId="0200BC23">
            <w:pPr>
              <w:rPr>
                <w:sz w:val="2"/>
                <w:szCs w:val="2"/>
              </w:rPr>
            </w:pPr>
          </w:p>
        </w:tc>
        <w:tc>
          <w:tcPr>
            <w:tcW w:w="1431" w:type="dxa"/>
            <w:vMerge w:val="continue"/>
            <w:tcBorders>
              <w:bottom w:val="nil"/>
            </w:tcBorders>
          </w:tcPr>
          <w:p w14:paraId="713E3F3D">
            <w:pPr>
              <w:rPr>
                <w:sz w:val="2"/>
                <w:szCs w:val="2"/>
              </w:rPr>
            </w:pPr>
          </w:p>
        </w:tc>
        <w:tc>
          <w:tcPr>
            <w:tcW w:w="2559" w:type="dxa"/>
          </w:tcPr>
          <w:p w14:paraId="7C0CEDA9">
            <w:pPr>
              <w:pStyle w:val="16"/>
              <w:spacing w:line="249" w:lineRule="exact"/>
              <w:ind w:left="11" w:right="1"/>
            </w:pPr>
            <w:r>
              <w:t>Severe</w:t>
            </w:r>
            <w:r>
              <w:rPr>
                <w:spacing w:val="-4"/>
              </w:rPr>
              <w:t xml:space="preserve"> </w:t>
            </w:r>
            <w:r>
              <w:rPr>
                <w:spacing w:val="-2"/>
              </w:rPr>
              <w:t>Depression</w:t>
            </w:r>
          </w:p>
        </w:tc>
        <w:tc>
          <w:tcPr>
            <w:tcW w:w="1570" w:type="dxa"/>
          </w:tcPr>
          <w:p w14:paraId="17066FE6">
            <w:pPr>
              <w:pStyle w:val="16"/>
              <w:spacing w:line="249" w:lineRule="exact"/>
              <w:ind w:left="8" w:right="1"/>
              <w:rPr>
                <w:spacing w:val="-5"/>
              </w:rPr>
            </w:pPr>
            <w:r>
              <w:rPr>
                <w:spacing w:val="-10"/>
              </w:rPr>
              <w:t>4</w:t>
            </w:r>
          </w:p>
        </w:tc>
        <w:tc>
          <w:tcPr>
            <w:tcW w:w="1594" w:type="dxa"/>
          </w:tcPr>
          <w:p w14:paraId="6CFF75A3">
            <w:pPr>
              <w:pStyle w:val="16"/>
              <w:spacing w:line="249" w:lineRule="exact"/>
              <w:ind w:left="7"/>
              <w:rPr>
                <w:spacing w:val="-2"/>
              </w:rPr>
            </w:pPr>
            <w:r>
              <w:rPr>
                <w:spacing w:val="-2"/>
              </w:rPr>
              <w:t>2.899</w:t>
            </w:r>
          </w:p>
        </w:tc>
        <w:tc>
          <w:tcPr>
            <w:tcW w:w="1124" w:type="dxa"/>
            <w:vMerge w:val="continue"/>
            <w:tcBorders>
              <w:bottom w:val="nil"/>
            </w:tcBorders>
          </w:tcPr>
          <w:p w14:paraId="1F50D911">
            <w:pPr>
              <w:rPr>
                <w:sz w:val="2"/>
                <w:szCs w:val="2"/>
              </w:rPr>
            </w:pPr>
          </w:p>
        </w:tc>
      </w:tr>
      <w:tr w14:paraId="37147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restart"/>
            <w:tcBorders>
              <w:top w:val="nil"/>
              <w:bottom w:val="nil"/>
            </w:tcBorders>
          </w:tcPr>
          <w:p w14:paraId="60DB9AC9">
            <w:pPr>
              <w:pStyle w:val="16"/>
              <w:spacing w:line="249" w:lineRule="exact"/>
              <w:ind w:left="6"/>
              <w:rPr>
                <w:sz w:val="2"/>
                <w:szCs w:val="2"/>
              </w:rPr>
            </w:pPr>
            <w:r>
              <w:rPr>
                <w:spacing w:val="-5"/>
              </w:rPr>
              <w:t>3.</w:t>
            </w:r>
          </w:p>
        </w:tc>
        <w:tc>
          <w:tcPr>
            <w:tcW w:w="1431" w:type="dxa"/>
            <w:vMerge w:val="restart"/>
            <w:tcBorders>
              <w:top w:val="nil"/>
              <w:bottom w:val="nil"/>
            </w:tcBorders>
          </w:tcPr>
          <w:p w14:paraId="63CE05D5">
            <w:pPr>
              <w:pStyle w:val="16"/>
              <w:spacing w:line="249" w:lineRule="exact"/>
              <w:ind w:left="465"/>
              <w:jc w:val="left"/>
              <w:rPr>
                <w:sz w:val="2"/>
                <w:szCs w:val="2"/>
              </w:rPr>
            </w:pPr>
            <w:r>
              <w:rPr>
                <w:spacing w:val="-2"/>
              </w:rPr>
              <w:t>Third</w:t>
            </w:r>
          </w:p>
        </w:tc>
        <w:tc>
          <w:tcPr>
            <w:tcW w:w="2559" w:type="dxa"/>
          </w:tcPr>
          <w:p w14:paraId="71C29D09">
            <w:pPr>
              <w:pStyle w:val="16"/>
              <w:spacing w:line="249" w:lineRule="exact"/>
              <w:ind w:left="11"/>
            </w:pPr>
            <w:r>
              <w:rPr>
                <w:spacing w:val="-2"/>
              </w:rPr>
              <w:t>Normal</w:t>
            </w:r>
          </w:p>
        </w:tc>
        <w:tc>
          <w:tcPr>
            <w:tcW w:w="1570" w:type="dxa"/>
          </w:tcPr>
          <w:p w14:paraId="520F483F">
            <w:pPr>
              <w:pStyle w:val="16"/>
              <w:spacing w:line="249" w:lineRule="exact"/>
              <w:ind w:left="8" w:right="1"/>
              <w:rPr>
                <w:spacing w:val="-5"/>
              </w:rPr>
            </w:pPr>
            <w:r>
              <w:rPr>
                <w:spacing w:val="-10"/>
              </w:rPr>
              <w:t>6</w:t>
            </w:r>
          </w:p>
        </w:tc>
        <w:tc>
          <w:tcPr>
            <w:tcW w:w="1594" w:type="dxa"/>
          </w:tcPr>
          <w:p w14:paraId="2F537AF8">
            <w:pPr>
              <w:pStyle w:val="16"/>
              <w:spacing w:line="249" w:lineRule="exact"/>
              <w:ind w:left="7"/>
              <w:rPr>
                <w:spacing w:val="-2"/>
              </w:rPr>
            </w:pPr>
            <w:r>
              <w:rPr>
                <w:spacing w:val="-2"/>
              </w:rPr>
              <w:t>4.348</w:t>
            </w:r>
          </w:p>
        </w:tc>
        <w:tc>
          <w:tcPr>
            <w:tcW w:w="1124" w:type="dxa"/>
            <w:vMerge w:val="restart"/>
            <w:tcBorders>
              <w:top w:val="nil"/>
            </w:tcBorders>
          </w:tcPr>
          <w:p w14:paraId="30A14D04">
            <w:pPr>
              <w:rPr>
                <w:sz w:val="2"/>
                <w:szCs w:val="2"/>
              </w:rPr>
            </w:pPr>
          </w:p>
        </w:tc>
      </w:tr>
      <w:tr w14:paraId="21EB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continue"/>
            <w:tcBorders>
              <w:top w:val="nil"/>
              <w:bottom w:val="nil"/>
            </w:tcBorders>
          </w:tcPr>
          <w:p w14:paraId="26883F8A">
            <w:pPr>
              <w:rPr>
                <w:sz w:val="2"/>
                <w:szCs w:val="2"/>
              </w:rPr>
            </w:pPr>
          </w:p>
        </w:tc>
        <w:tc>
          <w:tcPr>
            <w:tcW w:w="1431" w:type="dxa"/>
            <w:vMerge w:val="continue"/>
            <w:tcBorders>
              <w:top w:val="nil"/>
              <w:bottom w:val="nil"/>
            </w:tcBorders>
          </w:tcPr>
          <w:p w14:paraId="53FA5923">
            <w:pPr>
              <w:rPr>
                <w:sz w:val="2"/>
                <w:szCs w:val="2"/>
              </w:rPr>
            </w:pPr>
          </w:p>
        </w:tc>
        <w:tc>
          <w:tcPr>
            <w:tcW w:w="2559" w:type="dxa"/>
          </w:tcPr>
          <w:p w14:paraId="463A82E9">
            <w:pPr>
              <w:pStyle w:val="16"/>
              <w:spacing w:line="249" w:lineRule="exact"/>
              <w:ind w:left="11" w:right="1"/>
            </w:pPr>
            <w:r>
              <w:t>Mild</w:t>
            </w:r>
            <w:r>
              <w:rPr>
                <w:spacing w:val="-5"/>
              </w:rPr>
              <w:t xml:space="preserve"> </w:t>
            </w:r>
            <w:r>
              <w:t>Mood</w:t>
            </w:r>
            <w:r>
              <w:rPr>
                <w:spacing w:val="-6"/>
              </w:rPr>
              <w:t xml:space="preserve"> </w:t>
            </w:r>
            <w:r>
              <w:rPr>
                <w:spacing w:val="-2"/>
              </w:rPr>
              <w:t>Disturbance</w:t>
            </w:r>
          </w:p>
        </w:tc>
        <w:tc>
          <w:tcPr>
            <w:tcW w:w="1570" w:type="dxa"/>
          </w:tcPr>
          <w:p w14:paraId="4DBCED66">
            <w:pPr>
              <w:pStyle w:val="16"/>
              <w:spacing w:line="249" w:lineRule="exact"/>
              <w:ind w:left="8" w:right="5"/>
              <w:rPr>
                <w:spacing w:val="-5"/>
              </w:rPr>
            </w:pPr>
            <w:r>
              <w:rPr>
                <w:spacing w:val="-5"/>
              </w:rPr>
              <w:t>20</w:t>
            </w:r>
          </w:p>
        </w:tc>
        <w:tc>
          <w:tcPr>
            <w:tcW w:w="1594" w:type="dxa"/>
          </w:tcPr>
          <w:p w14:paraId="63EC4A34">
            <w:pPr>
              <w:pStyle w:val="16"/>
              <w:spacing w:line="249" w:lineRule="exact"/>
              <w:ind w:left="7" w:right="7"/>
              <w:rPr>
                <w:spacing w:val="-2"/>
              </w:rPr>
            </w:pPr>
            <w:r>
              <w:rPr>
                <w:spacing w:val="-2"/>
              </w:rPr>
              <w:t>14.493</w:t>
            </w:r>
          </w:p>
        </w:tc>
        <w:tc>
          <w:tcPr>
            <w:tcW w:w="1124" w:type="dxa"/>
            <w:vMerge w:val="continue"/>
          </w:tcPr>
          <w:p w14:paraId="7AE79929">
            <w:pPr>
              <w:rPr>
                <w:sz w:val="2"/>
                <w:szCs w:val="2"/>
              </w:rPr>
            </w:pPr>
          </w:p>
        </w:tc>
      </w:tr>
      <w:tr w14:paraId="789C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continue"/>
            <w:tcBorders>
              <w:top w:val="nil"/>
              <w:bottom w:val="nil"/>
            </w:tcBorders>
          </w:tcPr>
          <w:p w14:paraId="684425CD">
            <w:pPr>
              <w:rPr>
                <w:sz w:val="2"/>
                <w:szCs w:val="2"/>
              </w:rPr>
            </w:pPr>
          </w:p>
        </w:tc>
        <w:tc>
          <w:tcPr>
            <w:tcW w:w="1431" w:type="dxa"/>
            <w:vMerge w:val="continue"/>
            <w:tcBorders>
              <w:top w:val="nil"/>
              <w:bottom w:val="nil"/>
            </w:tcBorders>
          </w:tcPr>
          <w:p w14:paraId="196B0723">
            <w:pPr>
              <w:rPr>
                <w:sz w:val="2"/>
                <w:szCs w:val="2"/>
              </w:rPr>
            </w:pPr>
          </w:p>
        </w:tc>
        <w:tc>
          <w:tcPr>
            <w:tcW w:w="2559" w:type="dxa"/>
          </w:tcPr>
          <w:p w14:paraId="39FD7F24">
            <w:pPr>
              <w:pStyle w:val="16"/>
              <w:spacing w:line="360" w:lineRule="auto"/>
              <w:ind w:left="786" w:right="415" w:hanging="351"/>
              <w:jc w:val="left"/>
            </w:pPr>
            <w:r>
              <w:t>Borderline</w:t>
            </w:r>
            <w:r>
              <w:rPr>
                <w:spacing w:val="-14"/>
              </w:rPr>
              <w:t xml:space="preserve"> </w:t>
            </w:r>
            <w:r>
              <w:t xml:space="preserve">Clinical </w:t>
            </w:r>
            <w:r>
              <w:rPr>
                <w:spacing w:val="-2"/>
              </w:rPr>
              <w:t>Depression</w:t>
            </w:r>
          </w:p>
        </w:tc>
        <w:tc>
          <w:tcPr>
            <w:tcW w:w="1570" w:type="dxa"/>
          </w:tcPr>
          <w:p w14:paraId="4D034F1C">
            <w:pPr>
              <w:pStyle w:val="16"/>
              <w:spacing w:line="249" w:lineRule="exact"/>
              <w:ind w:left="8" w:right="1"/>
              <w:rPr>
                <w:spacing w:val="-5"/>
              </w:rPr>
            </w:pPr>
            <w:r>
              <w:rPr>
                <w:spacing w:val="-10"/>
              </w:rPr>
              <w:t>4</w:t>
            </w:r>
          </w:p>
        </w:tc>
        <w:tc>
          <w:tcPr>
            <w:tcW w:w="1594" w:type="dxa"/>
          </w:tcPr>
          <w:p w14:paraId="12FEC682">
            <w:pPr>
              <w:pStyle w:val="16"/>
              <w:spacing w:line="249" w:lineRule="exact"/>
              <w:ind w:left="7"/>
              <w:rPr>
                <w:spacing w:val="-2"/>
              </w:rPr>
            </w:pPr>
            <w:r>
              <w:rPr>
                <w:spacing w:val="-2"/>
              </w:rPr>
              <w:t>2.899</w:t>
            </w:r>
          </w:p>
        </w:tc>
        <w:tc>
          <w:tcPr>
            <w:tcW w:w="1124" w:type="dxa"/>
            <w:vMerge w:val="continue"/>
          </w:tcPr>
          <w:p w14:paraId="53121AD4">
            <w:pPr>
              <w:rPr>
                <w:sz w:val="2"/>
                <w:szCs w:val="2"/>
              </w:rPr>
            </w:pPr>
          </w:p>
        </w:tc>
      </w:tr>
      <w:tr w14:paraId="5A284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continue"/>
            <w:tcBorders>
              <w:top w:val="nil"/>
              <w:bottom w:val="nil"/>
            </w:tcBorders>
          </w:tcPr>
          <w:p w14:paraId="17A9A2F0">
            <w:pPr>
              <w:rPr>
                <w:sz w:val="2"/>
                <w:szCs w:val="2"/>
              </w:rPr>
            </w:pPr>
          </w:p>
        </w:tc>
        <w:tc>
          <w:tcPr>
            <w:tcW w:w="1431" w:type="dxa"/>
            <w:vMerge w:val="continue"/>
            <w:tcBorders>
              <w:top w:val="nil"/>
              <w:bottom w:val="nil"/>
            </w:tcBorders>
          </w:tcPr>
          <w:p w14:paraId="61DC960B">
            <w:pPr>
              <w:rPr>
                <w:sz w:val="2"/>
                <w:szCs w:val="2"/>
              </w:rPr>
            </w:pPr>
          </w:p>
        </w:tc>
        <w:tc>
          <w:tcPr>
            <w:tcW w:w="2559" w:type="dxa"/>
          </w:tcPr>
          <w:p w14:paraId="6675216D">
            <w:pPr>
              <w:pStyle w:val="16"/>
              <w:spacing w:line="249" w:lineRule="exact"/>
              <w:ind w:left="11" w:right="5"/>
            </w:pPr>
            <w:r>
              <w:t>Moderate</w:t>
            </w:r>
            <w:r>
              <w:rPr>
                <w:spacing w:val="-8"/>
              </w:rPr>
              <w:t xml:space="preserve"> </w:t>
            </w:r>
            <w:r>
              <w:rPr>
                <w:spacing w:val="-2"/>
              </w:rPr>
              <w:t>Depression</w:t>
            </w:r>
          </w:p>
        </w:tc>
        <w:tc>
          <w:tcPr>
            <w:tcW w:w="1570" w:type="dxa"/>
          </w:tcPr>
          <w:p w14:paraId="36902EFC">
            <w:pPr>
              <w:pStyle w:val="16"/>
              <w:spacing w:line="249" w:lineRule="exact"/>
              <w:ind w:left="8"/>
              <w:rPr>
                <w:spacing w:val="-5"/>
              </w:rPr>
            </w:pPr>
            <w:r>
              <w:rPr>
                <w:spacing w:val="-10"/>
              </w:rPr>
              <w:t>8</w:t>
            </w:r>
          </w:p>
        </w:tc>
        <w:tc>
          <w:tcPr>
            <w:tcW w:w="1594" w:type="dxa"/>
          </w:tcPr>
          <w:p w14:paraId="546751F6">
            <w:pPr>
              <w:pStyle w:val="16"/>
              <w:spacing w:line="249" w:lineRule="exact"/>
              <w:ind w:left="7"/>
              <w:rPr>
                <w:spacing w:val="-2"/>
              </w:rPr>
            </w:pPr>
            <w:r>
              <w:rPr>
                <w:spacing w:val="-2"/>
              </w:rPr>
              <w:t>5.797</w:t>
            </w:r>
          </w:p>
        </w:tc>
        <w:tc>
          <w:tcPr>
            <w:tcW w:w="1124" w:type="dxa"/>
            <w:vMerge w:val="continue"/>
          </w:tcPr>
          <w:p w14:paraId="1AC03119">
            <w:pPr>
              <w:rPr>
                <w:sz w:val="2"/>
                <w:szCs w:val="2"/>
              </w:rPr>
            </w:pPr>
          </w:p>
        </w:tc>
      </w:tr>
      <w:tr w14:paraId="7DB6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725" w:type="dxa"/>
            <w:vMerge w:val="continue"/>
            <w:tcBorders>
              <w:top w:val="nil"/>
            </w:tcBorders>
          </w:tcPr>
          <w:p w14:paraId="554640AE">
            <w:pPr>
              <w:rPr>
                <w:sz w:val="2"/>
                <w:szCs w:val="2"/>
              </w:rPr>
            </w:pPr>
          </w:p>
        </w:tc>
        <w:tc>
          <w:tcPr>
            <w:tcW w:w="1431" w:type="dxa"/>
            <w:vMerge w:val="continue"/>
            <w:tcBorders>
              <w:top w:val="nil"/>
            </w:tcBorders>
          </w:tcPr>
          <w:p w14:paraId="032C3B84">
            <w:pPr>
              <w:rPr>
                <w:sz w:val="2"/>
                <w:szCs w:val="2"/>
              </w:rPr>
            </w:pPr>
          </w:p>
        </w:tc>
        <w:tc>
          <w:tcPr>
            <w:tcW w:w="2559" w:type="dxa"/>
          </w:tcPr>
          <w:p w14:paraId="52F3E46F">
            <w:pPr>
              <w:pStyle w:val="16"/>
              <w:spacing w:line="249" w:lineRule="exact"/>
              <w:ind w:left="11" w:right="1"/>
            </w:pPr>
            <w:r>
              <w:t>Severe</w:t>
            </w:r>
            <w:r>
              <w:rPr>
                <w:spacing w:val="-4"/>
              </w:rPr>
              <w:t xml:space="preserve"> </w:t>
            </w:r>
            <w:r>
              <w:rPr>
                <w:spacing w:val="-2"/>
              </w:rPr>
              <w:t>Depression</w:t>
            </w:r>
          </w:p>
        </w:tc>
        <w:tc>
          <w:tcPr>
            <w:tcW w:w="1570" w:type="dxa"/>
          </w:tcPr>
          <w:p w14:paraId="718F59FA">
            <w:pPr>
              <w:pStyle w:val="16"/>
              <w:spacing w:line="249" w:lineRule="exact"/>
              <w:ind w:left="8" w:right="1"/>
              <w:rPr>
                <w:spacing w:val="-5"/>
              </w:rPr>
            </w:pPr>
            <w:r>
              <w:rPr>
                <w:spacing w:val="-10"/>
              </w:rPr>
              <w:t>8</w:t>
            </w:r>
          </w:p>
        </w:tc>
        <w:tc>
          <w:tcPr>
            <w:tcW w:w="1594" w:type="dxa"/>
          </w:tcPr>
          <w:p w14:paraId="237BD2FE">
            <w:pPr>
              <w:pStyle w:val="16"/>
              <w:spacing w:line="249" w:lineRule="exact"/>
              <w:ind w:left="7"/>
              <w:rPr>
                <w:spacing w:val="-2"/>
              </w:rPr>
            </w:pPr>
            <w:r>
              <w:rPr>
                <w:spacing w:val="-2"/>
              </w:rPr>
              <w:t>5.797</w:t>
            </w:r>
          </w:p>
        </w:tc>
        <w:tc>
          <w:tcPr>
            <w:tcW w:w="1124" w:type="dxa"/>
            <w:vMerge w:val="continue"/>
          </w:tcPr>
          <w:p w14:paraId="605A27D3">
            <w:pPr>
              <w:rPr>
                <w:sz w:val="2"/>
                <w:szCs w:val="2"/>
              </w:rPr>
            </w:pPr>
          </w:p>
        </w:tc>
      </w:tr>
    </w:tbl>
    <w:p w14:paraId="62A80A93">
      <w:pPr>
        <w:pStyle w:val="11"/>
        <w:jc w:val="both"/>
        <w:rPr>
          <w:rStyle w:val="12"/>
        </w:rPr>
      </w:pPr>
      <w:r>
        <w:pict>
          <v:shape id="_x0000_s1069" o:spid="_x0000_s1069" o:spt="202" type="#_x0000_t202" style="position:absolute;left:0pt;margin-left:5.85pt;margin-top:3.9pt;height:29.6pt;width:522.9pt;z-index:251661312;mso-width-relative:page;mso-height-relative:page;" stroked="f" coordsize="21600,21600">
            <v:path/>
            <v:fill focussize="0,0"/>
            <v:stroke on="f" joinstyle="miter"/>
            <v:imagedata o:title=""/>
            <o:lock v:ext="edit"/>
            <v:textbox>
              <w:txbxContent>
                <w:p w14:paraId="552D5025">
                  <w:pPr>
                    <w:pStyle w:val="3"/>
                    <w:tabs>
                      <w:tab w:val="left" w:pos="2582"/>
                    </w:tabs>
                    <w:spacing w:after="0" w:line="480" w:lineRule="atLeast"/>
                    <w:ind w:left="0" w:right="1887"/>
                    <w:jc w:val="center"/>
                    <w:rPr>
                      <w:sz w:val="22"/>
                      <w:szCs w:val="22"/>
                    </w:rPr>
                  </w:pPr>
                  <w:r>
                    <w:rPr>
                      <w:sz w:val="22"/>
                      <w:szCs w:val="22"/>
                      <w:lang w:val="en-IN"/>
                    </w:rPr>
                    <w:t xml:space="preserve">Table 6: </w:t>
                  </w:r>
                  <w:r>
                    <w:rPr>
                      <w:sz w:val="22"/>
                      <w:szCs w:val="22"/>
                    </w:rPr>
                    <w:t>Correlation of</w:t>
                  </w:r>
                  <w:r>
                    <w:rPr>
                      <w:spacing w:val="-2"/>
                      <w:sz w:val="22"/>
                      <w:szCs w:val="22"/>
                    </w:rPr>
                    <w:t xml:space="preserve"> </w:t>
                  </w:r>
                  <w:r>
                    <w:rPr>
                      <w:sz w:val="22"/>
                      <w:szCs w:val="22"/>
                    </w:rPr>
                    <w:t>Trimester</w:t>
                  </w:r>
                  <w:r>
                    <w:rPr>
                      <w:spacing w:val="-3"/>
                      <w:sz w:val="22"/>
                      <w:szCs w:val="22"/>
                    </w:rPr>
                    <w:t xml:space="preserve"> </w:t>
                  </w:r>
                  <w:r>
                    <w:rPr>
                      <w:sz w:val="22"/>
                      <w:szCs w:val="22"/>
                    </w:rPr>
                    <w:t>with</w:t>
                  </w:r>
                  <w:r>
                    <w:rPr>
                      <w:spacing w:val="-7"/>
                      <w:sz w:val="22"/>
                      <w:szCs w:val="22"/>
                    </w:rPr>
                    <w:t xml:space="preserve"> </w:t>
                  </w:r>
                  <w:r>
                    <w:rPr>
                      <w:sz w:val="22"/>
                      <w:szCs w:val="22"/>
                    </w:rPr>
                    <w:t>Classification</w:t>
                  </w:r>
                  <w:r>
                    <w:rPr>
                      <w:spacing w:val="-13"/>
                      <w:sz w:val="22"/>
                      <w:szCs w:val="22"/>
                    </w:rPr>
                    <w:t xml:space="preserve"> </w:t>
                  </w:r>
                  <w:r>
                    <w:rPr>
                      <w:sz w:val="22"/>
                      <w:szCs w:val="22"/>
                    </w:rPr>
                    <w:t>According</w:t>
                  </w:r>
                  <w:r>
                    <w:rPr>
                      <w:spacing w:val="-8"/>
                      <w:sz w:val="22"/>
                      <w:szCs w:val="22"/>
                    </w:rPr>
                    <w:t xml:space="preserve"> </w:t>
                  </w:r>
                  <w:r>
                    <w:rPr>
                      <w:sz w:val="22"/>
                      <w:szCs w:val="22"/>
                    </w:rPr>
                    <w:t>to</w:t>
                  </w:r>
                  <w:r>
                    <w:rPr>
                      <w:spacing w:val="-12"/>
                      <w:sz w:val="22"/>
                      <w:szCs w:val="22"/>
                    </w:rPr>
                    <w:t xml:space="preserve"> </w:t>
                  </w:r>
                  <w:r>
                    <w:rPr>
                      <w:sz w:val="22"/>
                      <w:szCs w:val="22"/>
                    </w:rPr>
                    <w:t xml:space="preserve">BDI </w:t>
                  </w:r>
                  <w:r>
                    <w:rPr>
                      <w:spacing w:val="-2"/>
                      <w:sz w:val="22"/>
                      <w:szCs w:val="22"/>
                    </w:rPr>
                    <w:t>Score</w:t>
                  </w:r>
                </w:p>
                <w:p w14:paraId="46688B02"/>
              </w:txbxContent>
            </v:textbox>
          </v:shape>
        </w:pict>
      </w:r>
    </w:p>
    <w:p w14:paraId="63AA86FC">
      <w:pPr>
        <w:pStyle w:val="11"/>
        <w:jc w:val="both"/>
      </w:pPr>
      <w:r>
        <w:rPr>
          <w:rStyle w:val="12"/>
        </w:rPr>
        <w:t>Correlation of Unplanned Pregnancy with BDI Score:</w:t>
      </w:r>
      <w:r>
        <w:br w:type="textWrapping"/>
      </w:r>
      <w:r>
        <w:t>The analysis of unplanned pregnancy in relation to depression revealed that among those with unplanned pregnancies, 26 experienced mild mood disturbance (18.84%), 15 had borderline clinical depression (10.87%), and 11 had moderate depression (7.97%). In contrast, participants with planned pregnancies showed slightly lower levels of depressive symptoms. Despite these differences, the statistical association was not significant (p=0.612).</w:t>
      </w:r>
    </w:p>
    <w:tbl>
      <w:tblPr>
        <w:tblStyle w:val="5"/>
        <w:tblW w:w="9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2"/>
        <w:gridCol w:w="3221"/>
        <w:gridCol w:w="1469"/>
        <w:gridCol w:w="1431"/>
        <w:gridCol w:w="1503"/>
        <w:gridCol w:w="1503"/>
      </w:tblGrid>
      <w:tr w14:paraId="36A0B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jc w:val="center"/>
        </w:trPr>
        <w:tc>
          <w:tcPr>
            <w:tcW w:w="672" w:type="dxa"/>
            <w:vMerge w:val="restart"/>
          </w:tcPr>
          <w:p w14:paraId="20096CBB">
            <w:pPr>
              <w:pStyle w:val="16"/>
              <w:spacing w:before="63"/>
              <w:ind w:left="16"/>
              <w:rPr>
                <w:spacing w:val="-5"/>
                <w:sz w:val="24"/>
                <w:lang w:val="en-IN"/>
              </w:rPr>
            </w:pPr>
            <w:r>
              <w:rPr>
                <w:spacing w:val="-5"/>
                <w:sz w:val="24"/>
                <w:lang w:val="en-IN"/>
              </w:rPr>
              <w:t>1.</w:t>
            </w:r>
          </w:p>
        </w:tc>
        <w:tc>
          <w:tcPr>
            <w:tcW w:w="3221" w:type="dxa"/>
            <w:vMerge w:val="restart"/>
          </w:tcPr>
          <w:p w14:paraId="249D0D17">
            <w:pPr>
              <w:pStyle w:val="16"/>
              <w:spacing w:before="63"/>
              <w:ind w:left="453"/>
              <w:rPr>
                <w:sz w:val="24"/>
                <w:lang w:val="en-IN"/>
              </w:rPr>
            </w:pPr>
            <w:r>
              <w:rPr>
                <w:sz w:val="24"/>
                <w:lang w:val="en-IN"/>
              </w:rPr>
              <w:t>Normal</w:t>
            </w:r>
          </w:p>
        </w:tc>
        <w:tc>
          <w:tcPr>
            <w:tcW w:w="1469" w:type="dxa"/>
          </w:tcPr>
          <w:p w14:paraId="380BE5F3">
            <w:pPr>
              <w:pStyle w:val="16"/>
              <w:spacing w:before="63"/>
              <w:ind w:left="19" w:right="1"/>
              <w:rPr>
                <w:spacing w:val="-5"/>
                <w:sz w:val="24"/>
                <w:lang w:val="en-IN"/>
              </w:rPr>
            </w:pPr>
            <w:r>
              <w:rPr>
                <w:spacing w:val="-5"/>
                <w:sz w:val="24"/>
                <w:lang w:val="en-IN"/>
              </w:rPr>
              <w:t>Yes</w:t>
            </w:r>
          </w:p>
        </w:tc>
        <w:tc>
          <w:tcPr>
            <w:tcW w:w="1431" w:type="dxa"/>
          </w:tcPr>
          <w:p w14:paraId="3B8176C4">
            <w:pPr>
              <w:pStyle w:val="16"/>
              <w:spacing w:before="63"/>
              <w:ind w:left="24" w:right="5"/>
              <w:rPr>
                <w:spacing w:val="-5"/>
                <w:sz w:val="24"/>
                <w:lang w:val="en-IN"/>
              </w:rPr>
            </w:pPr>
            <w:r>
              <w:rPr>
                <w:spacing w:val="-5"/>
                <w:sz w:val="24"/>
                <w:lang w:val="en-IN"/>
              </w:rPr>
              <w:t>7</w:t>
            </w:r>
          </w:p>
        </w:tc>
        <w:tc>
          <w:tcPr>
            <w:tcW w:w="1503" w:type="dxa"/>
          </w:tcPr>
          <w:p w14:paraId="70B60EB9">
            <w:pPr>
              <w:pStyle w:val="16"/>
              <w:spacing w:before="63"/>
              <w:ind w:left="21"/>
              <w:rPr>
                <w:spacing w:val="-2"/>
                <w:sz w:val="24"/>
                <w:lang w:val="en-IN"/>
              </w:rPr>
            </w:pPr>
            <w:r>
              <w:rPr>
                <w:spacing w:val="-2"/>
                <w:sz w:val="24"/>
                <w:lang w:val="en-IN"/>
              </w:rPr>
              <w:t>5.072</w:t>
            </w:r>
          </w:p>
        </w:tc>
        <w:tc>
          <w:tcPr>
            <w:tcW w:w="1503" w:type="dxa"/>
            <w:vMerge w:val="restart"/>
          </w:tcPr>
          <w:p w14:paraId="135FC107">
            <w:pPr>
              <w:pStyle w:val="16"/>
              <w:spacing w:before="63"/>
              <w:ind w:left="21"/>
              <w:rPr>
                <w:spacing w:val="-2"/>
                <w:sz w:val="24"/>
                <w:lang w:val="en-IN"/>
              </w:rPr>
            </w:pPr>
          </w:p>
          <w:p w14:paraId="5B7CD9B8">
            <w:pPr>
              <w:pStyle w:val="16"/>
              <w:spacing w:before="63"/>
              <w:ind w:left="21"/>
              <w:rPr>
                <w:spacing w:val="-2"/>
                <w:sz w:val="24"/>
                <w:lang w:val="en-IN"/>
              </w:rPr>
            </w:pPr>
          </w:p>
          <w:p w14:paraId="5FB9602D">
            <w:pPr>
              <w:pStyle w:val="16"/>
              <w:spacing w:before="63"/>
              <w:ind w:left="21"/>
              <w:rPr>
                <w:spacing w:val="-2"/>
                <w:sz w:val="24"/>
                <w:lang w:val="en-IN"/>
              </w:rPr>
            </w:pPr>
          </w:p>
          <w:p w14:paraId="65AB939C">
            <w:pPr>
              <w:pStyle w:val="16"/>
              <w:spacing w:before="63"/>
              <w:ind w:left="21"/>
              <w:rPr>
                <w:spacing w:val="-2"/>
                <w:sz w:val="24"/>
                <w:lang w:val="en-IN"/>
              </w:rPr>
            </w:pPr>
          </w:p>
          <w:p w14:paraId="024AABC8">
            <w:pPr>
              <w:pStyle w:val="16"/>
              <w:spacing w:before="63"/>
              <w:ind w:left="21"/>
              <w:rPr>
                <w:spacing w:val="-2"/>
                <w:sz w:val="24"/>
                <w:lang w:val="en-IN"/>
              </w:rPr>
            </w:pPr>
          </w:p>
          <w:p w14:paraId="05ACBE8C">
            <w:pPr>
              <w:pStyle w:val="16"/>
              <w:spacing w:before="63"/>
              <w:ind w:left="21"/>
              <w:rPr>
                <w:spacing w:val="-2"/>
                <w:sz w:val="24"/>
                <w:lang w:val="en-IN"/>
              </w:rPr>
            </w:pPr>
          </w:p>
          <w:p w14:paraId="4F16BEC0">
            <w:pPr>
              <w:pStyle w:val="16"/>
              <w:spacing w:before="63"/>
              <w:ind w:left="21"/>
              <w:rPr>
                <w:spacing w:val="-2"/>
                <w:sz w:val="24"/>
                <w:lang w:val="en-IN"/>
              </w:rPr>
            </w:pPr>
            <w:r>
              <w:rPr>
                <w:spacing w:val="-2"/>
                <w:sz w:val="24"/>
                <w:lang w:val="en-IN"/>
              </w:rPr>
              <w:t>0.612</w:t>
            </w:r>
          </w:p>
        </w:tc>
      </w:tr>
      <w:tr w14:paraId="46142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jc w:val="center"/>
        </w:trPr>
        <w:tc>
          <w:tcPr>
            <w:tcW w:w="672" w:type="dxa"/>
            <w:vMerge w:val="continue"/>
          </w:tcPr>
          <w:p w14:paraId="4FA33D7C">
            <w:pPr>
              <w:pStyle w:val="16"/>
              <w:spacing w:before="63"/>
              <w:ind w:left="16"/>
              <w:rPr>
                <w:spacing w:val="-5"/>
                <w:sz w:val="24"/>
              </w:rPr>
            </w:pPr>
          </w:p>
        </w:tc>
        <w:tc>
          <w:tcPr>
            <w:tcW w:w="3221" w:type="dxa"/>
            <w:vMerge w:val="continue"/>
          </w:tcPr>
          <w:p w14:paraId="447A98B6">
            <w:pPr>
              <w:pStyle w:val="16"/>
              <w:spacing w:before="63"/>
              <w:ind w:left="453"/>
              <w:jc w:val="left"/>
              <w:rPr>
                <w:sz w:val="24"/>
              </w:rPr>
            </w:pPr>
          </w:p>
        </w:tc>
        <w:tc>
          <w:tcPr>
            <w:tcW w:w="1469" w:type="dxa"/>
          </w:tcPr>
          <w:p w14:paraId="2E414FB7">
            <w:pPr>
              <w:pStyle w:val="16"/>
              <w:spacing w:before="63"/>
              <w:ind w:left="19" w:right="1"/>
              <w:rPr>
                <w:spacing w:val="-5"/>
                <w:sz w:val="24"/>
                <w:lang w:val="en-IN"/>
              </w:rPr>
            </w:pPr>
            <w:r>
              <w:rPr>
                <w:spacing w:val="-5"/>
                <w:sz w:val="24"/>
                <w:lang w:val="en-IN"/>
              </w:rPr>
              <w:t>No</w:t>
            </w:r>
          </w:p>
        </w:tc>
        <w:tc>
          <w:tcPr>
            <w:tcW w:w="1431" w:type="dxa"/>
          </w:tcPr>
          <w:p w14:paraId="1A9BF1E7">
            <w:pPr>
              <w:pStyle w:val="16"/>
              <w:spacing w:before="63"/>
              <w:ind w:left="24" w:right="5"/>
              <w:rPr>
                <w:spacing w:val="-5"/>
                <w:sz w:val="24"/>
                <w:lang w:val="en-IN"/>
              </w:rPr>
            </w:pPr>
            <w:r>
              <w:rPr>
                <w:spacing w:val="-5"/>
                <w:sz w:val="24"/>
                <w:lang w:val="en-IN"/>
              </w:rPr>
              <w:t>11</w:t>
            </w:r>
          </w:p>
        </w:tc>
        <w:tc>
          <w:tcPr>
            <w:tcW w:w="1503" w:type="dxa"/>
          </w:tcPr>
          <w:p w14:paraId="6B9BFD43">
            <w:pPr>
              <w:pStyle w:val="16"/>
              <w:spacing w:before="63"/>
              <w:ind w:left="21"/>
              <w:rPr>
                <w:spacing w:val="-2"/>
                <w:sz w:val="24"/>
                <w:lang w:val="en-IN"/>
              </w:rPr>
            </w:pPr>
            <w:r>
              <w:rPr>
                <w:spacing w:val="-2"/>
                <w:sz w:val="24"/>
                <w:lang w:val="en-IN"/>
              </w:rPr>
              <w:t>7.91</w:t>
            </w:r>
          </w:p>
        </w:tc>
        <w:tc>
          <w:tcPr>
            <w:tcW w:w="1503" w:type="dxa"/>
            <w:vMerge w:val="continue"/>
          </w:tcPr>
          <w:p w14:paraId="5A4FE514">
            <w:pPr>
              <w:pStyle w:val="16"/>
              <w:spacing w:before="63"/>
              <w:ind w:left="21"/>
              <w:rPr>
                <w:spacing w:val="-2"/>
                <w:sz w:val="24"/>
                <w:lang w:val="en-IN"/>
              </w:rPr>
            </w:pPr>
          </w:p>
        </w:tc>
      </w:tr>
      <w:tr w14:paraId="683F1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jc w:val="center"/>
        </w:trPr>
        <w:tc>
          <w:tcPr>
            <w:tcW w:w="672" w:type="dxa"/>
            <w:vMerge w:val="restart"/>
          </w:tcPr>
          <w:p w14:paraId="0E0D4EDB">
            <w:pPr>
              <w:pStyle w:val="16"/>
              <w:spacing w:before="63"/>
              <w:ind w:left="16"/>
              <w:rPr>
                <w:sz w:val="24"/>
              </w:rPr>
            </w:pPr>
            <w:r>
              <w:rPr>
                <w:spacing w:val="-5"/>
                <w:sz w:val="24"/>
              </w:rPr>
              <w:t>2.</w:t>
            </w:r>
          </w:p>
        </w:tc>
        <w:tc>
          <w:tcPr>
            <w:tcW w:w="3221" w:type="dxa"/>
            <w:vMerge w:val="restart"/>
          </w:tcPr>
          <w:p w14:paraId="2F96F1F7">
            <w:pPr>
              <w:pStyle w:val="16"/>
              <w:spacing w:before="63"/>
              <w:ind w:left="453"/>
              <w:jc w:val="left"/>
              <w:rPr>
                <w:sz w:val="24"/>
              </w:rPr>
            </w:pPr>
            <w:r>
              <w:rPr>
                <w:sz w:val="24"/>
              </w:rPr>
              <w:t>Mild Mood</w:t>
            </w:r>
            <w:r>
              <w:rPr>
                <w:spacing w:val="3"/>
                <w:sz w:val="24"/>
              </w:rPr>
              <w:t xml:space="preserve"> </w:t>
            </w:r>
            <w:r>
              <w:rPr>
                <w:spacing w:val="-2"/>
                <w:sz w:val="24"/>
              </w:rPr>
              <w:t>Disturbance</w:t>
            </w:r>
          </w:p>
        </w:tc>
        <w:tc>
          <w:tcPr>
            <w:tcW w:w="1469" w:type="dxa"/>
          </w:tcPr>
          <w:p w14:paraId="4CCD525E">
            <w:pPr>
              <w:pStyle w:val="16"/>
              <w:spacing w:before="63"/>
              <w:ind w:left="19" w:right="1"/>
              <w:rPr>
                <w:sz w:val="24"/>
              </w:rPr>
            </w:pPr>
            <w:r>
              <w:rPr>
                <w:spacing w:val="-5"/>
                <w:sz w:val="24"/>
              </w:rPr>
              <w:t>Yes</w:t>
            </w:r>
          </w:p>
        </w:tc>
        <w:tc>
          <w:tcPr>
            <w:tcW w:w="1431" w:type="dxa"/>
          </w:tcPr>
          <w:p w14:paraId="7BDDBE7B">
            <w:pPr>
              <w:pStyle w:val="16"/>
              <w:spacing w:before="63"/>
              <w:ind w:left="24" w:right="5"/>
              <w:rPr>
                <w:sz w:val="24"/>
              </w:rPr>
            </w:pPr>
            <w:r>
              <w:rPr>
                <w:spacing w:val="-5"/>
                <w:sz w:val="24"/>
              </w:rPr>
              <w:t>26</w:t>
            </w:r>
          </w:p>
        </w:tc>
        <w:tc>
          <w:tcPr>
            <w:tcW w:w="1503" w:type="dxa"/>
          </w:tcPr>
          <w:p w14:paraId="04E168D4">
            <w:pPr>
              <w:pStyle w:val="16"/>
              <w:spacing w:before="63"/>
              <w:ind w:left="21"/>
              <w:rPr>
                <w:sz w:val="24"/>
              </w:rPr>
            </w:pPr>
            <w:r>
              <w:rPr>
                <w:spacing w:val="-2"/>
                <w:sz w:val="24"/>
              </w:rPr>
              <w:t>18.841</w:t>
            </w:r>
          </w:p>
        </w:tc>
        <w:tc>
          <w:tcPr>
            <w:tcW w:w="1503" w:type="dxa"/>
            <w:vMerge w:val="continue"/>
          </w:tcPr>
          <w:p w14:paraId="567F2F1B">
            <w:pPr>
              <w:pStyle w:val="16"/>
              <w:spacing w:before="63"/>
              <w:ind w:left="21"/>
              <w:rPr>
                <w:spacing w:val="-2"/>
                <w:sz w:val="24"/>
              </w:rPr>
            </w:pPr>
          </w:p>
        </w:tc>
      </w:tr>
      <w:tr w14:paraId="4C1A6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672" w:type="dxa"/>
            <w:vMerge w:val="continue"/>
            <w:tcBorders>
              <w:top w:val="nil"/>
            </w:tcBorders>
          </w:tcPr>
          <w:p w14:paraId="568D3F2B">
            <w:pPr>
              <w:rPr>
                <w:sz w:val="2"/>
                <w:szCs w:val="2"/>
              </w:rPr>
            </w:pPr>
          </w:p>
        </w:tc>
        <w:tc>
          <w:tcPr>
            <w:tcW w:w="3221" w:type="dxa"/>
            <w:vMerge w:val="continue"/>
            <w:tcBorders>
              <w:top w:val="nil"/>
            </w:tcBorders>
          </w:tcPr>
          <w:p w14:paraId="03BD3F06">
            <w:pPr>
              <w:rPr>
                <w:sz w:val="2"/>
                <w:szCs w:val="2"/>
              </w:rPr>
            </w:pPr>
          </w:p>
        </w:tc>
        <w:tc>
          <w:tcPr>
            <w:tcW w:w="1469" w:type="dxa"/>
          </w:tcPr>
          <w:p w14:paraId="0E2779F6">
            <w:pPr>
              <w:pStyle w:val="16"/>
              <w:spacing w:before="63"/>
              <w:ind w:left="19" w:right="4"/>
              <w:rPr>
                <w:sz w:val="24"/>
              </w:rPr>
            </w:pPr>
            <w:r>
              <w:rPr>
                <w:spacing w:val="-5"/>
                <w:sz w:val="24"/>
              </w:rPr>
              <w:t>No</w:t>
            </w:r>
          </w:p>
        </w:tc>
        <w:tc>
          <w:tcPr>
            <w:tcW w:w="1431" w:type="dxa"/>
          </w:tcPr>
          <w:p w14:paraId="1B7E8F5D">
            <w:pPr>
              <w:pStyle w:val="16"/>
              <w:spacing w:before="63"/>
              <w:ind w:left="24" w:right="5"/>
              <w:rPr>
                <w:sz w:val="24"/>
              </w:rPr>
            </w:pPr>
            <w:r>
              <w:rPr>
                <w:spacing w:val="-5"/>
                <w:sz w:val="24"/>
              </w:rPr>
              <w:t>23</w:t>
            </w:r>
          </w:p>
        </w:tc>
        <w:tc>
          <w:tcPr>
            <w:tcW w:w="1503" w:type="dxa"/>
          </w:tcPr>
          <w:p w14:paraId="614E90B7">
            <w:pPr>
              <w:pStyle w:val="16"/>
              <w:spacing w:before="63"/>
              <w:ind w:left="21" w:right="1"/>
              <w:rPr>
                <w:sz w:val="24"/>
              </w:rPr>
            </w:pPr>
            <w:r>
              <w:rPr>
                <w:spacing w:val="-2"/>
                <w:sz w:val="24"/>
              </w:rPr>
              <w:t>16.667</w:t>
            </w:r>
          </w:p>
        </w:tc>
        <w:tc>
          <w:tcPr>
            <w:tcW w:w="1503" w:type="dxa"/>
            <w:vMerge w:val="continue"/>
          </w:tcPr>
          <w:p w14:paraId="1E12A396">
            <w:pPr>
              <w:pStyle w:val="16"/>
              <w:spacing w:before="63"/>
              <w:ind w:left="21" w:right="1"/>
              <w:rPr>
                <w:spacing w:val="-2"/>
                <w:sz w:val="24"/>
              </w:rPr>
            </w:pPr>
          </w:p>
        </w:tc>
      </w:tr>
      <w:tr w14:paraId="0F4D6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672" w:type="dxa"/>
            <w:vMerge w:val="restart"/>
          </w:tcPr>
          <w:p w14:paraId="2B4453E8">
            <w:pPr>
              <w:pStyle w:val="16"/>
              <w:spacing w:before="63"/>
              <w:ind w:left="16"/>
              <w:rPr>
                <w:sz w:val="24"/>
              </w:rPr>
            </w:pPr>
            <w:r>
              <w:rPr>
                <w:spacing w:val="-5"/>
                <w:sz w:val="24"/>
              </w:rPr>
              <w:t>3.</w:t>
            </w:r>
          </w:p>
        </w:tc>
        <w:tc>
          <w:tcPr>
            <w:tcW w:w="3221" w:type="dxa"/>
            <w:vMerge w:val="restart"/>
          </w:tcPr>
          <w:p w14:paraId="7753AF17">
            <w:pPr>
              <w:pStyle w:val="16"/>
              <w:spacing w:before="63" w:line="484" w:lineRule="auto"/>
              <w:ind w:left="1072" w:right="696" w:hanging="413"/>
              <w:jc w:val="left"/>
              <w:rPr>
                <w:sz w:val="24"/>
              </w:rPr>
            </w:pPr>
            <w:r>
              <w:rPr>
                <w:sz w:val="24"/>
              </w:rPr>
              <w:t>Borderline</w:t>
            </w:r>
            <w:r>
              <w:rPr>
                <w:spacing w:val="-15"/>
                <w:sz w:val="24"/>
              </w:rPr>
              <w:t xml:space="preserve"> </w:t>
            </w:r>
            <w:r>
              <w:rPr>
                <w:sz w:val="24"/>
              </w:rPr>
              <w:t xml:space="preserve">Clinical </w:t>
            </w:r>
            <w:r>
              <w:rPr>
                <w:spacing w:val="-2"/>
                <w:sz w:val="24"/>
              </w:rPr>
              <w:t>Depression</w:t>
            </w:r>
          </w:p>
        </w:tc>
        <w:tc>
          <w:tcPr>
            <w:tcW w:w="1469" w:type="dxa"/>
          </w:tcPr>
          <w:p w14:paraId="6070EDF4">
            <w:pPr>
              <w:pStyle w:val="16"/>
              <w:spacing w:before="63"/>
              <w:ind w:left="19" w:right="1"/>
              <w:rPr>
                <w:sz w:val="24"/>
              </w:rPr>
            </w:pPr>
            <w:r>
              <w:rPr>
                <w:spacing w:val="-5"/>
                <w:sz w:val="24"/>
              </w:rPr>
              <w:t>Yes</w:t>
            </w:r>
          </w:p>
        </w:tc>
        <w:tc>
          <w:tcPr>
            <w:tcW w:w="1431" w:type="dxa"/>
          </w:tcPr>
          <w:p w14:paraId="6765995B">
            <w:pPr>
              <w:pStyle w:val="16"/>
              <w:spacing w:before="63"/>
              <w:ind w:left="24" w:right="5"/>
              <w:rPr>
                <w:sz w:val="24"/>
              </w:rPr>
            </w:pPr>
            <w:r>
              <w:rPr>
                <w:spacing w:val="-5"/>
                <w:sz w:val="24"/>
              </w:rPr>
              <w:t>15</w:t>
            </w:r>
          </w:p>
        </w:tc>
        <w:tc>
          <w:tcPr>
            <w:tcW w:w="1503" w:type="dxa"/>
          </w:tcPr>
          <w:p w14:paraId="3FB93198">
            <w:pPr>
              <w:pStyle w:val="16"/>
              <w:spacing w:before="63"/>
              <w:ind w:left="21" w:right="3"/>
              <w:rPr>
                <w:sz w:val="24"/>
              </w:rPr>
            </w:pPr>
            <w:r>
              <w:rPr>
                <w:spacing w:val="-2"/>
                <w:sz w:val="24"/>
              </w:rPr>
              <w:t>10.87</w:t>
            </w:r>
          </w:p>
        </w:tc>
        <w:tc>
          <w:tcPr>
            <w:tcW w:w="1503" w:type="dxa"/>
            <w:vMerge w:val="continue"/>
          </w:tcPr>
          <w:p w14:paraId="3EB05F86">
            <w:pPr>
              <w:pStyle w:val="16"/>
              <w:spacing w:before="63"/>
              <w:ind w:left="21" w:right="3"/>
              <w:rPr>
                <w:spacing w:val="-2"/>
                <w:sz w:val="24"/>
              </w:rPr>
            </w:pPr>
          </w:p>
        </w:tc>
      </w:tr>
      <w:tr w14:paraId="55AD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672" w:type="dxa"/>
            <w:vMerge w:val="continue"/>
            <w:tcBorders>
              <w:top w:val="nil"/>
            </w:tcBorders>
          </w:tcPr>
          <w:p w14:paraId="2670CADD">
            <w:pPr>
              <w:rPr>
                <w:sz w:val="2"/>
                <w:szCs w:val="2"/>
              </w:rPr>
            </w:pPr>
          </w:p>
        </w:tc>
        <w:tc>
          <w:tcPr>
            <w:tcW w:w="3221" w:type="dxa"/>
            <w:vMerge w:val="continue"/>
            <w:tcBorders>
              <w:top w:val="nil"/>
            </w:tcBorders>
          </w:tcPr>
          <w:p w14:paraId="5023528E">
            <w:pPr>
              <w:rPr>
                <w:sz w:val="2"/>
                <w:szCs w:val="2"/>
              </w:rPr>
            </w:pPr>
          </w:p>
        </w:tc>
        <w:tc>
          <w:tcPr>
            <w:tcW w:w="1469" w:type="dxa"/>
          </w:tcPr>
          <w:p w14:paraId="7622FC5B">
            <w:pPr>
              <w:pStyle w:val="16"/>
              <w:spacing w:before="63"/>
              <w:ind w:left="19" w:right="4"/>
              <w:rPr>
                <w:sz w:val="24"/>
              </w:rPr>
            </w:pPr>
            <w:r>
              <w:rPr>
                <w:spacing w:val="-5"/>
                <w:sz w:val="24"/>
              </w:rPr>
              <w:t>No</w:t>
            </w:r>
          </w:p>
        </w:tc>
        <w:tc>
          <w:tcPr>
            <w:tcW w:w="1431" w:type="dxa"/>
          </w:tcPr>
          <w:p w14:paraId="3738290B">
            <w:pPr>
              <w:pStyle w:val="16"/>
              <w:spacing w:before="63"/>
              <w:ind w:left="24" w:right="5"/>
              <w:rPr>
                <w:sz w:val="24"/>
              </w:rPr>
            </w:pPr>
            <w:r>
              <w:rPr>
                <w:spacing w:val="-5"/>
                <w:sz w:val="24"/>
              </w:rPr>
              <w:t>12</w:t>
            </w:r>
          </w:p>
        </w:tc>
        <w:tc>
          <w:tcPr>
            <w:tcW w:w="1503" w:type="dxa"/>
          </w:tcPr>
          <w:p w14:paraId="008B59C0">
            <w:pPr>
              <w:pStyle w:val="16"/>
              <w:spacing w:before="63"/>
              <w:ind w:left="21" w:right="3"/>
              <w:rPr>
                <w:sz w:val="24"/>
              </w:rPr>
            </w:pPr>
            <w:r>
              <w:rPr>
                <w:spacing w:val="-4"/>
                <w:sz w:val="24"/>
              </w:rPr>
              <w:t>8.696</w:t>
            </w:r>
          </w:p>
        </w:tc>
        <w:tc>
          <w:tcPr>
            <w:tcW w:w="1503" w:type="dxa"/>
            <w:vMerge w:val="continue"/>
          </w:tcPr>
          <w:p w14:paraId="7CFECA8D">
            <w:pPr>
              <w:pStyle w:val="16"/>
              <w:spacing w:before="63"/>
              <w:ind w:left="21" w:right="3"/>
              <w:rPr>
                <w:spacing w:val="-4"/>
                <w:sz w:val="24"/>
              </w:rPr>
            </w:pPr>
          </w:p>
        </w:tc>
      </w:tr>
      <w:tr w14:paraId="297F7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672" w:type="dxa"/>
            <w:vMerge w:val="restart"/>
          </w:tcPr>
          <w:p w14:paraId="7BF11162">
            <w:pPr>
              <w:pStyle w:val="16"/>
              <w:spacing w:before="63"/>
              <w:ind w:left="16"/>
              <w:rPr>
                <w:sz w:val="24"/>
              </w:rPr>
            </w:pPr>
            <w:r>
              <w:rPr>
                <w:spacing w:val="-5"/>
                <w:sz w:val="24"/>
              </w:rPr>
              <w:t>4.</w:t>
            </w:r>
          </w:p>
        </w:tc>
        <w:tc>
          <w:tcPr>
            <w:tcW w:w="3221" w:type="dxa"/>
            <w:vMerge w:val="restart"/>
          </w:tcPr>
          <w:p w14:paraId="6A34C4C0">
            <w:pPr>
              <w:pStyle w:val="16"/>
              <w:spacing w:before="63"/>
              <w:ind w:left="583"/>
              <w:jc w:val="left"/>
              <w:rPr>
                <w:sz w:val="24"/>
              </w:rPr>
            </w:pPr>
            <w:r>
              <w:rPr>
                <w:sz w:val="24"/>
              </w:rPr>
              <w:t>Moderate</w:t>
            </w:r>
            <w:r>
              <w:rPr>
                <w:spacing w:val="2"/>
                <w:sz w:val="24"/>
              </w:rPr>
              <w:t xml:space="preserve"> </w:t>
            </w:r>
            <w:r>
              <w:rPr>
                <w:spacing w:val="-2"/>
                <w:sz w:val="24"/>
              </w:rPr>
              <w:t>Depression</w:t>
            </w:r>
          </w:p>
        </w:tc>
        <w:tc>
          <w:tcPr>
            <w:tcW w:w="1469" w:type="dxa"/>
          </w:tcPr>
          <w:p w14:paraId="056CE62D">
            <w:pPr>
              <w:pStyle w:val="16"/>
              <w:spacing w:before="63"/>
              <w:ind w:left="19"/>
              <w:rPr>
                <w:sz w:val="24"/>
              </w:rPr>
            </w:pPr>
            <w:r>
              <w:rPr>
                <w:spacing w:val="-5"/>
                <w:sz w:val="24"/>
              </w:rPr>
              <w:t>Yes</w:t>
            </w:r>
          </w:p>
        </w:tc>
        <w:tc>
          <w:tcPr>
            <w:tcW w:w="1431" w:type="dxa"/>
          </w:tcPr>
          <w:p w14:paraId="3DC6F974">
            <w:pPr>
              <w:pStyle w:val="16"/>
              <w:spacing w:before="63"/>
              <w:ind w:left="24" w:right="4"/>
              <w:rPr>
                <w:sz w:val="24"/>
              </w:rPr>
            </w:pPr>
            <w:r>
              <w:rPr>
                <w:spacing w:val="-5"/>
                <w:sz w:val="24"/>
              </w:rPr>
              <w:t>11</w:t>
            </w:r>
          </w:p>
        </w:tc>
        <w:tc>
          <w:tcPr>
            <w:tcW w:w="1503" w:type="dxa"/>
          </w:tcPr>
          <w:p w14:paraId="155CBE52">
            <w:pPr>
              <w:pStyle w:val="16"/>
              <w:spacing w:before="63"/>
              <w:ind w:left="21" w:right="2"/>
              <w:rPr>
                <w:sz w:val="24"/>
              </w:rPr>
            </w:pPr>
            <w:r>
              <w:rPr>
                <w:spacing w:val="-4"/>
                <w:sz w:val="24"/>
              </w:rPr>
              <w:t>7.971</w:t>
            </w:r>
          </w:p>
        </w:tc>
        <w:tc>
          <w:tcPr>
            <w:tcW w:w="1503" w:type="dxa"/>
            <w:vMerge w:val="continue"/>
          </w:tcPr>
          <w:p w14:paraId="21FE07D6">
            <w:pPr>
              <w:pStyle w:val="16"/>
              <w:spacing w:before="63"/>
              <w:ind w:left="21" w:right="2"/>
              <w:rPr>
                <w:spacing w:val="-4"/>
                <w:sz w:val="24"/>
              </w:rPr>
            </w:pPr>
          </w:p>
        </w:tc>
      </w:tr>
      <w:tr w14:paraId="4E52F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672" w:type="dxa"/>
            <w:vMerge w:val="continue"/>
            <w:tcBorders>
              <w:top w:val="nil"/>
            </w:tcBorders>
          </w:tcPr>
          <w:p w14:paraId="19318C99">
            <w:pPr>
              <w:rPr>
                <w:sz w:val="2"/>
                <w:szCs w:val="2"/>
              </w:rPr>
            </w:pPr>
          </w:p>
        </w:tc>
        <w:tc>
          <w:tcPr>
            <w:tcW w:w="3221" w:type="dxa"/>
            <w:vMerge w:val="continue"/>
            <w:tcBorders>
              <w:top w:val="nil"/>
            </w:tcBorders>
          </w:tcPr>
          <w:p w14:paraId="1CEB884D">
            <w:pPr>
              <w:rPr>
                <w:sz w:val="2"/>
                <w:szCs w:val="2"/>
              </w:rPr>
            </w:pPr>
          </w:p>
        </w:tc>
        <w:tc>
          <w:tcPr>
            <w:tcW w:w="1469" w:type="dxa"/>
          </w:tcPr>
          <w:p w14:paraId="12D8A6BA">
            <w:pPr>
              <w:pStyle w:val="16"/>
              <w:spacing w:before="63"/>
              <w:ind w:left="19" w:right="4"/>
              <w:rPr>
                <w:sz w:val="24"/>
              </w:rPr>
            </w:pPr>
            <w:r>
              <w:rPr>
                <w:spacing w:val="-5"/>
                <w:sz w:val="24"/>
              </w:rPr>
              <w:t>No</w:t>
            </w:r>
          </w:p>
        </w:tc>
        <w:tc>
          <w:tcPr>
            <w:tcW w:w="1431" w:type="dxa"/>
          </w:tcPr>
          <w:p w14:paraId="1C80DC41">
            <w:pPr>
              <w:pStyle w:val="16"/>
              <w:spacing w:before="63"/>
              <w:ind w:left="24" w:right="5"/>
              <w:rPr>
                <w:sz w:val="24"/>
              </w:rPr>
            </w:pPr>
            <w:r>
              <w:rPr>
                <w:spacing w:val="-5"/>
                <w:sz w:val="24"/>
              </w:rPr>
              <w:t>17</w:t>
            </w:r>
          </w:p>
        </w:tc>
        <w:tc>
          <w:tcPr>
            <w:tcW w:w="1503" w:type="dxa"/>
          </w:tcPr>
          <w:p w14:paraId="168E6350">
            <w:pPr>
              <w:pStyle w:val="16"/>
              <w:spacing w:before="63"/>
              <w:ind w:left="21" w:right="1"/>
              <w:rPr>
                <w:sz w:val="24"/>
              </w:rPr>
            </w:pPr>
            <w:r>
              <w:rPr>
                <w:spacing w:val="-2"/>
                <w:sz w:val="24"/>
              </w:rPr>
              <w:t>12.319</w:t>
            </w:r>
          </w:p>
        </w:tc>
        <w:tc>
          <w:tcPr>
            <w:tcW w:w="1503" w:type="dxa"/>
            <w:vMerge w:val="continue"/>
          </w:tcPr>
          <w:p w14:paraId="6F84A24A">
            <w:pPr>
              <w:pStyle w:val="16"/>
              <w:spacing w:before="63"/>
              <w:ind w:left="21" w:right="1"/>
              <w:rPr>
                <w:spacing w:val="-2"/>
                <w:sz w:val="24"/>
              </w:rPr>
            </w:pPr>
          </w:p>
        </w:tc>
      </w:tr>
      <w:tr w14:paraId="4967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jc w:val="center"/>
        </w:trPr>
        <w:tc>
          <w:tcPr>
            <w:tcW w:w="672" w:type="dxa"/>
            <w:vMerge w:val="restart"/>
          </w:tcPr>
          <w:p w14:paraId="5F6205E1">
            <w:pPr>
              <w:pStyle w:val="16"/>
              <w:spacing w:before="63"/>
              <w:ind w:left="16"/>
              <w:rPr>
                <w:sz w:val="24"/>
              </w:rPr>
            </w:pPr>
            <w:r>
              <w:rPr>
                <w:spacing w:val="-5"/>
                <w:sz w:val="24"/>
              </w:rPr>
              <w:t>5.</w:t>
            </w:r>
          </w:p>
        </w:tc>
        <w:tc>
          <w:tcPr>
            <w:tcW w:w="3221" w:type="dxa"/>
            <w:vMerge w:val="restart"/>
          </w:tcPr>
          <w:p w14:paraId="4E88631A">
            <w:pPr>
              <w:pStyle w:val="16"/>
              <w:spacing w:before="63"/>
              <w:ind w:left="717"/>
              <w:jc w:val="left"/>
              <w:rPr>
                <w:sz w:val="24"/>
              </w:rPr>
            </w:pPr>
            <w:r>
              <w:rPr>
                <w:sz w:val="24"/>
              </w:rPr>
              <w:t>Severe</w:t>
            </w:r>
            <w:r>
              <w:rPr>
                <w:spacing w:val="-5"/>
                <w:sz w:val="24"/>
              </w:rPr>
              <w:t xml:space="preserve"> </w:t>
            </w:r>
            <w:r>
              <w:rPr>
                <w:spacing w:val="-2"/>
                <w:sz w:val="24"/>
              </w:rPr>
              <w:t>Depression</w:t>
            </w:r>
          </w:p>
        </w:tc>
        <w:tc>
          <w:tcPr>
            <w:tcW w:w="1469" w:type="dxa"/>
          </w:tcPr>
          <w:p w14:paraId="614EB888">
            <w:pPr>
              <w:pStyle w:val="16"/>
              <w:spacing w:before="63"/>
              <w:ind w:left="19" w:right="1"/>
              <w:rPr>
                <w:sz w:val="24"/>
              </w:rPr>
            </w:pPr>
            <w:r>
              <w:rPr>
                <w:spacing w:val="-5"/>
                <w:sz w:val="24"/>
              </w:rPr>
              <w:t>Yes</w:t>
            </w:r>
          </w:p>
        </w:tc>
        <w:tc>
          <w:tcPr>
            <w:tcW w:w="1431" w:type="dxa"/>
          </w:tcPr>
          <w:p w14:paraId="240A1C50">
            <w:pPr>
              <w:pStyle w:val="16"/>
              <w:spacing w:before="63"/>
              <w:ind w:left="24" w:right="1"/>
              <w:rPr>
                <w:sz w:val="24"/>
              </w:rPr>
            </w:pPr>
            <w:r>
              <w:rPr>
                <w:spacing w:val="-10"/>
                <w:sz w:val="24"/>
              </w:rPr>
              <w:t>7</w:t>
            </w:r>
          </w:p>
        </w:tc>
        <w:tc>
          <w:tcPr>
            <w:tcW w:w="1503" w:type="dxa"/>
          </w:tcPr>
          <w:p w14:paraId="32ECF9E9">
            <w:pPr>
              <w:pStyle w:val="16"/>
              <w:spacing w:before="63"/>
              <w:ind w:left="21" w:right="3"/>
              <w:rPr>
                <w:sz w:val="24"/>
              </w:rPr>
            </w:pPr>
            <w:r>
              <w:rPr>
                <w:spacing w:val="-4"/>
                <w:sz w:val="24"/>
              </w:rPr>
              <w:t>5.072</w:t>
            </w:r>
          </w:p>
        </w:tc>
        <w:tc>
          <w:tcPr>
            <w:tcW w:w="1503" w:type="dxa"/>
          </w:tcPr>
          <w:p w14:paraId="483C391C">
            <w:pPr>
              <w:pStyle w:val="16"/>
              <w:spacing w:before="63"/>
              <w:ind w:left="21" w:right="3"/>
              <w:rPr>
                <w:spacing w:val="-4"/>
                <w:sz w:val="24"/>
              </w:rPr>
            </w:pPr>
          </w:p>
        </w:tc>
      </w:tr>
      <w:tr w14:paraId="394FA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jc w:val="center"/>
        </w:trPr>
        <w:tc>
          <w:tcPr>
            <w:tcW w:w="672" w:type="dxa"/>
            <w:vMerge w:val="continue"/>
            <w:tcBorders>
              <w:top w:val="nil"/>
            </w:tcBorders>
          </w:tcPr>
          <w:p w14:paraId="2BB229C8">
            <w:pPr>
              <w:rPr>
                <w:sz w:val="2"/>
                <w:szCs w:val="2"/>
              </w:rPr>
            </w:pPr>
          </w:p>
        </w:tc>
        <w:tc>
          <w:tcPr>
            <w:tcW w:w="3221" w:type="dxa"/>
            <w:vMerge w:val="continue"/>
            <w:tcBorders>
              <w:top w:val="nil"/>
            </w:tcBorders>
          </w:tcPr>
          <w:p w14:paraId="6CF9AA01">
            <w:pPr>
              <w:rPr>
                <w:sz w:val="2"/>
                <w:szCs w:val="2"/>
              </w:rPr>
            </w:pPr>
          </w:p>
        </w:tc>
        <w:tc>
          <w:tcPr>
            <w:tcW w:w="1469" w:type="dxa"/>
          </w:tcPr>
          <w:p w14:paraId="40FBEC16">
            <w:pPr>
              <w:pStyle w:val="16"/>
              <w:spacing w:before="63"/>
              <w:ind w:left="19" w:right="4"/>
              <w:rPr>
                <w:sz w:val="24"/>
              </w:rPr>
            </w:pPr>
            <w:r>
              <w:rPr>
                <w:spacing w:val="-5"/>
                <w:sz w:val="24"/>
              </w:rPr>
              <w:t>No</w:t>
            </w:r>
          </w:p>
        </w:tc>
        <w:tc>
          <w:tcPr>
            <w:tcW w:w="1431" w:type="dxa"/>
          </w:tcPr>
          <w:p w14:paraId="1B9CEE6C">
            <w:pPr>
              <w:pStyle w:val="16"/>
              <w:spacing w:before="63"/>
              <w:ind w:left="24"/>
              <w:rPr>
                <w:sz w:val="24"/>
              </w:rPr>
            </w:pPr>
            <w:r>
              <w:rPr>
                <w:spacing w:val="-10"/>
                <w:sz w:val="24"/>
              </w:rPr>
              <w:t>9</w:t>
            </w:r>
          </w:p>
        </w:tc>
        <w:tc>
          <w:tcPr>
            <w:tcW w:w="1503" w:type="dxa"/>
          </w:tcPr>
          <w:p w14:paraId="6E736452">
            <w:pPr>
              <w:pStyle w:val="16"/>
              <w:spacing w:before="63"/>
              <w:ind w:left="21" w:right="3"/>
              <w:rPr>
                <w:sz w:val="24"/>
              </w:rPr>
            </w:pPr>
            <w:r>
              <w:rPr>
                <w:spacing w:val="-4"/>
                <w:sz w:val="24"/>
              </w:rPr>
              <w:t>6.522</w:t>
            </w:r>
          </w:p>
        </w:tc>
        <w:tc>
          <w:tcPr>
            <w:tcW w:w="1503" w:type="dxa"/>
          </w:tcPr>
          <w:p w14:paraId="5BDC9BBE">
            <w:pPr>
              <w:pStyle w:val="16"/>
              <w:spacing w:before="63"/>
              <w:ind w:left="21" w:right="3"/>
              <w:rPr>
                <w:spacing w:val="-4"/>
                <w:sz w:val="24"/>
              </w:rPr>
            </w:pPr>
          </w:p>
        </w:tc>
      </w:tr>
    </w:tbl>
    <w:p w14:paraId="40F59674">
      <w:pPr>
        <w:pStyle w:val="11"/>
        <w:jc w:val="both"/>
      </w:pPr>
      <w:r>
        <w:pict>
          <v:shape id="_x0000_s1070" o:spid="_x0000_s1070" o:spt="202" type="#_x0000_t202" style="position:absolute;left:0pt;margin-left:-8.25pt;margin-top:2.8pt;height:37.1pt;width:522.9pt;z-index:251662336;mso-width-relative:page;mso-height-relative:page;" stroked="f" coordsize="21600,21600">
            <v:path/>
            <v:fill focussize="0,0"/>
            <v:stroke on="f" joinstyle="miter"/>
            <v:imagedata o:title=""/>
            <o:lock v:ext="edit"/>
            <v:textbox>
              <w:txbxContent>
                <w:p w14:paraId="10EABEB3">
                  <w:pPr>
                    <w:pStyle w:val="3"/>
                    <w:tabs>
                      <w:tab w:val="left" w:pos="2582"/>
                    </w:tabs>
                    <w:spacing w:after="0" w:line="480" w:lineRule="atLeast"/>
                    <w:ind w:left="0" w:right="1887"/>
                    <w:jc w:val="center"/>
                    <w:rPr>
                      <w:sz w:val="22"/>
                      <w:szCs w:val="22"/>
                    </w:rPr>
                  </w:pPr>
                  <w:r>
                    <w:rPr>
                      <w:sz w:val="22"/>
                      <w:szCs w:val="22"/>
                      <w:lang w:val="en-IN"/>
                    </w:rPr>
                    <w:t xml:space="preserve">Table .7: </w:t>
                  </w:r>
                  <w:r>
                    <w:rPr>
                      <w:sz w:val="22"/>
                      <w:szCs w:val="22"/>
                    </w:rPr>
                    <w:t>Correlation of</w:t>
                  </w:r>
                  <w:r>
                    <w:rPr>
                      <w:sz w:val="22"/>
                      <w:szCs w:val="22"/>
                      <w:lang w:val="en-IN"/>
                    </w:rPr>
                    <w:t xml:space="preserve"> Unplanned Pregnancy</w:t>
                  </w:r>
                  <w:r>
                    <w:rPr>
                      <w:spacing w:val="-3"/>
                      <w:sz w:val="22"/>
                      <w:szCs w:val="22"/>
                    </w:rPr>
                    <w:t xml:space="preserve"> </w:t>
                  </w:r>
                  <w:r>
                    <w:rPr>
                      <w:sz w:val="22"/>
                      <w:szCs w:val="22"/>
                    </w:rPr>
                    <w:t>with</w:t>
                  </w:r>
                  <w:r>
                    <w:rPr>
                      <w:spacing w:val="-7"/>
                      <w:sz w:val="22"/>
                      <w:szCs w:val="22"/>
                    </w:rPr>
                    <w:t xml:space="preserve"> </w:t>
                  </w:r>
                  <w:r>
                    <w:rPr>
                      <w:sz w:val="22"/>
                      <w:szCs w:val="22"/>
                    </w:rPr>
                    <w:t>Classification</w:t>
                  </w:r>
                  <w:r>
                    <w:rPr>
                      <w:spacing w:val="-13"/>
                      <w:sz w:val="22"/>
                      <w:szCs w:val="22"/>
                    </w:rPr>
                    <w:t xml:space="preserve"> </w:t>
                  </w:r>
                  <w:r>
                    <w:rPr>
                      <w:sz w:val="22"/>
                      <w:szCs w:val="22"/>
                    </w:rPr>
                    <w:t>According</w:t>
                  </w:r>
                  <w:r>
                    <w:rPr>
                      <w:spacing w:val="-8"/>
                      <w:sz w:val="22"/>
                      <w:szCs w:val="22"/>
                    </w:rPr>
                    <w:t xml:space="preserve"> </w:t>
                  </w:r>
                  <w:r>
                    <w:rPr>
                      <w:sz w:val="22"/>
                      <w:szCs w:val="22"/>
                    </w:rPr>
                    <w:t>to</w:t>
                  </w:r>
                  <w:r>
                    <w:rPr>
                      <w:spacing w:val="-12"/>
                      <w:sz w:val="22"/>
                      <w:szCs w:val="22"/>
                    </w:rPr>
                    <w:t xml:space="preserve"> </w:t>
                  </w:r>
                  <w:r>
                    <w:rPr>
                      <w:sz w:val="22"/>
                      <w:szCs w:val="22"/>
                    </w:rPr>
                    <w:t xml:space="preserve">BDI </w:t>
                  </w:r>
                  <w:r>
                    <w:rPr>
                      <w:spacing w:val="-2"/>
                      <w:sz w:val="22"/>
                      <w:szCs w:val="22"/>
                    </w:rPr>
                    <w:t>Score</w:t>
                  </w:r>
                </w:p>
                <w:p w14:paraId="18A2A0D0"/>
              </w:txbxContent>
            </v:textbox>
          </v:shape>
        </w:pict>
      </w:r>
    </w:p>
    <w:p w14:paraId="2899C55F">
      <w:pPr>
        <w:pStyle w:val="11"/>
        <w:jc w:val="both"/>
      </w:pPr>
      <w:r>
        <w:rPr>
          <w:rStyle w:val="12"/>
        </w:rPr>
        <w:t>Prevalence of Depressive Symptoms:</w:t>
      </w:r>
      <w:r>
        <w:br w:type="textWrapping"/>
      </w:r>
      <w:r>
        <w:t xml:space="preserve">Overall, 85 participants (61.59%) showed depressive symptoms with BDI scores of 17 or higher, while the remaining 53 participants (38.41%) had scores below 16, indicating no significant depressive symptoms.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9"/>
        <w:gridCol w:w="2569"/>
        <w:gridCol w:w="2051"/>
        <w:gridCol w:w="2368"/>
      </w:tblGrid>
      <w:tr w14:paraId="2795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6" w:hRule="atLeast"/>
          <w:jc w:val="center"/>
        </w:trPr>
        <w:tc>
          <w:tcPr>
            <w:tcW w:w="1239" w:type="dxa"/>
          </w:tcPr>
          <w:p w14:paraId="2E359033">
            <w:pPr>
              <w:pStyle w:val="16"/>
              <w:jc w:val="left"/>
              <w:rPr>
                <w:b/>
                <w:sz w:val="24"/>
              </w:rPr>
            </w:pPr>
          </w:p>
          <w:p w14:paraId="57E9C154">
            <w:pPr>
              <w:pStyle w:val="16"/>
              <w:spacing w:before="63"/>
              <w:jc w:val="left"/>
              <w:rPr>
                <w:b/>
                <w:sz w:val="24"/>
              </w:rPr>
            </w:pPr>
          </w:p>
          <w:p w14:paraId="3DAA9453">
            <w:pPr>
              <w:pStyle w:val="16"/>
              <w:ind w:left="16" w:right="4"/>
              <w:rPr>
                <w:b/>
                <w:sz w:val="24"/>
              </w:rPr>
            </w:pPr>
            <w:r>
              <w:rPr>
                <w:b/>
                <w:sz w:val="24"/>
              </w:rPr>
              <w:t>Sl</w:t>
            </w:r>
            <w:r>
              <w:rPr>
                <w:b/>
                <w:spacing w:val="-4"/>
                <w:sz w:val="24"/>
              </w:rPr>
              <w:t xml:space="preserve"> </w:t>
            </w:r>
            <w:r>
              <w:rPr>
                <w:b/>
                <w:spacing w:val="-5"/>
                <w:sz w:val="24"/>
              </w:rPr>
              <w:t>No</w:t>
            </w:r>
          </w:p>
        </w:tc>
        <w:tc>
          <w:tcPr>
            <w:tcW w:w="2569" w:type="dxa"/>
          </w:tcPr>
          <w:p w14:paraId="540901B4">
            <w:pPr>
              <w:pStyle w:val="16"/>
              <w:spacing w:before="61"/>
              <w:jc w:val="left"/>
              <w:rPr>
                <w:b/>
                <w:sz w:val="24"/>
              </w:rPr>
            </w:pPr>
          </w:p>
          <w:p w14:paraId="78933027">
            <w:pPr>
              <w:pStyle w:val="16"/>
              <w:spacing w:line="484" w:lineRule="auto"/>
              <w:ind w:left="764" w:right="712" w:hanging="29"/>
              <w:jc w:val="left"/>
              <w:rPr>
                <w:b/>
                <w:sz w:val="24"/>
              </w:rPr>
            </w:pPr>
            <w:r>
              <w:rPr>
                <w:b/>
                <w:spacing w:val="-2"/>
                <w:sz w:val="24"/>
              </w:rPr>
              <w:t>Depressive symptoms</w:t>
            </w:r>
          </w:p>
        </w:tc>
        <w:tc>
          <w:tcPr>
            <w:tcW w:w="2051" w:type="dxa"/>
          </w:tcPr>
          <w:p w14:paraId="41AB393C">
            <w:pPr>
              <w:pStyle w:val="16"/>
              <w:jc w:val="left"/>
              <w:rPr>
                <w:b/>
                <w:sz w:val="24"/>
              </w:rPr>
            </w:pPr>
          </w:p>
          <w:p w14:paraId="60BF9061">
            <w:pPr>
              <w:pStyle w:val="16"/>
              <w:spacing w:before="63"/>
              <w:jc w:val="left"/>
              <w:rPr>
                <w:b/>
                <w:sz w:val="24"/>
              </w:rPr>
            </w:pPr>
          </w:p>
          <w:p w14:paraId="3012D46C">
            <w:pPr>
              <w:pStyle w:val="16"/>
              <w:ind w:left="11" w:right="5"/>
              <w:rPr>
                <w:b/>
                <w:sz w:val="24"/>
              </w:rPr>
            </w:pPr>
            <w:r>
              <w:rPr>
                <w:b/>
                <w:spacing w:val="-2"/>
                <w:sz w:val="24"/>
              </w:rPr>
              <w:t>Frequency</w:t>
            </w:r>
          </w:p>
        </w:tc>
        <w:tc>
          <w:tcPr>
            <w:tcW w:w="2368" w:type="dxa"/>
          </w:tcPr>
          <w:p w14:paraId="5D6BFE63">
            <w:pPr>
              <w:pStyle w:val="16"/>
              <w:spacing w:before="61"/>
              <w:jc w:val="left"/>
              <w:rPr>
                <w:b/>
                <w:sz w:val="24"/>
              </w:rPr>
            </w:pPr>
          </w:p>
          <w:p w14:paraId="130AFCED">
            <w:pPr>
              <w:pStyle w:val="16"/>
              <w:spacing w:line="484" w:lineRule="auto"/>
              <w:ind w:left="983" w:right="602" w:hanging="365"/>
              <w:jc w:val="left"/>
              <w:rPr>
                <w:b/>
                <w:sz w:val="24"/>
              </w:rPr>
            </w:pPr>
            <w:r>
              <w:rPr>
                <w:b/>
                <w:spacing w:val="-2"/>
                <w:sz w:val="24"/>
              </w:rPr>
              <w:t xml:space="preserve">Percentage </w:t>
            </w:r>
            <w:r>
              <w:rPr>
                <w:b/>
                <w:spacing w:val="-4"/>
                <w:sz w:val="24"/>
              </w:rPr>
              <w:t>(%)</w:t>
            </w:r>
          </w:p>
        </w:tc>
      </w:tr>
      <w:tr w14:paraId="5A738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jc w:val="center"/>
        </w:trPr>
        <w:tc>
          <w:tcPr>
            <w:tcW w:w="1239" w:type="dxa"/>
          </w:tcPr>
          <w:p w14:paraId="37BBED3B">
            <w:pPr>
              <w:pStyle w:val="16"/>
              <w:spacing w:before="32"/>
              <w:jc w:val="left"/>
              <w:rPr>
                <w:b/>
                <w:sz w:val="24"/>
              </w:rPr>
            </w:pPr>
          </w:p>
          <w:p w14:paraId="3F88BBE3">
            <w:pPr>
              <w:pStyle w:val="16"/>
              <w:ind w:left="16"/>
              <w:rPr>
                <w:sz w:val="24"/>
              </w:rPr>
            </w:pPr>
            <w:r>
              <w:rPr>
                <w:spacing w:val="-5"/>
                <w:sz w:val="24"/>
              </w:rPr>
              <w:t>1.</w:t>
            </w:r>
          </w:p>
        </w:tc>
        <w:tc>
          <w:tcPr>
            <w:tcW w:w="2569" w:type="dxa"/>
          </w:tcPr>
          <w:p w14:paraId="7B9CC9EE">
            <w:pPr>
              <w:pStyle w:val="16"/>
              <w:spacing w:before="32"/>
              <w:jc w:val="left"/>
              <w:rPr>
                <w:b/>
                <w:sz w:val="24"/>
              </w:rPr>
            </w:pPr>
          </w:p>
          <w:p w14:paraId="48FBA0D4">
            <w:pPr>
              <w:pStyle w:val="16"/>
              <w:ind w:left="25"/>
              <w:rPr>
                <w:sz w:val="24"/>
              </w:rPr>
            </w:pPr>
            <w:r>
              <w:rPr>
                <w:sz w:val="24"/>
              </w:rPr>
              <w:t>No</w:t>
            </w:r>
            <w:r>
              <w:rPr>
                <w:spacing w:val="1"/>
                <w:sz w:val="24"/>
              </w:rPr>
              <w:t xml:space="preserve"> </w:t>
            </w:r>
            <w:r>
              <w:rPr>
                <w:sz w:val="24"/>
              </w:rPr>
              <w:t>(&lt;</w:t>
            </w:r>
            <w:r>
              <w:rPr>
                <w:spacing w:val="3"/>
                <w:sz w:val="24"/>
              </w:rPr>
              <w:t xml:space="preserve"> </w:t>
            </w:r>
            <w:r>
              <w:rPr>
                <w:spacing w:val="-5"/>
                <w:sz w:val="24"/>
              </w:rPr>
              <w:t>16)</w:t>
            </w:r>
          </w:p>
        </w:tc>
        <w:tc>
          <w:tcPr>
            <w:tcW w:w="2051" w:type="dxa"/>
          </w:tcPr>
          <w:p w14:paraId="7855B81C">
            <w:pPr>
              <w:pStyle w:val="16"/>
              <w:spacing w:before="32"/>
              <w:jc w:val="left"/>
              <w:rPr>
                <w:b/>
                <w:sz w:val="24"/>
              </w:rPr>
            </w:pPr>
          </w:p>
          <w:p w14:paraId="0B84F4E0">
            <w:pPr>
              <w:pStyle w:val="16"/>
              <w:ind w:left="11"/>
              <w:rPr>
                <w:sz w:val="24"/>
              </w:rPr>
            </w:pPr>
            <w:r>
              <w:rPr>
                <w:spacing w:val="-5"/>
                <w:sz w:val="24"/>
              </w:rPr>
              <w:t>53</w:t>
            </w:r>
          </w:p>
        </w:tc>
        <w:tc>
          <w:tcPr>
            <w:tcW w:w="2368" w:type="dxa"/>
          </w:tcPr>
          <w:p w14:paraId="06B2DBAB">
            <w:pPr>
              <w:pStyle w:val="16"/>
              <w:spacing w:before="32"/>
              <w:jc w:val="left"/>
              <w:rPr>
                <w:b/>
                <w:sz w:val="24"/>
              </w:rPr>
            </w:pPr>
          </w:p>
          <w:p w14:paraId="16A1DBA2">
            <w:pPr>
              <w:pStyle w:val="16"/>
              <w:ind w:left="20"/>
              <w:rPr>
                <w:sz w:val="24"/>
              </w:rPr>
            </w:pPr>
            <w:r>
              <w:rPr>
                <w:spacing w:val="-2"/>
                <w:sz w:val="24"/>
              </w:rPr>
              <w:t>38.41</w:t>
            </w:r>
          </w:p>
        </w:tc>
      </w:tr>
      <w:tr w14:paraId="0C1DA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jc w:val="center"/>
        </w:trPr>
        <w:tc>
          <w:tcPr>
            <w:tcW w:w="1239" w:type="dxa"/>
          </w:tcPr>
          <w:p w14:paraId="1CCCF42C">
            <w:pPr>
              <w:pStyle w:val="16"/>
              <w:spacing w:before="8"/>
              <w:jc w:val="left"/>
              <w:rPr>
                <w:b/>
                <w:sz w:val="24"/>
              </w:rPr>
            </w:pPr>
          </w:p>
          <w:p w14:paraId="7DC00DBA">
            <w:pPr>
              <w:pStyle w:val="16"/>
              <w:ind w:left="16"/>
              <w:rPr>
                <w:sz w:val="24"/>
              </w:rPr>
            </w:pPr>
            <w:r>
              <w:rPr>
                <w:spacing w:val="-5"/>
                <w:sz w:val="24"/>
              </w:rPr>
              <w:t>2.</w:t>
            </w:r>
          </w:p>
        </w:tc>
        <w:tc>
          <w:tcPr>
            <w:tcW w:w="2569" w:type="dxa"/>
          </w:tcPr>
          <w:p w14:paraId="4BDB9F4A">
            <w:pPr>
              <w:pStyle w:val="16"/>
              <w:spacing w:before="8"/>
              <w:jc w:val="left"/>
              <w:rPr>
                <w:b/>
                <w:sz w:val="24"/>
              </w:rPr>
            </w:pPr>
          </w:p>
          <w:p w14:paraId="437ACA80">
            <w:pPr>
              <w:pStyle w:val="16"/>
              <w:ind w:left="25" w:right="9"/>
              <w:rPr>
                <w:sz w:val="24"/>
              </w:rPr>
            </w:pPr>
            <w:r>
              <w:rPr>
                <w:sz w:val="24"/>
              </w:rPr>
              <w:t>Yes</w:t>
            </w:r>
            <w:r>
              <w:rPr>
                <w:spacing w:val="-4"/>
                <w:sz w:val="24"/>
              </w:rPr>
              <w:t xml:space="preserve"> </w:t>
            </w:r>
            <w:r>
              <w:rPr>
                <w:spacing w:val="-2"/>
                <w:sz w:val="24"/>
              </w:rPr>
              <w:t>(≥17)</w:t>
            </w:r>
          </w:p>
        </w:tc>
        <w:tc>
          <w:tcPr>
            <w:tcW w:w="2051" w:type="dxa"/>
          </w:tcPr>
          <w:p w14:paraId="58B76A90">
            <w:pPr>
              <w:pStyle w:val="16"/>
              <w:spacing w:before="8"/>
              <w:jc w:val="left"/>
              <w:rPr>
                <w:b/>
                <w:sz w:val="24"/>
              </w:rPr>
            </w:pPr>
          </w:p>
          <w:p w14:paraId="0F7FFCE5">
            <w:pPr>
              <w:pStyle w:val="16"/>
              <w:ind w:left="11" w:right="1"/>
              <w:rPr>
                <w:sz w:val="24"/>
              </w:rPr>
            </w:pPr>
            <w:r>
              <w:rPr>
                <w:spacing w:val="-5"/>
                <w:sz w:val="24"/>
              </w:rPr>
              <w:t>85</w:t>
            </w:r>
          </w:p>
        </w:tc>
        <w:tc>
          <w:tcPr>
            <w:tcW w:w="2368" w:type="dxa"/>
          </w:tcPr>
          <w:p w14:paraId="3C1583DB">
            <w:pPr>
              <w:pStyle w:val="16"/>
              <w:spacing w:before="8"/>
              <w:jc w:val="left"/>
              <w:rPr>
                <w:b/>
                <w:sz w:val="24"/>
              </w:rPr>
            </w:pPr>
          </w:p>
          <w:p w14:paraId="207037E9">
            <w:pPr>
              <w:pStyle w:val="16"/>
              <w:ind w:left="20"/>
              <w:rPr>
                <w:sz w:val="24"/>
              </w:rPr>
            </w:pPr>
            <w:r>
              <w:rPr>
                <w:spacing w:val="-2"/>
                <w:sz w:val="24"/>
              </w:rPr>
              <w:t>61.59</w:t>
            </w:r>
          </w:p>
        </w:tc>
      </w:tr>
    </w:tbl>
    <w:p w14:paraId="68961444">
      <w:pPr>
        <w:pStyle w:val="11"/>
        <w:jc w:val="both"/>
      </w:pPr>
      <w:r>
        <w:pict>
          <v:shape id="_x0000_s1071" o:spid="_x0000_s1071" o:spt="202" type="#_x0000_t202" style="position:absolute;left:0pt;margin-left:27.2pt;margin-top:8.15pt;height:37.1pt;width:522.9pt;z-index:251663360;mso-width-relative:page;mso-height-relative:page;" stroked="f" coordsize="21600,21600">
            <v:path/>
            <v:fill focussize="0,0"/>
            <v:stroke on="f" joinstyle="miter"/>
            <v:imagedata o:title=""/>
            <o:lock v:ext="edit"/>
            <v:textbox>
              <w:txbxContent>
                <w:p w14:paraId="44F93387">
                  <w:pPr>
                    <w:pStyle w:val="3"/>
                    <w:tabs>
                      <w:tab w:val="left" w:pos="2582"/>
                    </w:tabs>
                    <w:spacing w:after="0" w:line="480" w:lineRule="atLeast"/>
                    <w:ind w:left="0" w:right="1887"/>
                    <w:jc w:val="center"/>
                    <w:rPr>
                      <w:sz w:val="22"/>
                      <w:szCs w:val="22"/>
                      <w:lang w:val="en-IN"/>
                    </w:rPr>
                  </w:pPr>
                  <w:r>
                    <w:rPr>
                      <w:sz w:val="22"/>
                      <w:szCs w:val="22"/>
                      <w:lang w:val="en-IN"/>
                    </w:rPr>
                    <w:t xml:space="preserve">Table 8: </w:t>
                  </w:r>
                  <w:r>
                    <w:rPr>
                      <w:sz w:val="22"/>
                    </w:rPr>
                    <w:t>Percentage</w:t>
                  </w:r>
                  <w:r>
                    <w:rPr>
                      <w:spacing w:val="-3"/>
                      <w:sz w:val="22"/>
                    </w:rPr>
                    <w:t xml:space="preserve"> </w:t>
                  </w:r>
                  <w:r>
                    <w:rPr>
                      <w:sz w:val="22"/>
                    </w:rPr>
                    <w:t>of</w:t>
                  </w:r>
                  <w:r>
                    <w:rPr>
                      <w:spacing w:val="-9"/>
                      <w:sz w:val="22"/>
                    </w:rPr>
                    <w:t xml:space="preserve"> </w:t>
                  </w:r>
                  <w:r>
                    <w:rPr>
                      <w:sz w:val="22"/>
                    </w:rPr>
                    <w:t>depressive</w:t>
                  </w:r>
                  <w:r>
                    <w:rPr>
                      <w:spacing w:val="-3"/>
                      <w:sz w:val="22"/>
                    </w:rPr>
                    <w:t xml:space="preserve"> </w:t>
                  </w:r>
                  <w:r>
                    <w:rPr>
                      <w:sz w:val="22"/>
                    </w:rPr>
                    <w:t>symptoms during</w:t>
                  </w:r>
                  <w:r>
                    <w:rPr>
                      <w:spacing w:val="-2"/>
                      <w:sz w:val="22"/>
                    </w:rPr>
                    <w:t xml:space="preserve"> pregnanc</w:t>
                  </w:r>
                  <w:r>
                    <w:rPr>
                      <w:spacing w:val="-2"/>
                      <w:sz w:val="22"/>
                      <w:lang w:val="en-IN"/>
                    </w:rPr>
                    <w:t>y</w:t>
                  </w:r>
                </w:p>
              </w:txbxContent>
            </v:textbox>
          </v:shape>
        </w:pict>
      </w:r>
    </w:p>
    <w:p w14:paraId="60945B34">
      <w:pPr>
        <w:pStyle w:val="11"/>
        <w:jc w:val="both"/>
      </w:pPr>
    </w:p>
    <w:p w14:paraId="367BC650">
      <w:pPr>
        <w:pStyle w:val="11"/>
        <w:jc w:val="both"/>
        <w:rPr>
          <w:lang w:val="en-IN"/>
        </w:rPr>
      </w:pPr>
      <w:r>
        <w:rPr>
          <w:rStyle w:val="12"/>
        </w:rPr>
        <w:t>Trimester-Wise Prevalence of Depressive Symptoms:</w:t>
      </w:r>
      <w:r>
        <w:br w:type="textWrapping"/>
      </w:r>
      <w:r>
        <w:t xml:space="preserve">When depressive symptoms were analyzed according to pregnancy trimester, it was found that the third trimester had the highest prevalence with 31 participants (22.46%) showing depressive symptoms, followed by 28 (20.29%) in the second trimester and 26 (18.84%) in the first trimester. </w:t>
      </w:r>
    </w:p>
    <w:p w14:paraId="4573BE88">
      <w:pPr>
        <w:pStyle w:val="11"/>
        <w:jc w:val="both"/>
        <w:rPr>
          <w:lang w:val="en-IN"/>
        </w:rPr>
      </w:pPr>
    </w:p>
    <w:p w14:paraId="04614E96">
      <w:pPr>
        <w:pStyle w:val="11"/>
        <w:jc w:val="both"/>
        <w:rPr>
          <w:lang w:val="en-IN"/>
        </w:rPr>
      </w:pPr>
    </w:p>
    <w:p w14:paraId="2410888A">
      <w:pPr>
        <w:pStyle w:val="11"/>
        <w:jc w:val="both"/>
        <w:rPr>
          <w:lang w:val="en-IN"/>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579"/>
        <w:gridCol w:w="1857"/>
        <w:gridCol w:w="1670"/>
        <w:gridCol w:w="1728"/>
        <w:gridCol w:w="1392"/>
      </w:tblGrid>
      <w:tr w14:paraId="020D0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jc w:val="center"/>
        </w:trPr>
        <w:tc>
          <w:tcPr>
            <w:tcW w:w="1008" w:type="dxa"/>
          </w:tcPr>
          <w:p w14:paraId="2952EAE1">
            <w:pPr>
              <w:pStyle w:val="16"/>
              <w:spacing w:before="68"/>
              <w:ind w:left="227"/>
              <w:jc w:val="left"/>
              <w:rPr>
                <w:b/>
                <w:sz w:val="24"/>
              </w:rPr>
            </w:pPr>
            <w:r>
              <w:rPr>
                <w:b/>
                <w:sz w:val="24"/>
              </w:rPr>
              <w:t>Sl</w:t>
            </w:r>
            <w:r>
              <w:rPr>
                <w:b/>
                <w:spacing w:val="-1"/>
                <w:sz w:val="24"/>
              </w:rPr>
              <w:t xml:space="preserve"> </w:t>
            </w:r>
            <w:r>
              <w:rPr>
                <w:b/>
                <w:spacing w:val="-7"/>
                <w:sz w:val="24"/>
              </w:rPr>
              <w:t>No</w:t>
            </w:r>
          </w:p>
        </w:tc>
        <w:tc>
          <w:tcPr>
            <w:tcW w:w="1579" w:type="dxa"/>
          </w:tcPr>
          <w:p w14:paraId="6D097DEC">
            <w:pPr>
              <w:pStyle w:val="16"/>
              <w:spacing w:before="68"/>
              <w:ind w:left="275"/>
              <w:jc w:val="left"/>
              <w:rPr>
                <w:b/>
                <w:sz w:val="24"/>
              </w:rPr>
            </w:pPr>
            <w:r>
              <w:rPr>
                <w:b/>
                <w:spacing w:val="-2"/>
                <w:sz w:val="24"/>
              </w:rPr>
              <w:t>Trimester</w:t>
            </w:r>
          </w:p>
        </w:tc>
        <w:tc>
          <w:tcPr>
            <w:tcW w:w="1857" w:type="dxa"/>
          </w:tcPr>
          <w:p w14:paraId="2030ABD1">
            <w:pPr>
              <w:pStyle w:val="16"/>
              <w:spacing w:before="68"/>
              <w:ind w:left="24" w:right="4"/>
              <w:rPr>
                <w:b/>
                <w:sz w:val="24"/>
              </w:rPr>
            </w:pPr>
            <w:r>
              <w:rPr>
                <w:b/>
                <w:spacing w:val="-2"/>
                <w:sz w:val="24"/>
              </w:rPr>
              <w:t>Depression</w:t>
            </w:r>
          </w:p>
        </w:tc>
        <w:tc>
          <w:tcPr>
            <w:tcW w:w="1670" w:type="dxa"/>
          </w:tcPr>
          <w:p w14:paraId="063C25C1">
            <w:pPr>
              <w:pStyle w:val="16"/>
              <w:spacing w:before="68"/>
              <w:ind w:left="22" w:right="4"/>
              <w:rPr>
                <w:b/>
                <w:sz w:val="24"/>
              </w:rPr>
            </w:pPr>
            <w:r>
              <w:rPr>
                <w:b/>
                <w:spacing w:val="-2"/>
                <w:sz w:val="24"/>
              </w:rPr>
              <w:t>Frequency</w:t>
            </w:r>
          </w:p>
        </w:tc>
        <w:tc>
          <w:tcPr>
            <w:tcW w:w="1728" w:type="dxa"/>
          </w:tcPr>
          <w:p w14:paraId="4C8112C3">
            <w:pPr>
              <w:pStyle w:val="16"/>
              <w:spacing w:before="68"/>
              <w:ind w:left="26" w:right="7"/>
              <w:rPr>
                <w:b/>
                <w:sz w:val="24"/>
              </w:rPr>
            </w:pPr>
            <w:r>
              <w:rPr>
                <w:b/>
                <w:spacing w:val="-2"/>
                <w:sz w:val="24"/>
              </w:rPr>
              <w:t>Percentage</w:t>
            </w:r>
          </w:p>
        </w:tc>
        <w:tc>
          <w:tcPr>
            <w:tcW w:w="1392" w:type="dxa"/>
          </w:tcPr>
          <w:p w14:paraId="0EB99EC8">
            <w:pPr>
              <w:pStyle w:val="16"/>
              <w:spacing w:before="68"/>
              <w:ind w:left="230"/>
              <w:jc w:val="left"/>
              <w:rPr>
                <w:b/>
                <w:sz w:val="24"/>
              </w:rPr>
            </w:pPr>
            <w:r>
              <w:rPr>
                <w:b/>
                <w:sz w:val="24"/>
              </w:rPr>
              <w:t>P</w:t>
            </w:r>
            <w:r>
              <w:rPr>
                <w:b/>
                <w:spacing w:val="-3"/>
                <w:sz w:val="24"/>
              </w:rPr>
              <w:t xml:space="preserve"> </w:t>
            </w:r>
            <w:r>
              <w:rPr>
                <w:b/>
                <w:sz w:val="24"/>
              </w:rPr>
              <w:t>-</w:t>
            </w:r>
            <w:r>
              <w:rPr>
                <w:b/>
                <w:spacing w:val="4"/>
                <w:sz w:val="24"/>
              </w:rPr>
              <w:t xml:space="preserve"> </w:t>
            </w:r>
            <w:r>
              <w:rPr>
                <w:b/>
                <w:spacing w:val="-2"/>
                <w:sz w:val="24"/>
              </w:rPr>
              <w:t>Value</w:t>
            </w:r>
          </w:p>
        </w:tc>
      </w:tr>
      <w:tr w14:paraId="71A9E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jc w:val="center"/>
        </w:trPr>
        <w:tc>
          <w:tcPr>
            <w:tcW w:w="1008" w:type="dxa"/>
            <w:vMerge w:val="restart"/>
          </w:tcPr>
          <w:p w14:paraId="49C29C6E">
            <w:pPr>
              <w:pStyle w:val="16"/>
              <w:spacing w:before="63"/>
              <w:ind w:left="16"/>
              <w:rPr>
                <w:sz w:val="24"/>
              </w:rPr>
            </w:pPr>
            <w:r>
              <w:rPr>
                <w:spacing w:val="-5"/>
                <w:sz w:val="24"/>
              </w:rPr>
              <w:t>1.</w:t>
            </w:r>
          </w:p>
        </w:tc>
        <w:tc>
          <w:tcPr>
            <w:tcW w:w="1579" w:type="dxa"/>
            <w:vMerge w:val="restart"/>
          </w:tcPr>
          <w:p w14:paraId="49F800AE">
            <w:pPr>
              <w:pStyle w:val="16"/>
              <w:spacing w:before="63"/>
              <w:ind w:left="12"/>
              <w:rPr>
                <w:sz w:val="24"/>
              </w:rPr>
            </w:pPr>
            <w:r>
              <w:rPr>
                <w:spacing w:val="-2"/>
                <w:sz w:val="24"/>
              </w:rPr>
              <w:t>First</w:t>
            </w:r>
          </w:p>
        </w:tc>
        <w:tc>
          <w:tcPr>
            <w:tcW w:w="1857" w:type="dxa"/>
          </w:tcPr>
          <w:p w14:paraId="4A3EE016">
            <w:pPr>
              <w:pStyle w:val="16"/>
              <w:spacing w:before="63"/>
              <w:ind w:left="24"/>
              <w:rPr>
                <w:sz w:val="24"/>
              </w:rPr>
            </w:pPr>
            <w:r>
              <w:rPr>
                <w:spacing w:val="-5"/>
                <w:sz w:val="24"/>
              </w:rPr>
              <w:t>Yes</w:t>
            </w:r>
          </w:p>
        </w:tc>
        <w:tc>
          <w:tcPr>
            <w:tcW w:w="1670" w:type="dxa"/>
          </w:tcPr>
          <w:p w14:paraId="692793C4">
            <w:pPr>
              <w:pStyle w:val="16"/>
              <w:spacing w:before="63"/>
              <w:ind w:left="22"/>
              <w:rPr>
                <w:sz w:val="24"/>
              </w:rPr>
            </w:pPr>
            <w:r>
              <w:rPr>
                <w:spacing w:val="-5"/>
                <w:sz w:val="24"/>
              </w:rPr>
              <w:t>26</w:t>
            </w:r>
          </w:p>
        </w:tc>
        <w:tc>
          <w:tcPr>
            <w:tcW w:w="1728" w:type="dxa"/>
          </w:tcPr>
          <w:p w14:paraId="2E5CB5FF">
            <w:pPr>
              <w:pStyle w:val="16"/>
              <w:spacing w:before="63"/>
              <w:ind w:left="26" w:right="7"/>
              <w:rPr>
                <w:sz w:val="24"/>
              </w:rPr>
            </w:pPr>
            <w:r>
              <w:rPr>
                <w:spacing w:val="-2"/>
                <w:sz w:val="24"/>
              </w:rPr>
              <w:t>18.841%</w:t>
            </w:r>
          </w:p>
        </w:tc>
        <w:tc>
          <w:tcPr>
            <w:tcW w:w="1392" w:type="dxa"/>
            <w:vMerge w:val="restart"/>
          </w:tcPr>
          <w:p w14:paraId="35BED1C7">
            <w:pPr>
              <w:pStyle w:val="16"/>
              <w:jc w:val="left"/>
              <w:rPr>
                <w:rFonts w:ascii="Calibri"/>
                <w:b/>
                <w:sz w:val="24"/>
              </w:rPr>
            </w:pPr>
          </w:p>
          <w:p w14:paraId="74828679">
            <w:pPr>
              <w:pStyle w:val="16"/>
              <w:jc w:val="left"/>
              <w:rPr>
                <w:rFonts w:ascii="Calibri"/>
                <w:b/>
                <w:sz w:val="24"/>
              </w:rPr>
            </w:pPr>
          </w:p>
          <w:p w14:paraId="4E6DBF3A">
            <w:pPr>
              <w:pStyle w:val="16"/>
              <w:jc w:val="left"/>
              <w:rPr>
                <w:rFonts w:ascii="Calibri"/>
                <w:b/>
                <w:sz w:val="24"/>
              </w:rPr>
            </w:pPr>
          </w:p>
          <w:p w14:paraId="634DE3DE">
            <w:pPr>
              <w:pStyle w:val="16"/>
              <w:jc w:val="left"/>
              <w:rPr>
                <w:rFonts w:ascii="Calibri"/>
                <w:b/>
                <w:sz w:val="24"/>
              </w:rPr>
            </w:pPr>
          </w:p>
          <w:p w14:paraId="3E2BA6A5">
            <w:pPr>
              <w:pStyle w:val="16"/>
              <w:spacing w:before="269"/>
              <w:jc w:val="left"/>
              <w:rPr>
                <w:rFonts w:ascii="Calibri"/>
                <w:b/>
                <w:sz w:val="24"/>
              </w:rPr>
            </w:pPr>
          </w:p>
          <w:p w14:paraId="2BA4F078">
            <w:pPr>
              <w:pStyle w:val="16"/>
              <w:ind w:left="431"/>
              <w:jc w:val="left"/>
              <w:rPr>
                <w:sz w:val="24"/>
              </w:rPr>
            </w:pPr>
            <w:r>
              <w:rPr>
                <w:spacing w:val="-2"/>
                <w:sz w:val="24"/>
              </w:rPr>
              <w:t>0.559</w:t>
            </w:r>
          </w:p>
        </w:tc>
      </w:tr>
      <w:tr w14:paraId="25517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jc w:val="center"/>
        </w:trPr>
        <w:tc>
          <w:tcPr>
            <w:tcW w:w="1008" w:type="dxa"/>
            <w:vMerge w:val="continue"/>
            <w:tcBorders>
              <w:top w:val="nil"/>
            </w:tcBorders>
          </w:tcPr>
          <w:p w14:paraId="1F1B8D7A">
            <w:pPr>
              <w:rPr>
                <w:sz w:val="2"/>
                <w:szCs w:val="2"/>
              </w:rPr>
            </w:pPr>
          </w:p>
        </w:tc>
        <w:tc>
          <w:tcPr>
            <w:tcW w:w="1579" w:type="dxa"/>
            <w:vMerge w:val="continue"/>
            <w:tcBorders>
              <w:top w:val="nil"/>
            </w:tcBorders>
          </w:tcPr>
          <w:p w14:paraId="7F0F4C52">
            <w:pPr>
              <w:rPr>
                <w:sz w:val="2"/>
                <w:szCs w:val="2"/>
              </w:rPr>
            </w:pPr>
          </w:p>
        </w:tc>
        <w:tc>
          <w:tcPr>
            <w:tcW w:w="1857" w:type="dxa"/>
          </w:tcPr>
          <w:p w14:paraId="08EFDF2D">
            <w:pPr>
              <w:pStyle w:val="16"/>
              <w:spacing w:before="63"/>
              <w:ind w:left="24" w:right="3"/>
              <w:rPr>
                <w:sz w:val="24"/>
              </w:rPr>
            </w:pPr>
            <w:r>
              <w:rPr>
                <w:spacing w:val="-5"/>
                <w:sz w:val="24"/>
              </w:rPr>
              <w:t>No</w:t>
            </w:r>
          </w:p>
        </w:tc>
        <w:tc>
          <w:tcPr>
            <w:tcW w:w="1670" w:type="dxa"/>
          </w:tcPr>
          <w:p w14:paraId="75517EB6">
            <w:pPr>
              <w:pStyle w:val="16"/>
              <w:spacing w:before="63"/>
              <w:ind w:left="22"/>
              <w:rPr>
                <w:sz w:val="24"/>
              </w:rPr>
            </w:pPr>
            <w:r>
              <w:rPr>
                <w:spacing w:val="-5"/>
                <w:sz w:val="24"/>
              </w:rPr>
              <w:t>20</w:t>
            </w:r>
          </w:p>
        </w:tc>
        <w:tc>
          <w:tcPr>
            <w:tcW w:w="1728" w:type="dxa"/>
          </w:tcPr>
          <w:p w14:paraId="52770341">
            <w:pPr>
              <w:pStyle w:val="16"/>
              <w:spacing w:before="63"/>
              <w:ind w:left="26" w:right="7"/>
              <w:rPr>
                <w:sz w:val="24"/>
              </w:rPr>
            </w:pPr>
            <w:r>
              <w:rPr>
                <w:spacing w:val="-2"/>
                <w:sz w:val="24"/>
              </w:rPr>
              <w:t>14.493%</w:t>
            </w:r>
          </w:p>
        </w:tc>
        <w:tc>
          <w:tcPr>
            <w:tcW w:w="1392" w:type="dxa"/>
            <w:vMerge w:val="continue"/>
            <w:tcBorders>
              <w:top w:val="nil"/>
            </w:tcBorders>
          </w:tcPr>
          <w:p w14:paraId="3AC4A743">
            <w:pPr>
              <w:rPr>
                <w:sz w:val="2"/>
                <w:szCs w:val="2"/>
              </w:rPr>
            </w:pPr>
          </w:p>
        </w:tc>
      </w:tr>
      <w:tr w14:paraId="666C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jc w:val="center"/>
        </w:trPr>
        <w:tc>
          <w:tcPr>
            <w:tcW w:w="1008" w:type="dxa"/>
            <w:vMerge w:val="restart"/>
          </w:tcPr>
          <w:p w14:paraId="41317473">
            <w:pPr>
              <w:pStyle w:val="16"/>
              <w:spacing w:before="63"/>
              <w:ind w:left="16"/>
              <w:rPr>
                <w:sz w:val="24"/>
              </w:rPr>
            </w:pPr>
            <w:r>
              <w:rPr>
                <w:spacing w:val="-5"/>
                <w:sz w:val="24"/>
              </w:rPr>
              <w:t>2.</w:t>
            </w:r>
          </w:p>
        </w:tc>
        <w:tc>
          <w:tcPr>
            <w:tcW w:w="1579" w:type="dxa"/>
            <w:vMerge w:val="restart"/>
          </w:tcPr>
          <w:p w14:paraId="214D3067">
            <w:pPr>
              <w:pStyle w:val="16"/>
              <w:spacing w:before="63"/>
              <w:ind w:left="439"/>
              <w:jc w:val="left"/>
              <w:rPr>
                <w:sz w:val="24"/>
              </w:rPr>
            </w:pPr>
            <w:r>
              <w:rPr>
                <w:spacing w:val="-2"/>
                <w:sz w:val="24"/>
              </w:rPr>
              <w:t>Second</w:t>
            </w:r>
          </w:p>
        </w:tc>
        <w:tc>
          <w:tcPr>
            <w:tcW w:w="1857" w:type="dxa"/>
          </w:tcPr>
          <w:p w14:paraId="2946A3FB">
            <w:pPr>
              <w:pStyle w:val="16"/>
              <w:spacing w:before="63"/>
              <w:ind w:left="24"/>
              <w:rPr>
                <w:sz w:val="24"/>
              </w:rPr>
            </w:pPr>
            <w:r>
              <w:rPr>
                <w:spacing w:val="-5"/>
                <w:sz w:val="24"/>
              </w:rPr>
              <w:t>Yes</w:t>
            </w:r>
          </w:p>
        </w:tc>
        <w:tc>
          <w:tcPr>
            <w:tcW w:w="1670" w:type="dxa"/>
          </w:tcPr>
          <w:p w14:paraId="160D8F61">
            <w:pPr>
              <w:pStyle w:val="16"/>
              <w:spacing w:before="63"/>
              <w:ind w:left="22"/>
              <w:rPr>
                <w:sz w:val="24"/>
              </w:rPr>
            </w:pPr>
            <w:r>
              <w:rPr>
                <w:spacing w:val="-5"/>
                <w:sz w:val="24"/>
              </w:rPr>
              <w:t>28</w:t>
            </w:r>
          </w:p>
        </w:tc>
        <w:tc>
          <w:tcPr>
            <w:tcW w:w="1728" w:type="dxa"/>
          </w:tcPr>
          <w:p w14:paraId="214242BF">
            <w:pPr>
              <w:pStyle w:val="16"/>
              <w:spacing w:before="63"/>
              <w:ind w:left="26"/>
              <w:rPr>
                <w:sz w:val="24"/>
              </w:rPr>
            </w:pPr>
            <w:r>
              <w:rPr>
                <w:spacing w:val="-2"/>
                <w:sz w:val="24"/>
              </w:rPr>
              <w:t>20.29%</w:t>
            </w:r>
          </w:p>
        </w:tc>
        <w:tc>
          <w:tcPr>
            <w:tcW w:w="1392" w:type="dxa"/>
            <w:vMerge w:val="continue"/>
            <w:tcBorders>
              <w:top w:val="nil"/>
            </w:tcBorders>
          </w:tcPr>
          <w:p w14:paraId="0607704F">
            <w:pPr>
              <w:rPr>
                <w:sz w:val="2"/>
                <w:szCs w:val="2"/>
              </w:rPr>
            </w:pPr>
          </w:p>
        </w:tc>
      </w:tr>
      <w:tr w14:paraId="4F3F7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jc w:val="center"/>
        </w:trPr>
        <w:tc>
          <w:tcPr>
            <w:tcW w:w="1008" w:type="dxa"/>
            <w:vMerge w:val="continue"/>
            <w:tcBorders>
              <w:top w:val="nil"/>
            </w:tcBorders>
          </w:tcPr>
          <w:p w14:paraId="5F4BB5AD">
            <w:pPr>
              <w:rPr>
                <w:sz w:val="2"/>
                <w:szCs w:val="2"/>
              </w:rPr>
            </w:pPr>
          </w:p>
        </w:tc>
        <w:tc>
          <w:tcPr>
            <w:tcW w:w="1579" w:type="dxa"/>
            <w:vMerge w:val="continue"/>
            <w:tcBorders>
              <w:top w:val="nil"/>
            </w:tcBorders>
          </w:tcPr>
          <w:p w14:paraId="768593D2">
            <w:pPr>
              <w:rPr>
                <w:sz w:val="2"/>
                <w:szCs w:val="2"/>
              </w:rPr>
            </w:pPr>
          </w:p>
        </w:tc>
        <w:tc>
          <w:tcPr>
            <w:tcW w:w="1857" w:type="dxa"/>
          </w:tcPr>
          <w:p w14:paraId="7D84E7A8">
            <w:pPr>
              <w:pStyle w:val="16"/>
              <w:spacing w:before="63"/>
              <w:ind w:left="24" w:right="3"/>
              <w:rPr>
                <w:sz w:val="24"/>
              </w:rPr>
            </w:pPr>
            <w:r>
              <w:rPr>
                <w:spacing w:val="-5"/>
                <w:sz w:val="24"/>
              </w:rPr>
              <w:t>No</w:t>
            </w:r>
          </w:p>
        </w:tc>
        <w:tc>
          <w:tcPr>
            <w:tcW w:w="1670" w:type="dxa"/>
          </w:tcPr>
          <w:p w14:paraId="6EB80859">
            <w:pPr>
              <w:pStyle w:val="16"/>
              <w:spacing w:before="63"/>
              <w:ind w:left="22"/>
              <w:rPr>
                <w:sz w:val="24"/>
              </w:rPr>
            </w:pPr>
            <w:r>
              <w:rPr>
                <w:spacing w:val="-5"/>
                <w:sz w:val="24"/>
              </w:rPr>
              <w:t>18</w:t>
            </w:r>
          </w:p>
        </w:tc>
        <w:tc>
          <w:tcPr>
            <w:tcW w:w="1728" w:type="dxa"/>
          </w:tcPr>
          <w:p w14:paraId="252522F6">
            <w:pPr>
              <w:pStyle w:val="16"/>
              <w:spacing w:before="63"/>
              <w:ind w:left="26" w:right="7"/>
              <w:rPr>
                <w:sz w:val="24"/>
              </w:rPr>
            </w:pPr>
            <w:r>
              <w:rPr>
                <w:spacing w:val="-2"/>
                <w:sz w:val="24"/>
              </w:rPr>
              <w:t>13.043%</w:t>
            </w:r>
          </w:p>
        </w:tc>
        <w:tc>
          <w:tcPr>
            <w:tcW w:w="1392" w:type="dxa"/>
            <w:vMerge w:val="continue"/>
            <w:tcBorders>
              <w:top w:val="nil"/>
            </w:tcBorders>
          </w:tcPr>
          <w:p w14:paraId="1CBB0F1C">
            <w:pPr>
              <w:rPr>
                <w:sz w:val="2"/>
                <w:szCs w:val="2"/>
              </w:rPr>
            </w:pPr>
          </w:p>
        </w:tc>
      </w:tr>
      <w:tr w14:paraId="1279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jc w:val="center"/>
        </w:trPr>
        <w:tc>
          <w:tcPr>
            <w:tcW w:w="1008" w:type="dxa"/>
            <w:vMerge w:val="restart"/>
          </w:tcPr>
          <w:p w14:paraId="50409B8C">
            <w:pPr>
              <w:pStyle w:val="16"/>
              <w:spacing w:before="63"/>
              <w:ind w:left="16"/>
              <w:rPr>
                <w:sz w:val="24"/>
              </w:rPr>
            </w:pPr>
            <w:r>
              <w:rPr>
                <w:spacing w:val="-5"/>
                <w:sz w:val="24"/>
              </w:rPr>
              <w:t>3.</w:t>
            </w:r>
          </w:p>
        </w:tc>
        <w:tc>
          <w:tcPr>
            <w:tcW w:w="1579" w:type="dxa"/>
            <w:vMerge w:val="restart"/>
          </w:tcPr>
          <w:p w14:paraId="599C33F5">
            <w:pPr>
              <w:pStyle w:val="16"/>
              <w:spacing w:before="63"/>
              <w:ind w:left="525"/>
              <w:jc w:val="left"/>
              <w:rPr>
                <w:sz w:val="24"/>
              </w:rPr>
            </w:pPr>
            <w:r>
              <w:rPr>
                <w:spacing w:val="-2"/>
                <w:sz w:val="24"/>
              </w:rPr>
              <w:t>Third</w:t>
            </w:r>
          </w:p>
        </w:tc>
        <w:tc>
          <w:tcPr>
            <w:tcW w:w="1857" w:type="dxa"/>
          </w:tcPr>
          <w:p w14:paraId="58821FA2">
            <w:pPr>
              <w:pStyle w:val="16"/>
              <w:spacing w:before="63"/>
              <w:ind w:left="24"/>
              <w:rPr>
                <w:sz w:val="24"/>
              </w:rPr>
            </w:pPr>
            <w:r>
              <w:rPr>
                <w:spacing w:val="-5"/>
                <w:sz w:val="24"/>
              </w:rPr>
              <w:t>Yes</w:t>
            </w:r>
          </w:p>
        </w:tc>
        <w:tc>
          <w:tcPr>
            <w:tcW w:w="1670" w:type="dxa"/>
          </w:tcPr>
          <w:p w14:paraId="13047DB2">
            <w:pPr>
              <w:pStyle w:val="16"/>
              <w:spacing w:before="63"/>
              <w:ind w:left="22"/>
              <w:rPr>
                <w:sz w:val="24"/>
              </w:rPr>
            </w:pPr>
            <w:r>
              <w:rPr>
                <w:spacing w:val="-5"/>
                <w:sz w:val="24"/>
              </w:rPr>
              <w:t>31</w:t>
            </w:r>
          </w:p>
        </w:tc>
        <w:tc>
          <w:tcPr>
            <w:tcW w:w="1728" w:type="dxa"/>
          </w:tcPr>
          <w:p w14:paraId="2E56C219">
            <w:pPr>
              <w:pStyle w:val="16"/>
              <w:spacing w:before="63"/>
              <w:ind w:left="26" w:right="7"/>
              <w:rPr>
                <w:sz w:val="24"/>
              </w:rPr>
            </w:pPr>
            <w:r>
              <w:rPr>
                <w:spacing w:val="-2"/>
                <w:sz w:val="24"/>
              </w:rPr>
              <w:t>22.464%</w:t>
            </w:r>
          </w:p>
        </w:tc>
        <w:tc>
          <w:tcPr>
            <w:tcW w:w="1392" w:type="dxa"/>
            <w:vMerge w:val="continue"/>
            <w:tcBorders>
              <w:top w:val="nil"/>
            </w:tcBorders>
          </w:tcPr>
          <w:p w14:paraId="516107E8">
            <w:pPr>
              <w:rPr>
                <w:sz w:val="2"/>
                <w:szCs w:val="2"/>
              </w:rPr>
            </w:pPr>
          </w:p>
        </w:tc>
      </w:tr>
      <w:tr w14:paraId="2EC2D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jc w:val="center"/>
        </w:trPr>
        <w:tc>
          <w:tcPr>
            <w:tcW w:w="1008" w:type="dxa"/>
            <w:vMerge w:val="continue"/>
            <w:tcBorders>
              <w:top w:val="nil"/>
            </w:tcBorders>
          </w:tcPr>
          <w:p w14:paraId="4DA9D63E">
            <w:pPr>
              <w:rPr>
                <w:sz w:val="2"/>
                <w:szCs w:val="2"/>
              </w:rPr>
            </w:pPr>
          </w:p>
        </w:tc>
        <w:tc>
          <w:tcPr>
            <w:tcW w:w="1579" w:type="dxa"/>
            <w:vMerge w:val="continue"/>
            <w:tcBorders>
              <w:top w:val="nil"/>
            </w:tcBorders>
          </w:tcPr>
          <w:p w14:paraId="078CEC68">
            <w:pPr>
              <w:rPr>
                <w:sz w:val="2"/>
                <w:szCs w:val="2"/>
              </w:rPr>
            </w:pPr>
          </w:p>
        </w:tc>
        <w:tc>
          <w:tcPr>
            <w:tcW w:w="1857" w:type="dxa"/>
          </w:tcPr>
          <w:p w14:paraId="44560A21">
            <w:pPr>
              <w:pStyle w:val="16"/>
              <w:spacing w:before="63"/>
              <w:ind w:left="24" w:right="3"/>
              <w:rPr>
                <w:sz w:val="24"/>
              </w:rPr>
            </w:pPr>
            <w:r>
              <w:rPr>
                <w:spacing w:val="-5"/>
                <w:sz w:val="24"/>
              </w:rPr>
              <w:t>No</w:t>
            </w:r>
          </w:p>
        </w:tc>
        <w:tc>
          <w:tcPr>
            <w:tcW w:w="1670" w:type="dxa"/>
          </w:tcPr>
          <w:p w14:paraId="33CF5E3E">
            <w:pPr>
              <w:pStyle w:val="16"/>
              <w:spacing w:before="63"/>
              <w:ind w:left="22"/>
              <w:rPr>
                <w:sz w:val="24"/>
              </w:rPr>
            </w:pPr>
            <w:r>
              <w:rPr>
                <w:spacing w:val="-5"/>
                <w:sz w:val="24"/>
              </w:rPr>
              <w:t>15</w:t>
            </w:r>
          </w:p>
        </w:tc>
        <w:tc>
          <w:tcPr>
            <w:tcW w:w="1728" w:type="dxa"/>
          </w:tcPr>
          <w:p w14:paraId="355F4A97">
            <w:pPr>
              <w:pStyle w:val="16"/>
              <w:spacing w:before="63"/>
              <w:ind w:left="26"/>
              <w:rPr>
                <w:sz w:val="24"/>
              </w:rPr>
            </w:pPr>
            <w:r>
              <w:rPr>
                <w:spacing w:val="-2"/>
                <w:sz w:val="24"/>
              </w:rPr>
              <w:t>10.87%</w:t>
            </w:r>
          </w:p>
        </w:tc>
        <w:tc>
          <w:tcPr>
            <w:tcW w:w="1392" w:type="dxa"/>
            <w:vMerge w:val="continue"/>
            <w:tcBorders>
              <w:top w:val="nil"/>
            </w:tcBorders>
          </w:tcPr>
          <w:p w14:paraId="23BD4312">
            <w:pPr>
              <w:rPr>
                <w:sz w:val="2"/>
                <w:szCs w:val="2"/>
              </w:rPr>
            </w:pPr>
          </w:p>
        </w:tc>
      </w:tr>
    </w:tbl>
    <w:p w14:paraId="03AE4807">
      <w:pPr>
        <w:pStyle w:val="11"/>
        <w:jc w:val="both"/>
        <w:rPr>
          <w:lang w:val="en-IN"/>
        </w:rPr>
      </w:pPr>
      <w:r>
        <w:pict>
          <v:shape id="_x0000_s1072" o:spid="_x0000_s1072" o:spt="202" type="#_x0000_t202" style="position:absolute;left:0pt;margin-left:11.95pt;margin-top:2pt;height:37.1pt;width:522.9pt;z-index:251664384;mso-width-relative:page;mso-height-relative:page;" stroked="f" coordsize="21600,21600">
            <v:path/>
            <v:fill focussize="0,0"/>
            <v:stroke on="f" joinstyle="miter"/>
            <v:imagedata o:title=""/>
            <o:lock v:ext="edit"/>
            <v:textbox>
              <w:txbxContent>
                <w:p w14:paraId="1074E804">
                  <w:pPr>
                    <w:pStyle w:val="3"/>
                    <w:tabs>
                      <w:tab w:val="left" w:pos="2582"/>
                    </w:tabs>
                    <w:spacing w:after="0" w:line="480" w:lineRule="atLeast"/>
                    <w:ind w:left="0" w:right="1887"/>
                    <w:jc w:val="center"/>
                    <w:rPr>
                      <w:sz w:val="22"/>
                      <w:szCs w:val="22"/>
                      <w:lang w:val="en-IN"/>
                    </w:rPr>
                  </w:pPr>
                  <w:r>
                    <w:rPr>
                      <w:sz w:val="22"/>
                      <w:szCs w:val="22"/>
                      <w:lang w:val="en-IN"/>
                    </w:rPr>
                    <w:t xml:space="preserve">Table .9: </w:t>
                  </w:r>
                  <w:r>
                    <w:rPr>
                      <w:sz w:val="22"/>
                    </w:rPr>
                    <w:t>Trimester</w:t>
                  </w:r>
                  <w:r>
                    <w:rPr>
                      <w:spacing w:val="-9"/>
                      <w:sz w:val="22"/>
                    </w:rPr>
                    <w:t xml:space="preserve"> </w:t>
                  </w:r>
                  <w:r>
                    <w:rPr>
                      <w:sz w:val="22"/>
                    </w:rPr>
                    <w:t>wise</w:t>
                  </w:r>
                  <w:r>
                    <w:rPr>
                      <w:spacing w:val="-6"/>
                      <w:sz w:val="22"/>
                    </w:rPr>
                    <w:t xml:space="preserve"> </w:t>
                  </w:r>
                  <w:r>
                    <w:rPr>
                      <w:sz w:val="22"/>
                    </w:rPr>
                    <w:t>percentage</w:t>
                  </w:r>
                  <w:r>
                    <w:rPr>
                      <w:spacing w:val="-6"/>
                      <w:sz w:val="22"/>
                    </w:rPr>
                    <w:t xml:space="preserve"> </w:t>
                  </w:r>
                  <w:r>
                    <w:rPr>
                      <w:sz w:val="22"/>
                    </w:rPr>
                    <w:t>of</w:t>
                  </w:r>
                  <w:r>
                    <w:rPr>
                      <w:spacing w:val="-3"/>
                      <w:sz w:val="22"/>
                    </w:rPr>
                    <w:t xml:space="preserve"> </w:t>
                  </w:r>
                  <w:r>
                    <w:rPr>
                      <w:sz w:val="22"/>
                    </w:rPr>
                    <w:t>depressive</w:t>
                  </w:r>
                  <w:r>
                    <w:rPr>
                      <w:spacing w:val="-5"/>
                      <w:sz w:val="22"/>
                    </w:rPr>
                    <w:t xml:space="preserve"> </w:t>
                  </w:r>
                  <w:r>
                    <w:rPr>
                      <w:spacing w:val="-2"/>
                      <w:sz w:val="22"/>
                    </w:rPr>
                    <w:t>symptoms.</w:t>
                  </w:r>
                </w:p>
              </w:txbxContent>
            </v:textbox>
          </v:shape>
        </w:pict>
      </w:r>
    </w:p>
    <w:p w14:paraId="500DF5BB">
      <w:pPr>
        <w:pStyle w:val="11"/>
        <w:jc w:val="center"/>
        <w:rPr>
          <w:b/>
          <w:bCs/>
          <w:lang w:val="en-IN"/>
        </w:rPr>
      </w:pPr>
    </w:p>
    <w:p w14:paraId="4298E1D2">
      <w:pPr>
        <w:pStyle w:val="11"/>
        <w:jc w:val="center"/>
        <w:rPr>
          <w:b/>
          <w:bCs/>
          <w:lang w:val="en-IN"/>
        </w:rPr>
      </w:pPr>
    </w:p>
    <w:p w14:paraId="7E1C1BCA">
      <w:pPr>
        <w:pStyle w:val="11"/>
        <w:jc w:val="center"/>
        <w:rPr>
          <w:b/>
          <w:bCs/>
          <w:lang w:val="en-IN"/>
        </w:rPr>
      </w:pPr>
      <w:r>
        <w:rPr>
          <w:b/>
          <w:bCs/>
          <w:lang w:val="en-IN"/>
        </w:rPr>
        <w:t>DISCUSSION</w:t>
      </w:r>
    </w:p>
    <w:p w14:paraId="176300CF">
      <w:pPr>
        <w:pStyle w:val="11"/>
        <w:jc w:val="both"/>
        <w:rPr>
          <w:lang w:val="en-IN"/>
        </w:rPr>
      </w:pPr>
      <w:r>
        <w:t>The findings of the study reveal several important insights into the mental and physical health of primi gravida women, particularly concerning antenatal depression and its potential correlates. The majority of participants were between 22 and 29 years of age, indicating that early adulthood is the predominant period for first-time pregnancies in this population.</w:t>
      </w:r>
      <w:r>
        <w:rPr>
          <w:lang w:val="en-IN"/>
        </w:rPr>
        <w:t xml:space="preserve"> [7]</w:t>
      </w:r>
      <w:r>
        <w:t xml:space="preserve"> The near-equal distribution between planned and unplanned pregnancies, along with a relatively high rate of unplanned pregnancies compared to some previous studies, suggests that sociocultural or economic factors may influence reproductive planning.</w:t>
      </w:r>
      <w:r>
        <w:rPr>
          <w:lang w:val="en-IN"/>
        </w:rPr>
        <w:t>[8]</w:t>
      </w:r>
      <w:r>
        <w:t xml:space="preserve"> Obstetric complications were notably more common in the 30–35 age group, with a statistically significant association, supporting existing literature that links increased maternal age with higher obstetric risk.</w:t>
      </w:r>
      <w:r>
        <w:rPr>
          <w:lang w:val="en-IN"/>
        </w:rPr>
        <w:t>[9]</w:t>
      </w:r>
      <w:r>
        <w:t xml:space="preserve"> Psychological evaluation using the Beck Depression Inventory showed that a substantial portion of participants experienced depressive symptoms, with mild mood disturbance and moderate depression being particularly common. Despite the high prevalence, no significant statistical correlation was found between age or trimester and depression levels, although more cases of depression were observed in the third trimester, consistent with other studies.</w:t>
      </w:r>
      <w:r>
        <w:rPr>
          <w:lang w:val="en-IN"/>
        </w:rPr>
        <w:t>[10]</w:t>
      </w:r>
      <w:r>
        <w:t xml:space="preserve"> Similarly, while women with unplanned pregnancies reported higher depressive symptoms, the difference was not statistically significant. Overall, the data highlights a concerningly high prevalence of antenatal depression (61.59%) in the study population, far exceeding rates reported in some earlier research, underscoring the need for routine mental health screening during pregnancy and tailored interventions, especially in settings where unplanned pregnancies and obstetric complications are prevalent.</w:t>
      </w:r>
      <w:r>
        <w:rPr>
          <w:lang w:val="en-IN"/>
        </w:rPr>
        <w:t>[11]</w:t>
      </w:r>
    </w:p>
    <w:p w14:paraId="4C22B261">
      <w:pPr>
        <w:pStyle w:val="13"/>
        <w:spacing w:line="240" w:lineRule="auto"/>
        <w:ind w:left="0"/>
        <w:jc w:val="both"/>
        <w:rPr>
          <w:rFonts w:ascii="Times New Roman" w:hAnsi="Times New Roman" w:cs="Times New Roman"/>
          <w:sz w:val="24"/>
          <w:szCs w:val="24"/>
          <w:u w:val="single"/>
          <w:lang w:val="en-IN"/>
        </w:rPr>
      </w:pPr>
    </w:p>
    <w:p w14:paraId="6A222161">
      <w:pPr>
        <w:pStyle w:val="13"/>
        <w:spacing w:line="240" w:lineRule="auto"/>
        <w:ind w:left="0"/>
        <w:jc w:val="both"/>
        <w:rPr>
          <w:rFonts w:ascii="Times New Roman" w:hAnsi="Times New Roman" w:cs="Times New Roman"/>
          <w:sz w:val="24"/>
          <w:szCs w:val="24"/>
          <w:lang w:val="en-IN"/>
        </w:rPr>
      </w:pPr>
    </w:p>
    <w:p w14:paraId="3A6786E4">
      <w:pPr>
        <w:pStyle w:val="13"/>
        <w:spacing w:line="240" w:lineRule="auto"/>
        <w:ind w:left="0"/>
        <w:jc w:val="center"/>
        <w:rPr>
          <w:rFonts w:ascii="Times New Roman" w:hAnsi="Times New Roman" w:cs="Times New Roman"/>
          <w:sz w:val="24"/>
          <w:szCs w:val="24"/>
          <w:lang w:val="en-IN"/>
        </w:rPr>
      </w:pPr>
      <w:r>
        <w:rPr>
          <w:rFonts w:ascii="Times New Roman" w:hAnsi="Times New Roman" w:cs="Times New Roman"/>
          <w:b/>
          <w:bCs/>
          <w:sz w:val="24"/>
          <w:szCs w:val="24"/>
          <w:lang w:val="en-IN"/>
        </w:rPr>
        <w:t>CONCLUSION</w:t>
      </w:r>
    </w:p>
    <w:p w14:paraId="30AEADF3">
      <w:pPr>
        <w:pStyle w:val="11"/>
        <w:jc w:val="both"/>
      </w:pPr>
      <w:r>
        <w:rPr>
          <w:rFonts w:ascii="Times New Roman Regular" w:hAnsi="Times New Roman Regular" w:cs="Times New Roman Regular"/>
        </w:rPr>
        <w:t>In conclusion,</w:t>
      </w:r>
      <w:r>
        <w:rPr>
          <w:rFonts w:ascii="Times New Roman Regular" w:hAnsi="Times New Roman Regular" w:cs="Times New Roman Regular"/>
          <w:lang w:val="en-IN"/>
        </w:rPr>
        <w:t xml:space="preserve"> the </w:t>
      </w:r>
      <w:r>
        <w:t>present study conducted among 138 primi gravida women highlights a significant prevalence of depressive symptoms during pregnancy, with 61.59% of participants exhibiting varying levels of depression based on BDI scores. The most affected age group was 26–29 years, and while unplanned pregnancy and trimester of gestation showed trends toward higher depressive symptoms, these associations were statistically insignificant. However, a significant correlation was observed between advanced maternal age (30–35 years) and the occurrence of obstetric complications. The findings emphasize the need for routine psychological screening during antenatal care, particularly in the third trimester, and underline the importance of early intervention strategies to manage maternal mental health and improve pregnancy outcomes. Incorporating mental health assessments into routine obstetric care could greatly enhance maternal well-being and fetal health, especially in populations with high rates of unplanned pregnancies and delayed maternal age.</w:t>
      </w:r>
    </w:p>
    <w:p w14:paraId="52483795">
      <w:pPr>
        <w:rPr>
          <w:rFonts w:ascii="Calibri" w:hAnsi="Calibri" w:eastAsia="Calibri" w:cs="Times New Roman"/>
          <w:kern w:val="2"/>
          <w:highlight w:val="yellow"/>
        </w:rPr>
      </w:pPr>
      <w:bookmarkStart w:id="0" w:name="_Hlk197682619"/>
      <w:bookmarkStart w:id="1" w:name="_Hlk183680988"/>
      <w:bookmarkStart w:id="2" w:name="_Hlk180402183"/>
      <w:r>
        <w:rPr>
          <w:rFonts w:ascii="Calibri" w:hAnsi="Calibri" w:eastAsia="Calibri" w:cs="Times New Roman"/>
          <w:kern w:val="2"/>
          <w:highlight w:val="yellow"/>
        </w:rPr>
        <w:t>Disclaimer (Artificial intelligence)</w:t>
      </w:r>
    </w:p>
    <w:p w14:paraId="37892778">
      <w:pPr>
        <w:rPr>
          <w:rFonts w:ascii="Calibri" w:hAnsi="Calibri" w:eastAsia="Calibri" w:cs="Times New Roman"/>
          <w:kern w:val="2"/>
          <w:highlight w:val="yellow"/>
        </w:rPr>
      </w:pPr>
      <w:r>
        <w:rPr>
          <w:rFonts w:ascii="Calibri" w:hAnsi="Calibri" w:eastAsia="Calibri" w:cs="Times New Roman"/>
          <w:kern w:val="2"/>
          <w:highlight w:val="yellow"/>
        </w:rPr>
        <w:t xml:space="preserve">Option 1: </w:t>
      </w:r>
    </w:p>
    <w:p w14:paraId="23BC065B">
      <w:pPr>
        <w:rPr>
          <w:rFonts w:ascii="Calibri" w:hAnsi="Calibri" w:eastAsia="Calibri" w:cs="Times New Roman"/>
          <w:kern w:val="2"/>
          <w:highlight w:val="yellow"/>
        </w:rPr>
      </w:pPr>
      <w:r>
        <w:rPr>
          <w:rFonts w:ascii="Calibri" w:hAnsi="Calibri" w:eastAsia="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F4C89C7">
      <w:pPr>
        <w:rPr>
          <w:rFonts w:ascii="Calibri" w:hAnsi="Calibri" w:eastAsia="Calibri" w:cs="Times New Roman"/>
          <w:kern w:val="2"/>
          <w:highlight w:val="yellow"/>
        </w:rPr>
      </w:pPr>
      <w:r>
        <w:rPr>
          <w:rFonts w:ascii="Calibri" w:hAnsi="Calibri" w:eastAsia="Calibri" w:cs="Times New Roman"/>
          <w:kern w:val="2"/>
          <w:highlight w:val="yellow"/>
        </w:rPr>
        <w:t xml:space="preserve">Option 2: </w:t>
      </w:r>
    </w:p>
    <w:p w14:paraId="364E8464">
      <w:pPr>
        <w:rPr>
          <w:rFonts w:ascii="Calibri" w:hAnsi="Calibri" w:eastAsia="Calibri" w:cs="Times New Roman"/>
          <w:kern w:val="2"/>
          <w:highlight w:val="yellow"/>
        </w:rPr>
      </w:pPr>
      <w:r>
        <w:rPr>
          <w:rFonts w:ascii="Calibri" w:hAnsi="Calibri" w:eastAsia="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39B5C9">
      <w:pPr>
        <w:rPr>
          <w:rFonts w:ascii="Calibri" w:hAnsi="Calibri" w:eastAsia="Calibri" w:cs="Times New Roman"/>
          <w:kern w:val="2"/>
          <w:highlight w:val="yellow"/>
        </w:rPr>
      </w:pPr>
      <w:r>
        <w:rPr>
          <w:rFonts w:ascii="Calibri" w:hAnsi="Calibri" w:eastAsia="Calibri" w:cs="Times New Roman"/>
          <w:kern w:val="2"/>
          <w:highlight w:val="yellow"/>
        </w:rPr>
        <w:t>Details of the AI usage are given below:</w:t>
      </w:r>
    </w:p>
    <w:p w14:paraId="29FFC879">
      <w:pPr>
        <w:rPr>
          <w:rFonts w:ascii="Calibri" w:hAnsi="Calibri" w:eastAsia="Calibri" w:cs="Times New Roman"/>
          <w:kern w:val="2"/>
          <w:highlight w:val="yellow"/>
        </w:rPr>
      </w:pPr>
      <w:r>
        <w:rPr>
          <w:rFonts w:ascii="Calibri" w:hAnsi="Calibri" w:eastAsia="Calibri" w:cs="Times New Roman"/>
          <w:kern w:val="2"/>
          <w:highlight w:val="yellow"/>
        </w:rPr>
        <w:t>1.</w:t>
      </w:r>
    </w:p>
    <w:p w14:paraId="54BA8586">
      <w:pPr>
        <w:rPr>
          <w:rFonts w:ascii="Calibri" w:hAnsi="Calibri" w:eastAsia="Calibri" w:cs="Times New Roman"/>
          <w:kern w:val="2"/>
          <w:highlight w:val="yellow"/>
        </w:rPr>
      </w:pPr>
      <w:r>
        <w:rPr>
          <w:rFonts w:ascii="Calibri" w:hAnsi="Calibri" w:eastAsia="Calibri" w:cs="Times New Roman"/>
          <w:kern w:val="2"/>
          <w:highlight w:val="yellow"/>
        </w:rPr>
        <w:t>2.</w:t>
      </w:r>
    </w:p>
    <w:bookmarkEnd w:id="0"/>
    <w:p w14:paraId="12A14F08">
      <w:pPr>
        <w:rPr>
          <w:rFonts w:ascii="Calibri" w:hAnsi="Calibri" w:eastAsia="Calibri" w:cs="Times New Roman"/>
          <w:kern w:val="2"/>
        </w:rPr>
      </w:pPr>
      <w:bookmarkStart w:id="3" w:name="_Hlk197682629"/>
      <w:r>
        <w:rPr>
          <w:rFonts w:ascii="Calibri" w:hAnsi="Calibri" w:eastAsia="Calibri" w:cs="Times New Roman"/>
          <w:kern w:val="2"/>
          <w:highlight w:val="yellow"/>
        </w:rPr>
        <w:t>3.</w:t>
      </w:r>
    </w:p>
    <w:bookmarkEnd w:id="1"/>
    <w:bookmarkEnd w:id="2"/>
    <w:bookmarkEnd w:id="3"/>
    <w:p w14:paraId="53507FEB">
      <w:pPr>
        <w:pStyle w:val="11"/>
        <w:jc w:val="both"/>
      </w:pPr>
    </w:p>
    <w:p w14:paraId="385403F1">
      <w:pPr>
        <w:spacing w:line="240" w:lineRule="auto"/>
        <w:ind w:firstLine="720"/>
        <w:jc w:val="both"/>
        <w:rPr>
          <w:rFonts w:ascii="Times New Roman Regular" w:hAnsi="Times New Roman Regular" w:cs="Times New Roman Regular"/>
          <w:sz w:val="24"/>
          <w:szCs w:val="24"/>
        </w:rPr>
      </w:pPr>
    </w:p>
    <w:p w14:paraId="0A280507">
      <w:pPr>
        <w:spacing w:line="240" w:lineRule="auto"/>
        <w:jc w:val="both"/>
        <w:rPr>
          <w:rFonts w:ascii="Times New Roman" w:hAnsi="Times New Roman" w:cs="Times New Roman"/>
          <w:b/>
          <w:bCs/>
          <w:sz w:val="24"/>
          <w:szCs w:val="24"/>
          <w:lang w:val="en-IN"/>
        </w:rPr>
      </w:pPr>
    </w:p>
    <w:p w14:paraId="3C55942B">
      <w:pPr>
        <w:spacing w:line="240" w:lineRule="auto"/>
        <w:jc w:val="center"/>
        <w:rPr>
          <w:rFonts w:ascii="Times New Roman" w:hAnsi="Times New Roman" w:cs="Times New Roman"/>
          <w:b/>
          <w:bCs/>
          <w:sz w:val="24"/>
          <w:szCs w:val="24"/>
          <w:lang w:val="en-IN"/>
        </w:rPr>
      </w:pPr>
    </w:p>
    <w:p w14:paraId="3A21F90F">
      <w:pPr>
        <w:spacing w:line="240" w:lineRule="auto"/>
        <w:jc w:val="center"/>
        <w:rPr>
          <w:rFonts w:ascii="Times New Roman" w:hAnsi="Times New Roman" w:cs="Times New Roman"/>
          <w:b/>
          <w:bCs/>
          <w:sz w:val="24"/>
          <w:szCs w:val="24"/>
          <w:lang w:val="en-IN"/>
        </w:rPr>
      </w:pPr>
    </w:p>
    <w:p w14:paraId="248BE182">
      <w:pPr>
        <w:pStyle w:val="13"/>
        <w:spacing w:line="240" w:lineRule="auto"/>
        <w:ind w:left="0"/>
        <w:jc w:val="center"/>
        <w:rPr>
          <w:rFonts w:ascii="Times New Roman" w:hAnsi="Times New Roman" w:cs="Times New Roman"/>
          <w:b/>
          <w:bCs/>
          <w:sz w:val="24"/>
          <w:szCs w:val="24"/>
          <w:lang w:val="en-IN"/>
        </w:rPr>
      </w:pPr>
    </w:p>
    <w:p w14:paraId="2556EC9A">
      <w:pPr>
        <w:pStyle w:val="13"/>
        <w:spacing w:line="240" w:lineRule="auto"/>
        <w:ind w:left="0"/>
        <w:jc w:val="center"/>
        <w:rPr>
          <w:rFonts w:ascii="Times New Roman" w:hAnsi="Times New Roman" w:cs="Times New Roman"/>
          <w:b/>
          <w:bCs/>
          <w:sz w:val="24"/>
          <w:szCs w:val="24"/>
          <w:lang w:val="en-IN"/>
        </w:rPr>
      </w:pPr>
    </w:p>
    <w:p w14:paraId="12BFA883">
      <w:pPr>
        <w:pStyle w:val="13"/>
        <w:spacing w:line="240" w:lineRule="auto"/>
        <w:ind w:left="0"/>
        <w:jc w:val="center"/>
        <w:rPr>
          <w:rFonts w:ascii="Times New Roman" w:hAnsi="Times New Roman" w:cs="Times New Roman"/>
          <w:b/>
          <w:bCs/>
          <w:sz w:val="24"/>
          <w:szCs w:val="24"/>
          <w:lang w:val="en-IN"/>
        </w:rPr>
      </w:pPr>
    </w:p>
    <w:p w14:paraId="5DB077E3">
      <w:pPr>
        <w:pStyle w:val="13"/>
        <w:spacing w:line="240" w:lineRule="auto"/>
        <w:ind w:left="0"/>
        <w:jc w:val="center"/>
        <w:rPr>
          <w:rFonts w:ascii="Times New Roman" w:hAnsi="Times New Roman" w:cs="Times New Roman"/>
          <w:b/>
          <w:bCs/>
          <w:sz w:val="24"/>
          <w:szCs w:val="24"/>
          <w:lang w:val="en-IN"/>
        </w:rPr>
      </w:pPr>
    </w:p>
    <w:p w14:paraId="55F4388C">
      <w:pPr>
        <w:pStyle w:val="13"/>
        <w:spacing w:line="24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REFERENCE</w:t>
      </w:r>
    </w:p>
    <w:p w14:paraId="152A4115">
      <w:pPr>
        <w:pStyle w:val="13"/>
        <w:spacing w:line="240" w:lineRule="auto"/>
        <w:ind w:left="0"/>
        <w:jc w:val="center"/>
        <w:rPr>
          <w:rFonts w:ascii="Times New Roman" w:hAnsi="Times New Roman" w:cs="Times New Roman"/>
          <w:b/>
          <w:bCs/>
          <w:sz w:val="24"/>
          <w:szCs w:val="24"/>
          <w:lang w:val="en-IN"/>
        </w:rPr>
      </w:pPr>
    </w:p>
    <w:p w14:paraId="110F7D87">
      <w:pPr>
        <w:pStyle w:val="13"/>
        <w:numPr>
          <w:ilvl w:val="0"/>
          <w:numId w:val="2"/>
        </w:numPr>
        <w:spacing w:after="0" w:line="360"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Gavin NI, Gaynes BN, Lohr KN, Meltzer-Brody S, Gartlehner G, Swinson T. Perinatal</w:t>
      </w:r>
    </w:p>
    <w:p w14:paraId="1A4F4EAE">
      <w:pPr>
        <w:pStyle w:val="13"/>
        <w:spacing w:after="0" w:line="360" w:lineRule="auto"/>
        <w:ind w:left="0" w:right="224" w:rightChars="102"/>
        <w:jc w:val="both"/>
        <w:rPr>
          <w:rFonts w:ascii="Times New Roman" w:hAnsi="Times New Roman" w:cs="Times New Roman"/>
          <w:sz w:val="24"/>
        </w:rPr>
      </w:pPr>
      <w:r>
        <w:rPr>
          <w:rFonts w:ascii="Times New Roman" w:hAnsi="Times New Roman" w:cs="Times New Roman"/>
          <w:sz w:val="24"/>
        </w:rPr>
        <w:t>depression: a systematic review of prevalence and incidence. Obstet Gynecol. 2005 Nov;106(5 Pt 1):1071-83.</w:t>
      </w:r>
    </w:p>
    <w:p w14:paraId="6F8A2A3F">
      <w:pPr>
        <w:pStyle w:val="13"/>
        <w:numPr>
          <w:ilvl w:val="0"/>
          <w:numId w:val="2"/>
        </w:numPr>
        <w:spacing w:after="0" w:line="362"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O'Hara MW, Wisner KL. Perinatal mental illness: definition, description and aetiology.</w:t>
      </w:r>
    </w:p>
    <w:p w14:paraId="2283A634">
      <w:pPr>
        <w:pStyle w:val="13"/>
        <w:spacing w:after="0" w:line="362" w:lineRule="auto"/>
        <w:ind w:left="0" w:right="224" w:rightChars="102"/>
        <w:jc w:val="both"/>
        <w:rPr>
          <w:rFonts w:ascii="Times New Roman" w:hAnsi="Times New Roman" w:cs="Times New Roman"/>
          <w:sz w:val="24"/>
        </w:rPr>
      </w:pPr>
      <w:r>
        <w:rPr>
          <w:rFonts w:ascii="Times New Roman" w:hAnsi="Times New Roman" w:cs="Times New Roman"/>
          <w:sz w:val="24"/>
        </w:rPr>
        <w:t>Best</w:t>
      </w:r>
      <w:r>
        <w:rPr>
          <w:rFonts w:ascii="Times New Roman" w:hAnsi="Times New Roman" w:cs="Times New Roman"/>
          <w:sz w:val="24"/>
          <w:lang w:val="en-IN"/>
        </w:rPr>
        <w:t xml:space="preserve"> </w:t>
      </w:r>
      <w:r>
        <w:rPr>
          <w:rFonts w:ascii="Times New Roman" w:hAnsi="Times New Roman" w:cs="Times New Roman"/>
          <w:sz w:val="24"/>
        </w:rPr>
        <w:t>Pract Res Clin Obstet Gynaecol. 2014 Jan;28(1):3-12.</w:t>
      </w:r>
    </w:p>
    <w:p w14:paraId="2F8BE159">
      <w:pPr>
        <w:pStyle w:val="13"/>
        <w:numPr>
          <w:ilvl w:val="0"/>
          <w:numId w:val="2"/>
        </w:numPr>
        <w:spacing w:after="0" w:line="360"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Molyneaux</w:t>
      </w:r>
      <w:r>
        <w:rPr>
          <w:rFonts w:ascii="Times New Roman" w:hAnsi="Times New Roman" w:cs="Times New Roman"/>
          <w:spacing w:val="-9"/>
          <w:sz w:val="24"/>
        </w:rPr>
        <w:t xml:space="preserve"> </w:t>
      </w:r>
      <w:r>
        <w:rPr>
          <w:rFonts w:ascii="Times New Roman" w:hAnsi="Times New Roman" w:cs="Times New Roman"/>
          <w:sz w:val="24"/>
        </w:rPr>
        <w:t>E,</w:t>
      </w:r>
      <w:r>
        <w:rPr>
          <w:rFonts w:ascii="Times New Roman" w:hAnsi="Times New Roman" w:cs="Times New Roman"/>
          <w:spacing w:val="-1"/>
          <w:sz w:val="24"/>
        </w:rPr>
        <w:t xml:space="preserve"> </w:t>
      </w:r>
      <w:r>
        <w:rPr>
          <w:rFonts w:ascii="Times New Roman" w:hAnsi="Times New Roman" w:cs="Times New Roman"/>
          <w:sz w:val="24"/>
        </w:rPr>
        <w:t>Poston</w:t>
      </w:r>
      <w:r>
        <w:rPr>
          <w:rFonts w:ascii="Times New Roman" w:hAnsi="Times New Roman" w:cs="Times New Roman"/>
          <w:spacing w:val="-9"/>
          <w:sz w:val="24"/>
        </w:rPr>
        <w:t xml:space="preserve"> </w:t>
      </w:r>
      <w:r>
        <w:rPr>
          <w:rFonts w:ascii="Times New Roman" w:hAnsi="Times New Roman" w:cs="Times New Roman"/>
          <w:sz w:val="24"/>
        </w:rPr>
        <w:t>L,</w:t>
      </w:r>
      <w:r>
        <w:rPr>
          <w:rFonts w:ascii="Times New Roman" w:hAnsi="Times New Roman" w:cs="Times New Roman"/>
          <w:spacing w:val="-14"/>
          <w:sz w:val="24"/>
        </w:rPr>
        <w:t xml:space="preserve"> </w:t>
      </w:r>
      <w:r>
        <w:rPr>
          <w:rFonts w:ascii="Times New Roman" w:hAnsi="Times New Roman" w:cs="Times New Roman"/>
          <w:sz w:val="24"/>
        </w:rPr>
        <w:t>Ashurst-Williams</w:t>
      </w:r>
      <w:r>
        <w:rPr>
          <w:rFonts w:ascii="Times New Roman" w:hAnsi="Times New Roman" w:cs="Times New Roman"/>
          <w:spacing w:val="-5"/>
          <w:sz w:val="24"/>
        </w:rPr>
        <w:t xml:space="preserve"> </w:t>
      </w:r>
      <w:r>
        <w:rPr>
          <w:rFonts w:ascii="Times New Roman" w:hAnsi="Times New Roman" w:cs="Times New Roman"/>
          <w:sz w:val="24"/>
        </w:rPr>
        <w:t>S, Howard</w:t>
      </w:r>
      <w:r>
        <w:rPr>
          <w:rFonts w:ascii="Times New Roman" w:hAnsi="Times New Roman" w:cs="Times New Roman"/>
          <w:spacing w:val="-2"/>
          <w:sz w:val="24"/>
        </w:rPr>
        <w:t xml:space="preserve"> </w:t>
      </w:r>
      <w:r>
        <w:rPr>
          <w:rFonts w:ascii="Times New Roman" w:hAnsi="Times New Roman" w:cs="Times New Roman"/>
          <w:sz w:val="24"/>
        </w:rPr>
        <w:t>LM.</w:t>
      </w:r>
      <w:r>
        <w:rPr>
          <w:rFonts w:ascii="Times New Roman" w:hAnsi="Times New Roman" w:cs="Times New Roman"/>
          <w:spacing w:val="-2"/>
          <w:sz w:val="24"/>
        </w:rPr>
        <w:t xml:space="preserve"> </w:t>
      </w:r>
      <w:r>
        <w:rPr>
          <w:rFonts w:ascii="Times New Roman" w:hAnsi="Times New Roman" w:cs="Times New Roman"/>
          <w:sz w:val="24"/>
        </w:rPr>
        <w:t>Obesity</w:t>
      </w:r>
      <w:r>
        <w:rPr>
          <w:rFonts w:ascii="Times New Roman" w:hAnsi="Times New Roman" w:cs="Times New Roman"/>
          <w:spacing w:val="-9"/>
          <w:sz w:val="24"/>
        </w:rPr>
        <w:t xml:space="preserve"> </w:t>
      </w:r>
      <w:r>
        <w:rPr>
          <w:rFonts w:ascii="Times New Roman" w:hAnsi="Times New Roman" w:cs="Times New Roman"/>
          <w:sz w:val="24"/>
        </w:rPr>
        <w:t>and mental disorders</w:t>
      </w:r>
      <w:r>
        <w:rPr>
          <w:rFonts w:ascii="Times New Roman" w:hAnsi="Times New Roman" w:cs="Times New Roman"/>
          <w:sz w:val="24"/>
          <w:lang w:val="en-IN"/>
        </w:rPr>
        <w:t xml:space="preserve">  </w:t>
      </w:r>
    </w:p>
    <w:p w14:paraId="2450DF9C">
      <w:pPr>
        <w:pStyle w:val="13"/>
        <w:spacing w:after="0" w:line="360" w:lineRule="auto"/>
        <w:ind w:left="0" w:right="224" w:rightChars="102"/>
        <w:jc w:val="both"/>
        <w:rPr>
          <w:rFonts w:ascii="Times New Roman" w:hAnsi="Times New Roman" w:cs="Times New Roman"/>
          <w:sz w:val="24"/>
        </w:rPr>
      </w:pPr>
      <w:r>
        <w:rPr>
          <w:rFonts w:ascii="Times New Roman" w:hAnsi="Times New Roman" w:cs="Times New Roman"/>
          <w:sz w:val="24"/>
        </w:rPr>
        <w:t>during pregnancy and postpartum: a systematic review and meta- analysis. Obstet Gynecol. 2014 Apr;123(4):857-67.</w:t>
      </w:r>
    </w:p>
    <w:p w14:paraId="4D9F3A10">
      <w:pPr>
        <w:pStyle w:val="13"/>
        <w:numPr>
          <w:ilvl w:val="0"/>
          <w:numId w:val="2"/>
        </w:numPr>
        <w:spacing w:after="0" w:line="360"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Andersson L, Sundström-Poromaa I, Bixo M, Wulff M, Bondestam K, et al. Point</w:t>
      </w:r>
    </w:p>
    <w:p w14:paraId="70836235">
      <w:pPr>
        <w:pStyle w:val="13"/>
        <w:spacing w:after="0" w:line="360" w:lineRule="auto"/>
        <w:ind w:left="0" w:right="224" w:rightChars="102"/>
        <w:jc w:val="both"/>
        <w:rPr>
          <w:rFonts w:ascii="Times New Roman" w:hAnsi="Times New Roman" w:cs="Times New Roman"/>
          <w:sz w:val="24"/>
        </w:rPr>
      </w:pPr>
      <w:r>
        <w:rPr>
          <w:rFonts w:ascii="Times New Roman" w:hAnsi="Times New Roman" w:cs="Times New Roman"/>
          <w:sz w:val="24"/>
        </w:rPr>
        <w:t xml:space="preserve">prevalence of psychiatric disorders during the second trimester of pregnancy: a population-based study. Am J Obstet Gynecol. 2003 </w:t>
      </w:r>
      <w:r>
        <w:rPr>
          <w:rFonts w:ascii="Times New Roman" w:hAnsi="Times New Roman" w:cs="Times New Roman"/>
          <w:spacing w:val="-2"/>
          <w:sz w:val="24"/>
        </w:rPr>
        <w:t>Jul;189(1):148-54.</w:t>
      </w:r>
    </w:p>
    <w:p w14:paraId="7B5B88C1">
      <w:pPr>
        <w:pStyle w:val="13"/>
        <w:numPr>
          <w:ilvl w:val="0"/>
          <w:numId w:val="2"/>
        </w:numPr>
        <w:spacing w:after="0" w:line="360"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Klawetter S, McNitt C, Hoffman JA, Glaze K, Sward</w:t>
      </w:r>
      <w:r>
        <w:rPr>
          <w:rFonts w:ascii="Times New Roman" w:hAnsi="Times New Roman" w:cs="Times New Roman"/>
          <w:spacing w:val="-2"/>
          <w:sz w:val="24"/>
        </w:rPr>
        <w:t xml:space="preserve"> </w:t>
      </w:r>
      <w:r>
        <w:rPr>
          <w:rFonts w:ascii="Times New Roman" w:hAnsi="Times New Roman" w:cs="Times New Roman"/>
          <w:sz w:val="24"/>
        </w:rPr>
        <w:t>A, Frankel K. Perinatal Depression</w:t>
      </w:r>
      <w:r>
        <w:rPr>
          <w:rFonts w:ascii="Times New Roman" w:hAnsi="Times New Roman" w:cs="Times New Roman"/>
          <w:sz w:val="24"/>
          <w:lang w:val="en-IN"/>
        </w:rPr>
        <w:t xml:space="preserve"> </w:t>
      </w:r>
    </w:p>
    <w:p w14:paraId="019A5DE9">
      <w:pPr>
        <w:pStyle w:val="13"/>
        <w:spacing w:after="0" w:line="360" w:lineRule="auto"/>
        <w:ind w:left="0" w:right="224" w:rightChars="102"/>
        <w:jc w:val="both"/>
        <w:rPr>
          <w:rFonts w:ascii="Times New Roman" w:hAnsi="Times New Roman" w:cs="Times New Roman"/>
          <w:sz w:val="24"/>
        </w:rPr>
      </w:pPr>
      <w:r>
        <w:rPr>
          <w:rFonts w:ascii="Times New Roman" w:hAnsi="Times New Roman" w:cs="Times New Roman"/>
          <w:sz w:val="24"/>
          <w:lang w:val="en-IN"/>
        </w:rPr>
        <w:t xml:space="preserve">in </w:t>
      </w:r>
      <w:r>
        <w:rPr>
          <w:rFonts w:ascii="Times New Roman" w:hAnsi="Times New Roman" w:cs="Times New Roman"/>
          <w:sz w:val="24"/>
        </w:rPr>
        <w:t>Low-Income Women: A Literature Review and Innovative Screening Approach. Curr Psychiatry Rep. 2020 Jan 7;22(1):1.</w:t>
      </w:r>
    </w:p>
    <w:p w14:paraId="1A11689F">
      <w:pPr>
        <w:pStyle w:val="13"/>
        <w:numPr>
          <w:ilvl w:val="0"/>
          <w:numId w:val="2"/>
        </w:numPr>
        <w:spacing w:after="0" w:line="362"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Goodman JH. Perinatal depression and infant mental health. Arch Psychiatr Nurs. 2019</w:t>
      </w:r>
    </w:p>
    <w:p w14:paraId="28E75F5A">
      <w:pPr>
        <w:pStyle w:val="13"/>
        <w:spacing w:after="0" w:line="362" w:lineRule="auto"/>
        <w:ind w:left="0" w:right="224" w:rightChars="102"/>
        <w:jc w:val="both"/>
        <w:rPr>
          <w:rFonts w:ascii="Times New Roman" w:hAnsi="Times New Roman" w:cs="Times New Roman"/>
          <w:sz w:val="24"/>
        </w:rPr>
      </w:pPr>
      <w:r>
        <w:rPr>
          <w:rFonts w:ascii="Times New Roman" w:hAnsi="Times New Roman" w:cs="Times New Roman"/>
          <w:sz w:val="24"/>
        </w:rPr>
        <w:t>Jun;33(3):217- 24.</w:t>
      </w:r>
    </w:p>
    <w:p w14:paraId="4F41B887">
      <w:pPr>
        <w:pStyle w:val="13"/>
        <w:numPr>
          <w:ilvl w:val="0"/>
          <w:numId w:val="2"/>
        </w:numPr>
        <w:spacing w:after="0" w:line="360"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Zou Y, Fan F, Ma A, Yue Y, Mao W, Ma X. Hormonal changes and somatopsychologic</w:t>
      </w:r>
    </w:p>
    <w:p w14:paraId="2750F769">
      <w:pPr>
        <w:pStyle w:val="13"/>
        <w:spacing w:after="0" w:line="360" w:lineRule="auto"/>
        <w:ind w:left="0" w:right="224" w:rightChars="102"/>
        <w:jc w:val="both"/>
        <w:rPr>
          <w:rFonts w:ascii="Times New Roman" w:hAnsi="Times New Roman" w:cs="Times New Roman"/>
          <w:sz w:val="24"/>
        </w:rPr>
      </w:pPr>
      <w:r>
        <w:rPr>
          <w:rFonts w:ascii="Times New Roman" w:hAnsi="Times New Roman" w:cs="Times New Roman"/>
          <w:sz w:val="24"/>
        </w:rPr>
        <w:t>manifestations in the first trimester of pregnancy and post partum. Int J Gynaecol Obstet. 2009 Apr;105(1):46-49.</w:t>
      </w:r>
    </w:p>
    <w:p w14:paraId="68304990">
      <w:pPr>
        <w:pStyle w:val="13"/>
        <w:numPr>
          <w:ilvl w:val="0"/>
          <w:numId w:val="2"/>
        </w:numPr>
        <w:spacing w:after="0" w:line="360"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Racine N, Zumwalt K, McDonald S, Tough S, Madigan S. Perinatal depression: The role</w:t>
      </w:r>
    </w:p>
    <w:p w14:paraId="1F831206">
      <w:pPr>
        <w:pStyle w:val="13"/>
        <w:spacing w:after="0" w:line="360" w:lineRule="auto"/>
        <w:ind w:left="0" w:right="224" w:rightChars="102"/>
        <w:jc w:val="both"/>
        <w:rPr>
          <w:rFonts w:ascii="Times New Roman" w:hAnsi="Times New Roman" w:cs="Times New Roman"/>
          <w:sz w:val="24"/>
        </w:rPr>
      </w:pPr>
      <w:r>
        <w:rPr>
          <w:rFonts w:ascii="Times New Roman" w:hAnsi="Times New Roman" w:cs="Times New Roman"/>
          <w:sz w:val="24"/>
        </w:rPr>
        <w:t>of</w:t>
      </w:r>
      <w:r>
        <w:rPr>
          <w:rFonts w:ascii="Times New Roman" w:hAnsi="Times New Roman" w:cs="Times New Roman"/>
          <w:sz w:val="24"/>
          <w:lang w:val="en-IN"/>
        </w:rPr>
        <w:t xml:space="preserve"> </w:t>
      </w:r>
      <w:r>
        <w:rPr>
          <w:rFonts w:ascii="Times New Roman" w:hAnsi="Times New Roman" w:cs="Times New Roman"/>
          <w:sz w:val="24"/>
        </w:rPr>
        <w:t>maternal adverse childhood experiences and social support. J Affect Disord. 2020 Feb 15;263: 576- 81.</w:t>
      </w:r>
    </w:p>
    <w:p w14:paraId="02573B90">
      <w:pPr>
        <w:pStyle w:val="13"/>
        <w:numPr>
          <w:ilvl w:val="0"/>
          <w:numId w:val="2"/>
        </w:numPr>
        <w:spacing w:after="0" w:line="360"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Muzik M, Borovska S. Perinatal depression: implications for child mental health. Ment</w:t>
      </w:r>
    </w:p>
    <w:p w14:paraId="6794AC72">
      <w:pPr>
        <w:pStyle w:val="13"/>
        <w:spacing w:after="0" w:line="360" w:lineRule="auto"/>
        <w:ind w:left="0" w:right="224" w:rightChars="102"/>
        <w:jc w:val="both"/>
        <w:rPr>
          <w:rFonts w:ascii="Times New Roman" w:hAnsi="Times New Roman" w:cs="Times New Roman"/>
          <w:sz w:val="24"/>
        </w:rPr>
      </w:pPr>
      <w:r>
        <w:rPr>
          <w:rFonts w:ascii="Times New Roman" w:hAnsi="Times New Roman" w:cs="Times New Roman"/>
          <w:sz w:val="24"/>
        </w:rPr>
        <w:t>Health Fam Med. 2010 Dec;7(4): 239-47.</w:t>
      </w:r>
    </w:p>
    <w:p w14:paraId="4DA886E7">
      <w:pPr>
        <w:pStyle w:val="13"/>
        <w:numPr>
          <w:ilvl w:val="0"/>
          <w:numId w:val="2"/>
        </w:numPr>
        <w:spacing w:after="0" w:line="360"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Manber R, Blasey C, Allen JJ. Depression symptoms during pregnancy. Arch</w:t>
      </w:r>
    </w:p>
    <w:p w14:paraId="554C3591">
      <w:pPr>
        <w:pStyle w:val="13"/>
        <w:spacing w:after="0" w:line="360" w:lineRule="auto"/>
        <w:ind w:left="0" w:right="224" w:rightChars="102"/>
        <w:jc w:val="both"/>
        <w:rPr>
          <w:rFonts w:ascii="Times New Roman" w:hAnsi="Times New Roman" w:cs="Times New Roman"/>
          <w:sz w:val="24"/>
        </w:rPr>
      </w:pPr>
      <w:r>
        <w:rPr>
          <w:rFonts w:ascii="Times New Roman" w:hAnsi="Times New Roman" w:cs="Times New Roman"/>
          <w:sz w:val="24"/>
        </w:rPr>
        <w:t>Womens Ment Health. 2008;11(1): 43-48.</w:t>
      </w:r>
    </w:p>
    <w:p w14:paraId="67AFD9DC">
      <w:pPr>
        <w:pStyle w:val="13"/>
        <w:numPr>
          <w:ilvl w:val="0"/>
          <w:numId w:val="2"/>
        </w:numPr>
        <w:tabs>
          <w:tab w:val="left" w:pos="880"/>
          <w:tab w:val="left" w:pos="1320"/>
        </w:tabs>
        <w:spacing w:after="0" w:line="360" w:lineRule="auto"/>
        <w:ind w:left="1440" w:leftChars="-100" w:right="224" w:rightChars="102" w:hanging="1660" w:hangingChars="692"/>
        <w:jc w:val="both"/>
        <w:rPr>
          <w:rFonts w:ascii="Times New Roman" w:hAnsi="Times New Roman" w:cs="Times New Roman"/>
          <w:sz w:val="24"/>
        </w:rPr>
      </w:pPr>
      <w:r>
        <w:rPr>
          <w:rFonts w:ascii="Times New Roman" w:hAnsi="Times New Roman" w:cs="Times New Roman"/>
          <w:sz w:val="24"/>
        </w:rPr>
        <w:t>Meltzer-Brody S. New insights into perinatal depression: pathogenesis and</w:t>
      </w:r>
    </w:p>
    <w:p w14:paraId="6045B31F">
      <w:pPr>
        <w:pStyle w:val="13"/>
        <w:spacing w:after="0" w:line="360" w:lineRule="auto"/>
        <w:ind w:left="0" w:right="224" w:rightChars="102"/>
        <w:jc w:val="both"/>
        <w:rPr>
          <w:rFonts w:ascii="Times New Roman" w:hAnsi="Times New Roman" w:cs="Times New Roman"/>
          <w:sz w:val="24"/>
        </w:rPr>
      </w:pPr>
      <w:r>
        <w:rPr>
          <w:rFonts w:ascii="Times New Roman" w:hAnsi="Times New Roman" w:cs="Times New Roman"/>
          <w:sz w:val="24"/>
        </w:rPr>
        <w:t xml:space="preserve">treatment during pregnancy and postpartum. Dialogues Clin Neurosci. </w:t>
      </w:r>
      <w:r>
        <w:rPr>
          <w:rFonts w:ascii="Times New Roman" w:hAnsi="Times New Roman" w:cs="Times New Roman"/>
          <w:spacing w:val="-2"/>
          <w:sz w:val="24"/>
        </w:rPr>
        <w:t>2011;13(1):89-100.</w:t>
      </w:r>
    </w:p>
    <w:p w14:paraId="6CF5A32C">
      <w:pPr>
        <w:pStyle w:val="13"/>
        <w:spacing w:line="240" w:lineRule="auto"/>
        <w:ind w:left="1440" w:leftChars="-100" w:right="224" w:rightChars="102" w:hanging="1660" w:hangingChars="692"/>
        <w:jc w:val="both"/>
        <w:rPr>
          <w:rFonts w:ascii="Times New Roman" w:hAnsi="Times New Roman" w:cs="Times New Roman"/>
          <w:sz w:val="24"/>
          <w:szCs w:val="24"/>
          <w:lang w:val="en-IN"/>
        </w:rPr>
      </w:pPr>
    </w:p>
    <w:sectPr>
      <w:headerReference r:id="rId7" w:type="first"/>
      <w:footerReference r:id="rId10" w:type="first"/>
      <w:headerReference r:id="rId5" w:type="default"/>
      <w:footerReference r:id="rId8" w:type="default"/>
      <w:headerReference r:id="rId6" w:type="even"/>
      <w:footerReference r:id="rId9" w:type="even"/>
      <w:pgSz w:w="11905" w:h="16838"/>
      <w:pgMar w:top="1440" w:right="1440" w:bottom="1440" w:left="1440" w:header="709" w:footer="709" w:gutter="0"/>
      <w:pgBorders w:offsetFrom="page">
        <w:left w:val="single" w:color="auto" w:sz="4" w:space="24"/>
      </w:pgBorders>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New Roman Bold">
    <w:altName w:val="Times New Roman"/>
    <w:panose1 w:val="02020803070505020304"/>
    <w:charset w:val="00"/>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Variable Text">
    <w:panose1 w:val="00000000000000000000"/>
    <w:charset w:val="00"/>
    <w:family w:val="auto"/>
    <w:pitch w:val="default"/>
    <w:sig w:usb0="A00002FF" w:usb1="0000000B" w:usb2="00000000" w:usb3="00000000" w:csb0="2000019F" w:csb1="00000000"/>
  </w:font>
  <w:font w:name="Segoe UI Variable Display Semibold">
    <w:panose1 w:val="00000000000000000000"/>
    <w:charset w:val="00"/>
    <w:family w:val="auto"/>
    <w:pitch w:val="default"/>
    <w:sig w:usb0="A00002FF" w:usb1="0000000B" w:usb2="00000000" w:usb3="00000000" w:csb0="2000019F" w:csb1="00000000"/>
  </w:font>
  <w:font w:name="Segoe Script">
    <w:panose1 w:val="030B0504020000000003"/>
    <w:charset w:val="00"/>
    <w:family w:val="auto"/>
    <w:pitch w:val="default"/>
    <w:sig w:usb0="0000028F" w:usb1="00000000" w:usb2="00000000" w:usb3="00000000" w:csb0="0000009F" w:csb1="00000000"/>
  </w:font>
  <w:font w:name="Microsoft Himalaya">
    <w:panose1 w:val="01010100010101010101"/>
    <w:charset w:val="00"/>
    <w:family w:val="auto"/>
    <w:pitch w:val="default"/>
    <w:sig w:usb0="80000003" w:usb1="00010000" w:usb2="00000040" w:usb3="00000000" w:csb0="00000001" w:csb1="00000000"/>
  </w:font>
  <w:font w:name="Juice ITC">
    <w:panose1 w:val="04040403040A02020202"/>
    <w:charset w:val="00"/>
    <w:family w:val="auto"/>
    <w:pitch w:val="default"/>
    <w:sig w:usb0="00000003" w:usb1="00000000" w:usb2="00000000" w:usb3="00000000" w:csb0="20000001" w:csb1="00000000"/>
  </w:font>
  <w:font w:name="HP Simplified Light">
    <w:panose1 w:val="020B0404020204020204"/>
    <w:charset w:val="00"/>
    <w:family w:val="auto"/>
    <w:pitch w:val="default"/>
    <w:sig w:usb0="A00000AF" w:usb1="5000205B" w:usb2="00000000" w:usb3="00000000" w:csb0="20000093" w:csb1="00000000"/>
  </w:font>
  <w:font w:name="HP Simplified Jpan Light">
    <w:panose1 w:val="020B0300000000000000"/>
    <w:charset w:val="86"/>
    <w:family w:val="auto"/>
    <w:pitch w:val="default"/>
    <w:sig w:usb0="E00002FF" w:usb1="38C7EDFA" w:usb2="00000012" w:usb3="00000000" w:csb0="2016019F" w:csb1="41000000"/>
  </w:font>
  <w:font w:name="Calibri Light">
    <w:panose1 w:val="020F0302020204030204"/>
    <w:charset w:val="00"/>
    <w:family w:val="auto"/>
    <w:pitch w:val="default"/>
    <w:sig w:usb0="E4002EFF" w:usb1="C200247B" w:usb2="00000009" w:usb3="00000000" w:csb0="200001FF" w:csb1="00000000"/>
  </w:font>
  <w:font w:name="Bell MT">
    <w:panose1 w:val="02020503060305020303"/>
    <w:charset w:val="00"/>
    <w:family w:val="auto"/>
    <w:pitch w:val="default"/>
    <w:sig w:usb0="00000003" w:usb1="00000000" w:usb2="00000000" w:usb3="00000000" w:csb0="20000001" w:csb1="00000000"/>
  </w:font>
  <w:font w:name="Bahnschrift SemiLigh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DD5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2406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0BBE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F7901">
    <w:pPr>
      <w:pStyle w:val="9"/>
    </w:pPr>
    <w:r>
      <w:pict>
        <v:shape id="PowerPlusWaterMarkObject1246026252" o:spid="_x0000_s2051" o:spt="136" type="#_x0000_t136" style="position:absolute;left:0pt;height:100.45pt;width:535.8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9091">
    <w:pPr>
      <w:pStyle w:val="9"/>
    </w:pPr>
    <w:r>
      <w:pict>
        <v:shape id="PowerPlusWaterMarkObject1246026251" o:spid="_x0000_s2050"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2560">
    <w:pPr>
      <w:pStyle w:val="9"/>
    </w:pPr>
    <w:r>
      <w:pict>
        <v:shape id="PowerPlusWaterMarkObject1246026250"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537B"/>
    <w:multiLevelType w:val="multilevel"/>
    <w:tmpl w:val="2A8F537B"/>
    <w:lvl w:ilvl="0" w:tentative="0">
      <w:start w:val="1"/>
      <w:numFmt w:val="decimal"/>
      <w:lvlText w:val="%1."/>
      <w:lvlJc w:val="left"/>
      <w:pPr>
        <w:ind w:left="28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3782" w:hanging="361"/>
      </w:pPr>
      <w:rPr>
        <w:rFonts w:hint="default"/>
        <w:lang w:val="en-US" w:eastAsia="en-US" w:bidi="ar-SA"/>
      </w:rPr>
    </w:lvl>
    <w:lvl w:ilvl="2" w:tentative="0">
      <w:start w:val="0"/>
      <w:numFmt w:val="bullet"/>
      <w:lvlText w:val="•"/>
      <w:lvlJc w:val="left"/>
      <w:pPr>
        <w:ind w:left="4685" w:hanging="361"/>
      </w:pPr>
      <w:rPr>
        <w:rFonts w:hint="default"/>
        <w:lang w:val="en-US" w:eastAsia="en-US" w:bidi="ar-SA"/>
      </w:rPr>
    </w:lvl>
    <w:lvl w:ilvl="3" w:tentative="0">
      <w:start w:val="0"/>
      <w:numFmt w:val="bullet"/>
      <w:lvlText w:val="•"/>
      <w:lvlJc w:val="left"/>
      <w:pPr>
        <w:ind w:left="5587" w:hanging="361"/>
      </w:pPr>
      <w:rPr>
        <w:rFonts w:hint="default"/>
        <w:lang w:val="en-US" w:eastAsia="en-US" w:bidi="ar-SA"/>
      </w:rPr>
    </w:lvl>
    <w:lvl w:ilvl="4" w:tentative="0">
      <w:start w:val="0"/>
      <w:numFmt w:val="bullet"/>
      <w:lvlText w:val="•"/>
      <w:lvlJc w:val="left"/>
      <w:pPr>
        <w:ind w:left="6490" w:hanging="361"/>
      </w:pPr>
      <w:rPr>
        <w:rFonts w:hint="default"/>
        <w:lang w:val="en-US" w:eastAsia="en-US" w:bidi="ar-SA"/>
      </w:rPr>
    </w:lvl>
    <w:lvl w:ilvl="5" w:tentative="0">
      <w:start w:val="0"/>
      <w:numFmt w:val="bullet"/>
      <w:lvlText w:val="•"/>
      <w:lvlJc w:val="left"/>
      <w:pPr>
        <w:ind w:left="7392" w:hanging="361"/>
      </w:pPr>
      <w:rPr>
        <w:rFonts w:hint="default"/>
        <w:lang w:val="en-US" w:eastAsia="en-US" w:bidi="ar-SA"/>
      </w:rPr>
    </w:lvl>
    <w:lvl w:ilvl="6" w:tentative="0">
      <w:start w:val="0"/>
      <w:numFmt w:val="bullet"/>
      <w:lvlText w:val="•"/>
      <w:lvlJc w:val="left"/>
      <w:pPr>
        <w:ind w:left="8295" w:hanging="361"/>
      </w:pPr>
      <w:rPr>
        <w:rFonts w:hint="default"/>
        <w:lang w:val="en-US" w:eastAsia="en-US" w:bidi="ar-SA"/>
      </w:rPr>
    </w:lvl>
    <w:lvl w:ilvl="7" w:tentative="0">
      <w:start w:val="0"/>
      <w:numFmt w:val="bullet"/>
      <w:lvlText w:val="•"/>
      <w:lvlJc w:val="left"/>
      <w:pPr>
        <w:ind w:left="9197" w:hanging="361"/>
      </w:pPr>
      <w:rPr>
        <w:rFonts w:hint="default"/>
        <w:lang w:val="en-US" w:eastAsia="en-US" w:bidi="ar-SA"/>
      </w:rPr>
    </w:lvl>
    <w:lvl w:ilvl="8" w:tentative="0">
      <w:start w:val="0"/>
      <w:numFmt w:val="bullet"/>
      <w:lvlText w:val="•"/>
      <w:lvlJc w:val="left"/>
      <w:pPr>
        <w:ind w:left="10100" w:hanging="361"/>
      </w:pPr>
      <w:rPr>
        <w:rFonts w:hint="default"/>
        <w:lang w:val="en-US" w:eastAsia="en-US" w:bidi="ar-SA"/>
      </w:rPr>
    </w:lvl>
  </w:abstractNum>
  <w:abstractNum w:abstractNumId="1">
    <w:nsid w:val="2AD3469D"/>
    <w:multiLevelType w:val="singleLevel"/>
    <w:tmpl w:val="2AD3469D"/>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79518C"/>
    <w:rsid w:val="00013A87"/>
    <w:rsid w:val="00022EA5"/>
    <w:rsid w:val="00027953"/>
    <w:rsid w:val="000D0B63"/>
    <w:rsid w:val="00120C17"/>
    <w:rsid w:val="0013181D"/>
    <w:rsid w:val="00185F28"/>
    <w:rsid w:val="00192D34"/>
    <w:rsid w:val="00225DE4"/>
    <w:rsid w:val="00295792"/>
    <w:rsid w:val="002C1599"/>
    <w:rsid w:val="002C1943"/>
    <w:rsid w:val="00321596"/>
    <w:rsid w:val="00361CDF"/>
    <w:rsid w:val="003E544A"/>
    <w:rsid w:val="003F7DEB"/>
    <w:rsid w:val="00425B7A"/>
    <w:rsid w:val="00466C27"/>
    <w:rsid w:val="004B24BE"/>
    <w:rsid w:val="004F5C3B"/>
    <w:rsid w:val="005048B4"/>
    <w:rsid w:val="005178C4"/>
    <w:rsid w:val="005214C4"/>
    <w:rsid w:val="005471A4"/>
    <w:rsid w:val="005C45A1"/>
    <w:rsid w:val="005D6C52"/>
    <w:rsid w:val="005F0314"/>
    <w:rsid w:val="005F45C2"/>
    <w:rsid w:val="006347DB"/>
    <w:rsid w:val="006C5242"/>
    <w:rsid w:val="006C761D"/>
    <w:rsid w:val="006C7DCF"/>
    <w:rsid w:val="0079518C"/>
    <w:rsid w:val="007A5B61"/>
    <w:rsid w:val="007A74CD"/>
    <w:rsid w:val="007B1774"/>
    <w:rsid w:val="007E313E"/>
    <w:rsid w:val="007E62D3"/>
    <w:rsid w:val="00804727"/>
    <w:rsid w:val="00815FF0"/>
    <w:rsid w:val="0083760C"/>
    <w:rsid w:val="008A5AA1"/>
    <w:rsid w:val="008A732E"/>
    <w:rsid w:val="009421E9"/>
    <w:rsid w:val="00955B06"/>
    <w:rsid w:val="009879A2"/>
    <w:rsid w:val="00995F40"/>
    <w:rsid w:val="009E1AE7"/>
    <w:rsid w:val="00A178BA"/>
    <w:rsid w:val="00A25A1C"/>
    <w:rsid w:val="00A93B0B"/>
    <w:rsid w:val="00AF4D2A"/>
    <w:rsid w:val="00B732C2"/>
    <w:rsid w:val="00B85883"/>
    <w:rsid w:val="00BD18BA"/>
    <w:rsid w:val="00C32473"/>
    <w:rsid w:val="00C45202"/>
    <w:rsid w:val="00CC172B"/>
    <w:rsid w:val="00D0653A"/>
    <w:rsid w:val="00DC00B1"/>
    <w:rsid w:val="00DD1D42"/>
    <w:rsid w:val="00DF00F8"/>
    <w:rsid w:val="00EA7E52"/>
    <w:rsid w:val="00EB5AB2"/>
    <w:rsid w:val="00F42EF1"/>
    <w:rsid w:val="00FC5C69"/>
    <w:rsid w:val="00FF247F"/>
    <w:rsid w:val="00FF54F3"/>
    <w:rsid w:val="02116A94"/>
    <w:rsid w:val="05C25B53"/>
    <w:rsid w:val="0920191B"/>
    <w:rsid w:val="0A904964"/>
    <w:rsid w:val="0B014DAE"/>
    <w:rsid w:val="0BA2188B"/>
    <w:rsid w:val="0BAC0EEA"/>
    <w:rsid w:val="10C46CFF"/>
    <w:rsid w:val="13172951"/>
    <w:rsid w:val="133B64C0"/>
    <w:rsid w:val="138C0835"/>
    <w:rsid w:val="13E44BC2"/>
    <w:rsid w:val="17FC2567"/>
    <w:rsid w:val="19446F87"/>
    <w:rsid w:val="1A4450BC"/>
    <w:rsid w:val="1DFE4AC7"/>
    <w:rsid w:val="1EE97302"/>
    <w:rsid w:val="23D30E11"/>
    <w:rsid w:val="27C06E6C"/>
    <w:rsid w:val="2F6D4880"/>
    <w:rsid w:val="319D7376"/>
    <w:rsid w:val="36013D27"/>
    <w:rsid w:val="36CB2DD3"/>
    <w:rsid w:val="3B892FA7"/>
    <w:rsid w:val="3D787CC9"/>
    <w:rsid w:val="421707D8"/>
    <w:rsid w:val="43182221"/>
    <w:rsid w:val="44D411B6"/>
    <w:rsid w:val="48012DF2"/>
    <w:rsid w:val="4AC75EBD"/>
    <w:rsid w:val="4C0B693B"/>
    <w:rsid w:val="4C6A0C76"/>
    <w:rsid w:val="4EA748B3"/>
    <w:rsid w:val="505D4C59"/>
    <w:rsid w:val="509A7235"/>
    <w:rsid w:val="50AB157C"/>
    <w:rsid w:val="533B7210"/>
    <w:rsid w:val="53CF367A"/>
    <w:rsid w:val="558629D8"/>
    <w:rsid w:val="60D31DE2"/>
    <w:rsid w:val="673F72E4"/>
    <w:rsid w:val="675619EB"/>
    <w:rsid w:val="6D0043F5"/>
    <w:rsid w:val="72EA780D"/>
    <w:rsid w:val="74EE6AE6"/>
    <w:rsid w:val="75752E72"/>
    <w:rsid w:val="7D8F77D0"/>
    <w:rsid w:val="7F00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5"/>
    <w:basedOn w:val="1"/>
    <w:qFormat/>
    <w:uiPriority w:val="1"/>
    <w:pPr>
      <w:ind w:left="2160"/>
      <w:outlineLvl w:val="4"/>
    </w:pPr>
    <w:rPr>
      <w:rFonts w:ascii="Times New Roman" w:hAnsi="Times New Roman" w:eastAsia="Times New Roman" w:cs="Times New Roman"/>
      <w:b/>
      <w:bC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paragraph" w:styleId="7">
    <w:name w:val="Body Text"/>
    <w:basedOn w:val="1"/>
    <w:qFormat/>
    <w:uiPriority w:val="1"/>
    <w:rPr>
      <w:rFonts w:ascii="Times New Roman" w:hAnsi="Times New Roman" w:eastAsia="Times New Roman" w:cs="Times New Roman"/>
      <w:sz w:val="24"/>
      <w:szCs w:val="24"/>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tabs>
        <w:tab w:val="center" w:pos="4153"/>
        <w:tab w:val="right" w:pos="8306"/>
      </w:tabs>
      <w:snapToGrid w:val="0"/>
    </w:pPr>
    <w:rPr>
      <w:sz w:val="18"/>
      <w:szCs w:val="18"/>
    </w:rPr>
  </w:style>
  <w:style w:type="character" w:styleId="10">
    <w:name w:val="Hyperlink"/>
    <w:basedOn w:val="4"/>
    <w:unhideWhenUsed/>
    <w:qFormat/>
    <w:uiPriority w:val="99"/>
    <w:rPr>
      <w:color w:val="0000FF" w:themeColor="hyperlink"/>
      <w:u w:val="single"/>
    </w:rPr>
  </w:style>
  <w:style w:type="paragraph" w:styleId="11">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2">
    <w:name w:val="Strong"/>
    <w:basedOn w:val="4"/>
    <w:qFormat/>
    <w:uiPriority w:val="22"/>
    <w:rPr>
      <w:b/>
      <w:bCs/>
    </w:rPr>
  </w:style>
  <w:style w:type="paragraph" w:styleId="13">
    <w:name w:val="List Paragraph"/>
    <w:basedOn w:val="1"/>
    <w:qFormat/>
    <w:uiPriority w:val="34"/>
    <w:pPr>
      <w:ind w:left="720"/>
      <w:contextualSpacing/>
    </w:pPr>
  </w:style>
  <w:style w:type="character" w:styleId="14">
    <w:name w:val="Placeholder Text"/>
    <w:basedOn w:val="4"/>
    <w:semiHidden/>
    <w:qFormat/>
    <w:uiPriority w:val="99"/>
    <w:rPr>
      <w:color w:val="808080"/>
    </w:rPr>
  </w:style>
  <w:style w:type="character" w:customStyle="1" w:styleId="15">
    <w:name w:val="Balloon Text Char"/>
    <w:basedOn w:val="4"/>
    <w:link w:val="6"/>
    <w:semiHidden/>
    <w:qFormat/>
    <w:uiPriority w:val="99"/>
    <w:rPr>
      <w:rFonts w:ascii="Tahoma" w:hAnsi="Tahoma" w:cs="Tahoma"/>
      <w:sz w:val="16"/>
      <w:szCs w:val="16"/>
    </w:rPr>
  </w:style>
  <w:style w:type="paragraph" w:customStyle="1" w:styleId="16">
    <w:name w:val="Table Paragraph"/>
    <w:basedOn w:val="1"/>
    <w:qFormat/>
    <w:uiPriority w:val="1"/>
    <w:pPr>
      <w:jc w:val="center"/>
    </w:pPr>
    <w:rPr>
      <w:rFonts w:ascii="Times New Roman" w:hAnsi="Times New Roman" w:eastAsia="Times New Roman" w:cs="Times New Roman"/>
    </w:rPr>
  </w:style>
  <w:style w:type="character" w:customStyle="1" w:styleId="17">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66"/>
    <customShpInfo spid="_x0000_s1068"/>
    <customShpInfo spid="_x0000_s1069"/>
    <customShpInfo spid="_x0000_s1070"/>
    <customShpInfo spid="_x0000_s1071"/>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4A758-6709-4300-AE86-905C1B68EC3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2788</Words>
  <Characters>15894</Characters>
  <Lines>132</Lines>
  <Paragraphs>37</Paragraphs>
  <TotalTime>3</TotalTime>
  <ScaleCrop>false</ScaleCrop>
  <LinksUpToDate>false</LinksUpToDate>
  <CharactersWithSpaces>18645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2023-10-17T03:18:00Z</dcterms:created>
  <dc:creator>RAJASEKHAR</dc:creator>
  <cp:lastModifiedBy>WPS_1707711973</cp:lastModifiedBy>
  <dcterms:modified xsi:type="dcterms:W3CDTF">2025-06-14T15:48:25Z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8552EF51A6CA44998CFA495CF1DE2B9F_12</vt:lpwstr>
  </property>
</Properties>
</file>