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DBFF6" w14:textId="77777777" w:rsidR="00754C9A" w:rsidRDefault="00754C9A" w:rsidP="00441B6F">
      <w:pPr>
        <w:pStyle w:val="Ttulo"/>
        <w:spacing w:after="0"/>
        <w:jc w:val="both"/>
        <w:rPr>
          <w:rFonts w:ascii="Arial" w:hAnsi="Arial" w:cs="Arial"/>
        </w:rPr>
      </w:pPr>
    </w:p>
    <w:p w14:paraId="40537F06" w14:textId="38D56B02" w:rsidR="00654ED9" w:rsidRPr="00654ED9" w:rsidRDefault="00654ED9" w:rsidP="00654ED9">
      <w:pPr>
        <w:pStyle w:val="Author"/>
        <w:spacing w:line="240" w:lineRule="auto"/>
        <w:jc w:val="left"/>
        <w:rPr>
          <w:rFonts w:ascii="Arial" w:hAnsi="Arial" w:cs="Arial"/>
          <w:bCs/>
          <w:iCs/>
          <w:kern w:val="28"/>
          <w:sz w:val="36"/>
        </w:rPr>
      </w:pPr>
      <w:r w:rsidRPr="00654ED9">
        <w:rPr>
          <w:rFonts w:ascii="Arial" w:hAnsi="Arial" w:cs="Arial"/>
          <w:bCs/>
          <w:iCs/>
          <w:kern w:val="28"/>
          <w:sz w:val="36"/>
        </w:rPr>
        <w:t>Design of Metformin with  Glibenclamide Controlled release osmotic capsules</w:t>
      </w:r>
    </w:p>
    <w:p w14:paraId="74BB4019" w14:textId="77777777" w:rsidR="005E1196" w:rsidRDefault="005E1196" w:rsidP="00441B6F">
      <w:pPr>
        <w:pStyle w:val="Author"/>
        <w:spacing w:line="240" w:lineRule="auto"/>
        <w:rPr>
          <w:rFonts w:ascii="Arial" w:hAnsi="Arial" w:cs="Arial"/>
          <w:bCs/>
          <w:iCs/>
          <w:kern w:val="28"/>
          <w:sz w:val="36"/>
        </w:rPr>
      </w:pPr>
    </w:p>
    <w:p w14:paraId="4E710554" w14:textId="77777777" w:rsidR="00790ADA" w:rsidRPr="00E02A0A" w:rsidRDefault="00790ADA" w:rsidP="00441B6F">
      <w:pPr>
        <w:pStyle w:val="Affiliation"/>
        <w:spacing w:after="0" w:line="240" w:lineRule="auto"/>
        <w:jc w:val="both"/>
        <w:rPr>
          <w:rFonts w:ascii="Arial" w:hAnsi="Arial" w:cs="Arial"/>
          <w:lang w:val="es-MX"/>
        </w:rPr>
      </w:pPr>
    </w:p>
    <w:p w14:paraId="60E6480F" w14:textId="77777777" w:rsidR="002C57D2" w:rsidRPr="00E02A0A" w:rsidRDefault="002C57D2" w:rsidP="00441B6F">
      <w:pPr>
        <w:pStyle w:val="Affiliation"/>
        <w:spacing w:after="0" w:line="240" w:lineRule="auto"/>
        <w:jc w:val="both"/>
        <w:rPr>
          <w:rFonts w:ascii="Arial" w:hAnsi="Arial" w:cs="Arial"/>
          <w:lang w:val="es-MX"/>
        </w:rPr>
      </w:pPr>
    </w:p>
    <w:p w14:paraId="7D675631" w14:textId="77777777" w:rsidR="00B01FCD" w:rsidRPr="00FB3A86" w:rsidRDefault="00BE2ED3" w:rsidP="00441B6F">
      <w:pPr>
        <w:pStyle w:val="Copyright"/>
        <w:spacing w:after="0" w:line="240" w:lineRule="auto"/>
        <w:jc w:val="both"/>
        <w:rPr>
          <w:rFonts w:ascii="Arial" w:hAnsi="Arial" w:cs="Arial"/>
        </w:rPr>
        <w:sectPr w:rsidR="00B01FCD" w:rsidRPr="00FB3A86" w:rsidSect="0006600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66C8A16" wp14:editId="6CFA6A98">
                <wp:extent cx="5303520" cy="635"/>
                <wp:effectExtent l="13335" t="10795" r="17145" b="17780"/>
                <wp:docPr id="7646307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AFA5C8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062817A" w14:textId="77777777" w:rsidR="00B01FCD"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AE179D1" w14:textId="77777777" w:rsidTr="00CF243B">
        <w:tc>
          <w:tcPr>
            <w:tcW w:w="8198" w:type="dxa"/>
            <w:shd w:val="clear" w:color="auto" w:fill="F2F2F2"/>
          </w:tcPr>
          <w:p w14:paraId="5E0DD98B" w14:textId="51BE8408" w:rsidR="00D37A92" w:rsidRPr="00654ED9" w:rsidRDefault="00D37A92" w:rsidP="00D37A92">
            <w:pPr>
              <w:pStyle w:val="Body"/>
              <w:spacing w:after="0"/>
              <w:rPr>
                <w:rFonts w:ascii="Arial" w:eastAsia="Calibri" w:hAnsi="Arial" w:cs="Arial"/>
                <w:bCs/>
                <w:szCs w:val="22"/>
              </w:rPr>
            </w:pPr>
            <w:r w:rsidRPr="002427B6">
              <w:rPr>
                <w:rFonts w:ascii="Arial" w:eastAsia="Calibri" w:hAnsi="Arial" w:cs="Arial"/>
                <w:b/>
                <w:szCs w:val="22"/>
              </w:rPr>
              <w:t>Aims</w:t>
            </w:r>
            <w:r w:rsidRPr="00654ED9">
              <w:rPr>
                <w:rFonts w:ascii="Arial" w:eastAsia="Calibri" w:hAnsi="Arial" w:cs="Arial"/>
                <w:bCs/>
                <w:szCs w:val="22"/>
              </w:rPr>
              <w:t xml:space="preserve">: </w:t>
            </w:r>
            <w:r w:rsidR="00654ED9" w:rsidRPr="00654ED9">
              <w:rPr>
                <w:bCs/>
                <w:lang w:val="en-GB"/>
              </w:rPr>
              <w:t>This article aims to target the improvement for treatment of people suffering from Diabetes. Rather than using multiple doses and dosage forms for effective treatment, the author provides a robust solution in the form a combination of drugs as an osmotic capsule which have a controlled release pattern and aims at treating the disease effectively. This article also presents for the first time a compatibility study using a non-destructive methodology with Raman spectrometer, which can be considered as the article’s novelty</w:t>
            </w:r>
          </w:p>
          <w:p w14:paraId="545F9A7D" w14:textId="77777777" w:rsidR="00E3114E" w:rsidRPr="00D37A92" w:rsidRDefault="00D37A92" w:rsidP="00D37A92">
            <w:pPr>
              <w:pStyle w:val="Body"/>
              <w:spacing w:after="0"/>
              <w:rPr>
                <w:rFonts w:ascii="Arial" w:eastAsia="Calibri" w:hAnsi="Arial" w:cs="Arial"/>
                <w:bCs/>
                <w:szCs w:val="22"/>
              </w:rPr>
            </w:pPr>
            <w:r w:rsidRPr="00D37A92">
              <w:rPr>
                <w:rFonts w:ascii="Arial" w:eastAsia="Calibri" w:hAnsi="Arial" w:cs="Arial"/>
                <w:b/>
                <w:szCs w:val="22"/>
              </w:rPr>
              <w:t>Significance</w:t>
            </w:r>
            <w:r w:rsidRPr="00D37A92">
              <w:rPr>
                <w:rFonts w:ascii="Arial" w:eastAsia="Calibri" w:hAnsi="Arial" w:cs="Arial"/>
                <w:bCs/>
                <w:szCs w:val="22"/>
              </w:rPr>
              <w:t>: Diabetes represents a global health challenge. In 2021, it was estimated</w:t>
            </w:r>
            <w:r w:rsidR="00E128F8">
              <w:rPr>
                <w:rFonts w:ascii="Arial" w:eastAsia="Calibri" w:hAnsi="Arial" w:cs="Arial"/>
                <w:bCs/>
                <w:szCs w:val="22"/>
              </w:rPr>
              <w:t xml:space="preserve"> </w:t>
            </w:r>
            <w:r w:rsidRPr="00D37A92">
              <w:rPr>
                <w:rFonts w:ascii="Arial" w:eastAsia="Calibri" w:hAnsi="Arial" w:cs="Arial"/>
                <w:bCs/>
                <w:szCs w:val="22"/>
              </w:rPr>
              <w:t>that 536.6 million people suffered this disease. Today, a wide range of drugs is available for the treatment of Type 2</w:t>
            </w:r>
            <w:r w:rsidR="00E128F8">
              <w:rPr>
                <w:rFonts w:ascii="Arial" w:eastAsia="Calibri" w:hAnsi="Arial" w:cs="Arial"/>
                <w:bCs/>
                <w:szCs w:val="22"/>
              </w:rPr>
              <w:t xml:space="preserve"> </w:t>
            </w:r>
            <w:r w:rsidRPr="00D37A92">
              <w:rPr>
                <w:rFonts w:ascii="Arial" w:eastAsia="Calibri" w:hAnsi="Arial" w:cs="Arial"/>
                <w:bCs/>
                <w:szCs w:val="22"/>
              </w:rPr>
              <w:t>Diabetes Mellitus. In 2022, in Mexico, the most cost-effective intervention for Type 2</w:t>
            </w:r>
            <w:r w:rsidR="00E128F8">
              <w:rPr>
                <w:rFonts w:ascii="Arial" w:eastAsia="Calibri" w:hAnsi="Arial" w:cs="Arial"/>
                <w:bCs/>
                <w:szCs w:val="22"/>
              </w:rPr>
              <w:t xml:space="preserve"> </w:t>
            </w:r>
            <w:r w:rsidRPr="00D37A92">
              <w:rPr>
                <w:rFonts w:ascii="Arial" w:eastAsia="Calibri" w:hAnsi="Arial" w:cs="Arial"/>
                <w:bCs/>
                <w:szCs w:val="22"/>
              </w:rPr>
              <w:t>Diabetes was a combined oral treatment of metformin and glibenclamide, with a total cost</w:t>
            </w:r>
            <w:r w:rsidR="00E128F8">
              <w:rPr>
                <w:rFonts w:ascii="Arial" w:eastAsia="Calibri" w:hAnsi="Arial" w:cs="Arial"/>
                <w:bCs/>
                <w:szCs w:val="22"/>
              </w:rPr>
              <w:t xml:space="preserve"> </w:t>
            </w:r>
            <w:r w:rsidRPr="00D37A92">
              <w:rPr>
                <w:rFonts w:ascii="Arial" w:eastAsia="Calibri" w:hAnsi="Arial" w:cs="Arial"/>
                <w:bCs/>
                <w:szCs w:val="22"/>
              </w:rPr>
              <w:t>of $951.75 USD, an effectiveness rate of 42.30%, and an effectiveness coefficient of 2.25.</w:t>
            </w:r>
            <w:r w:rsidR="00E128F8">
              <w:rPr>
                <w:rFonts w:ascii="Arial" w:eastAsia="Calibri" w:hAnsi="Arial" w:cs="Arial"/>
                <w:bCs/>
                <w:szCs w:val="22"/>
              </w:rPr>
              <w:t xml:space="preserve"> </w:t>
            </w:r>
            <w:r w:rsidRPr="00D37A92">
              <w:rPr>
                <w:rFonts w:ascii="Arial" w:eastAsia="Calibri" w:hAnsi="Arial" w:cs="Arial"/>
                <w:bCs/>
                <w:szCs w:val="22"/>
              </w:rPr>
              <w:t>Osmotic systems offer clear advantages over conventional pharmaceutical forms, as they</w:t>
            </w:r>
            <w:r w:rsidR="00E128F8">
              <w:rPr>
                <w:rFonts w:ascii="Arial" w:eastAsia="Calibri" w:hAnsi="Arial" w:cs="Arial"/>
                <w:bCs/>
                <w:szCs w:val="22"/>
              </w:rPr>
              <w:t xml:space="preserve"> </w:t>
            </w:r>
            <w:r w:rsidRPr="00D37A92">
              <w:rPr>
                <w:rFonts w:ascii="Arial" w:eastAsia="Calibri" w:hAnsi="Arial" w:cs="Arial"/>
                <w:bCs/>
                <w:szCs w:val="22"/>
              </w:rPr>
              <w:t>allow for the maintenance of constant plasma concentrations over long periods</w:t>
            </w:r>
          </w:p>
          <w:p w14:paraId="72B69256" w14:textId="77777777" w:rsidR="00BA1B01" w:rsidRPr="00BA1B01" w:rsidRDefault="00BA1B01" w:rsidP="00E128F8">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D37A92" w:rsidRPr="00D37A92">
              <w:rPr>
                <w:rFonts w:ascii="Arial" w:eastAsia="Calibri" w:hAnsi="Arial" w:cs="Arial"/>
                <w:szCs w:val="22"/>
              </w:rPr>
              <w:t>A compatibility drug-excipient with Raman spectroscopy study at 50°C during</w:t>
            </w:r>
            <w:r w:rsidR="00D37A92">
              <w:rPr>
                <w:rFonts w:ascii="Arial" w:eastAsia="Calibri" w:hAnsi="Arial" w:cs="Arial"/>
                <w:szCs w:val="22"/>
              </w:rPr>
              <w:t xml:space="preserve"> </w:t>
            </w:r>
            <w:r w:rsidR="00D37A92" w:rsidRPr="00D37A92">
              <w:rPr>
                <w:rFonts w:ascii="Arial" w:eastAsia="Calibri" w:hAnsi="Arial" w:cs="Arial"/>
                <w:szCs w:val="22"/>
              </w:rPr>
              <w:t xml:space="preserve">four weeks. A </w:t>
            </w:r>
            <w:r w:rsidR="00D37A92" w:rsidRPr="00D37A92">
              <w:rPr>
                <w:rFonts w:ascii="Arial" w:eastAsia="Calibri" w:hAnsi="Arial" w:cs="Arial"/>
                <w:b/>
                <w:bCs/>
                <w:szCs w:val="22"/>
              </w:rPr>
              <w:t>3</w:t>
            </w:r>
            <w:r w:rsidR="00D37A92" w:rsidRPr="00D37A92">
              <w:rPr>
                <w:rFonts w:ascii="Arial" w:eastAsia="Calibri" w:hAnsi="Arial" w:cs="Arial"/>
                <w:b/>
                <w:bCs/>
                <w:szCs w:val="22"/>
                <w:vertAlign w:val="superscript"/>
              </w:rPr>
              <w:t>2</w:t>
            </w:r>
            <w:r w:rsidR="00D37A92" w:rsidRPr="00D37A92">
              <w:rPr>
                <w:rFonts w:ascii="Arial" w:eastAsia="Calibri" w:hAnsi="Arial" w:cs="Arial"/>
                <w:b/>
                <w:bCs/>
                <w:szCs w:val="22"/>
              </w:rPr>
              <w:t xml:space="preserve"> experimental design </w:t>
            </w:r>
            <w:r w:rsidR="00D37A92" w:rsidRPr="00D37A92">
              <w:rPr>
                <w:rFonts w:ascii="Arial" w:eastAsia="Calibri" w:hAnsi="Arial" w:cs="Arial"/>
                <w:szCs w:val="22"/>
              </w:rPr>
              <w:t>was successfully developed to obtain controlled</w:t>
            </w:r>
            <w:r w:rsidR="00D37A92">
              <w:rPr>
                <w:rFonts w:ascii="Arial" w:eastAsia="Calibri" w:hAnsi="Arial" w:cs="Arial"/>
                <w:szCs w:val="22"/>
              </w:rPr>
              <w:t xml:space="preserve"> </w:t>
            </w:r>
            <w:r w:rsidR="00D37A92" w:rsidRPr="00D37A92">
              <w:rPr>
                <w:rFonts w:ascii="Arial" w:eastAsia="Calibri" w:hAnsi="Arial" w:cs="Arial"/>
                <w:szCs w:val="22"/>
              </w:rPr>
              <w:t>release</w:t>
            </w:r>
            <w:r w:rsidR="00D37A92">
              <w:rPr>
                <w:rFonts w:ascii="Arial" w:eastAsia="Calibri" w:hAnsi="Arial" w:cs="Arial"/>
                <w:szCs w:val="22"/>
              </w:rPr>
              <w:t xml:space="preserve"> </w:t>
            </w:r>
            <w:r w:rsidR="00D37A92" w:rsidRPr="00D37A92">
              <w:rPr>
                <w:rFonts w:ascii="Arial" w:eastAsia="Calibri" w:hAnsi="Arial" w:cs="Arial"/>
                <w:szCs w:val="22"/>
              </w:rPr>
              <w:t>osmotic capsules containing metformin/Glibenclamide.</w:t>
            </w:r>
          </w:p>
          <w:p w14:paraId="6118E0C8"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D37A92">
              <w:rPr>
                <w:rFonts w:ascii="Arial" w:eastAsia="Calibri" w:hAnsi="Arial" w:cs="Arial"/>
                <w:szCs w:val="22"/>
              </w:rPr>
              <w:t>Pharmaceutical Technology Laboratory, College of Pharmacy Universidad Autonoma del Estado de Morelos. 2013-2015</w:t>
            </w:r>
          </w:p>
          <w:p w14:paraId="12743618" w14:textId="2D2BB320" w:rsidR="00E128F8"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37A92">
              <w:rPr>
                <w:rFonts w:ascii="Arial" w:eastAsia="Calibri" w:hAnsi="Arial" w:cs="Arial"/>
                <w:szCs w:val="22"/>
              </w:rPr>
              <w:t>Comp</w:t>
            </w:r>
            <w:r w:rsidR="00654ED9">
              <w:rPr>
                <w:rFonts w:ascii="Arial" w:eastAsia="Calibri" w:hAnsi="Arial" w:cs="Arial"/>
                <w:szCs w:val="22"/>
              </w:rPr>
              <w:t>a</w:t>
            </w:r>
            <w:r w:rsidR="00D37A92">
              <w:rPr>
                <w:rFonts w:ascii="Arial" w:eastAsia="Calibri" w:hAnsi="Arial" w:cs="Arial"/>
                <w:szCs w:val="22"/>
              </w:rPr>
              <w:t>tibility study between Metformin and Glibenclamide with 15 excipients</w:t>
            </w:r>
            <w:r w:rsidR="00654ED9">
              <w:rPr>
                <w:rFonts w:ascii="Arial" w:eastAsia="Calibri" w:hAnsi="Arial" w:cs="Arial"/>
                <w:szCs w:val="22"/>
              </w:rPr>
              <w:t xml:space="preserve"> using Raman spectrofotometer during 4 weeks at 50C, then m</w:t>
            </w:r>
            <w:r w:rsidR="00D37A92">
              <w:rPr>
                <w:rFonts w:ascii="Arial" w:eastAsia="Calibri" w:hAnsi="Arial" w:cs="Arial"/>
                <w:szCs w:val="22"/>
              </w:rPr>
              <w:t>anual encapsulation of the 9 formulations and coating with cellulos</w:t>
            </w:r>
            <w:r w:rsidR="00654ED9">
              <w:rPr>
                <w:rFonts w:ascii="Arial" w:eastAsia="Calibri" w:hAnsi="Arial" w:cs="Arial"/>
                <w:szCs w:val="22"/>
              </w:rPr>
              <w:t>e</w:t>
            </w:r>
            <w:r w:rsidR="00D37A92">
              <w:rPr>
                <w:rFonts w:ascii="Arial" w:eastAsia="Calibri" w:hAnsi="Arial" w:cs="Arial"/>
                <w:szCs w:val="22"/>
              </w:rPr>
              <w:t xml:space="preserve"> acetate</w:t>
            </w:r>
            <w:r w:rsidR="00654ED9">
              <w:rPr>
                <w:rFonts w:ascii="Arial" w:eastAsia="Calibri" w:hAnsi="Arial" w:cs="Arial"/>
                <w:szCs w:val="22"/>
              </w:rPr>
              <w:t xml:space="preserve"> in acetone and finally r</w:t>
            </w:r>
            <w:r w:rsidR="00D37A92">
              <w:rPr>
                <w:rFonts w:ascii="Arial" w:eastAsia="Calibri" w:hAnsi="Arial" w:cs="Arial"/>
                <w:szCs w:val="22"/>
              </w:rPr>
              <w:t xml:space="preserve">elease study </w:t>
            </w:r>
            <w:r w:rsidR="00E128F8">
              <w:rPr>
                <w:rFonts w:ascii="Arial" w:eastAsia="Calibri" w:hAnsi="Arial" w:cs="Arial"/>
                <w:szCs w:val="22"/>
              </w:rPr>
              <w:t>in two steps 2.5 hours in gastric medium and ten hours in enteric medium</w:t>
            </w:r>
            <w:r w:rsidR="00654ED9">
              <w:rPr>
                <w:rFonts w:ascii="Arial" w:eastAsia="Calibri" w:hAnsi="Arial" w:cs="Arial"/>
                <w:szCs w:val="22"/>
              </w:rPr>
              <w:t xml:space="preserve"> for a total of 12.5 hrs of release study.</w:t>
            </w:r>
          </w:p>
          <w:p w14:paraId="0F4BFD9B" w14:textId="77777777" w:rsidR="00D37A92" w:rsidRDefault="00BA1B01" w:rsidP="00E128F8">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D37A92" w:rsidRPr="00D37A92">
              <w:rPr>
                <w:rFonts w:ascii="Arial" w:eastAsia="Calibri" w:hAnsi="Arial" w:cs="Arial"/>
                <w:szCs w:val="22"/>
              </w:rPr>
              <w:t>Capsules free of excipient incompatibilities, with a constant release rate over</w:t>
            </w:r>
            <w:r w:rsidR="00D37A92">
              <w:rPr>
                <w:rFonts w:ascii="Arial" w:eastAsia="Calibri" w:hAnsi="Arial" w:cs="Arial"/>
                <w:szCs w:val="22"/>
              </w:rPr>
              <w:t xml:space="preserve"> </w:t>
            </w:r>
            <w:r w:rsidR="00D37A92" w:rsidRPr="00D37A92">
              <w:rPr>
                <w:rFonts w:ascii="Arial" w:eastAsia="Calibri" w:hAnsi="Arial" w:cs="Arial"/>
                <w:szCs w:val="22"/>
              </w:rPr>
              <w:t>12.5 hours, independent of pH and stirring speed. These controlled-release osmotic</w:t>
            </w:r>
            <w:r w:rsidR="00D37A92">
              <w:rPr>
                <w:rFonts w:ascii="Arial" w:eastAsia="Calibri" w:hAnsi="Arial" w:cs="Arial"/>
                <w:szCs w:val="22"/>
              </w:rPr>
              <w:t xml:space="preserve"> </w:t>
            </w:r>
            <w:r w:rsidR="00D37A92" w:rsidRPr="00D37A92">
              <w:rPr>
                <w:rFonts w:ascii="Arial" w:eastAsia="Calibri" w:hAnsi="Arial" w:cs="Arial"/>
                <w:szCs w:val="22"/>
              </w:rPr>
              <w:t>capsules were sealed and coated with a cellulose acetate membrane, with a weight gain</w:t>
            </w:r>
            <w:r w:rsidR="00D37A92">
              <w:rPr>
                <w:rFonts w:ascii="Arial" w:eastAsia="Calibri" w:hAnsi="Arial" w:cs="Arial"/>
                <w:szCs w:val="22"/>
              </w:rPr>
              <w:t xml:space="preserve"> </w:t>
            </w:r>
            <w:r w:rsidR="00D37A92" w:rsidRPr="00D37A92">
              <w:rPr>
                <w:rFonts w:ascii="Arial" w:eastAsia="Calibri" w:hAnsi="Arial" w:cs="Arial"/>
                <w:szCs w:val="22"/>
              </w:rPr>
              <w:t xml:space="preserve">of 3% and a release hole of 635 </w:t>
            </w:r>
            <w:r w:rsidR="00D37A92" w:rsidRPr="00D37A92">
              <w:rPr>
                <w:rFonts w:ascii="Arial" w:eastAsia="Calibri" w:hAnsi="Arial" w:cs="Arial"/>
                <w:szCs w:val="22"/>
                <w:lang w:val="es-MX"/>
              </w:rPr>
              <w:t>μ</w:t>
            </w:r>
            <w:r w:rsidR="00D37A92" w:rsidRPr="00D37A92">
              <w:rPr>
                <w:rFonts w:ascii="Arial" w:eastAsia="Calibri" w:hAnsi="Arial" w:cs="Arial"/>
                <w:szCs w:val="22"/>
              </w:rPr>
              <w:t>m. The best formulation exhibited lag times of 2.09</w:t>
            </w:r>
            <w:r w:rsidR="00D37A92">
              <w:rPr>
                <w:rFonts w:ascii="Arial" w:eastAsia="Calibri" w:hAnsi="Arial" w:cs="Arial"/>
                <w:szCs w:val="22"/>
              </w:rPr>
              <w:t xml:space="preserve"> </w:t>
            </w:r>
            <w:r w:rsidR="00D37A92" w:rsidRPr="00D37A92">
              <w:rPr>
                <w:rFonts w:ascii="Arial" w:eastAsia="Calibri" w:hAnsi="Arial" w:cs="Arial"/>
                <w:szCs w:val="22"/>
              </w:rPr>
              <w:t>hours for metformin and 0.18 hours for glibenclamide.</w:t>
            </w:r>
            <w:r w:rsidR="00D37A92">
              <w:rPr>
                <w:rFonts w:ascii="Arial" w:eastAsia="Calibri" w:hAnsi="Arial" w:cs="Arial"/>
                <w:szCs w:val="22"/>
              </w:rPr>
              <w:t xml:space="preserve"> </w:t>
            </w:r>
          </w:p>
          <w:p w14:paraId="714CD056" w14:textId="77777777" w:rsidR="00505F06" w:rsidRPr="00BA1B01" w:rsidRDefault="00BA1B01" w:rsidP="00D37A92">
            <w:pPr>
              <w:pStyle w:val="Body"/>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D37A92">
              <w:rPr>
                <w:rFonts w:ascii="Arial" w:eastAsia="Calibri" w:hAnsi="Arial" w:cs="Arial"/>
                <w:szCs w:val="22"/>
              </w:rPr>
              <w:t xml:space="preserve">For first time presented a compatibility study using a non destructive methodology with Raman spectrometer. </w:t>
            </w:r>
            <w:r w:rsidR="00D37A92" w:rsidRPr="00D37A92">
              <w:rPr>
                <w:rFonts w:ascii="Arial" w:eastAsia="Calibri" w:hAnsi="Arial" w:cs="Arial"/>
                <w:szCs w:val="22"/>
              </w:rPr>
              <w:t>The capsules presented constant release for 12.5 hours, The best lag time</w:t>
            </w:r>
            <w:r w:rsidR="00D37A92">
              <w:rPr>
                <w:rFonts w:ascii="Arial" w:eastAsia="Calibri" w:hAnsi="Arial" w:cs="Arial"/>
                <w:szCs w:val="22"/>
              </w:rPr>
              <w:t xml:space="preserve"> </w:t>
            </w:r>
            <w:r w:rsidR="00D37A92" w:rsidRPr="00D37A92">
              <w:rPr>
                <w:rFonts w:ascii="Arial" w:eastAsia="Calibri" w:hAnsi="Arial" w:cs="Arial"/>
                <w:szCs w:val="22"/>
              </w:rPr>
              <w:t>was 2.09 hours for metformin and 0.18 hours for Glibenclamide, the mixture 1:1 sorbitol–</w:t>
            </w:r>
            <w:r w:rsidR="00D37A92">
              <w:rPr>
                <w:rFonts w:ascii="Arial" w:eastAsia="Calibri" w:hAnsi="Arial" w:cs="Arial"/>
                <w:szCs w:val="22"/>
              </w:rPr>
              <w:t xml:space="preserve"> </w:t>
            </w:r>
            <w:r w:rsidR="00D37A92" w:rsidRPr="00D37A92">
              <w:rPr>
                <w:rFonts w:ascii="Arial" w:eastAsia="Calibri" w:hAnsi="Arial" w:cs="Arial"/>
                <w:szCs w:val="22"/>
              </w:rPr>
              <w:t>mannitol presented a reduction in osmotic potential. The limited release rate of</w:t>
            </w:r>
            <w:r w:rsidR="00D37A92">
              <w:rPr>
                <w:rFonts w:ascii="Arial" w:eastAsia="Calibri" w:hAnsi="Arial" w:cs="Arial"/>
                <w:szCs w:val="22"/>
              </w:rPr>
              <w:t xml:space="preserve"> </w:t>
            </w:r>
            <w:r w:rsidR="00D37A92" w:rsidRPr="00D37A92">
              <w:rPr>
                <w:rFonts w:ascii="Arial" w:eastAsia="Calibri" w:hAnsi="Arial" w:cs="Arial"/>
                <w:szCs w:val="22"/>
              </w:rPr>
              <w:t>glibenclamide may be attributed to its solubility constraints. The combination of a high</w:t>
            </w:r>
            <w:r w:rsidR="00D37A92">
              <w:rPr>
                <w:rFonts w:ascii="Arial" w:eastAsia="Calibri" w:hAnsi="Arial" w:cs="Arial"/>
                <w:szCs w:val="22"/>
              </w:rPr>
              <w:t xml:space="preserve"> </w:t>
            </w:r>
            <w:r w:rsidR="00D37A92" w:rsidRPr="00D37A92">
              <w:rPr>
                <w:rFonts w:ascii="Arial" w:eastAsia="Calibri" w:hAnsi="Arial" w:cs="Arial"/>
                <w:szCs w:val="22"/>
              </w:rPr>
              <w:t>amount of sorbitol as the osmotic agent, along with the use of non-disintegrating</w:t>
            </w:r>
            <w:r w:rsidR="00D37A92">
              <w:rPr>
                <w:rFonts w:ascii="Arial" w:eastAsia="Calibri" w:hAnsi="Arial" w:cs="Arial"/>
                <w:szCs w:val="22"/>
              </w:rPr>
              <w:t xml:space="preserve"> </w:t>
            </w:r>
            <w:r w:rsidR="00D37A92" w:rsidRPr="00D37A92">
              <w:rPr>
                <w:rFonts w:ascii="Arial" w:eastAsia="Calibri" w:hAnsi="Arial" w:cs="Arial"/>
                <w:szCs w:val="22"/>
              </w:rPr>
              <w:t>capsules, effectively reduced the system's lag time.</w:t>
            </w:r>
          </w:p>
        </w:tc>
      </w:tr>
      <w:tr w:rsidR="00E02A0A" w:rsidRPr="001E44FE" w14:paraId="6C828416" w14:textId="77777777" w:rsidTr="00CF243B">
        <w:tc>
          <w:tcPr>
            <w:tcW w:w="8198" w:type="dxa"/>
            <w:shd w:val="clear" w:color="auto" w:fill="F2F2F2"/>
          </w:tcPr>
          <w:p w14:paraId="270B0318" w14:textId="77777777" w:rsidR="00E02A0A" w:rsidRPr="00E3114E" w:rsidRDefault="00E02A0A" w:rsidP="00441B6F">
            <w:pPr>
              <w:pStyle w:val="Body"/>
              <w:spacing w:after="0"/>
              <w:rPr>
                <w:rFonts w:ascii="Arial" w:eastAsia="Calibri" w:hAnsi="Arial" w:cs="Arial"/>
                <w:szCs w:val="22"/>
              </w:rPr>
            </w:pPr>
          </w:p>
        </w:tc>
      </w:tr>
    </w:tbl>
    <w:p w14:paraId="66122E0F" w14:textId="77777777" w:rsidR="00636EB2" w:rsidRDefault="00636EB2" w:rsidP="00441B6F">
      <w:pPr>
        <w:pStyle w:val="Body"/>
        <w:spacing w:after="0"/>
        <w:rPr>
          <w:rFonts w:ascii="Arial" w:hAnsi="Arial" w:cs="Arial"/>
          <w:i/>
        </w:rPr>
      </w:pPr>
    </w:p>
    <w:p w14:paraId="627DEF35" w14:textId="2CA4A014" w:rsidR="00E128F8" w:rsidRDefault="00A24E7E" w:rsidP="00441B6F">
      <w:pPr>
        <w:pStyle w:val="Body"/>
        <w:spacing w:after="0"/>
        <w:rPr>
          <w:rFonts w:ascii="Arial" w:hAnsi="Arial" w:cs="Arial"/>
          <w:i/>
        </w:rPr>
      </w:pPr>
      <w:r>
        <w:rPr>
          <w:rFonts w:ascii="Arial" w:hAnsi="Arial" w:cs="Arial"/>
          <w:i/>
        </w:rPr>
        <w:t>Keywords</w:t>
      </w:r>
      <w:r w:rsidR="00E128F8">
        <w:rPr>
          <w:rFonts w:ascii="Arial" w:hAnsi="Arial" w:cs="Arial"/>
          <w:i/>
        </w:rPr>
        <w:t xml:space="preserve">: </w:t>
      </w:r>
      <w:r w:rsidR="00E128F8" w:rsidRPr="00E128F8">
        <w:rPr>
          <w:rFonts w:ascii="Arial" w:hAnsi="Arial" w:cs="Arial"/>
          <w:i/>
        </w:rPr>
        <w:t>Controlled release osmotic capsules</w:t>
      </w:r>
      <w:r w:rsidR="00E128F8" w:rsidRPr="00E128F8">
        <w:rPr>
          <w:rFonts w:ascii="Arial" w:hAnsi="Arial" w:cs="Arial"/>
          <w:i/>
          <w:iCs/>
        </w:rPr>
        <w:t>, Diabetes, Osmotic pumps, Osmotic agents</w:t>
      </w:r>
      <w:r w:rsidR="00654ED9">
        <w:rPr>
          <w:rFonts w:ascii="Arial" w:hAnsi="Arial" w:cs="Arial"/>
          <w:i/>
          <w:iCs/>
        </w:rPr>
        <w:t>, Zero order release, Lag time</w:t>
      </w:r>
    </w:p>
    <w:p w14:paraId="144EA477" w14:textId="77777777" w:rsidR="00505F06" w:rsidRPr="00A24E7E" w:rsidRDefault="00505F06" w:rsidP="00441B6F">
      <w:pPr>
        <w:pStyle w:val="Body"/>
        <w:spacing w:after="0"/>
        <w:rPr>
          <w:rFonts w:ascii="Arial" w:hAnsi="Arial" w:cs="Arial"/>
          <w:i/>
        </w:rPr>
      </w:pPr>
    </w:p>
    <w:p w14:paraId="28082566"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B8F8E6C" w14:textId="77777777" w:rsidR="00E128F8" w:rsidRPr="00E128F8" w:rsidRDefault="00E128F8" w:rsidP="00E128F8">
      <w:pPr>
        <w:pStyle w:val="Body"/>
        <w:rPr>
          <w:rFonts w:ascii="Arial" w:hAnsi="Arial" w:cs="Arial"/>
        </w:rPr>
      </w:pPr>
      <w:r w:rsidRPr="00E128F8">
        <w:rPr>
          <w:rFonts w:ascii="Arial" w:hAnsi="Arial" w:cs="Arial"/>
        </w:rPr>
        <w:t>Diabetes represents a global health challenge; WHO data indicated that in 1995 there</w:t>
      </w:r>
      <w:r>
        <w:rPr>
          <w:rFonts w:ascii="Arial" w:hAnsi="Arial" w:cs="Arial"/>
        </w:rPr>
        <w:t xml:space="preserve"> </w:t>
      </w:r>
      <w:r w:rsidRPr="00E128F8">
        <w:rPr>
          <w:rFonts w:ascii="Arial" w:hAnsi="Arial" w:cs="Arial"/>
        </w:rPr>
        <w:t>were 30 million people with diabetes worldwide. It was estimated that 536.6 million people</w:t>
      </w:r>
      <w:r>
        <w:rPr>
          <w:rFonts w:ascii="Arial" w:hAnsi="Arial" w:cs="Arial"/>
        </w:rPr>
        <w:t xml:space="preserve"> </w:t>
      </w:r>
      <w:r w:rsidRPr="00E128F8">
        <w:rPr>
          <w:rFonts w:ascii="Arial" w:hAnsi="Arial" w:cs="Arial"/>
        </w:rPr>
        <w:t>suffer from this disease in 2021, approximately half of this population is undiagnosed [1].</w:t>
      </w:r>
    </w:p>
    <w:p w14:paraId="2D57B34E" w14:textId="77777777" w:rsidR="00E128F8" w:rsidRPr="00E128F8" w:rsidRDefault="00E128F8" w:rsidP="00E128F8">
      <w:pPr>
        <w:pStyle w:val="Body"/>
        <w:rPr>
          <w:rFonts w:ascii="Arial" w:hAnsi="Arial" w:cs="Arial"/>
        </w:rPr>
      </w:pPr>
      <w:r w:rsidRPr="00E128F8">
        <w:rPr>
          <w:rFonts w:ascii="Arial" w:hAnsi="Arial" w:cs="Arial"/>
        </w:rPr>
        <w:t>The ENSANUT 2012 data identifies 6.4 million Mexican adults with diabetes, that is, 9.2%</w:t>
      </w:r>
      <w:r>
        <w:rPr>
          <w:rFonts w:ascii="Arial" w:hAnsi="Arial" w:cs="Arial"/>
        </w:rPr>
        <w:t xml:space="preserve"> </w:t>
      </w:r>
      <w:r w:rsidRPr="00E128F8">
        <w:rPr>
          <w:rFonts w:ascii="Arial" w:hAnsi="Arial" w:cs="Arial"/>
        </w:rPr>
        <w:t>of adults in Mexico have already received a positive diagnosis. In Mexico, the National</w:t>
      </w:r>
      <w:r>
        <w:rPr>
          <w:rFonts w:ascii="Arial" w:hAnsi="Arial" w:cs="Arial"/>
        </w:rPr>
        <w:t xml:space="preserve"> </w:t>
      </w:r>
      <w:r w:rsidRPr="00E128F8">
        <w:rPr>
          <w:rFonts w:ascii="Arial" w:hAnsi="Arial" w:cs="Arial"/>
        </w:rPr>
        <w:t>Health Survey (ENSANUT) carried out in 2020-2023, the prevalence of Diabetes Type 2</w:t>
      </w:r>
      <w:r>
        <w:rPr>
          <w:rFonts w:ascii="Arial" w:hAnsi="Arial" w:cs="Arial"/>
        </w:rPr>
        <w:t xml:space="preserve"> </w:t>
      </w:r>
      <w:r w:rsidRPr="00E128F8">
        <w:rPr>
          <w:rFonts w:ascii="Arial" w:hAnsi="Arial" w:cs="Arial"/>
        </w:rPr>
        <w:t>was 18.4% (12.4% diagnosed and 6.0% undiagnosed) [2].</w:t>
      </w:r>
    </w:p>
    <w:p w14:paraId="18868AA9" w14:textId="77777777" w:rsidR="00E128F8" w:rsidRPr="00E128F8" w:rsidRDefault="00E128F8" w:rsidP="00E128F8">
      <w:pPr>
        <w:pStyle w:val="Body"/>
        <w:rPr>
          <w:rFonts w:ascii="Arial" w:hAnsi="Arial" w:cs="Arial"/>
        </w:rPr>
      </w:pPr>
      <w:r w:rsidRPr="00E128F8">
        <w:rPr>
          <w:rFonts w:ascii="Arial" w:hAnsi="Arial" w:cs="Arial"/>
        </w:rPr>
        <w:t>Diabetes mellitus (DM) is a disorder of hydrocarbon metabolism characterized by chronic</w:t>
      </w:r>
      <w:r>
        <w:rPr>
          <w:rFonts w:ascii="Arial" w:hAnsi="Arial" w:cs="Arial"/>
        </w:rPr>
        <w:t xml:space="preserve"> </w:t>
      </w:r>
      <w:r w:rsidRPr="00E128F8">
        <w:rPr>
          <w:rFonts w:ascii="Arial" w:hAnsi="Arial" w:cs="Arial"/>
        </w:rPr>
        <w:t>hyperglycemia, although lipid and protein metabolism are also affected. Underlying its</w:t>
      </w:r>
      <w:r>
        <w:rPr>
          <w:rFonts w:ascii="Arial" w:hAnsi="Arial" w:cs="Arial"/>
        </w:rPr>
        <w:t xml:space="preserve"> </w:t>
      </w:r>
      <w:r w:rsidRPr="00E128F8">
        <w:rPr>
          <w:rFonts w:ascii="Arial" w:hAnsi="Arial" w:cs="Arial"/>
        </w:rPr>
        <w:t>pathophysiology is a deficit in insulin secretion or action, or there may be a simultaneous</w:t>
      </w:r>
      <w:r>
        <w:rPr>
          <w:rFonts w:ascii="Arial" w:hAnsi="Arial" w:cs="Arial"/>
        </w:rPr>
        <w:t xml:space="preserve"> </w:t>
      </w:r>
      <w:r w:rsidRPr="00E128F8">
        <w:rPr>
          <w:rFonts w:ascii="Arial" w:hAnsi="Arial" w:cs="Arial"/>
        </w:rPr>
        <w:t>deficit in both insulin secretion and activity [3].</w:t>
      </w:r>
    </w:p>
    <w:p w14:paraId="7C822844" w14:textId="77777777" w:rsidR="00E128F8" w:rsidRDefault="00E128F8" w:rsidP="00E128F8">
      <w:pPr>
        <w:pStyle w:val="Body"/>
        <w:rPr>
          <w:rFonts w:ascii="Arial" w:hAnsi="Arial" w:cs="Arial"/>
        </w:rPr>
      </w:pPr>
      <w:r w:rsidRPr="00E128F8">
        <w:rPr>
          <w:rFonts w:ascii="Arial" w:hAnsi="Arial" w:cs="Arial"/>
        </w:rPr>
        <w:t>Today, there is a wide range of drugs for the treatment of Type 2 Diabetes Mellitus (Figure</w:t>
      </w:r>
      <w:r>
        <w:rPr>
          <w:rFonts w:ascii="Arial" w:hAnsi="Arial" w:cs="Arial"/>
        </w:rPr>
        <w:t xml:space="preserve"> </w:t>
      </w:r>
      <w:r w:rsidRPr="00E128F8">
        <w:rPr>
          <w:rFonts w:ascii="Arial" w:hAnsi="Arial" w:cs="Arial"/>
        </w:rPr>
        <w:t>1), finding drugs such as metformin in the group of biguanides, glibenclamide in</w:t>
      </w:r>
      <w:r>
        <w:rPr>
          <w:rFonts w:ascii="Arial" w:hAnsi="Arial" w:cs="Arial"/>
        </w:rPr>
        <w:t xml:space="preserve"> </w:t>
      </w:r>
      <w:r w:rsidRPr="00E128F8">
        <w:rPr>
          <w:rFonts w:ascii="Arial" w:hAnsi="Arial" w:cs="Arial"/>
        </w:rPr>
        <w:t>sulfonylureas, repaglinide in meglitinides, pioglitazone in thiazolidinediones, sitagliptin in</w:t>
      </w:r>
      <w:r>
        <w:rPr>
          <w:rFonts w:ascii="Arial" w:hAnsi="Arial" w:cs="Arial"/>
        </w:rPr>
        <w:t xml:space="preserve"> </w:t>
      </w:r>
      <w:r w:rsidRPr="00E128F8">
        <w:rPr>
          <w:rFonts w:ascii="Arial" w:hAnsi="Arial" w:cs="Arial"/>
        </w:rPr>
        <w:t xml:space="preserve">the group of DPP-4 inhibitors and acarbose in alpha glucosidase inhibitors [4] </w:t>
      </w:r>
    </w:p>
    <w:p w14:paraId="284FC5B8" w14:textId="77777777" w:rsidR="00CF243B" w:rsidRDefault="00CF243B" w:rsidP="00E128F8">
      <w:pPr>
        <w:pStyle w:val="Body"/>
        <w:rPr>
          <w:rFonts w:ascii="Arial" w:hAnsi="Arial" w:cs="Arial"/>
          <w:b/>
          <w:bCs/>
        </w:rPr>
      </w:pPr>
      <w:r w:rsidRPr="00AB5033">
        <w:rPr>
          <w:noProof/>
          <w:lang w:val="en"/>
        </w:rPr>
        <w:drawing>
          <wp:inline distT="0" distB="0" distL="0" distR="0" wp14:anchorId="5DD84C0B" wp14:editId="4DEA2187">
            <wp:extent cx="5212080" cy="1647151"/>
            <wp:effectExtent l="0" t="0" r="7620" b="0"/>
            <wp:docPr id="69420187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1647151"/>
                    </a:xfrm>
                    <a:prstGeom prst="rect">
                      <a:avLst/>
                    </a:prstGeom>
                    <a:noFill/>
                    <a:ln>
                      <a:noFill/>
                    </a:ln>
                  </pic:spPr>
                </pic:pic>
              </a:graphicData>
            </a:graphic>
          </wp:inline>
        </w:drawing>
      </w:r>
    </w:p>
    <w:p w14:paraId="1760F7FE" w14:textId="77777777" w:rsidR="00DB4C68" w:rsidRPr="00DB4C68" w:rsidRDefault="00DB4C68" w:rsidP="00E128F8">
      <w:pPr>
        <w:pStyle w:val="Body"/>
        <w:rPr>
          <w:rFonts w:ascii="Arial" w:hAnsi="Arial" w:cs="Arial"/>
        </w:rPr>
      </w:pPr>
      <w:r w:rsidRPr="00DB4C68">
        <w:rPr>
          <w:rFonts w:ascii="Arial" w:hAnsi="Arial" w:cs="Arial"/>
          <w:b/>
          <w:bCs/>
        </w:rPr>
        <w:t>Figure 1 Drugs for diabetes mellitus 2, classified for chemical group.</w:t>
      </w:r>
    </w:p>
    <w:p w14:paraId="7E167E12" w14:textId="77777777" w:rsidR="00E128F8" w:rsidRPr="00E128F8" w:rsidRDefault="00E128F8" w:rsidP="00E128F8">
      <w:pPr>
        <w:pStyle w:val="Body"/>
        <w:rPr>
          <w:rFonts w:ascii="Arial" w:hAnsi="Arial" w:cs="Arial"/>
        </w:rPr>
      </w:pPr>
      <w:r w:rsidRPr="00E128F8">
        <w:rPr>
          <w:rFonts w:ascii="Arial" w:hAnsi="Arial" w:cs="Arial"/>
        </w:rPr>
        <w:t>Regarding the participation of hypoglycemic agents in the mexican market, it is observed that the group with the highest participation is the combination of sulfonylureas (glibenclamide) with biguanides (metformin), maintaining stable sales</w:t>
      </w:r>
      <w:r>
        <w:rPr>
          <w:rFonts w:ascii="Arial" w:hAnsi="Arial" w:cs="Arial"/>
        </w:rPr>
        <w:t xml:space="preserve"> </w:t>
      </w:r>
      <w:r w:rsidRPr="00E128F8">
        <w:rPr>
          <w:rFonts w:ascii="Arial" w:hAnsi="Arial" w:cs="Arial"/>
        </w:rPr>
        <w:t>during the period from 1999 to 2003, which range from 57.33 to 56.03 respectively [5].</w:t>
      </w:r>
    </w:p>
    <w:p w14:paraId="3FEF7E96" w14:textId="77777777" w:rsidR="00E128F8" w:rsidRDefault="00E128F8" w:rsidP="00E128F8">
      <w:pPr>
        <w:pStyle w:val="Body"/>
        <w:rPr>
          <w:rFonts w:ascii="Arial" w:hAnsi="Arial" w:cs="Arial"/>
        </w:rPr>
      </w:pPr>
      <w:r w:rsidRPr="00E128F8">
        <w:rPr>
          <w:rFonts w:ascii="Arial" w:hAnsi="Arial" w:cs="Arial"/>
        </w:rPr>
        <w:t>In 2022 in México, the most cost-effective intervention for Diabetes T2 was based on a</w:t>
      </w:r>
      <w:r>
        <w:rPr>
          <w:rFonts w:ascii="Arial" w:hAnsi="Arial" w:cs="Arial"/>
        </w:rPr>
        <w:t xml:space="preserve"> </w:t>
      </w:r>
      <w:r w:rsidRPr="00E128F8">
        <w:rPr>
          <w:rFonts w:ascii="Arial" w:hAnsi="Arial" w:cs="Arial"/>
        </w:rPr>
        <w:t>combined oral treatment of metformin with glibenclamide, obtaining a total cost of $951.75</w:t>
      </w:r>
      <w:r>
        <w:rPr>
          <w:rFonts w:ascii="Arial" w:hAnsi="Arial" w:cs="Arial"/>
        </w:rPr>
        <w:t xml:space="preserve"> </w:t>
      </w:r>
      <w:r w:rsidRPr="00E128F8">
        <w:rPr>
          <w:rFonts w:ascii="Arial" w:hAnsi="Arial" w:cs="Arial"/>
        </w:rPr>
        <w:t>USD, with an effectiveness rate of 42.30% and an effectiveness coefficient of 2.25.[6]</w:t>
      </w:r>
    </w:p>
    <w:p w14:paraId="61D818AE" w14:textId="77777777" w:rsidR="00E128F8" w:rsidRPr="00E128F8" w:rsidRDefault="00E128F8" w:rsidP="00E128F8">
      <w:pPr>
        <w:pStyle w:val="Body"/>
        <w:rPr>
          <w:rFonts w:ascii="Arial" w:hAnsi="Arial" w:cs="Arial"/>
        </w:rPr>
      </w:pPr>
      <w:r w:rsidRPr="00E128F8">
        <w:rPr>
          <w:rFonts w:ascii="Arial" w:hAnsi="Arial" w:cs="Arial"/>
        </w:rPr>
        <w:t>Osmotic systems have clear advantages in relation to conventional pharmaceutical forms,</w:t>
      </w:r>
      <w:r>
        <w:rPr>
          <w:rFonts w:ascii="Arial" w:hAnsi="Arial" w:cs="Arial"/>
        </w:rPr>
        <w:t xml:space="preserve"> </w:t>
      </w:r>
      <w:r w:rsidRPr="00E128F8">
        <w:rPr>
          <w:rFonts w:ascii="Arial" w:hAnsi="Arial" w:cs="Arial"/>
        </w:rPr>
        <w:t>allow to maintain constant plasma concentrations for long periods. As a result, variations</w:t>
      </w:r>
      <w:r>
        <w:rPr>
          <w:rFonts w:ascii="Arial" w:hAnsi="Arial" w:cs="Arial"/>
        </w:rPr>
        <w:t xml:space="preserve"> </w:t>
      </w:r>
      <w:r w:rsidRPr="00E128F8">
        <w:rPr>
          <w:rFonts w:ascii="Arial" w:hAnsi="Arial" w:cs="Arial"/>
        </w:rPr>
        <w:t>in the level of the active ingredient prevent adverse effects and patient intervention. The</w:t>
      </w:r>
      <w:r>
        <w:rPr>
          <w:rFonts w:ascii="Arial" w:hAnsi="Arial" w:cs="Arial"/>
        </w:rPr>
        <w:t xml:space="preserve"> </w:t>
      </w:r>
      <w:r w:rsidRPr="00E128F8">
        <w:rPr>
          <w:rFonts w:ascii="Arial" w:hAnsi="Arial" w:cs="Arial"/>
        </w:rPr>
        <w:t>market for osmotic pumps is expected to reach USD 8.5 billion in 2024. Between 2024</w:t>
      </w:r>
      <w:r>
        <w:rPr>
          <w:rFonts w:ascii="Arial" w:hAnsi="Arial" w:cs="Arial"/>
        </w:rPr>
        <w:t xml:space="preserve"> </w:t>
      </w:r>
      <w:r w:rsidRPr="00E128F8">
        <w:rPr>
          <w:rFonts w:ascii="Arial" w:hAnsi="Arial" w:cs="Arial"/>
        </w:rPr>
        <w:t>and 2034, it is projected that the revenue will expand at a CAGR of 7.9% per annum. By</w:t>
      </w:r>
      <w:r>
        <w:rPr>
          <w:rFonts w:ascii="Arial" w:hAnsi="Arial" w:cs="Arial"/>
        </w:rPr>
        <w:t xml:space="preserve"> </w:t>
      </w:r>
      <w:r w:rsidRPr="00E128F8">
        <w:rPr>
          <w:rFonts w:ascii="Arial" w:hAnsi="Arial" w:cs="Arial"/>
        </w:rPr>
        <w:t>2034, it is estimated that the industry will reach USD 18.2 billion. [7]. In the market of</w:t>
      </w:r>
      <w:r>
        <w:rPr>
          <w:rFonts w:ascii="Arial" w:hAnsi="Arial" w:cs="Arial"/>
        </w:rPr>
        <w:t xml:space="preserve"> </w:t>
      </w:r>
      <w:r w:rsidRPr="00E128F8">
        <w:rPr>
          <w:rFonts w:ascii="Arial" w:hAnsi="Arial" w:cs="Arial"/>
        </w:rPr>
        <w:t>osmotic systems there are several elementary osmotic pumps and push-pull osmotic systems [8]. There are several studies with metformin in osmotic systems. [9,10, 11, 12,</w:t>
      </w:r>
      <w:r>
        <w:rPr>
          <w:rFonts w:ascii="Arial" w:hAnsi="Arial" w:cs="Arial"/>
        </w:rPr>
        <w:t xml:space="preserve"> </w:t>
      </w:r>
      <w:r w:rsidRPr="00E128F8">
        <w:rPr>
          <w:rFonts w:ascii="Arial" w:hAnsi="Arial" w:cs="Arial"/>
        </w:rPr>
        <w:t>13]</w:t>
      </w:r>
    </w:p>
    <w:p w14:paraId="3A37C366" w14:textId="77777777" w:rsidR="00E128F8" w:rsidRPr="00E128F8" w:rsidRDefault="00FE5E9A" w:rsidP="00E128F8">
      <w:pPr>
        <w:pStyle w:val="Body"/>
        <w:rPr>
          <w:rFonts w:ascii="Arial" w:hAnsi="Arial" w:cs="Arial"/>
        </w:rPr>
      </w:pPr>
      <w:r>
        <w:rPr>
          <w:rFonts w:ascii="Arial" w:hAnsi="Arial" w:cs="Arial"/>
        </w:rPr>
        <w:lastRenderedPageBreak/>
        <w:t xml:space="preserve">Because, there are not a controlled release systems to reduce the number of dosifications and improve the patient adherence to the treatment. </w:t>
      </w:r>
      <w:r w:rsidR="00E128F8" w:rsidRPr="00E128F8">
        <w:rPr>
          <w:rFonts w:ascii="Arial" w:hAnsi="Arial" w:cs="Arial"/>
        </w:rPr>
        <w:t>It is possible to develop a formulation for the production of controlled-release osmotic</w:t>
      </w:r>
      <w:r w:rsidR="00E128F8">
        <w:rPr>
          <w:rFonts w:ascii="Arial" w:hAnsi="Arial" w:cs="Arial"/>
        </w:rPr>
        <w:t xml:space="preserve"> </w:t>
      </w:r>
      <w:r w:rsidR="00E128F8" w:rsidRPr="00E128F8">
        <w:rPr>
          <w:rFonts w:ascii="Arial" w:hAnsi="Arial" w:cs="Arial"/>
        </w:rPr>
        <w:t>capsules containing two active ingredients, without incompatibilities with excipients, and</w:t>
      </w:r>
      <w:r w:rsidR="00E128F8">
        <w:rPr>
          <w:rFonts w:ascii="Arial" w:hAnsi="Arial" w:cs="Arial"/>
        </w:rPr>
        <w:t xml:space="preserve"> </w:t>
      </w:r>
      <w:r w:rsidR="00E128F8" w:rsidRPr="00E128F8">
        <w:rPr>
          <w:rFonts w:ascii="Arial" w:hAnsi="Arial" w:cs="Arial"/>
        </w:rPr>
        <w:t>enabling a constant release rate over a 12-hour period, independent of pH and stirring</w:t>
      </w:r>
      <w:r w:rsidR="00E128F8">
        <w:rPr>
          <w:rFonts w:ascii="Arial" w:hAnsi="Arial" w:cs="Arial"/>
        </w:rPr>
        <w:t xml:space="preserve"> </w:t>
      </w:r>
      <w:r w:rsidR="00E128F8" w:rsidRPr="00E128F8">
        <w:rPr>
          <w:rFonts w:ascii="Arial" w:hAnsi="Arial" w:cs="Arial"/>
        </w:rPr>
        <w:t>speed. Our approach was based on using hard gelatin capsules, sealed and coated with</w:t>
      </w:r>
      <w:r w:rsidR="00E128F8">
        <w:rPr>
          <w:rFonts w:ascii="Arial" w:hAnsi="Arial" w:cs="Arial"/>
        </w:rPr>
        <w:t xml:space="preserve"> </w:t>
      </w:r>
      <w:r w:rsidR="00E128F8" w:rsidRPr="00E128F8">
        <w:rPr>
          <w:rFonts w:ascii="Arial" w:hAnsi="Arial" w:cs="Arial"/>
        </w:rPr>
        <w:t>a semipermeable cellulose acetate membrane, with a weight gain of 3-5% and a release</w:t>
      </w:r>
      <w:r w:rsidR="00E128F8">
        <w:rPr>
          <w:rFonts w:ascii="Arial" w:hAnsi="Arial" w:cs="Arial"/>
        </w:rPr>
        <w:t xml:space="preserve"> </w:t>
      </w:r>
      <w:r w:rsidR="00E128F8" w:rsidRPr="00E128F8">
        <w:rPr>
          <w:rFonts w:ascii="Arial" w:hAnsi="Arial" w:cs="Arial"/>
        </w:rPr>
        <w:t xml:space="preserve">hole of 635 </w:t>
      </w:r>
      <w:r w:rsidR="00E128F8" w:rsidRPr="00E128F8">
        <w:rPr>
          <w:rFonts w:ascii="Arial" w:hAnsi="Arial" w:cs="Arial"/>
          <w:lang w:val="es-MX"/>
        </w:rPr>
        <w:t>μ</w:t>
      </w:r>
      <w:r w:rsidR="00E128F8" w:rsidRPr="00E128F8">
        <w:rPr>
          <w:rFonts w:ascii="Arial" w:hAnsi="Arial" w:cs="Arial"/>
        </w:rPr>
        <w:t>m, to create an osmotic system. This design aims to achieve a short lag</w:t>
      </w:r>
      <w:r w:rsidR="00E128F8">
        <w:rPr>
          <w:rFonts w:ascii="Arial" w:hAnsi="Arial" w:cs="Arial"/>
        </w:rPr>
        <w:t xml:space="preserve"> </w:t>
      </w:r>
      <w:r w:rsidR="00E128F8" w:rsidRPr="00E128F8">
        <w:rPr>
          <w:rFonts w:ascii="Arial" w:hAnsi="Arial" w:cs="Arial"/>
        </w:rPr>
        <w:t>phase and prevent the disintegration process observed in compressed cores</w:t>
      </w:r>
      <w:r w:rsidR="00E128F8">
        <w:rPr>
          <w:rFonts w:ascii="Arial" w:hAnsi="Arial" w:cs="Arial"/>
        </w:rPr>
        <w:t>.</w:t>
      </w:r>
    </w:p>
    <w:p w14:paraId="084FE105"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7B7842CC" w14:textId="77777777" w:rsidR="00DB4C68" w:rsidRDefault="00DB4C68" w:rsidP="00DB4C68">
      <w:pPr>
        <w:pStyle w:val="Body"/>
        <w:rPr>
          <w:rFonts w:ascii="Arial" w:hAnsi="Arial" w:cs="Arial"/>
        </w:rPr>
      </w:pPr>
      <w:r w:rsidRPr="00DB4C68">
        <w:rPr>
          <w:rFonts w:ascii="Arial" w:hAnsi="Arial" w:cs="Arial"/>
        </w:rPr>
        <w:t>The materials used in this work were: Metformin HCl (DVA), Glibenclamide and Cellulose</w:t>
      </w:r>
      <w:r>
        <w:rPr>
          <w:rFonts w:ascii="Arial" w:hAnsi="Arial" w:cs="Arial"/>
        </w:rPr>
        <w:t xml:space="preserve"> </w:t>
      </w:r>
      <w:r w:rsidRPr="00DB4C68">
        <w:rPr>
          <w:rFonts w:ascii="Arial" w:hAnsi="Arial" w:cs="Arial"/>
        </w:rPr>
        <w:t>acetate (Sigma-Aldrich), Avicel pH 101 (FMC Biopolymer) Hipromellose capsules</w:t>
      </w:r>
      <w:r>
        <w:rPr>
          <w:rFonts w:ascii="Arial" w:hAnsi="Arial" w:cs="Arial"/>
        </w:rPr>
        <w:t xml:space="preserve"> </w:t>
      </w:r>
      <w:r w:rsidRPr="00DB4C68">
        <w:rPr>
          <w:rFonts w:ascii="Arial" w:hAnsi="Arial" w:cs="Arial"/>
        </w:rPr>
        <w:t>(Capsugel) PEG-E-4000 and hard capsules (Droguería Cosmopolita) Manitol, Sorbitol,</w:t>
      </w:r>
      <w:r>
        <w:rPr>
          <w:rFonts w:ascii="Arial" w:hAnsi="Arial" w:cs="Arial"/>
        </w:rPr>
        <w:t xml:space="preserve"> </w:t>
      </w:r>
      <w:r w:rsidRPr="00DB4C68">
        <w:rPr>
          <w:rFonts w:ascii="Arial" w:hAnsi="Arial" w:cs="Arial"/>
        </w:rPr>
        <w:t xml:space="preserve">Aerosil and Magnesium stearate (CEDROSA, México) </w:t>
      </w:r>
    </w:p>
    <w:p w14:paraId="4FA77EF9" w14:textId="77777777" w:rsidR="00DB4C68" w:rsidRPr="00DB4C68" w:rsidRDefault="00DB4C68" w:rsidP="00DB4C68">
      <w:pPr>
        <w:pStyle w:val="Body"/>
        <w:rPr>
          <w:rFonts w:ascii="Arial" w:hAnsi="Arial" w:cs="Arial"/>
          <w:b/>
          <w:bCs/>
          <w:caps/>
          <w:sz w:val="22"/>
        </w:rPr>
      </w:pPr>
      <w:r w:rsidRPr="00DB4C68">
        <w:rPr>
          <w:rFonts w:ascii="Arial" w:hAnsi="Arial" w:cs="Arial"/>
          <w:b/>
          <w:bCs/>
          <w:caps/>
          <w:sz w:val="22"/>
        </w:rPr>
        <w:t xml:space="preserve">2.2 Drug-excipient compatibility study </w:t>
      </w:r>
    </w:p>
    <w:p w14:paraId="67BF01D4" w14:textId="77777777" w:rsidR="00DB4C68" w:rsidRDefault="00DB4C68" w:rsidP="00DB4C68">
      <w:pPr>
        <w:pStyle w:val="Body"/>
        <w:rPr>
          <w:rFonts w:ascii="Arial" w:hAnsi="Arial" w:cs="Arial"/>
        </w:rPr>
      </w:pPr>
      <w:r w:rsidRPr="00DB4C68">
        <w:rPr>
          <w:rFonts w:ascii="Arial" w:hAnsi="Arial" w:cs="Arial"/>
        </w:rPr>
        <w:t>Mixtures drug-excipient were prepared until 28 formulation samples, 21 correspond to 1:1</w:t>
      </w:r>
      <w:r>
        <w:rPr>
          <w:rFonts w:ascii="Arial" w:hAnsi="Arial" w:cs="Arial"/>
        </w:rPr>
        <w:t xml:space="preserve"> </w:t>
      </w:r>
      <w:r w:rsidRPr="00DB4C68">
        <w:rPr>
          <w:rFonts w:ascii="Arial" w:hAnsi="Arial" w:cs="Arial"/>
        </w:rPr>
        <w:t>mixtures of the drug-excipient and 7 correspond to the raw materials (2 drugs and 5</w:t>
      </w:r>
      <w:r>
        <w:rPr>
          <w:rFonts w:ascii="Arial" w:hAnsi="Arial" w:cs="Arial"/>
        </w:rPr>
        <w:t xml:space="preserve"> </w:t>
      </w:r>
      <w:r w:rsidRPr="00DB4C68">
        <w:rPr>
          <w:rFonts w:ascii="Arial" w:hAnsi="Arial" w:cs="Arial"/>
        </w:rPr>
        <w:t>excipients). These samples were maintained at 50°C during 4 weeks. Each week during</w:t>
      </w:r>
      <w:r>
        <w:rPr>
          <w:rFonts w:ascii="Arial" w:hAnsi="Arial" w:cs="Arial"/>
        </w:rPr>
        <w:t xml:space="preserve"> </w:t>
      </w:r>
      <w:r w:rsidRPr="00DB4C68">
        <w:rPr>
          <w:rFonts w:ascii="Arial" w:hAnsi="Arial" w:cs="Arial"/>
        </w:rPr>
        <w:t>4 weeks were read with handheld Raman spectrometer (TruScan® Thermo Scientific ) to</w:t>
      </w:r>
      <w:r>
        <w:rPr>
          <w:rFonts w:ascii="Arial" w:hAnsi="Arial" w:cs="Arial"/>
        </w:rPr>
        <w:t xml:space="preserve"> </w:t>
      </w:r>
      <w:r w:rsidRPr="00DB4C68">
        <w:rPr>
          <w:rFonts w:ascii="Arial" w:hAnsi="Arial" w:cs="Arial"/>
        </w:rPr>
        <w:t>analysis and followed compatibility. T</w:t>
      </w:r>
      <w:r w:rsidR="00CF243B">
        <w:rPr>
          <w:rFonts w:ascii="Arial" w:hAnsi="Arial" w:cs="Arial"/>
        </w:rPr>
        <w:t>he mixtures for t</w:t>
      </w:r>
      <w:r w:rsidRPr="00DB4C68">
        <w:rPr>
          <w:rFonts w:ascii="Arial" w:hAnsi="Arial" w:cs="Arial"/>
        </w:rPr>
        <w:t xml:space="preserve">his study </w:t>
      </w:r>
      <w:r w:rsidR="00CF243B">
        <w:rPr>
          <w:rFonts w:ascii="Arial" w:hAnsi="Arial" w:cs="Arial"/>
        </w:rPr>
        <w:t>are</w:t>
      </w:r>
      <w:r w:rsidRPr="00DB4C68">
        <w:rPr>
          <w:rFonts w:ascii="Arial" w:hAnsi="Arial" w:cs="Arial"/>
        </w:rPr>
        <w:t xml:space="preserve"> show in the table 1: </w:t>
      </w:r>
    </w:p>
    <w:p w14:paraId="25B60705" w14:textId="77777777" w:rsidR="00DB4C68" w:rsidRPr="00CF243B" w:rsidRDefault="00DB4C68" w:rsidP="00DB4C68">
      <w:pPr>
        <w:pStyle w:val="Body"/>
        <w:rPr>
          <w:rFonts w:ascii="Arial" w:hAnsi="Arial" w:cs="Arial"/>
          <w:b/>
          <w:bCs/>
        </w:rPr>
      </w:pPr>
      <w:r w:rsidRPr="00CF243B">
        <w:rPr>
          <w:rFonts w:ascii="Arial" w:hAnsi="Arial" w:cs="Arial"/>
          <w:b/>
          <w:bCs/>
        </w:rPr>
        <w:t>Table 1: Drug excipient compatibility study</w:t>
      </w:r>
    </w:p>
    <w:tbl>
      <w:tblPr>
        <w:tblStyle w:val="Tabladelista4-nfasis1"/>
        <w:tblW w:w="9781" w:type="dxa"/>
        <w:tblInd w:w="-5" w:type="dxa"/>
        <w:tblLook w:val="04A0" w:firstRow="1" w:lastRow="0" w:firstColumn="1" w:lastColumn="0" w:noHBand="0" w:noVBand="1"/>
      </w:tblPr>
      <w:tblGrid>
        <w:gridCol w:w="1740"/>
        <w:gridCol w:w="1183"/>
        <w:gridCol w:w="1617"/>
        <w:gridCol w:w="916"/>
        <w:gridCol w:w="972"/>
        <w:gridCol w:w="674"/>
        <w:gridCol w:w="1286"/>
        <w:gridCol w:w="1393"/>
      </w:tblGrid>
      <w:tr w:rsidR="00CF243B" w:rsidRPr="00CF243B" w14:paraId="0167A9A7" w14:textId="77777777" w:rsidTr="00666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shd w:val="clear" w:color="auto" w:fill="95B3D7" w:themeFill="accent1" w:themeFillTint="99"/>
          </w:tcPr>
          <w:p w14:paraId="53381EF6" w14:textId="77777777" w:rsidR="00CF243B" w:rsidRPr="00CF243B" w:rsidRDefault="00CF243B" w:rsidP="00666D4B">
            <w:pPr>
              <w:pStyle w:val="HTMLconformatoprevio"/>
              <w:rPr>
                <w:rFonts w:ascii="Arial" w:hAnsi="Arial" w:cs="Arial"/>
                <w:color w:val="000000" w:themeColor="text1"/>
                <w:sz w:val="20"/>
                <w:szCs w:val="20"/>
                <w:lang w:val="en"/>
              </w:rPr>
            </w:pPr>
            <w:r w:rsidRPr="00CF243B">
              <w:rPr>
                <w:rFonts w:ascii="Arial" w:hAnsi="Arial" w:cs="Arial"/>
                <w:color w:val="000000" w:themeColor="text1"/>
                <w:sz w:val="20"/>
                <w:szCs w:val="20"/>
                <w:lang w:val="en"/>
              </w:rPr>
              <w:t>Material</w:t>
            </w:r>
          </w:p>
        </w:tc>
        <w:tc>
          <w:tcPr>
            <w:tcW w:w="1183" w:type="dxa"/>
            <w:shd w:val="clear" w:color="auto" w:fill="95B3D7" w:themeFill="accent1" w:themeFillTint="99"/>
          </w:tcPr>
          <w:p w14:paraId="2B089C89" w14:textId="77777777" w:rsidR="00CF243B" w:rsidRPr="00CF243B" w:rsidRDefault="00CF243B" w:rsidP="00666D4B">
            <w:pPr>
              <w:pStyle w:val="HTMLconformatoprevi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r w:rsidRPr="00CF243B">
              <w:rPr>
                <w:rFonts w:ascii="Arial" w:hAnsi="Arial" w:cs="Arial"/>
                <w:color w:val="000000" w:themeColor="text1"/>
                <w:sz w:val="20"/>
                <w:szCs w:val="20"/>
                <w:lang w:val="en"/>
              </w:rPr>
              <w:t>Metformin</w:t>
            </w:r>
          </w:p>
        </w:tc>
        <w:tc>
          <w:tcPr>
            <w:tcW w:w="1627" w:type="dxa"/>
            <w:shd w:val="clear" w:color="auto" w:fill="95B3D7" w:themeFill="accent1" w:themeFillTint="99"/>
          </w:tcPr>
          <w:p w14:paraId="0469ED18" w14:textId="77777777" w:rsidR="00CF243B" w:rsidRPr="00CF243B" w:rsidRDefault="00CF243B" w:rsidP="00666D4B">
            <w:pPr>
              <w:pStyle w:val="HTMLconformatoprevi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r w:rsidRPr="00CF243B">
              <w:rPr>
                <w:rFonts w:ascii="Arial" w:hAnsi="Arial" w:cs="Arial"/>
                <w:color w:val="000000" w:themeColor="text1"/>
                <w:sz w:val="20"/>
                <w:szCs w:val="20"/>
                <w:lang w:val="en"/>
              </w:rPr>
              <w:t>Glibenclamide</w:t>
            </w:r>
          </w:p>
        </w:tc>
        <w:tc>
          <w:tcPr>
            <w:tcW w:w="916" w:type="dxa"/>
            <w:shd w:val="clear" w:color="auto" w:fill="95B3D7" w:themeFill="accent1" w:themeFillTint="99"/>
          </w:tcPr>
          <w:p w14:paraId="6EB96378" w14:textId="77777777" w:rsidR="00CF243B" w:rsidRPr="00CF243B" w:rsidRDefault="00CF243B" w:rsidP="00666D4B">
            <w:pPr>
              <w:pStyle w:val="HTMLconformatoprevi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r w:rsidRPr="00CF243B">
              <w:rPr>
                <w:rFonts w:ascii="Arial" w:hAnsi="Arial" w:cs="Arial"/>
                <w:color w:val="000000" w:themeColor="text1"/>
                <w:sz w:val="20"/>
                <w:szCs w:val="20"/>
                <w:lang w:val="en"/>
              </w:rPr>
              <w:t>Manitol</w:t>
            </w:r>
          </w:p>
        </w:tc>
        <w:tc>
          <w:tcPr>
            <w:tcW w:w="972" w:type="dxa"/>
            <w:shd w:val="clear" w:color="auto" w:fill="95B3D7" w:themeFill="accent1" w:themeFillTint="99"/>
          </w:tcPr>
          <w:p w14:paraId="5929E3CF" w14:textId="77777777" w:rsidR="00CF243B" w:rsidRPr="00CF243B" w:rsidRDefault="00CF243B" w:rsidP="00666D4B">
            <w:pPr>
              <w:pStyle w:val="HTMLconformatoprevi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r w:rsidRPr="00CF243B">
              <w:rPr>
                <w:rFonts w:ascii="Arial" w:hAnsi="Arial" w:cs="Arial"/>
                <w:color w:val="000000" w:themeColor="text1"/>
                <w:sz w:val="20"/>
                <w:szCs w:val="20"/>
                <w:lang w:val="en"/>
              </w:rPr>
              <w:t>Sorbitol</w:t>
            </w:r>
          </w:p>
        </w:tc>
        <w:tc>
          <w:tcPr>
            <w:tcW w:w="675" w:type="dxa"/>
            <w:shd w:val="clear" w:color="auto" w:fill="95B3D7" w:themeFill="accent1" w:themeFillTint="99"/>
          </w:tcPr>
          <w:p w14:paraId="371567B9" w14:textId="77777777" w:rsidR="00CF243B" w:rsidRPr="00CF243B" w:rsidRDefault="00CF243B" w:rsidP="00666D4B">
            <w:pPr>
              <w:pStyle w:val="HTMLconformatoprevi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r w:rsidRPr="00CF243B">
              <w:rPr>
                <w:rFonts w:ascii="Arial" w:hAnsi="Arial" w:cs="Arial"/>
                <w:color w:val="000000" w:themeColor="text1"/>
                <w:sz w:val="20"/>
                <w:szCs w:val="20"/>
                <w:lang w:val="en"/>
              </w:rPr>
              <w:t>MCC</w:t>
            </w:r>
          </w:p>
        </w:tc>
        <w:tc>
          <w:tcPr>
            <w:tcW w:w="1407" w:type="dxa"/>
            <w:shd w:val="clear" w:color="auto" w:fill="95B3D7" w:themeFill="accent1" w:themeFillTint="99"/>
          </w:tcPr>
          <w:p w14:paraId="4B38F0C9" w14:textId="77777777" w:rsidR="00CF243B" w:rsidRPr="00CF243B" w:rsidRDefault="00CF243B" w:rsidP="00666D4B">
            <w:pPr>
              <w:pStyle w:val="HTMLconformatoprevi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r w:rsidRPr="00CF243B">
              <w:rPr>
                <w:rFonts w:ascii="Arial" w:hAnsi="Arial" w:cs="Arial"/>
                <w:color w:val="000000" w:themeColor="text1"/>
                <w:sz w:val="20"/>
                <w:szCs w:val="20"/>
                <w:lang w:val="en"/>
              </w:rPr>
              <w:t>Aerosil 200</w:t>
            </w:r>
          </w:p>
        </w:tc>
        <w:tc>
          <w:tcPr>
            <w:tcW w:w="1417" w:type="dxa"/>
            <w:shd w:val="clear" w:color="auto" w:fill="95B3D7" w:themeFill="accent1" w:themeFillTint="99"/>
          </w:tcPr>
          <w:p w14:paraId="627A1AEC" w14:textId="77777777" w:rsidR="00CF243B" w:rsidRPr="00CF243B" w:rsidRDefault="00CF243B" w:rsidP="00666D4B">
            <w:pPr>
              <w:pStyle w:val="HTMLconformatoprevi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
              </w:rPr>
            </w:pPr>
            <w:r w:rsidRPr="00CF243B">
              <w:rPr>
                <w:rFonts w:ascii="Arial" w:hAnsi="Arial" w:cs="Arial"/>
                <w:color w:val="000000" w:themeColor="text1"/>
                <w:sz w:val="20"/>
                <w:szCs w:val="20"/>
                <w:lang w:val="en"/>
              </w:rPr>
              <w:t>M</w:t>
            </w:r>
            <w:r>
              <w:rPr>
                <w:rFonts w:ascii="Arial" w:hAnsi="Arial" w:cs="Arial"/>
                <w:color w:val="000000" w:themeColor="text1"/>
                <w:sz w:val="20"/>
                <w:szCs w:val="20"/>
                <w:lang w:val="en"/>
              </w:rPr>
              <w:t>a</w:t>
            </w:r>
            <w:r w:rsidRPr="00CF243B">
              <w:rPr>
                <w:rFonts w:ascii="Arial" w:hAnsi="Arial" w:cs="Arial"/>
                <w:color w:val="000000" w:themeColor="text1"/>
                <w:sz w:val="20"/>
                <w:szCs w:val="20"/>
                <w:lang w:val="en"/>
              </w:rPr>
              <w:t>g</w:t>
            </w:r>
            <w:r>
              <w:rPr>
                <w:rFonts w:ascii="Arial" w:hAnsi="Arial" w:cs="Arial"/>
                <w:color w:val="000000" w:themeColor="text1"/>
                <w:sz w:val="20"/>
                <w:szCs w:val="20"/>
                <w:lang w:val="en"/>
              </w:rPr>
              <w:t>nesium</w:t>
            </w:r>
            <w:r w:rsidRPr="00CF243B">
              <w:rPr>
                <w:rFonts w:ascii="Arial" w:hAnsi="Arial" w:cs="Arial"/>
                <w:color w:val="000000" w:themeColor="text1"/>
                <w:sz w:val="20"/>
                <w:szCs w:val="20"/>
                <w:lang w:val="en"/>
              </w:rPr>
              <w:t xml:space="preserve"> stearate</w:t>
            </w:r>
          </w:p>
        </w:tc>
      </w:tr>
      <w:tr w:rsidR="00CF243B" w:rsidRPr="00CF243B" w14:paraId="5F60128E"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00E41DF3" w14:textId="77777777" w:rsidR="00CF243B" w:rsidRPr="00CF243B" w:rsidRDefault="00CF243B" w:rsidP="00666D4B">
            <w:pPr>
              <w:pStyle w:val="HTMLconformatoprevio"/>
              <w:rPr>
                <w:rFonts w:ascii="Arial" w:hAnsi="Arial" w:cs="Arial"/>
                <w:color w:val="000000" w:themeColor="text1"/>
                <w:sz w:val="20"/>
                <w:szCs w:val="20"/>
                <w:lang w:val="en"/>
              </w:rPr>
            </w:pPr>
            <w:r w:rsidRPr="00CF243B">
              <w:rPr>
                <w:rFonts w:ascii="Arial" w:hAnsi="Arial" w:cs="Arial"/>
                <w:color w:val="000000" w:themeColor="text1"/>
                <w:sz w:val="20"/>
                <w:szCs w:val="20"/>
                <w:lang w:val="en"/>
              </w:rPr>
              <w:t>Metformin</w:t>
            </w:r>
          </w:p>
        </w:tc>
        <w:tc>
          <w:tcPr>
            <w:tcW w:w="1183" w:type="dxa"/>
          </w:tcPr>
          <w:p w14:paraId="4A5DA22F"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1627" w:type="dxa"/>
          </w:tcPr>
          <w:p w14:paraId="0523BF2D"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916" w:type="dxa"/>
          </w:tcPr>
          <w:p w14:paraId="4769E143"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972" w:type="dxa"/>
          </w:tcPr>
          <w:p w14:paraId="43F39EDB"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675" w:type="dxa"/>
          </w:tcPr>
          <w:p w14:paraId="74221764"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07" w:type="dxa"/>
          </w:tcPr>
          <w:p w14:paraId="5AE83D61"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17" w:type="dxa"/>
          </w:tcPr>
          <w:p w14:paraId="1A879B5E"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2049F87F" w14:textId="77777777" w:rsidTr="00666D4B">
        <w:tc>
          <w:tcPr>
            <w:cnfStyle w:val="001000000000" w:firstRow="0" w:lastRow="0" w:firstColumn="1" w:lastColumn="0" w:oddVBand="0" w:evenVBand="0" w:oddHBand="0" w:evenHBand="0" w:firstRowFirstColumn="0" w:firstRowLastColumn="0" w:lastRowFirstColumn="0" w:lastRowLastColumn="0"/>
            <w:tcW w:w="1584" w:type="dxa"/>
          </w:tcPr>
          <w:p w14:paraId="03B4AE47" w14:textId="77777777" w:rsidR="00CF243B" w:rsidRPr="00CF243B" w:rsidRDefault="00CF243B" w:rsidP="00666D4B">
            <w:pPr>
              <w:pStyle w:val="HTMLconformatoprevio"/>
              <w:rPr>
                <w:rFonts w:ascii="Arial" w:hAnsi="Arial" w:cs="Arial"/>
                <w:color w:val="000000" w:themeColor="text1"/>
                <w:sz w:val="20"/>
                <w:szCs w:val="20"/>
                <w:lang w:val="en"/>
              </w:rPr>
            </w:pPr>
            <w:r w:rsidRPr="00CF243B">
              <w:rPr>
                <w:rFonts w:ascii="Arial" w:hAnsi="Arial" w:cs="Arial"/>
                <w:color w:val="000000" w:themeColor="text1"/>
                <w:sz w:val="20"/>
                <w:szCs w:val="20"/>
                <w:lang w:val="en"/>
              </w:rPr>
              <w:t>Glibenclamide</w:t>
            </w:r>
          </w:p>
        </w:tc>
        <w:tc>
          <w:tcPr>
            <w:tcW w:w="1183" w:type="dxa"/>
          </w:tcPr>
          <w:p w14:paraId="458E815B"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0705564E"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916" w:type="dxa"/>
          </w:tcPr>
          <w:p w14:paraId="72CCA46E"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972" w:type="dxa"/>
          </w:tcPr>
          <w:p w14:paraId="2FCD15B6"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675" w:type="dxa"/>
          </w:tcPr>
          <w:p w14:paraId="69C6A36F"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07" w:type="dxa"/>
          </w:tcPr>
          <w:p w14:paraId="0478BBA2"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17" w:type="dxa"/>
          </w:tcPr>
          <w:p w14:paraId="26C2F551"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5C075B45"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50CEF255" w14:textId="77777777" w:rsidR="00CF243B" w:rsidRPr="00CF243B" w:rsidRDefault="00CF243B" w:rsidP="00666D4B">
            <w:pPr>
              <w:pStyle w:val="HTMLconformatoprevio"/>
              <w:rPr>
                <w:rFonts w:ascii="Arial" w:hAnsi="Arial" w:cs="Arial"/>
                <w:color w:val="000000" w:themeColor="text1"/>
                <w:sz w:val="20"/>
                <w:szCs w:val="20"/>
                <w:lang w:val="en"/>
              </w:rPr>
            </w:pPr>
            <w:r w:rsidRPr="00CF243B">
              <w:rPr>
                <w:rFonts w:ascii="Arial" w:hAnsi="Arial" w:cs="Arial"/>
                <w:color w:val="000000" w:themeColor="text1"/>
                <w:sz w:val="20"/>
                <w:szCs w:val="20"/>
                <w:lang w:val="en"/>
              </w:rPr>
              <w:t>Manitol</w:t>
            </w:r>
          </w:p>
        </w:tc>
        <w:tc>
          <w:tcPr>
            <w:tcW w:w="1183" w:type="dxa"/>
          </w:tcPr>
          <w:p w14:paraId="2E338AAF"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0A5C3352"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916" w:type="dxa"/>
          </w:tcPr>
          <w:p w14:paraId="0E2978CE"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972" w:type="dxa"/>
          </w:tcPr>
          <w:p w14:paraId="680C2A29"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675" w:type="dxa"/>
          </w:tcPr>
          <w:p w14:paraId="35BA50FE"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07" w:type="dxa"/>
          </w:tcPr>
          <w:p w14:paraId="47C201E8"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17" w:type="dxa"/>
          </w:tcPr>
          <w:p w14:paraId="78CFEEC1"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3C03599D" w14:textId="77777777" w:rsidTr="00666D4B">
        <w:tc>
          <w:tcPr>
            <w:cnfStyle w:val="001000000000" w:firstRow="0" w:lastRow="0" w:firstColumn="1" w:lastColumn="0" w:oddVBand="0" w:evenVBand="0" w:oddHBand="0" w:evenHBand="0" w:firstRowFirstColumn="0" w:firstRowLastColumn="0" w:lastRowFirstColumn="0" w:lastRowLastColumn="0"/>
            <w:tcW w:w="1584" w:type="dxa"/>
          </w:tcPr>
          <w:p w14:paraId="21455B55" w14:textId="77777777" w:rsidR="00CF243B" w:rsidRPr="00CF243B" w:rsidRDefault="00CF243B" w:rsidP="00666D4B">
            <w:pPr>
              <w:pStyle w:val="HTMLconformatoprevio"/>
              <w:rPr>
                <w:rFonts w:ascii="Arial" w:hAnsi="Arial" w:cs="Arial"/>
                <w:color w:val="000000" w:themeColor="text1"/>
                <w:sz w:val="20"/>
                <w:szCs w:val="20"/>
                <w:lang w:val="en"/>
              </w:rPr>
            </w:pPr>
            <w:r w:rsidRPr="00CF243B">
              <w:rPr>
                <w:rFonts w:ascii="Arial" w:hAnsi="Arial" w:cs="Arial"/>
                <w:color w:val="000000" w:themeColor="text1"/>
                <w:sz w:val="20"/>
                <w:szCs w:val="20"/>
                <w:lang w:val="en"/>
              </w:rPr>
              <w:t>Sorbitol</w:t>
            </w:r>
          </w:p>
        </w:tc>
        <w:tc>
          <w:tcPr>
            <w:tcW w:w="1183" w:type="dxa"/>
          </w:tcPr>
          <w:p w14:paraId="7CCD899E"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74256603"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916" w:type="dxa"/>
          </w:tcPr>
          <w:p w14:paraId="59C7656B"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972" w:type="dxa"/>
          </w:tcPr>
          <w:p w14:paraId="518A9C1A"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675" w:type="dxa"/>
          </w:tcPr>
          <w:p w14:paraId="4D93704E"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07" w:type="dxa"/>
          </w:tcPr>
          <w:p w14:paraId="2C483887"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17" w:type="dxa"/>
          </w:tcPr>
          <w:p w14:paraId="69AD64DD"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24D945E0"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6791A204" w14:textId="77777777" w:rsidR="00CF243B" w:rsidRPr="00CF243B" w:rsidRDefault="00CF243B" w:rsidP="00666D4B">
            <w:pPr>
              <w:pStyle w:val="HTMLconformatoprevio"/>
              <w:rPr>
                <w:rFonts w:ascii="Arial" w:hAnsi="Arial" w:cs="Arial"/>
                <w:color w:val="000000" w:themeColor="text1"/>
                <w:sz w:val="20"/>
                <w:szCs w:val="20"/>
                <w:lang w:val="en"/>
              </w:rPr>
            </w:pPr>
            <w:r w:rsidRPr="00CF243B">
              <w:rPr>
                <w:rFonts w:ascii="Arial" w:hAnsi="Arial" w:cs="Arial"/>
                <w:color w:val="000000" w:themeColor="text1"/>
                <w:sz w:val="20"/>
                <w:szCs w:val="20"/>
                <w:lang w:val="en"/>
              </w:rPr>
              <w:t>Microcrystalline Cellulose</w:t>
            </w:r>
          </w:p>
        </w:tc>
        <w:tc>
          <w:tcPr>
            <w:tcW w:w="1183" w:type="dxa"/>
          </w:tcPr>
          <w:p w14:paraId="59016651"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25BF1CBA"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916" w:type="dxa"/>
          </w:tcPr>
          <w:p w14:paraId="2FBDC33E"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972" w:type="dxa"/>
          </w:tcPr>
          <w:p w14:paraId="1DF7F9CB"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675" w:type="dxa"/>
          </w:tcPr>
          <w:p w14:paraId="4D36932C"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1407" w:type="dxa"/>
          </w:tcPr>
          <w:p w14:paraId="41B8E231"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c>
          <w:tcPr>
            <w:tcW w:w="1417" w:type="dxa"/>
          </w:tcPr>
          <w:p w14:paraId="6CCA3828"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075C631B" w14:textId="77777777" w:rsidTr="00666D4B">
        <w:tc>
          <w:tcPr>
            <w:cnfStyle w:val="001000000000" w:firstRow="0" w:lastRow="0" w:firstColumn="1" w:lastColumn="0" w:oddVBand="0" w:evenVBand="0" w:oddHBand="0" w:evenHBand="0" w:firstRowFirstColumn="0" w:firstRowLastColumn="0" w:lastRowFirstColumn="0" w:lastRowLastColumn="0"/>
            <w:tcW w:w="1584" w:type="dxa"/>
          </w:tcPr>
          <w:p w14:paraId="3E5A7938" w14:textId="77777777" w:rsidR="00CF243B" w:rsidRPr="00CF243B" w:rsidRDefault="00CF243B" w:rsidP="00666D4B">
            <w:pPr>
              <w:pStyle w:val="HTMLconformatoprevio"/>
              <w:rPr>
                <w:rFonts w:ascii="Arial" w:hAnsi="Arial" w:cs="Arial"/>
                <w:color w:val="000000" w:themeColor="text1"/>
                <w:sz w:val="20"/>
                <w:szCs w:val="20"/>
                <w:lang w:val="en"/>
              </w:rPr>
            </w:pPr>
            <w:r w:rsidRPr="00CF243B">
              <w:rPr>
                <w:rFonts w:ascii="Arial" w:hAnsi="Arial" w:cs="Arial"/>
                <w:color w:val="000000" w:themeColor="text1"/>
                <w:sz w:val="20"/>
                <w:szCs w:val="20"/>
                <w:lang w:val="en"/>
              </w:rPr>
              <w:t>Aerosil200</w:t>
            </w:r>
          </w:p>
        </w:tc>
        <w:tc>
          <w:tcPr>
            <w:tcW w:w="1183" w:type="dxa"/>
          </w:tcPr>
          <w:p w14:paraId="2FE920D4"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1D9D236F"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916" w:type="dxa"/>
          </w:tcPr>
          <w:p w14:paraId="30651891"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972" w:type="dxa"/>
          </w:tcPr>
          <w:p w14:paraId="316C31D7"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675" w:type="dxa"/>
          </w:tcPr>
          <w:p w14:paraId="1EC0E3AB"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p>
        </w:tc>
        <w:tc>
          <w:tcPr>
            <w:tcW w:w="1407" w:type="dxa"/>
          </w:tcPr>
          <w:p w14:paraId="68EAD370"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c>
          <w:tcPr>
            <w:tcW w:w="1417" w:type="dxa"/>
          </w:tcPr>
          <w:p w14:paraId="13BE51FF" w14:textId="77777777" w:rsidR="00CF243B" w:rsidRPr="00CF243B" w:rsidRDefault="00CF243B" w:rsidP="00666D4B">
            <w:pPr>
              <w:pStyle w:val="HTMLconformatoprevi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1:1</w:t>
            </w:r>
          </w:p>
        </w:tc>
      </w:tr>
      <w:tr w:rsidR="00CF243B" w:rsidRPr="00CF243B" w14:paraId="0761A20F"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7E52B083" w14:textId="77777777" w:rsidR="00CF243B" w:rsidRPr="00CF243B" w:rsidRDefault="00CF243B" w:rsidP="00CF243B">
            <w:pPr>
              <w:pStyle w:val="HTMLconformatoprevio"/>
              <w:rPr>
                <w:rFonts w:ascii="Arial" w:hAnsi="Arial" w:cs="Arial"/>
                <w:color w:val="000000" w:themeColor="text1"/>
                <w:sz w:val="20"/>
                <w:szCs w:val="20"/>
                <w:lang w:val="en"/>
              </w:rPr>
            </w:pPr>
            <w:r w:rsidRPr="00CF243B">
              <w:rPr>
                <w:rFonts w:ascii="Arial" w:hAnsi="Arial" w:cs="Arial"/>
                <w:color w:val="000000" w:themeColor="text1"/>
                <w:sz w:val="20"/>
                <w:szCs w:val="20"/>
                <w:lang w:val="en"/>
              </w:rPr>
              <w:t>Magnesium stearate</w:t>
            </w:r>
          </w:p>
        </w:tc>
        <w:tc>
          <w:tcPr>
            <w:tcW w:w="1183" w:type="dxa"/>
          </w:tcPr>
          <w:p w14:paraId="454A8A26"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1627" w:type="dxa"/>
          </w:tcPr>
          <w:p w14:paraId="57A2B7AF"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916" w:type="dxa"/>
          </w:tcPr>
          <w:p w14:paraId="186D9349"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972" w:type="dxa"/>
          </w:tcPr>
          <w:p w14:paraId="3EB821C6"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675" w:type="dxa"/>
          </w:tcPr>
          <w:p w14:paraId="38F482FF"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1407" w:type="dxa"/>
          </w:tcPr>
          <w:p w14:paraId="175230DA"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p>
        </w:tc>
        <w:tc>
          <w:tcPr>
            <w:tcW w:w="1417" w:type="dxa"/>
          </w:tcPr>
          <w:p w14:paraId="4728E839" w14:textId="77777777" w:rsidR="00CF243B" w:rsidRPr="00CF243B" w:rsidRDefault="00CF243B" w:rsidP="00666D4B">
            <w:pPr>
              <w:pStyle w:val="HTMLconformatoprevi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
              </w:rPr>
            </w:pPr>
            <w:r w:rsidRPr="00CF243B">
              <w:rPr>
                <w:rFonts w:ascii="Arial" w:hAnsi="Arial" w:cs="Arial"/>
                <w:b/>
                <w:color w:val="000000" w:themeColor="text1"/>
                <w:sz w:val="20"/>
                <w:szCs w:val="20"/>
                <w:lang w:val="en"/>
              </w:rPr>
              <w:t>1</w:t>
            </w:r>
          </w:p>
        </w:tc>
      </w:tr>
    </w:tbl>
    <w:p w14:paraId="4792DAA3" w14:textId="5573C0EB" w:rsidR="00CF243B" w:rsidRDefault="0067096A" w:rsidP="00DB4C68">
      <w:pPr>
        <w:pStyle w:val="Body"/>
        <w:rPr>
          <w:rFonts w:ascii="Arial" w:hAnsi="Arial" w:cs="Arial"/>
          <w:b/>
          <w:bCs/>
        </w:rPr>
      </w:pPr>
      <w:r>
        <w:rPr>
          <w:rFonts w:ascii="Arial" w:hAnsi="Arial" w:cs="Arial"/>
          <w:b/>
          <w:bCs/>
        </w:rPr>
        <w:t xml:space="preserve">*MCC: </w:t>
      </w:r>
      <w:r w:rsidRPr="00CF243B">
        <w:rPr>
          <w:rFonts w:ascii="Arial" w:hAnsi="Arial" w:cs="Arial"/>
          <w:color w:val="000000" w:themeColor="text1"/>
          <w:lang w:val="en"/>
        </w:rPr>
        <w:t>Microcrystalline Cellulose</w:t>
      </w:r>
    </w:p>
    <w:p w14:paraId="67DA7A1A" w14:textId="77777777" w:rsidR="00DB4C68" w:rsidRDefault="00DB4C68" w:rsidP="00DB4C68">
      <w:pPr>
        <w:pStyle w:val="Body"/>
        <w:rPr>
          <w:rFonts w:ascii="Arial" w:hAnsi="Arial" w:cs="Arial"/>
        </w:rPr>
      </w:pPr>
      <w:r w:rsidRPr="00DB4C68">
        <w:rPr>
          <w:rFonts w:ascii="Arial" w:hAnsi="Arial" w:cs="Arial"/>
          <w:b/>
          <w:bCs/>
        </w:rPr>
        <w:t>2.3 Mixing</w:t>
      </w:r>
      <w:r w:rsidRPr="00DB4C68">
        <w:rPr>
          <w:rFonts w:ascii="Arial" w:hAnsi="Arial" w:cs="Arial"/>
        </w:rPr>
        <w:t xml:space="preserve"> </w:t>
      </w:r>
    </w:p>
    <w:p w14:paraId="438B1DF3" w14:textId="77777777" w:rsidR="00DB4C68" w:rsidRDefault="00DB4C68" w:rsidP="00DB4C68">
      <w:pPr>
        <w:pStyle w:val="Body"/>
        <w:rPr>
          <w:rFonts w:ascii="Arial" w:hAnsi="Arial" w:cs="Arial"/>
        </w:rPr>
      </w:pPr>
      <w:r w:rsidRPr="00DB4C68">
        <w:rPr>
          <w:rFonts w:ascii="Arial" w:hAnsi="Arial" w:cs="Arial"/>
        </w:rPr>
        <w:t>The excipients and active ingredients were introduced into a V-shaped acrylic mixer with</w:t>
      </w:r>
      <w:r>
        <w:rPr>
          <w:rFonts w:ascii="Arial" w:hAnsi="Arial" w:cs="Arial"/>
        </w:rPr>
        <w:t xml:space="preserve"> </w:t>
      </w:r>
      <w:r w:rsidRPr="00DB4C68">
        <w:rPr>
          <w:rFonts w:ascii="Arial" w:hAnsi="Arial" w:cs="Arial"/>
        </w:rPr>
        <w:t>a 100 mL capacity, operating at 50% of its total volume. The ingredients were mixed in</w:t>
      </w:r>
      <w:r>
        <w:rPr>
          <w:rFonts w:ascii="Arial" w:hAnsi="Arial" w:cs="Arial"/>
        </w:rPr>
        <w:t xml:space="preserve"> </w:t>
      </w:r>
      <w:r w:rsidRPr="00DB4C68">
        <w:rPr>
          <w:rFonts w:ascii="Arial" w:hAnsi="Arial" w:cs="Arial"/>
        </w:rPr>
        <w:t>two stages: the first stage included 23.7% of the formulation, incorporating the active</w:t>
      </w:r>
      <w:r>
        <w:rPr>
          <w:rFonts w:ascii="Arial" w:hAnsi="Arial" w:cs="Arial"/>
        </w:rPr>
        <w:t xml:space="preserve"> </w:t>
      </w:r>
      <w:r w:rsidRPr="00DB4C68">
        <w:rPr>
          <w:rFonts w:ascii="Arial" w:hAnsi="Arial" w:cs="Arial"/>
        </w:rPr>
        <w:t>ingredient present in the smaller amount (Glibenclamide, 5 mg), and was mixed for 15</w:t>
      </w:r>
      <w:r>
        <w:rPr>
          <w:rFonts w:ascii="Arial" w:hAnsi="Arial" w:cs="Arial"/>
        </w:rPr>
        <w:t xml:space="preserve"> </w:t>
      </w:r>
      <w:r w:rsidRPr="00DB4C68">
        <w:rPr>
          <w:rFonts w:ascii="Arial" w:hAnsi="Arial" w:cs="Arial"/>
        </w:rPr>
        <w:t>minutes. The second stage included the second active ingredient (Metformin, 500 mg)</w:t>
      </w:r>
      <w:r>
        <w:rPr>
          <w:rFonts w:ascii="Arial" w:hAnsi="Arial" w:cs="Arial"/>
        </w:rPr>
        <w:t xml:space="preserve"> </w:t>
      </w:r>
      <w:r w:rsidRPr="00DB4C68">
        <w:rPr>
          <w:rFonts w:ascii="Arial" w:hAnsi="Arial" w:cs="Arial"/>
        </w:rPr>
        <w:t>and was mixed for 20 minutes.</w:t>
      </w:r>
    </w:p>
    <w:p w14:paraId="4B08B956" w14:textId="77777777" w:rsidR="00DB4C68" w:rsidRPr="00DB4C68" w:rsidRDefault="00DB4C68" w:rsidP="00DB4C68">
      <w:pPr>
        <w:pStyle w:val="Body"/>
        <w:rPr>
          <w:rFonts w:ascii="Arial" w:hAnsi="Arial" w:cs="Arial"/>
          <w:b/>
          <w:bCs/>
        </w:rPr>
      </w:pPr>
      <w:r w:rsidRPr="00DB4C68">
        <w:rPr>
          <w:rFonts w:ascii="Arial" w:hAnsi="Arial" w:cs="Arial"/>
          <w:b/>
          <w:bCs/>
        </w:rPr>
        <w:t>2.4 Capsule filling and sealing</w:t>
      </w:r>
    </w:p>
    <w:p w14:paraId="28BAEBB7" w14:textId="77777777" w:rsidR="00CF243B" w:rsidRDefault="00DB4C68" w:rsidP="00DB4C68">
      <w:pPr>
        <w:pStyle w:val="Body"/>
        <w:rPr>
          <w:rFonts w:ascii="Arial" w:hAnsi="Arial" w:cs="Arial"/>
        </w:rPr>
      </w:pPr>
      <w:r w:rsidRPr="00DB4C68">
        <w:rPr>
          <w:rFonts w:ascii="Arial" w:hAnsi="Arial" w:cs="Arial"/>
        </w:rPr>
        <w:t>Initially, two types of capsules (hard gelatin and Hypromellose) were evaluated for</w:t>
      </w:r>
      <w:r>
        <w:rPr>
          <w:rFonts w:ascii="Arial" w:hAnsi="Arial" w:cs="Arial"/>
        </w:rPr>
        <w:t xml:space="preserve"> </w:t>
      </w:r>
      <w:r w:rsidRPr="00DB4C68">
        <w:rPr>
          <w:rFonts w:ascii="Arial" w:hAnsi="Arial" w:cs="Arial"/>
        </w:rPr>
        <w:t>subsequent coating. However, the first dissolution tests revealed a fracture at the junction</w:t>
      </w:r>
      <w:r>
        <w:rPr>
          <w:rFonts w:ascii="Arial" w:hAnsi="Arial" w:cs="Arial"/>
        </w:rPr>
        <w:t xml:space="preserve"> </w:t>
      </w:r>
      <w:r w:rsidRPr="00DB4C68">
        <w:rPr>
          <w:rFonts w:ascii="Arial" w:hAnsi="Arial" w:cs="Arial"/>
        </w:rPr>
        <w:t xml:space="preserve">between the </w:t>
      </w:r>
      <w:r w:rsidRPr="00DB4C68">
        <w:rPr>
          <w:rFonts w:ascii="Arial" w:hAnsi="Arial" w:cs="Arial"/>
        </w:rPr>
        <w:lastRenderedPageBreak/>
        <w:t>body and the cap. Therefore, a sealing process was performed, and the</w:t>
      </w:r>
      <w:r>
        <w:rPr>
          <w:rFonts w:ascii="Arial" w:hAnsi="Arial" w:cs="Arial"/>
        </w:rPr>
        <w:t xml:space="preserve"> </w:t>
      </w:r>
      <w:r w:rsidRPr="00DB4C68">
        <w:rPr>
          <w:rFonts w:ascii="Arial" w:hAnsi="Arial" w:cs="Arial"/>
        </w:rPr>
        <w:t>model that demonstrated the best results was selected for use throughout the rest of the</w:t>
      </w:r>
      <w:r>
        <w:rPr>
          <w:rFonts w:ascii="Arial" w:hAnsi="Arial" w:cs="Arial"/>
        </w:rPr>
        <w:t xml:space="preserve"> </w:t>
      </w:r>
      <w:r w:rsidRPr="00DB4C68">
        <w:rPr>
          <w:rFonts w:ascii="Arial" w:hAnsi="Arial" w:cs="Arial"/>
        </w:rPr>
        <w:t xml:space="preserve">study. </w:t>
      </w:r>
    </w:p>
    <w:p w14:paraId="25F18C4C" w14:textId="77777777" w:rsidR="00DB4C68" w:rsidRDefault="00DB4C68" w:rsidP="00DB4C68">
      <w:pPr>
        <w:pStyle w:val="Body"/>
        <w:rPr>
          <w:rFonts w:ascii="Arial" w:hAnsi="Arial" w:cs="Arial"/>
        </w:rPr>
      </w:pPr>
      <w:r>
        <w:rPr>
          <w:rFonts w:ascii="Arial" w:hAnsi="Arial" w:cs="Arial"/>
          <w:b/>
          <w:bCs/>
        </w:rPr>
        <w:t xml:space="preserve">2.5 </w:t>
      </w:r>
      <w:r w:rsidRPr="00DB4C68">
        <w:rPr>
          <w:rFonts w:ascii="Arial" w:hAnsi="Arial" w:cs="Arial"/>
          <w:b/>
          <w:bCs/>
        </w:rPr>
        <w:t>Experimental design</w:t>
      </w:r>
      <w:r w:rsidRPr="00DB4C68">
        <w:rPr>
          <w:rFonts w:ascii="Arial" w:hAnsi="Arial" w:cs="Arial"/>
        </w:rPr>
        <w:t xml:space="preserve"> </w:t>
      </w:r>
    </w:p>
    <w:p w14:paraId="3E9FF7A8" w14:textId="77777777" w:rsidR="00DB4C68" w:rsidRDefault="00DB4C68" w:rsidP="00DB4C68">
      <w:pPr>
        <w:pStyle w:val="Body"/>
        <w:rPr>
          <w:rFonts w:ascii="Arial" w:hAnsi="Arial" w:cs="Arial"/>
        </w:rPr>
      </w:pPr>
      <w:r w:rsidRPr="00DB4C68">
        <w:rPr>
          <w:rFonts w:ascii="Arial" w:hAnsi="Arial" w:cs="Arial"/>
        </w:rPr>
        <w:t>Experimental design 32 (three levels and two factors), the quantity (low level "25 mg",</w:t>
      </w:r>
      <w:r>
        <w:rPr>
          <w:rFonts w:ascii="Arial" w:hAnsi="Arial" w:cs="Arial"/>
        </w:rPr>
        <w:t xml:space="preserve"> </w:t>
      </w:r>
      <w:r w:rsidRPr="00DB4C68">
        <w:rPr>
          <w:rFonts w:ascii="Arial" w:hAnsi="Arial" w:cs="Arial"/>
        </w:rPr>
        <w:t>medium level "50 mg" and high level "100 mg per capsule") and the type of osmotic agent</w:t>
      </w:r>
      <w:r>
        <w:rPr>
          <w:rFonts w:ascii="Arial" w:hAnsi="Arial" w:cs="Arial"/>
        </w:rPr>
        <w:t xml:space="preserve"> </w:t>
      </w:r>
      <w:r w:rsidRPr="00DB4C68">
        <w:rPr>
          <w:rFonts w:ascii="Arial" w:hAnsi="Arial" w:cs="Arial"/>
        </w:rPr>
        <w:t xml:space="preserve">were evaluated (mannitol, sorbitol and 1:1 mixture), </w:t>
      </w:r>
      <w:r w:rsidR="00CF243B">
        <w:rPr>
          <w:rFonts w:ascii="Arial" w:hAnsi="Arial" w:cs="Arial"/>
        </w:rPr>
        <w:t>(</w:t>
      </w:r>
      <w:r w:rsidRPr="00DB4C68">
        <w:rPr>
          <w:rFonts w:ascii="Arial" w:hAnsi="Arial" w:cs="Arial"/>
        </w:rPr>
        <w:t>table 2</w:t>
      </w:r>
      <w:r w:rsidR="00CF243B">
        <w:rPr>
          <w:rFonts w:ascii="Arial" w:hAnsi="Arial" w:cs="Arial"/>
        </w:rPr>
        <w:t>)</w:t>
      </w:r>
      <w:r w:rsidRPr="00DB4C68">
        <w:rPr>
          <w:rFonts w:ascii="Arial" w:hAnsi="Arial" w:cs="Arial"/>
        </w:rPr>
        <w:t>. Maintaining the percentage</w:t>
      </w:r>
      <w:r>
        <w:rPr>
          <w:rFonts w:ascii="Arial" w:hAnsi="Arial" w:cs="Arial"/>
        </w:rPr>
        <w:t xml:space="preserve"> </w:t>
      </w:r>
      <w:r w:rsidRPr="00DB4C68">
        <w:rPr>
          <w:rFonts w:ascii="Arial" w:hAnsi="Arial" w:cs="Arial"/>
        </w:rPr>
        <w:t>in continuous weight gain, and as response variables, the percentage of metformin and</w:t>
      </w:r>
      <w:r>
        <w:rPr>
          <w:rFonts w:ascii="Arial" w:hAnsi="Arial" w:cs="Arial"/>
        </w:rPr>
        <w:t xml:space="preserve"> </w:t>
      </w:r>
      <w:r w:rsidRPr="00DB4C68">
        <w:rPr>
          <w:rFonts w:ascii="Arial" w:hAnsi="Arial" w:cs="Arial"/>
        </w:rPr>
        <w:t>Glibenclamide released at 12.5 h, the release rate given by the slope and the delay time</w:t>
      </w:r>
      <w:r>
        <w:rPr>
          <w:rFonts w:ascii="Arial" w:hAnsi="Arial" w:cs="Arial"/>
        </w:rPr>
        <w:t xml:space="preserve"> </w:t>
      </w:r>
      <w:r w:rsidRPr="00DB4C68">
        <w:rPr>
          <w:rFonts w:ascii="Arial" w:hAnsi="Arial" w:cs="Arial"/>
        </w:rPr>
        <w:t>(lag phase) of the nine experiments performed were analyzed, in triplicate. The results</w:t>
      </w:r>
      <w:r>
        <w:rPr>
          <w:rFonts w:ascii="Arial" w:hAnsi="Arial" w:cs="Arial"/>
        </w:rPr>
        <w:t xml:space="preserve"> </w:t>
      </w:r>
      <w:r w:rsidRPr="00DB4C68">
        <w:rPr>
          <w:rFonts w:ascii="Arial" w:hAnsi="Arial" w:cs="Arial"/>
        </w:rPr>
        <w:t>were treated with DesingExpert8 ® software to obtain response surface graphs and</w:t>
      </w:r>
      <w:r>
        <w:rPr>
          <w:rFonts w:ascii="Arial" w:hAnsi="Arial" w:cs="Arial"/>
        </w:rPr>
        <w:t xml:space="preserve"> </w:t>
      </w:r>
      <w:r w:rsidRPr="00DB4C68">
        <w:rPr>
          <w:rFonts w:ascii="Arial" w:hAnsi="Arial" w:cs="Arial"/>
        </w:rPr>
        <w:t xml:space="preserve">analysis of variance (ANOVA) of each response with respect to the experimental design. </w:t>
      </w:r>
    </w:p>
    <w:p w14:paraId="19ECBCC7" w14:textId="77777777" w:rsidR="00DB4C68" w:rsidRDefault="00DB4C68" w:rsidP="00DB4C68">
      <w:pPr>
        <w:pStyle w:val="Body"/>
        <w:rPr>
          <w:rFonts w:ascii="Arial" w:hAnsi="Arial" w:cs="Arial"/>
        </w:rPr>
      </w:pPr>
      <w:r w:rsidRPr="00DB4C68">
        <w:rPr>
          <w:rFonts w:ascii="Arial" w:hAnsi="Arial" w:cs="Arial"/>
          <w:b/>
          <w:bCs/>
        </w:rPr>
        <w:t>Table 2: Experimental design 3</w:t>
      </w:r>
      <w:r w:rsidRPr="00CF243B">
        <w:rPr>
          <w:rFonts w:ascii="Arial" w:hAnsi="Arial" w:cs="Arial"/>
          <w:b/>
          <w:bCs/>
          <w:vertAlign w:val="superscript"/>
        </w:rPr>
        <w:t>2</w:t>
      </w:r>
      <w:r w:rsidRPr="00DB4C68">
        <w:rPr>
          <w:rFonts w:ascii="Arial" w:hAnsi="Arial" w:cs="Arial"/>
          <w:b/>
          <w:bCs/>
        </w:rPr>
        <w:t xml:space="preserve"> (3 levels of osmotic agent quantity and 3 types of</w:t>
      </w:r>
      <w:r w:rsidR="00CF243B">
        <w:rPr>
          <w:rFonts w:ascii="Arial" w:hAnsi="Arial" w:cs="Arial"/>
          <w:b/>
          <w:bCs/>
        </w:rPr>
        <w:t xml:space="preserve"> </w:t>
      </w:r>
      <w:r w:rsidRPr="00DB4C68">
        <w:rPr>
          <w:rFonts w:ascii="Arial" w:hAnsi="Arial" w:cs="Arial"/>
          <w:b/>
          <w:bCs/>
        </w:rPr>
        <w:t>osmotic agent).</w:t>
      </w:r>
      <w:r w:rsidRPr="00DB4C68">
        <w:rPr>
          <w:rFonts w:ascii="Arial" w:hAnsi="Arial" w:cs="Arial"/>
        </w:rPr>
        <w:t xml:space="preserve"> </w:t>
      </w:r>
    </w:p>
    <w:tbl>
      <w:tblPr>
        <w:tblStyle w:val="Tablaconcuadrcula5oscura-nfasis1"/>
        <w:tblW w:w="0" w:type="auto"/>
        <w:tblLook w:val="04A0" w:firstRow="1" w:lastRow="0" w:firstColumn="1" w:lastColumn="0" w:noHBand="0" w:noVBand="1"/>
      </w:tblPr>
      <w:tblGrid>
        <w:gridCol w:w="2255"/>
        <w:gridCol w:w="672"/>
        <w:gridCol w:w="672"/>
        <w:gridCol w:w="673"/>
        <w:gridCol w:w="673"/>
        <w:gridCol w:w="673"/>
        <w:gridCol w:w="672"/>
        <w:gridCol w:w="673"/>
        <w:gridCol w:w="659"/>
        <w:gridCol w:w="576"/>
      </w:tblGrid>
      <w:tr w:rsidR="00CF243B" w:rsidRPr="00CF243B" w14:paraId="01319BC1" w14:textId="77777777" w:rsidTr="00666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2A12E27B"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Material</w:t>
            </w:r>
          </w:p>
        </w:tc>
        <w:tc>
          <w:tcPr>
            <w:tcW w:w="709" w:type="dxa"/>
            <w:shd w:val="clear" w:color="auto" w:fill="B8CCE4" w:themeFill="accent1" w:themeFillTint="66"/>
          </w:tcPr>
          <w:p w14:paraId="31874766"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Fa</w:t>
            </w:r>
          </w:p>
        </w:tc>
        <w:tc>
          <w:tcPr>
            <w:tcW w:w="708" w:type="dxa"/>
            <w:shd w:val="clear" w:color="auto" w:fill="B8CCE4" w:themeFill="accent1" w:themeFillTint="66"/>
          </w:tcPr>
          <w:p w14:paraId="2DCAEF2B"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Fb</w:t>
            </w:r>
          </w:p>
        </w:tc>
        <w:tc>
          <w:tcPr>
            <w:tcW w:w="709" w:type="dxa"/>
            <w:shd w:val="clear" w:color="auto" w:fill="B8CCE4" w:themeFill="accent1" w:themeFillTint="66"/>
          </w:tcPr>
          <w:p w14:paraId="5D4619AA"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Fc</w:t>
            </w:r>
          </w:p>
        </w:tc>
        <w:tc>
          <w:tcPr>
            <w:tcW w:w="709" w:type="dxa"/>
            <w:shd w:val="clear" w:color="auto" w:fill="B8CCE4" w:themeFill="accent1" w:themeFillTint="66"/>
          </w:tcPr>
          <w:p w14:paraId="65536ED0"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Fd</w:t>
            </w:r>
          </w:p>
        </w:tc>
        <w:tc>
          <w:tcPr>
            <w:tcW w:w="709" w:type="dxa"/>
            <w:shd w:val="clear" w:color="auto" w:fill="B8CCE4" w:themeFill="accent1" w:themeFillTint="66"/>
          </w:tcPr>
          <w:p w14:paraId="4CCF1C85"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Fe</w:t>
            </w:r>
          </w:p>
        </w:tc>
        <w:tc>
          <w:tcPr>
            <w:tcW w:w="708" w:type="dxa"/>
            <w:shd w:val="clear" w:color="auto" w:fill="B8CCE4" w:themeFill="accent1" w:themeFillTint="66"/>
          </w:tcPr>
          <w:p w14:paraId="4085F6EE"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Ff</w:t>
            </w:r>
          </w:p>
        </w:tc>
        <w:tc>
          <w:tcPr>
            <w:tcW w:w="709" w:type="dxa"/>
            <w:shd w:val="clear" w:color="auto" w:fill="B8CCE4" w:themeFill="accent1" w:themeFillTint="66"/>
          </w:tcPr>
          <w:p w14:paraId="6E5ECF6A"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Fg</w:t>
            </w:r>
          </w:p>
        </w:tc>
        <w:tc>
          <w:tcPr>
            <w:tcW w:w="691" w:type="dxa"/>
            <w:shd w:val="clear" w:color="auto" w:fill="B8CCE4" w:themeFill="accent1" w:themeFillTint="66"/>
          </w:tcPr>
          <w:p w14:paraId="4648163C"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Fh</w:t>
            </w:r>
          </w:p>
        </w:tc>
        <w:tc>
          <w:tcPr>
            <w:tcW w:w="584" w:type="dxa"/>
            <w:shd w:val="clear" w:color="auto" w:fill="B8CCE4" w:themeFill="accent1" w:themeFillTint="66"/>
          </w:tcPr>
          <w:p w14:paraId="5689D808" w14:textId="77777777" w:rsidR="00CF243B" w:rsidRPr="00CF243B" w:rsidRDefault="00CF243B" w:rsidP="00666D4B">
            <w:pP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Fi</w:t>
            </w:r>
          </w:p>
        </w:tc>
      </w:tr>
      <w:tr w:rsidR="0067096A" w:rsidRPr="00CF243B" w14:paraId="1439DB6E"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6730DD5A"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Metformin</w:t>
            </w:r>
          </w:p>
        </w:tc>
        <w:tc>
          <w:tcPr>
            <w:tcW w:w="709" w:type="dxa"/>
          </w:tcPr>
          <w:p w14:paraId="58A8C646"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500</w:t>
            </w:r>
          </w:p>
        </w:tc>
        <w:tc>
          <w:tcPr>
            <w:tcW w:w="708" w:type="dxa"/>
          </w:tcPr>
          <w:p w14:paraId="5DCB450B"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709" w:type="dxa"/>
          </w:tcPr>
          <w:p w14:paraId="5A249A20"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709" w:type="dxa"/>
          </w:tcPr>
          <w:p w14:paraId="4939A361"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709" w:type="dxa"/>
          </w:tcPr>
          <w:p w14:paraId="433D8D5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708" w:type="dxa"/>
          </w:tcPr>
          <w:p w14:paraId="2B6418ED"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709" w:type="dxa"/>
          </w:tcPr>
          <w:p w14:paraId="3A1CF92A"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691" w:type="dxa"/>
          </w:tcPr>
          <w:p w14:paraId="048F9B86"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c>
          <w:tcPr>
            <w:tcW w:w="584" w:type="dxa"/>
          </w:tcPr>
          <w:p w14:paraId="144E204D"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F243B">
              <w:rPr>
                <w:color w:val="000000" w:themeColor="text1"/>
                <w:sz w:val="20"/>
                <w:szCs w:val="20"/>
                <w:lang w:val="en-US"/>
              </w:rPr>
              <w:t>500</w:t>
            </w:r>
          </w:p>
        </w:tc>
      </w:tr>
      <w:tr w:rsidR="00CF243B" w:rsidRPr="00CF243B" w14:paraId="5F25D717" w14:textId="77777777" w:rsidTr="00666D4B">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0AA3B9F2"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Glibenclamide</w:t>
            </w:r>
          </w:p>
        </w:tc>
        <w:tc>
          <w:tcPr>
            <w:tcW w:w="709" w:type="dxa"/>
            <w:shd w:val="clear" w:color="auto" w:fill="FFFFFF" w:themeFill="background1"/>
          </w:tcPr>
          <w:p w14:paraId="4621281E"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8" w:type="dxa"/>
            <w:shd w:val="clear" w:color="auto" w:fill="FFFFFF" w:themeFill="background1"/>
          </w:tcPr>
          <w:p w14:paraId="010CF160"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9" w:type="dxa"/>
            <w:shd w:val="clear" w:color="auto" w:fill="FFFFFF" w:themeFill="background1"/>
          </w:tcPr>
          <w:p w14:paraId="6894A79F"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9" w:type="dxa"/>
            <w:shd w:val="clear" w:color="auto" w:fill="FFFFFF" w:themeFill="background1"/>
          </w:tcPr>
          <w:p w14:paraId="29EF5E00"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9" w:type="dxa"/>
            <w:shd w:val="clear" w:color="auto" w:fill="FFFFFF" w:themeFill="background1"/>
          </w:tcPr>
          <w:p w14:paraId="5EF5DFC5"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8" w:type="dxa"/>
            <w:shd w:val="clear" w:color="auto" w:fill="FFFFFF" w:themeFill="background1"/>
          </w:tcPr>
          <w:p w14:paraId="19966422"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709" w:type="dxa"/>
            <w:shd w:val="clear" w:color="auto" w:fill="FFFFFF" w:themeFill="background1"/>
          </w:tcPr>
          <w:p w14:paraId="398C1E7B"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691" w:type="dxa"/>
            <w:shd w:val="clear" w:color="auto" w:fill="FFFFFF" w:themeFill="background1"/>
          </w:tcPr>
          <w:p w14:paraId="4F7A1C04"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c>
          <w:tcPr>
            <w:tcW w:w="584" w:type="dxa"/>
            <w:shd w:val="clear" w:color="auto" w:fill="FFFFFF" w:themeFill="background1"/>
          </w:tcPr>
          <w:p w14:paraId="1A919C4C"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w:t>
            </w:r>
          </w:p>
        </w:tc>
      </w:tr>
      <w:tr w:rsidR="0067096A" w:rsidRPr="00CF243B" w14:paraId="6BC5578C"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49B97222" w14:textId="3A6789F4" w:rsidR="00CF243B" w:rsidRPr="00CF243B" w:rsidRDefault="00CF243B" w:rsidP="00666D4B">
            <w:pPr>
              <w:rPr>
                <w:color w:val="000000" w:themeColor="text1"/>
                <w:sz w:val="20"/>
                <w:szCs w:val="20"/>
                <w:lang w:val="en-US"/>
              </w:rPr>
            </w:pPr>
            <w:r w:rsidRPr="00CF243B">
              <w:rPr>
                <w:color w:val="000000" w:themeColor="text1"/>
                <w:sz w:val="20"/>
                <w:szCs w:val="20"/>
                <w:lang w:val="en-US"/>
              </w:rPr>
              <w:t>M</w:t>
            </w:r>
            <w:r w:rsidR="0067096A">
              <w:rPr>
                <w:color w:val="000000" w:themeColor="text1"/>
                <w:sz w:val="20"/>
                <w:szCs w:val="20"/>
                <w:lang w:val="en-US"/>
              </w:rPr>
              <w:t xml:space="preserve">icrocrystalline Cellulose </w:t>
            </w:r>
            <w:r w:rsidRPr="00CF243B">
              <w:rPr>
                <w:color w:val="000000" w:themeColor="text1"/>
                <w:sz w:val="20"/>
                <w:szCs w:val="20"/>
                <w:lang w:val="en-US"/>
              </w:rPr>
              <w:t>101</w:t>
            </w:r>
          </w:p>
        </w:tc>
        <w:tc>
          <w:tcPr>
            <w:tcW w:w="709" w:type="dxa"/>
          </w:tcPr>
          <w:p w14:paraId="6A5C67F4"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8" w:type="dxa"/>
          </w:tcPr>
          <w:p w14:paraId="760CE12A"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9" w:type="dxa"/>
          </w:tcPr>
          <w:p w14:paraId="67270D2E"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9" w:type="dxa"/>
          </w:tcPr>
          <w:p w14:paraId="6031808A"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9" w:type="dxa"/>
          </w:tcPr>
          <w:p w14:paraId="661D1E60"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8" w:type="dxa"/>
          </w:tcPr>
          <w:p w14:paraId="0623267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709" w:type="dxa"/>
          </w:tcPr>
          <w:p w14:paraId="0D8751B0"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691" w:type="dxa"/>
          </w:tcPr>
          <w:p w14:paraId="1B559818"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c>
          <w:tcPr>
            <w:tcW w:w="584" w:type="dxa"/>
          </w:tcPr>
          <w:p w14:paraId="3DB88B50"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80</w:t>
            </w:r>
          </w:p>
        </w:tc>
      </w:tr>
      <w:tr w:rsidR="00CF243B" w:rsidRPr="00CF243B" w14:paraId="10F0D99C" w14:textId="77777777" w:rsidTr="00666D4B">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0CBC8DC0"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Manitol/Sorbitol 1:1</w:t>
            </w:r>
          </w:p>
        </w:tc>
        <w:tc>
          <w:tcPr>
            <w:tcW w:w="709" w:type="dxa"/>
            <w:shd w:val="clear" w:color="auto" w:fill="FFFFFF" w:themeFill="background1"/>
          </w:tcPr>
          <w:p w14:paraId="3896A3D7"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25</w:t>
            </w:r>
          </w:p>
        </w:tc>
        <w:tc>
          <w:tcPr>
            <w:tcW w:w="708" w:type="dxa"/>
            <w:shd w:val="clear" w:color="auto" w:fill="FFFFFF" w:themeFill="background1"/>
          </w:tcPr>
          <w:p w14:paraId="06184594"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50</w:t>
            </w:r>
          </w:p>
        </w:tc>
        <w:tc>
          <w:tcPr>
            <w:tcW w:w="709" w:type="dxa"/>
            <w:shd w:val="clear" w:color="auto" w:fill="FFFFFF" w:themeFill="background1"/>
          </w:tcPr>
          <w:p w14:paraId="6C31E367"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100</w:t>
            </w:r>
          </w:p>
        </w:tc>
        <w:tc>
          <w:tcPr>
            <w:tcW w:w="709" w:type="dxa"/>
            <w:shd w:val="clear" w:color="auto" w:fill="FFFFFF" w:themeFill="background1"/>
          </w:tcPr>
          <w:p w14:paraId="50EDDFCD"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50AF9F34"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8" w:type="dxa"/>
            <w:shd w:val="clear" w:color="auto" w:fill="FFFFFF" w:themeFill="background1"/>
          </w:tcPr>
          <w:p w14:paraId="7C7B5EA9"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23EB7242"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691" w:type="dxa"/>
            <w:shd w:val="clear" w:color="auto" w:fill="FFFFFF" w:themeFill="background1"/>
          </w:tcPr>
          <w:p w14:paraId="1A8B0101"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584" w:type="dxa"/>
            <w:shd w:val="clear" w:color="auto" w:fill="FFFFFF" w:themeFill="background1"/>
          </w:tcPr>
          <w:p w14:paraId="61B25196"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r>
      <w:tr w:rsidR="0067096A" w:rsidRPr="00CF243B" w14:paraId="1BDD24D4"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02D901A7"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Manitol</w:t>
            </w:r>
          </w:p>
        </w:tc>
        <w:tc>
          <w:tcPr>
            <w:tcW w:w="709" w:type="dxa"/>
          </w:tcPr>
          <w:p w14:paraId="5A211E30"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c>
          <w:tcPr>
            <w:tcW w:w="708" w:type="dxa"/>
          </w:tcPr>
          <w:p w14:paraId="438FEBF6"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c>
          <w:tcPr>
            <w:tcW w:w="709" w:type="dxa"/>
          </w:tcPr>
          <w:p w14:paraId="035C02A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c>
          <w:tcPr>
            <w:tcW w:w="709" w:type="dxa"/>
          </w:tcPr>
          <w:p w14:paraId="7BDE82AD"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25</w:t>
            </w:r>
          </w:p>
        </w:tc>
        <w:tc>
          <w:tcPr>
            <w:tcW w:w="709" w:type="dxa"/>
          </w:tcPr>
          <w:p w14:paraId="2248280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50</w:t>
            </w:r>
          </w:p>
        </w:tc>
        <w:tc>
          <w:tcPr>
            <w:tcW w:w="708" w:type="dxa"/>
          </w:tcPr>
          <w:p w14:paraId="45344DB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100</w:t>
            </w:r>
          </w:p>
        </w:tc>
        <w:tc>
          <w:tcPr>
            <w:tcW w:w="709" w:type="dxa"/>
          </w:tcPr>
          <w:p w14:paraId="02962FAA"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c>
          <w:tcPr>
            <w:tcW w:w="691" w:type="dxa"/>
          </w:tcPr>
          <w:p w14:paraId="56AF397D"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c>
          <w:tcPr>
            <w:tcW w:w="584" w:type="dxa"/>
          </w:tcPr>
          <w:p w14:paraId="1B3D5B1D"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r>
      <w:tr w:rsidR="00CF243B" w:rsidRPr="00CF243B" w14:paraId="2084708D" w14:textId="77777777" w:rsidTr="00666D4B">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0DDAA2D3"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Sorbitol</w:t>
            </w:r>
          </w:p>
        </w:tc>
        <w:tc>
          <w:tcPr>
            <w:tcW w:w="709" w:type="dxa"/>
            <w:shd w:val="clear" w:color="auto" w:fill="FFFFFF" w:themeFill="background1"/>
          </w:tcPr>
          <w:p w14:paraId="17A528E9"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8" w:type="dxa"/>
            <w:shd w:val="clear" w:color="auto" w:fill="FFFFFF" w:themeFill="background1"/>
          </w:tcPr>
          <w:p w14:paraId="361F2539"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63E3C67C"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34426787"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728A6FC5"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8" w:type="dxa"/>
            <w:shd w:val="clear" w:color="auto" w:fill="FFFFFF" w:themeFill="background1"/>
          </w:tcPr>
          <w:p w14:paraId="43EECE94"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p>
        </w:tc>
        <w:tc>
          <w:tcPr>
            <w:tcW w:w="709" w:type="dxa"/>
            <w:shd w:val="clear" w:color="auto" w:fill="FFFFFF" w:themeFill="background1"/>
          </w:tcPr>
          <w:p w14:paraId="3B77E0E7"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25</w:t>
            </w:r>
          </w:p>
        </w:tc>
        <w:tc>
          <w:tcPr>
            <w:tcW w:w="691" w:type="dxa"/>
            <w:shd w:val="clear" w:color="auto" w:fill="FFFFFF" w:themeFill="background1"/>
          </w:tcPr>
          <w:p w14:paraId="00FBCF4B"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50</w:t>
            </w:r>
          </w:p>
        </w:tc>
        <w:tc>
          <w:tcPr>
            <w:tcW w:w="584" w:type="dxa"/>
            <w:shd w:val="clear" w:color="auto" w:fill="FFFFFF" w:themeFill="background1"/>
          </w:tcPr>
          <w:p w14:paraId="574C2DC3"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100</w:t>
            </w:r>
          </w:p>
        </w:tc>
      </w:tr>
      <w:tr w:rsidR="0067096A" w:rsidRPr="00CF243B" w14:paraId="7B705C6D"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13DEA6F2"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Aerosil</w:t>
            </w:r>
          </w:p>
        </w:tc>
        <w:tc>
          <w:tcPr>
            <w:tcW w:w="709" w:type="dxa"/>
          </w:tcPr>
          <w:p w14:paraId="5FB73D98"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8" w:type="dxa"/>
          </w:tcPr>
          <w:p w14:paraId="13C2EC74"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9" w:type="dxa"/>
          </w:tcPr>
          <w:p w14:paraId="37F5D7C3"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9" w:type="dxa"/>
          </w:tcPr>
          <w:p w14:paraId="6D63217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9" w:type="dxa"/>
          </w:tcPr>
          <w:p w14:paraId="0F07B2F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8" w:type="dxa"/>
          </w:tcPr>
          <w:p w14:paraId="35697464"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709" w:type="dxa"/>
          </w:tcPr>
          <w:p w14:paraId="29A2DED2"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691" w:type="dxa"/>
          </w:tcPr>
          <w:p w14:paraId="684AE47F"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c>
          <w:tcPr>
            <w:tcW w:w="584" w:type="dxa"/>
          </w:tcPr>
          <w:p w14:paraId="1C2CBD8C"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w:t>
            </w:r>
          </w:p>
        </w:tc>
      </w:tr>
      <w:tr w:rsidR="00CF243B" w:rsidRPr="00CF243B" w14:paraId="181BA74F" w14:textId="77777777" w:rsidTr="00666D4B">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2096C71F" w14:textId="192E8D26" w:rsidR="00CF243B" w:rsidRPr="00CF243B" w:rsidRDefault="00CF243B" w:rsidP="00666D4B">
            <w:pPr>
              <w:rPr>
                <w:color w:val="000000" w:themeColor="text1"/>
                <w:sz w:val="20"/>
                <w:szCs w:val="20"/>
                <w:lang w:val="en-US"/>
              </w:rPr>
            </w:pPr>
            <w:r w:rsidRPr="00CF243B">
              <w:rPr>
                <w:color w:val="000000" w:themeColor="text1"/>
                <w:sz w:val="20"/>
                <w:szCs w:val="20"/>
                <w:lang w:val="en-US"/>
              </w:rPr>
              <w:t>M</w:t>
            </w:r>
            <w:r w:rsidR="0067096A">
              <w:rPr>
                <w:color w:val="000000" w:themeColor="text1"/>
                <w:sz w:val="20"/>
                <w:szCs w:val="20"/>
                <w:lang w:val="en-US"/>
              </w:rPr>
              <w:t>agnesium stearate</w:t>
            </w:r>
          </w:p>
        </w:tc>
        <w:tc>
          <w:tcPr>
            <w:tcW w:w="709" w:type="dxa"/>
            <w:shd w:val="clear" w:color="auto" w:fill="FFFFFF" w:themeFill="background1"/>
          </w:tcPr>
          <w:p w14:paraId="5361BE1D"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8" w:type="dxa"/>
            <w:shd w:val="clear" w:color="auto" w:fill="FFFFFF" w:themeFill="background1"/>
          </w:tcPr>
          <w:p w14:paraId="67C72DCF"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9" w:type="dxa"/>
            <w:shd w:val="clear" w:color="auto" w:fill="FFFFFF" w:themeFill="background1"/>
          </w:tcPr>
          <w:p w14:paraId="5F353EC8"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9" w:type="dxa"/>
            <w:shd w:val="clear" w:color="auto" w:fill="FFFFFF" w:themeFill="background1"/>
          </w:tcPr>
          <w:p w14:paraId="18B65DAB"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9" w:type="dxa"/>
            <w:shd w:val="clear" w:color="auto" w:fill="FFFFFF" w:themeFill="background1"/>
          </w:tcPr>
          <w:p w14:paraId="273428E3"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8" w:type="dxa"/>
            <w:shd w:val="clear" w:color="auto" w:fill="FFFFFF" w:themeFill="background1"/>
          </w:tcPr>
          <w:p w14:paraId="1711560C"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709" w:type="dxa"/>
            <w:shd w:val="clear" w:color="auto" w:fill="FFFFFF" w:themeFill="background1"/>
          </w:tcPr>
          <w:p w14:paraId="0F1ECC13"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691" w:type="dxa"/>
            <w:shd w:val="clear" w:color="auto" w:fill="FFFFFF" w:themeFill="background1"/>
          </w:tcPr>
          <w:p w14:paraId="2B87B3D8"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c>
          <w:tcPr>
            <w:tcW w:w="584" w:type="dxa"/>
            <w:shd w:val="clear" w:color="auto" w:fill="FFFFFF" w:themeFill="background1"/>
          </w:tcPr>
          <w:p w14:paraId="100B2F20" w14:textId="77777777" w:rsidR="00CF243B" w:rsidRPr="00CF243B" w:rsidRDefault="00CF243B" w:rsidP="00666D4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10</w:t>
            </w:r>
          </w:p>
        </w:tc>
      </w:tr>
      <w:tr w:rsidR="0067096A" w:rsidRPr="00CF243B" w14:paraId="319726CE" w14:textId="77777777" w:rsidTr="00666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B8CCE4" w:themeFill="accent1" w:themeFillTint="66"/>
          </w:tcPr>
          <w:p w14:paraId="77EE3C84" w14:textId="77777777" w:rsidR="00CF243B" w:rsidRPr="00CF243B" w:rsidRDefault="00CF243B" w:rsidP="00666D4B">
            <w:pPr>
              <w:rPr>
                <w:color w:val="000000" w:themeColor="text1"/>
                <w:sz w:val="20"/>
                <w:szCs w:val="20"/>
                <w:lang w:val="en-US"/>
              </w:rPr>
            </w:pPr>
            <w:r w:rsidRPr="00CF243B">
              <w:rPr>
                <w:color w:val="000000" w:themeColor="text1"/>
                <w:sz w:val="20"/>
                <w:szCs w:val="20"/>
                <w:lang w:val="en-US"/>
              </w:rPr>
              <w:t>Weight/capsule (mg)</w:t>
            </w:r>
          </w:p>
        </w:tc>
        <w:tc>
          <w:tcPr>
            <w:tcW w:w="709" w:type="dxa"/>
          </w:tcPr>
          <w:p w14:paraId="09948459"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626</w:t>
            </w:r>
          </w:p>
        </w:tc>
        <w:tc>
          <w:tcPr>
            <w:tcW w:w="708" w:type="dxa"/>
          </w:tcPr>
          <w:p w14:paraId="21A60F7E"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651</w:t>
            </w:r>
          </w:p>
        </w:tc>
        <w:tc>
          <w:tcPr>
            <w:tcW w:w="709" w:type="dxa"/>
          </w:tcPr>
          <w:p w14:paraId="7AAD2159"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701</w:t>
            </w:r>
          </w:p>
        </w:tc>
        <w:tc>
          <w:tcPr>
            <w:tcW w:w="709" w:type="dxa"/>
          </w:tcPr>
          <w:p w14:paraId="5EE54599"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626</w:t>
            </w:r>
          </w:p>
        </w:tc>
        <w:tc>
          <w:tcPr>
            <w:tcW w:w="709" w:type="dxa"/>
          </w:tcPr>
          <w:p w14:paraId="1CABD893"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651</w:t>
            </w:r>
          </w:p>
        </w:tc>
        <w:tc>
          <w:tcPr>
            <w:tcW w:w="708" w:type="dxa"/>
          </w:tcPr>
          <w:p w14:paraId="07A038A7"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701</w:t>
            </w:r>
          </w:p>
        </w:tc>
        <w:tc>
          <w:tcPr>
            <w:tcW w:w="709" w:type="dxa"/>
          </w:tcPr>
          <w:p w14:paraId="28AA0974"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626</w:t>
            </w:r>
          </w:p>
        </w:tc>
        <w:tc>
          <w:tcPr>
            <w:tcW w:w="691" w:type="dxa"/>
          </w:tcPr>
          <w:p w14:paraId="1E39761E"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651</w:t>
            </w:r>
          </w:p>
        </w:tc>
        <w:tc>
          <w:tcPr>
            <w:tcW w:w="584" w:type="dxa"/>
          </w:tcPr>
          <w:p w14:paraId="1D75219C" w14:textId="77777777" w:rsidR="00CF243B" w:rsidRPr="00CF243B" w:rsidRDefault="00CF243B" w:rsidP="00666D4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r w:rsidRPr="00CF243B">
              <w:rPr>
                <w:color w:val="000000" w:themeColor="text1"/>
                <w:sz w:val="20"/>
                <w:szCs w:val="20"/>
                <w:lang w:val="en-US"/>
              </w:rPr>
              <w:t>701</w:t>
            </w:r>
          </w:p>
        </w:tc>
      </w:tr>
    </w:tbl>
    <w:p w14:paraId="0EB86B1B" w14:textId="77777777" w:rsidR="00CF243B" w:rsidRDefault="00CF243B" w:rsidP="00DB4C68">
      <w:pPr>
        <w:pStyle w:val="Body"/>
        <w:rPr>
          <w:rFonts w:ascii="Arial" w:hAnsi="Arial" w:cs="Arial"/>
        </w:rPr>
      </w:pPr>
    </w:p>
    <w:p w14:paraId="53F19C1C" w14:textId="77777777" w:rsidR="00DB4C68" w:rsidRPr="00DB4C68" w:rsidRDefault="00DB4C68" w:rsidP="00DB4C68">
      <w:pPr>
        <w:pStyle w:val="Body"/>
        <w:rPr>
          <w:rFonts w:ascii="Arial" w:hAnsi="Arial" w:cs="Arial"/>
        </w:rPr>
      </w:pPr>
      <w:r w:rsidRPr="00DB4C68">
        <w:rPr>
          <w:rFonts w:ascii="Arial" w:hAnsi="Arial" w:cs="Arial"/>
        </w:rPr>
        <w:t>Furthermore, the capsules were sealed using a 12.5% w/v solution of the same hard</w:t>
      </w:r>
      <w:r>
        <w:rPr>
          <w:rFonts w:ascii="Arial" w:hAnsi="Arial" w:cs="Arial"/>
        </w:rPr>
        <w:t xml:space="preserve"> </w:t>
      </w:r>
      <w:r w:rsidRPr="00DB4C68">
        <w:rPr>
          <w:rFonts w:ascii="Arial" w:hAnsi="Arial" w:cs="Arial"/>
        </w:rPr>
        <w:t>gelatin material. The caps were used to identify the seal, and the solution was prepared</w:t>
      </w:r>
      <w:r>
        <w:rPr>
          <w:rFonts w:ascii="Arial" w:hAnsi="Arial" w:cs="Arial"/>
        </w:rPr>
        <w:t xml:space="preserve"> </w:t>
      </w:r>
      <w:r w:rsidRPr="00DB4C68">
        <w:rPr>
          <w:rFonts w:ascii="Arial" w:hAnsi="Arial" w:cs="Arial"/>
        </w:rPr>
        <w:t>by dissolving them in distilled water at a temperature of 35-38 °C under continuous</w:t>
      </w:r>
      <w:r>
        <w:rPr>
          <w:rFonts w:ascii="Arial" w:hAnsi="Arial" w:cs="Arial"/>
        </w:rPr>
        <w:t xml:space="preserve"> </w:t>
      </w:r>
      <w:r w:rsidRPr="00DB4C68">
        <w:rPr>
          <w:rFonts w:ascii="Arial" w:hAnsi="Arial" w:cs="Arial"/>
        </w:rPr>
        <w:t>stirring.</w:t>
      </w:r>
    </w:p>
    <w:p w14:paraId="76FECBF0" w14:textId="77777777" w:rsidR="00DB4C68" w:rsidRDefault="00DB4C68" w:rsidP="00DB4C68">
      <w:pPr>
        <w:pStyle w:val="Body"/>
        <w:rPr>
          <w:rFonts w:ascii="Arial" w:hAnsi="Arial" w:cs="Arial"/>
        </w:rPr>
      </w:pPr>
      <w:r w:rsidRPr="00DB4C68">
        <w:rPr>
          <w:rFonts w:ascii="Arial" w:hAnsi="Arial" w:cs="Arial"/>
        </w:rPr>
        <w:t>Next step, the capsules were individually placed on a motorized support rotating at 9 rpm.</w:t>
      </w:r>
      <w:r>
        <w:rPr>
          <w:rFonts w:ascii="Arial" w:hAnsi="Arial" w:cs="Arial"/>
        </w:rPr>
        <w:t xml:space="preserve"> </w:t>
      </w:r>
      <w:r w:rsidRPr="00DB4C68">
        <w:rPr>
          <w:rFonts w:ascii="Arial" w:hAnsi="Arial" w:cs="Arial"/>
        </w:rPr>
        <w:t>Two layers of the sealing solution were applied between the body and the cap using a</w:t>
      </w:r>
      <w:r>
        <w:rPr>
          <w:rFonts w:ascii="Arial" w:hAnsi="Arial" w:cs="Arial"/>
        </w:rPr>
        <w:t xml:space="preserve"> </w:t>
      </w:r>
      <w:r w:rsidRPr="00DB4C68">
        <w:rPr>
          <w:rFonts w:ascii="Arial" w:hAnsi="Arial" w:cs="Arial"/>
        </w:rPr>
        <w:t>double-zero brush, followed by drying at room temperature for 20 minutes.</w:t>
      </w:r>
    </w:p>
    <w:p w14:paraId="27E2BA5D" w14:textId="77777777" w:rsidR="00DB4C68" w:rsidRPr="00DB4C68" w:rsidRDefault="00DB4C68" w:rsidP="00DB4C68">
      <w:pPr>
        <w:pStyle w:val="Body"/>
        <w:rPr>
          <w:rFonts w:ascii="Arial" w:hAnsi="Arial" w:cs="Arial"/>
          <w:b/>
          <w:bCs/>
        </w:rPr>
      </w:pPr>
      <w:r w:rsidRPr="00DB4C68">
        <w:rPr>
          <w:rFonts w:ascii="Arial" w:hAnsi="Arial" w:cs="Arial"/>
          <w:b/>
          <w:bCs/>
        </w:rPr>
        <w:t>2.</w:t>
      </w:r>
      <w:r>
        <w:rPr>
          <w:rFonts w:ascii="Arial" w:hAnsi="Arial" w:cs="Arial"/>
          <w:b/>
          <w:bCs/>
        </w:rPr>
        <w:t>6</w:t>
      </w:r>
      <w:r w:rsidRPr="00DB4C68">
        <w:rPr>
          <w:rFonts w:ascii="Arial" w:hAnsi="Arial" w:cs="Arial"/>
          <w:b/>
          <w:bCs/>
        </w:rPr>
        <w:t xml:space="preserve"> Coating</w:t>
      </w:r>
    </w:p>
    <w:p w14:paraId="40144525" w14:textId="77777777" w:rsidR="00DB4C68" w:rsidRDefault="00DB4C68" w:rsidP="00DB4C68">
      <w:pPr>
        <w:pStyle w:val="Body"/>
        <w:rPr>
          <w:rFonts w:ascii="Arial" w:hAnsi="Arial" w:cs="Arial"/>
        </w:rPr>
      </w:pPr>
      <w:r w:rsidRPr="00DB4C68">
        <w:rPr>
          <w:rFonts w:ascii="Arial" w:hAnsi="Arial" w:cs="Arial"/>
        </w:rPr>
        <w:t>The coating system consisted of a hot air inlet, an air extraction duct, and a coating gun.The drum's inclination angle was set between 25° and 45°. The distance from the gun to</w:t>
      </w:r>
      <w:r>
        <w:rPr>
          <w:rFonts w:ascii="Arial" w:hAnsi="Arial" w:cs="Arial"/>
        </w:rPr>
        <w:t xml:space="preserve"> </w:t>
      </w:r>
      <w:r w:rsidRPr="00DB4C68">
        <w:rPr>
          <w:rFonts w:ascii="Arial" w:hAnsi="Arial" w:cs="Arial"/>
        </w:rPr>
        <w:t>the drum was 15 cm, and four baffles were used. The drum rotated at 38 rpm, with an</w:t>
      </w:r>
      <w:r>
        <w:rPr>
          <w:rFonts w:ascii="Arial" w:hAnsi="Arial" w:cs="Arial"/>
        </w:rPr>
        <w:t xml:space="preserve"> </w:t>
      </w:r>
      <w:r w:rsidRPr="00DB4C68">
        <w:rPr>
          <w:rFonts w:ascii="Arial" w:hAnsi="Arial" w:cs="Arial"/>
        </w:rPr>
        <w:t>inlet air temperature of 28-30 °C, a coating pressure of 25 psi, and a total load of</w:t>
      </w:r>
      <w:r>
        <w:rPr>
          <w:rFonts w:ascii="Arial" w:hAnsi="Arial" w:cs="Arial"/>
        </w:rPr>
        <w:t xml:space="preserve"> </w:t>
      </w:r>
      <w:r w:rsidRPr="00DB4C68">
        <w:rPr>
          <w:rFonts w:ascii="Arial" w:hAnsi="Arial" w:cs="Arial"/>
        </w:rPr>
        <w:t>approximately 20 g. Finally, the orifice was drilled on the coated capsule by dental drill of</w:t>
      </w:r>
      <w:r>
        <w:rPr>
          <w:rFonts w:ascii="Arial" w:hAnsi="Arial" w:cs="Arial"/>
        </w:rPr>
        <w:t xml:space="preserve"> </w:t>
      </w:r>
      <w:r w:rsidRPr="00DB4C68">
        <w:rPr>
          <w:rFonts w:ascii="Arial" w:hAnsi="Arial" w:cs="Arial"/>
        </w:rPr>
        <w:t xml:space="preserve">600 mm. </w:t>
      </w:r>
    </w:p>
    <w:p w14:paraId="64AD8198" w14:textId="77777777" w:rsidR="00DB4C68" w:rsidRDefault="00DB4C68" w:rsidP="00DB4C68">
      <w:pPr>
        <w:pStyle w:val="Body"/>
        <w:rPr>
          <w:rFonts w:ascii="Arial" w:hAnsi="Arial" w:cs="Arial"/>
        </w:rPr>
      </w:pPr>
      <w:r w:rsidRPr="00DB4C68">
        <w:rPr>
          <w:rFonts w:ascii="Arial" w:hAnsi="Arial" w:cs="Arial"/>
          <w:b/>
          <w:bCs/>
        </w:rPr>
        <w:t>2.7 Chromatographic method to determine Metformin-Glibenclamide</w:t>
      </w:r>
      <w:r w:rsidRPr="00DB4C68">
        <w:rPr>
          <w:rFonts w:ascii="Arial" w:hAnsi="Arial" w:cs="Arial"/>
        </w:rPr>
        <w:t xml:space="preserve"> </w:t>
      </w:r>
    </w:p>
    <w:p w14:paraId="6F51864C" w14:textId="77777777" w:rsidR="00DB4C68" w:rsidRDefault="00DB4C68" w:rsidP="00DB4C68">
      <w:pPr>
        <w:pStyle w:val="Body"/>
        <w:rPr>
          <w:rFonts w:ascii="Arial" w:hAnsi="Arial" w:cs="Arial"/>
        </w:rPr>
      </w:pPr>
      <w:r w:rsidRPr="00DB4C68">
        <w:rPr>
          <w:rFonts w:ascii="Arial" w:hAnsi="Arial" w:cs="Arial"/>
        </w:rPr>
        <w:t>A Hitachi Lachrom Ultra® high-performance liquid chromatograph with diode array</w:t>
      </w:r>
      <w:r>
        <w:rPr>
          <w:rFonts w:ascii="Arial" w:hAnsi="Arial" w:cs="Arial"/>
        </w:rPr>
        <w:t xml:space="preserve"> </w:t>
      </w:r>
      <w:r w:rsidRPr="00DB4C68">
        <w:rPr>
          <w:rFonts w:ascii="Arial" w:hAnsi="Arial" w:cs="Arial"/>
        </w:rPr>
        <w:t>detector was used. Using the following conditions: Zorbax XDB-C18 column, 4.6 mm</w:t>
      </w:r>
      <w:r>
        <w:rPr>
          <w:rFonts w:ascii="Arial" w:hAnsi="Arial" w:cs="Arial"/>
        </w:rPr>
        <w:t xml:space="preserve"> </w:t>
      </w:r>
      <w:r w:rsidRPr="00DB4C68">
        <w:rPr>
          <w:rFonts w:ascii="Arial" w:hAnsi="Arial" w:cs="Arial"/>
        </w:rPr>
        <w:t>IDx250 mm, with an oven temperature of 40 °C. The mobile phase was buffer (10 mM</w:t>
      </w:r>
      <w:r>
        <w:rPr>
          <w:rFonts w:ascii="Arial" w:hAnsi="Arial" w:cs="Arial"/>
        </w:rPr>
        <w:t xml:space="preserve"> </w:t>
      </w:r>
      <w:r w:rsidRPr="00DB4C68">
        <w:rPr>
          <w:rFonts w:ascii="Arial" w:hAnsi="Arial" w:cs="Arial"/>
        </w:rPr>
        <w:t>Na2HPO4 and 10 mM SDS, pH 7.5) and acetonitrile in a 68:32 v/v ratio. The flow of the</w:t>
      </w:r>
      <w:r>
        <w:rPr>
          <w:rFonts w:ascii="Arial" w:hAnsi="Arial" w:cs="Arial"/>
        </w:rPr>
        <w:t xml:space="preserve"> </w:t>
      </w:r>
      <w:r w:rsidRPr="00DB4C68">
        <w:rPr>
          <w:rFonts w:ascii="Arial" w:hAnsi="Arial" w:cs="Arial"/>
        </w:rPr>
        <w:t xml:space="preserve">mobile phase was 1 mL / </w:t>
      </w:r>
      <w:r w:rsidRPr="00DB4C68">
        <w:rPr>
          <w:rFonts w:ascii="Arial" w:hAnsi="Arial" w:cs="Arial"/>
        </w:rPr>
        <w:lastRenderedPageBreak/>
        <w:t>min and the injection volume was made taking 10 μl of sample.</w:t>
      </w:r>
      <w:r>
        <w:rPr>
          <w:rFonts w:ascii="Arial" w:hAnsi="Arial" w:cs="Arial"/>
        </w:rPr>
        <w:t xml:space="preserve"> </w:t>
      </w:r>
      <w:r w:rsidRPr="00DB4C68">
        <w:rPr>
          <w:rFonts w:ascii="Arial" w:hAnsi="Arial" w:cs="Arial"/>
        </w:rPr>
        <w:t>Thus, all the injected samples were filtered with 0.45 μm membranes. Both analytes were</w:t>
      </w:r>
      <w:r>
        <w:rPr>
          <w:rFonts w:ascii="Arial" w:hAnsi="Arial" w:cs="Arial"/>
        </w:rPr>
        <w:t xml:space="preserve"> </w:t>
      </w:r>
      <w:r w:rsidRPr="00DB4C68">
        <w:rPr>
          <w:rFonts w:ascii="Arial" w:hAnsi="Arial" w:cs="Arial"/>
        </w:rPr>
        <w:t xml:space="preserve">detected at 226 nm [14]. </w:t>
      </w:r>
      <w:r w:rsidR="006B57D0">
        <w:rPr>
          <w:rFonts w:ascii="Arial" w:hAnsi="Arial" w:cs="Arial"/>
        </w:rPr>
        <w:t>[</w:t>
      </w:r>
    </w:p>
    <w:p w14:paraId="259A08E6" w14:textId="77777777" w:rsidR="00DB4C68" w:rsidRDefault="00DB4C68" w:rsidP="00DB4C68">
      <w:pPr>
        <w:pStyle w:val="Body"/>
        <w:rPr>
          <w:rFonts w:ascii="Arial" w:hAnsi="Arial" w:cs="Arial"/>
        </w:rPr>
      </w:pPr>
      <w:r w:rsidRPr="00DB4C68">
        <w:rPr>
          <w:rFonts w:ascii="Arial" w:hAnsi="Arial" w:cs="Arial"/>
          <w:b/>
          <w:bCs/>
        </w:rPr>
        <w:t>2.8 Drug Release Profiles</w:t>
      </w:r>
    </w:p>
    <w:p w14:paraId="215419A0" w14:textId="77777777" w:rsidR="00DB4C68" w:rsidRDefault="00DB4C68" w:rsidP="00DB4C68">
      <w:pPr>
        <w:pStyle w:val="Body"/>
        <w:tabs>
          <w:tab w:val="right" w:pos="8208"/>
        </w:tabs>
        <w:rPr>
          <w:rFonts w:ascii="Arial" w:eastAsia="Calibri" w:hAnsi="Arial" w:cs="Arial"/>
          <w:szCs w:val="22"/>
        </w:rPr>
      </w:pPr>
      <w:r w:rsidRPr="00DB4C68">
        <w:rPr>
          <w:rFonts w:ascii="Arial" w:eastAsia="Calibri" w:hAnsi="Arial" w:cs="Arial"/>
          <w:szCs w:val="22"/>
        </w:rPr>
        <w:t>Using a PharmaTest® dissolution apparatus USP 1, under the following stirring and</w:t>
      </w:r>
      <w:r>
        <w:rPr>
          <w:rFonts w:ascii="Arial" w:eastAsia="Calibri" w:hAnsi="Arial" w:cs="Arial"/>
          <w:szCs w:val="22"/>
        </w:rPr>
        <w:t xml:space="preserve">  </w:t>
      </w:r>
      <w:r w:rsidRPr="00DB4C68">
        <w:rPr>
          <w:rFonts w:ascii="Arial" w:eastAsia="Calibri" w:hAnsi="Arial" w:cs="Arial"/>
          <w:szCs w:val="22"/>
        </w:rPr>
        <w:t>temperature conditions: 100 rpm and 37.5 ° C; Release profiles were carried out in 0.1N</w:t>
      </w:r>
      <w:r>
        <w:rPr>
          <w:rFonts w:ascii="Arial" w:eastAsia="Calibri" w:hAnsi="Arial" w:cs="Arial"/>
          <w:szCs w:val="22"/>
        </w:rPr>
        <w:t xml:space="preserve"> </w:t>
      </w:r>
      <w:r w:rsidRPr="00DB4C68">
        <w:rPr>
          <w:rFonts w:ascii="Arial" w:eastAsia="Calibri" w:hAnsi="Arial" w:cs="Arial"/>
          <w:szCs w:val="22"/>
        </w:rPr>
        <w:t>HCl during the first 2.5 hours and pH 6.8 buffer (10 mM phosphates) during the rest of</w:t>
      </w:r>
      <w:r>
        <w:rPr>
          <w:rFonts w:ascii="Arial" w:eastAsia="Calibri" w:hAnsi="Arial" w:cs="Arial"/>
          <w:szCs w:val="22"/>
        </w:rPr>
        <w:t xml:space="preserve"> </w:t>
      </w:r>
      <w:r w:rsidRPr="00DB4C68">
        <w:rPr>
          <w:rFonts w:ascii="Arial" w:eastAsia="Calibri" w:hAnsi="Arial" w:cs="Arial"/>
          <w:szCs w:val="22"/>
        </w:rPr>
        <w:t>the test (12.5 h). Sampling was carried out every 2.5 h and 5 mL of sample were taken</w:t>
      </w:r>
      <w:r>
        <w:rPr>
          <w:rFonts w:ascii="Arial" w:eastAsia="Calibri" w:hAnsi="Arial" w:cs="Arial"/>
          <w:szCs w:val="22"/>
        </w:rPr>
        <w:t xml:space="preserve"> </w:t>
      </w:r>
      <w:r w:rsidRPr="00DB4C68">
        <w:rPr>
          <w:rFonts w:ascii="Arial" w:eastAsia="Calibri" w:hAnsi="Arial" w:cs="Arial"/>
          <w:szCs w:val="22"/>
        </w:rPr>
        <w:t>through cannulas with adapted filters. Additionally, the 5 mL of medium were replaced</w:t>
      </w:r>
      <w:r>
        <w:rPr>
          <w:rFonts w:ascii="Arial" w:eastAsia="Calibri" w:hAnsi="Arial" w:cs="Arial"/>
          <w:szCs w:val="22"/>
        </w:rPr>
        <w:t xml:space="preserve"> </w:t>
      </w:r>
      <w:r w:rsidRPr="00DB4C68">
        <w:rPr>
          <w:rFonts w:ascii="Arial" w:eastAsia="Calibri" w:hAnsi="Arial" w:cs="Arial"/>
          <w:szCs w:val="22"/>
        </w:rPr>
        <w:t>with the same solution, which was at the same temperature. Thus, the corresponding</w:t>
      </w:r>
      <w:r>
        <w:rPr>
          <w:rFonts w:ascii="Arial" w:eastAsia="Calibri" w:hAnsi="Arial" w:cs="Arial"/>
          <w:szCs w:val="22"/>
        </w:rPr>
        <w:t xml:space="preserve"> </w:t>
      </w:r>
      <w:r w:rsidRPr="00DB4C68">
        <w:rPr>
          <w:rFonts w:ascii="Arial" w:eastAsia="Calibri" w:hAnsi="Arial" w:cs="Arial"/>
          <w:szCs w:val="22"/>
        </w:rPr>
        <w:t xml:space="preserve">cannula was purged between each sample collection. </w:t>
      </w:r>
    </w:p>
    <w:p w14:paraId="4EC9719E" w14:textId="77777777" w:rsidR="00A03B96" w:rsidRDefault="00A03B96" w:rsidP="00441B6F">
      <w:pPr>
        <w:pStyle w:val="Body"/>
        <w:spacing w:after="0"/>
        <w:rPr>
          <w:rFonts w:ascii="Arial" w:hAnsi="Arial" w:cs="Arial"/>
        </w:rPr>
      </w:pPr>
    </w:p>
    <w:p w14:paraId="2118A64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9B07AAA" w14:textId="77777777" w:rsidR="0074055D" w:rsidRDefault="0074055D" w:rsidP="00441B6F">
      <w:pPr>
        <w:pStyle w:val="Body"/>
        <w:spacing w:after="0"/>
        <w:rPr>
          <w:rFonts w:ascii="Arial" w:hAnsi="Arial" w:cs="Arial"/>
        </w:rPr>
      </w:pPr>
      <w:r w:rsidRPr="0074055D">
        <w:rPr>
          <w:rFonts w:ascii="Arial" w:hAnsi="Arial" w:cs="Arial"/>
          <w:b/>
          <w:bCs/>
        </w:rPr>
        <w:t>3.1 Drug-Excipient Compatibility Study:</w:t>
      </w:r>
      <w:r w:rsidRPr="0074055D">
        <w:rPr>
          <w:rFonts w:ascii="Arial" w:hAnsi="Arial" w:cs="Arial"/>
        </w:rPr>
        <w:t xml:space="preserve"> </w:t>
      </w:r>
    </w:p>
    <w:p w14:paraId="125EA96C" w14:textId="77777777" w:rsidR="0074055D" w:rsidRDefault="0074055D" w:rsidP="0074055D">
      <w:pPr>
        <w:pStyle w:val="Body"/>
        <w:rPr>
          <w:rFonts w:ascii="Arial" w:hAnsi="Arial" w:cs="Arial"/>
        </w:rPr>
      </w:pPr>
      <w:r w:rsidRPr="0074055D">
        <w:rPr>
          <w:rFonts w:ascii="Arial" w:hAnsi="Arial" w:cs="Arial"/>
        </w:rPr>
        <w:t>The Raman spectra of the samples did not show any changes, indicating that no</w:t>
      </w:r>
      <w:r>
        <w:rPr>
          <w:rFonts w:ascii="Arial" w:hAnsi="Arial" w:cs="Arial"/>
        </w:rPr>
        <w:t xml:space="preserve"> </w:t>
      </w:r>
      <w:r w:rsidRPr="0074055D">
        <w:rPr>
          <w:rFonts w:ascii="Arial" w:hAnsi="Arial" w:cs="Arial"/>
        </w:rPr>
        <w:t>chemical modifications occurred. No new signals appeared, nor were any eliminated in</w:t>
      </w:r>
      <w:r>
        <w:rPr>
          <w:rFonts w:ascii="Arial" w:hAnsi="Arial" w:cs="Arial"/>
        </w:rPr>
        <w:t xml:space="preserve"> </w:t>
      </w:r>
      <w:r w:rsidRPr="0074055D">
        <w:rPr>
          <w:rFonts w:ascii="Arial" w:hAnsi="Arial" w:cs="Arial"/>
        </w:rPr>
        <w:t>any of the samples compared to the reference spectrum at time zero. A representative</w:t>
      </w:r>
      <w:r>
        <w:rPr>
          <w:rFonts w:ascii="Arial" w:hAnsi="Arial" w:cs="Arial"/>
        </w:rPr>
        <w:t xml:space="preserve"> </w:t>
      </w:r>
      <w:r w:rsidRPr="0074055D">
        <w:rPr>
          <w:rFonts w:ascii="Arial" w:hAnsi="Arial" w:cs="Arial"/>
        </w:rPr>
        <w:t xml:space="preserve">analysis of two separate samples and their mixture is shown below. Figure 2. </w:t>
      </w:r>
    </w:p>
    <w:tbl>
      <w:tblPr>
        <w:tblStyle w:val="Tablaconcuadrcula"/>
        <w:tblW w:w="0" w:type="auto"/>
        <w:tblLook w:val="04A0" w:firstRow="1" w:lastRow="0" w:firstColumn="1" w:lastColumn="0" w:noHBand="0" w:noVBand="1"/>
      </w:tblPr>
      <w:tblGrid>
        <w:gridCol w:w="4124"/>
        <w:gridCol w:w="4074"/>
      </w:tblGrid>
      <w:tr w:rsidR="00D278E3" w14:paraId="74B4F9ED" w14:textId="77777777" w:rsidTr="003C5DD4">
        <w:tc>
          <w:tcPr>
            <w:tcW w:w="4106" w:type="dxa"/>
          </w:tcPr>
          <w:p w14:paraId="549649A8" w14:textId="77777777" w:rsidR="00CF243B" w:rsidRDefault="00CF243B" w:rsidP="00666D4B">
            <w:pPr>
              <w:pStyle w:val="Textonotaalfinal"/>
              <w:rPr>
                <w:lang w:val="en"/>
              </w:rPr>
            </w:pPr>
            <w:r w:rsidRPr="00CB0C85">
              <w:rPr>
                <w:noProof/>
              </w:rPr>
              <w:drawing>
                <wp:inline distT="0" distB="0" distL="0" distR="0" wp14:anchorId="2A152896" wp14:editId="08C2D597">
                  <wp:extent cx="2453640" cy="1933575"/>
                  <wp:effectExtent l="0" t="0" r="3810" b="9525"/>
                  <wp:docPr id="3318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12416" name=""/>
                          <pic:cNvPicPr/>
                        </pic:nvPicPr>
                        <pic:blipFill>
                          <a:blip r:embed="rId15"/>
                          <a:stretch>
                            <a:fillRect/>
                          </a:stretch>
                        </pic:blipFill>
                        <pic:spPr>
                          <a:xfrm>
                            <a:off x="0" y="0"/>
                            <a:ext cx="2453988" cy="1933849"/>
                          </a:xfrm>
                          <a:prstGeom prst="rect">
                            <a:avLst/>
                          </a:prstGeom>
                        </pic:spPr>
                      </pic:pic>
                    </a:graphicData>
                  </a:graphic>
                </wp:inline>
              </w:drawing>
            </w:r>
          </w:p>
        </w:tc>
        <w:tc>
          <w:tcPr>
            <w:tcW w:w="4092" w:type="dxa"/>
          </w:tcPr>
          <w:p w14:paraId="24949F6E" w14:textId="77777777" w:rsidR="00CF243B" w:rsidRDefault="00D278E3" w:rsidP="00666D4B">
            <w:pPr>
              <w:pStyle w:val="Textonotaalfinal"/>
              <w:rPr>
                <w:lang w:val="en"/>
              </w:rPr>
            </w:pPr>
            <w:r w:rsidRPr="00D278E3">
              <w:rPr>
                <w:noProof/>
                <w:lang w:val="en"/>
              </w:rPr>
              <w:drawing>
                <wp:inline distT="0" distB="0" distL="0" distR="0" wp14:anchorId="3588C631" wp14:editId="5B281273">
                  <wp:extent cx="2404382" cy="1933575"/>
                  <wp:effectExtent l="0" t="0" r="0" b="0"/>
                  <wp:docPr id="1120172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72693" name=""/>
                          <pic:cNvPicPr/>
                        </pic:nvPicPr>
                        <pic:blipFill>
                          <a:blip r:embed="rId16"/>
                          <a:stretch>
                            <a:fillRect/>
                          </a:stretch>
                        </pic:blipFill>
                        <pic:spPr>
                          <a:xfrm>
                            <a:off x="0" y="0"/>
                            <a:ext cx="2416120" cy="1943015"/>
                          </a:xfrm>
                          <a:prstGeom prst="rect">
                            <a:avLst/>
                          </a:prstGeom>
                        </pic:spPr>
                      </pic:pic>
                    </a:graphicData>
                  </a:graphic>
                </wp:inline>
              </w:drawing>
            </w:r>
          </w:p>
        </w:tc>
      </w:tr>
      <w:tr w:rsidR="00CF243B" w14:paraId="33F4F407" w14:textId="77777777" w:rsidTr="003C5DD4">
        <w:tc>
          <w:tcPr>
            <w:tcW w:w="8198" w:type="dxa"/>
            <w:gridSpan w:val="2"/>
          </w:tcPr>
          <w:p w14:paraId="5DE4F76D" w14:textId="77777777" w:rsidR="00CF243B" w:rsidRDefault="00CF243B" w:rsidP="00666D4B">
            <w:pPr>
              <w:pStyle w:val="Textonotaalfinal"/>
              <w:rPr>
                <w:lang w:val="en"/>
              </w:rPr>
            </w:pPr>
            <w:r w:rsidRPr="003053F5">
              <w:rPr>
                <w:noProof/>
              </w:rPr>
              <w:lastRenderedPageBreak/>
              <w:drawing>
                <wp:inline distT="0" distB="0" distL="0" distR="0" wp14:anchorId="2B58BF03" wp14:editId="06A4ABE3">
                  <wp:extent cx="5943600" cy="3130550"/>
                  <wp:effectExtent l="0" t="0" r="0" b="0"/>
                  <wp:docPr id="1866037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01649" name=""/>
                          <pic:cNvPicPr/>
                        </pic:nvPicPr>
                        <pic:blipFill>
                          <a:blip r:embed="rId17"/>
                          <a:stretch>
                            <a:fillRect/>
                          </a:stretch>
                        </pic:blipFill>
                        <pic:spPr>
                          <a:xfrm>
                            <a:off x="0" y="0"/>
                            <a:ext cx="5943600" cy="3130550"/>
                          </a:xfrm>
                          <a:prstGeom prst="rect">
                            <a:avLst/>
                          </a:prstGeom>
                        </pic:spPr>
                      </pic:pic>
                    </a:graphicData>
                  </a:graphic>
                </wp:inline>
              </w:drawing>
            </w:r>
          </w:p>
        </w:tc>
      </w:tr>
    </w:tbl>
    <w:p w14:paraId="57428BCE" w14:textId="77777777" w:rsidR="00D278E3" w:rsidRDefault="0074055D" w:rsidP="0074055D">
      <w:pPr>
        <w:pStyle w:val="Body"/>
        <w:rPr>
          <w:rFonts w:ascii="Arial" w:hAnsi="Arial" w:cs="Arial"/>
          <w:b/>
          <w:bCs/>
        </w:rPr>
      </w:pPr>
      <w:r w:rsidRPr="0074055D">
        <w:rPr>
          <w:rFonts w:ascii="Arial" w:hAnsi="Arial" w:cs="Arial"/>
          <w:b/>
          <w:bCs/>
        </w:rPr>
        <w:t>Figure 2 Raman spectra of Metformin</w:t>
      </w:r>
      <w:r w:rsidR="002B7539">
        <w:rPr>
          <w:rFonts w:ascii="Arial" w:hAnsi="Arial" w:cs="Arial"/>
          <w:b/>
          <w:bCs/>
        </w:rPr>
        <w:t xml:space="preserve"> upper left</w:t>
      </w:r>
      <w:r w:rsidRPr="0074055D">
        <w:rPr>
          <w:rFonts w:ascii="Arial" w:hAnsi="Arial" w:cs="Arial"/>
          <w:b/>
          <w:bCs/>
        </w:rPr>
        <w:t>, Mannitol</w:t>
      </w:r>
      <w:r w:rsidR="002B7539">
        <w:rPr>
          <w:rFonts w:ascii="Arial" w:hAnsi="Arial" w:cs="Arial"/>
          <w:b/>
          <w:bCs/>
        </w:rPr>
        <w:t xml:space="preserve"> upper right</w:t>
      </w:r>
      <w:r w:rsidRPr="0074055D">
        <w:rPr>
          <w:rFonts w:ascii="Arial" w:hAnsi="Arial" w:cs="Arial"/>
          <w:b/>
          <w:bCs/>
        </w:rPr>
        <w:t>, mixture 1:1 metformin: mannitol</w:t>
      </w:r>
      <w:r w:rsidR="002B7539">
        <w:rPr>
          <w:rFonts w:ascii="Arial" w:hAnsi="Arial" w:cs="Arial"/>
          <w:b/>
          <w:bCs/>
        </w:rPr>
        <w:t xml:space="preserve"> lower.</w:t>
      </w:r>
    </w:p>
    <w:p w14:paraId="2EFA40D1" w14:textId="77777777" w:rsidR="0074055D" w:rsidRDefault="00D278E3" w:rsidP="0074055D">
      <w:pPr>
        <w:pStyle w:val="Body"/>
        <w:rPr>
          <w:rFonts w:ascii="Arial" w:hAnsi="Arial" w:cs="Arial"/>
        </w:rPr>
      </w:pPr>
      <w:r>
        <w:rPr>
          <w:rFonts w:ascii="Arial" w:hAnsi="Arial" w:cs="Arial"/>
          <w:b/>
          <w:bCs/>
        </w:rPr>
        <w:t>* M1, M2, M3 and M4 are for the weeks of the sample</w:t>
      </w:r>
      <w:r w:rsidR="0074055D" w:rsidRPr="0074055D">
        <w:rPr>
          <w:rFonts w:ascii="Arial" w:hAnsi="Arial" w:cs="Arial"/>
        </w:rPr>
        <w:t xml:space="preserve"> </w:t>
      </w:r>
    </w:p>
    <w:p w14:paraId="519569BE" w14:textId="77777777" w:rsidR="0074055D" w:rsidRPr="0074055D" w:rsidRDefault="0074055D" w:rsidP="0074055D">
      <w:pPr>
        <w:pStyle w:val="Body"/>
        <w:rPr>
          <w:rFonts w:ascii="Arial" w:hAnsi="Arial" w:cs="Arial"/>
        </w:rPr>
      </w:pPr>
      <w:r w:rsidRPr="0074055D">
        <w:rPr>
          <w:rFonts w:ascii="Arial" w:hAnsi="Arial" w:cs="Arial"/>
        </w:rPr>
        <w:t>As a positive control, an Aspartame sample was introduced. In Figure 3, it can be</w:t>
      </w:r>
      <w:r>
        <w:rPr>
          <w:rFonts w:ascii="Arial" w:hAnsi="Arial" w:cs="Arial"/>
        </w:rPr>
        <w:t xml:space="preserve"> </w:t>
      </w:r>
      <w:r w:rsidRPr="0074055D">
        <w:rPr>
          <w:rFonts w:ascii="Arial" w:hAnsi="Arial" w:cs="Arial"/>
        </w:rPr>
        <w:t>observed that by week 4, the sample exhibited significant differences compared to the</w:t>
      </w:r>
      <w:r>
        <w:rPr>
          <w:rFonts w:ascii="Arial" w:hAnsi="Arial" w:cs="Arial"/>
        </w:rPr>
        <w:t xml:space="preserve"> </w:t>
      </w:r>
      <w:r w:rsidRPr="0074055D">
        <w:rPr>
          <w:rFonts w:ascii="Arial" w:hAnsi="Arial" w:cs="Arial"/>
        </w:rPr>
        <w:t>spectrum at time zero. Specifically, several peaks were eliminated (492, 632, and 824</w:t>
      </w:r>
      <w:r>
        <w:rPr>
          <w:rFonts w:ascii="Arial" w:hAnsi="Arial" w:cs="Arial"/>
        </w:rPr>
        <w:t xml:space="preserve"> </w:t>
      </w:r>
      <w:r w:rsidRPr="0074055D">
        <w:rPr>
          <w:rFonts w:ascii="Arial" w:hAnsi="Arial" w:cs="Arial"/>
        </w:rPr>
        <w:t>cm</w:t>
      </w:r>
      <w:r w:rsidRPr="0074055D">
        <w:rPr>
          <w:rFonts w:ascii="Cambria Math" w:hAnsi="Cambria Math" w:cs="Cambria Math"/>
        </w:rPr>
        <w:t>⁻</w:t>
      </w:r>
      <w:r w:rsidRPr="0074055D">
        <w:rPr>
          <w:rFonts w:ascii="Arial" w:hAnsi="Arial" w:cs="Arial"/>
        </w:rPr>
        <w:t xml:space="preserve">¹), </w:t>
      </w:r>
      <w:r w:rsidR="0047301E">
        <w:rPr>
          <w:rFonts w:ascii="Arial" w:hAnsi="Arial" w:cs="Arial"/>
        </w:rPr>
        <w:t xml:space="preserve">signaled with circles in the wave number </w:t>
      </w:r>
      <w:r w:rsidRPr="0074055D">
        <w:rPr>
          <w:rFonts w:ascii="Arial" w:hAnsi="Arial" w:cs="Arial"/>
        </w:rPr>
        <w:t>and the signal at 1033 cm</w:t>
      </w:r>
      <w:r w:rsidRPr="0074055D">
        <w:rPr>
          <w:rFonts w:ascii="Cambria Math" w:hAnsi="Cambria Math" w:cs="Cambria Math"/>
        </w:rPr>
        <w:t>⁻</w:t>
      </w:r>
      <w:r w:rsidRPr="0074055D">
        <w:rPr>
          <w:rFonts w:ascii="Arial" w:hAnsi="Arial" w:cs="Arial"/>
        </w:rPr>
        <w:t>¹ decreased in intensity. Additionally, the intensity of the signal at 192 cm</w:t>
      </w:r>
      <w:r w:rsidRPr="0074055D">
        <w:rPr>
          <w:rFonts w:ascii="Cambria Math" w:hAnsi="Cambria Math" w:cs="Cambria Math"/>
        </w:rPr>
        <w:t>⁻</w:t>
      </w:r>
      <w:r w:rsidRPr="0074055D">
        <w:rPr>
          <w:rFonts w:ascii="Arial" w:hAnsi="Arial" w:cs="Arial"/>
        </w:rPr>
        <w:t>¹ increased from 6000 to 12000.</w:t>
      </w:r>
      <w:r>
        <w:rPr>
          <w:rFonts w:ascii="Arial" w:hAnsi="Arial" w:cs="Arial"/>
        </w:rPr>
        <w:t xml:space="preserve"> </w:t>
      </w:r>
      <w:r w:rsidRPr="0074055D">
        <w:rPr>
          <w:rFonts w:ascii="Arial" w:hAnsi="Arial" w:cs="Arial"/>
        </w:rPr>
        <w:t>These findings suggest possible thermal degradation of Aspartame, as it has been</w:t>
      </w:r>
      <w:r>
        <w:rPr>
          <w:rFonts w:ascii="Arial" w:hAnsi="Arial" w:cs="Arial"/>
        </w:rPr>
        <w:t xml:space="preserve"> </w:t>
      </w:r>
      <w:r w:rsidRPr="0074055D">
        <w:rPr>
          <w:rFonts w:ascii="Arial" w:hAnsi="Arial" w:cs="Arial"/>
        </w:rPr>
        <w:t>reported that the optimal storage temperature is 20-25 °C, with a maximum stability</w:t>
      </w:r>
      <w:r>
        <w:rPr>
          <w:rFonts w:ascii="Arial" w:hAnsi="Arial" w:cs="Arial"/>
        </w:rPr>
        <w:t xml:space="preserve"> </w:t>
      </w:r>
      <w:r w:rsidRPr="0074055D">
        <w:rPr>
          <w:rFonts w:ascii="Arial" w:hAnsi="Arial" w:cs="Arial"/>
        </w:rPr>
        <w:t>threshold of 30 °C [15].</w:t>
      </w:r>
    </w:p>
    <w:p w14:paraId="6C06735D" w14:textId="77777777" w:rsidR="0074055D" w:rsidRDefault="00CF243B" w:rsidP="00CF243B">
      <w:pPr>
        <w:pStyle w:val="Body"/>
        <w:rPr>
          <w:rFonts w:ascii="Arial" w:hAnsi="Arial" w:cs="Arial"/>
          <w:b/>
          <w:bCs/>
        </w:rPr>
      </w:pPr>
      <w:r>
        <w:rPr>
          <w:noProof/>
        </w:rPr>
        <w:lastRenderedPageBreak/>
        <w:drawing>
          <wp:inline distT="0" distB="0" distL="0" distR="0" wp14:anchorId="7662D61D" wp14:editId="48BD0EA5">
            <wp:extent cx="5100918" cy="2606914"/>
            <wp:effectExtent l="0" t="0" r="5080" b="3175"/>
            <wp:docPr id="161689903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38" cy="2610502"/>
                    </a:xfrm>
                    <a:prstGeom prst="rect">
                      <a:avLst/>
                    </a:prstGeom>
                    <a:noFill/>
                    <a:ln>
                      <a:noFill/>
                    </a:ln>
                  </pic:spPr>
                </pic:pic>
              </a:graphicData>
            </a:graphic>
          </wp:inline>
        </w:drawing>
      </w:r>
      <w:r w:rsidR="0074055D" w:rsidRPr="0074055D">
        <w:rPr>
          <w:rFonts w:ascii="Arial" w:hAnsi="Arial" w:cs="Arial"/>
          <w:b/>
          <w:bCs/>
        </w:rPr>
        <w:t>Figure 3 Aspartame Raman spectra comparison between reference al time 0 and at 4</w:t>
      </w:r>
      <w:r w:rsidR="0074055D">
        <w:rPr>
          <w:rFonts w:ascii="Arial" w:hAnsi="Arial" w:cs="Arial"/>
          <w:b/>
          <w:bCs/>
        </w:rPr>
        <w:t xml:space="preserve"> </w:t>
      </w:r>
      <w:r w:rsidR="0074055D" w:rsidRPr="0074055D">
        <w:rPr>
          <w:rFonts w:ascii="Arial" w:hAnsi="Arial" w:cs="Arial"/>
          <w:b/>
          <w:bCs/>
        </w:rPr>
        <w:t>weeks (M4).</w:t>
      </w:r>
      <w:r w:rsidR="0047301E">
        <w:rPr>
          <w:rFonts w:ascii="Arial" w:hAnsi="Arial" w:cs="Arial"/>
          <w:b/>
          <w:bCs/>
        </w:rPr>
        <w:t xml:space="preserve"> </w:t>
      </w:r>
    </w:p>
    <w:p w14:paraId="4E84B2B7" w14:textId="77777777" w:rsidR="0074055D" w:rsidRPr="0074055D" w:rsidRDefault="0074055D" w:rsidP="0074055D">
      <w:pPr>
        <w:pStyle w:val="Body"/>
        <w:rPr>
          <w:rFonts w:ascii="Arial" w:hAnsi="Arial" w:cs="Arial"/>
        </w:rPr>
      </w:pPr>
      <w:r w:rsidRPr="0074055D">
        <w:rPr>
          <w:rFonts w:ascii="Arial" w:hAnsi="Arial" w:cs="Arial"/>
          <w:b/>
          <w:bCs/>
        </w:rPr>
        <w:t>3.2 Chromatographic method to determine Metformin-Glibenclamide</w:t>
      </w:r>
    </w:p>
    <w:p w14:paraId="53C9011A" w14:textId="77777777" w:rsidR="0074055D" w:rsidRDefault="0074055D" w:rsidP="0074055D">
      <w:pPr>
        <w:pStyle w:val="Body"/>
        <w:rPr>
          <w:rFonts w:ascii="Arial" w:hAnsi="Arial" w:cs="Arial"/>
        </w:rPr>
      </w:pPr>
      <w:r w:rsidRPr="0074055D">
        <w:rPr>
          <w:rFonts w:ascii="Arial" w:hAnsi="Arial" w:cs="Arial"/>
        </w:rPr>
        <w:t xml:space="preserve">It was possible to achieve the simultaneous quantification of both analytes, </w:t>
      </w:r>
      <w:r w:rsidR="0047301E">
        <w:rPr>
          <w:rFonts w:ascii="Arial" w:hAnsi="Arial" w:cs="Arial"/>
        </w:rPr>
        <w:t>(</w:t>
      </w:r>
      <w:r w:rsidRPr="0074055D">
        <w:rPr>
          <w:rFonts w:ascii="Arial" w:hAnsi="Arial" w:cs="Arial"/>
        </w:rPr>
        <w:t>Figure 4</w:t>
      </w:r>
      <w:r w:rsidR="0047301E">
        <w:rPr>
          <w:rFonts w:ascii="Arial" w:hAnsi="Arial" w:cs="Arial"/>
        </w:rPr>
        <w:t>)</w:t>
      </w:r>
      <w:r w:rsidRPr="0074055D">
        <w:rPr>
          <w:rFonts w:ascii="Arial" w:hAnsi="Arial" w:cs="Arial"/>
        </w:rPr>
        <w:t>, under the specified conditions, with retention times of 2.5 minutes for</w:t>
      </w:r>
      <w:r>
        <w:rPr>
          <w:rFonts w:ascii="Arial" w:hAnsi="Arial" w:cs="Arial"/>
        </w:rPr>
        <w:t xml:space="preserve"> </w:t>
      </w:r>
      <w:r w:rsidRPr="0074055D">
        <w:rPr>
          <w:rFonts w:ascii="Arial" w:hAnsi="Arial" w:cs="Arial"/>
        </w:rPr>
        <w:t>Glibenclamide and 5.2 minutes for Metformin. While the blanks showed no signs of</w:t>
      </w:r>
      <w:r>
        <w:rPr>
          <w:rFonts w:ascii="Arial" w:hAnsi="Arial" w:cs="Arial"/>
        </w:rPr>
        <w:t xml:space="preserve"> </w:t>
      </w:r>
      <w:r w:rsidRPr="0074055D">
        <w:rPr>
          <w:rFonts w:ascii="Arial" w:hAnsi="Arial" w:cs="Arial"/>
        </w:rPr>
        <w:t>interference, a triplicate calibration curve was also performed, incorporating the</w:t>
      </w:r>
      <w:r>
        <w:rPr>
          <w:rFonts w:ascii="Arial" w:hAnsi="Arial" w:cs="Arial"/>
        </w:rPr>
        <w:t xml:space="preserve"> </w:t>
      </w:r>
      <w:r w:rsidRPr="0074055D">
        <w:rPr>
          <w:rFonts w:ascii="Arial" w:hAnsi="Arial" w:cs="Arial"/>
        </w:rPr>
        <w:t>formulation excipients in the intended proportions. This calibration was conducted based</w:t>
      </w:r>
      <w:r>
        <w:rPr>
          <w:rFonts w:ascii="Arial" w:hAnsi="Arial" w:cs="Arial"/>
        </w:rPr>
        <w:t xml:space="preserve"> </w:t>
      </w:r>
      <w:r w:rsidRPr="0074055D">
        <w:rPr>
          <w:rFonts w:ascii="Arial" w:hAnsi="Arial" w:cs="Arial"/>
        </w:rPr>
        <w:t>on dilution relative to the dissolution profile volume, with no significant variations observed</w:t>
      </w:r>
      <w:r>
        <w:rPr>
          <w:rFonts w:ascii="Arial" w:hAnsi="Arial" w:cs="Arial"/>
        </w:rPr>
        <w:t xml:space="preserve"> </w:t>
      </w:r>
      <w:r w:rsidRPr="0074055D">
        <w:rPr>
          <w:rFonts w:ascii="Arial" w:hAnsi="Arial" w:cs="Arial"/>
        </w:rPr>
        <w:t xml:space="preserve">in retention times. </w:t>
      </w:r>
    </w:p>
    <w:p w14:paraId="613C2E7D" w14:textId="77777777" w:rsidR="00CF243B" w:rsidRDefault="00CF243B" w:rsidP="0074055D">
      <w:pPr>
        <w:pStyle w:val="Body"/>
        <w:rPr>
          <w:rFonts w:ascii="Arial" w:hAnsi="Arial" w:cs="Arial"/>
          <w:b/>
          <w:bCs/>
        </w:rPr>
      </w:pPr>
      <w:r w:rsidRPr="00525F79">
        <w:rPr>
          <w:noProof/>
          <w:lang w:eastAsia="es-MX"/>
        </w:rPr>
        <w:drawing>
          <wp:inline distT="0" distB="0" distL="0" distR="0" wp14:anchorId="17E7B060" wp14:editId="2E6623F3">
            <wp:extent cx="5212080" cy="2569758"/>
            <wp:effectExtent l="0" t="0" r="7620" b="2540"/>
            <wp:docPr id="1074688755"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19">
                      <a:clrChange>
                        <a:clrFrom>
                          <a:srgbClr val="FFFFFF"/>
                        </a:clrFrom>
                        <a:clrTo>
                          <a:srgbClr val="FFFFFF">
                            <a:alpha val="0"/>
                          </a:srgbClr>
                        </a:clrTo>
                      </a:clrChange>
                      <a:duotone>
                        <a:prstClr val="black"/>
                        <a:schemeClr val="accent5">
                          <a:tint val="45000"/>
                          <a:satMod val="400000"/>
                        </a:schemeClr>
                      </a:duotone>
                    </a:blip>
                    <a:srcRect l="17414" t="9188" b="9036"/>
                    <a:stretch/>
                  </pic:blipFill>
                  <pic:spPr>
                    <a:xfrm>
                      <a:off x="0" y="0"/>
                      <a:ext cx="5212080" cy="2569758"/>
                    </a:xfrm>
                    <a:prstGeom prst="rect">
                      <a:avLst/>
                    </a:prstGeom>
                    <a:ln w="38100" cap="sq">
                      <a:noFill/>
                      <a:prstDash val="solid"/>
                      <a:miter lim="800000"/>
                    </a:ln>
                    <a:effectLst/>
                  </pic:spPr>
                </pic:pic>
              </a:graphicData>
            </a:graphic>
          </wp:inline>
        </w:drawing>
      </w:r>
    </w:p>
    <w:p w14:paraId="5CD06EC4" w14:textId="77777777" w:rsidR="0074055D" w:rsidRPr="0074055D" w:rsidRDefault="0074055D" w:rsidP="0074055D">
      <w:pPr>
        <w:pStyle w:val="Body"/>
        <w:rPr>
          <w:rFonts w:ascii="Arial" w:hAnsi="Arial" w:cs="Arial"/>
        </w:rPr>
      </w:pPr>
      <w:r w:rsidRPr="0074055D">
        <w:rPr>
          <w:rFonts w:ascii="Arial" w:hAnsi="Arial" w:cs="Arial"/>
          <w:b/>
          <w:bCs/>
        </w:rPr>
        <w:t>Figure 4: Glibenclamide and Metformin chromatogram. Retention times of 2.5 min for</w:t>
      </w:r>
      <w:r>
        <w:rPr>
          <w:rFonts w:ascii="Arial" w:hAnsi="Arial" w:cs="Arial"/>
          <w:b/>
          <w:bCs/>
        </w:rPr>
        <w:t xml:space="preserve"> </w:t>
      </w:r>
      <w:r w:rsidRPr="0074055D">
        <w:rPr>
          <w:rFonts w:ascii="Arial" w:hAnsi="Arial" w:cs="Arial"/>
          <w:b/>
          <w:bCs/>
        </w:rPr>
        <w:t>Glibenclamide and 5.2 min for Metformin.</w:t>
      </w:r>
    </w:p>
    <w:p w14:paraId="43362A9F" w14:textId="77777777" w:rsidR="0074055D" w:rsidRDefault="0074055D" w:rsidP="0074055D">
      <w:pPr>
        <w:pStyle w:val="Body"/>
        <w:rPr>
          <w:rFonts w:ascii="Arial" w:hAnsi="Arial" w:cs="Arial"/>
        </w:rPr>
      </w:pPr>
      <w:r w:rsidRPr="0074055D">
        <w:rPr>
          <w:rFonts w:ascii="Arial" w:hAnsi="Arial" w:cs="Arial"/>
          <w:b/>
          <w:bCs/>
        </w:rPr>
        <w:t>3.3 Effect of coating weight gain</w:t>
      </w:r>
      <w:r w:rsidRPr="0074055D">
        <w:rPr>
          <w:rFonts w:ascii="Arial" w:hAnsi="Arial" w:cs="Arial"/>
        </w:rPr>
        <w:t xml:space="preserve"> </w:t>
      </w:r>
    </w:p>
    <w:p w14:paraId="100DF24D" w14:textId="77777777" w:rsidR="0074055D" w:rsidRDefault="0074055D" w:rsidP="0074055D">
      <w:pPr>
        <w:pStyle w:val="Body"/>
        <w:rPr>
          <w:rFonts w:ascii="Arial" w:hAnsi="Arial" w:cs="Arial"/>
        </w:rPr>
      </w:pPr>
      <w:r w:rsidRPr="0074055D">
        <w:rPr>
          <w:rFonts w:ascii="Arial" w:hAnsi="Arial" w:cs="Arial"/>
        </w:rPr>
        <w:lastRenderedPageBreak/>
        <w:t>The first parameter evaluated was the effect of coating weight gain. For this purpose,</w:t>
      </w:r>
      <w:r>
        <w:rPr>
          <w:rFonts w:ascii="Arial" w:hAnsi="Arial" w:cs="Arial"/>
        </w:rPr>
        <w:t xml:space="preserve"> </w:t>
      </w:r>
      <w:r w:rsidRPr="0074055D">
        <w:rPr>
          <w:rFonts w:ascii="Arial" w:hAnsi="Arial" w:cs="Arial"/>
        </w:rPr>
        <w:t>three batches of 24 capsules of the FB formulation were coated with a 3% w/v cellulose</w:t>
      </w:r>
      <w:r>
        <w:rPr>
          <w:rFonts w:ascii="Arial" w:hAnsi="Arial" w:cs="Arial"/>
        </w:rPr>
        <w:t xml:space="preserve"> </w:t>
      </w:r>
      <w:r w:rsidRPr="0074055D">
        <w:rPr>
          <w:rFonts w:ascii="Arial" w:hAnsi="Arial" w:cs="Arial"/>
        </w:rPr>
        <w:t xml:space="preserve">acetate solution in acetone, each with different weight gains (3%, 5%, and 8%) </w:t>
      </w:r>
      <w:r w:rsidR="0047301E">
        <w:rPr>
          <w:rFonts w:ascii="Arial" w:hAnsi="Arial" w:cs="Arial"/>
        </w:rPr>
        <w:t>(</w:t>
      </w:r>
      <w:r w:rsidRPr="0074055D">
        <w:rPr>
          <w:rFonts w:ascii="Arial" w:hAnsi="Arial" w:cs="Arial"/>
        </w:rPr>
        <w:t>figure 5</w:t>
      </w:r>
      <w:r w:rsidR="0047301E">
        <w:rPr>
          <w:rFonts w:ascii="Arial" w:hAnsi="Arial" w:cs="Arial"/>
        </w:rPr>
        <w:t>)</w:t>
      </w:r>
      <w:r w:rsidRPr="0074055D">
        <w:rPr>
          <w:rFonts w:ascii="Arial" w:hAnsi="Arial" w:cs="Arial"/>
        </w:rPr>
        <w:t>.</w:t>
      </w:r>
      <w:r>
        <w:rPr>
          <w:rFonts w:ascii="Arial" w:hAnsi="Arial" w:cs="Arial"/>
        </w:rPr>
        <w:t xml:space="preserve"> </w:t>
      </w:r>
      <w:r w:rsidRPr="0074055D">
        <w:rPr>
          <w:rFonts w:ascii="Arial" w:hAnsi="Arial" w:cs="Arial"/>
        </w:rPr>
        <w:t xml:space="preserve">An orifice of </w:t>
      </w:r>
      <w:r w:rsidRPr="0074055D">
        <w:rPr>
          <w:rFonts w:ascii="Arial" w:hAnsi="Arial" w:cs="Arial"/>
          <w:b/>
          <w:bCs/>
        </w:rPr>
        <w:t xml:space="preserve">635 ± 15 </w:t>
      </w:r>
      <w:r w:rsidRPr="0074055D">
        <w:rPr>
          <w:rFonts w:ascii="Arial" w:hAnsi="Arial" w:cs="Arial"/>
          <w:b/>
          <w:bCs/>
          <w:lang w:val="es-MX"/>
        </w:rPr>
        <w:t>μ</w:t>
      </w:r>
      <w:r w:rsidRPr="0074055D">
        <w:rPr>
          <w:rFonts w:ascii="Arial" w:hAnsi="Arial" w:cs="Arial"/>
          <w:b/>
          <w:bCs/>
        </w:rPr>
        <w:t xml:space="preserve">m </w:t>
      </w:r>
      <w:r w:rsidRPr="0074055D">
        <w:rPr>
          <w:rFonts w:ascii="Arial" w:hAnsi="Arial" w:cs="Arial"/>
        </w:rPr>
        <w:t>was created in the osmotic systems using mechanical drilling.</w:t>
      </w:r>
      <w:r>
        <w:rPr>
          <w:rFonts w:ascii="Arial" w:hAnsi="Arial" w:cs="Arial"/>
        </w:rPr>
        <w:t xml:space="preserve"> </w:t>
      </w:r>
      <w:r w:rsidRPr="0074055D">
        <w:rPr>
          <w:rFonts w:ascii="Arial" w:hAnsi="Arial" w:cs="Arial"/>
        </w:rPr>
        <w:t>Figure 5 shows the osmotic capsule systems with different weight gains. The release</w:t>
      </w:r>
      <w:r>
        <w:rPr>
          <w:rFonts w:ascii="Arial" w:hAnsi="Arial" w:cs="Arial"/>
        </w:rPr>
        <w:t xml:space="preserve"> </w:t>
      </w:r>
      <w:r w:rsidRPr="0074055D">
        <w:rPr>
          <w:rFonts w:ascii="Arial" w:hAnsi="Arial" w:cs="Arial"/>
        </w:rPr>
        <w:t>profile obtained from this experiment indicates that weight gain impacts drug release: the</w:t>
      </w:r>
      <w:r>
        <w:rPr>
          <w:rFonts w:ascii="Arial" w:hAnsi="Arial" w:cs="Arial"/>
        </w:rPr>
        <w:t xml:space="preserve"> </w:t>
      </w:r>
      <w:r w:rsidRPr="0074055D">
        <w:rPr>
          <w:rFonts w:ascii="Arial" w:hAnsi="Arial" w:cs="Arial"/>
        </w:rPr>
        <w:t>higher the percentage of weight gain, the longer the lag time (</w:t>
      </w:r>
      <w:r w:rsidRPr="0074055D">
        <w:rPr>
          <w:rFonts w:ascii="Arial" w:hAnsi="Arial" w:cs="Arial"/>
          <w:b/>
          <w:bCs/>
        </w:rPr>
        <w:t>T lag</w:t>
      </w:r>
      <w:r w:rsidRPr="0074055D">
        <w:rPr>
          <w:rFonts w:ascii="Arial" w:hAnsi="Arial" w:cs="Arial"/>
        </w:rPr>
        <w:t>), increasing from 1.5</w:t>
      </w:r>
      <w:r>
        <w:rPr>
          <w:rFonts w:ascii="Arial" w:hAnsi="Arial" w:cs="Arial"/>
        </w:rPr>
        <w:t xml:space="preserve"> </w:t>
      </w:r>
      <w:r w:rsidRPr="0074055D">
        <w:rPr>
          <w:rFonts w:ascii="Arial" w:hAnsi="Arial" w:cs="Arial"/>
        </w:rPr>
        <w:t>to 2 hours (Figure 6). However, the release rate remained linear and within an appropriate</w:t>
      </w:r>
      <w:r>
        <w:rPr>
          <w:rFonts w:ascii="Arial" w:hAnsi="Arial" w:cs="Arial"/>
        </w:rPr>
        <w:t xml:space="preserve"> </w:t>
      </w:r>
      <w:r w:rsidRPr="0074055D">
        <w:rPr>
          <w:rFonts w:ascii="Arial" w:hAnsi="Arial" w:cs="Arial"/>
        </w:rPr>
        <w:t xml:space="preserve">range, so a 3% weight gain was selected for the rest of the experimental design. </w:t>
      </w:r>
    </w:p>
    <w:p w14:paraId="021533F7" w14:textId="77777777" w:rsidR="00CF243B" w:rsidRDefault="00CF243B" w:rsidP="0074055D">
      <w:pPr>
        <w:pStyle w:val="Body"/>
        <w:rPr>
          <w:rFonts w:ascii="Arial" w:hAnsi="Arial" w:cs="Arial"/>
          <w:b/>
          <w:bCs/>
        </w:rPr>
      </w:pPr>
      <w:r w:rsidRPr="003F3DAE">
        <w:rPr>
          <w:noProof/>
          <w:lang w:eastAsia="es-MX"/>
        </w:rPr>
        <w:drawing>
          <wp:inline distT="0" distB="0" distL="0" distR="0" wp14:anchorId="1F7DE949" wp14:editId="3C6B5E5A">
            <wp:extent cx="3883231" cy="1657435"/>
            <wp:effectExtent l="0" t="0" r="3175" b="0"/>
            <wp:docPr id="33"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 Imagen"/>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9057" cy="1659921"/>
                    </a:xfrm>
                    <a:prstGeom prst="roundRect">
                      <a:avLst>
                        <a:gd name="adj" fmla="val 8594"/>
                      </a:avLst>
                    </a:prstGeom>
                    <a:solidFill>
                      <a:srgbClr val="FFFFFF">
                        <a:shade val="85000"/>
                      </a:srgbClr>
                    </a:solidFill>
                    <a:ln>
                      <a:noFill/>
                    </a:ln>
                    <a:effectLst/>
                  </pic:spPr>
                </pic:pic>
              </a:graphicData>
            </a:graphic>
          </wp:inline>
        </w:drawing>
      </w:r>
    </w:p>
    <w:p w14:paraId="027742DB" w14:textId="77777777" w:rsidR="0074055D" w:rsidRDefault="0074055D" w:rsidP="0074055D">
      <w:pPr>
        <w:pStyle w:val="Body"/>
        <w:rPr>
          <w:rFonts w:ascii="Arial" w:hAnsi="Arial" w:cs="Arial"/>
        </w:rPr>
      </w:pPr>
      <w:r w:rsidRPr="0074055D">
        <w:rPr>
          <w:rFonts w:ascii="Arial" w:hAnsi="Arial" w:cs="Arial"/>
          <w:b/>
          <w:bCs/>
        </w:rPr>
        <w:t>Figure 5. Weight gain. From left to right, normal, sealed, 3%, 5% and 8%.</w:t>
      </w:r>
      <w:r w:rsidRPr="0074055D">
        <w:rPr>
          <w:rFonts w:ascii="Arial" w:hAnsi="Arial" w:cs="Arial"/>
        </w:rPr>
        <w:t xml:space="preserve"> </w:t>
      </w:r>
    </w:p>
    <w:p w14:paraId="344C80E9" w14:textId="77777777" w:rsidR="0074055D" w:rsidRDefault="0074055D" w:rsidP="0074055D">
      <w:pPr>
        <w:pStyle w:val="Body"/>
        <w:rPr>
          <w:rFonts w:ascii="Arial" w:hAnsi="Arial" w:cs="Arial"/>
        </w:rPr>
      </w:pPr>
      <w:r w:rsidRPr="0074055D">
        <w:rPr>
          <w:rFonts w:ascii="Arial" w:hAnsi="Arial" w:cs="Arial"/>
        </w:rPr>
        <w:t>For practical purposes, only the results for 3% and 5% weight gain are shown, as an 8%</w:t>
      </w:r>
      <w:r>
        <w:rPr>
          <w:rFonts w:ascii="Arial" w:hAnsi="Arial" w:cs="Arial"/>
        </w:rPr>
        <w:t xml:space="preserve"> </w:t>
      </w:r>
      <w:r w:rsidRPr="0074055D">
        <w:rPr>
          <w:rFonts w:ascii="Arial" w:hAnsi="Arial" w:cs="Arial"/>
        </w:rPr>
        <w:t>weight gain resulted in a delayed release time of over 6 hours. In this context, a similar</w:t>
      </w:r>
      <w:r>
        <w:rPr>
          <w:rFonts w:ascii="Arial" w:hAnsi="Arial" w:cs="Arial"/>
        </w:rPr>
        <w:t xml:space="preserve"> </w:t>
      </w:r>
      <w:r w:rsidRPr="0074055D">
        <w:rPr>
          <w:rFonts w:ascii="Arial" w:hAnsi="Arial" w:cs="Arial"/>
        </w:rPr>
        <w:t>study reported that with a 50 mg coating weight gain, 57% of Metformin was released at</w:t>
      </w:r>
      <w:r>
        <w:rPr>
          <w:rFonts w:ascii="Arial" w:hAnsi="Arial" w:cs="Arial"/>
        </w:rPr>
        <w:t xml:space="preserve"> </w:t>
      </w:r>
      <w:r w:rsidRPr="0074055D">
        <w:rPr>
          <w:rFonts w:ascii="Arial" w:hAnsi="Arial" w:cs="Arial"/>
        </w:rPr>
        <w:t>6 hours, whereas with a 30 mg weight gain, 86% was released at 6 hours. Based on these</w:t>
      </w:r>
      <w:r>
        <w:rPr>
          <w:rFonts w:ascii="Arial" w:hAnsi="Arial" w:cs="Arial"/>
        </w:rPr>
        <w:t xml:space="preserve"> </w:t>
      </w:r>
      <w:r w:rsidRPr="0074055D">
        <w:rPr>
          <w:rFonts w:ascii="Arial" w:hAnsi="Arial" w:cs="Arial"/>
        </w:rPr>
        <w:t>findings, a 2% (30 mg) weight gain of cellulose acetate was selected for the remainder of</w:t>
      </w:r>
      <w:r>
        <w:rPr>
          <w:rFonts w:ascii="Arial" w:hAnsi="Arial" w:cs="Arial"/>
        </w:rPr>
        <w:t xml:space="preserve"> </w:t>
      </w:r>
      <w:r w:rsidRPr="0074055D">
        <w:rPr>
          <w:rFonts w:ascii="Arial" w:hAnsi="Arial" w:cs="Arial"/>
        </w:rPr>
        <w:t xml:space="preserve">their study [16]. </w:t>
      </w:r>
    </w:p>
    <w:p w14:paraId="75FA41B4" w14:textId="77777777" w:rsidR="00CF243B" w:rsidRDefault="00CF243B" w:rsidP="0074055D">
      <w:pPr>
        <w:pStyle w:val="Body"/>
        <w:rPr>
          <w:rFonts w:ascii="Arial" w:hAnsi="Arial" w:cs="Arial"/>
          <w:b/>
          <w:bCs/>
        </w:rPr>
      </w:pPr>
      <w:r>
        <w:rPr>
          <w:noProof/>
          <w:lang w:eastAsia="es-MX"/>
        </w:rPr>
        <w:drawing>
          <wp:inline distT="0" distB="0" distL="0" distR="0" wp14:anchorId="7E0F6B72" wp14:editId="743E1363">
            <wp:extent cx="5212080" cy="2623811"/>
            <wp:effectExtent l="0" t="0" r="7620" b="5715"/>
            <wp:docPr id="1201864866" name="Imagen 120186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2623811"/>
                    </a:xfrm>
                    <a:prstGeom prst="rect">
                      <a:avLst/>
                    </a:prstGeom>
                    <a:noFill/>
                    <a:ln>
                      <a:noFill/>
                    </a:ln>
                  </pic:spPr>
                </pic:pic>
              </a:graphicData>
            </a:graphic>
          </wp:inline>
        </w:drawing>
      </w:r>
    </w:p>
    <w:p w14:paraId="1CB79180" w14:textId="77777777" w:rsidR="0074055D" w:rsidRPr="0047301E" w:rsidRDefault="0074055D" w:rsidP="0074055D">
      <w:pPr>
        <w:pStyle w:val="Body"/>
        <w:rPr>
          <w:rFonts w:ascii="Arial" w:hAnsi="Arial" w:cs="Arial"/>
          <w:b/>
          <w:bCs/>
        </w:rPr>
      </w:pPr>
      <w:r w:rsidRPr="0074055D">
        <w:rPr>
          <w:rFonts w:ascii="Arial" w:hAnsi="Arial" w:cs="Arial"/>
          <w:b/>
          <w:bCs/>
        </w:rPr>
        <w:t>Figure 6. Release rate of Metformin released as a function of weight gain (3% and 5%).</w:t>
      </w:r>
      <w:r>
        <w:rPr>
          <w:rFonts w:ascii="Arial" w:hAnsi="Arial" w:cs="Arial"/>
          <w:b/>
          <w:bCs/>
        </w:rPr>
        <w:t xml:space="preserve"> </w:t>
      </w:r>
      <w:r w:rsidRPr="0074055D">
        <w:rPr>
          <w:rFonts w:ascii="Arial" w:hAnsi="Arial" w:cs="Arial"/>
          <w:b/>
          <w:bCs/>
        </w:rPr>
        <w:t>See the impact in the lag time of the systems.</w:t>
      </w:r>
      <w:r w:rsidRPr="0047301E">
        <w:rPr>
          <w:rFonts w:ascii="Arial" w:hAnsi="Arial" w:cs="Arial"/>
          <w:b/>
          <w:bCs/>
        </w:rPr>
        <w:t xml:space="preserve"> </w:t>
      </w:r>
      <w:r w:rsidR="0047301E" w:rsidRPr="0047301E">
        <w:rPr>
          <w:rFonts w:ascii="Arial" w:hAnsi="Arial" w:cs="Arial"/>
          <w:b/>
          <w:bCs/>
        </w:rPr>
        <w:t>The green points were not included in the reggresion analysis</w:t>
      </w:r>
    </w:p>
    <w:p w14:paraId="49559FC2" w14:textId="77777777" w:rsidR="0074055D" w:rsidRDefault="0074055D" w:rsidP="0074055D">
      <w:pPr>
        <w:pStyle w:val="Body"/>
        <w:rPr>
          <w:rFonts w:ascii="Arial" w:hAnsi="Arial" w:cs="Arial"/>
        </w:rPr>
      </w:pPr>
      <w:r w:rsidRPr="0074055D">
        <w:rPr>
          <w:rFonts w:ascii="Arial" w:hAnsi="Arial" w:cs="Arial"/>
          <w:b/>
          <w:bCs/>
        </w:rPr>
        <w:lastRenderedPageBreak/>
        <w:t>3.4 Effect of Variation in the Amount and Type of Osmotic Agent on Release</w:t>
      </w:r>
      <w:r>
        <w:rPr>
          <w:rFonts w:ascii="Arial" w:hAnsi="Arial" w:cs="Arial"/>
          <w:b/>
          <w:bCs/>
        </w:rPr>
        <w:t xml:space="preserve"> </w:t>
      </w:r>
      <w:r w:rsidRPr="0074055D">
        <w:rPr>
          <w:rFonts w:ascii="Arial" w:hAnsi="Arial" w:cs="Arial"/>
          <w:b/>
          <w:bCs/>
        </w:rPr>
        <w:t>Mannitol-Sorbitol Mixture</w:t>
      </w:r>
      <w:r w:rsidRPr="0074055D">
        <w:rPr>
          <w:rFonts w:ascii="Arial" w:hAnsi="Arial" w:cs="Arial"/>
        </w:rPr>
        <w:t xml:space="preserve"> </w:t>
      </w:r>
    </w:p>
    <w:p w14:paraId="74DEC185" w14:textId="77777777" w:rsidR="0074055D" w:rsidRDefault="0074055D" w:rsidP="0074055D">
      <w:pPr>
        <w:pStyle w:val="Body"/>
        <w:rPr>
          <w:rFonts w:ascii="Arial" w:hAnsi="Arial" w:cs="Arial"/>
        </w:rPr>
      </w:pPr>
      <w:r w:rsidRPr="0074055D">
        <w:rPr>
          <w:rFonts w:ascii="Arial" w:hAnsi="Arial" w:cs="Arial"/>
        </w:rPr>
        <w:t>In Figure 7a, it can be observed that the release of Glibenclamide is influenced by the</w:t>
      </w:r>
      <w:r>
        <w:rPr>
          <w:rFonts w:ascii="Arial" w:hAnsi="Arial" w:cs="Arial"/>
        </w:rPr>
        <w:t xml:space="preserve"> </w:t>
      </w:r>
      <w:r w:rsidRPr="0074055D">
        <w:rPr>
          <w:rFonts w:ascii="Arial" w:hAnsi="Arial" w:cs="Arial"/>
        </w:rPr>
        <w:t>amount of the osmotic agents. The drug release percentages were</w:t>
      </w:r>
      <w:r>
        <w:rPr>
          <w:rFonts w:ascii="Arial" w:hAnsi="Arial" w:cs="Arial"/>
        </w:rPr>
        <w:t xml:space="preserve"> </w:t>
      </w:r>
      <w:r w:rsidRPr="0074055D">
        <w:rPr>
          <w:rFonts w:ascii="Arial" w:hAnsi="Arial" w:cs="Arial"/>
        </w:rPr>
        <w:t>21.45% in 12.5 hours for the low level (25 mg/capsule), 28.53% for the medium level,</w:t>
      </w:r>
      <w:r>
        <w:rPr>
          <w:rFonts w:ascii="Arial" w:hAnsi="Arial" w:cs="Arial"/>
        </w:rPr>
        <w:t xml:space="preserve"> </w:t>
      </w:r>
      <w:r w:rsidRPr="0074055D">
        <w:rPr>
          <w:rFonts w:ascii="Arial" w:hAnsi="Arial" w:cs="Arial"/>
        </w:rPr>
        <w:t>and 32.20% for the high level.</w:t>
      </w:r>
      <w:r>
        <w:rPr>
          <w:rFonts w:ascii="Arial" w:hAnsi="Arial" w:cs="Arial"/>
        </w:rPr>
        <w:t xml:space="preserve"> </w:t>
      </w:r>
      <w:r w:rsidRPr="0074055D">
        <w:rPr>
          <w:rFonts w:ascii="Arial" w:hAnsi="Arial" w:cs="Arial"/>
        </w:rPr>
        <w:t>Additionally, the lag phases were also affected by the amount of osmotic agent, with a</w:t>
      </w:r>
      <w:r>
        <w:rPr>
          <w:rFonts w:ascii="Arial" w:hAnsi="Arial" w:cs="Arial"/>
        </w:rPr>
        <w:t xml:space="preserve"> </w:t>
      </w:r>
      <w:r w:rsidRPr="0074055D">
        <w:rPr>
          <w:rFonts w:ascii="Arial" w:hAnsi="Arial" w:cs="Arial"/>
        </w:rPr>
        <w:t xml:space="preserve">shorter lag phase at the high level. </w:t>
      </w:r>
    </w:p>
    <w:p w14:paraId="20B308AC" w14:textId="77777777" w:rsidR="00CF243B" w:rsidRDefault="00CF243B" w:rsidP="0074055D">
      <w:pPr>
        <w:pStyle w:val="Body"/>
        <w:rPr>
          <w:rFonts w:ascii="Arial" w:hAnsi="Arial" w:cs="Arial"/>
          <w:b/>
          <w:bCs/>
        </w:rPr>
      </w:pPr>
    </w:p>
    <w:p w14:paraId="0F6083FB" w14:textId="77777777" w:rsidR="00CF243B" w:rsidRDefault="002B7539" w:rsidP="00CF243B">
      <w:pPr>
        <w:pStyle w:val="Textonotaalfinal"/>
        <w:rPr>
          <w:b/>
          <w:caps/>
          <w:lang w:val="en"/>
        </w:rPr>
      </w:pPr>
      <w:r>
        <w:object w:dxaOrig="21578" w:dyaOrig="7045" w14:anchorId="1F6F2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5pt;height:194.15pt" o:ole="">
            <v:imagedata r:id="rId22" o:title=""/>
          </v:shape>
          <o:OLEObject Type="Embed" ProgID="PBrush" ShapeID="_x0000_i1025" DrawAspect="Content" ObjectID="_1809797199" r:id="rId23"/>
        </w:object>
      </w:r>
    </w:p>
    <w:p w14:paraId="04B3F154" w14:textId="77777777" w:rsidR="0074055D" w:rsidRDefault="008E289D" w:rsidP="0074055D">
      <w:pPr>
        <w:pStyle w:val="Body"/>
        <w:rPr>
          <w:rFonts w:ascii="Arial" w:hAnsi="Arial" w:cs="Arial"/>
        </w:rPr>
      </w:pPr>
      <w:r>
        <w:rPr>
          <w:noProof/>
        </w:rPr>
        <mc:AlternateContent>
          <mc:Choice Requires="wpg">
            <w:drawing>
              <wp:anchor distT="0" distB="0" distL="114300" distR="114300" simplePos="0" relativeHeight="251662336" behindDoc="0" locked="0" layoutInCell="1" allowOverlap="1" wp14:anchorId="06BF03CA" wp14:editId="69011D32">
                <wp:simplePos x="0" y="0"/>
                <wp:positionH relativeFrom="column">
                  <wp:posOffset>2564476</wp:posOffset>
                </wp:positionH>
                <wp:positionV relativeFrom="paragraph">
                  <wp:posOffset>170772</wp:posOffset>
                </wp:positionV>
                <wp:extent cx="86591" cy="85825"/>
                <wp:effectExtent l="317" t="0" r="9208" b="28257"/>
                <wp:wrapNone/>
                <wp:docPr id="2123378719" name="Grupo 5"/>
                <wp:cNvGraphicFramePr/>
                <a:graphic xmlns:a="http://schemas.openxmlformats.org/drawingml/2006/main">
                  <a:graphicData uri="http://schemas.microsoft.com/office/word/2010/wordprocessingGroup">
                    <wpg:wgp>
                      <wpg:cNvGrpSpPr/>
                      <wpg:grpSpPr>
                        <a:xfrm rot="5400000">
                          <a:off x="0" y="0"/>
                          <a:ext cx="86591" cy="85825"/>
                          <a:chOff x="0" y="0"/>
                          <a:chExt cx="594360" cy="579120"/>
                        </a:xfrm>
                      </wpg:grpSpPr>
                      <wps:wsp>
                        <wps:cNvPr id="1880734745" name="Elipse 2"/>
                        <wps:cNvSpPr/>
                        <wps:spPr>
                          <a:xfrm>
                            <a:off x="0" y="35560"/>
                            <a:ext cx="594360" cy="53340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716490" name="Círculo parcial 4"/>
                        <wps:cNvSpPr/>
                        <wps:spPr>
                          <a:xfrm>
                            <a:off x="15240" y="0"/>
                            <a:ext cx="568960" cy="579120"/>
                          </a:xfrm>
                          <a:prstGeom prst="pie">
                            <a:avLst>
                              <a:gd name="adj1" fmla="val 0"/>
                              <a:gd name="adj2" fmla="val 10800000"/>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393DE4" id="Grupo 5" o:spid="_x0000_s1026" style="position:absolute;margin-left:201.95pt;margin-top:13.45pt;width:6.8pt;height:6.75pt;rotation:90;z-index:251662336;mso-width-relative:margin;mso-height-relative:margin" coordsize="594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">
                <v:oval id="Elipse 2" o:spid="_x0000_s1027" style="position:absolute;top:355;width:594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" fillcolor="#e00" strokecolor="#0a121c [484]" strokeweight=".5pt"/>
                <v:shape id="Círculo parcial 4" o:spid="_x0000_s1028" style="position:absolute;left:152;width:5690;height:5791;visibility:visible;mso-wrap-style:square;v-text-anchor:middle" coordsize="56896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" path="m568960,289560v,159920,-127366,289560,-284480,289560c127366,579120,,449480,,289560r284480,l568960,289560xe" fillcolor="white [3212]" strokecolor="#0a121c [484]" strokeweight=".5pt">
                  <v:path arrowok="t" o:connecttype="custom" o:connectlocs="568960,289560;284480,579120;0,289560;284480,289560;568960,289560" o:connectangles="0,0,0,0,0"/>
                </v:shape>
              </v:group>
            </w:pict>
          </mc:Fallback>
        </mc:AlternateContent>
      </w:r>
      <w:r>
        <w:rPr>
          <w:noProof/>
        </w:rPr>
        <mc:AlternateContent>
          <mc:Choice Requires="wpg">
            <w:drawing>
              <wp:anchor distT="0" distB="0" distL="114300" distR="114300" simplePos="0" relativeHeight="251660288" behindDoc="0" locked="0" layoutInCell="1" allowOverlap="1" wp14:anchorId="6AC9E592" wp14:editId="5E790D25">
                <wp:simplePos x="0" y="0"/>
                <wp:positionH relativeFrom="column">
                  <wp:posOffset>1630680</wp:posOffset>
                </wp:positionH>
                <wp:positionV relativeFrom="paragraph">
                  <wp:posOffset>161925</wp:posOffset>
                </wp:positionV>
                <wp:extent cx="81280" cy="91440"/>
                <wp:effectExtent l="0" t="0" r="13970" b="22860"/>
                <wp:wrapNone/>
                <wp:docPr id="2118740754" name="Grupo 5"/>
                <wp:cNvGraphicFramePr/>
                <a:graphic xmlns:a="http://schemas.openxmlformats.org/drawingml/2006/main">
                  <a:graphicData uri="http://schemas.microsoft.com/office/word/2010/wordprocessingGroup">
                    <wpg:wgp>
                      <wpg:cNvGrpSpPr/>
                      <wpg:grpSpPr>
                        <a:xfrm>
                          <a:off x="0" y="0"/>
                          <a:ext cx="81280" cy="91440"/>
                          <a:chOff x="0" y="0"/>
                          <a:chExt cx="594360" cy="579120"/>
                        </a:xfrm>
                      </wpg:grpSpPr>
                      <wps:wsp>
                        <wps:cNvPr id="1700126496" name="Elipse 2"/>
                        <wps:cNvSpPr/>
                        <wps:spPr>
                          <a:xfrm>
                            <a:off x="0" y="35560"/>
                            <a:ext cx="594360" cy="533400"/>
                          </a:xfrm>
                          <a:prstGeom prst="ellipse">
                            <a:avLst/>
                          </a:prstGeom>
                          <a:solidFill>
                            <a:srgbClr val="0000FF"/>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4828" name="Círculo parcial 4"/>
                        <wps:cNvSpPr/>
                        <wps:spPr>
                          <a:xfrm>
                            <a:off x="15240" y="0"/>
                            <a:ext cx="568960" cy="579120"/>
                          </a:xfrm>
                          <a:prstGeom prst="pie">
                            <a:avLst>
                              <a:gd name="adj1" fmla="val 0"/>
                              <a:gd name="adj2" fmla="val 10800000"/>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C85ECE" id="Grupo 5" o:spid="_x0000_s1026" style="position:absolute;margin-left:128.4pt;margin-top:12.75pt;width:6.4pt;height:7.2pt;z-index:251660288;mso-width-relative:margin;mso-height-relative:margin" coordsize="5943,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">
                <v:oval id="Elipse 2" o:spid="_x0000_s1027" style="position:absolute;top:355;width:594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" fillcolor="blue" strokecolor="#0a121c [484]" strokeweight=".5pt"/>
                <v:shape id="Círculo parcial 4" o:spid="_x0000_s1028" style="position:absolute;left:152;width:5690;height:5791;visibility:visible;mso-wrap-style:square;v-text-anchor:middle" coordsize="56896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" path="m568960,289560v,159920,-127366,289560,-284480,289560c127366,579120,,449480,,289560r284480,l568960,289560xe" fillcolor="white [3212]" strokecolor="#0a121c [484]" strokeweight=".5pt">
                  <v:path arrowok="t" o:connecttype="custom" o:connectlocs="568960,289560;284480,579120;0,289560;284480,289560;568960,289560" o:connectangles="0,0,0,0,0"/>
                </v:shape>
              </v:group>
            </w:pict>
          </mc:Fallback>
        </mc:AlternateContent>
      </w:r>
      <w:r w:rsidR="0074055D" w:rsidRPr="0074055D">
        <w:rPr>
          <w:rFonts w:ascii="Arial" w:hAnsi="Arial" w:cs="Arial"/>
          <w:b/>
          <w:bCs/>
        </w:rPr>
        <w:t>Figure 7. Effect of osmotic agent concentration on the release of a) Glibenclamide, b)</w:t>
      </w:r>
      <w:r w:rsidR="0074055D">
        <w:rPr>
          <w:rFonts w:ascii="Arial" w:hAnsi="Arial" w:cs="Arial"/>
          <w:b/>
          <w:bCs/>
        </w:rPr>
        <w:t xml:space="preserve"> </w:t>
      </w:r>
      <w:r w:rsidR="0074055D" w:rsidRPr="0074055D">
        <w:rPr>
          <w:rFonts w:ascii="Arial" w:hAnsi="Arial" w:cs="Arial"/>
          <w:b/>
          <w:bCs/>
        </w:rPr>
        <w:t>Metformin</w:t>
      </w:r>
      <w:r>
        <w:rPr>
          <w:rFonts w:ascii="Arial" w:hAnsi="Arial" w:cs="Arial"/>
          <w:b/>
          <w:bCs/>
        </w:rPr>
        <w:t>. With 25 (●), 50 (   )and 100 mg (   ) of osmoitic agent respectivelly</w:t>
      </w:r>
    </w:p>
    <w:p w14:paraId="063DDF63" w14:textId="77777777" w:rsidR="0074055D" w:rsidRDefault="0074055D" w:rsidP="0074055D">
      <w:pPr>
        <w:pStyle w:val="Body"/>
        <w:rPr>
          <w:rFonts w:ascii="Arial" w:hAnsi="Arial" w:cs="Arial"/>
        </w:rPr>
      </w:pPr>
      <w:r w:rsidRPr="0074055D">
        <w:rPr>
          <w:rFonts w:ascii="Arial" w:hAnsi="Arial" w:cs="Arial"/>
          <w:b/>
          <w:bCs/>
        </w:rPr>
        <w:t xml:space="preserve">Table 3. </w:t>
      </w:r>
      <w:r w:rsidR="00E475F9">
        <w:rPr>
          <w:rFonts w:ascii="Arial" w:hAnsi="Arial" w:cs="Arial"/>
          <w:b/>
          <w:bCs/>
        </w:rPr>
        <w:t>Responses of the osmotic pumps: % release at 12.5 h, release rate and Lag time. For the Metformin and for Glibenclamide</w:t>
      </w:r>
      <w:r w:rsidR="00E475F9" w:rsidRPr="00E475F9">
        <w:rPr>
          <w:rFonts w:ascii="Arial" w:hAnsi="Arial" w:cs="Arial"/>
          <w:b/>
          <w:bCs/>
        </w:rPr>
        <w:t xml:space="preserve"> </w:t>
      </w:r>
      <w:r w:rsidR="00E475F9">
        <w:rPr>
          <w:rFonts w:ascii="Arial" w:hAnsi="Arial" w:cs="Arial"/>
          <w:b/>
          <w:bCs/>
        </w:rPr>
        <w:t>results.</w:t>
      </w:r>
    </w:p>
    <w:tbl>
      <w:tblPr>
        <w:tblStyle w:val="Tablaconcuadrcula"/>
        <w:tblW w:w="10210" w:type="dxa"/>
        <w:jc w:val="center"/>
        <w:tblLook w:val="04A0" w:firstRow="1" w:lastRow="0" w:firstColumn="1" w:lastColumn="0" w:noHBand="0" w:noVBand="1"/>
      </w:tblPr>
      <w:tblGrid>
        <w:gridCol w:w="1537"/>
        <w:gridCol w:w="2002"/>
        <w:gridCol w:w="2353"/>
        <w:gridCol w:w="2495"/>
        <w:gridCol w:w="1823"/>
      </w:tblGrid>
      <w:tr w:rsidR="00CF243B" w:rsidRPr="00CF243B" w14:paraId="006C3410" w14:textId="77777777" w:rsidTr="00666D4B">
        <w:trPr>
          <w:jc w:val="center"/>
        </w:trPr>
        <w:tc>
          <w:tcPr>
            <w:tcW w:w="10210" w:type="dxa"/>
            <w:gridSpan w:val="5"/>
            <w:shd w:val="pct15" w:color="auto" w:fill="auto"/>
            <w:vAlign w:val="center"/>
          </w:tcPr>
          <w:p w14:paraId="0EAF9177" w14:textId="77777777" w:rsidR="00CF243B" w:rsidRPr="00CF243B" w:rsidRDefault="00CF243B" w:rsidP="00CF243B">
            <w:pPr>
              <w:pStyle w:val="Prrafodelista"/>
              <w:numPr>
                <w:ilvl w:val="0"/>
                <w:numId w:val="31"/>
              </w:numPr>
              <w:spacing w:before="40" w:after="40" w:line="240" w:lineRule="auto"/>
              <w:jc w:val="center"/>
              <w:rPr>
                <w:sz w:val="20"/>
                <w:szCs w:val="20"/>
              </w:rPr>
            </w:pPr>
            <w:r w:rsidRPr="00E475F9">
              <w:rPr>
                <w:b/>
                <w:bCs/>
                <w:sz w:val="20"/>
                <w:szCs w:val="20"/>
              </w:rPr>
              <w:t>Glibenclamide</w:t>
            </w:r>
            <w:r w:rsidRPr="00CF243B">
              <w:rPr>
                <w:sz w:val="20"/>
                <w:szCs w:val="20"/>
              </w:rPr>
              <w:t xml:space="preserve"> </w:t>
            </w:r>
          </w:p>
        </w:tc>
      </w:tr>
      <w:tr w:rsidR="00CF243B" w:rsidRPr="00CF243B" w14:paraId="29E3C2A0" w14:textId="77777777" w:rsidTr="00666D4B">
        <w:trPr>
          <w:jc w:val="center"/>
        </w:trPr>
        <w:tc>
          <w:tcPr>
            <w:tcW w:w="1537" w:type="dxa"/>
            <w:vAlign w:val="center"/>
          </w:tcPr>
          <w:p w14:paraId="5215F545" w14:textId="77777777" w:rsidR="00CF243B" w:rsidRPr="00CF243B" w:rsidRDefault="00CF243B" w:rsidP="00666D4B">
            <w:pPr>
              <w:jc w:val="center"/>
              <w:rPr>
                <w:b/>
                <w:sz w:val="20"/>
                <w:szCs w:val="20"/>
              </w:rPr>
            </w:pPr>
            <w:r w:rsidRPr="00CF243B">
              <w:rPr>
                <w:b/>
                <w:sz w:val="20"/>
                <w:szCs w:val="20"/>
              </w:rPr>
              <w:t>Formulation</w:t>
            </w:r>
          </w:p>
        </w:tc>
        <w:tc>
          <w:tcPr>
            <w:tcW w:w="2002" w:type="dxa"/>
            <w:vAlign w:val="center"/>
          </w:tcPr>
          <w:p w14:paraId="2F6F3F65" w14:textId="77777777" w:rsidR="00CF243B" w:rsidRPr="00CF243B" w:rsidRDefault="00CF243B" w:rsidP="00666D4B">
            <w:pPr>
              <w:jc w:val="center"/>
              <w:rPr>
                <w:b/>
                <w:sz w:val="20"/>
                <w:szCs w:val="20"/>
              </w:rPr>
            </w:pPr>
            <w:r w:rsidRPr="00CF243B">
              <w:rPr>
                <w:b/>
                <w:sz w:val="20"/>
                <w:szCs w:val="20"/>
              </w:rPr>
              <w:t xml:space="preserve">Level </w:t>
            </w:r>
          </w:p>
        </w:tc>
        <w:tc>
          <w:tcPr>
            <w:tcW w:w="2353" w:type="dxa"/>
            <w:vAlign w:val="center"/>
          </w:tcPr>
          <w:p w14:paraId="59DFD723" w14:textId="77777777" w:rsidR="00CF243B" w:rsidRPr="00CF243B" w:rsidRDefault="00CF243B" w:rsidP="00666D4B">
            <w:pPr>
              <w:jc w:val="center"/>
              <w:rPr>
                <w:b/>
                <w:sz w:val="20"/>
                <w:szCs w:val="20"/>
              </w:rPr>
            </w:pPr>
            <w:r w:rsidRPr="00CF243B">
              <w:rPr>
                <w:b/>
                <w:sz w:val="20"/>
                <w:szCs w:val="20"/>
              </w:rPr>
              <w:t>% release at 12.5 h</w:t>
            </w:r>
          </w:p>
        </w:tc>
        <w:tc>
          <w:tcPr>
            <w:tcW w:w="2495" w:type="dxa"/>
            <w:vAlign w:val="center"/>
          </w:tcPr>
          <w:p w14:paraId="7B4D448F" w14:textId="77777777" w:rsidR="00CF243B" w:rsidRPr="00CF243B" w:rsidRDefault="00CF243B" w:rsidP="00666D4B">
            <w:pPr>
              <w:jc w:val="center"/>
              <w:rPr>
                <w:b/>
                <w:sz w:val="20"/>
                <w:szCs w:val="20"/>
              </w:rPr>
            </w:pPr>
            <w:r w:rsidRPr="00CF243B">
              <w:rPr>
                <w:b/>
                <w:sz w:val="20"/>
                <w:szCs w:val="20"/>
              </w:rPr>
              <w:t>Slope (release rate)</w:t>
            </w:r>
          </w:p>
        </w:tc>
        <w:tc>
          <w:tcPr>
            <w:tcW w:w="1823" w:type="dxa"/>
          </w:tcPr>
          <w:p w14:paraId="5E4C22E6" w14:textId="77777777" w:rsidR="00CF243B" w:rsidRPr="00CF243B" w:rsidRDefault="00CF243B" w:rsidP="00666D4B">
            <w:pPr>
              <w:jc w:val="center"/>
              <w:rPr>
                <w:b/>
                <w:sz w:val="20"/>
                <w:szCs w:val="20"/>
              </w:rPr>
            </w:pPr>
            <w:r w:rsidRPr="00CF243B">
              <w:rPr>
                <w:b/>
                <w:sz w:val="20"/>
                <w:szCs w:val="20"/>
              </w:rPr>
              <w:t>Lag time(h)</w:t>
            </w:r>
          </w:p>
        </w:tc>
      </w:tr>
      <w:tr w:rsidR="00CF243B" w:rsidRPr="00CF243B" w14:paraId="50EA84FD" w14:textId="77777777" w:rsidTr="00666D4B">
        <w:trPr>
          <w:jc w:val="center"/>
        </w:trPr>
        <w:tc>
          <w:tcPr>
            <w:tcW w:w="1537" w:type="dxa"/>
            <w:vAlign w:val="center"/>
          </w:tcPr>
          <w:p w14:paraId="21AE2B46" w14:textId="77777777" w:rsidR="00CF243B" w:rsidRPr="00CF243B" w:rsidRDefault="00CF243B" w:rsidP="00666D4B">
            <w:pPr>
              <w:jc w:val="center"/>
              <w:rPr>
                <w:b/>
                <w:sz w:val="20"/>
                <w:szCs w:val="20"/>
              </w:rPr>
            </w:pPr>
            <w:r w:rsidRPr="00CF243B">
              <w:rPr>
                <w:b/>
                <w:sz w:val="20"/>
                <w:szCs w:val="20"/>
              </w:rPr>
              <w:t>A</w:t>
            </w:r>
          </w:p>
        </w:tc>
        <w:tc>
          <w:tcPr>
            <w:tcW w:w="2002" w:type="dxa"/>
            <w:vAlign w:val="center"/>
          </w:tcPr>
          <w:p w14:paraId="31BEEA48" w14:textId="77777777" w:rsidR="00CF243B" w:rsidRPr="00CF243B" w:rsidRDefault="00CF243B" w:rsidP="00666D4B">
            <w:pPr>
              <w:jc w:val="center"/>
              <w:rPr>
                <w:sz w:val="20"/>
                <w:szCs w:val="20"/>
              </w:rPr>
            </w:pPr>
            <w:r w:rsidRPr="00CF243B">
              <w:rPr>
                <w:sz w:val="20"/>
                <w:szCs w:val="20"/>
              </w:rPr>
              <w:t>Low (25 mg)</w:t>
            </w:r>
          </w:p>
        </w:tc>
        <w:tc>
          <w:tcPr>
            <w:tcW w:w="2353" w:type="dxa"/>
            <w:vAlign w:val="center"/>
          </w:tcPr>
          <w:p w14:paraId="042E9B6F" w14:textId="77777777" w:rsidR="00CF243B" w:rsidRPr="00CF243B" w:rsidRDefault="00CF243B" w:rsidP="00666D4B">
            <w:pPr>
              <w:jc w:val="center"/>
              <w:rPr>
                <w:sz w:val="20"/>
                <w:szCs w:val="20"/>
              </w:rPr>
            </w:pPr>
            <w:r w:rsidRPr="00CF243B">
              <w:rPr>
                <w:sz w:val="20"/>
                <w:szCs w:val="20"/>
              </w:rPr>
              <w:t xml:space="preserve">21.45 </w:t>
            </w:r>
          </w:p>
        </w:tc>
        <w:tc>
          <w:tcPr>
            <w:tcW w:w="2495" w:type="dxa"/>
            <w:vAlign w:val="center"/>
          </w:tcPr>
          <w:p w14:paraId="0B0DAB8C" w14:textId="77777777" w:rsidR="00CF243B" w:rsidRPr="00CF243B" w:rsidRDefault="00CF243B" w:rsidP="00666D4B">
            <w:pPr>
              <w:jc w:val="center"/>
              <w:rPr>
                <w:sz w:val="20"/>
                <w:szCs w:val="20"/>
              </w:rPr>
            </w:pPr>
            <w:r w:rsidRPr="00CF243B">
              <w:rPr>
                <w:sz w:val="20"/>
                <w:szCs w:val="20"/>
              </w:rPr>
              <w:t>2.39</w:t>
            </w:r>
          </w:p>
        </w:tc>
        <w:tc>
          <w:tcPr>
            <w:tcW w:w="1823" w:type="dxa"/>
          </w:tcPr>
          <w:p w14:paraId="267AD282" w14:textId="77777777" w:rsidR="00CF243B" w:rsidRPr="00CF243B" w:rsidRDefault="00CF243B" w:rsidP="00666D4B">
            <w:pPr>
              <w:jc w:val="center"/>
              <w:rPr>
                <w:sz w:val="20"/>
                <w:szCs w:val="20"/>
              </w:rPr>
            </w:pPr>
            <w:r w:rsidRPr="00CF243B">
              <w:rPr>
                <w:sz w:val="20"/>
                <w:szCs w:val="20"/>
              </w:rPr>
              <w:t>4.31</w:t>
            </w:r>
          </w:p>
        </w:tc>
      </w:tr>
      <w:tr w:rsidR="00CF243B" w:rsidRPr="00CF243B" w14:paraId="139A2B28" w14:textId="77777777" w:rsidTr="00666D4B">
        <w:trPr>
          <w:jc w:val="center"/>
        </w:trPr>
        <w:tc>
          <w:tcPr>
            <w:tcW w:w="1537" w:type="dxa"/>
            <w:vAlign w:val="center"/>
          </w:tcPr>
          <w:p w14:paraId="4FFCCDDA" w14:textId="77777777" w:rsidR="00CF243B" w:rsidRPr="00CF243B" w:rsidRDefault="00CF243B" w:rsidP="00666D4B">
            <w:pPr>
              <w:jc w:val="center"/>
              <w:rPr>
                <w:b/>
                <w:sz w:val="20"/>
                <w:szCs w:val="20"/>
              </w:rPr>
            </w:pPr>
            <w:r w:rsidRPr="00CF243B">
              <w:rPr>
                <w:b/>
                <w:sz w:val="20"/>
                <w:szCs w:val="20"/>
              </w:rPr>
              <w:t>B</w:t>
            </w:r>
          </w:p>
        </w:tc>
        <w:tc>
          <w:tcPr>
            <w:tcW w:w="2002" w:type="dxa"/>
            <w:vAlign w:val="center"/>
          </w:tcPr>
          <w:p w14:paraId="30720C46" w14:textId="77777777" w:rsidR="00CF243B" w:rsidRPr="00CF243B" w:rsidRDefault="00CF243B" w:rsidP="00666D4B">
            <w:pPr>
              <w:jc w:val="center"/>
              <w:rPr>
                <w:sz w:val="20"/>
                <w:szCs w:val="20"/>
              </w:rPr>
            </w:pPr>
            <w:r w:rsidRPr="00CF243B">
              <w:rPr>
                <w:sz w:val="20"/>
                <w:szCs w:val="20"/>
              </w:rPr>
              <w:t xml:space="preserve">Medium (50 mg) </w:t>
            </w:r>
          </w:p>
        </w:tc>
        <w:tc>
          <w:tcPr>
            <w:tcW w:w="2353" w:type="dxa"/>
            <w:vAlign w:val="center"/>
          </w:tcPr>
          <w:p w14:paraId="224D985F" w14:textId="77777777" w:rsidR="00CF243B" w:rsidRPr="00CF243B" w:rsidRDefault="00CF243B" w:rsidP="00666D4B">
            <w:pPr>
              <w:jc w:val="center"/>
              <w:rPr>
                <w:sz w:val="20"/>
                <w:szCs w:val="20"/>
              </w:rPr>
            </w:pPr>
            <w:r w:rsidRPr="00CF243B">
              <w:rPr>
                <w:sz w:val="20"/>
                <w:szCs w:val="20"/>
              </w:rPr>
              <w:t>28.53</w:t>
            </w:r>
          </w:p>
        </w:tc>
        <w:tc>
          <w:tcPr>
            <w:tcW w:w="2495" w:type="dxa"/>
            <w:vAlign w:val="center"/>
          </w:tcPr>
          <w:p w14:paraId="15DB3E2B" w14:textId="77777777" w:rsidR="00CF243B" w:rsidRPr="00CF243B" w:rsidRDefault="00CF243B" w:rsidP="00666D4B">
            <w:pPr>
              <w:jc w:val="center"/>
              <w:rPr>
                <w:sz w:val="20"/>
                <w:szCs w:val="20"/>
              </w:rPr>
            </w:pPr>
            <w:r w:rsidRPr="00CF243B">
              <w:rPr>
                <w:sz w:val="20"/>
                <w:szCs w:val="20"/>
              </w:rPr>
              <w:t>3.12</w:t>
            </w:r>
          </w:p>
        </w:tc>
        <w:tc>
          <w:tcPr>
            <w:tcW w:w="1823" w:type="dxa"/>
          </w:tcPr>
          <w:p w14:paraId="16ECC04E" w14:textId="77777777" w:rsidR="00CF243B" w:rsidRPr="00CF243B" w:rsidRDefault="00CF243B" w:rsidP="00666D4B">
            <w:pPr>
              <w:jc w:val="center"/>
              <w:rPr>
                <w:sz w:val="20"/>
                <w:szCs w:val="20"/>
              </w:rPr>
            </w:pPr>
            <w:r w:rsidRPr="00CF243B">
              <w:rPr>
                <w:sz w:val="20"/>
                <w:szCs w:val="20"/>
              </w:rPr>
              <w:t>3.17</w:t>
            </w:r>
          </w:p>
        </w:tc>
      </w:tr>
      <w:tr w:rsidR="00CF243B" w:rsidRPr="00CF243B" w14:paraId="4BFB16B2" w14:textId="77777777" w:rsidTr="00666D4B">
        <w:trPr>
          <w:jc w:val="center"/>
        </w:trPr>
        <w:tc>
          <w:tcPr>
            <w:tcW w:w="1537" w:type="dxa"/>
            <w:vAlign w:val="center"/>
          </w:tcPr>
          <w:p w14:paraId="1C766790" w14:textId="77777777" w:rsidR="00CF243B" w:rsidRPr="00CF243B" w:rsidRDefault="00CF243B" w:rsidP="00666D4B">
            <w:pPr>
              <w:jc w:val="center"/>
              <w:rPr>
                <w:b/>
                <w:sz w:val="20"/>
                <w:szCs w:val="20"/>
              </w:rPr>
            </w:pPr>
            <w:r w:rsidRPr="00CF243B">
              <w:rPr>
                <w:b/>
                <w:sz w:val="20"/>
                <w:szCs w:val="20"/>
              </w:rPr>
              <w:t>C</w:t>
            </w:r>
          </w:p>
        </w:tc>
        <w:tc>
          <w:tcPr>
            <w:tcW w:w="2002" w:type="dxa"/>
            <w:vAlign w:val="center"/>
          </w:tcPr>
          <w:p w14:paraId="056FC47A" w14:textId="77777777" w:rsidR="00CF243B" w:rsidRPr="00CF243B" w:rsidRDefault="00CF243B" w:rsidP="00666D4B">
            <w:pPr>
              <w:jc w:val="center"/>
              <w:rPr>
                <w:sz w:val="20"/>
                <w:szCs w:val="20"/>
              </w:rPr>
            </w:pPr>
            <w:r w:rsidRPr="00CF243B">
              <w:rPr>
                <w:sz w:val="20"/>
                <w:szCs w:val="20"/>
              </w:rPr>
              <w:t>High (100 mg)</w:t>
            </w:r>
          </w:p>
        </w:tc>
        <w:tc>
          <w:tcPr>
            <w:tcW w:w="2353" w:type="dxa"/>
            <w:vAlign w:val="center"/>
          </w:tcPr>
          <w:p w14:paraId="2BD12289" w14:textId="77777777" w:rsidR="00CF243B" w:rsidRPr="00CF243B" w:rsidRDefault="00CF243B" w:rsidP="00666D4B">
            <w:pPr>
              <w:jc w:val="center"/>
              <w:rPr>
                <w:sz w:val="20"/>
                <w:szCs w:val="20"/>
              </w:rPr>
            </w:pPr>
            <w:r w:rsidRPr="00CF243B">
              <w:rPr>
                <w:sz w:val="20"/>
                <w:szCs w:val="20"/>
              </w:rPr>
              <w:t>32.20</w:t>
            </w:r>
          </w:p>
        </w:tc>
        <w:tc>
          <w:tcPr>
            <w:tcW w:w="2495" w:type="dxa"/>
            <w:vAlign w:val="center"/>
          </w:tcPr>
          <w:p w14:paraId="1126ADAD" w14:textId="77777777" w:rsidR="00CF243B" w:rsidRPr="00CF243B" w:rsidRDefault="00CF243B" w:rsidP="00666D4B">
            <w:pPr>
              <w:jc w:val="center"/>
              <w:rPr>
                <w:sz w:val="20"/>
                <w:szCs w:val="20"/>
              </w:rPr>
            </w:pPr>
            <w:r w:rsidRPr="00CF243B">
              <w:rPr>
                <w:sz w:val="20"/>
                <w:szCs w:val="20"/>
              </w:rPr>
              <w:t>2.90</w:t>
            </w:r>
          </w:p>
        </w:tc>
        <w:tc>
          <w:tcPr>
            <w:tcW w:w="1823" w:type="dxa"/>
          </w:tcPr>
          <w:p w14:paraId="13E17967" w14:textId="77777777" w:rsidR="00CF243B" w:rsidRPr="00CF243B" w:rsidRDefault="00CF243B" w:rsidP="00666D4B">
            <w:pPr>
              <w:jc w:val="center"/>
              <w:rPr>
                <w:sz w:val="20"/>
                <w:szCs w:val="20"/>
              </w:rPr>
            </w:pPr>
            <w:r w:rsidRPr="00CF243B">
              <w:rPr>
                <w:sz w:val="20"/>
                <w:szCs w:val="20"/>
              </w:rPr>
              <w:t>1.79</w:t>
            </w:r>
          </w:p>
        </w:tc>
      </w:tr>
      <w:tr w:rsidR="00CF243B" w:rsidRPr="00CF243B" w14:paraId="4712C26D" w14:textId="77777777" w:rsidTr="00666D4B">
        <w:trPr>
          <w:jc w:val="center"/>
        </w:trPr>
        <w:tc>
          <w:tcPr>
            <w:tcW w:w="10210" w:type="dxa"/>
            <w:gridSpan w:val="5"/>
            <w:shd w:val="clear" w:color="auto" w:fill="D9D9D9" w:themeFill="background1" w:themeFillShade="D9"/>
            <w:vAlign w:val="center"/>
          </w:tcPr>
          <w:p w14:paraId="7AA27FEE" w14:textId="77777777" w:rsidR="00CF243B" w:rsidRPr="00CF243B" w:rsidRDefault="00CF243B" w:rsidP="00CF243B">
            <w:pPr>
              <w:pStyle w:val="Prrafodelista"/>
              <w:numPr>
                <w:ilvl w:val="0"/>
                <w:numId w:val="31"/>
              </w:numPr>
              <w:spacing w:before="40" w:after="40" w:line="240" w:lineRule="auto"/>
              <w:ind w:left="419" w:hanging="357"/>
              <w:jc w:val="center"/>
              <w:rPr>
                <w:sz w:val="20"/>
                <w:szCs w:val="20"/>
              </w:rPr>
            </w:pPr>
            <w:r w:rsidRPr="00E475F9">
              <w:rPr>
                <w:b/>
                <w:bCs/>
                <w:sz w:val="20"/>
                <w:szCs w:val="20"/>
              </w:rPr>
              <w:t>Metformin</w:t>
            </w:r>
            <w:r w:rsidRPr="00CF243B">
              <w:rPr>
                <w:sz w:val="20"/>
                <w:szCs w:val="20"/>
              </w:rPr>
              <w:t xml:space="preserve"> </w:t>
            </w:r>
          </w:p>
        </w:tc>
      </w:tr>
      <w:tr w:rsidR="00CF243B" w:rsidRPr="00CF243B" w14:paraId="5F52E995" w14:textId="77777777" w:rsidTr="00666D4B">
        <w:trPr>
          <w:jc w:val="center"/>
        </w:trPr>
        <w:tc>
          <w:tcPr>
            <w:tcW w:w="1537" w:type="dxa"/>
            <w:vAlign w:val="center"/>
          </w:tcPr>
          <w:p w14:paraId="35B997E8" w14:textId="77777777" w:rsidR="00CF243B" w:rsidRPr="00CF243B" w:rsidRDefault="00CF243B" w:rsidP="00666D4B">
            <w:pPr>
              <w:jc w:val="center"/>
              <w:rPr>
                <w:b/>
                <w:sz w:val="20"/>
                <w:szCs w:val="20"/>
              </w:rPr>
            </w:pPr>
            <w:r w:rsidRPr="00CF243B">
              <w:rPr>
                <w:b/>
                <w:sz w:val="20"/>
                <w:szCs w:val="20"/>
              </w:rPr>
              <w:t>Formulation</w:t>
            </w:r>
          </w:p>
        </w:tc>
        <w:tc>
          <w:tcPr>
            <w:tcW w:w="2002" w:type="dxa"/>
            <w:vAlign w:val="center"/>
          </w:tcPr>
          <w:p w14:paraId="2C055DA0" w14:textId="77777777" w:rsidR="00CF243B" w:rsidRPr="00CF243B" w:rsidRDefault="00CF243B" w:rsidP="00666D4B">
            <w:pPr>
              <w:jc w:val="center"/>
              <w:rPr>
                <w:b/>
                <w:sz w:val="20"/>
                <w:szCs w:val="20"/>
              </w:rPr>
            </w:pPr>
            <w:r w:rsidRPr="00CF243B">
              <w:rPr>
                <w:b/>
                <w:sz w:val="20"/>
                <w:szCs w:val="20"/>
              </w:rPr>
              <w:t xml:space="preserve">Level </w:t>
            </w:r>
          </w:p>
        </w:tc>
        <w:tc>
          <w:tcPr>
            <w:tcW w:w="2353" w:type="dxa"/>
            <w:vAlign w:val="center"/>
          </w:tcPr>
          <w:p w14:paraId="64E57B65" w14:textId="77777777" w:rsidR="00CF243B" w:rsidRPr="00CF243B" w:rsidRDefault="00CF243B" w:rsidP="00666D4B">
            <w:pPr>
              <w:jc w:val="center"/>
              <w:rPr>
                <w:b/>
                <w:sz w:val="20"/>
                <w:szCs w:val="20"/>
              </w:rPr>
            </w:pPr>
            <w:r w:rsidRPr="00CF243B">
              <w:rPr>
                <w:b/>
                <w:sz w:val="20"/>
                <w:szCs w:val="20"/>
              </w:rPr>
              <w:t>% release at 12.5 h</w:t>
            </w:r>
          </w:p>
        </w:tc>
        <w:tc>
          <w:tcPr>
            <w:tcW w:w="2495" w:type="dxa"/>
            <w:vAlign w:val="center"/>
          </w:tcPr>
          <w:p w14:paraId="52BBBB57" w14:textId="77777777" w:rsidR="00CF243B" w:rsidRPr="00CF243B" w:rsidRDefault="00CF243B" w:rsidP="00666D4B">
            <w:pPr>
              <w:jc w:val="center"/>
              <w:rPr>
                <w:b/>
                <w:sz w:val="20"/>
                <w:szCs w:val="20"/>
              </w:rPr>
            </w:pPr>
            <w:r w:rsidRPr="00CF243B">
              <w:rPr>
                <w:b/>
                <w:sz w:val="20"/>
                <w:szCs w:val="20"/>
              </w:rPr>
              <w:t>Slope (release rate)</w:t>
            </w:r>
          </w:p>
        </w:tc>
        <w:tc>
          <w:tcPr>
            <w:tcW w:w="1823" w:type="dxa"/>
          </w:tcPr>
          <w:p w14:paraId="070ED6CB" w14:textId="77777777" w:rsidR="00CF243B" w:rsidRPr="00CF243B" w:rsidRDefault="00CF243B" w:rsidP="00666D4B">
            <w:pPr>
              <w:jc w:val="center"/>
              <w:rPr>
                <w:b/>
                <w:sz w:val="20"/>
                <w:szCs w:val="20"/>
              </w:rPr>
            </w:pPr>
            <w:r w:rsidRPr="00CF243B">
              <w:rPr>
                <w:b/>
                <w:sz w:val="20"/>
                <w:szCs w:val="20"/>
              </w:rPr>
              <w:t>Lag time(h)</w:t>
            </w:r>
          </w:p>
        </w:tc>
      </w:tr>
      <w:tr w:rsidR="00CF243B" w:rsidRPr="00CF243B" w14:paraId="7DA5CC4B" w14:textId="77777777" w:rsidTr="00666D4B">
        <w:trPr>
          <w:jc w:val="center"/>
        </w:trPr>
        <w:tc>
          <w:tcPr>
            <w:tcW w:w="1537" w:type="dxa"/>
            <w:vAlign w:val="center"/>
          </w:tcPr>
          <w:p w14:paraId="0AD7F00B" w14:textId="77777777" w:rsidR="00CF243B" w:rsidRPr="00CF243B" w:rsidRDefault="00CF243B" w:rsidP="00666D4B">
            <w:pPr>
              <w:jc w:val="center"/>
              <w:rPr>
                <w:b/>
                <w:sz w:val="20"/>
                <w:szCs w:val="20"/>
              </w:rPr>
            </w:pPr>
            <w:r w:rsidRPr="00CF243B">
              <w:rPr>
                <w:b/>
                <w:sz w:val="20"/>
                <w:szCs w:val="20"/>
              </w:rPr>
              <w:t>A</w:t>
            </w:r>
          </w:p>
        </w:tc>
        <w:tc>
          <w:tcPr>
            <w:tcW w:w="2002" w:type="dxa"/>
            <w:vAlign w:val="center"/>
          </w:tcPr>
          <w:p w14:paraId="19209397" w14:textId="77777777" w:rsidR="00CF243B" w:rsidRPr="00CF243B" w:rsidRDefault="00CF243B" w:rsidP="00666D4B">
            <w:pPr>
              <w:jc w:val="center"/>
              <w:rPr>
                <w:sz w:val="20"/>
                <w:szCs w:val="20"/>
              </w:rPr>
            </w:pPr>
            <w:r w:rsidRPr="00CF243B">
              <w:rPr>
                <w:sz w:val="20"/>
                <w:szCs w:val="20"/>
              </w:rPr>
              <w:t>Low (25 mg)</w:t>
            </w:r>
          </w:p>
        </w:tc>
        <w:tc>
          <w:tcPr>
            <w:tcW w:w="2353" w:type="dxa"/>
            <w:vAlign w:val="center"/>
          </w:tcPr>
          <w:p w14:paraId="11CAC72C" w14:textId="77777777" w:rsidR="00CF243B" w:rsidRPr="00CF243B" w:rsidRDefault="00CF243B" w:rsidP="00666D4B">
            <w:pPr>
              <w:jc w:val="center"/>
              <w:rPr>
                <w:sz w:val="20"/>
                <w:szCs w:val="20"/>
              </w:rPr>
            </w:pPr>
            <w:r w:rsidRPr="00CF243B">
              <w:rPr>
                <w:sz w:val="20"/>
                <w:szCs w:val="20"/>
              </w:rPr>
              <w:t>46.39</w:t>
            </w:r>
          </w:p>
        </w:tc>
        <w:tc>
          <w:tcPr>
            <w:tcW w:w="2495" w:type="dxa"/>
            <w:vAlign w:val="center"/>
          </w:tcPr>
          <w:p w14:paraId="2B47A91E" w14:textId="77777777" w:rsidR="00CF243B" w:rsidRPr="00CF243B" w:rsidRDefault="00CF243B" w:rsidP="00666D4B">
            <w:pPr>
              <w:jc w:val="center"/>
              <w:rPr>
                <w:sz w:val="20"/>
                <w:szCs w:val="20"/>
              </w:rPr>
            </w:pPr>
            <w:r w:rsidRPr="00CF243B">
              <w:rPr>
                <w:sz w:val="20"/>
                <w:szCs w:val="20"/>
              </w:rPr>
              <w:t>3.73</w:t>
            </w:r>
          </w:p>
        </w:tc>
        <w:tc>
          <w:tcPr>
            <w:tcW w:w="1823" w:type="dxa"/>
          </w:tcPr>
          <w:p w14:paraId="772FBE55" w14:textId="77777777" w:rsidR="00CF243B" w:rsidRPr="00CF243B" w:rsidRDefault="00CF243B" w:rsidP="00666D4B">
            <w:pPr>
              <w:jc w:val="center"/>
              <w:rPr>
                <w:sz w:val="20"/>
                <w:szCs w:val="20"/>
              </w:rPr>
            </w:pPr>
            <w:r w:rsidRPr="00CF243B">
              <w:rPr>
                <w:sz w:val="20"/>
                <w:szCs w:val="20"/>
              </w:rPr>
              <w:t>2.45</w:t>
            </w:r>
          </w:p>
        </w:tc>
      </w:tr>
      <w:tr w:rsidR="00CF243B" w:rsidRPr="00CF243B" w14:paraId="6FD2D579" w14:textId="77777777" w:rsidTr="00666D4B">
        <w:trPr>
          <w:jc w:val="center"/>
        </w:trPr>
        <w:tc>
          <w:tcPr>
            <w:tcW w:w="1537" w:type="dxa"/>
            <w:vAlign w:val="center"/>
          </w:tcPr>
          <w:p w14:paraId="5C9B5E8B" w14:textId="77777777" w:rsidR="00CF243B" w:rsidRPr="00CF243B" w:rsidRDefault="00CF243B" w:rsidP="00666D4B">
            <w:pPr>
              <w:jc w:val="center"/>
              <w:rPr>
                <w:b/>
                <w:sz w:val="20"/>
                <w:szCs w:val="20"/>
              </w:rPr>
            </w:pPr>
            <w:r w:rsidRPr="00CF243B">
              <w:rPr>
                <w:b/>
                <w:sz w:val="20"/>
                <w:szCs w:val="20"/>
              </w:rPr>
              <w:t>B</w:t>
            </w:r>
          </w:p>
        </w:tc>
        <w:tc>
          <w:tcPr>
            <w:tcW w:w="2002" w:type="dxa"/>
            <w:vAlign w:val="center"/>
          </w:tcPr>
          <w:p w14:paraId="4F86D9BB" w14:textId="77777777" w:rsidR="00CF243B" w:rsidRPr="00CF243B" w:rsidRDefault="00CF243B" w:rsidP="00666D4B">
            <w:pPr>
              <w:jc w:val="center"/>
              <w:rPr>
                <w:sz w:val="20"/>
                <w:szCs w:val="20"/>
              </w:rPr>
            </w:pPr>
            <w:r w:rsidRPr="00CF243B">
              <w:rPr>
                <w:sz w:val="20"/>
                <w:szCs w:val="20"/>
              </w:rPr>
              <w:t xml:space="preserve">Medium (50 mg) </w:t>
            </w:r>
          </w:p>
        </w:tc>
        <w:tc>
          <w:tcPr>
            <w:tcW w:w="2353" w:type="dxa"/>
            <w:vAlign w:val="center"/>
          </w:tcPr>
          <w:p w14:paraId="035BAF9B" w14:textId="77777777" w:rsidR="00CF243B" w:rsidRPr="00CF243B" w:rsidRDefault="00CF243B" w:rsidP="00666D4B">
            <w:pPr>
              <w:jc w:val="center"/>
              <w:rPr>
                <w:sz w:val="20"/>
                <w:szCs w:val="20"/>
              </w:rPr>
            </w:pPr>
            <w:r w:rsidRPr="00CF243B">
              <w:rPr>
                <w:sz w:val="20"/>
                <w:szCs w:val="20"/>
              </w:rPr>
              <w:t>77.22</w:t>
            </w:r>
          </w:p>
        </w:tc>
        <w:tc>
          <w:tcPr>
            <w:tcW w:w="2495" w:type="dxa"/>
            <w:vAlign w:val="center"/>
          </w:tcPr>
          <w:p w14:paraId="6F6C8A86" w14:textId="77777777" w:rsidR="00CF243B" w:rsidRPr="00CF243B" w:rsidRDefault="00CF243B" w:rsidP="00666D4B">
            <w:pPr>
              <w:jc w:val="center"/>
              <w:rPr>
                <w:sz w:val="20"/>
                <w:szCs w:val="20"/>
              </w:rPr>
            </w:pPr>
            <w:r w:rsidRPr="00CF243B">
              <w:rPr>
                <w:sz w:val="20"/>
                <w:szCs w:val="20"/>
              </w:rPr>
              <w:t>6.48</w:t>
            </w:r>
          </w:p>
        </w:tc>
        <w:tc>
          <w:tcPr>
            <w:tcW w:w="1823" w:type="dxa"/>
          </w:tcPr>
          <w:p w14:paraId="320B1FE1" w14:textId="77777777" w:rsidR="00CF243B" w:rsidRPr="00CF243B" w:rsidRDefault="00CF243B" w:rsidP="00666D4B">
            <w:pPr>
              <w:jc w:val="center"/>
              <w:rPr>
                <w:sz w:val="20"/>
                <w:szCs w:val="20"/>
              </w:rPr>
            </w:pPr>
            <w:r w:rsidRPr="00CF243B">
              <w:rPr>
                <w:sz w:val="20"/>
                <w:szCs w:val="20"/>
              </w:rPr>
              <w:t>0.625</w:t>
            </w:r>
          </w:p>
        </w:tc>
      </w:tr>
      <w:tr w:rsidR="00CF243B" w:rsidRPr="00CF243B" w14:paraId="73CD8F12" w14:textId="77777777" w:rsidTr="00666D4B">
        <w:trPr>
          <w:jc w:val="center"/>
        </w:trPr>
        <w:tc>
          <w:tcPr>
            <w:tcW w:w="1537" w:type="dxa"/>
            <w:vAlign w:val="center"/>
          </w:tcPr>
          <w:p w14:paraId="065481E4" w14:textId="77777777" w:rsidR="00CF243B" w:rsidRPr="00CF243B" w:rsidRDefault="00CF243B" w:rsidP="00666D4B">
            <w:pPr>
              <w:jc w:val="center"/>
              <w:rPr>
                <w:b/>
                <w:sz w:val="20"/>
                <w:szCs w:val="20"/>
              </w:rPr>
            </w:pPr>
            <w:r w:rsidRPr="00CF243B">
              <w:rPr>
                <w:b/>
                <w:sz w:val="20"/>
                <w:szCs w:val="20"/>
              </w:rPr>
              <w:t>C</w:t>
            </w:r>
          </w:p>
        </w:tc>
        <w:tc>
          <w:tcPr>
            <w:tcW w:w="2002" w:type="dxa"/>
            <w:vAlign w:val="center"/>
          </w:tcPr>
          <w:p w14:paraId="7307AFE9" w14:textId="77777777" w:rsidR="00CF243B" w:rsidRPr="00CF243B" w:rsidRDefault="00CF243B" w:rsidP="00666D4B">
            <w:pPr>
              <w:jc w:val="center"/>
              <w:rPr>
                <w:sz w:val="20"/>
                <w:szCs w:val="20"/>
              </w:rPr>
            </w:pPr>
            <w:r w:rsidRPr="00CF243B">
              <w:rPr>
                <w:sz w:val="20"/>
                <w:szCs w:val="20"/>
              </w:rPr>
              <w:t>High (100 mg)</w:t>
            </w:r>
          </w:p>
        </w:tc>
        <w:tc>
          <w:tcPr>
            <w:tcW w:w="2353" w:type="dxa"/>
            <w:vAlign w:val="center"/>
          </w:tcPr>
          <w:p w14:paraId="08F484AB" w14:textId="77777777" w:rsidR="00CF243B" w:rsidRPr="00CF243B" w:rsidRDefault="00CF243B" w:rsidP="00666D4B">
            <w:pPr>
              <w:jc w:val="center"/>
              <w:rPr>
                <w:sz w:val="20"/>
                <w:szCs w:val="20"/>
              </w:rPr>
            </w:pPr>
            <w:r w:rsidRPr="00CF243B">
              <w:rPr>
                <w:sz w:val="20"/>
                <w:szCs w:val="20"/>
              </w:rPr>
              <w:t>82.42</w:t>
            </w:r>
          </w:p>
        </w:tc>
        <w:tc>
          <w:tcPr>
            <w:tcW w:w="2495" w:type="dxa"/>
            <w:vAlign w:val="center"/>
          </w:tcPr>
          <w:p w14:paraId="279253E3" w14:textId="77777777" w:rsidR="00CF243B" w:rsidRPr="00CF243B" w:rsidRDefault="00CF243B" w:rsidP="00666D4B">
            <w:pPr>
              <w:jc w:val="center"/>
              <w:rPr>
                <w:sz w:val="20"/>
                <w:szCs w:val="20"/>
              </w:rPr>
            </w:pPr>
            <w:r w:rsidRPr="00CF243B">
              <w:rPr>
                <w:sz w:val="20"/>
                <w:szCs w:val="20"/>
              </w:rPr>
              <w:t>7.26</w:t>
            </w:r>
          </w:p>
        </w:tc>
        <w:tc>
          <w:tcPr>
            <w:tcW w:w="1823" w:type="dxa"/>
          </w:tcPr>
          <w:p w14:paraId="33A8F50C" w14:textId="77777777" w:rsidR="00CF243B" w:rsidRPr="00CF243B" w:rsidRDefault="00CF243B" w:rsidP="00666D4B">
            <w:pPr>
              <w:jc w:val="center"/>
              <w:rPr>
                <w:sz w:val="20"/>
                <w:szCs w:val="20"/>
              </w:rPr>
            </w:pPr>
            <w:r w:rsidRPr="00CF243B">
              <w:rPr>
                <w:sz w:val="20"/>
                <w:szCs w:val="20"/>
              </w:rPr>
              <w:t xml:space="preserve">0.44 </w:t>
            </w:r>
          </w:p>
        </w:tc>
      </w:tr>
    </w:tbl>
    <w:p w14:paraId="2FF68AD8" w14:textId="77777777" w:rsidR="00CF243B" w:rsidRDefault="00CF243B" w:rsidP="0074055D">
      <w:pPr>
        <w:pStyle w:val="Body"/>
        <w:rPr>
          <w:rFonts w:ascii="Arial" w:hAnsi="Arial" w:cs="Arial"/>
        </w:rPr>
      </w:pPr>
    </w:p>
    <w:p w14:paraId="20394A20" w14:textId="77777777" w:rsidR="0074055D" w:rsidRDefault="0074055D" w:rsidP="0074055D">
      <w:pPr>
        <w:pStyle w:val="Body"/>
        <w:rPr>
          <w:rFonts w:ascii="Arial" w:hAnsi="Arial" w:cs="Arial"/>
        </w:rPr>
      </w:pPr>
      <w:r w:rsidRPr="0074055D">
        <w:rPr>
          <w:rFonts w:ascii="Arial" w:hAnsi="Arial" w:cs="Arial"/>
        </w:rPr>
        <w:t>With Mannitol alone, the release percentage was lower, but it increased when Sorbitol</w:t>
      </w:r>
      <w:r>
        <w:rPr>
          <w:rFonts w:ascii="Arial" w:hAnsi="Arial" w:cs="Arial"/>
        </w:rPr>
        <w:t xml:space="preserve"> </w:t>
      </w:r>
      <w:r w:rsidRPr="0074055D">
        <w:rPr>
          <w:rFonts w:ascii="Arial" w:hAnsi="Arial" w:cs="Arial"/>
        </w:rPr>
        <w:t>was used as the osmotic agent or when the osmotic agent amount was high. The best</w:t>
      </w:r>
      <w:r>
        <w:rPr>
          <w:rFonts w:ascii="Arial" w:hAnsi="Arial" w:cs="Arial"/>
        </w:rPr>
        <w:t xml:space="preserve"> </w:t>
      </w:r>
      <w:r w:rsidRPr="0074055D">
        <w:rPr>
          <w:rFonts w:ascii="Arial" w:hAnsi="Arial" w:cs="Arial"/>
        </w:rPr>
        <w:t>condition was achieved with a combination of Sorbitol and a high amount of osmotic agent</w:t>
      </w:r>
      <w:r>
        <w:rPr>
          <w:rFonts w:ascii="Arial" w:hAnsi="Arial" w:cs="Arial"/>
        </w:rPr>
        <w:t xml:space="preserve"> </w:t>
      </w:r>
      <w:r w:rsidRPr="0074055D">
        <w:rPr>
          <w:rFonts w:ascii="Arial" w:hAnsi="Arial" w:cs="Arial"/>
        </w:rPr>
        <w:t xml:space="preserve">(Figure 8). </w:t>
      </w:r>
    </w:p>
    <w:p w14:paraId="50DD764E" w14:textId="77777777" w:rsidR="00CF243B" w:rsidRDefault="00CF243B" w:rsidP="00BA0A8B">
      <w:pPr>
        <w:pStyle w:val="Body"/>
        <w:rPr>
          <w:rFonts w:ascii="Arial" w:hAnsi="Arial" w:cs="Arial"/>
          <w:b/>
          <w:bCs/>
        </w:rPr>
      </w:pPr>
      <w:r>
        <w:rPr>
          <w:noProof/>
          <w:lang w:eastAsia="es-MX"/>
        </w:rPr>
        <w:lastRenderedPageBreak/>
        <w:drawing>
          <wp:inline distT="0" distB="0" distL="0" distR="0" wp14:anchorId="64FA2F10" wp14:editId="1D0E72A3">
            <wp:extent cx="4738687" cy="3049264"/>
            <wp:effectExtent l="0" t="0" r="5080" b="0"/>
            <wp:docPr id="932182501" name="Imagen 93218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8101" cy="3061757"/>
                    </a:xfrm>
                    <a:prstGeom prst="rect">
                      <a:avLst/>
                    </a:prstGeom>
                    <a:noFill/>
                    <a:ln>
                      <a:noFill/>
                    </a:ln>
                  </pic:spPr>
                </pic:pic>
              </a:graphicData>
            </a:graphic>
          </wp:inline>
        </w:drawing>
      </w:r>
    </w:p>
    <w:p w14:paraId="5B106F84" w14:textId="77777777" w:rsidR="00BA0A8B" w:rsidRPr="00BA0A8B" w:rsidRDefault="00BA0A8B" w:rsidP="00BA0A8B">
      <w:pPr>
        <w:pStyle w:val="Body"/>
        <w:rPr>
          <w:rFonts w:ascii="Arial" w:hAnsi="Arial" w:cs="Arial"/>
          <w:b/>
          <w:bCs/>
        </w:rPr>
      </w:pPr>
      <w:r w:rsidRPr="00BA0A8B">
        <w:rPr>
          <w:rFonts w:ascii="Arial" w:hAnsi="Arial" w:cs="Arial"/>
          <w:b/>
          <w:bCs/>
        </w:rPr>
        <w:t>Figure 8. Percentage of Glibenclamide released according to type and amount of osmotic</w:t>
      </w:r>
      <w:r>
        <w:rPr>
          <w:rFonts w:ascii="Arial" w:hAnsi="Arial" w:cs="Arial"/>
          <w:b/>
          <w:bCs/>
        </w:rPr>
        <w:t xml:space="preserve"> </w:t>
      </w:r>
      <w:r w:rsidRPr="00BA0A8B">
        <w:rPr>
          <w:rFonts w:ascii="Arial" w:hAnsi="Arial" w:cs="Arial"/>
          <w:b/>
          <w:bCs/>
        </w:rPr>
        <w:t xml:space="preserve">agent (Formulation; -1=mixture 1:1, 0=mannitol, 1=sorbitol) </w:t>
      </w:r>
    </w:p>
    <w:p w14:paraId="20930B59" w14:textId="77777777" w:rsidR="00BA0A8B" w:rsidRDefault="00BA0A8B" w:rsidP="00BA0A8B">
      <w:pPr>
        <w:pStyle w:val="Body"/>
        <w:rPr>
          <w:rFonts w:ascii="Arial" w:hAnsi="Arial" w:cs="Arial"/>
        </w:rPr>
      </w:pPr>
      <w:r w:rsidRPr="00BA0A8B">
        <w:rPr>
          <w:rFonts w:ascii="Arial" w:hAnsi="Arial" w:cs="Arial"/>
        </w:rPr>
        <w:t>The 1:1 Mannitol-Sorbitol mixture in this study showed a reduction in osmotic potential,</w:t>
      </w:r>
      <w:r>
        <w:rPr>
          <w:rFonts w:ascii="Arial" w:hAnsi="Arial" w:cs="Arial"/>
        </w:rPr>
        <w:t xml:space="preserve"> </w:t>
      </w:r>
      <w:r w:rsidRPr="00BA0A8B">
        <w:rPr>
          <w:rFonts w:ascii="Arial" w:hAnsi="Arial" w:cs="Arial"/>
        </w:rPr>
        <w:t>with Mannitol exhibiting lower osmotic potential and Sorbitol providing the highest osmotic</w:t>
      </w:r>
      <w:r>
        <w:rPr>
          <w:rFonts w:ascii="Arial" w:hAnsi="Arial" w:cs="Arial"/>
        </w:rPr>
        <w:t xml:space="preserve"> </w:t>
      </w:r>
      <w:r w:rsidRPr="00BA0A8B">
        <w:rPr>
          <w:rFonts w:ascii="Arial" w:hAnsi="Arial" w:cs="Arial"/>
        </w:rPr>
        <w:t>potential, as seen in Figure 9. The optimal lag time was achieved when both the highest</w:t>
      </w:r>
      <w:r>
        <w:rPr>
          <w:rFonts w:ascii="Arial" w:hAnsi="Arial" w:cs="Arial"/>
        </w:rPr>
        <w:t xml:space="preserve"> </w:t>
      </w:r>
      <w:r w:rsidRPr="00BA0A8B">
        <w:rPr>
          <w:rFonts w:ascii="Arial" w:hAnsi="Arial" w:cs="Arial"/>
        </w:rPr>
        <w:t>level of osmotic agent (Sorbitol) and the highest amount (100 mg) were present in the</w:t>
      </w:r>
      <w:r>
        <w:rPr>
          <w:rFonts w:ascii="Arial" w:hAnsi="Arial" w:cs="Arial"/>
        </w:rPr>
        <w:t xml:space="preserve"> </w:t>
      </w:r>
      <w:r w:rsidRPr="00BA0A8B">
        <w:rPr>
          <w:rFonts w:ascii="Arial" w:hAnsi="Arial" w:cs="Arial"/>
        </w:rPr>
        <w:t xml:space="preserve">osmotic system. </w:t>
      </w:r>
    </w:p>
    <w:p w14:paraId="44271A7E" w14:textId="77777777" w:rsidR="00CF243B" w:rsidRDefault="00CF243B" w:rsidP="00BA0A8B">
      <w:pPr>
        <w:pStyle w:val="Body"/>
        <w:rPr>
          <w:rFonts w:ascii="Arial" w:hAnsi="Arial" w:cs="Arial"/>
          <w:b/>
          <w:bCs/>
        </w:rPr>
      </w:pPr>
      <w:r>
        <w:rPr>
          <w:noProof/>
          <w:lang w:eastAsia="es-MX"/>
        </w:rPr>
        <w:drawing>
          <wp:inline distT="0" distB="0" distL="0" distR="0" wp14:anchorId="43E622EA" wp14:editId="6ED64080">
            <wp:extent cx="4379117" cy="2768569"/>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0021" cy="2781785"/>
                    </a:xfrm>
                    <a:prstGeom prst="rect">
                      <a:avLst/>
                    </a:prstGeom>
                    <a:noFill/>
                    <a:ln>
                      <a:noFill/>
                    </a:ln>
                  </pic:spPr>
                </pic:pic>
              </a:graphicData>
            </a:graphic>
          </wp:inline>
        </w:drawing>
      </w:r>
    </w:p>
    <w:p w14:paraId="2B30205A" w14:textId="77777777" w:rsidR="00BA0A8B" w:rsidRDefault="00BA0A8B" w:rsidP="00BA0A8B">
      <w:pPr>
        <w:pStyle w:val="Body"/>
        <w:rPr>
          <w:rFonts w:ascii="Arial" w:hAnsi="Arial" w:cs="Arial"/>
        </w:rPr>
      </w:pPr>
      <w:r w:rsidRPr="00BA0A8B">
        <w:rPr>
          <w:rFonts w:ascii="Arial" w:hAnsi="Arial" w:cs="Arial"/>
          <w:b/>
          <w:bCs/>
        </w:rPr>
        <w:t>Figure 9. Lag time depending on type and amount of osmotic agent</w:t>
      </w:r>
      <w:r w:rsidRPr="00BA0A8B">
        <w:rPr>
          <w:rFonts w:ascii="Arial" w:hAnsi="Arial" w:cs="Arial"/>
        </w:rPr>
        <w:t xml:space="preserve"> </w:t>
      </w:r>
    </w:p>
    <w:tbl>
      <w:tblPr>
        <w:tblStyle w:val="Tablaconcuadrcula"/>
        <w:tblW w:w="0" w:type="auto"/>
        <w:tblLook w:val="04A0" w:firstRow="1" w:lastRow="0" w:firstColumn="1" w:lastColumn="0" w:noHBand="0" w:noVBand="1"/>
      </w:tblPr>
      <w:tblGrid>
        <w:gridCol w:w="4224"/>
        <w:gridCol w:w="3974"/>
      </w:tblGrid>
      <w:tr w:rsidR="00CF243B" w14:paraId="7E6453C6" w14:textId="77777777" w:rsidTr="00666D4B">
        <w:tc>
          <w:tcPr>
            <w:tcW w:w="4675" w:type="dxa"/>
          </w:tcPr>
          <w:p w14:paraId="7055E898" w14:textId="77777777" w:rsidR="00CF243B" w:rsidRDefault="00CF243B" w:rsidP="00666D4B">
            <w:pPr>
              <w:pStyle w:val="Textonotaalfinal"/>
              <w:rPr>
                <w:lang w:val="en"/>
              </w:rPr>
            </w:pPr>
            <w:r>
              <w:rPr>
                <w:noProof/>
                <w:lang w:eastAsia="es-MX"/>
              </w:rPr>
              <w:lastRenderedPageBreak/>
              <w:drawing>
                <wp:inline distT="0" distB="0" distL="0" distR="0" wp14:anchorId="2C755202" wp14:editId="2BD7D299">
                  <wp:extent cx="2580640" cy="17710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521" cy="1816913"/>
                          </a:xfrm>
                          <a:prstGeom prst="rect">
                            <a:avLst/>
                          </a:prstGeom>
                          <a:noFill/>
                          <a:ln>
                            <a:noFill/>
                          </a:ln>
                        </pic:spPr>
                      </pic:pic>
                    </a:graphicData>
                  </a:graphic>
                </wp:inline>
              </w:drawing>
            </w:r>
          </w:p>
        </w:tc>
        <w:tc>
          <w:tcPr>
            <w:tcW w:w="4675" w:type="dxa"/>
          </w:tcPr>
          <w:p w14:paraId="2AC90F7F" w14:textId="77777777" w:rsidR="00CF243B" w:rsidRDefault="00CF243B" w:rsidP="00666D4B">
            <w:pPr>
              <w:pStyle w:val="Textonotaalfinal"/>
              <w:rPr>
                <w:lang w:val="en"/>
              </w:rPr>
            </w:pPr>
            <w:r>
              <w:rPr>
                <w:noProof/>
                <w:lang w:eastAsia="es-MX"/>
              </w:rPr>
              <w:drawing>
                <wp:inline distT="0" distB="0" distL="0" distR="0" wp14:anchorId="11B6F015" wp14:editId="32250775">
                  <wp:extent cx="2413000" cy="172082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7416" cy="1759632"/>
                          </a:xfrm>
                          <a:prstGeom prst="rect">
                            <a:avLst/>
                          </a:prstGeom>
                          <a:noFill/>
                          <a:ln>
                            <a:noFill/>
                          </a:ln>
                        </pic:spPr>
                      </pic:pic>
                    </a:graphicData>
                  </a:graphic>
                </wp:inline>
              </w:drawing>
            </w:r>
          </w:p>
        </w:tc>
      </w:tr>
    </w:tbl>
    <w:p w14:paraId="69EECE8F" w14:textId="77777777" w:rsidR="00CF243B" w:rsidRDefault="00CF243B" w:rsidP="00BA0A8B">
      <w:pPr>
        <w:pStyle w:val="Body"/>
        <w:rPr>
          <w:rFonts w:ascii="Arial" w:hAnsi="Arial" w:cs="Arial"/>
          <w:b/>
          <w:bCs/>
        </w:rPr>
      </w:pPr>
    </w:p>
    <w:p w14:paraId="09773911" w14:textId="77777777" w:rsidR="00BA0A8B" w:rsidRPr="00BA0A8B" w:rsidRDefault="00BA0A8B" w:rsidP="00BA0A8B">
      <w:pPr>
        <w:pStyle w:val="Body"/>
        <w:rPr>
          <w:rFonts w:ascii="Arial" w:hAnsi="Arial" w:cs="Arial"/>
          <w:b/>
          <w:bCs/>
        </w:rPr>
      </w:pPr>
      <w:r w:rsidRPr="00BA0A8B">
        <w:rPr>
          <w:rFonts w:ascii="Arial" w:hAnsi="Arial" w:cs="Arial"/>
          <w:b/>
          <w:bCs/>
        </w:rPr>
        <w:t xml:space="preserve">Figure 10a. Percentage of Metformin released according to type and amount of osmotic agent. 10b Percentage of Glibenclamide released according to type and amount of osmotic agent </w:t>
      </w:r>
    </w:p>
    <w:p w14:paraId="3DD4F0FB" w14:textId="77777777" w:rsidR="00BA0A8B" w:rsidRDefault="00BA0A8B" w:rsidP="00BA0A8B">
      <w:pPr>
        <w:pStyle w:val="Body"/>
        <w:rPr>
          <w:rFonts w:ascii="Arial" w:hAnsi="Arial" w:cs="Arial"/>
        </w:rPr>
      </w:pPr>
      <w:r w:rsidRPr="00BA0A8B">
        <w:rPr>
          <w:rFonts w:ascii="Arial" w:hAnsi="Arial" w:cs="Arial"/>
          <w:b/>
          <w:bCs/>
        </w:rPr>
        <w:t>3.5 Optimal formulation</w:t>
      </w:r>
      <w:r w:rsidRPr="00BA0A8B">
        <w:rPr>
          <w:rFonts w:ascii="Arial" w:hAnsi="Arial" w:cs="Arial"/>
        </w:rPr>
        <w:t xml:space="preserve"> </w:t>
      </w:r>
    </w:p>
    <w:p w14:paraId="2D2DA2AE" w14:textId="77777777" w:rsidR="00BA0A8B" w:rsidRPr="00CF243B" w:rsidRDefault="00BA0A8B" w:rsidP="00BA0A8B">
      <w:pPr>
        <w:pStyle w:val="Body"/>
        <w:rPr>
          <w:rFonts w:ascii="Arial" w:hAnsi="Arial" w:cs="Arial"/>
          <w:b/>
          <w:bCs/>
        </w:rPr>
      </w:pPr>
      <w:r w:rsidRPr="00BA0A8B">
        <w:rPr>
          <w:rFonts w:ascii="Arial" w:hAnsi="Arial" w:cs="Arial"/>
          <w:b/>
          <w:bCs/>
        </w:rPr>
        <w:t>Table 4. Graphical optimization for Metformin</w:t>
      </w:r>
      <w:r w:rsidRPr="00BA0A8B">
        <w:rPr>
          <w:rFonts w:ascii="Arial" w:hAnsi="Arial" w:cs="Arial"/>
        </w:rPr>
        <w:t xml:space="preserve"> </w:t>
      </w:r>
      <w:r w:rsidR="00CF243B" w:rsidRPr="00CF243B">
        <w:rPr>
          <w:rFonts w:ascii="Arial" w:hAnsi="Arial" w:cs="Arial"/>
          <w:b/>
          <w:bCs/>
        </w:rPr>
        <w:t>with conditions like metformin better release rate and the lower Lag time</w:t>
      </w:r>
      <w:r w:rsidR="00CF243B">
        <w:rPr>
          <w:rFonts w:ascii="Arial" w:hAnsi="Arial" w:cs="Arial"/>
          <w:b/>
          <w:bCs/>
        </w:rPr>
        <w:t xml:space="preserve">, </w:t>
      </w:r>
      <w:r w:rsidR="00CF243B" w:rsidRPr="00CF243B">
        <w:rPr>
          <w:rFonts w:ascii="Arial" w:hAnsi="Arial" w:cs="Arial"/>
          <w:b/>
          <w:bCs/>
        </w:rPr>
        <w:t>in all the range of quantity and type of osmotic agent</w:t>
      </w:r>
    </w:p>
    <w:tbl>
      <w:tblPr>
        <w:tblStyle w:val="Tablaconcuadrcula"/>
        <w:tblW w:w="5000" w:type="pct"/>
        <w:jc w:val="center"/>
        <w:tblLook w:val="04A0" w:firstRow="1" w:lastRow="0" w:firstColumn="1" w:lastColumn="0" w:noHBand="0" w:noVBand="1"/>
      </w:tblPr>
      <w:tblGrid>
        <w:gridCol w:w="3967"/>
        <w:gridCol w:w="4231"/>
      </w:tblGrid>
      <w:tr w:rsidR="00CF243B" w:rsidRPr="00EE348B" w14:paraId="153602F6" w14:textId="77777777" w:rsidTr="00666D4B">
        <w:trPr>
          <w:jc w:val="center"/>
        </w:trPr>
        <w:tc>
          <w:tcPr>
            <w:tcW w:w="2419" w:type="pct"/>
            <w:shd w:val="pct15" w:color="auto" w:fill="auto"/>
          </w:tcPr>
          <w:p w14:paraId="4AC6AA5A" w14:textId="77777777" w:rsidR="00CF243B" w:rsidRPr="00EE348B" w:rsidRDefault="00CF243B" w:rsidP="00666D4B">
            <w:pPr>
              <w:spacing w:before="40" w:after="40"/>
              <w:jc w:val="center"/>
              <w:rPr>
                <w:b/>
              </w:rPr>
            </w:pPr>
            <w:r>
              <w:rPr>
                <w:b/>
              </w:rPr>
              <w:t>Conditions</w:t>
            </w:r>
            <w:r w:rsidRPr="00EE348B">
              <w:rPr>
                <w:b/>
              </w:rPr>
              <w:t xml:space="preserve">/ </w:t>
            </w:r>
            <w:r>
              <w:rPr>
                <w:b/>
              </w:rPr>
              <w:t>Response</w:t>
            </w:r>
          </w:p>
        </w:tc>
        <w:tc>
          <w:tcPr>
            <w:tcW w:w="2581" w:type="pct"/>
            <w:shd w:val="pct15" w:color="auto" w:fill="auto"/>
          </w:tcPr>
          <w:p w14:paraId="428220ED" w14:textId="77777777" w:rsidR="00CF243B" w:rsidRPr="00EE348B" w:rsidRDefault="00CF243B" w:rsidP="00666D4B">
            <w:pPr>
              <w:spacing w:before="40" w:after="40"/>
              <w:jc w:val="center"/>
              <w:rPr>
                <w:b/>
              </w:rPr>
            </w:pPr>
            <w:r>
              <w:rPr>
                <w:b/>
              </w:rPr>
              <w:t>Desirability answer</w:t>
            </w:r>
          </w:p>
        </w:tc>
      </w:tr>
      <w:tr w:rsidR="00CF243B" w:rsidRPr="00EE348B" w14:paraId="5C30D4FC" w14:textId="77777777" w:rsidTr="00666D4B">
        <w:trPr>
          <w:jc w:val="center"/>
        </w:trPr>
        <w:tc>
          <w:tcPr>
            <w:tcW w:w="5000" w:type="pct"/>
            <w:gridSpan w:val="2"/>
            <w:shd w:val="clear" w:color="auto" w:fill="auto"/>
          </w:tcPr>
          <w:p w14:paraId="541C4932" w14:textId="77777777" w:rsidR="00CF243B" w:rsidRDefault="00CF243B" w:rsidP="00666D4B">
            <w:pPr>
              <w:spacing w:before="40" w:after="40"/>
              <w:jc w:val="center"/>
            </w:pPr>
            <w:r>
              <w:rPr>
                <w:rFonts w:eastAsia="Times New Roman"/>
                <w:sz w:val="20"/>
                <w:szCs w:val="20"/>
              </w:rPr>
              <w:object w:dxaOrig="19610" w:dyaOrig="5412" w14:anchorId="519BE553">
                <v:shape id="_x0000_i1026" type="#_x0000_t75" style="width:456.85pt;height:140.55pt" o:ole="">
                  <v:imagedata r:id="rId28" o:title=""/>
                </v:shape>
                <o:OLEObject Type="Embed" ProgID="PBrush" ShapeID="_x0000_i1026" DrawAspect="Content" ObjectID="_1809797200" r:id="rId29"/>
              </w:object>
            </w:r>
          </w:p>
        </w:tc>
      </w:tr>
    </w:tbl>
    <w:p w14:paraId="5867AEDF" w14:textId="77777777" w:rsidR="00CF243B" w:rsidRDefault="00CF243B" w:rsidP="00BA0A8B">
      <w:pPr>
        <w:pStyle w:val="Body"/>
        <w:rPr>
          <w:rFonts w:ascii="Arial" w:hAnsi="Arial" w:cs="Arial"/>
          <w:b/>
          <w:bCs/>
        </w:rPr>
      </w:pPr>
    </w:p>
    <w:p w14:paraId="1CAC8D5C" w14:textId="77777777" w:rsidR="00CF243B" w:rsidRPr="00CF243B" w:rsidRDefault="00BA0A8B" w:rsidP="00CF243B">
      <w:pPr>
        <w:pStyle w:val="Body"/>
        <w:rPr>
          <w:rFonts w:ascii="Arial" w:hAnsi="Arial" w:cs="Arial"/>
          <w:b/>
          <w:bCs/>
        </w:rPr>
      </w:pPr>
      <w:r w:rsidRPr="00BA0A8B">
        <w:rPr>
          <w:rFonts w:ascii="Arial" w:hAnsi="Arial" w:cs="Arial"/>
          <w:b/>
          <w:bCs/>
        </w:rPr>
        <w:t>Table 5. Graphical optimization for Glibenclamide</w:t>
      </w:r>
      <w:r w:rsidRPr="00BA0A8B">
        <w:rPr>
          <w:rFonts w:ascii="Arial" w:hAnsi="Arial" w:cs="Arial"/>
        </w:rPr>
        <w:t xml:space="preserve"> </w:t>
      </w:r>
      <w:r w:rsidR="00CF243B" w:rsidRPr="00CF243B">
        <w:rPr>
          <w:rFonts w:ascii="Arial" w:hAnsi="Arial" w:cs="Arial"/>
          <w:b/>
          <w:bCs/>
        </w:rPr>
        <w:t xml:space="preserve">with conditions like </w:t>
      </w:r>
      <w:r w:rsidR="00CF243B">
        <w:rPr>
          <w:rFonts w:ascii="Arial" w:hAnsi="Arial" w:cs="Arial"/>
          <w:b/>
          <w:bCs/>
        </w:rPr>
        <w:t>Glibenclamide</w:t>
      </w:r>
      <w:r w:rsidR="00CF243B" w:rsidRPr="00CF243B">
        <w:rPr>
          <w:rFonts w:ascii="Arial" w:hAnsi="Arial" w:cs="Arial"/>
          <w:b/>
          <w:bCs/>
        </w:rPr>
        <w:t xml:space="preserve"> better release rate</w:t>
      </w:r>
      <w:r w:rsidR="00CF243B">
        <w:rPr>
          <w:rFonts w:ascii="Arial" w:hAnsi="Arial" w:cs="Arial"/>
          <w:b/>
          <w:bCs/>
        </w:rPr>
        <w:t xml:space="preserve">, </w:t>
      </w:r>
      <w:r w:rsidR="00CF243B" w:rsidRPr="00CF243B">
        <w:rPr>
          <w:rFonts w:ascii="Arial" w:hAnsi="Arial" w:cs="Arial"/>
          <w:b/>
          <w:bCs/>
        </w:rPr>
        <w:t>the lower Lag time</w:t>
      </w:r>
      <w:r w:rsidR="00CF243B">
        <w:rPr>
          <w:rFonts w:ascii="Arial" w:hAnsi="Arial" w:cs="Arial"/>
          <w:b/>
          <w:bCs/>
        </w:rPr>
        <w:t xml:space="preserve">, Sorbitol level (+), </w:t>
      </w:r>
      <w:r w:rsidR="00CF243B" w:rsidRPr="00CF243B">
        <w:rPr>
          <w:rFonts w:ascii="Arial" w:hAnsi="Arial" w:cs="Arial"/>
          <w:b/>
          <w:bCs/>
        </w:rPr>
        <w:t xml:space="preserve"> in all the range of quantity of osmotic agent</w:t>
      </w:r>
    </w:p>
    <w:p w14:paraId="22B7CEED" w14:textId="77777777" w:rsidR="00BA0A8B" w:rsidRDefault="00BA0A8B" w:rsidP="00BA0A8B">
      <w:pPr>
        <w:pStyle w:val="Body"/>
        <w:rPr>
          <w:rFonts w:ascii="Arial" w:hAnsi="Arial" w:cs="Arial"/>
        </w:rPr>
      </w:pPr>
    </w:p>
    <w:tbl>
      <w:tblPr>
        <w:tblStyle w:val="Tablaconcuadrcula"/>
        <w:tblW w:w="5000" w:type="pct"/>
        <w:jc w:val="center"/>
        <w:tblLook w:val="04A0" w:firstRow="1" w:lastRow="0" w:firstColumn="1" w:lastColumn="0" w:noHBand="0" w:noVBand="1"/>
      </w:tblPr>
      <w:tblGrid>
        <w:gridCol w:w="3956"/>
        <w:gridCol w:w="4242"/>
      </w:tblGrid>
      <w:tr w:rsidR="00CF243B" w14:paraId="0C021CD2" w14:textId="77777777" w:rsidTr="00666D4B">
        <w:trPr>
          <w:jc w:val="center"/>
        </w:trPr>
        <w:tc>
          <w:tcPr>
            <w:tcW w:w="2412" w:type="pct"/>
            <w:shd w:val="pct15" w:color="auto" w:fill="auto"/>
          </w:tcPr>
          <w:p w14:paraId="008A1F09" w14:textId="77777777" w:rsidR="00CF243B" w:rsidRPr="00EE348B" w:rsidRDefault="00CF243B" w:rsidP="00666D4B">
            <w:pPr>
              <w:spacing w:before="40" w:after="40"/>
              <w:jc w:val="center"/>
              <w:rPr>
                <w:b/>
              </w:rPr>
            </w:pPr>
            <w:r>
              <w:rPr>
                <w:b/>
              </w:rPr>
              <w:t>Conditions</w:t>
            </w:r>
            <w:r w:rsidRPr="00EE348B">
              <w:rPr>
                <w:b/>
              </w:rPr>
              <w:t xml:space="preserve">/ </w:t>
            </w:r>
            <w:r>
              <w:rPr>
                <w:b/>
              </w:rPr>
              <w:t>Response</w:t>
            </w:r>
          </w:p>
        </w:tc>
        <w:tc>
          <w:tcPr>
            <w:tcW w:w="2588" w:type="pct"/>
            <w:shd w:val="pct15" w:color="auto" w:fill="auto"/>
          </w:tcPr>
          <w:p w14:paraId="4DD553F1" w14:textId="77777777" w:rsidR="00CF243B" w:rsidRPr="00EE348B" w:rsidRDefault="00CF243B" w:rsidP="00666D4B">
            <w:pPr>
              <w:spacing w:before="40" w:after="40"/>
              <w:jc w:val="center"/>
              <w:rPr>
                <w:b/>
              </w:rPr>
            </w:pPr>
            <w:r>
              <w:rPr>
                <w:b/>
              </w:rPr>
              <w:t>Desirability answer</w:t>
            </w:r>
          </w:p>
        </w:tc>
      </w:tr>
      <w:tr w:rsidR="00CF243B" w14:paraId="6A7B59E5" w14:textId="77777777" w:rsidTr="00666D4B">
        <w:trPr>
          <w:jc w:val="center"/>
        </w:trPr>
        <w:tc>
          <w:tcPr>
            <w:tcW w:w="5000" w:type="pct"/>
            <w:gridSpan w:val="2"/>
            <w:shd w:val="clear" w:color="auto" w:fill="auto"/>
          </w:tcPr>
          <w:p w14:paraId="4818622E" w14:textId="77777777" w:rsidR="00CF243B" w:rsidRDefault="00CF243B" w:rsidP="00666D4B">
            <w:pPr>
              <w:spacing w:before="40" w:after="40"/>
              <w:jc w:val="center"/>
              <w:rPr>
                <w:b/>
              </w:rPr>
            </w:pPr>
            <w:r>
              <w:rPr>
                <w:rFonts w:eastAsia="Times New Roman"/>
                <w:sz w:val="20"/>
                <w:szCs w:val="20"/>
              </w:rPr>
              <w:object w:dxaOrig="19586" w:dyaOrig="4944" w14:anchorId="64B9887A">
                <v:shape id="_x0000_i1027" type="#_x0000_t75" style="width:460.3pt;height:127.7pt" o:ole="">
                  <v:imagedata r:id="rId30" o:title=""/>
                </v:shape>
                <o:OLEObject Type="Embed" ProgID="PBrush" ShapeID="_x0000_i1027" DrawAspect="Content" ObjectID="_1809797201" r:id="rId31"/>
              </w:object>
            </w:r>
          </w:p>
        </w:tc>
      </w:tr>
    </w:tbl>
    <w:p w14:paraId="1934A892" w14:textId="77777777" w:rsidR="00CF243B" w:rsidRDefault="00CF243B" w:rsidP="00BA0A8B">
      <w:pPr>
        <w:pStyle w:val="Body"/>
        <w:rPr>
          <w:rFonts w:ascii="Arial" w:hAnsi="Arial" w:cs="Arial"/>
          <w:b/>
          <w:bCs/>
        </w:rPr>
      </w:pPr>
    </w:p>
    <w:p w14:paraId="14339E9E" w14:textId="77777777" w:rsidR="00BA0A8B" w:rsidRDefault="00BA0A8B" w:rsidP="00BA0A8B">
      <w:pPr>
        <w:pStyle w:val="Body"/>
        <w:rPr>
          <w:rFonts w:ascii="Arial" w:hAnsi="Arial" w:cs="Arial"/>
        </w:rPr>
      </w:pPr>
      <w:r w:rsidRPr="00BA0A8B">
        <w:rPr>
          <w:rFonts w:ascii="Arial" w:hAnsi="Arial" w:cs="Arial"/>
          <w:b/>
          <w:bCs/>
        </w:rPr>
        <w:t>4. Discussion</w:t>
      </w:r>
      <w:r w:rsidRPr="00BA0A8B">
        <w:rPr>
          <w:rFonts w:ascii="Arial" w:hAnsi="Arial" w:cs="Arial"/>
        </w:rPr>
        <w:t xml:space="preserve"> </w:t>
      </w:r>
    </w:p>
    <w:p w14:paraId="1B58C202" w14:textId="77777777" w:rsidR="00BA0A8B" w:rsidRDefault="00BA0A8B" w:rsidP="00BA0A8B">
      <w:pPr>
        <w:pStyle w:val="Body"/>
        <w:rPr>
          <w:rFonts w:ascii="Arial" w:hAnsi="Arial" w:cs="Arial"/>
        </w:rPr>
      </w:pPr>
      <w:r w:rsidRPr="00BA0A8B">
        <w:rPr>
          <w:rFonts w:ascii="Arial" w:hAnsi="Arial" w:cs="Arial"/>
        </w:rPr>
        <w:t>The results from the compatibility study, all of the excipients selected were compatible</w:t>
      </w:r>
      <w:r>
        <w:rPr>
          <w:rFonts w:ascii="Arial" w:hAnsi="Arial" w:cs="Arial"/>
        </w:rPr>
        <w:t xml:space="preserve"> </w:t>
      </w:r>
      <w:r w:rsidRPr="00BA0A8B">
        <w:rPr>
          <w:rFonts w:ascii="Arial" w:hAnsi="Arial" w:cs="Arial"/>
        </w:rPr>
        <w:t>and possible to use inside of the osmotic capsule. The use of aspartame like a positive</w:t>
      </w:r>
      <w:r>
        <w:rPr>
          <w:rFonts w:ascii="Arial" w:hAnsi="Arial" w:cs="Arial"/>
        </w:rPr>
        <w:t xml:space="preserve"> </w:t>
      </w:r>
      <w:r w:rsidRPr="00BA0A8B">
        <w:rPr>
          <w:rFonts w:ascii="Arial" w:hAnsi="Arial" w:cs="Arial"/>
        </w:rPr>
        <w:t>control was a good option to demonstrate the compatibility and stability of mixtures under</w:t>
      </w:r>
      <w:r>
        <w:rPr>
          <w:rFonts w:ascii="Arial" w:hAnsi="Arial" w:cs="Arial"/>
        </w:rPr>
        <w:t xml:space="preserve"> </w:t>
      </w:r>
      <w:r w:rsidRPr="00BA0A8B">
        <w:rPr>
          <w:rFonts w:ascii="Arial" w:hAnsi="Arial" w:cs="Arial"/>
        </w:rPr>
        <w:t>the accelerated conditions. In a recent study by Nilsson, 2023</w:t>
      </w:r>
      <w:r w:rsidR="00B63EFE">
        <w:rPr>
          <w:rFonts w:ascii="Arial" w:hAnsi="Arial" w:cs="Arial"/>
        </w:rPr>
        <w:t xml:space="preserve"> </w:t>
      </w:r>
      <w:r w:rsidR="00B63EFE" w:rsidRPr="00BA0A8B">
        <w:rPr>
          <w:rFonts w:ascii="Arial" w:hAnsi="Arial" w:cs="Arial"/>
        </w:rPr>
        <w:t>[</w:t>
      </w:r>
      <w:r w:rsidRPr="00BA0A8B">
        <w:rPr>
          <w:rFonts w:ascii="Arial" w:hAnsi="Arial" w:cs="Arial"/>
        </w:rPr>
        <w:t>17</w:t>
      </w:r>
      <w:r w:rsidR="00B63EFE" w:rsidRPr="00BA0A8B">
        <w:rPr>
          <w:rFonts w:ascii="Arial" w:hAnsi="Arial" w:cs="Arial"/>
        </w:rPr>
        <w:t>]</w:t>
      </w:r>
      <w:r w:rsidR="00B63EFE">
        <w:rPr>
          <w:rFonts w:ascii="Arial" w:hAnsi="Arial" w:cs="Arial"/>
        </w:rPr>
        <w:t>,</w:t>
      </w:r>
      <w:r w:rsidRPr="00BA0A8B">
        <w:rPr>
          <w:rFonts w:ascii="Arial" w:hAnsi="Arial" w:cs="Arial"/>
        </w:rPr>
        <w:t xml:space="preserve"> the use of Raman in</w:t>
      </w:r>
      <w:r>
        <w:rPr>
          <w:rFonts w:ascii="Arial" w:hAnsi="Arial" w:cs="Arial"/>
        </w:rPr>
        <w:t xml:space="preserve"> </w:t>
      </w:r>
      <w:r w:rsidRPr="00BA0A8B">
        <w:rPr>
          <w:rFonts w:ascii="Arial" w:hAnsi="Arial" w:cs="Arial"/>
        </w:rPr>
        <w:t>compatibility studies is a very good option because do not use solvents and the samples</w:t>
      </w:r>
      <w:r>
        <w:rPr>
          <w:rFonts w:ascii="Arial" w:hAnsi="Arial" w:cs="Arial"/>
        </w:rPr>
        <w:t xml:space="preserve"> </w:t>
      </w:r>
      <w:r w:rsidRPr="00BA0A8B">
        <w:rPr>
          <w:rFonts w:ascii="Arial" w:hAnsi="Arial" w:cs="Arial"/>
        </w:rPr>
        <w:t>cold be the same because the technique is not destructive. Raman spectroscopy could</w:t>
      </w:r>
      <w:r>
        <w:rPr>
          <w:rFonts w:ascii="Arial" w:hAnsi="Arial" w:cs="Arial"/>
        </w:rPr>
        <w:t xml:space="preserve"> </w:t>
      </w:r>
      <w:r w:rsidRPr="00BA0A8B">
        <w:rPr>
          <w:rFonts w:ascii="Arial" w:hAnsi="Arial" w:cs="Arial"/>
        </w:rPr>
        <w:t>prove a powerful tool for studying compatibility in complex infusion regimens, especially</w:t>
      </w:r>
      <w:r>
        <w:rPr>
          <w:rFonts w:ascii="Arial" w:hAnsi="Arial" w:cs="Arial"/>
        </w:rPr>
        <w:t xml:space="preserve"> </w:t>
      </w:r>
      <w:r w:rsidRPr="00BA0A8B">
        <w:rPr>
          <w:rFonts w:ascii="Arial" w:hAnsi="Arial" w:cs="Arial"/>
        </w:rPr>
        <w:t>precipitations originating from incompatibilities. Recent development of handheld</w:t>
      </w:r>
      <w:r>
        <w:rPr>
          <w:rFonts w:ascii="Arial" w:hAnsi="Arial" w:cs="Arial"/>
        </w:rPr>
        <w:t xml:space="preserve"> </w:t>
      </w:r>
      <w:r w:rsidRPr="00BA0A8B">
        <w:rPr>
          <w:rFonts w:ascii="Arial" w:hAnsi="Arial" w:cs="Arial"/>
        </w:rPr>
        <w:t>instrumentation opens up an attractive opportunity to bring vibrational spectroscopy into</w:t>
      </w:r>
      <w:r>
        <w:rPr>
          <w:rFonts w:ascii="Arial" w:hAnsi="Arial" w:cs="Arial"/>
        </w:rPr>
        <w:t xml:space="preserve"> </w:t>
      </w:r>
      <w:r w:rsidRPr="00BA0A8B">
        <w:rPr>
          <w:rFonts w:ascii="Arial" w:hAnsi="Arial" w:cs="Arial"/>
        </w:rPr>
        <w:t xml:space="preserve">a hospital setting. </w:t>
      </w:r>
    </w:p>
    <w:p w14:paraId="37177974" w14:textId="77777777" w:rsidR="00BA0A8B" w:rsidRPr="00BA0A8B" w:rsidRDefault="00BA0A8B" w:rsidP="00BA0A8B">
      <w:pPr>
        <w:pStyle w:val="Body"/>
        <w:rPr>
          <w:rFonts w:ascii="Arial" w:hAnsi="Arial" w:cs="Arial"/>
        </w:rPr>
      </w:pPr>
      <w:r w:rsidRPr="00BA0A8B">
        <w:rPr>
          <w:rFonts w:ascii="Arial" w:hAnsi="Arial" w:cs="Arial"/>
        </w:rPr>
        <w:t>Raman spectroscopy in the chemical analysis the detection and identification of drug</w:t>
      </w:r>
      <w:r>
        <w:rPr>
          <w:rFonts w:ascii="Arial" w:hAnsi="Arial" w:cs="Arial"/>
        </w:rPr>
        <w:t xml:space="preserve"> </w:t>
      </w:r>
      <w:r w:rsidRPr="00BA0A8B">
        <w:rPr>
          <w:rFonts w:ascii="Arial" w:hAnsi="Arial" w:cs="Arial"/>
        </w:rPr>
        <w:t>traces in particular</w:t>
      </w:r>
      <w:r w:rsidR="00B63EFE">
        <w:rPr>
          <w:rFonts w:ascii="Arial" w:hAnsi="Arial" w:cs="Arial"/>
        </w:rPr>
        <w:t xml:space="preserve"> </w:t>
      </w:r>
      <w:r w:rsidR="00B63EFE" w:rsidRPr="00BA0A8B">
        <w:rPr>
          <w:rFonts w:ascii="Arial" w:hAnsi="Arial" w:cs="Arial"/>
        </w:rPr>
        <w:t>[</w:t>
      </w:r>
      <w:r w:rsidRPr="00BA0A8B">
        <w:rPr>
          <w:rFonts w:ascii="Arial" w:hAnsi="Arial" w:cs="Arial"/>
        </w:rPr>
        <w:t>18</w:t>
      </w:r>
      <w:r w:rsidR="00B63EFE" w:rsidRPr="00BA0A8B">
        <w:rPr>
          <w:rFonts w:ascii="Arial" w:hAnsi="Arial" w:cs="Arial"/>
        </w:rPr>
        <w:t>]</w:t>
      </w:r>
      <w:r w:rsidRPr="00BA0A8B">
        <w:rPr>
          <w:rFonts w:ascii="Arial" w:hAnsi="Arial" w:cs="Arial"/>
        </w:rPr>
        <w:t>. Raman hyperspectral imaging data was used to reliable spectral</w:t>
      </w:r>
      <w:r>
        <w:rPr>
          <w:rFonts w:ascii="Arial" w:hAnsi="Arial" w:cs="Arial"/>
        </w:rPr>
        <w:t xml:space="preserve"> </w:t>
      </w:r>
      <w:r w:rsidRPr="00BA0A8B">
        <w:rPr>
          <w:rFonts w:ascii="Arial" w:hAnsi="Arial" w:cs="Arial"/>
        </w:rPr>
        <w:t>identification of complex pharmaceutical formulations</w:t>
      </w:r>
      <w:r w:rsidR="00B63EFE">
        <w:rPr>
          <w:rFonts w:ascii="Arial" w:hAnsi="Arial" w:cs="Arial"/>
        </w:rPr>
        <w:t xml:space="preserve"> </w:t>
      </w:r>
      <w:r w:rsidR="00B63EFE" w:rsidRPr="00BA0A8B">
        <w:rPr>
          <w:rFonts w:ascii="Arial" w:hAnsi="Arial" w:cs="Arial"/>
        </w:rPr>
        <w:t>[</w:t>
      </w:r>
      <w:r w:rsidRPr="00BA0A8B">
        <w:rPr>
          <w:rFonts w:ascii="Arial" w:hAnsi="Arial" w:cs="Arial"/>
        </w:rPr>
        <w:t>19</w:t>
      </w:r>
      <w:r w:rsidR="00B63EFE" w:rsidRPr="00BA0A8B">
        <w:rPr>
          <w:rFonts w:ascii="Arial" w:hAnsi="Arial" w:cs="Arial"/>
        </w:rPr>
        <w:t>]</w:t>
      </w:r>
      <w:r w:rsidRPr="00BA0A8B">
        <w:rPr>
          <w:rFonts w:ascii="Arial" w:hAnsi="Arial" w:cs="Arial"/>
        </w:rPr>
        <w:t>. The Raman imaging technique</w:t>
      </w:r>
      <w:r>
        <w:rPr>
          <w:rFonts w:ascii="Arial" w:hAnsi="Arial" w:cs="Arial"/>
        </w:rPr>
        <w:t xml:space="preserve"> </w:t>
      </w:r>
      <w:r w:rsidRPr="00BA0A8B">
        <w:rPr>
          <w:rFonts w:ascii="Arial" w:hAnsi="Arial" w:cs="Arial"/>
        </w:rPr>
        <w:t>can obtain spatial and chemical information that is useful for characterizing drug</w:t>
      </w:r>
      <w:r>
        <w:rPr>
          <w:rFonts w:ascii="Arial" w:hAnsi="Arial" w:cs="Arial"/>
        </w:rPr>
        <w:t xml:space="preserve"> </w:t>
      </w:r>
      <w:r w:rsidRPr="00BA0A8B">
        <w:rPr>
          <w:rFonts w:ascii="Arial" w:hAnsi="Arial" w:cs="Arial"/>
        </w:rPr>
        <w:t>quality</w:t>
      </w:r>
      <w:r w:rsidR="00B63EFE">
        <w:rPr>
          <w:rFonts w:ascii="Arial" w:hAnsi="Arial" w:cs="Arial"/>
        </w:rPr>
        <w:t xml:space="preserve"> </w:t>
      </w:r>
      <w:r w:rsidR="00B63EFE" w:rsidRPr="00BA0A8B">
        <w:rPr>
          <w:rFonts w:ascii="Arial" w:hAnsi="Arial" w:cs="Arial"/>
        </w:rPr>
        <w:t>[</w:t>
      </w:r>
      <w:r w:rsidRPr="00BA0A8B">
        <w:rPr>
          <w:rFonts w:ascii="Arial" w:hAnsi="Arial" w:cs="Arial"/>
        </w:rPr>
        <w:t>20</w:t>
      </w:r>
      <w:r w:rsidR="00B63EFE" w:rsidRPr="00BA0A8B">
        <w:rPr>
          <w:rFonts w:ascii="Arial" w:hAnsi="Arial" w:cs="Arial"/>
        </w:rPr>
        <w:t>]</w:t>
      </w:r>
      <w:r w:rsidRPr="00BA0A8B">
        <w:rPr>
          <w:rFonts w:ascii="Arial" w:hAnsi="Arial" w:cs="Arial"/>
        </w:rPr>
        <w:t>. Raman spectroscopy can be used to identify counterfeits and quantify drug</w:t>
      </w:r>
      <w:r>
        <w:rPr>
          <w:rFonts w:ascii="Arial" w:hAnsi="Arial" w:cs="Arial"/>
        </w:rPr>
        <w:t xml:space="preserve"> </w:t>
      </w:r>
      <w:r w:rsidRPr="00BA0A8B">
        <w:rPr>
          <w:rFonts w:ascii="Arial" w:hAnsi="Arial" w:cs="Arial"/>
        </w:rPr>
        <w:t>content</w:t>
      </w:r>
      <w:r w:rsidR="00B63EFE">
        <w:rPr>
          <w:rFonts w:ascii="Arial" w:hAnsi="Arial" w:cs="Arial"/>
        </w:rPr>
        <w:t xml:space="preserve"> </w:t>
      </w:r>
      <w:r w:rsidR="00B63EFE" w:rsidRPr="00BA0A8B">
        <w:rPr>
          <w:rFonts w:ascii="Arial" w:hAnsi="Arial" w:cs="Arial"/>
        </w:rPr>
        <w:t>[</w:t>
      </w:r>
      <w:r w:rsidRPr="00BA0A8B">
        <w:rPr>
          <w:rFonts w:ascii="Arial" w:hAnsi="Arial" w:cs="Arial"/>
        </w:rPr>
        <w:t>21</w:t>
      </w:r>
      <w:r w:rsidR="00B63EFE" w:rsidRPr="00BA0A8B">
        <w:rPr>
          <w:rFonts w:ascii="Arial" w:hAnsi="Arial" w:cs="Arial"/>
        </w:rPr>
        <w:t>]</w:t>
      </w:r>
      <w:r w:rsidRPr="00BA0A8B">
        <w:rPr>
          <w:rFonts w:ascii="Arial" w:hAnsi="Arial" w:cs="Arial"/>
        </w:rPr>
        <w:t>.</w:t>
      </w:r>
    </w:p>
    <w:p w14:paraId="1A9B2FDC" w14:textId="77777777" w:rsidR="00BA0A8B" w:rsidRDefault="00BA0A8B" w:rsidP="00BA0A8B">
      <w:pPr>
        <w:pStyle w:val="Body"/>
        <w:rPr>
          <w:rFonts w:ascii="Arial" w:hAnsi="Arial" w:cs="Arial"/>
        </w:rPr>
      </w:pPr>
      <w:r w:rsidRPr="00BA0A8B">
        <w:rPr>
          <w:rFonts w:ascii="Arial" w:hAnsi="Arial" w:cs="Arial"/>
        </w:rPr>
        <w:t>The chromatographic method obtained a good retention times for both drugs, this</w:t>
      </w:r>
      <w:r>
        <w:rPr>
          <w:rFonts w:ascii="Arial" w:hAnsi="Arial" w:cs="Arial"/>
        </w:rPr>
        <w:t xml:space="preserve"> </w:t>
      </w:r>
      <w:r w:rsidRPr="00BA0A8B">
        <w:rPr>
          <w:rFonts w:ascii="Arial" w:hAnsi="Arial" w:cs="Arial"/>
        </w:rPr>
        <w:t>method allowed to quantify both drugs with excellent resolution.</w:t>
      </w:r>
      <w:r>
        <w:rPr>
          <w:rFonts w:ascii="Arial" w:hAnsi="Arial" w:cs="Arial"/>
        </w:rPr>
        <w:t xml:space="preserve"> </w:t>
      </w:r>
      <w:r w:rsidRPr="00BA0A8B">
        <w:rPr>
          <w:rFonts w:ascii="Arial" w:hAnsi="Arial" w:cs="Arial"/>
        </w:rPr>
        <w:t>The coating weight gain showed that the 3% was the better result, the better release</w:t>
      </w:r>
      <w:r>
        <w:rPr>
          <w:rFonts w:ascii="Arial" w:hAnsi="Arial" w:cs="Arial"/>
        </w:rPr>
        <w:t xml:space="preserve"> </w:t>
      </w:r>
      <w:r w:rsidRPr="00BA0A8B">
        <w:rPr>
          <w:rFonts w:ascii="Arial" w:hAnsi="Arial" w:cs="Arial"/>
        </w:rPr>
        <w:t>profiles and reduced lag times. The 8% of weight gain delayed the start of the release</w:t>
      </w:r>
      <w:r>
        <w:rPr>
          <w:rFonts w:ascii="Arial" w:hAnsi="Arial" w:cs="Arial"/>
        </w:rPr>
        <w:t xml:space="preserve"> </w:t>
      </w:r>
      <w:r w:rsidRPr="00BA0A8B">
        <w:rPr>
          <w:rFonts w:ascii="Arial" w:hAnsi="Arial" w:cs="Arial"/>
        </w:rPr>
        <w:t xml:space="preserve">for more than 6 hours. </w:t>
      </w:r>
    </w:p>
    <w:p w14:paraId="4E87C0CB" w14:textId="77777777" w:rsidR="00BA0A8B" w:rsidRPr="00BA0A8B" w:rsidRDefault="00BA0A8B" w:rsidP="00BA0A8B">
      <w:pPr>
        <w:pStyle w:val="Body"/>
        <w:rPr>
          <w:rFonts w:ascii="Arial" w:hAnsi="Arial" w:cs="Arial"/>
        </w:rPr>
      </w:pPr>
      <w:r w:rsidRPr="00BA0A8B">
        <w:rPr>
          <w:rFonts w:ascii="Arial" w:hAnsi="Arial" w:cs="Arial"/>
        </w:rPr>
        <w:t>It is worth noting that there was a strong similarity between the high and medium levels</w:t>
      </w:r>
      <w:r>
        <w:rPr>
          <w:rFonts w:ascii="Arial" w:hAnsi="Arial" w:cs="Arial"/>
        </w:rPr>
        <w:t xml:space="preserve"> </w:t>
      </w:r>
      <w:r w:rsidRPr="00BA0A8B">
        <w:rPr>
          <w:rFonts w:ascii="Arial" w:hAnsi="Arial" w:cs="Arial"/>
        </w:rPr>
        <w:t>in terms of release behavior, with a 3.67% difference in Glibenclamide release, a 0.22</w:t>
      </w:r>
      <w:r>
        <w:rPr>
          <w:rFonts w:ascii="Arial" w:hAnsi="Arial" w:cs="Arial"/>
        </w:rPr>
        <w:t xml:space="preserve"> </w:t>
      </w:r>
      <w:r w:rsidRPr="00BA0A8B">
        <w:rPr>
          <w:rFonts w:ascii="Arial" w:hAnsi="Arial" w:cs="Arial"/>
        </w:rPr>
        <w:t>difference in release rate, and a 1.38-hour difference in the lag phase. Specifically, for</w:t>
      </w:r>
      <w:r>
        <w:rPr>
          <w:rFonts w:ascii="Arial" w:hAnsi="Arial" w:cs="Arial"/>
        </w:rPr>
        <w:t xml:space="preserve"> </w:t>
      </w:r>
      <w:r w:rsidRPr="00BA0A8B">
        <w:rPr>
          <w:rFonts w:ascii="Arial" w:hAnsi="Arial" w:cs="Arial"/>
        </w:rPr>
        <w:t>Glibenclamide, the release percentage followed a linear pattern, as expected.</w:t>
      </w:r>
    </w:p>
    <w:p w14:paraId="48FC1C96" w14:textId="77777777" w:rsidR="00BA0A8B" w:rsidRPr="00BA0A8B" w:rsidRDefault="00BA0A8B" w:rsidP="00BA0A8B">
      <w:pPr>
        <w:pStyle w:val="Body"/>
        <w:rPr>
          <w:rFonts w:ascii="Arial" w:hAnsi="Arial" w:cs="Arial"/>
        </w:rPr>
      </w:pPr>
      <w:r w:rsidRPr="00BA0A8B">
        <w:rPr>
          <w:rFonts w:ascii="Arial" w:hAnsi="Arial" w:cs="Arial"/>
        </w:rPr>
        <w:t>The most important findings indicate that the release rate for both drugs remained linear</w:t>
      </w:r>
      <w:r>
        <w:rPr>
          <w:rFonts w:ascii="Arial" w:hAnsi="Arial" w:cs="Arial"/>
        </w:rPr>
        <w:t xml:space="preserve"> </w:t>
      </w:r>
      <w:r w:rsidRPr="00BA0A8B">
        <w:rPr>
          <w:rFonts w:ascii="Arial" w:hAnsi="Arial" w:cs="Arial"/>
        </w:rPr>
        <w:t>for 12.5 hours, with the lag time being close to zero (Table 3).</w:t>
      </w:r>
    </w:p>
    <w:p w14:paraId="0AE19577" w14:textId="77777777" w:rsidR="00BA0A8B" w:rsidRDefault="00BA0A8B" w:rsidP="00BA0A8B">
      <w:pPr>
        <w:pStyle w:val="Body"/>
        <w:rPr>
          <w:rFonts w:ascii="Arial" w:hAnsi="Arial" w:cs="Arial"/>
        </w:rPr>
      </w:pPr>
      <w:r w:rsidRPr="00BA0A8B">
        <w:rPr>
          <w:rFonts w:ascii="Arial" w:hAnsi="Arial" w:cs="Arial"/>
        </w:rPr>
        <w:t>The lag time in the systems was better when the highest level of osmotic agent (sorbitol)</w:t>
      </w:r>
      <w:r>
        <w:rPr>
          <w:rFonts w:ascii="Arial" w:hAnsi="Arial" w:cs="Arial"/>
        </w:rPr>
        <w:t xml:space="preserve"> </w:t>
      </w:r>
      <w:r w:rsidRPr="00BA0A8B">
        <w:rPr>
          <w:rFonts w:ascii="Arial" w:hAnsi="Arial" w:cs="Arial"/>
        </w:rPr>
        <w:t>and the highest amount of the osmotic agent (100 mg) were present in the osmotic</w:t>
      </w:r>
      <w:r>
        <w:rPr>
          <w:rFonts w:ascii="Arial" w:hAnsi="Arial" w:cs="Arial"/>
        </w:rPr>
        <w:t xml:space="preserve"> </w:t>
      </w:r>
      <w:r w:rsidRPr="00BA0A8B">
        <w:rPr>
          <w:rFonts w:ascii="Arial" w:hAnsi="Arial" w:cs="Arial"/>
        </w:rPr>
        <w:t xml:space="preserve">system. </w:t>
      </w:r>
    </w:p>
    <w:p w14:paraId="0B2FAA16" w14:textId="77777777" w:rsidR="00BA0A8B" w:rsidRDefault="00BA0A8B" w:rsidP="00BA0A8B">
      <w:pPr>
        <w:pStyle w:val="Body"/>
        <w:rPr>
          <w:rFonts w:ascii="Arial" w:hAnsi="Arial" w:cs="Arial"/>
        </w:rPr>
      </w:pPr>
      <w:r w:rsidRPr="00BA0A8B">
        <w:rPr>
          <w:rFonts w:ascii="Arial" w:hAnsi="Arial" w:cs="Arial"/>
          <w:b/>
          <w:bCs/>
        </w:rPr>
        <w:t>Optimal formulation by statistical analysis</w:t>
      </w:r>
      <w:r w:rsidRPr="00BA0A8B">
        <w:rPr>
          <w:rFonts w:ascii="Arial" w:hAnsi="Arial" w:cs="Arial"/>
        </w:rPr>
        <w:t xml:space="preserve"> </w:t>
      </w:r>
    </w:p>
    <w:p w14:paraId="3E9CB5C8" w14:textId="77777777" w:rsidR="00BA0A8B" w:rsidRDefault="00BA0A8B" w:rsidP="00BA0A8B">
      <w:pPr>
        <w:pStyle w:val="Body"/>
        <w:rPr>
          <w:rFonts w:ascii="Arial" w:hAnsi="Arial" w:cs="Arial"/>
        </w:rPr>
      </w:pPr>
      <w:r w:rsidRPr="00BA0A8B">
        <w:rPr>
          <w:rFonts w:ascii="Arial" w:hAnsi="Arial" w:cs="Arial"/>
        </w:rPr>
        <w:t>According to the graphical optimization generated by the Design Expert software, when</w:t>
      </w:r>
      <w:r>
        <w:rPr>
          <w:rFonts w:ascii="Arial" w:hAnsi="Arial" w:cs="Arial"/>
        </w:rPr>
        <w:t xml:space="preserve"> </w:t>
      </w:r>
      <w:r w:rsidRPr="00BA0A8B">
        <w:rPr>
          <w:rFonts w:ascii="Arial" w:hAnsi="Arial" w:cs="Arial"/>
        </w:rPr>
        <w:t>the criteria included a higher amount of osmotic agent, the use of Sorbitol as the</w:t>
      </w:r>
      <w:r>
        <w:rPr>
          <w:rFonts w:ascii="Arial" w:hAnsi="Arial" w:cs="Arial"/>
        </w:rPr>
        <w:t xml:space="preserve"> </w:t>
      </w:r>
      <w:r w:rsidRPr="00BA0A8B">
        <w:rPr>
          <w:rFonts w:ascii="Arial" w:hAnsi="Arial" w:cs="Arial"/>
        </w:rPr>
        <w:t>osmotic agent, and the highest percentage of Metformin, the desirability was close to</w:t>
      </w:r>
      <w:r>
        <w:rPr>
          <w:rFonts w:ascii="Arial" w:hAnsi="Arial" w:cs="Arial"/>
        </w:rPr>
        <w:t xml:space="preserve"> </w:t>
      </w:r>
      <w:r w:rsidRPr="00BA0A8B">
        <w:rPr>
          <w:rFonts w:ascii="Arial" w:hAnsi="Arial" w:cs="Arial"/>
        </w:rPr>
        <w:t xml:space="preserve">0.8 or higher. Running </w:t>
      </w:r>
      <w:r w:rsidRPr="00BA0A8B">
        <w:rPr>
          <w:rFonts w:ascii="Arial" w:hAnsi="Arial" w:cs="Arial"/>
        </w:rPr>
        <w:lastRenderedPageBreak/>
        <w:t>a second optimization, when the highest release rate for</w:t>
      </w:r>
      <w:r>
        <w:rPr>
          <w:rFonts w:ascii="Arial" w:hAnsi="Arial" w:cs="Arial"/>
        </w:rPr>
        <w:t xml:space="preserve"> </w:t>
      </w:r>
      <w:r w:rsidRPr="00BA0A8B">
        <w:rPr>
          <w:rFonts w:ascii="Arial" w:hAnsi="Arial" w:cs="Arial"/>
        </w:rPr>
        <w:t>Metformin was considered optimal, the desirability increased to 0.935. Finally, when the</w:t>
      </w:r>
      <w:r>
        <w:rPr>
          <w:rFonts w:ascii="Arial" w:hAnsi="Arial" w:cs="Arial"/>
        </w:rPr>
        <w:t xml:space="preserve"> </w:t>
      </w:r>
      <w:r w:rsidRPr="00BA0A8B">
        <w:rPr>
          <w:rFonts w:ascii="Arial" w:hAnsi="Arial" w:cs="Arial"/>
        </w:rPr>
        <w:t>lag phase was included, defining the lowest value as optimal, a desirability region of</w:t>
      </w:r>
      <w:r>
        <w:rPr>
          <w:rFonts w:ascii="Arial" w:hAnsi="Arial" w:cs="Arial"/>
        </w:rPr>
        <w:t xml:space="preserve"> </w:t>
      </w:r>
      <w:r w:rsidRPr="00BA0A8B">
        <w:rPr>
          <w:rFonts w:ascii="Arial" w:hAnsi="Arial" w:cs="Arial"/>
        </w:rPr>
        <w:t xml:space="preserve">0.928 was obtained (Table 4). </w:t>
      </w:r>
    </w:p>
    <w:p w14:paraId="1CF67E71" w14:textId="77777777" w:rsidR="00BA0A8B" w:rsidRDefault="00BA0A8B" w:rsidP="00BA0A8B">
      <w:pPr>
        <w:pStyle w:val="Body"/>
        <w:rPr>
          <w:rFonts w:ascii="Arial" w:hAnsi="Arial" w:cs="Arial"/>
        </w:rPr>
      </w:pPr>
      <w:r w:rsidRPr="00BA0A8B">
        <w:rPr>
          <w:rFonts w:ascii="Arial" w:hAnsi="Arial" w:cs="Arial"/>
        </w:rPr>
        <w:t>Similarly, the same optimization procedure was applied for Glibenclamide. The</w:t>
      </w:r>
      <w:r>
        <w:rPr>
          <w:rFonts w:ascii="Arial" w:hAnsi="Arial" w:cs="Arial"/>
        </w:rPr>
        <w:t xml:space="preserve"> </w:t>
      </w:r>
      <w:r w:rsidRPr="00BA0A8B">
        <w:rPr>
          <w:rFonts w:ascii="Arial" w:hAnsi="Arial" w:cs="Arial"/>
        </w:rPr>
        <w:t>desirability reached 1.0 with a higher quantity of osmotic agent (100 mg) and Sorbitol,</w:t>
      </w:r>
      <w:r>
        <w:rPr>
          <w:rFonts w:ascii="Arial" w:hAnsi="Arial" w:cs="Arial"/>
        </w:rPr>
        <w:t xml:space="preserve"> </w:t>
      </w:r>
      <w:r w:rsidRPr="00BA0A8B">
        <w:rPr>
          <w:rFonts w:ascii="Arial" w:hAnsi="Arial" w:cs="Arial"/>
        </w:rPr>
        <w:t>as well as the percentage release of Glibenclamide. When the Glibenclamide release</w:t>
      </w:r>
      <w:r>
        <w:rPr>
          <w:rFonts w:ascii="Arial" w:hAnsi="Arial" w:cs="Arial"/>
        </w:rPr>
        <w:t xml:space="preserve"> </w:t>
      </w:r>
      <w:r w:rsidRPr="00BA0A8B">
        <w:rPr>
          <w:rFonts w:ascii="Arial" w:hAnsi="Arial" w:cs="Arial"/>
        </w:rPr>
        <w:t>rate was considered, the desirability decreased to 0.891, with optimal prediction found</w:t>
      </w:r>
      <w:r>
        <w:rPr>
          <w:rFonts w:ascii="Arial" w:hAnsi="Arial" w:cs="Arial"/>
        </w:rPr>
        <w:t xml:space="preserve"> </w:t>
      </w:r>
      <w:r w:rsidRPr="00BA0A8B">
        <w:rPr>
          <w:rFonts w:ascii="Arial" w:hAnsi="Arial" w:cs="Arial"/>
        </w:rPr>
        <w:t>using Sorbitol and an amount ranging of 0.61. Finally, when the lag time was added, the</w:t>
      </w:r>
      <w:r>
        <w:rPr>
          <w:rFonts w:ascii="Arial" w:hAnsi="Arial" w:cs="Arial"/>
        </w:rPr>
        <w:t xml:space="preserve"> </w:t>
      </w:r>
      <w:r w:rsidRPr="00BA0A8B">
        <w:rPr>
          <w:rFonts w:ascii="Arial" w:hAnsi="Arial" w:cs="Arial"/>
        </w:rPr>
        <w:t xml:space="preserve">desirability increased to 0.894. </w:t>
      </w:r>
    </w:p>
    <w:p w14:paraId="375D8526" w14:textId="77777777" w:rsidR="00BA0A8B" w:rsidRPr="00BA0A8B" w:rsidRDefault="00BA0A8B" w:rsidP="00BA0A8B">
      <w:pPr>
        <w:pStyle w:val="Body"/>
        <w:rPr>
          <w:rFonts w:ascii="Arial" w:hAnsi="Arial" w:cs="Arial"/>
        </w:rPr>
      </w:pPr>
      <w:r w:rsidRPr="00BA0A8B">
        <w:rPr>
          <w:rFonts w:ascii="Arial" w:hAnsi="Arial" w:cs="Arial"/>
        </w:rPr>
        <w:t>The highest percentage of Metformin release was observed when a high amount of</w:t>
      </w:r>
      <w:r>
        <w:rPr>
          <w:rFonts w:ascii="Arial" w:hAnsi="Arial" w:cs="Arial"/>
        </w:rPr>
        <w:t xml:space="preserve"> </w:t>
      </w:r>
      <w:r w:rsidRPr="00BA0A8B">
        <w:rPr>
          <w:rFonts w:ascii="Arial" w:hAnsi="Arial" w:cs="Arial"/>
        </w:rPr>
        <w:t>osmotic agent was used, particularly when Sorbitol was the osmotic agent. Thus, the</w:t>
      </w:r>
      <w:r>
        <w:rPr>
          <w:rFonts w:ascii="Arial" w:hAnsi="Arial" w:cs="Arial"/>
        </w:rPr>
        <w:t xml:space="preserve"> </w:t>
      </w:r>
      <w:r w:rsidRPr="00BA0A8B">
        <w:rPr>
          <w:rFonts w:ascii="Arial" w:hAnsi="Arial" w:cs="Arial"/>
        </w:rPr>
        <w:t>optimal Metformin release was achieved with a combination of Sorbitol and a high amount</w:t>
      </w:r>
      <w:r>
        <w:rPr>
          <w:rFonts w:ascii="Arial" w:hAnsi="Arial" w:cs="Arial"/>
        </w:rPr>
        <w:t xml:space="preserve"> </w:t>
      </w:r>
      <w:r w:rsidRPr="00BA0A8B">
        <w:rPr>
          <w:rFonts w:ascii="Arial" w:hAnsi="Arial" w:cs="Arial"/>
        </w:rPr>
        <w:t>of osmotic agent (Figure 10a). As shown in Figure 10b, the highest level of osmotic agent</w:t>
      </w:r>
      <w:r>
        <w:rPr>
          <w:rFonts w:ascii="Arial" w:hAnsi="Arial" w:cs="Arial"/>
        </w:rPr>
        <w:t xml:space="preserve"> </w:t>
      </w:r>
      <w:r w:rsidRPr="00BA0A8B">
        <w:rPr>
          <w:rFonts w:ascii="Arial" w:hAnsi="Arial" w:cs="Arial"/>
        </w:rPr>
        <w:t>(Sorbitol) and the highest amount (100 mg) resulted in the best release rate. In our study,</w:t>
      </w:r>
      <w:r>
        <w:rPr>
          <w:rFonts w:ascii="Arial" w:hAnsi="Arial" w:cs="Arial"/>
        </w:rPr>
        <w:t xml:space="preserve"> </w:t>
      </w:r>
      <w:r w:rsidRPr="00BA0A8B">
        <w:rPr>
          <w:rFonts w:ascii="Arial" w:hAnsi="Arial" w:cs="Arial"/>
        </w:rPr>
        <w:t>the percentage of drug release was 48.08% for Glibenclamide and 83.56% for Metformin.</w:t>
      </w:r>
    </w:p>
    <w:p w14:paraId="19C9E351" w14:textId="77777777" w:rsidR="00BA0A8B" w:rsidRDefault="00BA0A8B" w:rsidP="00BA0A8B">
      <w:pPr>
        <w:pStyle w:val="Body"/>
        <w:rPr>
          <w:rFonts w:ascii="Arial" w:hAnsi="Arial" w:cs="Arial"/>
        </w:rPr>
      </w:pPr>
      <w:r w:rsidRPr="00BA0A8B">
        <w:rPr>
          <w:rFonts w:ascii="Arial" w:hAnsi="Arial" w:cs="Arial"/>
        </w:rPr>
        <w:t>The osmotic agents Mannitol and Sorbitol exhibited low osmotic pressure in the range of</w:t>
      </w:r>
      <w:r w:rsidR="007075DA">
        <w:rPr>
          <w:rFonts w:ascii="Arial" w:hAnsi="Arial" w:cs="Arial"/>
        </w:rPr>
        <w:t xml:space="preserve"> </w:t>
      </w:r>
      <w:r w:rsidRPr="00BA0A8B">
        <w:rPr>
          <w:rFonts w:ascii="Arial" w:hAnsi="Arial" w:cs="Arial"/>
        </w:rPr>
        <w:t>38-84 atm. These agents were chosen considering that patients with metabolic syndrome</w:t>
      </w:r>
      <w:r w:rsidR="007075DA">
        <w:rPr>
          <w:rFonts w:ascii="Arial" w:hAnsi="Arial" w:cs="Arial"/>
        </w:rPr>
        <w:t xml:space="preserve"> </w:t>
      </w:r>
      <w:r w:rsidRPr="00BA0A8B">
        <w:rPr>
          <w:rFonts w:ascii="Arial" w:hAnsi="Arial" w:cs="Arial"/>
        </w:rPr>
        <w:t>or hypertension could safely use these oral osmotic systems without activating the reninangiotensin</w:t>
      </w:r>
      <w:r w:rsidR="007075DA">
        <w:rPr>
          <w:rFonts w:ascii="Arial" w:hAnsi="Arial" w:cs="Arial"/>
        </w:rPr>
        <w:t xml:space="preserve"> </w:t>
      </w:r>
      <w:r w:rsidRPr="00BA0A8B">
        <w:rPr>
          <w:rFonts w:ascii="Arial" w:hAnsi="Arial" w:cs="Arial"/>
        </w:rPr>
        <w:t>system, which is triggered by micro- and even nano-molar amounts of sodium</w:t>
      </w:r>
      <w:r w:rsidR="007075DA">
        <w:rPr>
          <w:rFonts w:ascii="Arial" w:hAnsi="Arial" w:cs="Arial"/>
        </w:rPr>
        <w:t xml:space="preserve"> </w:t>
      </w:r>
      <w:r w:rsidRPr="00BA0A8B">
        <w:rPr>
          <w:rFonts w:ascii="Arial" w:hAnsi="Arial" w:cs="Arial"/>
        </w:rPr>
        <w:t xml:space="preserve">chloride [22]. </w:t>
      </w:r>
    </w:p>
    <w:p w14:paraId="71224C1A" w14:textId="77777777" w:rsidR="00BA0A8B" w:rsidRPr="00BA0A8B" w:rsidRDefault="00BA0A8B" w:rsidP="00BA0A8B">
      <w:pPr>
        <w:pStyle w:val="Body"/>
        <w:rPr>
          <w:rFonts w:ascii="Arial" w:hAnsi="Arial" w:cs="Arial"/>
        </w:rPr>
      </w:pPr>
      <w:r w:rsidRPr="00BA0A8B">
        <w:rPr>
          <w:rFonts w:ascii="Arial" w:hAnsi="Arial" w:cs="Arial"/>
        </w:rPr>
        <w:t>Based on the results of the experimental design, the formulation that exhibited the best</w:t>
      </w:r>
      <w:r w:rsidR="007075DA">
        <w:rPr>
          <w:rFonts w:ascii="Arial" w:hAnsi="Arial" w:cs="Arial"/>
        </w:rPr>
        <w:t xml:space="preserve"> </w:t>
      </w:r>
      <w:r w:rsidRPr="00BA0A8B">
        <w:rPr>
          <w:rFonts w:ascii="Arial" w:hAnsi="Arial" w:cs="Arial"/>
        </w:rPr>
        <w:t xml:space="preserve">performance for the release of both Glibenclamide and Metformin was the </w:t>
      </w:r>
      <w:r w:rsidRPr="00BA0A8B">
        <w:rPr>
          <w:rFonts w:ascii="Arial" w:hAnsi="Arial" w:cs="Arial"/>
          <w:b/>
          <w:bCs/>
        </w:rPr>
        <w:t>FI</w:t>
      </w:r>
      <w:r w:rsidR="007075DA">
        <w:rPr>
          <w:rFonts w:ascii="Arial" w:hAnsi="Arial" w:cs="Arial"/>
          <w:b/>
          <w:bCs/>
        </w:rPr>
        <w:t xml:space="preserve"> </w:t>
      </w:r>
      <w:r w:rsidRPr="00BA0A8B">
        <w:rPr>
          <w:rFonts w:ascii="Arial" w:hAnsi="Arial" w:cs="Arial"/>
        </w:rPr>
        <w:t>experiment. Comparatively, data from Ouyang [16] demonstrated an optimal formulation</w:t>
      </w:r>
      <w:r w:rsidR="007075DA">
        <w:rPr>
          <w:rFonts w:ascii="Arial" w:hAnsi="Arial" w:cs="Arial"/>
        </w:rPr>
        <w:t xml:space="preserve"> </w:t>
      </w:r>
      <w:r w:rsidRPr="00BA0A8B">
        <w:rPr>
          <w:rFonts w:ascii="Arial" w:hAnsi="Arial" w:cs="Arial"/>
        </w:rPr>
        <w:t>of an elementary osmotic pump, which released 94% of Glipizide and 95% of Metformin</w:t>
      </w:r>
      <w:r w:rsidR="007075DA">
        <w:rPr>
          <w:rFonts w:ascii="Arial" w:hAnsi="Arial" w:cs="Arial"/>
        </w:rPr>
        <w:t xml:space="preserve"> </w:t>
      </w:r>
      <w:r w:rsidRPr="00BA0A8B">
        <w:rPr>
          <w:rFonts w:ascii="Arial" w:hAnsi="Arial" w:cs="Arial"/>
        </w:rPr>
        <w:t>over 10 hours at pH 6.8, with correlation coefficients (</w:t>
      </w:r>
      <w:r w:rsidRPr="00BA0A8B">
        <w:rPr>
          <w:rFonts w:ascii="Arial" w:hAnsi="Arial" w:cs="Arial"/>
          <w:b/>
          <w:bCs/>
        </w:rPr>
        <w:t>r²</w:t>
      </w:r>
      <w:r w:rsidRPr="00BA0A8B">
        <w:rPr>
          <w:rFonts w:ascii="Arial" w:hAnsi="Arial" w:cs="Arial"/>
        </w:rPr>
        <w:t>) of 0.9472 and 0.9795,</w:t>
      </w:r>
      <w:r w:rsidR="007075DA">
        <w:rPr>
          <w:rFonts w:ascii="Arial" w:hAnsi="Arial" w:cs="Arial"/>
        </w:rPr>
        <w:t xml:space="preserve"> </w:t>
      </w:r>
      <w:r w:rsidRPr="00BA0A8B">
        <w:rPr>
          <w:rFonts w:ascii="Arial" w:hAnsi="Arial" w:cs="Arial"/>
        </w:rPr>
        <w:t>respectively.</w:t>
      </w:r>
    </w:p>
    <w:p w14:paraId="4BCE6BB1" w14:textId="77777777" w:rsidR="00BA0A8B" w:rsidRDefault="002B7539" w:rsidP="00BA0A8B">
      <w:pPr>
        <w:pStyle w:val="Body"/>
        <w:rPr>
          <w:rFonts w:ascii="Arial" w:hAnsi="Arial" w:cs="Arial"/>
        </w:rPr>
      </w:pPr>
      <w:r>
        <w:rPr>
          <w:rFonts w:ascii="Arial" w:hAnsi="Arial" w:cs="Arial"/>
        </w:rPr>
        <w:t xml:space="preserve">There are many studies with osmotic pumps, but almost all of them ignores the relevance of the Lag time. </w:t>
      </w:r>
      <w:r w:rsidR="00BA0A8B" w:rsidRPr="00BA0A8B">
        <w:rPr>
          <w:rFonts w:ascii="Arial" w:hAnsi="Arial" w:cs="Arial"/>
        </w:rPr>
        <w:t>In comparison with Hu et al</w:t>
      </w:r>
      <w:r w:rsidR="00CF243B">
        <w:rPr>
          <w:rFonts w:ascii="Arial" w:hAnsi="Arial" w:cs="Arial"/>
        </w:rPr>
        <w:t xml:space="preserve"> </w:t>
      </w:r>
      <w:r w:rsidRPr="00BA0A8B">
        <w:rPr>
          <w:rFonts w:ascii="Arial" w:hAnsi="Arial" w:cs="Arial"/>
        </w:rPr>
        <w:t>[</w:t>
      </w:r>
      <w:r w:rsidR="00BA0A8B" w:rsidRPr="00BA0A8B">
        <w:rPr>
          <w:rFonts w:ascii="Arial" w:hAnsi="Arial" w:cs="Arial"/>
        </w:rPr>
        <w:t>23</w:t>
      </w:r>
      <w:r w:rsidRPr="00BA0A8B">
        <w:rPr>
          <w:rFonts w:ascii="Arial" w:hAnsi="Arial" w:cs="Arial"/>
        </w:rPr>
        <w:t>]</w:t>
      </w:r>
      <w:r w:rsidR="00BA0A8B" w:rsidRPr="00BA0A8B">
        <w:rPr>
          <w:rFonts w:ascii="Arial" w:hAnsi="Arial" w:cs="Arial"/>
        </w:rPr>
        <w:t>, they made a sandwich osmotic pump capsule they obtain</w:t>
      </w:r>
      <w:r w:rsidR="007075DA">
        <w:rPr>
          <w:rFonts w:ascii="Arial" w:hAnsi="Arial" w:cs="Arial"/>
        </w:rPr>
        <w:t xml:space="preserve"> </w:t>
      </w:r>
      <w:r w:rsidR="00BA0A8B" w:rsidRPr="00BA0A8B">
        <w:rPr>
          <w:rFonts w:ascii="Arial" w:hAnsi="Arial" w:cs="Arial"/>
        </w:rPr>
        <w:t>zero order release for metformin and glicazide, they obtained better release but design</w:t>
      </w:r>
      <w:r w:rsidR="007075DA">
        <w:rPr>
          <w:rFonts w:ascii="Arial" w:hAnsi="Arial" w:cs="Arial"/>
        </w:rPr>
        <w:t xml:space="preserve"> </w:t>
      </w:r>
      <w:r w:rsidR="00BA0A8B" w:rsidRPr="00BA0A8B">
        <w:rPr>
          <w:rFonts w:ascii="Arial" w:hAnsi="Arial" w:cs="Arial"/>
        </w:rPr>
        <w:t>a more complicated system and they need a solid self-microemulsion technology to</w:t>
      </w:r>
      <w:r w:rsidR="007075DA">
        <w:rPr>
          <w:rFonts w:ascii="Arial" w:hAnsi="Arial" w:cs="Arial"/>
        </w:rPr>
        <w:t xml:space="preserve"> </w:t>
      </w:r>
      <w:r w:rsidR="00BA0A8B" w:rsidRPr="00BA0A8B">
        <w:rPr>
          <w:rFonts w:ascii="Arial" w:hAnsi="Arial" w:cs="Arial"/>
        </w:rPr>
        <w:t>solve the problem of drug solubility. But, never mentioned the lag time in their study,</w:t>
      </w:r>
      <w:r w:rsidR="007075DA">
        <w:rPr>
          <w:rFonts w:ascii="Arial" w:hAnsi="Arial" w:cs="Arial"/>
        </w:rPr>
        <w:t xml:space="preserve"> </w:t>
      </w:r>
      <w:r w:rsidR="00BA0A8B" w:rsidRPr="00BA0A8B">
        <w:rPr>
          <w:rFonts w:ascii="Arial" w:hAnsi="Arial" w:cs="Arial"/>
        </w:rPr>
        <w:t xml:space="preserve">and in some cases the lag time were more than 2 hours. </w:t>
      </w:r>
    </w:p>
    <w:p w14:paraId="49065505" w14:textId="77777777" w:rsidR="00BA0A8B" w:rsidRPr="00BA0A8B" w:rsidRDefault="00BA0A8B" w:rsidP="00BA0A8B">
      <w:pPr>
        <w:pStyle w:val="Body"/>
        <w:rPr>
          <w:rFonts w:ascii="Arial" w:hAnsi="Arial" w:cs="Arial"/>
        </w:rPr>
      </w:pPr>
      <w:r w:rsidRPr="00BA0A8B">
        <w:rPr>
          <w:rFonts w:ascii="Arial" w:hAnsi="Arial" w:cs="Arial"/>
        </w:rPr>
        <w:t>In the study of Kulvanich, 2022</w:t>
      </w:r>
      <w:r w:rsidR="002B7539" w:rsidRPr="00BA0A8B">
        <w:rPr>
          <w:rFonts w:ascii="Arial" w:hAnsi="Arial" w:cs="Arial"/>
        </w:rPr>
        <w:t>[</w:t>
      </w:r>
      <w:r w:rsidRPr="00BA0A8B">
        <w:rPr>
          <w:rFonts w:ascii="Arial" w:hAnsi="Arial" w:cs="Arial"/>
        </w:rPr>
        <w:t>24</w:t>
      </w:r>
      <w:r w:rsidR="002B7539" w:rsidRPr="00BA0A8B">
        <w:rPr>
          <w:rFonts w:ascii="Arial" w:hAnsi="Arial" w:cs="Arial"/>
        </w:rPr>
        <w:t>]</w:t>
      </w:r>
      <w:r w:rsidRPr="00BA0A8B">
        <w:rPr>
          <w:rFonts w:ascii="Arial" w:hAnsi="Arial" w:cs="Arial"/>
        </w:rPr>
        <w:t xml:space="preserve"> using crosslinked gelatin capsule to study the delivery</w:t>
      </w:r>
      <w:r w:rsidR="007075DA">
        <w:rPr>
          <w:rFonts w:ascii="Arial" w:hAnsi="Arial" w:cs="Arial"/>
        </w:rPr>
        <w:t xml:space="preserve"> </w:t>
      </w:r>
      <w:r w:rsidRPr="00BA0A8B">
        <w:rPr>
          <w:rFonts w:ascii="Arial" w:hAnsi="Arial" w:cs="Arial"/>
        </w:rPr>
        <w:t>of drugs with different water solubilities, but the authors never mentioned the lag time of</w:t>
      </w:r>
      <w:r w:rsidR="007075DA">
        <w:rPr>
          <w:rFonts w:ascii="Arial" w:hAnsi="Arial" w:cs="Arial"/>
        </w:rPr>
        <w:t xml:space="preserve"> </w:t>
      </w:r>
      <w:r w:rsidRPr="00BA0A8B">
        <w:rPr>
          <w:rFonts w:ascii="Arial" w:hAnsi="Arial" w:cs="Arial"/>
        </w:rPr>
        <w:t>their osmotic systems and presented lag times between 2 or 4 hours, that results were</w:t>
      </w:r>
      <w:r w:rsidR="007075DA">
        <w:rPr>
          <w:rFonts w:ascii="Arial" w:hAnsi="Arial" w:cs="Arial"/>
        </w:rPr>
        <w:t xml:space="preserve"> </w:t>
      </w:r>
      <w:r w:rsidRPr="00BA0A8B">
        <w:rPr>
          <w:rFonts w:ascii="Arial" w:hAnsi="Arial" w:cs="Arial"/>
        </w:rPr>
        <w:t>worst than presented in this study.</w:t>
      </w:r>
      <w:r w:rsidR="007075DA">
        <w:rPr>
          <w:rFonts w:ascii="Arial" w:hAnsi="Arial" w:cs="Arial"/>
        </w:rPr>
        <w:t xml:space="preserve"> </w:t>
      </w:r>
      <w:r w:rsidRPr="00BA0A8B">
        <w:rPr>
          <w:rFonts w:ascii="Arial" w:hAnsi="Arial" w:cs="Arial"/>
        </w:rPr>
        <w:t xml:space="preserve">In the study of Rongfeng Hu, 2020 </w:t>
      </w:r>
      <w:r w:rsidR="002B7539" w:rsidRPr="00BA0A8B">
        <w:rPr>
          <w:rFonts w:ascii="Arial" w:hAnsi="Arial" w:cs="Arial"/>
        </w:rPr>
        <w:t>[</w:t>
      </w:r>
      <w:r w:rsidRPr="00BA0A8B">
        <w:rPr>
          <w:rFonts w:ascii="Arial" w:hAnsi="Arial" w:cs="Arial"/>
        </w:rPr>
        <w:t>25</w:t>
      </w:r>
      <w:r w:rsidR="002B7539" w:rsidRPr="00BA0A8B">
        <w:rPr>
          <w:rFonts w:ascii="Arial" w:hAnsi="Arial" w:cs="Arial"/>
        </w:rPr>
        <w:t>]</w:t>
      </w:r>
      <w:r w:rsidRPr="00BA0A8B">
        <w:rPr>
          <w:rFonts w:ascii="Arial" w:hAnsi="Arial" w:cs="Arial"/>
        </w:rPr>
        <w:t xml:space="preserve"> using Novel Colon-Specific Osmotic Pump</w:t>
      </w:r>
      <w:r w:rsidR="007075DA">
        <w:rPr>
          <w:rFonts w:ascii="Arial" w:hAnsi="Arial" w:cs="Arial"/>
        </w:rPr>
        <w:t xml:space="preserve"> </w:t>
      </w:r>
      <w:r w:rsidRPr="00BA0A8B">
        <w:rPr>
          <w:rFonts w:ascii="Arial" w:hAnsi="Arial" w:cs="Arial"/>
        </w:rPr>
        <w:t>Capsule to study the delivery of Compound Danshen, but the authors never mentioned</w:t>
      </w:r>
      <w:r w:rsidR="007075DA">
        <w:rPr>
          <w:rFonts w:ascii="Arial" w:hAnsi="Arial" w:cs="Arial"/>
        </w:rPr>
        <w:t xml:space="preserve"> </w:t>
      </w:r>
      <w:r w:rsidRPr="00BA0A8B">
        <w:rPr>
          <w:rFonts w:ascii="Arial" w:hAnsi="Arial" w:cs="Arial"/>
        </w:rPr>
        <w:t>the lag time of their osmotic systems and presented lag times between 2 or 8 hours,</w:t>
      </w:r>
      <w:r w:rsidR="007075DA">
        <w:rPr>
          <w:rFonts w:ascii="Arial" w:hAnsi="Arial" w:cs="Arial"/>
        </w:rPr>
        <w:t xml:space="preserve"> </w:t>
      </w:r>
      <w:r w:rsidRPr="00BA0A8B">
        <w:rPr>
          <w:rFonts w:ascii="Arial" w:hAnsi="Arial" w:cs="Arial"/>
        </w:rPr>
        <w:t>that results were worst than presented in this study, their optimal systems presented 3</w:t>
      </w:r>
      <w:r w:rsidR="007075DA">
        <w:rPr>
          <w:rFonts w:ascii="Arial" w:hAnsi="Arial" w:cs="Arial"/>
        </w:rPr>
        <w:t xml:space="preserve"> </w:t>
      </w:r>
      <w:r w:rsidRPr="00BA0A8B">
        <w:rPr>
          <w:rFonts w:ascii="Arial" w:hAnsi="Arial" w:cs="Arial"/>
        </w:rPr>
        <w:t>hours to start the release.</w:t>
      </w:r>
    </w:p>
    <w:p w14:paraId="12F873FD" w14:textId="77777777" w:rsidR="00BA0A8B" w:rsidRDefault="00BA0A8B" w:rsidP="00BA0A8B">
      <w:pPr>
        <w:pStyle w:val="Body"/>
        <w:rPr>
          <w:rFonts w:ascii="Arial" w:hAnsi="Arial" w:cs="Arial"/>
        </w:rPr>
      </w:pPr>
      <w:r w:rsidRPr="00BA0A8B">
        <w:rPr>
          <w:rFonts w:ascii="Arial" w:hAnsi="Arial" w:cs="Arial"/>
        </w:rPr>
        <w:t xml:space="preserve">In the study of Rongfeng Hu, 2019 </w:t>
      </w:r>
      <w:r w:rsidR="002B7539" w:rsidRPr="00BA0A8B">
        <w:rPr>
          <w:rFonts w:ascii="Arial" w:hAnsi="Arial" w:cs="Arial"/>
        </w:rPr>
        <w:t>[</w:t>
      </w:r>
      <w:r w:rsidRPr="00BA0A8B">
        <w:rPr>
          <w:rFonts w:ascii="Arial" w:hAnsi="Arial" w:cs="Arial"/>
        </w:rPr>
        <w:t>26</w:t>
      </w:r>
      <w:r w:rsidR="002B7539" w:rsidRPr="00BA0A8B">
        <w:rPr>
          <w:rFonts w:ascii="Arial" w:hAnsi="Arial" w:cs="Arial"/>
        </w:rPr>
        <w:t>]</w:t>
      </w:r>
      <w:r w:rsidRPr="00BA0A8B">
        <w:rPr>
          <w:rFonts w:ascii="Arial" w:hAnsi="Arial" w:cs="Arial"/>
        </w:rPr>
        <w:t xml:space="preserve"> using novel enteric positioning osmotic pump</w:t>
      </w:r>
      <w:r w:rsidR="007075DA">
        <w:rPr>
          <w:rFonts w:ascii="Arial" w:hAnsi="Arial" w:cs="Arial"/>
        </w:rPr>
        <w:t xml:space="preserve"> </w:t>
      </w:r>
      <w:r w:rsidRPr="00BA0A8B">
        <w:rPr>
          <w:rFonts w:ascii="Arial" w:hAnsi="Arial" w:cs="Arial"/>
        </w:rPr>
        <w:t>capsule to study the delivery of sinomenine hydrochloride, but the authors never</w:t>
      </w:r>
      <w:r w:rsidR="007075DA">
        <w:rPr>
          <w:rFonts w:ascii="Arial" w:hAnsi="Arial" w:cs="Arial"/>
        </w:rPr>
        <w:t xml:space="preserve"> </w:t>
      </w:r>
      <w:r w:rsidRPr="00BA0A8B">
        <w:rPr>
          <w:rFonts w:ascii="Arial" w:hAnsi="Arial" w:cs="Arial"/>
        </w:rPr>
        <w:t>mentioned the lag time of their osmotic systems and presented lag times between 2 or 4</w:t>
      </w:r>
      <w:r w:rsidR="007075DA">
        <w:rPr>
          <w:rFonts w:ascii="Arial" w:hAnsi="Arial" w:cs="Arial"/>
        </w:rPr>
        <w:t xml:space="preserve"> </w:t>
      </w:r>
      <w:r w:rsidRPr="00BA0A8B">
        <w:rPr>
          <w:rFonts w:ascii="Arial" w:hAnsi="Arial" w:cs="Arial"/>
        </w:rPr>
        <w:t>hours, that results were worst than presented in this study, their optimal systems</w:t>
      </w:r>
      <w:r w:rsidR="007075DA">
        <w:rPr>
          <w:rFonts w:ascii="Arial" w:hAnsi="Arial" w:cs="Arial"/>
        </w:rPr>
        <w:t xml:space="preserve"> </w:t>
      </w:r>
      <w:r w:rsidRPr="00BA0A8B">
        <w:rPr>
          <w:rFonts w:ascii="Arial" w:hAnsi="Arial" w:cs="Arial"/>
        </w:rPr>
        <w:t>presented 2 hours to start the releaseand when obtain the Plasma concentration–time</w:t>
      </w:r>
      <w:r w:rsidR="007075DA">
        <w:rPr>
          <w:rFonts w:ascii="Arial" w:hAnsi="Arial" w:cs="Arial"/>
        </w:rPr>
        <w:t xml:space="preserve"> </w:t>
      </w:r>
      <w:r w:rsidRPr="00BA0A8B">
        <w:rPr>
          <w:rFonts w:ascii="Arial" w:hAnsi="Arial" w:cs="Arial"/>
        </w:rPr>
        <w:t xml:space="preserve">curves their system star release at 3 hours and a Cmax in 7 hours. </w:t>
      </w:r>
    </w:p>
    <w:p w14:paraId="60867C36" w14:textId="77777777" w:rsidR="00BA0A8B" w:rsidRPr="00BA0A8B" w:rsidRDefault="00BA0A8B" w:rsidP="00BA0A8B">
      <w:pPr>
        <w:pStyle w:val="Body"/>
        <w:rPr>
          <w:rFonts w:ascii="Arial" w:hAnsi="Arial" w:cs="Arial"/>
        </w:rPr>
      </w:pPr>
      <w:r w:rsidRPr="00BA0A8B">
        <w:rPr>
          <w:rFonts w:ascii="Arial" w:hAnsi="Arial" w:cs="Arial"/>
        </w:rPr>
        <w:lastRenderedPageBreak/>
        <w:t xml:space="preserve">In the study of Ashish Manigauha, 2010 </w:t>
      </w:r>
      <w:r w:rsidR="002B7539" w:rsidRPr="00BA0A8B">
        <w:rPr>
          <w:rFonts w:ascii="Arial" w:hAnsi="Arial" w:cs="Arial"/>
        </w:rPr>
        <w:t>[</w:t>
      </w:r>
      <w:r w:rsidRPr="00BA0A8B">
        <w:rPr>
          <w:rFonts w:ascii="Arial" w:hAnsi="Arial" w:cs="Arial"/>
        </w:rPr>
        <w:t>27</w:t>
      </w:r>
      <w:r w:rsidR="002B7539" w:rsidRPr="00BA0A8B">
        <w:rPr>
          <w:rFonts w:ascii="Arial" w:hAnsi="Arial" w:cs="Arial"/>
        </w:rPr>
        <w:t>]</w:t>
      </w:r>
      <w:r w:rsidRPr="00BA0A8B">
        <w:rPr>
          <w:rFonts w:ascii="Arial" w:hAnsi="Arial" w:cs="Arial"/>
        </w:rPr>
        <w:t xml:space="preserve"> using Osmotic Capsular Pump to study the</w:t>
      </w:r>
      <w:r w:rsidR="007075DA">
        <w:rPr>
          <w:rFonts w:ascii="Arial" w:hAnsi="Arial" w:cs="Arial"/>
        </w:rPr>
        <w:t xml:space="preserve"> </w:t>
      </w:r>
      <w:r w:rsidRPr="00BA0A8B">
        <w:rPr>
          <w:rFonts w:ascii="Arial" w:hAnsi="Arial" w:cs="Arial"/>
        </w:rPr>
        <w:t>delivery of Diclofenac Sodium, but the authors never mentioned the lag time of their</w:t>
      </w:r>
      <w:r w:rsidR="007075DA">
        <w:rPr>
          <w:rFonts w:ascii="Arial" w:hAnsi="Arial" w:cs="Arial"/>
        </w:rPr>
        <w:t xml:space="preserve"> </w:t>
      </w:r>
      <w:r w:rsidRPr="00BA0A8B">
        <w:rPr>
          <w:rFonts w:ascii="Arial" w:hAnsi="Arial" w:cs="Arial"/>
        </w:rPr>
        <w:t>osmotic systems and presented lag times between 2 or 3 hours, that results were worst</w:t>
      </w:r>
      <w:r w:rsidR="007075DA">
        <w:rPr>
          <w:rFonts w:ascii="Arial" w:hAnsi="Arial" w:cs="Arial"/>
        </w:rPr>
        <w:t xml:space="preserve"> </w:t>
      </w:r>
      <w:r w:rsidRPr="00BA0A8B">
        <w:rPr>
          <w:rFonts w:ascii="Arial" w:hAnsi="Arial" w:cs="Arial"/>
        </w:rPr>
        <w:t>than presented in this study, their optimal systems used sodium lauryl sulphate provided</w:t>
      </w:r>
      <w:r w:rsidR="007075DA">
        <w:rPr>
          <w:rFonts w:ascii="Arial" w:hAnsi="Arial" w:cs="Arial"/>
        </w:rPr>
        <w:t xml:space="preserve"> </w:t>
      </w:r>
      <w:r w:rsidRPr="00BA0A8B">
        <w:rPr>
          <w:rFonts w:ascii="Arial" w:hAnsi="Arial" w:cs="Arial"/>
        </w:rPr>
        <w:t>sustained release for 7 hour.</w:t>
      </w:r>
      <w:r w:rsidR="007075DA">
        <w:rPr>
          <w:rFonts w:ascii="Arial" w:hAnsi="Arial" w:cs="Arial"/>
        </w:rPr>
        <w:t xml:space="preserve"> </w:t>
      </w:r>
      <w:r w:rsidRPr="00BA0A8B">
        <w:rPr>
          <w:rFonts w:ascii="Arial" w:hAnsi="Arial" w:cs="Arial"/>
        </w:rPr>
        <w:t xml:space="preserve">In the study of Kenneth C. Waterman, 2011 </w:t>
      </w:r>
      <w:r w:rsidR="002B7539" w:rsidRPr="00BA0A8B">
        <w:rPr>
          <w:rFonts w:ascii="Arial" w:hAnsi="Arial" w:cs="Arial"/>
        </w:rPr>
        <w:t>[</w:t>
      </w:r>
      <w:r w:rsidRPr="00BA0A8B">
        <w:rPr>
          <w:rFonts w:ascii="Arial" w:hAnsi="Arial" w:cs="Arial"/>
        </w:rPr>
        <w:t>28</w:t>
      </w:r>
      <w:r w:rsidR="002B7539" w:rsidRPr="00BA0A8B">
        <w:rPr>
          <w:rFonts w:ascii="Arial" w:hAnsi="Arial" w:cs="Arial"/>
        </w:rPr>
        <w:t>]</w:t>
      </w:r>
      <w:r w:rsidRPr="00BA0A8B">
        <w:rPr>
          <w:rFonts w:ascii="Arial" w:hAnsi="Arial" w:cs="Arial"/>
        </w:rPr>
        <w:t xml:space="preserve"> using Osmotic Capsules like a Universal</w:t>
      </w:r>
      <w:r w:rsidR="007075DA">
        <w:rPr>
          <w:rFonts w:ascii="Arial" w:hAnsi="Arial" w:cs="Arial"/>
        </w:rPr>
        <w:t xml:space="preserve"> </w:t>
      </w:r>
      <w:r w:rsidRPr="00BA0A8B">
        <w:rPr>
          <w:rFonts w:ascii="Arial" w:hAnsi="Arial" w:cs="Arial"/>
        </w:rPr>
        <w:t>oral dosage dorm, but the authors never mentioned the lag time of their osmotic</w:t>
      </w:r>
      <w:r w:rsidR="007075DA">
        <w:rPr>
          <w:rFonts w:ascii="Arial" w:hAnsi="Arial" w:cs="Arial"/>
        </w:rPr>
        <w:t xml:space="preserve"> </w:t>
      </w:r>
      <w:r w:rsidRPr="00BA0A8B">
        <w:rPr>
          <w:rFonts w:ascii="Arial" w:hAnsi="Arial" w:cs="Arial"/>
        </w:rPr>
        <w:t>systems and long duration systems presented lag times between 1 to 3 hours, that</w:t>
      </w:r>
      <w:r w:rsidR="007075DA">
        <w:rPr>
          <w:rFonts w:ascii="Arial" w:hAnsi="Arial" w:cs="Arial"/>
        </w:rPr>
        <w:t xml:space="preserve"> </w:t>
      </w:r>
      <w:r w:rsidRPr="00BA0A8B">
        <w:rPr>
          <w:rFonts w:ascii="Arial" w:hAnsi="Arial" w:cs="Arial"/>
        </w:rPr>
        <w:t>results were worst than presented in this study, their optimal systems presented 1 hours</w:t>
      </w:r>
      <w:r w:rsidR="007075DA">
        <w:rPr>
          <w:rFonts w:ascii="Arial" w:hAnsi="Arial" w:cs="Arial"/>
        </w:rPr>
        <w:t xml:space="preserve"> </w:t>
      </w:r>
      <w:r w:rsidRPr="00BA0A8B">
        <w:rPr>
          <w:rFonts w:ascii="Arial" w:hAnsi="Arial" w:cs="Arial"/>
        </w:rPr>
        <w:t>to start the releaseand needed to add 1% SLS for drugs with low solubility</w:t>
      </w:r>
      <w:r w:rsidR="007075DA">
        <w:rPr>
          <w:rFonts w:ascii="Arial" w:hAnsi="Arial" w:cs="Arial"/>
        </w:rPr>
        <w:t xml:space="preserve"> </w:t>
      </w:r>
      <w:r w:rsidRPr="00BA0A8B">
        <w:rPr>
          <w:rFonts w:ascii="Arial" w:hAnsi="Arial" w:cs="Arial"/>
        </w:rPr>
        <w:t>(carbamazepine).</w:t>
      </w:r>
    </w:p>
    <w:p w14:paraId="22581283" w14:textId="77777777" w:rsidR="00BA0A8B" w:rsidRPr="00BA0A8B" w:rsidRDefault="00BA0A8B" w:rsidP="00BA0A8B">
      <w:pPr>
        <w:pStyle w:val="Body"/>
        <w:rPr>
          <w:rFonts w:ascii="Arial" w:hAnsi="Arial" w:cs="Arial"/>
        </w:rPr>
      </w:pPr>
      <w:r w:rsidRPr="00BA0A8B">
        <w:rPr>
          <w:rFonts w:ascii="Arial" w:hAnsi="Arial" w:cs="Arial"/>
        </w:rPr>
        <w:t>In the study of Yang Lui, in 2021</w:t>
      </w:r>
      <w:r w:rsidR="002B7539" w:rsidRPr="00BA0A8B">
        <w:rPr>
          <w:rFonts w:ascii="Arial" w:hAnsi="Arial" w:cs="Arial"/>
        </w:rPr>
        <w:t>[</w:t>
      </w:r>
      <w:r w:rsidRPr="00BA0A8B">
        <w:rPr>
          <w:rFonts w:ascii="Arial" w:hAnsi="Arial" w:cs="Arial"/>
        </w:rPr>
        <w:t>29</w:t>
      </w:r>
      <w:r w:rsidR="002B7539" w:rsidRPr="00BA0A8B">
        <w:rPr>
          <w:rFonts w:ascii="Arial" w:hAnsi="Arial" w:cs="Arial"/>
        </w:rPr>
        <w:t>]</w:t>
      </w:r>
      <w:r w:rsidRPr="00BA0A8B">
        <w:rPr>
          <w:rFonts w:ascii="Arial" w:hAnsi="Arial" w:cs="Arial"/>
        </w:rPr>
        <w:t xml:space="preserve"> using osmotic pump capsules containing</w:t>
      </w:r>
      <w:r w:rsidR="007075DA">
        <w:rPr>
          <w:rFonts w:ascii="Arial" w:hAnsi="Arial" w:cs="Arial"/>
        </w:rPr>
        <w:t xml:space="preserve"> </w:t>
      </w:r>
      <w:r w:rsidRPr="00BA0A8B">
        <w:rPr>
          <w:rFonts w:ascii="Arial" w:hAnsi="Arial" w:cs="Arial"/>
        </w:rPr>
        <w:t>polyoxyethylene and pH modifier to study the delivery of nifedipine, but the authors</w:t>
      </w:r>
      <w:r w:rsidR="007075DA">
        <w:rPr>
          <w:rFonts w:ascii="Arial" w:hAnsi="Arial" w:cs="Arial"/>
        </w:rPr>
        <w:t xml:space="preserve"> </w:t>
      </w:r>
      <w:r w:rsidRPr="00BA0A8B">
        <w:rPr>
          <w:rFonts w:ascii="Arial" w:hAnsi="Arial" w:cs="Arial"/>
        </w:rPr>
        <w:t>never mentioned the lag time of their osmotic systems and presented lag times between 1 or 2 hours, that results were worst than presented in this study, their optimal systems</w:t>
      </w:r>
      <w:r w:rsidR="007075DA">
        <w:rPr>
          <w:rFonts w:ascii="Arial" w:hAnsi="Arial" w:cs="Arial"/>
        </w:rPr>
        <w:t xml:space="preserve"> </w:t>
      </w:r>
      <w:r w:rsidRPr="00BA0A8B">
        <w:rPr>
          <w:rFonts w:ascii="Arial" w:hAnsi="Arial" w:cs="Arial"/>
        </w:rPr>
        <w:t>using citric acid presented 2-3 hours to start the release.</w:t>
      </w:r>
      <w:r w:rsidR="007075DA">
        <w:rPr>
          <w:rFonts w:ascii="Arial" w:hAnsi="Arial" w:cs="Arial"/>
        </w:rPr>
        <w:t xml:space="preserve"> </w:t>
      </w:r>
      <w:r w:rsidRPr="00BA0A8B">
        <w:rPr>
          <w:rFonts w:ascii="Arial" w:hAnsi="Arial" w:cs="Arial"/>
        </w:rPr>
        <w:t>In our study the size of the orifice were 600 mm, so the size of the orifice could reduce</w:t>
      </w:r>
      <w:r w:rsidR="007075DA">
        <w:rPr>
          <w:rFonts w:ascii="Arial" w:hAnsi="Arial" w:cs="Arial"/>
        </w:rPr>
        <w:t xml:space="preserve"> </w:t>
      </w:r>
      <w:r w:rsidRPr="00BA0A8B">
        <w:rPr>
          <w:rFonts w:ascii="Arial" w:hAnsi="Arial" w:cs="Arial"/>
        </w:rPr>
        <w:t>the rate of delivery. In a recent study with push-pull osmotic pump tablets and modelling</w:t>
      </w:r>
      <w:r w:rsidR="007075DA">
        <w:rPr>
          <w:rFonts w:ascii="Arial" w:hAnsi="Arial" w:cs="Arial"/>
        </w:rPr>
        <w:t xml:space="preserve"> </w:t>
      </w:r>
      <w:r w:rsidRPr="00BA0A8B">
        <w:rPr>
          <w:rFonts w:ascii="Arial" w:hAnsi="Arial" w:cs="Arial"/>
        </w:rPr>
        <w:t>with discrete element method, Yanping in 2024</w:t>
      </w:r>
      <w:r w:rsidR="002B7539">
        <w:rPr>
          <w:rFonts w:ascii="Arial" w:hAnsi="Arial" w:cs="Arial"/>
        </w:rPr>
        <w:t xml:space="preserve"> </w:t>
      </w:r>
      <w:r w:rsidR="002B7539" w:rsidRPr="00BA0A8B">
        <w:rPr>
          <w:rFonts w:ascii="Arial" w:hAnsi="Arial" w:cs="Arial"/>
        </w:rPr>
        <w:t>[</w:t>
      </w:r>
      <w:r w:rsidRPr="00BA0A8B">
        <w:rPr>
          <w:rFonts w:ascii="Arial" w:hAnsi="Arial" w:cs="Arial"/>
        </w:rPr>
        <w:t>30</w:t>
      </w:r>
      <w:r w:rsidR="002B7539" w:rsidRPr="00BA0A8B">
        <w:rPr>
          <w:rFonts w:ascii="Arial" w:hAnsi="Arial" w:cs="Arial"/>
        </w:rPr>
        <w:t>]</w:t>
      </w:r>
      <w:r w:rsidRPr="00BA0A8B">
        <w:rPr>
          <w:rFonts w:ascii="Arial" w:hAnsi="Arial" w:cs="Arial"/>
        </w:rPr>
        <w:t xml:space="preserve"> found that enlarged delivery orifice</w:t>
      </w:r>
      <w:r w:rsidR="007075DA">
        <w:rPr>
          <w:rFonts w:ascii="Arial" w:hAnsi="Arial" w:cs="Arial"/>
        </w:rPr>
        <w:t xml:space="preserve"> </w:t>
      </w:r>
      <w:r w:rsidRPr="00BA0A8B">
        <w:rPr>
          <w:rFonts w:ascii="Arial" w:hAnsi="Arial" w:cs="Arial"/>
        </w:rPr>
        <w:t>significantly increases both the total drug release and the drug release rate. This study</w:t>
      </w:r>
      <w:r w:rsidR="007075DA">
        <w:rPr>
          <w:rFonts w:ascii="Arial" w:hAnsi="Arial" w:cs="Arial"/>
        </w:rPr>
        <w:t xml:space="preserve"> </w:t>
      </w:r>
      <w:r w:rsidRPr="00BA0A8B">
        <w:rPr>
          <w:rFonts w:ascii="Arial" w:hAnsi="Arial" w:cs="Arial"/>
        </w:rPr>
        <w:t>has the problem that presented burst effect and a 15% of release of the drug at the</w:t>
      </w:r>
      <w:r w:rsidR="007075DA">
        <w:rPr>
          <w:rFonts w:ascii="Arial" w:hAnsi="Arial" w:cs="Arial"/>
        </w:rPr>
        <w:t xml:space="preserve"> </w:t>
      </w:r>
      <w:r w:rsidRPr="00BA0A8B">
        <w:rPr>
          <w:rFonts w:ascii="Arial" w:hAnsi="Arial" w:cs="Arial"/>
        </w:rPr>
        <w:t>beginning of the release.</w:t>
      </w:r>
    </w:p>
    <w:p w14:paraId="27CAFED6" w14:textId="77777777" w:rsidR="00BA0A8B" w:rsidRPr="00BA0A8B" w:rsidRDefault="00BA0A8B" w:rsidP="00BA0A8B">
      <w:pPr>
        <w:pStyle w:val="Body"/>
        <w:rPr>
          <w:rFonts w:ascii="Arial" w:hAnsi="Arial" w:cs="Arial"/>
        </w:rPr>
      </w:pPr>
      <w:r w:rsidRPr="00BA0A8B">
        <w:rPr>
          <w:rFonts w:ascii="Arial" w:hAnsi="Arial" w:cs="Arial"/>
        </w:rPr>
        <w:t>In a study with the novel enteric osmotic pump capsule for Metfomin, Rongfeng</w:t>
      </w:r>
      <w:r w:rsidR="002B7539">
        <w:rPr>
          <w:rFonts w:ascii="Arial" w:hAnsi="Arial" w:cs="Arial"/>
        </w:rPr>
        <w:t xml:space="preserve"> </w:t>
      </w:r>
      <w:r w:rsidR="002B7539" w:rsidRPr="00BA0A8B">
        <w:rPr>
          <w:rFonts w:ascii="Arial" w:hAnsi="Arial" w:cs="Arial"/>
        </w:rPr>
        <w:t>[</w:t>
      </w:r>
      <w:r w:rsidRPr="00BA0A8B">
        <w:rPr>
          <w:rFonts w:ascii="Arial" w:hAnsi="Arial" w:cs="Arial"/>
        </w:rPr>
        <w:t>31</w:t>
      </w:r>
      <w:r w:rsidR="002B7539" w:rsidRPr="00BA0A8B">
        <w:rPr>
          <w:rFonts w:ascii="Arial" w:hAnsi="Arial" w:cs="Arial"/>
        </w:rPr>
        <w:t>]</w:t>
      </w:r>
      <w:r w:rsidRPr="00BA0A8B">
        <w:rPr>
          <w:rFonts w:ascii="Arial" w:hAnsi="Arial" w:cs="Arial"/>
        </w:rPr>
        <w:t xml:space="preserve"> found</w:t>
      </w:r>
      <w:r w:rsidR="007075DA">
        <w:rPr>
          <w:rFonts w:ascii="Arial" w:hAnsi="Arial" w:cs="Arial"/>
        </w:rPr>
        <w:t xml:space="preserve"> </w:t>
      </w:r>
      <w:r w:rsidRPr="00BA0A8B">
        <w:rPr>
          <w:rFonts w:ascii="Arial" w:hAnsi="Arial" w:cs="Arial"/>
        </w:rPr>
        <w:t>linear release, but the lag time was in average of 2 hours for the 17 systems studied.</w:t>
      </w:r>
      <w:r w:rsidR="007075DA">
        <w:rPr>
          <w:rFonts w:ascii="Arial" w:hAnsi="Arial" w:cs="Arial"/>
        </w:rPr>
        <w:t xml:space="preserve"> </w:t>
      </w:r>
    </w:p>
    <w:p w14:paraId="319F2A04" w14:textId="77777777" w:rsidR="00BA0A8B" w:rsidRPr="00BA0A8B" w:rsidRDefault="00BA0A8B" w:rsidP="00BA0A8B">
      <w:pPr>
        <w:pStyle w:val="Body"/>
        <w:rPr>
          <w:rFonts w:ascii="Arial" w:hAnsi="Arial" w:cs="Arial"/>
        </w:rPr>
      </w:pPr>
      <w:r w:rsidRPr="00BA0A8B">
        <w:rPr>
          <w:rFonts w:ascii="Arial" w:hAnsi="Arial" w:cs="Arial"/>
        </w:rPr>
        <w:t>For future development, osmotic capsules containing Metformin and Glibenclamide may</w:t>
      </w:r>
      <w:r w:rsidR="007075DA">
        <w:rPr>
          <w:rFonts w:ascii="Arial" w:hAnsi="Arial" w:cs="Arial"/>
        </w:rPr>
        <w:t xml:space="preserve"> </w:t>
      </w:r>
      <w:r w:rsidRPr="00BA0A8B">
        <w:rPr>
          <w:rFonts w:ascii="Arial" w:hAnsi="Arial" w:cs="Arial"/>
        </w:rPr>
        <w:t>require a higher amount of osmotic agent to enhance prolonged performance or</w:t>
      </w:r>
      <w:r w:rsidR="007075DA">
        <w:rPr>
          <w:rFonts w:ascii="Arial" w:hAnsi="Arial" w:cs="Arial"/>
        </w:rPr>
        <w:t xml:space="preserve"> </w:t>
      </w:r>
      <w:r w:rsidRPr="00BA0A8B">
        <w:rPr>
          <w:rFonts w:ascii="Arial" w:hAnsi="Arial" w:cs="Arial"/>
        </w:rPr>
        <w:t>increase the orifice size. Additionally, incorporating a surfactant in the osmotic core</w:t>
      </w:r>
      <w:r w:rsidR="007075DA">
        <w:rPr>
          <w:rFonts w:ascii="Arial" w:hAnsi="Arial" w:cs="Arial"/>
        </w:rPr>
        <w:t xml:space="preserve"> </w:t>
      </w:r>
      <w:r w:rsidRPr="00BA0A8B">
        <w:rPr>
          <w:rFonts w:ascii="Arial" w:hAnsi="Arial" w:cs="Arial"/>
        </w:rPr>
        <w:t>could improve the solubility of Glibenclamide, facilitating and increasing its release</w:t>
      </w:r>
      <w:r w:rsidR="007075DA">
        <w:rPr>
          <w:rFonts w:ascii="Arial" w:hAnsi="Arial" w:cs="Arial"/>
        </w:rPr>
        <w:t xml:space="preserve"> </w:t>
      </w:r>
      <w:r w:rsidRPr="00BA0A8B">
        <w:rPr>
          <w:rFonts w:ascii="Arial" w:hAnsi="Arial" w:cs="Arial"/>
        </w:rPr>
        <w:t>An study with a Novel Colon-Specific Osmotic Pump Capsule developed by Ronfeng</w:t>
      </w:r>
      <w:r w:rsidR="002B7539">
        <w:rPr>
          <w:rFonts w:ascii="Arial" w:hAnsi="Arial" w:cs="Arial"/>
        </w:rPr>
        <w:t xml:space="preserve"> </w:t>
      </w:r>
      <w:r w:rsidR="002B7539" w:rsidRPr="00BA0A8B">
        <w:rPr>
          <w:rFonts w:ascii="Arial" w:hAnsi="Arial" w:cs="Arial"/>
        </w:rPr>
        <w:t>[</w:t>
      </w:r>
      <w:r w:rsidRPr="00BA0A8B">
        <w:rPr>
          <w:rFonts w:ascii="Arial" w:hAnsi="Arial" w:cs="Arial"/>
        </w:rPr>
        <w:t>32</w:t>
      </w:r>
      <w:r w:rsidR="002B7539" w:rsidRPr="00BA0A8B">
        <w:rPr>
          <w:rFonts w:ascii="Arial" w:hAnsi="Arial" w:cs="Arial"/>
        </w:rPr>
        <w:t>]</w:t>
      </w:r>
      <w:r w:rsidR="007075DA">
        <w:rPr>
          <w:rFonts w:ascii="Arial" w:hAnsi="Arial" w:cs="Arial"/>
        </w:rPr>
        <w:t xml:space="preserve"> </w:t>
      </w:r>
      <w:r w:rsidRPr="00BA0A8B">
        <w:rPr>
          <w:rFonts w:ascii="Arial" w:hAnsi="Arial" w:cs="Arial"/>
        </w:rPr>
        <w:t>to deliver herbal extract found lag times between 2 to 6 hours but used several solubility</w:t>
      </w:r>
      <w:r w:rsidR="007075DA">
        <w:rPr>
          <w:rFonts w:ascii="Arial" w:hAnsi="Arial" w:cs="Arial"/>
        </w:rPr>
        <w:t xml:space="preserve"> </w:t>
      </w:r>
      <w:r w:rsidRPr="00BA0A8B">
        <w:rPr>
          <w:rFonts w:ascii="Arial" w:hAnsi="Arial" w:cs="Arial"/>
        </w:rPr>
        <w:t>enhancers like a HP-b-cyclodextrin, b-cyclodextrin, SDS and F68. The better solubility</w:t>
      </w:r>
      <w:r w:rsidR="007075DA">
        <w:rPr>
          <w:rFonts w:ascii="Arial" w:hAnsi="Arial" w:cs="Arial"/>
        </w:rPr>
        <w:t xml:space="preserve"> </w:t>
      </w:r>
      <w:r w:rsidRPr="00BA0A8B">
        <w:rPr>
          <w:rFonts w:ascii="Arial" w:hAnsi="Arial" w:cs="Arial"/>
        </w:rPr>
        <w:t>enhancer was the HP-b-cyclodextrin, so this is an alternative to increase the solubility of</w:t>
      </w:r>
      <w:r w:rsidR="007075DA">
        <w:rPr>
          <w:rFonts w:ascii="Arial" w:hAnsi="Arial" w:cs="Arial"/>
        </w:rPr>
        <w:t xml:space="preserve"> </w:t>
      </w:r>
      <w:r w:rsidRPr="00BA0A8B">
        <w:rPr>
          <w:rFonts w:ascii="Arial" w:hAnsi="Arial" w:cs="Arial"/>
        </w:rPr>
        <w:t>our system and increase the release rate.</w:t>
      </w:r>
    </w:p>
    <w:p w14:paraId="421B9FDD" w14:textId="77777777" w:rsidR="00BA0A8B" w:rsidRPr="00BA0A8B" w:rsidRDefault="00BA0A8B" w:rsidP="00BA0A8B">
      <w:pPr>
        <w:pStyle w:val="Body"/>
        <w:rPr>
          <w:rFonts w:ascii="Arial" w:hAnsi="Arial" w:cs="Arial"/>
        </w:rPr>
      </w:pPr>
      <w:r w:rsidRPr="00BA0A8B">
        <w:rPr>
          <w:rFonts w:ascii="Arial" w:hAnsi="Arial" w:cs="Arial"/>
        </w:rPr>
        <w:t>There are one study where consider to report the lag times and their results were as</w:t>
      </w:r>
      <w:r w:rsidR="007075DA">
        <w:rPr>
          <w:rFonts w:ascii="Arial" w:hAnsi="Arial" w:cs="Arial"/>
        </w:rPr>
        <w:t xml:space="preserve"> </w:t>
      </w:r>
      <w:r w:rsidRPr="00BA0A8B">
        <w:rPr>
          <w:rFonts w:ascii="Arial" w:hAnsi="Arial" w:cs="Arial"/>
        </w:rPr>
        <w:t>good as our results, this study was developed by Kushner et al</w:t>
      </w:r>
      <w:r w:rsidR="002B7539">
        <w:rPr>
          <w:rFonts w:ascii="Arial" w:hAnsi="Arial" w:cs="Arial"/>
        </w:rPr>
        <w:t xml:space="preserve">. </w:t>
      </w:r>
      <w:r w:rsidR="002B7539" w:rsidRPr="00BA0A8B">
        <w:rPr>
          <w:rFonts w:ascii="Arial" w:hAnsi="Arial" w:cs="Arial"/>
        </w:rPr>
        <w:t>[</w:t>
      </w:r>
      <w:r w:rsidRPr="00BA0A8B">
        <w:rPr>
          <w:rFonts w:ascii="Arial" w:hAnsi="Arial" w:cs="Arial"/>
        </w:rPr>
        <w:t>33</w:t>
      </w:r>
      <w:r w:rsidR="002B7539" w:rsidRPr="00BA0A8B">
        <w:rPr>
          <w:rFonts w:ascii="Arial" w:hAnsi="Arial" w:cs="Arial"/>
        </w:rPr>
        <w:t>]</w:t>
      </w:r>
      <w:r w:rsidRPr="00BA0A8B">
        <w:rPr>
          <w:rFonts w:ascii="Arial" w:hAnsi="Arial" w:cs="Arial"/>
        </w:rPr>
        <w:t xml:space="preserve"> using the extrudable</w:t>
      </w:r>
      <w:r w:rsidR="007075DA">
        <w:rPr>
          <w:rFonts w:ascii="Arial" w:hAnsi="Arial" w:cs="Arial"/>
        </w:rPr>
        <w:t xml:space="preserve"> </w:t>
      </w:r>
      <w:r w:rsidRPr="00BA0A8B">
        <w:rPr>
          <w:rFonts w:ascii="Arial" w:hAnsi="Arial" w:cs="Arial"/>
        </w:rPr>
        <w:t>core system osmotic delivery technology.</w:t>
      </w:r>
      <w:r w:rsidR="007075DA">
        <w:rPr>
          <w:rFonts w:ascii="Arial" w:hAnsi="Arial" w:cs="Arial"/>
        </w:rPr>
        <w:t xml:space="preserve"> </w:t>
      </w:r>
      <w:r w:rsidRPr="00BA0A8B">
        <w:rPr>
          <w:rFonts w:ascii="Arial" w:hAnsi="Arial" w:cs="Arial"/>
        </w:rPr>
        <w:t>The only system to presented a lower lag times than our systems was the Dry powder</w:t>
      </w:r>
      <w:r w:rsidR="007075DA">
        <w:rPr>
          <w:rFonts w:ascii="Arial" w:hAnsi="Arial" w:cs="Arial"/>
        </w:rPr>
        <w:t xml:space="preserve"> </w:t>
      </w:r>
      <w:r w:rsidRPr="00BA0A8B">
        <w:rPr>
          <w:rFonts w:ascii="Arial" w:hAnsi="Arial" w:cs="Arial"/>
        </w:rPr>
        <w:t>coated osmotic drug delivery system developed by Jesse</w:t>
      </w:r>
      <w:r w:rsidR="002B7539">
        <w:rPr>
          <w:rFonts w:ascii="Arial" w:hAnsi="Arial" w:cs="Arial"/>
        </w:rPr>
        <w:t xml:space="preserve">,2018 </w:t>
      </w:r>
      <w:r w:rsidR="002B7539" w:rsidRPr="00BA0A8B">
        <w:rPr>
          <w:rFonts w:ascii="Arial" w:hAnsi="Arial" w:cs="Arial"/>
        </w:rPr>
        <w:t>[</w:t>
      </w:r>
      <w:r w:rsidRPr="00BA0A8B">
        <w:rPr>
          <w:rFonts w:ascii="Arial" w:hAnsi="Arial" w:cs="Arial"/>
        </w:rPr>
        <w:t>34</w:t>
      </w:r>
      <w:r w:rsidR="002B7539" w:rsidRPr="00BA0A8B">
        <w:rPr>
          <w:rFonts w:ascii="Arial" w:hAnsi="Arial" w:cs="Arial"/>
        </w:rPr>
        <w:t>]</w:t>
      </w:r>
      <w:r w:rsidRPr="00BA0A8B">
        <w:rPr>
          <w:rFonts w:ascii="Arial" w:hAnsi="Arial" w:cs="Arial"/>
        </w:rPr>
        <w:t>.</w:t>
      </w:r>
    </w:p>
    <w:p w14:paraId="38D0B4E8" w14:textId="77777777" w:rsidR="00505F06" w:rsidRDefault="00505F06" w:rsidP="00441B6F">
      <w:pPr>
        <w:pStyle w:val="Body"/>
        <w:spacing w:after="0"/>
        <w:rPr>
          <w:rFonts w:ascii="Arial" w:hAnsi="Arial" w:cs="Arial"/>
        </w:rPr>
      </w:pPr>
    </w:p>
    <w:p w14:paraId="39B8F708" w14:textId="77777777" w:rsidR="00B01FCD" w:rsidRDefault="00BA0A8B"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7E9C414" w14:textId="77777777" w:rsidR="00790ADA" w:rsidRPr="00FB3A86" w:rsidRDefault="00790ADA" w:rsidP="00441B6F">
      <w:pPr>
        <w:pStyle w:val="ConcHead"/>
        <w:spacing w:after="0"/>
        <w:jc w:val="both"/>
        <w:rPr>
          <w:rFonts w:ascii="Arial" w:hAnsi="Arial" w:cs="Arial"/>
        </w:rPr>
      </w:pPr>
    </w:p>
    <w:p w14:paraId="2E13E266" w14:textId="77777777" w:rsidR="00BA0A8B" w:rsidRDefault="00BA0A8B" w:rsidP="00BA0A8B">
      <w:pPr>
        <w:pStyle w:val="Body"/>
        <w:spacing w:after="0"/>
        <w:rPr>
          <w:rFonts w:ascii="Arial" w:hAnsi="Arial" w:cs="Arial"/>
        </w:rPr>
      </w:pPr>
      <w:r w:rsidRPr="00BA0A8B">
        <w:rPr>
          <w:rFonts w:ascii="Arial" w:hAnsi="Arial" w:cs="Arial"/>
        </w:rPr>
        <w:t>The Raman compatibility study proved to be adequate and complementary, providing</w:t>
      </w:r>
      <w:r w:rsidR="007075DA">
        <w:rPr>
          <w:rFonts w:ascii="Arial" w:hAnsi="Arial" w:cs="Arial"/>
        </w:rPr>
        <w:t xml:space="preserve"> </w:t>
      </w:r>
      <w:r w:rsidRPr="00BA0A8B">
        <w:rPr>
          <w:rFonts w:ascii="Arial" w:hAnsi="Arial" w:cs="Arial"/>
        </w:rPr>
        <w:t>chemical-structural information on possible interactions under heat stress conditions. It</w:t>
      </w:r>
      <w:r w:rsidR="007075DA">
        <w:rPr>
          <w:rFonts w:ascii="Arial" w:hAnsi="Arial" w:cs="Arial"/>
        </w:rPr>
        <w:t xml:space="preserve"> </w:t>
      </w:r>
      <w:r w:rsidRPr="00BA0A8B">
        <w:rPr>
          <w:rFonts w:ascii="Arial" w:hAnsi="Arial" w:cs="Arial"/>
        </w:rPr>
        <w:t>is also a versatile, inexpensive, and non-destructive method compared to other</w:t>
      </w:r>
      <w:r w:rsidR="007075DA">
        <w:rPr>
          <w:rFonts w:ascii="Arial" w:hAnsi="Arial" w:cs="Arial"/>
        </w:rPr>
        <w:t xml:space="preserve"> </w:t>
      </w:r>
      <w:r w:rsidRPr="00BA0A8B">
        <w:rPr>
          <w:rFonts w:ascii="Arial" w:hAnsi="Arial" w:cs="Arial"/>
        </w:rPr>
        <w:t xml:space="preserve">techniques. </w:t>
      </w:r>
    </w:p>
    <w:p w14:paraId="4BE12032" w14:textId="77777777" w:rsidR="00BA0A8B" w:rsidRDefault="00BA0A8B" w:rsidP="007075DA">
      <w:pPr>
        <w:pStyle w:val="Body"/>
        <w:rPr>
          <w:rFonts w:ascii="Arial" w:hAnsi="Arial" w:cs="Arial"/>
        </w:rPr>
      </w:pPr>
      <w:r w:rsidRPr="00BA0A8B">
        <w:rPr>
          <w:rFonts w:ascii="Arial" w:hAnsi="Arial" w:cs="Arial"/>
        </w:rPr>
        <w:t>The filling, sealing, and coating processes for hard gelatin capsules were effective in</w:t>
      </w:r>
      <w:r w:rsidR="007075DA">
        <w:rPr>
          <w:rFonts w:ascii="Arial" w:hAnsi="Arial" w:cs="Arial"/>
        </w:rPr>
        <w:t xml:space="preserve"> </w:t>
      </w:r>
      <w:r w:rsidRPr="00BA0A8B">
        <w:rPr>
          <w:rFonts w:ascii="Arial" w:hAnsi="Arial" w:cs="Arial"/>
        </w:rPr>
        <w:t>creating osmotic systems, as these processes were uniform, viable, and reproducible,</w:t>
      </w:r>
      <w:r w:rsidR="007075DA">
        <w:rPr>
          <w:rFonts w:ascii="Arial" w:hAnsi="Arial" w:cs="Arial"/>
        </w:rPr>
        <w:t xml:space="preserve"> </w:t>
      </w:r>
      <w:r w:rsidRPr="00BA0A8B">
        <w:rPr>
          <w:rFonts w:ascii="Arial" w:hAnsi="Arial" w:cs="Arial"/>
        </w:rPr>
        <w:t>facilitating the formation of a semipermeable membrane for controlled-release osmotic</w:t>
      </w:r>
      <w:r w:rsidR="007075DA">
        <w:rPr>
          <w:rFonts w:ascii="Arial" w:hAnsi="Arial" w:cs="Arial"/>
        </w:rPr>
        <w:t xml:space="preserve"> </w:t>
      </w:r>
      <w:r w:rsidRPr="00BA0A8B">
        <w:rPr>
          <w:rFonts w:ascii="Arial" w:hAnsi="Arial" w:cs="Arial"/>
        </w:rPr>
        <w:t>capsules. A 3% weight gain was determined to be the most suitable for the</w:t>
      </w:r>
      <w:r w:rsidR="007075DA">
        <w:rPr>
          <w:rFonts w:ascii="Arial" w:hAnsi="Arial" w:cs="Arial"/>
        </w:rPr>
        <w:t xml:space="preserve"> </w:t>
      </w:r>
      <w:r w:rsidRPr="00BA0A8B">
        <w:rPr>
          <w:rFonts w:ascii="Arial" w:hAnsi="Arial" w:cs="Arial"/>
        </w:rPr>
        <w:t>experimental design. The FI formulation delivered 48.08% of the Glibenclamide dose</w:t>
      </w:r>
      <w:r w:rsidR="007075DA">
        <w:rPr>
          <w:rFonts w:ascii="Arial" w:hAnsi="Arial" w:cs="Arial"/>
        </w:rPr>
        <w:t xml:space="preserve"> </w:t>
      </w:r>
      <w:r w:rsidRPr="00BA0A8B">
        <w:rPr>
          <w:rFonts w:ascii="Arial" w:hAnsi="Arial" w:cs="Arial"/>
        </w:rPr>
        <w:t>and 83.56% of the Metformin dose over 12.5 hours, with release rates of 4.44%/hr and</w:t>
      </w:r>
      <w:r w:rsidR="007075DA">
        <w:rPr>
          <w:rFonts w:ascii="Arial" w:hAnsi="Arial" w:cs="Arial"/>
        </w:rPr>
        <w:t xml:space="preserve"> </w:t>
      </w:r>
      <w:r w:rsidRPr="00BA0A8B">
        <w:rPr>
          <w:rFonts w:ascii="Arial" w:hAnsi="Arial" w:cs="Arial"/>
        </w:rPr>
        <w:t>7.16%/hr, respectively. The best formulation also exhibited lag times of 2.09 hours for</w:t>
      </w:r>
      <w:r w:rsidR="007075DA">
        <w:rPr>
          <w:rFonts w:ascii="Arial" w:hAnsi="Arial" w:cs="Arial"/>
        </w:rPr>
        <w:t xml:space="preserve"> </w:t>
      </w:r>
      <w:r w:rsidRPr="00BA0A8B">
        <w:rPr>
          <w:rFonts w:ascii="Arial" w:hAnsi="Arial" w:cs="Arial"/>
        </w:rPr>
        <w:t>Metformin and 0.18 hours for Glibenclamide, indicating that the release is dependent on</w:t>
      </w:r>
      <w:r w:rsidR="007075DA">
        <w:rPr>
          <w:rFonts w:ascii="Arial" w:hAnsi="Arial" w:cs="Arial"/>
        </w:rPr>
        <w:t xml:space="preserve"> </w:t>
      </w:r>
      <w:r w:rsidRPr="00BA0A8B">
        <w:rPr>
          <w:rFonts w:ascii="Arial" w:hAnsi="Arial" w:cs="Arial"/>
        </w:rPr>
        <w:t>the amount and type of osmotic agent used in the formulation. The developed osmotic</w:t>
      </w:r>
      <w:r w:rsidR="007075DA">
        <w:rPr>
          <w:rFonts w:ascii="Arial" w:hAnsi="Arial" w:cs="Arial"/>
        </w:rPr>
        <w:t xml:space="preserve"> </w:t>
      </w:r>
      <w:r w:rsidRPr="00BA0A8B">
        <w:rPr>
          <w:rFonts w:ascii="Arial" w:hAnsi="Arial" w:cs="Arial"/>
        </w:rPr>
        <w:t xml:space="preserve">system serves as a robust starting point, </w:t>
      </w:r>
      <w:r w:rsidRPr="00BA0A8B">
        <w:rPr>
          <w:rFonts w:ascii="Arial" w:hAnsi="Arial" w:cs="Arial"/>
        </w:rPr>
        <w:lastRenderedPageBreak/>
        <w:t>achieving the highest release value, the</w:t>
      </w:r>
      <w:r w:rsidR="007075DA">
        <w:rPr>
          <w:rFonts w:ascii="Arial" w:hAnsi="Arial" w:cs="Arial"/>
        </w:rPr>
        <w:t xml:space="preserve"> </w:t>
      </w:r>
      <w:r w:rsidRPr="00BA0A8B">
        <w:rPr>
          <w:rFonts w:ascii="Arial" w:hAnsi="Arial" w:cs="Arial"/>
        </w:rPr>
        <w:t>shortest lag time, and demonstrating zero-order behavior over the 12.5-hour release</w:t>
      </w:r>
      <w:r w:rsidR="007075DA">
        <w:rPr>
          <w:rFonts w:ascii="Arial" w:hAnsi="Arial" w:cs="Arial"/>
        </w:rPr>
        <w:t xml:space="preserve"> </w:t>
      </w:r>
      <w:r w:rsidRPr="00BA0A8B">
        <w:rPr>
          <w:rFonts w:ascii="Arial" w:hAnsi="Arial" w:cs="Arial"/>
        </w:rPr>
        <w:t>period. The limited release rate of Glibenclamide may be attributed to its solubility</w:t>
      </w:r>
      <w:r w:rsidR="007075DA">
        <w:rPr>
          <w:rFonts w:ascii="Arial" w:hAnsi="Arial" w:cs="Arial"/>
        </w:rPr>
        <w:t xml:space="preserve"> </w:t>
      </w:r>
      <w:r w:rsidRPr="00BA0A8B">
        <w:rPr>
          <w:rFonts w:ascii="Arial" w:hAnsi="Arial" w:cs="Arial"/>
        </w:rPr>
        <w:t xml:space="preserve">constraints. </w:t>
      </w:r>
    </w:p>
    <w:p w14:paraId="74FB0F42" w14:textId="77777777" w:rsidR="0055111B" w:rsidRDefault="00BA0A8B" w:rsidP="007075DA">
      <w:pPr>
        <w:pStyle w:val="Body"/>
        <w:rPr>
          <w:rFonts w:ascii="Arial" w:hAnsi="Arial" w:cs="Arial"/>
        </w:rPr>
      </w:pPr>
      <w:r w:rsidRPr="00BA0A8B">
        <w:rPr>
          <w:rFonts w:ascii="Arial" w:hAnsi="Arial" w:cs="Arial"/>
        </w:rPr>
        <w:t>The 1:1 Sorbitol:Mannitol mixture led to a reduction in osmotic potential. The</w:t>
      </w:r>
      <w:r w:rsidR="007075DA">
        <w:rPr>
          <w:rFonts w:ascii="Arial" w:hAnsi="Arial" w:cs="Arial"/>
        </w:rPr>
        <w:t xml:space="preserve"> </w:t>
      </w:r>
      <w:r w:rsidRPr="00BA0A8B">
        <w:rPr>
          <w:rFonts w:ascii="Arial" w:hAnsi="Arial" w:cs="Arial"/>
        </w:rPr>
        <w:t>combination of a high amount of Sorbitol as the osmotic agent, with the use of capsules</w:t>
      </w:r>
      <w:r w:rsidR="007075DA">
        <w:rPr>
          <w:rFonts w:ascii="Arial" w:hAnsi="Arial" w:cs="Arial"/>
        </w:rPr>
        <w:t xml:space="preserve"> </w:t>
      </w:r>
      <w:r w:rsidRPr="00BA0A8B">
        <w:rPr>
          <w:rFonts w:ascii="Arial" w:hAnsi="Arial" w:cs="Arial"/>
        </w:rPr>
        <w:t>that did not disintegrate, effectively reduced the lag time of the systems.</w:t>
      </w:r>
      <w:r w:rsidR="007075DA">
        <w:rPr>
          <w:rFonts w:ascii="Arial" w:hAnsi="Arial" w:cs="Arial"/>
        </w:rPr>
        <w:t xml:space="preserve"> </w:t>
      </w:r>
      <w:r w:rsidRPr="00BA0A8B">
        <w:rPr>
          <w:rFonts w:ascii="Arial" w:hAnsi="Arial" w:cs="Arial"/>
        </w:rPr>
        <w:t>The desirability obtained for metformin and glibenclamide was higher than 0.8, so the</w:t>
      </w:r>
      <w:r w:rsidR="007075DA">
        <w:rPr>
          <w:rFonts w:ascii="Arial" w:hAnsi="Arial" w:cs="Arial"/>
        </w:rPr>
        <w:t xml:space="preserve"> </w:t>
      </w:r>
      <w:r w:rsidRPr="00BA0A8B">
        <w:rPr>
          <w:rFonts w:ascii="Arial" w:hAnsi="Arial" w:cs="Arial"/>
        </w:rPr>
        <w:t>experimental design meets the conditions to ensure the better osmotic capsule</w:t>
      </w:r>
      <w:r w:rsidR="007075DA">
        <w:rPr>
          <w:rFonts w:ascii="Arial" w:hAnsi="Arial" w:cs="Arial"/>
        </w:rPr>
        <w:t xml:space="preserve"> </w:t>
      </w:r>
      <w:r w:rsidRPr="00BA0A8B">
        <w:rPr>
          <w:rFonts w:ascii="Arial" w:hAnsi="Arial" w:cs="Arial"/>
        </w:rPr>
        <w:t>formulation.</w:t>
      </w:r>
    </w:p>
    <w:p w14:paraId="75B115E6" w14:textId="77777777" w:rsidR="0055111B" w:rsidRDefault="0055111B" w:rsidP="007075DA">
      <w:pPr>
        <w:pStyle w:val="Body"/>
        <w:rPr>
          <w:rFonts w:ascii="Arial" w:hAnsi="Arial" w:cs="Arial"/>
        </w:rPr>
      </w:pPr>
    </w:p>
    <w:p w14:paraId="268A358E" w14:textId="77777777" w:rsidR="0055111B" w:rsidRPr="0055111B" w:rsidRDefault="0055111B" w:rsidP="0055111B">
      <w:pPr>
        <w:pStyle w:val="Body"/>
        <w:rPr>
          <w:rFonts w:ascii="Arial" w:hAnsi="Arial" w:cs="Arial"/>
        </w:rPr>
      </w:pPr>
      <w:r w:rsidRPr="0055111B">
        <w:rPr>
          <w:rFonts w:ascii="Arial" w:hAnsi="Arial" w:cs="Arial"/>
        </w:rPr>
        <w:t>COMPETING INTERESTS DISCLAIMER:</w:t>
      </w:r>
    </w:p>
    <w:p w14:paraId="1F354CB3" w14:textId="2656A98C" w:rsidR="0055111B" w:rsidRDefault="0055111B" w:rsidP="0055111B">
      <w:pPr>
        <w:pStyle w:val="Body"/>
        <w:rPr>
          <w:rFonts w:ascii="Arial" w:hAnsi="Arial" w:cs="Arial"/>
        </w:rPr>
      </w:pPr>
      <w:r w:rsidRPr="0055111B">
        <w:rPr>
          <w:rFonts w:ascii="Arial" w:hAnsi="Arial" w:cs="Arial"/>
        </w:rPr>
        <w:t>Authors have declared that they have no known competing financial interests OR non-financial interests OR personal relationships that could have appeared to influence the work reported in this paper.</w:t>
      </w:r>
    </w:p>
    <w:p w14:paraId="65B31E0C" w14:textId="2394A96C" w:rsidR="00CD030C" w:rsidRDefault="00CD030C" w:rsidP="0055111B">
      <w:pPr>
        <w:pStyle w:val="Body"/>
        <w:rPr>
          <w:rFonts w:ascii="Arial" w:hAnsi="Arial" w:cs="Arial"/>
        </w:rPr>
      </w:pPr>
    </w:p>
    <w:p w14:paraId="19345FC4" w14:textId="094A9947" w:rsidR="00CD030C" w:rsidRDefault="00CD030C" w:rsidP="0055111B">
      <w:pPr>
        <w:pStyle w:val="Body"/>
        <w:rPr>
          <w:rFonts w:ascii="Arial" w:hAnsi="Arial" w:cs="Arial"/>
        </w:rPr>
      </w:pPr>
    </w:p>
    <w:p w14:paraId="0DE6FFAE" w14:textId="71EB633D" w:rsidR="00CD030C" w:rsidRDefault="00CD030C" w:rsidP="0055111B">
      <w:pPr>
        <w:pStyle w:val="Body"/>
        <w:rPr>
          <w:rFonts w:ascii="Arial" w:hAnsi="Arial" w:cs="Arial"/>
        </w:rPr>
      </w:pPr>
    </w:p>
    <w:p w14:paraId="6E4B21BB" w14:textId="5359E577" w:rsidR="00CD030C" w:rsidRDefault="00CD030C" w:rsidP="0055111B">
      <w:pPr>
        <w:pStyle w:val="Body"/>
        <w:rPr>
          <w:rFonts w:ascii="Arial" w:hAnsi="Arial" w:cs="Arial"/>
        </w:rPr>
      </w:pPr>
    </w:p>
    <w:p w14:paraId="3AC4DAAD" w14:textId="2D05ED86" w:rsidR="00CD030C" w:rsidRDefault="00CD030C" w:rsidP="0055111B">
      <w:pPr>
        <w:pStyle w:val="Body"/>
        <w:rPr>
          <w:rFonts w:ascii="Arial" w:hAnsi="Arial" w:cs="Arial"/>
        </w:rPr>
      </w:pPr>
    </w:p>
    <w:p w14:paraId="5775FCE1" w14:textId="64731D5A" w:rsidR="00CD030C" w:rsidRDefault="00CD030C" w:rsidP="0055111B">
      <w:pPr>
        <w:pStyle w:val="Body"/>
        <w:rPr>
          <w:rFonts w:ascii="Arial" w:hAnsi="Arial" w:cs="Arial"/>
        </w:rPr>
      </w:pPr>
    </w:p>
    <w:p w14:paraId="2F39E8D4" w14:textId="5BA5CC67" w:rsidR="00CD030C" w:rsidRDefault="00CD030C" w:rsidP="0055111B">
      <w:pPr>
        <w:pStyle w:val="Body"/>
        <w:rPr>
          <w:rFonts w:ascii="Arial" w:hAnsi="Arial" w:cs="Arial"/>
        </w:rPr>
      </w:pPr>
    </w:p>
    <w:p w14:paraId="029F7EE3" w14:textId="3BD37A6B" w:rsidR="00CD030C" w:rsidRDefault="00CD030C" w:rsidP="0055111B">
      <w:pPr>
        <w:pStyle w:val="Body"/>
        <w:rPr>
          <w:rFonts w:ascii="Arial" w:hAnsi="Arial" w:cs="Arial"/>
        </w:rPr>
      </w:pPr>
    </w:p>
    <w:p w14:paraId="3B0C3E4E" w14:textId="5FBF023D" w:rsidR="00CD030C" w:rsidRDefault="00CD030C" w:rsidP="0055111B">
      <w:pPr>
        <w:pStyle w:val="Body"/>
        <w:rPr>
          <w:rFonts w:ascii="Arial" w:hAnsi="Arial" w:cs="Arial"/>
        </w:rPr>
      </w:pPr>
    </w:p>
    <w:p w14:paraId="6533898A" w14:textId="77777777" w:rsidR="00CD030C" w:rsidRPr="009C5487" w:rsidRDefault="00CD030C" w:rsidP="00CD030C">
      <w:pPr>
        <w:rPr>
          <w:rFonts w:ascii="Calibri" w:eastAsia="Calibri" w:hAnsi="Calibri"/>
          <w:kern w:val="2"/>
          <w:highlight w:val="yellow"/>
        </w:rPr>
      </w:pPr>
      <w:bookmarkStart w:id="0" w:name="_Hlk197682619"/>
      <w:bookmarkStart w:id="1" w:name="_Hlk180402183"/>
      <w:bookmarkStart w:id="2" w:name="_Hlk183680988"/>
      <w:r w:rsidRPr="009C5487">
        <w:rPr>
          <w:rFonts w:ascii="Calibri" w:eastAsia="Calibri" w:hAnsi="Calibri"/>
          <w:kern w:val="2"/>
          <w:highlight w:val="yellow"/>
        </w:rPr>
        <w:t>Disclaimer (Artificial intelligence)</w:t>
      </w:r>
    </w:p>
    <w:p w14:paraId="05306EC5"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 xml:space="preserve">Option 1: </w:t>
      </w:r>
    </w:p>
    <w:p w14:paraId="2E1623CE"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2685E12"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 xml:space="preserve">Option 2: </w:t>
      </w:r>
    </w:p>
    <w:p w14:paraId="18ED8FEA"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B6C066"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39FFF254"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1.</w:t>
      </w:r>
    </w:p>
    <w:p w14:paraId="2B00624C" w14:textId="77777777" w:rsidR="00CD030C" w:rsidRPr="009C5487" w:rsidRDefault="00CD030C" w:rsidP="00CD030C">
      <w:pPr>
        <w:rPr>
          <w:rFonts w:ascii="Calibri" w:eastAsia="Calibri" w:hAnsi="Calibri"/>
          <w:kern w:val="2"/>
          <w:highlight w:val="yellow"/>
        </w:rPr>
      </w:pPr>
      <w:r w:rsidRPr="009C5487">
        <w:rPr>
          <w:rFonts w:ascii="Calibri" w:eastAsia="Calibri" w:hAnsi="Calibri"/>
          <w:kern w:val="2"/>
          <w:highlight w:val="yellow"/>
        </w:rPr>
        <w:t>2.</w:t>
      </w:r>
    </w:p>
    <w:p w14:paraId="48C7D906" w14:textId="77777777" w:rsidR="00CD030C" w:rsidRPr="009C5487" w:rsidRDefault="00CD030C" w:rsidP="00CD030C">
      <w:pPr>
        <w:rPr>
          <w:rFonts w:ascii="Calibri" w:eastAsia="Calibri" w:hAnsi="Calibri"/>
          <w:kern w:val="2"/>
        </w:rPr>
      </w:pPr>
      <w:bookmarkStart w:id="3" w:name="_Hlk197682629"/>
      <w:bookmarkEnd w:id="0"/>
      <w:r w:rsidRPr="009C5487">
        <w:rPr>
          <w:rFonts w:ascii="Calibri" w:eastAsia="Calibri" w:hAnsi="Calibri"/>
          <w:kern w:val="2"/>
          <w:highlight w:val="yellow"/>
        </w:rPr>
        <w:t>3.</w:t>
      </w:r>
    </w:p>
    <w:bookmarkEnd w:id="1"/>
    <w:bookmarkEnd w:id="2"/>
    <w:bookmarkEnd w:id="3"/>
    <w:p w14:paraId="3DC5B813" w14:textId="77777777" w:rsidR="00CD030C" w:rsidRPr="0055111B" w:rsidRDefault="00CD030C" w:rsidP="0055111B">
      <w:pPr>
        <w:pStyle w:val="Body"/>
        <w:rPr>
          <w:rFonts w:ascii="Arial" w:hAnsi="Arial" w:cs="Arial"/>
        </w:rPr>
      </w:pPr>
    </w:p>
    <w:p w14:paraId="18011E6A" w14:textId="77777777" w:rsidR="007075DA" w:rsidRPr="007075DA" w:rsidRDefault="007075DA" w:rsidP="007075DA"/>
    <w:p w14:paraId="7DF87A68" w14:textId="77777777" w:rsidR="00315186" w:rsidRPr="00315186" w:rsidRDefault="00315186" w:rsidP="00441B6F"/>
    <w:p w14:paraId="6EB58E89" w14:textId="77777777" w:rsidR="00860000" w:rsidRDefault="00860000" w:rsidP="00441B6F">
      <w:pPr>
        <w:pStyle w:val="ReferHead"/>
        <w:spacing w:after="0"/>
        <w:jc w:val="both"/>
        <w:rPr>
          <w:rFonts w:ascii="Arial" w:hAnsi="Arial" w:cs="Arial"/>
        </w:rPr>
      </w:pPr>
    </w:p>
    <w:p w14:paraId="462A0D1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645E860" w14:textId="77777777" w:rsidR="00790ADA" w:rsidRPr="00FB3A86" w:rsidRDefault="00790ADA" w:rsidP="00441B6F">
      <w:pPr>
        <w:pStyle w:val="ReferHead"/>
        <w:spacing w:after="0"/>
        <w:jc w:val="both"/>
        <w:rPr>
          <w:rFonts w:ascii="Arial" w:hAnsi="Arial" w:cs="Arial"/>
        </w:rPr>
      </w:pPr>
    </w:p>
    <w:p w14:paraId="52F098B8" w14:textId="77777777" w:rsidR="004B0437" w:rsidRPr="004B0437" w:rsidRDefault="004B0437" w:rsidP="004B0437">
      <w:pPr>
        <w:pStyle w:val="Body"/>
      </w:pPr>
      <w:r w:rsidRPr="004B0437">
        <w:t xml:space="preserve">1 Fleck A. </w:t>
      </w:r>
      <w:r w:rsidRPr="004B0437">
        <w:rPr>
          <w:b/>
          <w:bCs/>
        </w:rPr>
        <w:t xml:space="preserve">Diabetes Cases Are Climbing. </w:t>
      </w:r>
      <w:r w:rsidRPr="004B0437">
        <w:t>International Diabetes</w:t>
      </w:r>
      <w:r>
        <w:t xml:space="preserve"> </w:t>
      </w:r>
      <w:r w:rsidRPr="004B0437">
        <w:t>Federation.https://www.statista.com/chart/23491/share-of-adults-with-diabetes-world-region/</w:t>
      </w:r>
      <w:r>
        <w:t xml:space="preserve"> </w:t>
      </w:r>
    </w:p>
    <w:p w14:paraId="731FAF9F" w14:textId="77777777" w:rsidR="004B0437" w:rsidRPr="004B0437" w:rsidRDefault="004B0437" w:rsidP="004B0437">
      <w:pPr>
        <w:pStyle w:val="Body"/>
        <w:rPr>
          <w:b/>
          <w:bCs/>
          <w:i/>
          <w:iCs/>
          <w:lang w:val="es-MX"/>
        </w:rPr>
      </w:pPr>
      <w:r w:rsidRPr="004B0437">
        <w:rPr>
          <w:lang w:val="es-MX"/>
        </w:rPr>
        <w:t xml:space="preserve">2 Basto-Abreu A., Reyes-Garcia A., Stern D. 2010. </w:t>
      </w:r>
      <w:r w:rsidRPr="004B0437">
        <w:t>[</w:t>
      </w:r>
      <w:r w:rsidRPr="004B0437">
        <w:rPr>
          <w:b/>
          <w:bCs/>
        </w:rPr>
        <w:t>Type 2 diabetes screening and care cascades in</w:t>
      </w:r>
      <w:r>
        <w:rPr>
          <w:b/>
          <w:bCs/>
        </w:rPr>
        <w:t xml:space="preserve"> </w:t>
      </w:r>
      <w:r w:rsidRPr="004B0437">
        <w:rPr>
          <w:b/>
          <w:bCs/>
        </w:rPr>
        <w:t>Mexico]</w:t>
      </w:r>
      <w:r w:rsidRPr="004B0437">
        <w:t xml:space="preserve">. </w:t>
      </w:r>
      <w:r w:rsidRPr="004B0437">
        <w:rPr>
          <w:lang w:val="es-MX"/>
        </w:rPr>
        <w:t>Salud Publica Mex. 2024;66:530-538</w:t>
      </w:r>
      <w:r w:rsidRPr="004B0437">
        <w:rPr>
          <w:b/>
          <w:bCs/>
          <w:lang w:val="es-MX"/>
        </w:rPr>
        <w:t xml:space="preserve">. </w:t>
      </w:r>
      <w:hyperlink r:id="rId32" w:history="1">
        <w:r w:rsidRPr="004B0437">
          <w:rPr>
            <w:rStyle w:val="Hipervnculo"/>
            <w:b/>
            <w:bCs/>
            <w:i/>
            <w:iCs/>
            <w:lang w:val="es-MX"/>
          </w:rPr>
          <w:t>https://doi.org/10.21149/16209</w:t>
        </w:r>
      </w:hyperlink>
      <w:r>
        <w:rPr>
          <w:b/>
          <w:bCs/>
          <w:i/>
          <w:iCs/>
          <w:lang w:val="es-MX"/>
        </w:rPr>
        <w:t xml:space="preserve"> </w:t>
      </w:r>
    </w:p>
    <w:p w14:paraId="21A14C5E" w14:textId="77777777" w:rsidR="004B0437" w:rsidRPr="004B0437" w:rsidRDefault="004B0437" w:rsidP="004B0437">
      <w:pPr>
        <w:pStyle w:val="Body"/>
        <w:rPr>
          <w:lang w:val="es-MX"/>
        </w:rPr>
      </w:pPr>
      <w:r w:rsidRPr="004B0437">
        <w:rPr>
          <w:lang w:val="es-MX"/>
        </w:rPr>
        <w:t xml:space="preserve">3 Lorenzo-Fernández P., Alfaro Ramos MJ., Lizasoain Hernández I., et al. 2008. </w:t>
      </w:r>
      <w:r w:rsidRPr="004B0437">
        <w:rPr>
          <w:b/>
          <w:bCs/>
          <w:lang w:val="es-MX"/>
        </w:rPr>
        <w:t>Velázquez; Farmacología</w:t>
      </w:r>
      <w:r>
        <w:rPr>
          <w:b/>
          <w:bCs/>
          <w:lang w:val="es-MX"/>
        </w:rPr>
        <w:t xml:space="preserve"> </w:t>
      </w:r>
      <w:r w:rsidRPr="004B0437">
        <w:rPr>
          <w:b/>
          <w:bCs/>
          <w:lang w:val="es-MX"/>
        </w:rPr>
        <w:t>Básica y Clínica</w:t>
      </w:r>
      <w:r w:rsidRPr="004B0437">
        <w:rPr>
          <w:lang w:val="es-MX"/>
        </w:rPr>
        <w:t>, 18a ed. Farmacología Básica y Clínica. Madrid, España. 621.</w:t>
      </w:r>
    </w:p>
    <w:p w14:paraId="43FB7150" w14:textId="77777777" w:rsidR="004B0437" w:rsidRPr="004B0437" w:rsidRDefault="004B0437" w:rsidP="004B0437">
      <w:pPr>
        <w:pStyle w:val="Body"/>
      </w:pPr>
      <w:r w:rsidRPr="004B0437">
        <w:rPr>
          <w:lang w:val="es-MX"/>
        </w:rPr>
        <w:t xml:space="preserve">4 Joslin Diabetes Center. </w:t>
      </w:r>
      <w:r w:rsidRPr="004B0437">
        <w:t xml:space="preserve">2014. URL </w:t>
      </w:r>
      <w:hyperlink r:id="rId33" w:history="1">
        <w:r w:rsidRPr="004B0437">
          <w:rPr>
            <w:rStyle w:val="Hipervnculo"/>
          </w:rPr>
          <w:t>https://joslin.org/news-stories/all-newsstories/</w:t>
        </w:r>
      </w:hyperlink>
      <w:r>
        <w:t xml:space="preserve"> </w:t>
      </w:r>
      <w:r w:rsidRPr="004B0437">
        <w:t>education/2020/03/what-type-2-diabetes</w:t>
      </w:r>
    </w:p>
    <w:p w14:paraId="2036E8A0" w14:textId="77777777" w:rsidR="004B0437" w:rsidRPr="004B0437" w:rsidRDefault="004B0437" w:rsidP="004B0437">
      <w:pPr>
        <w:pStyle w:val="Body"/>
        <w:rPr>
          <w:lang w:val="es-MX"/>
        </w:rPr>
      </w:pPr>
      <w:r w:rsidRPr="004B0437">
        <w:t>5 Altagracia Martínez M., Kravzov Jinich J., Moreno Santamaría MR., et al. [</w:t>
      </w:r>
      <w:r w:rsidRPr="004B0437">
        <w:rPr>
          <w:b/>
          <w:bCs/>
        </w:rPr>
        <w:t>Type 2 diabetes mellitus:</w:t>
      </w:r>
      <w:r>
        <w:rPr>
          <w:b/>
          <w:bCs/>
        </w:rPr>
        <w:t xml:space="preserve"> </w:t>
      </w:r>
      <w:r w:rsidRPr="004B0437">
        <w:rPr>
          <w:b/>
          <w:bCs/>
        </w:rPr>
        <w:t xml:space="preserve">sales of oral hypoglycemic agents and costs of pharmacological treatments in Mexico]. </w:t>
      </w:r>
      <w:r w:rsidRPr="004B0437">
        <w:rPr>
          <w:lang w:val="es-MX"/>
        </w:rPr>
        <w:t>Revista</w:t>
      </w:r>
      <w:r>
        <w:rPr>
          <w:lang w:val="es-MX"/>
        </w:rPr>
        <w:t xml:space="preserve"> </w:t>
      </w:r>
      <w:r w:rsidRPr="004B0437">
        <w:rPr>
          <w:lang w:val="es-MX"/>
        </w:rPr>
        <w:t>Mexicana de Ciencias Farmacéuticas. 2007. 38: 27–28.</w:t>
      </w:r>
    </w:p>
    <w:p w14:paraId="7586FE70" w14:textId="77777777" w:rsidR="004B0437" w:rsidRPr="004B0437" w:rsidRDefault="004B0437" w:rsidP="004B0437">
      <w:pPr>
        <w:pStyle w:val="Body"/>
      </w:pPr>
      <w:r w:rsidRPr="004B0437">
        <w:rPr>
          <w:lang w:val="es-MX"/>
        </w:rPr>
        <w:t xml:space="preserve">6 Figueroa-Gaspar M., Marín-Mendoza E., Chávez-Briseño É. et al. </w:t>
      </w:r>
      <w:r w:rsidRPr="004B0437">
        <w:rPr>
          <w:b/>
          <w:bCs/>
        </w:rPr>
        <w:t>Cost Effectiveness of type 2</w:t>
      </w:r>
      <w:r>
        <w:rPr>
          <w:b/>
          <w:bCs/>
        </w:rPr>
        <w:t xml:space="preserve"> </w:t>
      </w:r>
      <w:r w:rsidRPr="004B0437">
        <w:rPr>
          <w:b/>
          <w:bCs/>
        </w:rPr>
        <w:t>diabetes treatment at first level of care</w:t>
      </w:r>
      <w:r w:rsidRPr="004B0437">
        <w:t xml:space="preserve">. </w:t>
      </w:r>
      <w:r w:rsidRPr="004B0437">
        <w:rPr>
          <w:lang w:val="es-MX"/>
        </w:rPr>
        <w:t xml:space="preserve">Horizonte sanitario / </w:t>
      </w:r>
      <w:r w:rsidRPr="004B0437">
        <w:rPr>
          <w:i/>
          <w:iCs/>
          <w:lang w:val="es-MX"/>
        </w:rPr>
        <w:t xml:space="preserve">vol. 21, no. 2, </w:t>
      </w:r>
      <w:r w:rsidRPr="004B0437">
        <w:rPr>
          <w:lang w:val="es-MX"/>
        </w:rPr>
        <w:t xml:space="preserve">mayo - agosto 2022. </w:t>
      </w:r>
      <w:r w:rsidRPr="004B0437">
        <w:t>204-</w:t>
      </w:r>
      <w:r>
        <w:t xml:space="preserve"> </w:t>
      </w:r>
      <w:r w:rsidRPr="004B0437">
        <w:t>213.</w:t>
      </w:r>
    </w:p>
    <w:p w14:paraId="56DC175B" w14:textId="77777777" w:rsidR="004B0437" w:rsidRPr="004B0437" w:rsidRDefault="004B0437" w:rsidP="004B0437">
      <w:pPr>
        <w:pStyle w:val="Body"/>
      </w:pPr>
      <w:r w:rsidRPr="004B0437">
        <w:t>7 Sabyasachi G. Osmotic Pump Market Growth – Trends &amp; Forecast 2024-2034.</w:t>
      </w:r>
      <w:r>
        <w:t xml:space="preserve"> </w:t>
      </w:r>
      <w:hyperlink r:id="rId34" w:history="1">
        <w:r w:rsidRPr="004B0437">
          <w:rPr>
            <w:rStyle w:val="Hipervnculo"/>
          </w:rPr>
          <w:t>https://www.futuremarketinsights.com/reports/osmotic-pumps-market</w:t>
        </w:r>
      </w:hyperlink>
      <w:r>
        <w:t xml:space="preserve"> </w:t>
      </w:r>
    </w:p>
    <w:p w14:paraId="5478E3E3" w14:textId="77777777" w:rsidR="004B0437" w:rsidRPr="004B0437" w:rsidRDefault="004B0437" w:rsidP="004B0437">
      <w:pPr>
        <w:pStyle w:val="Body"/>
        <w:rPr>
          <w:b/>
          <w:bCs/>
        </w:rPr>
      </w:pPr>
      <w:r w:rsidRPr="004B0437">
        <w:t>8 Almoshari Y</w:t>
      </w:r>
      <w:r w:rsidRPr="004B0437">
        <w:rPr>
          <w:b/>
          <w:bCs/>
        </w:rPr>
        <w:t>. Osmotic Pump Drug Delivery Systems—A Comprehensive Review. Pharmaceuticals</w:t>
      </w:r>
      <w:r>
        <w:rPr>
          <w:b/>
          <w:bCs/>
        </w:rPr>
        <w:t xml:space="preserve"> </w:t>
      </w:r>
      <w:r w:rsidRPr="004B0437">
        <w:rPr>
          <w:b/>
          <w:bCs/>
        </w:rPr>
        <w:t xml:space="preserve">2022, 15, 1430. </w:t>
      </w:r>
      <w:hyperlink r:id="rId35" w:history="1">
        <w:r w:rsidRPr="004B0437">
          <w:rPr>
            <w:rStyle w:val="Hipervnculo"/>
            <w:b/>
            <w:bCs/>
          </w:rPr>
          <w:t>https://doi.org/10.3390/ph15111430</w:t>
        </w:r>
      </w:hyperlink>
      <w:r>
        <w:rPr>
          <w:b/>
          <w:bCs/>
        </w:rPr>
        <w:t xml:space="preserve"> </w:t>
      </w:r>
    </w:p>
    <w:p w14:paraId="3CCB4F89" w14:textId="77777777" w:rsidR="004B0437" w:rsidRPr="004B0437" w:rsidRDefault="004B0437" w:rsidP="004B0437">
      <w:pPr>
        <w:pStyle w:val="Body"/>
      </w:pPr>
      <w:r w:rsidRPr="004B0437">
        <w:t xml:space="preserve">9 Manman L., Qiang S., Wenjie L. et al. </w:t>
      </w:r>
      <w:r w:rsidRPr="004B0437">
        <w:rPr>
          <w:b/>
          <w:bCs/>
        </w:rPr>
        <w:t>Development and evaluation of controlled release of</w:t>
      </w:r>
      <w:r>
        <w:rPr>
          <w:b/>
          <w:bCs/>
        </w:rPr>
        <w:t xml:space="preserve"> </w:t>
      </w:r>
      <w:r w:rsidRPr="004B0437">
        <w:rPr>
          <w:b/>
          <w:bCs/>
        </w:rPr>
        <w:t>metformin hydrochloride for improving the oral bioavailability based on a novel enteric osmotic</w:t>
      </w:r>
      <w:r>
        <w:rPr>
          <w:b/>
          <w:bCs/>
        </w:rPr>
        <w:t xml:space="preserve"> </w:t>
      </w:r>
      <w:r w:rsidRPr="004B0437">
        <w:rPr>
          <w:b/>
          <w:bCs/>
        </w:rPr>
        <w:t>pump capsule</w:t>
      </w:r>
      <w:r w:rsidRPr="004B0437">
        <w:t>. Journal of Drug Delivery Science and Technology Vol. 60, Dec. 2020, 102054.</w:t>
      </w:r>
      <w:r>
        <w:t xml:space="preserve"> </w:t>
      </w:r>
      <w:hyperlink r:id="rId36" w:history="1">
        <w:r w:rsidRPr="004B0437">
          <w:rPr>
            <w:rStyle w:val="Hipervnculo"/>
          </w:rPr>
          <w:t>https://doi.org/10.1016/j.jddst.2020.102054</w:t>
        </w:r>
      </w:hyperlink>
      <w:r>
        <w:t xml:space="preserve"> </w:t>
      </w:r>
    </w:p>
    <w:p w14:paraId="5EB70CF7" w14:textId="77777777" w:rsidR="004B0437" w:rsidRPr="004B0437" w:rsidRDefault="004B0437" w:rsidP="004B0437">
      <w:pPr>
        <w:pStyle w:val="Body"/>
      </w:pPr>
      <w:r w:rsidRPr="004B0437">
        <w:t xml:space="preserve">10 Chao Q., Wei H., Chunli Z. et al. </w:t>
      </w:r>
      <w:r w:rsidRPr="004B0437">
        <w:rPr>
          <w:b/>
          <w:bCs/>
        </w:rPr>
        <w:t>Controlled release of metformin hydrochloride and repaglinide</w:t>
      </w:r>
      <w:r>
        <w:rPr>
          <w:b/>
          <w:bCs/>
        </w:rPr>
        <w:t xml:space="preserve"> </w:t>
      </w:r>
      <w:r w:rsidRPr="004B0437">
        <w:rPr>
          <w:b/>
          <w:bCs/>
        </w:rPr>
        <w:t>from sandwiched osmotic pump tablet</w:t>
      </w:r>
      <w:r w:rsidRPr="004B0437">
        <w:t>. International Journal of Pharmaceutics Volume 466, Issues 1–</w:t>
      </w:r>
      <w:r>
        <w:t xml:space="preserve"> </w:t>
      </w:r>
      <w:r w:rsidRPr="004B0437">
        <w:t xml:space="preserve">2, 15 May 2014, Pages 276-285. </w:t>
      </w:r>
      <w:hyperlink r:id="rId37" w:history="1">
        <w:r w:rsidRPr="004B0437">
          <w:rPr>
            <w:rStyle w:val="Hipervnculo"/>
          </w:rPr>
          <w:t>https://doi.org/10.1016/j.ijpharm.2014.03.002</w:t>
        </w:r>
      </w:hyperlink>
      <w:r>
        <w:t xml:space="preserve"> </w:t>
      </w:r>
    </w:p>
    <w:p w14:paraId="2F794389" w14:textId="77777777" w:rsidR="004B0437" w:rsidRPr="004B0437" w:rsidRDefault="004B0437" w:rsidP="004B0437">
      <w:pPr>
        <w:pStyle w:val="Body"/>
      </w:pPr>
      <w:r w:rsidRPr="004B0437">
        <w:rPr>
          <w:lang w:val="es-MX"/>
        </w:rPr>
        <w:t xml:space="preserve">11Hanan M. H., Aya R. A., Nesrin F.T. et al. </w:t>
      </w:r>
      <w:r w:rsidRPr="004B0437">
        <w:rPr>
          <w:b/>
          <w:bCs/>
        </w:rPr>
        <w:t>Formulation and stability studies of metformin</w:t>
      </w:r>
      <w:r>
        <w:rPr>
          <w:b/>
          <w:bCs/>
        </w:rPr>
        <w:t xml:space="preserve"> </w:t>
      </w:r>
      <w:r w:rsidRPr="004B0437">
        <w:rPr>
          <w:b/>
          <w:bCs/>
        </w:rPr>
        <w:t>hydrochloride in a controlled porosity osmotic pump system</w:t>
      </w:r>
      <w:r w:rsidRPr="004B0437">
        <w:t>. Journal of Applied Pharmaceutical</w:t>
      </w:r>
      <w:r>
        <w:t xml:space="preserve"> </w:t>
      </w:r>
      <w:r w:rsidRPr="004B0437">
        <w:t>Science Vol. 10(04), pp 100-112, April, 2020. DOI: 10.7324/JAPS.2020.104013.</w:t>
      </w:r>
      <w:r>
        <w:t xml:space="preserve"> </w:t>
      </w:r>
    </w:p>
    <w:p w14:paraId="5A20B682" w14:textId="77777777" w:rsidR="004B0437" w:rsidRPr="004B0437" w:rsidRDefault="004B0437" w:rsidP="004B0437">
      <w:pPr>
        <w:pStyle w:val="Body"/>
        <w:rPr>
          <w:i/>
          <w:iCs/>
        </w:rPr>
      </w:pPr>
      <w:r w:rsidRPr="004B0437">
        <w:t xml:space="preserve">12 Saurabh G., Neelesh C., Vihangesh K.D. et al. </w:t>
      </w:r>
      <w:r w:rsidRPr="004B0437">
        <w:rPr>
          <w:b/>
          <w:bCs/>
        </w:rPr>
        <w:t>Development of osmotic controlled release</w:t>
      </w:r>
      <w:r>
        <w:rPr>
          <w:b/>
          <w:bCs/>
        </w:rPr>
        <w:t xml:space="preserve"> </w:t>
      </w:r>
      <w:r w:rsidRPr="004B0437">
        <w:rPr>
          <w:b/>
          <w:bCs/>
        </w:rPr>
        <w:t>formulation of an antidiabetic drug metformin hydrochloride</w:t>
      </w:r>
      <w:r w:rsidRPr="004B0437">
        <w:t>. International Journal of Pharma Sciences</w:t>
      </w:r>
      <w:r>
        <w:t xml:space="preserve"> </w:t>
      </w:r>
      <w:r w:rsidRPr="004B0437">
        <w:t xml:space="preserve">and Research: 2020, </w:t>
      </w:r>
      <w:r w:rsidRPr="004B0437">
        <w:rPr>
          <w:i/>
          <w:iCs/>
        </w:rPr>
        <w:t>Vol. 11(12): 6475-6480.</w:t>
      </w:r>
    </w:p>
    <w:p w14:paraId="34068DF7" w14:textId="77777777" w:rsidR="004B0437" w:rsidRPr="004B0437" w:rsidRDefault="004B0437" w:rsidP="004B0437">
      <w:pPr>
        <w:pStyle w:val="Body"/>
        <w:rPr>
          <w:i/>
          <w:iCs/>
        </w:rPr>
      </w:pPr>
      <w:r w:rsidRPr="004B0437">
        <w:lastRenderedPageBreak/>
        <w:t xml:space="preserve">13 García-Flores M., Melgoza-Contreras LM. and Hernández-Baltazar E. </w:t>
      </w:r>
      <w:r w:rsidRPr="004B0437">
        <w:rPr>
          <w:b/>
          <w:bCs/>
        </w:rPr>
        <w:t>Critical Factors for Metformin</w:t>
      </w:r>
      <w:r>
        <w:rPr>
          <w:b/>
          <w:bCs/>
        </w:rPr>
        <w:t xml:space="preserve"> </w:t>
      </w:r>
      <w:r w:rsidRPr="004B0437">
        <w:rPr>
          <w:b/>
          <w:bCs/>
        </w:rPr>
        <w:t>Osmotic Controlled Release Pump</w:t>
      </w:r>
      <w:r w:rsidRPr="004B0437">
        <w:t xml:space="preserve">. </w:t>
      </w:r>
      <w:r w:rsidRPr="004B0437">
        <w:rPr>
          <w:i/>
          <w:iCs/>
        </w:rPr>
        <w:t>Journal of Pharmaceutical Research International. 32(35): 1-12,</w:t>
      </w:r>
      <w:r>
        <w:rPr>
          <w:i/>
          <w:iCs/>
        </w:rPr>
        <w:t xml:space="preserve"> </w:t>
      </w:r>
      <w:r w:rsidRPr="004B0437">
        <w:rPr>
          <w:i/>
          <w:iCs/>
        </w:rPr>
        <w:t>2020; Article no.JPRI.63216</w:t>
      </w:r>
    </w:p>
    <w:p w14:paraId="7A81166B" w14:textId="77777777" w:rsidR="004B0437" w:rsidRPr="004B0437" w:rsidRDefault="004B0437" w:rsidP="004B0437">
      <w:pPr>
        <w:pStyle w:val="Body"/>
      </w:pPr>
      <w:r w:rsidRPr="004B0437">
        <w:t xml:space="preserve">14 Cazes Jack. 2010. </w:t>
      </w:r>
      <w:r w:rsidRPr="004B0437">
        <w:rPr>
          <w:b/>
          <w:bCs/>
        </w:rPr>
        <w:t>Metformin and Glibenclamide: HPLC Determination, in: Encyclopedia of</w:t>
      </w:r>
      <w:r>
        <w:rPr>
          <w:b/>
          <w:bCs/>
        </w:rPr>
        <w:t xml:space="preserve"> </w:t>
      </w:r>
      <w:r w:rsidRPr="004B0437">
        <w:rPr>
          <w:b/>
          <w:bCs/>
        </w:rPr>
        <w:t>Chromatography</w:t>
      </w:r>
      <w:r w:rsidRPr="004B0437">
        <w:t>. CCR Press, Taylor and Francis Group. 1474–1477.</w:t>
      </w:r>
    </w:p>
    <w:p w14:paraId="4545F0F8" w14:textId="77777777" w:rsidR="004B0437" w:rsidRDefault="004B0437" w:rsidP="004B0437">
      <w:pPr>
        <w:pStyle w:val="Body"/>
      </w:pPr>
      <w:r w:rsidRPr="004B0437">
        <w:t>15 Navarro Miguel. 2012. [</w:t>
      </w:r>
      <w:r w:rsidRPr="004B0437">
        <w:rPr>
          <w:b/>
          <w:bCs/>
        </w:rPr>
        <w:t xml:space="preserve">Bromatological and toxicological aspects of sweeteners] </w:t>
      </w:r>
      <w:r w:rsidRPr="004B0437">
        <w:t xml:space="preserve">. </w:t>
      </w:r>
      <w:r w:rsidRPr="004B0437">
        <w:rPr>
          <w:lang w:val="es-MX"/>
        </w:rPr>
        <w:t>Toxicología</w:t>
      </w:r>
      <w:r>
        <w:rPr>
          <w:lang w:val="es-MX"/>
        </w:rPr>
        <w:t xml:space="preserve"> </w:t>
      </w:r>
      <w:r w:rsidRPr="004B0437">
        <w:rPr>
          <w:lang w:val="es-MX"/>
        </w:rPr>
        <w:t xml:space="preserve">Alimentaria. Ediciones Díaz de Santos. </w:t>
      </w:r>
      <w:r w:rsidRPr="004B0437">
        <w:t>Madrid, España. 481.</w:t>
      </w:r>
    </w:p>
    <w:p w14:paraId="273A3BBA" w14:textId="77777777" w:rsidR="004B0437" w:rsidRPr="004B0437" w:rsidRDefault="004B0437" w:rsidP="004B0437">
      <w:pPr>
        <w:pStyle w:val="Body"/>
      </w:pPr>
      <w:r w:rsidRPr="004B0437">
        <w:rPr>
          <w:lang w:val="es-MX"/>
        </w:rPr>
        <w:t xml:space="preserve">16 Ouyang D., Nie S., Li W., et al. 2005b. </w:t>
      </w:r>
      <w:r w:rsidRPr="004B0437">
        <w:rPr>
          <w:b/>
          <w:bCs/>
        </w:rPr>
        <w:t>In vitro and in vivo evaluation of two extended release</w:t>
      </w:r>
      <w:r>
        <w:rPr>
          <w:b/>
          <w:bCs/>
        </w:rPr>
        <w:t xml:space="preserve"> </w:t>
      </w:r>
      <w:r w:rsidRPr="004B0437">
        <w:rPr>
          <w:b/>
          <w:bCs/>
        </w:rPr>
        <w:t>preparations of combination metformin and glipizide</w:t>
      </w:r>
      <w:r w:rsidRPr="004B0437">
        <w:t>. Drug Development and Industrial Pharmacy.</w:t>
      </w:r>
      <w:r>
        <w:t xml:space="preserve"> </w:t>
      </w:r>
      <w:r w:rsidRPr="004B0437">
        <w:t>31(7): 677-685.</w:t>
      </w:r>
    </w:p>
    <w:p w14:paraId="00121C0D" w14:textId="77777777" w:rsidR="004B0437" w:rsidRPr="004B0437" w:rsidRDefault="004B0437" w:rsidP="004B0437">
      <w:pPr>
        <w:pStyle w:val="Body"/>
      </w:pPr>
      <w:r w:rsidRPr="004B0437">
        <w:t xml:space="preserve">17 Nilsson N., Nezvalova K., Botker J., et al. </w:t>
      </w:r>
      <w:r w:rsidRPr="004B0437">
        <w:rPr>
          <w:b/>
          <w:bCs/>
        </w:rPr>
        <w:t>Co-administration of Intravenous Drugs: Rapidly</w:t>
      </w:r>
      <w:r>
        <w:rPr>
          <w:b/>
          <w:bCs/>
        </w:rPr>
        <w:t xml:space="preserve"> </w:t>
      </w:r>
      <w:r w:rsidRPr="004B0437">
        <w:rPr>
          <w:b/>
          <w:bCs/>
        </w:rPr>
        <w:t>Troubleshooting the Solid Form Composition of a Precipitate in a Multi-drug Mixture Using On-Site</w:t>
      </w:r>
      <w:r>
        <w:rPr>
          <w:b/>
          <w:bCs/>
        </w:rPr>
        <w:t xml:space="preserve"> </w:t>
      </w:r>
      <w:r w:rsidRPr="004B0437">
        <w:rPr>
          <w:b/>
          <w:bCs/>
        </w:rPr>
        <w:t>Raman Spectroscopy</w:t>
      </w:r>
      <w:r w:rsidRPr="004B0437">
        <w:t xml:space="preserve">. </w:t>
      </w:r>
      <w:r w:rsidRPr="004B0437">
        <w:rPr>
          <w:i/>
          <w:iCs/>
        </w:rPr>
        <w:t xml:space="preserve">Mol. Pharmaceutics </w:t>
      </w:r>
      <w:r w:rsidRPr="004B0437">
        <w:t>2023, 20, 2853−2863.</w:t>
      </w:r>
      <w:r>
        <w:t xml:space="preserve"> </w:t>
      </w:r>
      <w:hyperlink r:id="rId38" w:history="1">
        <w:r w:rsidRPr="004B0437">
          <w:rPr>
            <w:rStyle w:val="Hipervnculo"/>
          </w:rPr>
          <w:t>https://doi.org/10.1021/acs.molpharmaceut.2c00983</w:t>
        </w:r>
      </w:hyperlink>
      <w:r>
        <w:t xml:space="preserve"> </w:t>
      </w:r>
    </w:p>
    <w:p w14:paraId="51CACB28" w14:textId="77777777" w:rsidR="004B0437" w:rsidRDefault="004B0437" w:rsidP="004B0437">
      <w:pPr>
        <w:pStyle w:val="Body"/>
      </w:pPr>
      <w:r w:rsidRPr="004B0437">
        <w:t xml:space="preserve">18 Amin M., Al.Hetlani E., and Lednev I. </w:t>
      </w:r>
      <w:r w:rsidRPr="004B0437">
        <w:rPr>
          <w:b/>
          <w:bCs/>
        </w:rPr>
        <w:t>Detection and identification of drug traces in latent fingermarks</w:t>
      </w:r>
      <w:r>
        <w:rPr>
          <w:b/>
          <w:bCs/>
        </w:rPr>
        <w:t xml:space="preserve"> </w:t>
      </w:r>
      <w:r w:rsidRPr="004B0437">
        <w:rPr>
          <w:b/>
          <w:bCs/>
        </w:rPr>
        <w:t xml:space="preserve">using Raman spectroscopy. </w:t>
      </w:r>
      <w:r w:rsidRPr="004B0437">
        <w:rPr>
          <w:b/>
          <w:bCs/>
          <w:i/>
          <w:iCs/>
        </w:rPr>
        <w:t xml:space="preserve">Scientific Reports </w:t>
      </w:r>
      <w:r w:rsidRPr="004B0437">
        <w:rPr>
          <w:b/>
          <w:bCs/>
        </w:rPr>
        <w:t>(2022)volumen 12, Article number: 3136.</w:t>
      </w:r>
      <w:r>
        <w:rPr>
          <w:b/>
          <w:bCs/>
        </w:rPr>
        <w:t xml:space="preserve"> </w:t>
      </w:r>
      <w:r w:rsidRPr="004B0437">
        <w:t xml:space="preserve">19 Coic L., Sacre P.I., Dispas A. et al. </w:t>
      </w:r>
      <w:r w:rsidRPr="004B0437">
        <w:rPr>
          <w:b/>
          <w:bCs/>
        </w:rPr>
        <w:t>Pixel-based Raman hyperspectral identification of complex</w:t>
      </w:r>
      <w:r>
        <w:rPr>
          <w:b/>
          <w:bCs/>
        </w:rPr>
        <w:t xml:space="preserve"> </w:t>
      </w:r>
      <w:r w:rsidRPr="004B0437">
        <w:rPr>
          <w:b/>
          <w:bCs/>
        </w:rPr>
        <w:t>pharmaceutical formulations</w:t>
      </w:r>
      <w:r w:rsidRPr="004B0437">
        <w:t>. Analytica Chimica Acta 1155 (2021) 338361.</w:t>
      </w:r>
      <w:r>
        <w:t xml:space="preserve"> </w:t>
      </w:r>
      <w:hyperlink r:id="rId39" w:history="1">
        <w:r w:rsidRPr="004B0437">
          <w:rPr>
            <w:rStyle w:val="Hipervnculo"/>
          </w:rPr>
          <w:t>https://doi.org/10.1016/j.aca.2021.338361</w:t>
        </w:r>
      </w:hyperlink>
      <w:r>
        <w:t xml:space="preserve"> </w:t>
      </w:r>
    </w:p>
    <w:p w14:paraId="4ACE1C51" w14:textId="18F4CEA7" w:rsidR="00831D22" w:rsidRPr="004B0437" w:rsidRDefault="00831D22" w:rsidP="00831D22">
      <w:pPr>
        <w:pStyle w:val="Body"/>
      </w:pPr>
      <w:r>
        <w:rPr>
          <w:lang w:val="es-MX"/>
        </w:rPr>
        <w:t xml:space="preserve">19 </w:t>
      </w:r>
      <w:r w:rsidRPr="00831D22">
        <w:rPr>
          <w:lang w:val="es-MX"/>
        </w:rPr>
        <w:t xml:space="preserve">Coic L., Sacre P.I., Dispas A. et al. </w:t>
      </w:r>
      <w:r w:rsidRPr="00831D22">
        <w:rPr>
          <w:b/>
          <w:bCs/>
          <w:lang w:val="es-MX"/>
        </w:rPr>
        <w:t>Pixel-based Raman hyperspectral identification of complex</w:t>
      </w:r>
      <w:r>
        <w:rPr>
          <w:b/>
          <w:bCs/>
          <w:lang w:val="es-MX"/>
        </w:rPr>
        <w:t xml:space="preserve"> </w:t>
      </w:r>
      <w:r w:rsidRPr="00831D22">
        <w:rPr>
          <w:b/>
          <w:bCs/>
          <w:lang w:val="es-MX"/>
        </w:rPr>
        <w:t>pharmaceutical formulations</w:t>
      </w:r>
      <w:r w:rsidRPr="00831D22">
        <w:rPr>
          <w:lang w:val="es-MX"/>
        </w:rPr>
        <w:t>. Analytica Chimica Acta 1155 (2021) 338361.</w:t>
      </w:r>
      <w:r>
        <w:rPr>
          <w:lang w:val="es-MX"/>
        </w:rPr>
        <w:t xml:space="preserve"> </w:t>
      </w:r>
      <w:r w:rsidRPr="00831D22">
        <w:rPr>
          <w:lang w:val="es-MX"/>
        </w:rPr>
        <w:t>https://doi.org/10.1016/j.aca.2021.338361</w:t>
      </w:r>
    </w:p>
    <w:p w14:paraId="6BE08C5B" w14:textId="77777777" w:rsidR="004B0437" w:rsidRPr="004B0437" w:rsidRDefault="004B0437" w:rsidP="004B0437">
      <w:pPr>
        <w:pStyle w:val="Body"/>
      </w:pPr>
      <w:r w:rsidRPr="004B0437">
        <w:t xml:space="preserve">20 Tang Y., Wang X., Shou G., et al. </w:t>
      </w:r>
      <w:r w:rsidRPr="004B0437">
        <w:rPr>
          <w:b/>
          <w:bCs/>
        </w:rPr>
        <w:t>Research Progress of Raman Spectroscopy and Imaging</w:t>
      </w:r>
      <w:r>
        <w:rPr>
          <w:b/>
          <w:bCs/>
        </w:rPr>
        <w:t xml:space="preserve"> </w:t>
      </w:r>
      <w:r w:rsidRPr="004B0437">
        <w:rPr>
          <w:b/>
          <w:bCs/>
        </w:rPr>
        <w:t>Techniques for the Pharmaceutical Analysis</w:t>
      </w:r>
      <w:r w:rsidRPr="004B0437">
        <w:t>. Journal of Analysis and Testing (2025) 9:136–152.</w:t>
      </w:r>
      <w:r>
        <w:t xml:space="preserve"> </w:t>
      </w:r>
      <w:hyperlink r:id="rId40" w:history="1">
        <w:r w:rsidRPr="004B0437">
          <w:rPr>
            <w:rStyle w:val="Hipervnculo"/>
          </w:rPr>
          <w:t>https://doi.org/10.1007/s41664-024-00327-w</w:t>
        </w:r>
      </w:hyperlink>
      <w:r>
        <w:t xml:space="preserve"> </w:t>
      </w:r>
    </w:p>
    <w:p w14:paraId="207569D5" w14:textId="77777777" w:rsidR="004B0437" w:rsidRPr="004B0437" w:rsidRDefault="004B0437" w:rsidP="004B0437">
      <w:pPr>
        <w:pStyle w:val="Body"/>
      </w:pPr>
      <w:r w:rsidRPr="004B0437">
        <w:t xml:space="preserve">21 Zeng Q., Wang l., Wu S., et al. </w:t>
      </w:r>
      <w:r w:rsidRPr="004B0437">
        <w:rPr>
          <w:b/>
          <w:bCs/>
        </w:rPr>
        <w:t>Research progress on the application of spectral imaging technology</w:t>
      </w:r>
      <w:r>
        <w:rPr>
          <w:b/>
          <w:bCs/>
        </w:rPr>
        <w:t xml:space="preserve"> </w:t>
      </w:r>
      <w:r w:rsidRPr="004B0437">
        <w:rPr>
          <w:b/>
          <w:bCs/>
        </w:rPr>
        <w:t>in pharmaceutical tablet análisis</w:t>
      </w:r>
      <w:r w:rsidRPr="004B0437">
        <w:t>. International Journal of Pharmaceutics 625 (2022) 122100.</w:t>
      </w:r>
      <w:r>
        <w:t xml:space="preserve"> </w:t>
      </w:r>
      <w:hyperlink r:id="rId41" w:history="1">
        <w:r w:rsidRPr="004B0437">
          <w:rPr>
            <w:rStyle w:val="Hipervnculo"/>
          </w:rPr>
          <w:t>https://doi.org/10.1016/j.ijpharm.2022.122100</w:t>
        </w:r>
      </w:hyperlink>
      <w:r>
        <w:t xml:space="preserve"> </w:t>
      </w:r>
    </w:p>
    <w:p w14:paraId="5369E413" w14:textId="77777777" w:rsidR="004B0437" w:rsidRPr="004B0437" w:rsidRDefault="004B0437" w:rsidP="004B0437">
      <w:pPr>
        <w:pStyle w:val="Body"/>
        <w:rPr>
          <w:lang w:val="es-MX"/>
        </w:rPr>
      </w:pPr>
      <w:r w:rsidRPr="004B0437">
        <w:rPr>
          <w:lang w:val="es-MX"/>
        </w:rPr>
        <w:t xml:space="preserve">22 Lorenzo Fernández P., Alfaro Ramos M. J. Lizasoain Hernández I., et al. 2008. </w:t>
      </w:r>
      <w:r w:rsidRPr="004B0437">
        <w:rPr>
          <w:b/>
          <w:bCs/>
          <w:lang w:val="es-MX"/>
        </w:rPr>
        <w:t>Velázquez; [Basic and</w:t>
      </w:r>
      <w:r>
        <w:rPr>
          <w:b/>
          <w:bCs/>
          <w:lang w:val="es-MX"/>
        </w:rPr>
        <w:t xml:space="preserve"> </w:t>
      </w:r>
      <w:r w:rsidRPr="004B0437">
        <w:rPr>
          <w:b/>
          <w:bCs/>
          <w:lang w:val="es-MX"/>
        </w:rPr>
        <w:t xml:space="preserve">Clinical Pharmacology] </w:t>
      </w:r>
      <w:r w:rsidRPr="004B0437">
        <w:rPr>
          <w:lang w:val="es-MX"/>
        </w:rPr>
        <w:t>, 18a ed. Farmacología Básica y Clínica. Madrid, España. 621.</w:t>
      </w:r>
      <w:r>
        <w:rPr>
          <w:lang w:val="es-MX"/>
        </w:rPr>
        <w:t xml:space="preserve"> </w:t>
      </w:r>
    </w:p>
    <w:p w14:paraId="205F829F" w14:textId="77777777" w:rsidR="004B0437" w:rsidRPr="004B0437" w:rsidRDefault="004B0437" w:rsidP="004B0437">
      <w:pPr>
        <w:pStyle w:val="Body"/>
        <w:rPr>
          <w:lang w:val="es-MX"/>
        </w:rPr>
      </w:pPr>
      <w:r w:rsidRPr="004B0437">
        <w:rPr>
          <w:lang w:val="es-MX"/>
        </w:rPr>
        <w:t xml:space="preserve">23 Song Gaoa, Yanjun Chena, Rongfeng Hua, et al. </w:t>
      </w:r>
      <w:r w:rsidRPr="004B0437">
        <w:rPr>
          <w:b/>
          <w:bCs/>
        </w:rPr>
        <w:t>Visualized analysis and evaluation of simultaneous controlled release of metformin hydrochloride and gliclazide from sandwiched</w:t>
      </w:r>
      <w:r>
        <w:rPr>
          <w:b/>
          <w:bCs/>
        </w:rPr>
        <w:t xml:space="preserve"> </w:t>
      </w:r>
      <w:r w:rsidRPr="004B0437">
        <w:rPr>
          <w:b/>
          <w:bCs/>
        </w:rPr>
        <w:t>osmotic pump capsule</w:t>
      </w:r>
      <w:r w:rsidRPr="004B0437">
        <w:t xml:space="preserve">. Drug Development and Industrial Pharmacy. </w:t>
      </w:r>
      <w:r w:rsidRPr="004B0437">
        <w:rPr>
          <w:lang w:val="es-MX"/>
        </w:rPr>
        <w:t>2020, VOL. 46, NO. 11, 1776–</w:t>
      </w:r>
      <w:r>
        <w:rPr>
          <w:lang w:val="es-MX"/>
        </w:rPr>
        <w:t xml:space="preserve"> </w:t>
      </w:r>
      <w:r w:rsidRPr="004B0437">
        <w:rPr>
          <w:lang w:val="es-MX"/>
        </w:rPr>
        <w:t xml:space="preserve">1786. </w:t>
      </w:r>
      <w:hyperlink r:id="rId42" w:history="1">
        <w:r w:rsidRPr="004B0437">
          <w:rPr>
            <w:rStyle w:val="Hipervnculo"/>
            <w:lang w:val="es-MX"/>
          </w:rPr>
          <w:t>https://doi.org/10.1080/03639045.2020.1821047</w:t>
        </w:r>
      </w:hyperlink>
      <w:r>
        <w:rPr>
          <w:lang w:val="es-MX"/>
        </w:rPr>
        <w:t xml:space="preserve"> </w:t>
      </w:r>
    </w:p>
    <w:p w14:paraId="0B22DFD0" w14:textId="77777777" w:rsidR="004B0437" w:rsidRPr="004B0437" w:rsidRDefault="004B0437" w:rsidP="004B0437">
      <w:pPr>
        <w:pStyle w:val="Body"/>
      </w:pPr>
      <w:r w:rsidRPr="004B0437">
        <w:t xml:space="preserve">24 Chaowalit Monton, Poj Kulvanich. </w:t>
      </w:r>
      <w:r w:rsidRPr="004B0437">
        <w:rPr>
          <w:b/>
          <w:bCs/>
        </w:rPr>
        <w:t>Push</w:t>
      </w:r>
      <w:r w:rsidRPr="004B0437">
        <w:rPr>
          <w:rFonts w:ascii="Cambria Math" w:hAnsi="Cambria Math" w:cs="Cambria Math"/>
          <w:b/>
          <w:bCs/>
        </w:rPr>
        <w:t>‑</w:t>
      </w:r>
      <w:r w:rsidRPr="004B0437">
        <w:rPr>
          <w:b/>
          <w:bCs/>
        </w:rPr>
        <w:t>Pull Osmotic Pumps Using Crosslinked Hard Gelatin</w:t>
      </w:r>
      <w:r>
        <w:rPr>
          <w:b/>
          <w:bCs/>
        </w:rPr>
        <w:t xml:space="preserve"> </w:t>
      </w:r>
      <w:r w:rsidRPr="004B0437">
        <w:rPr>
          <w:b/>
          <w:bCs/>
        </w:rPr>
        <w:t>Capsule as a Structural Assembly for Delivery of Drugs with Different Water Solubilities</w:t>
      </w:r>
      <w:r w:rsidRPr="004B0437">
        <w:t>. Journal of</w:t>
      </w:r>
      <w:r>
        <w:t xml:space="preserve"> </w:t>
      </w:r>
      <w:r w:rsidRPr="004B0437">
        <w:t xml:space="preserve">Pharmaceutical Innovation (2022) 17:791–805. </w:t>
      </w:r>
      <w:hyperlink r:id="rId43" w:history="1">
        <w:r w:rsidRPr="004B0437">
          <w:rPr>
            <w:rStyle w:val="Hipervnculo"/>
          </w:rPr>
          <w:t>https://doi.org/10.1007/s12247-021-09562-5</w:t>
        </w:r>
      </w:hyperlink>
      <w:r>
        <w:t xml:space="preserve"> </w:t>
      </w:r>
    </w:p>
    <w:p w14:paraId="53F0DE11" w14:textId="77777777" w:rsidR="004B0437" w:rsidRPr="004B0437" w:rsidRDefault="004B0437" w:rsidP="004B0437">
      <w:pPr>
        <w:pStyle w:val="Body"/>
      </w:pPr>
      <w:r w:rsidRPr="004B0437">
        <w:t xml:space="preserve">25 Song G., Yanjun C, Hu R. et al. </w:t>
      </w:r>
      <w:r w:rsidRPr="004B0437">
        <w:rPr>
          <w:b/>
          <w:bCs/>
        </w:rPr>
        <w:t>Visualized analysis and evaluation of simultaneous controlled</w:t>
      </w:r>
      <w:r>
        <w:rPr>
          <w:b/>
          <w:bCs/>
        </w:rPr>
        <w:t xml:space="preserve"> </w:t>
      </w:r>
      <w:r w:rsidRPr="004B0437">
        <w:rPr>
          <w:b/>
          <w:bCs/>
        </w:rPr>
        <w:t xml:space="preserve">release of metformin hydrochloride and gliclazide from sandwiched osmotic </w:t>
      </w:r>
      <w:r w:rsidRPr="004B0437">
        <w:rPr>
          <w:b/>
          <w:bCs/>
        </w:rPr>
        <w:lastRenderedPageBreak/>
        <w:t>pump capsule</w:t>
      </w:r>
      <w:r w:rsidRPr="004B0437">
        <w:t>. Drug</w:t>
      </w:r>
      <w:r>
        <w:t xml:space="preserve"> </w:t>
      </w:r>
      <w:r w:rsidRPr="004B0437">
        <w:t>Development and Industrial Pharmacy. 2020, VOL. 46, NO. 11, 1776–1786.</w:t>
      </w:r>
      <w:r>
        <w:t xml:space="preserve"> </w:t>
      </w:r>
      <w:hyperlink r:id="rId44" w:history="1">
        <w:r w:rsidRPr="004B0437">
          <w:rPr>
            <w:rStyle w:val="Hipervnculo"/>
          </w:rPr>
          <w:t>https://doi.org/10.1080/03639045.2020.1821047</w:t>
        </w:r>
      </w:hyperlink>
      <w:r>
        <w:t xml:space="preserve"> </w:t>
      </w:r>
    </w:p>
    <w:p w14:paraId="5A841228" w14:textId="77777777" w:rsidR="004B0437" w:rsidRPr="004B0437" w:rsidRDefault="004B0437" w:rsidP="004B0437">
      <w:pPr>
        <w:pStyle w:val="Body"/>
      </w:pPr>
      <w:r w:rsidRPr="004B0437">
        <w:t xml:space="preserve">26 Suna Y., Shuangshuang Z., Wenjie L., et al. </w:t>
      </w:r>
      <w:r w:rsidRPr="004B0437">
        <w:rPr>
          <w:b/>
          <w:bCs/>
        </w:rPr>
        <w:t>A novel enteric positioning osmotic pump capsulebased</w:t>
      </w:r>
      <w:r>
        <w:rPr>
          <w:b/>
          <w:bCs/>
        </w:rPr>
        <w:t xml:space="preserve"> </w:t>
      </w:r>
      <w:r w:rsidRPr="004B0437">
        <w:rPr>
          <w:b/>
          <w:bCs/>
        </w:rPr>
        <w:t xml:space="preserve">controlled reléase system of sinomenine hydrochloride: </w:t>
      </w:r>
      <w:r w:rsidRPr="004B0437">
        <w:rPr>
          <w:b/>
          <w:bCs/>
          <w:i/>
          <w:iCs/>
        </w:rPr>
        <w:t xml:space="preserve">In vitro and in vivo </w:t>
      </w:r>
      <w:r w:rsidRPr="004B0437">
        <w:rPr>
          <w:b/>
          <w:bCs/>
        </w:rPr>
        <w:t>evaluation</w:t>
      </w:r>
      <w:r w:rsidRPr="004B0437">
        <w:t>.</w:t>
      </w:r>
      <w:r>
        <w:t xml:space="preserve"> </w:t>
      </w:r>
      <w:r w:rsidRPr="004B0437">
        <w:t>Journal of Drug Delivery Science and Technology 49 (2019) 188–194.</w:t>
      </w:r>
      <w:r w:rsidR="00B049AA">
        <w:t xml:space="preserve"> </w:t>
      </w:r>
      <w:hyperlink r:id="rId45" w:history="1">
        <w:r w:rsidR="00B049AA" w:rsidRPr="004B0437">
          <w:rPr>
            <w:rStyle w:val="Hipervnculo"/>
          </w:rPr>
          <w:t>https://doi.org/10.1016/j.jddst.2018.11.005</w:t>
        </w:r>
      </w:hyperlink>
      <w:r w:rsidR="00B049AA">
        <w:t xml:space="preserve"> </w:t>
      </w:r>
    </w:p>
    <w:p w14:paraId="17B97C86" w14:textId="77777777" w:rsidR="004B0437" w:rsidRPr="004B0437" w:rsidRDefault="004B0437" w:rsidP="004B0437">
      <w:pPr>
        <w:pStyle w:val="Body"/>
      </w:pPr>
      <w:r w:rsidRPr="004B0437">
        <w:t xml:space="preserve">27 Chandy A., Jharia M. and Manigauha A. </w:t>
      </w:r>
      <w:r w:rsidRPr="004B0437">
        <w:rPr>
          <w:b/>
          <w:bCs/>
        </w:rPr>
        <w:t>Fabrication and evaluation of osmotic capsular pump for</w:t>
      </w:r>
      <w:r w:rsidR="00B049AA">
        <w:rPr>
          <w:b/>
          <w:bCs/>
        </w:rPr>
        <w:t xml:space="preserve"> </w:t>
      </w:r>
      <w:r w:rsidRPr="004B0437">
        <w:rPr>
          <w:b/>
          <w:bCs/>
        </w:rPr>
        <w:t>controlled drug delivery</w:t>
      </w:r>
      <w:r w:rsidRPr="004B0437">
        <w:t>. International Journal of Pharmacy and Pharmaceutical Sciences. Vol 2, Issue</w:t>
      </w:r>
      <w:r w:rsidR="00B049AA">
        <w:t xml:space="preserve"> </w:t>
      </w:r>
      <w:r w:rsidRPr="004B0437">
        <w:t>1, 2010. 99-103.</w:t>
      </w:r>
    </w:p>
    <w:p w14:paraId="41EADB0D" w14:textId="77777777" w:rsidR="004B0437" w:rsidRPr="004B0437" w:rsidRDefault="004B0437" w:rsidP="004B0437">
      <w:pPr>
        <w:pStyle w:val="Body"/>
      </w:pPr>
      <w:r w:rsidRPr="004B0437">
        <w:t xml:space="preserve">28 Waterman KC., Goeken G.S. , Konagurthu S., et al. </w:t>
      </w:r>
      <w:r w:rsidRPr="004B0437">
        <w:rPr>
          <w:b/>
          <w:bCs/>
        </w:rPr>
        <w:t>Osmotic capsules: A universal oral, controlledrelease</w:t>
      </w:r>
      <w:r w:rsidR="00B049AA">
        <w:rPr>
          <w:b/>
          <w:bCs/>
        </w:rPr>
        <w:t xml:space="preserve"> </w:t>
      </w:r>
      <w:r w:rsidRPr="004B0437">
        <w:rPr>
          <w:b/>
          <w:bCs/>
        </w:rPr>
        <w:t>drug delivery dosage form</w:t>
      </w:r>
      <w:r w:rsidRPr="004B0437">
        <w:t>. Journal of Controlled Release 152 (2011) 264–269.</w:t>
      </w:r>
      <w:r w:rsidR="00B049AA">
        <w:t xml:space="preserve"> </w:t>
      </w:r>
      <w:r w:rsidRPr="004B0437">
        <w:t>doi:10.1016/j.jconrel.2011.02.001</w:t>
      </w:r>
      <w:r w:rsidR="00B049AA">
        <w:t xml:space="preserve"> </w:t>
      </w:r>
    </w:p>
    <w:p w14:paraId="69E2484E" w14:textId="77777777" w:rsidR="004B0437" w:rsidRPr="004B0437" w:rsidRDefault="004B0437" w:rsidP="004B0437">
      <w:pPr>
        <w:pStyle w:val="Body"/>
      </w:pPr>
      <w:r w:rsidRPr="004B0437">
        <w:t xml:space="preserve">29 Jiaojiao Y., Meng X., Dong X. et al. </w:t>
      </w:r>
      <w:r w:rsidRPr="004B0437">
        <w:rPr>
          <w:b/>
          <w:bCs/>
        </w:rPr>
        <w:t>Synthesis and characterization of osmotic pump capsules</w:t>
      </w:r>
      <w:r w:rsidR="00B049AA">
        <w:rPr>
          <w:b/>
          <w:bCs/>
        </w:rPr>
        <w:t xml:space="preserve"> </w:t>
      </w:r>
      <w:r w:rsidRPr="004B0437">
        <w:rPr>
          <w:b/>
          <w:bCs/>
        </w:rPr>
        <w:t>containing polyoxyethylene and pH modifier to control the release of nifedipine</w:t>
      </w:r>
      <w:r w:rsidRPr="004B0437">
        <w:t>. European Journal</w:t>
      </w:r>
      <w:r w:rsidR="00B049AA">
        <w:t xml:space="preserve"> </w:t>
      </w:r>
      <w:r w:rsidRPr="004B0437">
        <w:t xml:space="preserve">of Pharmaceutics and Biopharmaceutics 163 (2021) 102–108. </w:t>
      </w:r>
      <w:hyperlink r:id="rId46" w:history="1">
        <w:r w:rsidR="00B049AA" w:rsidRPr="004B0437">
          <w:rPr>
            <w:rStyle w:val="Hipervnculo"/>
          </w:rPr>
          <w:t>https://doi.org/10.1016/j.ejpb.2021.03.014</w:t>
        </w:r>
      </w:hyperlink>
      <w:r w:rsidR="00B049AA">
        <w:t xml:space="preserve"> </w:t>
      </w:r>
    </w:p>
    <w:p w14:paraId="28FCB639" w14:textId="77777777" w:rsidR="004B0437" w:rsidRPr="004B0437" w:rsidRDefault="004B0437" w:rsidP="004B0437">
      <w:pPr>
        <w:pStyle w:val="Body"/>
      </w:pPr>
      <w:r w:rsidRPr="004B0437">
        <w:t xml:space="preserve">30 Jiawei H., Ling Z., Yanping H., et al. </w:t>
      </w:r>
      <w:r w:rsidRPr="004B0437">
        <w:rPr>
          <w:b/>
          <w:bCs/>
        </w:rPr>
        <w:t>Modelling the controlled drug release of push-pull osmotic</w:t>
      </w:r>
      <w:r w:rsidR="00B049AA">
        <w:rPr>
          <w:b/>
          <w:bCs/>
        </w:rPr>
        <w:t xml:space="preserve"> </w:t>
      </w:r>
      <w:r w:rsidRPr="004B0437">
        <w:rPr>
          <w:b/>
          <w:bCs/>
        </w:rPr>
        <w:t>pump tablets using DEM</w:t>
      </w:r>
      <w:r w:rsidRPr="004B0437">
        <w:t>. International Journal of Pharmaceutics 660 (2024) 124316.</w:t>
      </w:r>
      <w:r w:rsidR="00B049AA">
        <w:t xml:space="preserve"> </w:t>
      </w:r>
      <w:hyperlink r:id="rId47" w:history="1">
        <w:r w:rsidR="00B049AA" w:rsidRPr="004B0437">
          <w:rPr>
            <w:rStyle w:val="Hipervnculo"/>
          </w:rPr>
          <w:t>https://doi.org/10.1016/j.ijpharm.2024.124316</w:t>
        </w:r>
      </w:hyperlink>
      <w:r w:rsidR="00B049AA">
        <w:t xml:space="preserve"> </w:t>
      </w:r>
    </w:p>
    <w:p w14:paraId="01E7730A" w14:textId="77777777" w:rsidR="004B0437" w:rsidRPr="004B0437" w:rsidRDefault="004B0437" w:rsidP="004B0437">
      <w:pPr>
        <w:pStyle w:val="Body"/>
      </w:pPr>
      <w:r w:rsidRPr="004B0437">
        <w:t xml:space="preserve">31 Manman L., Qiang S., Rongfeng H. et al. </w:t>
      </w:r>
      <w:r w:rsidRPr="004B0437">
        <w:rPr>
          <w:b/>
          <w:bCs/>
        </w:rPr>
        <w:t>Development and evaluation of controlled release of</w:t>
      </w:r>
      <w:r w:rsidR="00B049AA">
        <w:rPr>
          <w:b/>
          <w:bCs/>
        </w:rPr>
        <w:t xml:space="preserve"> </w:t>
      </w:r>
      <w:r w:rsidRPr="004B0437">
        <w:rPr>
          <w:b/>
          <w:bCs/>
        </w:rPr>
        <w:t>metformin hydrochloride for improving the oral bioavailability based on a novel enteric osmotic</w:t>
      </w:r>
      <w:r w:rsidR="00B049AA">
        <w:rPr>
          <w:b/>
          <w:bCs/>
        </w:rPr>
        <w:t xml:space="preserve"> </w:t>
      </w:r>
      <w:r w:rsidRPr="004B0437">
        <w:rPr>
          <w:b/>
          <w:bCs/>
        </w:rPr>
        <w:t>pump capsule</w:t>
      </w:r>
      <w:r w:rsidRPr="004B0437">
        <w:t>. Journal of Drug Delivery Science and Technology 60 (2020) 102054.</w:t>
      </w:r>
      <w:r w:rsidR="00B049AA">
        <w:t xml:space="preserve"> </w:t>
      </w:r>
      <w:hyperlink r:id="rId48" w:history="1">
        <w:r w:rsidR="00B049AA" w:rsidRPr="004B0437">
          <w:rPr>
            <w:rStyle w:val="Hipervnculo"/>
          </w:rPr>
          <w:t>https://doi.org/10.1016/j.jddst.2020.102054</w:t>
        </w:r>
      </w:hyperlink>
      <w:r w:rsidR="00B049AA">
        <w:t xml:space="preserve"> </w:t>
      </w:r>
    </w:p>
    <w:p w14:paraId="2735014E" w14:textId="77777777" w:rsidR="004B0437" w:rsidRDefault="004B0437" w:rsidP="00B049AA">
      <w:pPr>
        <w:pStyle w:val="Body"/>
      </w:pPr>
      <w:r w:rsidRPr="004B0437">
        <w:t xml:space="preserve">32 Xiangjiang N. Bin W., Rongfeng H. </w:t>
      </w:r>
      <w:r w:rsidRPr="004B0437">
        <w:rPr>
          <w:b/>
          <w:bCs/>
        </w:rPr>
        <w:t>Development and Evaluation of Controlled and Simultaneous</w:t>
      </w:r>
      <w:r w:rsidR="00B049AA">
        <w:rPr>
          <w:b/>
          <w:bCs/>
        </w:rPr>
        <w:t xml:space="preserve"> </w:t>
      </w:r>
      <w:r w:rsidRPr="004B0437">
        <w:rPr>
          <w:b/>
          <w:bCs/>
        </w:rPr>
        <w:t>Release of Compound Danshen Based on a Novel Colon-Specific Osmotic Pump Capsule</w:t>
      </w:r>
      <w:r w:rsidRPr="004B0437">
        <w:t>. AAPS</w:t>
      </w:r>
      <w:r w:rsidR="00B049AA">
        <w:t xml:space="preserve"> </w:t>
      </w:r>
      <w:r w:rsidRPr="004B0437">
        <w:t>PharmSciTech (2020) 21: 38. DOI: 10.1208/s12249-019-1603-9.</w:t>
      </w:r>
      <w:r w:rsidR="00B049AA">
        <w:t xml:space="preserve"> </w:t>
      </w:r>
    </w:p>
    <w:p w14:paraId="377FC96E" w14:textId="77777777" w:rsidR="004B0437" w:rsidRPr="004B0437" w:rsidRDefault="004B0437" w:rsidP="004B0437">
      <w:pPr>
        <w:pStyle w:val="Body"/>
      </w:pPr>
      <w:r w:rsidRPr="004B0437">
        <w:t xml:space="preserve">33 Kushner J, Lambaa M., Stock T. </w:t>
      </w:r>
      <w:r w:rsidRPr="004B0437">
        <w:rPr>
          <w:b/>
          <w:bCs/>
        </w:rPr>
        <w:t xml:space="preserve">Development and validation of a Level A </w:t>
      </w:r>
      <w:r w:rsidRPr="004B0437">
        <w:rPr>
          <w:b/>
          <w:bCs/>
          <w:i/>
          <w:iCs/>
        </w:rPr>
        <w:t xml:space="preserve">in-vitro in-vivo </w:t>
      </w:r>
      <w:r w:rsidRPr="004B0437">
        <w:rPr>
          <w:b/>
          <w:bCs/>
        </w:rPr>
        <w:t>correlation</w:t>
      </w:r>
      <w:r w:rsidR="00B049AA">
        <w:rPr>
          <w:b/>
          <w:bCs/>
        </w:rPr>
        <w:t xml:space="preserve"> </w:t>
      </w:r>
      <w:r w:rsidRPr="004B0437">
        <w:rPr>
          <w:b/>
          <w:bCs/>
        </w:rPr>
        <w:t>for tofacitinib modified-release tablets using extrudable core system osmotic delivery technology</w:t>
      </w:r>
      <w:r w:rsidRPr="004B0437">
        <w:t>.</w:t>
      </w:r>
      <w:r w:rsidR="00B049AA">
        <w:t xml:space="preserve"> </w:t>
      </w:r>
      <w:r w:rsidRPr="004B0437">
        <w:t>European Journal of Pharmaceutical Sciences 147 (2020) 105200.</w:t>
      </w:r>
      <w:r w:rsidR="00B049AA">
        <w:t xml:space="preserve"> </w:t>
      </w:r>
      <w:hyperlink r:id="rId49" w:history="1">
        <w:r w:rsidR="00B049AA" w:rsidRPr="004B0437">
          <w:rPr>
            <w:rStyle w:val="Hipervnculo"/>
          </w:rPr>
          <w:t>https://doi.org/10.1016/j.ejps.2019.105200</w:t>
        </w:r>
      </w:hyperlink>
      <w:r w:rsidR="00B049AA">
        <w:t xml:space="preserve"> </w:t>
      </w:r>
    </w:p>
    <w:p w14:paraId="3C5F655E" w14:textId="77777777" w:rsidR="004B0437" w:rsidRPr="004B0437" w:rsidRDefault="004B0437" w:rsidP="00B049AA">
      <w:pPr>
        <w:pStyle w:val="Body"/>
      </w:pPr>
      <w:r w:rsidRPr="004B0437">
        <w:t xml:space="preserve">34 Qingliang Y., Yingliang M., Jesse Z. </w:t>
      </w:r>
      <w:r w:rsidRPr="004B0437">
        <w:rPr>
          <w:b/>
          <w:bCs/>
        </w:rPr>
        <w:t>Dry powder coated osmotic drug delivery system</w:t>
      </w:r>
      <w:r w:rsidRPr="004B0437">
        <w:t>. European</w:t>
      </w:r>
      <w:r w:rsidR="00B049AA">
        <w:t xml:space="preserve"> </w:t>
      </w:r>
      <w:r w:rsidRPr="004B0437">
        <w:t xml:space="preserve">Journal of Pharmaceutical Sciences 111 (2018) 383–392. </w:t>
      </w:r>
      <w:hyperlink r:id="rId50" w:history="1">
        <w:r w:rsidRPr="004B0437">
          <w:rPr>
            <w:rStyle w:val="Hipervnculo"/>
          </w:rPr>
          <w:t>http://dx.doi.org/10.1016/j.ejps.2017.10.001</w:t>
        </w:r>
      </w:hyperlink>
    </w:p>
    <w:p w14:paraId="32C089E9" w14:textId="77777777" w:rsidR="004B0437" w:rsidRPr="004B0437" w:rsidRDefault="004B0437" w:rsidP="004B0437">
      <w:pPr>
        <w:pStyle w:val="Body"/>
        <w:spacing w:after="0"/>
      </w:pPr>
    </w:p>
    <w:p w14:paraId="1F77836B" w14:textId="77777777" w:rsidR="004D4277" w:rsidRPr="00FB3A86" w:rsidRDefault="004D4277" w:rsidP="00441B6F">
      <w:pPr>
        <w:pStyle w:val="Appendix"/>
        <w:spacing w:after="0"/>
        <w:jc w:val="both"/>
        <w:rPr>
          <w:rFonts w:ascii="Arial" w:hAnsi="Arial" w:cs="Arial"/>
          <w:b w:val="0"/>
        </w:rPr>
        <w:sectPr w:rsidR="004D4277" w:rsidRPr="00FB3A86" w:rsidSect="0006600E">
          <w:headerReference w:type="even" r:id="rId51"/>
          <w:headerReference w:type="default" r:id="rId52"/>
          <w:footerReference w:type="default" r:id="rId53"/>
          <w:headerReference w:type="first" r:id="rId54"/>
          <w:type w:val="continuous"/>
          <w:pgSz w:w="12240" w:h="15840"/>
          <w:pgMar w:top="1440" w:right="2016" w:bottom="2016" w:left="2016" w:header="720" w:footer="1123" w:gutter="0"/>
          <w:cols w:space="720"/>
          <w:docGrid w:linePitch="272"/>
        </w:sectPr>
      </w:pPr>
    </w:p>
    <w:p w14:paraId="46F95632" w14:textId="77777777" w:rsidR="00B01FCD" w:rsidRPr="00FB3A86" w:rsidRDefault="00B01FCD" w:rsidP="00441B6F">
      <w:pPr>
        <w:pStyle w:val="Appendix"/>
        <w:spacing w:after="0"/>
        <w:jc w:val="both"/>
        <w:rPr>
          <w:rFonts w:ascii="Arial" w:hAnsi="Arial" w:cs="Arial"/>
          <w:b w:val="0"/>
        </w:rPr>
      </w:pPr>
    </w:p>
    <w:sectPr w:rsidR="00B01FCD" w:rsidRPr="00FB3A86" w:rsidSect="0006600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C7E8A" w14:textId="77777777" w:rsidR="002451D6" w:rsidRDefault="002451D6" w:rsidP="00C37E61">
      <w:r>
        <w:separator/>
      </w:r>
    </w:p>
  </w:endnote>
  <w:endnote w:type="continuationSeparator" w:id="0">
    <w:p w14:paraId="553FBCDE" w14:textId="77777777" w:rsidR="002451D6" w:rsidRDefault="002451D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802BD" w14:textId="77777777" w:rsidR="0006600E" w:rsidRDefault="000660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011CA" w14:textId="77777777" w:rsidR="0006600E" w:rsidRDefault="0006600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9AA1C" w14:textId="6465A773" w:rsidR="00754C9A" w:rsidRPr="0006600E" w:rsidRDefault="00754C9A" w:rsidP="0006600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7C4C6" w14:textId="77777777" w:rsidR="00C37E61" w:rsidRPr="00C37E61" w:rsidRDefault="00C37E61"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D6618" w14:textId="77777777" w:rsidR="002451D6" w:rsidRDefault="002451D6" w:rsidP="00C37E61">
      <w:r>
        <w:separator/>
      </w:r>
    </w:p>
  </w:footnote>
  <w:footnote w:type="continuationSeparator" w:id="0">
    <w:p w14:paraId="4723E604" w14:textId="77777777" w:rsidR="002451D6" w:rsidRDefault="002451D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A244F" w14:textId="7CE453B0" w:rsidR="0006600E" w:rsidRDefault="002427B6">
    <w:pPr>
      <w:pStyle w:val="Encabezado"/>
    </w:pPr>
    <w:r>
      <w:rPr>
        <w:noProof/>
      </w:rPr>
      <w:pict w14:anchorId="3456B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F9F1E" w14:textId="3266D571" w:rsidR="0006600E" w:rsidRDefault="002427B6">
    <w:pPr>
      <w:pStyle w:val="Encabezado"/>
    </w:pPr>
    <w:r>
      <w:rPr>
        <w:noProof/>
      </w:rPr>
      <w:pict w14:anchorId="3DE91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FC7D7" w14:textId="15544617" w:rsidR="00296529" w:rsidRPr="00296529" w:rsidRDefault="002427B6" w:rsidP="00296529">
    <w:pPr>
      <w:ind w:left="2160"/>
      <w:jc w:val="center"/>
      <w:rPr>
        <w:rFonts w:ascii="Times New Roman" w:eastAsia="Calibri" w:hAnsi="Times New Roman"/>
        <w:i/>
        <w:sz w:val="18"/>
        <w:szCs w:val="22"/>
      </w:rPr>
    </w:pPr>
    <w:r>
      <w:rPr>
        <w:noProof/>
      </w:rPr>
      <w:pict w14:anchorId="430E4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D2424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452FA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40EFC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3C94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0C0EE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A4AE59" w14:textId="77777777" w:rsidR="00296529" w:rsidRDefault="00754C9A">
    <w:pPr>
      <w:pStyle w:val="Encabezad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DDF91" w14:textId="29117468" w:rsidR="0006600E" w:rsidRDefault="002427B6">
    <w:pPr>
      <w:pStyle w:val="Encabezado"/>
    </w:pPr>
    <w:r>
      <w:rPr>
        <w:noProof/>
      </w:rPr>
      <w:pict w14:anchorId="69241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1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E4353" w14:textId="23F7618A" w:rsidR="0006600E" w:rsidRDefault="002427B6">
    <w:pPr>
      <w:pStyle w:val="Encabezado"/>
    </w:pPr>
    <w:r>
      <w:rPr>
        <w:noProof/>
      </w:rPr>
      <w:pict w14:anchorId="273B2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1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515A" w14:textId="6A39C189" w:rsidR="0006600E" w:rsidRDefault="002427B6">
    <w:pPr>
      <w:pStyle w:val="Encabezado"/>
    </w:pPr>
    <w:r>
      <w:rPr>
        <w:noProof/>
      </w:rPr>
      <w:pict w14:anchorId="29382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8540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CC0C10"/>
    <w:multiLevelType w:val="hybridMultilevel"/>
    <w:tmpl w:val="B6D6B636"/>
    <w:lvl w:ilvl="0" w:tplc="D6B6B830">
      <w:start w:val="1"/>
      <w:numFmt w:val="lowerLetter"/>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2664528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83747299">
    <w:abstractNumId w:val="16"/>
  </w:num>
  <w:num w:numId="3" w16cid:durableId="379792556">
    <w:abstractNumId w:val="24"/>
  </w:num>
  <w:num w:numId="4" w16cid:durableId="134828710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8888101">
    <w:abstractNumId w:val="8"/>
  </w:num>
  <w:num w:numId="6" w16cid:durableId="1440295556">
    <w:abstractNumId w:val="6"/>
  </w:num>
  <w:num w:numId="7" w16cid:durableId="611859949">
    <w:abstractNumId w:val="1"/>
  </w:num>
  <w:num w:numId="8" w16cid:durableId="1128934536">
    <w:abstractNumId w:val="13"/>
  </w:num>
  <w:num w:numId="9" w16cid:durableId="1800954745">
    <w:abstractNumId w:val="26"/>
  </w:num>
  <w:num w:numId="10" w16cid:durableId="287397009">
    <w:abstractNumId w:val="2"/>
  </w:num>
  <w:num w:numId="11" w16cid:durableId="1242790252">
    <w:abstractNumId w:val="19"/>
  </w:num>
  <w:num w:numId="12" w16cid:durableId="147332821">
    <w:abstractNumId w:val="3"/>
  </w:num>
  <w:num w:numId="13" w16cid:durableId="1771465471">
    <w:abstractNumId w:val="18"/>
  </w:num>
  <w:num w:numId="14" w16cid:durableId="771441785">
    <w:abstractNumId w:val="9"/>
  </w:num>
  <w:num w:numId="15" w16cid:durableId="1351492556">
    <w:abstractNumId w:val="22"/>
  </w:num>
  <w:num w:numId="16" w16cid:durableId="1961915911">
    <w:abstractNumId w:val="5"/>
  </w:num>
  <w:num w:numId="17" w16cid:durableId="1937788589">
    <w:abstractNumId w:val="23"/>
  </w:num>
  <w:num w:numId="18" w16cid:durableId="1028263621">
    <w:abstractNumId w:val="15"/>
  </w:num>
  <w:num w:numId="19" w16cid:durableId="102697004">
    <w:abstractNumId w:val="29"/>
  </w:num>
  <w:num w:numId="20" w16cid:durableId="1588687380">
    <w:abstractNumId w:val="12"/>
  </w:num>
  <w:num w:numId="21" w16cid:durableId="1746879378">
    <w:abstractNumId w:val="10"/>
  </w:num>
  <w:num w:numId="22" w16cid:durableId="1636177567">
    <w:abstractNumId w:val="14"/>
  </w:num>
  <w:num w:numId="23" w16cid:durableId="1196044357">
    <w:abstractNumId w:val="20"/>
  </w:num>
  <w:num w:numId="24" w16cid:durableId="11152552">
    <w:abstractNumId w:val="27"/>
  </w:num>
  <w:num w:numId="25" w16cid:durableId="1109550505">
    <w:abstractNumId w:val="4"/>
  </w:num>
  <w:num w:numId="26" w16cid:durableId="1218274763">
    <w:abstractNumId w:val="17"/>
  </w:num>
  <w:num w:numId="27" w16cid:durableId="1496186939">
    <w:abstractNumId w:val="21"/>
  </w:num>
  <w:num w:numId="28" w16cid:durableId="182062221">
    <w:abstractNumId w:val="28"/>
  </w:num>
  <w:num w:numId="29" w16cid:durableId="937522454">
    <w:abstractNumId w:val="25"/>
  </w:num>
  <w:num w:numId="30" w16cid:durableId="926695682">
    <w:abstractNumId w:val="11"/>
  </w:num>
  <w:num w:numId="31" w16cid:durableId="18803903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600E"/>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7B6"/>
    <w:rsid w:val="0024282C"/>
    <w:rsid w:val="002451D6"/>
    <w:rsid w:val="002460DC"/>
    <w:rsid w:val="00250985"/>
    <w:rsid w:val="002556F6"/>
    <w:rsid w:val="00283105"/>
    <w:rsid w:val="00284C4C"/>
    <w:rsid w:val="00287E68"/>
    <w:rsid w:val="00296529"/>
    <w:rsid w:val="002B27FB"/>
    <w:rsid w:val="002B685A"/>
    <w:rsid w:val="002B7539"/>
    <w:rsid w:val="002C57D2"/>
    <w:rsid w:val="002E0D56"/>
    <w:rsid w:val="002F04F1"/>
    <w:rsid w:val="00315186"/>
    <w:rsid w:val="0033343E"/>
    <w:rsid w:val="003512C2"/>
    <w:rsid w:val="00363049"/>
    <w:rsid w:val="00371FB6"/>
    <w:rsid w:val="003763C1"/>
    <w:rsid w:val="00376BBE"/>
    <w:rsid w:val="0039224F"/>
    <w:rsid w:val="003A43A4"/>
    <w:rsid w:val="003A7E18"/>
    <w:rsid w:val="003C4C86"/>
    <w:rsid w:val="003C5DD4"/>
    <w:rsid w:val="003C6258"/>
    <w:rsid w:val="003E2904"/>
    <w:rsid w:val="00401927"/>
    <w:rsid w:val="0041027F"/>
    <w:rsid w:val="00412475"/>
    <w:rsid w:val="00423789"/>
    <w:rsid w:val="00440F43"/>
    <w:rsid w:val="00441B6F"/>
    <w:rsid w:val="0044454D"/>
    <w:rsid w:val="00446221"/>
    <w:rsid w:val="00450E62"/>
    <w:rsid w:val="004539DB"/>
    <w:rsid w:val="00471A80"/>
    <w:rsid w:val="0047301E"/>
    <w:rsid w:val="004B0437"/>
    <w:rsid w:val="004D305E"/>
    <w:rsid w:val="004D4277"/>
    <w:rsid w:val="00502516"/>
    <w:rsid w:val="00505F06"/>
    <w:rsid w:val="00506828"/>
    <w:rsid w:val="0053056E"/>
    <w:rsid w:val="0055111B"/>
    <w:rsid w:val="00554FDA"/>
    <w:rsid w:val="005C784C"/>
    <w:rsid w:val="005D17F6"/>
    <w:rsid w:val="005E1196"/>
    <w:rsid w:val="005E5539"/>
    <w:rsid w:val="00602BF5"/>
    <w:rsid w:val="00617FDD"/>
    <w:rsid w:val="00622E54"/>
    <w:rsid w:val="00633614"/>
    <w:rsid w:val="00633F68"/>
    <w:rsid w:val="00636EB2"/>
    <w:rsid w:val="006375B8"/>
    <w:rsid w:val="00654ED9"/>
    <w:rsid w:val="00661543"/>
    <w:rsid w:val="0066510A"/>
    <w:rsid w:val="0067096A"/>
    <w:rsid w:val="00673F9F"/>
    <w:rsid w:val="00686953"/>
    <w:rsid w:val="00687DEA"/>
    <w:rsid w:val="00687E67"/>
    <w:rsid w:val="006967F7"/>
    <w:rsid w:val="006A250C"/>
    <w:rsid w:val="006B21D3"/>
    <w:rsid w:val="006B57D0"/>
    <w:rsid w:val="006D30FF"/>
    <w:rsid w:val="006D6940"/>
    <w:rsid w:val="006E33C7"/>
    <w:rsid w:val="006F11EC"/>
    <w:rsid w:val="0070082C"/>
    <w:rsid w:val="007075DA"/>
    <w:rsid w:val="00710967"/>
    <w:rsid w:val="007369E6"/>
    <w:rsid w:val="0074055D"/>
    <w:rsid w:val="00746E59"/>
    <w:rsid w:val="00754C9A"/>
    <w:rsid w:val="0075599A"/>
    <w:rsid w:val="00761D52"/>
    <w:rsid w:val="0076579A"/>
    <w:rsid w:val="0077749E"/>
    <w:rsid w:val="00790ADA"/>
    <w:rsid w:val="007D2288"/>
    <w:rsid w:val="007E088F"/>
    <w:rsid w:val="007F7B32"/>
    <w:rsid w:val="00804BC2"/>
    <w:rsid w:val="0081431A"/>
    <w:rsid w:val="00831D22"/>
    <w:rsid w:val="0083216F"/>
    <w:rsid w:val="00860000"/>
    <w:rsid w:val="00863BD3"/>
    <w:rsid w:val="008641ED"/>
    <w:rsid w:val="00866D66"/>
    <w:rsid w:val="008671C6"/>
    <w:rsid w:val="00875803"/>
    <w:rsid w:val="008B459E"/>
    <w:rsid w:val="008E13AE"/>
    <w:rsid w:val="008E1506"/>
    <w:rsid w:val="008E289D"/>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049AA"/>
    <w:rsid w:val="00B1776C"/>
    <w:rsid w:val="00B52583"/>
    <w:rsid w:val="00B52896"/>
    <w:rsid w:val="00B63EFE"/>
    <w:rsid w:val="00B95236"/>
    <w:rsid w:val="00B96BD9"/>
    <w:rsid w:val="00BA0A8B"/>
    <w:rsid w:val="00BA1B01"/>
    <w:rsid w:val="00BA2641"/>
    <w:rsid w:val="00BB37AA"/>
    <w:rsid w:val="00BC53A0"/>
    <w:rsid w:val="00BE2ED3"/>
    <w:rsid w:val="00BE62AD"/>
    <w:rsid w:val="00BF121F"/>
    <w:rsid w:val="00BF1F80"/>
    <w:rsid w:val="00C166EF"/>
    <w:rsid w:val="00C17EB0"/>
    <w:rsid w:val="00C27F5F"/>
    <w:rsid w:val="00C30A0F"/>
    <w:rsid w:val="00C37E61"/>
    <w:rsid w:val="00C70F1B"/>
    <w:rsid w:val="00C71A47"/>
    <w:rsid w:val="00C7464C"/>
    <w:rsid w:val="00C85588"/>
    <w:rsid w:val="00CD030C"/>
    <w:rsid w:val="00CD6755"/>
    <w:rsid w:val="00CD6856"/>
    <w:rsid w:val="00CE0089"/>
    <w:rsid w:val="00CE793C"/>
    <w:rsid w:val="00CF193C"/>
    <w:rsid w:val="00CF243B"/>
    <w:rsid w:val="00D173F1"/>
    <w:rsid w:val="00D278E3"/>
    <w:rsid w:val="00D37A92"/>
    <w:rsid w:val="00D74CB0"/>
    <w:rsid w:val="00D8295D"/>
    <w:rsid w:val="00D92EE5"/>
    <w:rsid w:val="00DB4C68"/>
    <w:rsid w:val="00DC2A65"/>
    <w:rsid w:val="00DE15F0"/>
    <w:rsid w:val="00DE5663"/>
    <w:rsid w:val="00DE78AA"/>
    <w:rsid w:val="00E02A0A"/>
    <w:rsid w:val="00E053D0"/>
    <w:rsid w:val="00E128F8"/>
    <w:rsid w:val="00E15994"/>
    <w:rsid w:val="00E2764A"/>
    <w:rsid w:val="00E3114E"/>
    <w:rsid w:val="00E31A70"/>
    <w:rsid w:val="00E35B02"/>
    <w:rsid w:val="00E475F9"/>
    <w:rsid w:val="00E66496"/>
    <w:rsid w:val="00E66B35"/>
    <w:rsid w:val="00E66E10"/>
    <w:rsid w:val="00E769F6"/>
    <w:rsid w:val="00E8407C"/>
    <w:rsid w:val="00E84F3C"/>
    <w:rsid w:val="00EA012C"/>
    <w:rsid w:val="00EB300C"/>
    <w:rsid w:val="00EC5E89"/>
    <w:rsid w:val="00EC6A55"/>
    <w:rsid w:val="00ED0288"/>
    <w:rsid w:val="00EE52CB"/>
    <w:rsid w:val="00EF581D"/>
    <w:rsid w:val="00EF7FD8"/>
    <w:rsid w:val="00F0149F"/>
    <w:rsid w:val="00F06F59"/>
    <w:rsid w:val="00F17988"/>
    <w:rsid w:val="00F469F0"/>
    <w:rsid w:val="00F53273"/>
    <w:rsid w:val="00F755E4"/>
    <w:rsid w:val="00F77D02"/>
    <w:rsid w:val="00FB3A86"/>
    <w:rsid w:val="00FC1BBA"/>
    <w:rsid w:val="00FD36C8"/>
    <w:rsid w:val="00FE5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670D0C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HTMLconformatoprevio">
    <w:name w:val="HTML Preformatted"/>
    <w:basedOn w:val="Normal"/>
    <w:link w:val="HTMLconformatoprevioCar"/>
    <w:uiPriority w:val="99"/>
    <w:unhideWhenUsed/>
    <w:rsid w:val="00CF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CF243B"/>
    <w:rPr>
      <w:rFonts w:ascii="Courier New" w:hAnsi="Courier New" w:cs="Courier New"/>
      <w:lang w:val="es-MX" w:eastAsia="es-MX"/>
    </w:rPr>
  </w:style>
  <w:style w:type="table" w:styleId="Tabladelista4-nfasis1">
    <w:name w:val="List Table 4 Accent 1"/>
    <w:basedOn w:val="Tablanormal"/>
    <w:uiPriority w:val="49"/>
    <w:rsid w:val="00CF243B"/>
    <w:rPr>
      <w:rFonts w:asciiTheme="minorHAnsi" w:eastAsiaTheme="minorHAnsi" w:hAnsiTheme="minorHAnsi" w:cstheme="minorBidi"/>
      <w:sz w:val="22"/>
      <w:szCs w:val="22"/>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CF243B"/>
    <w:rPr>
      <w:rFonts w:asciiTheme="minorHAnsi" w:eastAsiaTheme="minorHAnsi" w:hAnsiTheme="minorHAnsi" w:cstheme="minorBidi"/>
      <w:sz w:val="22"/>
      <w:szCs w:val="22"/>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extonotaalfinal">
    <w:name w:val="endnote text"/>
    <w:basedOn w:val="Normal"/>
    <w:link w:val="TextonotaalfinalCar"/>
    <w:uiPriority w:val="99"/>
    <w:semiHidden/>
    <w:unhideWhenUsed/>
    <w:rsid w:val="00CF243B"/>
    <w:pPr>
      <w:jc w:val="both"/>
    </w:pPr>
    <w:rPr>
      <w:rFonts w:ascii="Arial" w:eastAsiaTheme="minorHAnsi" w:hAnsi="Arial" w:cstheme="minorBidi"/>
      <w:lang w:val="es-MX"/>
    </w:rPr>
  </w:style>
  <w:style w:type="character" w:customStyle="1" w:styleId="TextonotaalfinalCar">
    <w:name w:val="Texto nota al final Car"/>
    <w:basedOn w:val="Fuentedeprrafopredeter"/>
    <w:link w:val="Textonotaalfinal"/>
    <w:uiPriority w:val="99"/>
    <w:semiHidden/>
    <w:rsid w:val="00CF243B"/>
    <w:rPr>
      <w:rFonts w:ascii="Arial" w:eastAsiaTheme="minorHAnsi" w:hAnsi="Arial" w:cstheme="minorBidi"/>
      <w:lang w:val="es-MX"/>
    </w:rPr>
  </w:style>
  <w:style w:type="paragraph" w:styleId="Prrafodelista">
    <w:name w:val="List Paragraph"/>
    <w:basedOn w:val="Normal"/>
    <w:uiPriority w:val="34"/>
    <w:qFormat/>
    <w:rsid w:val="00CF243B"/>
    <w:pPr>
      <w:spacing w:line="360" w:lineRule="auto"/>
      <w:ind w:left="720"/>
      <w:contextualSpacing/>
      <w:jc w:val="both"/>
    </w:pPr>
    <w:rPr>
      <w:rFonts w:ascii="Arial" w:eastAsiaTheme="minorHAnsi" w:hAnsi="Arial" w:cstheme="minorBid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doi.org/10.1016/j.aca.2021.338361" TargetMode="External"/><Relationship Id="rId21" Type="http://schemas.openxmlformats.org/officeDocument/2006/relationships/image" Target="media/image8.png"/><Relationship Id="rId34" Type="http://schemas.openxmlformats.org/officeDocument/2006/relationships/hyperlink" Target="https://www.futuremarketinsights.com/reports/osmotic-pumps-market" TargetMode="External"/><Relationship Id="rId42" Type="http://schemas.openxmlformats.org/officeDocument/2006/relationships/hyperlink" Target="https://doi.org/10.1080/03639045.2020.1821047" TargetMode="External"/><Relationship Id="rId47" Type="http://schemas.openxmlformats.org/officeDocument/2006/relationships/hyperlink" Target="https://doi.org/10.1016/j.ijpharm.2024.124316" TargetMode="External"/><Relationship Id="rId50" Type="http://schemas.openxmlformats.org/officeDocument/2006/relationships/hyperlink" Target="http://dx.doi.org/10.1016/j.ejps.2017.10.001"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2.bin"/><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doi.org/10.21149/16209" TargetMode="External"/><Relationship Id="rId37" Type="http://schemas.openxmlformats.org/officeDocument/2006/relationships/hyperlink" Target="https://doi.org/10.1016/j.ijpharm.2014.03.002" TargetMode="External"/><Relationship Id="rId40" Type="http://schemas.openxmlformats.org/officeDocument/2006/relationships/hyperlink" Target="https://doi.org/10.1007/s41664-024-00327-w" TargetMode="External"/><Relationship Id="rId45" Type="http://schemas.openxmlformats.org/officeDocument/2006/relationships/hyperlink" Target="https://doi.org/10.1016/j.jddst.2018.11.005"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oleObject" Target="embeddings/oleObject3.bin"/><Relationship Id="rId44" Type="http://schemas.openxmlformats.org/officeDocument/2006/relationships/hyperlink" Target="https://doi.org/10.1080/03639045.2020.1821047"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doi.org/10.3390/ph15111430" TargetMode="External"/><Relationship Id="rId43" Type="http://schemas.openxmlformats.org/officeDocument/2006/relationships/hyperlink" Target="https://doi.org/10.1007/s12247-021-09562-5" TargetMode="External"/><Relationship Id="rId48" Type="http://schemas.openxmlformats.org/officeDocument/2006/relationships/hyperlink" Target="https://doi.org/10.1016/j.jddst.2020.102054"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joslin.org/news-stories/all-newsstories/" TargetMode="External"/><Relationship Id="rId38" Type="http://schemas.openxmlformats.org/officeDocument/2006/relationships/hyperlink" Target="https://doi.org/10.1021/acs.molpharmaceut.2c00983" TargetMode="External"/><Relationship Id="rId46" Type="http://schemas.openxmlformats.org/officeDocument/2006/relationships/hyperlink" Target="https://doi.org/10.1016/j.ejpb.2021.03.014" TargetMode="External"/><Relationship Id="rId20" Type="http://schemas.openxmlformats.org/officeDocument/2006/relationships/image" Target="media/image7.jpeg"/><Relationship Id="rId41" Type="http://schemas.openxmlformats.org/officeDocument/2006/relationships/hyperlink" Target="https://doi.org/10.1016/j.ijpharm.2022.122100"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1.bin"/><Relationship Id="rId28" Type="http://schemas.openxmlformats.org/officeDocument/2006/relationships/image" Target="media/image14.png"/><Relationship Id="rId36" Type="http://schemas.openxmlformats.org/officeDocument/2006/relationships/hyperlink" Target="https://doi.org/10.1016/j.jddst.2020.102054" TargetMode="External"/><Relationship Id="rId49" Type="http://schemas.openxmlformats.org/officeDocument/2006/relationships/hyperlink" Target="https://doi.org/10.1016/j.ejps.2019.1052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81D2E-84AD-4107-8493-CD0ECE5C3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18</Pages>
  <Words>6051</Words>
  <Characters>33284</Characters>
  <Application>Microsoft Office Word</Application>
  <DocSecurity>0</DocSecurity>
  <Lines>277</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39257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HERNANDEZ BALTAZAR EFREN</cp:lastModifiedBy>
  <cp:revision>3</cp:revision>
  <cp:lastPrinted>1999-07-06T11:00:00Z</cp:lastPrinted>
  <dcterms:created xsi:type="dcterms:W3CDTF">2025-05-27T02:40:00Z</dcterms:created>
  <dcterms:modified xsi:type="dcterms:W3CDTF">2025-05-27T02:40:00Z</dcterms:modified>
</cp:coreProperties>
</file>