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A6CE" w14:textId="77777777" w:rsidR="00C84147" w:rsidRPr="0012686E" w:rsidRDefault="00C84147" w:rsidP="0012686E">
      <w:pPr>
        <w:jc w:val="both"/>
        <w:rPr>
          <w:rFonts w:ascii="Times New Roman" w:hAnsi="Times New Roman" w:cs="Times New Roman"/>
          <w:b/>
          <w:sz w:val="24"/>
          <w:szCs w:val="24"/>
        </w:rPr>
      </w:pPr>
      <w:r w:rsidRPr="0012686E">
        <w:rPr>
          <w:rFonts w:ascii="Times New Roman" w:hAnsi="Times New Roman" w:cs="Times New Roman"/>
          <w:b/>
          <w:sz w:val="24"/>
          <w:szCs w:val="24"/>
        </w:rPr>
        <w:t xml:space="preserve">Antibiotic Susceptibilities of Two Multidrug Resistant </w:t>
      </w:r>
      <w:r w:rsidRPr="0012686E">
        <w:rPr>
          <w:rFonts w:ascii="Times New Roman" w:hAnsi="Times New Roman" w:cs="Times New Roman"/>
          <w:b/>
          <w:i/>
          <w:sz w:val="24"/>
          <w:szCs w:val="24"/>
        </w:rPr>
        <w:t>Acinetobacter</w:t>
      </w:r>
      <w:r w:rsidRPr="0012686E">
        <w:rPr>
          <w:rFonts w:ascii="Times New Roman" w:hAnsi="Times New Roman" w:cs="Times New Roman"/>
          <w:b/>
          <w:sz w:val="24"/>
          <w:szCs w:val="24"/>
        </w:rPr>
        <w:t xml:space="preserve"> </w:t>
      </w:r>
      <w:r w:rsidRPr="0012686E">
        <w:rPr>
          <w:rFonts w:ascii="Times New Roman" w:hAnsi="Times New Roman" w:cs="Times New Roman"/>
          <w:b/>
          <w:i/>
          <w:sz w:val="24"/>
          <w:szCs w:val="24"/>
        </w:rPr>
        <w:t>species</w:t>
      </w:r>
      <w:r w:rsidRPr="0012686E">
        <w:rPr>
          <w:rFonts w:ascii="Times New Roman" w:hAnsi="Times New Roman" w:cs="Times New Roman"/>
          <w:b/>
          <w:sz w:val="24"/>
          <w:szCs w:val="24"/>
        </w:rPr>
        <w:t xml:space="preserve"> Clinical Strains Showed Significant Variation to Amoxicillin Resistance and Susceptibilities to Quinolones </w:t>
      </w:r>
    </w:p>
    <w:p w14:paraId="73C7523E" w14:textId="77777777" w:rsidR="008419F2" w:rsidRDefault="008419F2" w:rsidP="0012686E">
      <w:pPr>
        <w:jc w:val="both"/>
        <w:rPr>
          <w:rFonts w:ascii="Times New Roman" w:hAnsi="Times New Roman" w:cs="Times New Roman"/>
          <w:b/>
          <w:sz w:val="24"/>
          <w:szCs w:val="24"/>
        </w:rPr>
      </w:pPr>
    </w:p>
    <w:p w14:paraId="1A56F85A" w14:textId="3A91506E" w:rsidR="00C84147" w:rsidRPr="0012686E" w:rsidRDefault="00C84147" w:rsidP="0012686E">
      <w:pPr>
        <w:jc w:val="both"/>
        <w:rPr>
          <w:rFonts w:ascii="Times New Roman" w:hAnsi="Times New Roman" w:cs="Times New Roman"/>
          <w:b/>
          <w:sz w:val="24"/>
          <w:szCs w:val="24"/>
        </w:rPr>
      </w:pPr>
      <w:r w:rsidRPr="0012686E">
        <w:rPr>
          <w:rFonts w:ascii="Times New Roman" w:hAnsi="Times New Roman" w:cs="Times New Roman"/>
          <w:b/>
          <w:sz w:val="24"/>
          <w:szCs w:val="24"/>
        </w:rPr>
        <w:t>Abstract</w:t>
      </w:r>
    </w:p>
    <w:p w14:paraId="1582646C" w14:textId="77777777" w:rsidR="00C84147" w:rsidRPr="0012686E" w:rsidRDefault="00C84147" w:rsidP="0012686E">
      <w:pPr>
        <w:jc w:val="both"/>
        <w:rPr>
          <w:rFonts w:ascii="Times New Roman" w:hAnsi="Times New Roman" w:cs="Times New Roman"/>
          <w:sz w:val="24"/>
          <w:szCs w:val="24"/>
        </w:rPr>
      </w:pP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species is now considered among the three most important nosocomial bacterial pathogens worldwide.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species possess an inherent capacity to withstand environmental stress and the bacterium pathobiology is complicated with limited therapeutic options available for its treatment due to widespread resistance to antimicrobials of different classes. A total of 75 swabbed surfaces at the nurses’ station paediatric surgical ward ATBUTH were examined for Acinetobacter species and the susceptibility to antibiotics of the isolates investigated.  A low prevalence 2.67% (2/75) was obtained.</w:t>
      </w:r>
      <w:r w:rsidR="00EC57B7" w:rsidRPr="0012686E">
        <w:rPr>
          <w:rFonts w:ascii="Times New Roman" w:hAnsi="Times New Roman" w:cs="Times New Roman"/>
          <w:sz w:val="24"/>
          <w:szCs w:val="24"/>
        </w:rPr>
        <w:t xml:space="preserve"> </w:t>
      </w:r>
      <w:r w:rsidRPr="0012686E">
        <w:rPr>
          <w:rFonts w:ascii="Times New Roman" w:hAnsi="Times New Roman" w:cs="Times New Roman"/>
          <w:sz w:val="24"/>
          <w:szCs w:val="24"/>
        </w:rPr>
        <w:t xml:space="preserve">The isolates were completely resistant to three of the 10 antibiotics tested </w:t>
      </w:r>
      <w:r w:rsidRPr="0025643A">
        <w:rPr>
          <w:rFonts w:ascii="Times New Roman" w:hAnsi="Times New Roman" w:cs="Times New Roman"/>
          <w:sz w:val="24"/>
          <w:szCs w:val="24"/>
          <w:highlight w:val="yellow"/>
        </w:rPr>
        <w:t>namely: chloramphenicol, augmentin (ampicillin + sulbactam) and amoxicillin and wholly susceptible to five of the 10 antibiotics tested: septrin (sulfamethaxozole + trimethoprim), sparfloxacin, perfloxacin, ofloxacin and streptomycin. The zone of inhibition of the isolates differ significantly</w:t>
      </w:r>
      <w:r w:rsidRPr="0012686E">
        <w:rPr>
          <w:rFonts w:ascii="Times New Roman" w:hAnsi="Times New Roman" w:cs="Times New Roman"/>
          <w:sz w:val="24"/>
          <w:szCs w:val="24"/>
        </w:rPr>
        <w:t xml:space="preserve"> with four of the antibiotics tested; ofloxacin (p&lt;0.01), streptomycin (p&lt;0.04), gentamicin (p&lt;0.002) and amoxicillin (p&lt;0.005). The study showed strains of </w:t>
      </w:r>
      <w:r w:rsidRPr="0012686E">
        <w:rPr>
          <w:rFonts w:ascii="Times New Roman" w:hAnsi="Times New Roman" w:cs="Times New Roman"/>
          <w:i/>
          <w:sz w:val="24"/>
          <w:szCs w:val="24"/>
        </w:rPr>
        <w:t xml:space="preserve">Acinetobacter </w:t>
      </w:r>
      <w:r w:rsidRPr="0012686E">
        <w:rPr>
          <w:rFonts w:ascii="Times New Roman" w:hAnsi="Times New Roman" w:cs="Times New Roman"/>
          <w:sz w:val="24"/>
          <w:szCs w:val="24"/>
        </w:rPr>
        <w:t xml:space="preserve">species even though β-Lactam resistant could vary in the degree of resistance to β-Lactam antibiotics evident with significant difference in zone of inhibitions and high susceptibilities to quinolones antibiotics of the strains. Further work will determine whether strains are clonal and whether the </w:t>
      </w:r>
      <w:r w:rsidRPr="0025643A">
        <w:rPr>
          <w:rFonts w:ascii="Times New Roman" w:hAnsi="Times New Roman" w:cs="Times New Roman"/>
          <w:sz w:val="24"/>
          <w:szCs w:val="24"/>
          <w:highlight w:val="yellow"/>
        </w:rPr>
        <w:t>determinant and expression of β-Lactam resistance are the same in those strains background, as well as if the different susceptibilities to β-Lactam as shown by zone of diffusion will translate to dif</w:t>
      </w:r>
      <w:r w:rsidRPr="0012686E">
        <w:rPr>
          <w:rFonts w:ascii="Times New Roman" w:hAnsi="Times New Roman" w:cs="Times New Roman"/>
          <w:sz w:val="24"/>
          <w:szCs w:val="24"/>
        </w:rPr>
        <w:t>ferent MIC values, and if whether such resistance determinants do not encode quinolone resistance.</w:t>
      </w:r>
    </w:p>
    <w:p w14:paraId="465340E6" w14:textId="77777777" w:rsidR="00866462" w:rsidRPr="0012686E" w:rsidRDefault="00C84147" w:rsidP="0012686E">
      <w:pPr>
        <w:jc w:val="both"/>
        <w:rPr>
          <w:rFonts w:ascii="Times New Roman" w:hAnsi="Times New Roman" w:cs="Times New Roman"/>
          <w:sz w:val="24"/>
          <w:szCs w:val="24"/>
        </w:rPr>
      </w:pPr>
      <w:r w:rsidRPr="0012686E">
        <w:rPr>
          <w:rFonts w:ascii="Times New Roman" w:hAnsi="Times New Roman" w:cs="Times New Roman"/>
          <w:b/>
          <w:sz w:val="24"/>
          <w:szCs w:val="24"/>
        </w:rPr>
        <w:t>Keywords</w:t>
      </w:r>
      <w:r w:rsidRPr="0012686E">
        <w:rPr>
          <w:rFonts w:ascii="Times New Roman" w:hAnsi="Times New Roman" w:cs="Times New Roman"/>
          <w:sz w:val="24"/>
          <w:szCs w:val="24"/>
        </w:rPr>
        <w:t xml:space="preserve">: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β-Lactam, Carbapenems, Quinolones, Multidrug Resistance, Nosocomial pathogens</w:t>
      </w:r>
    </w:p>
    <w:p w14:paraId="02EDA434" w14:textId="77777777" w:rsidR="00C84147" w:rsidRPr="0012686E" w:rsidRDefault="00C84147" w:rsidP="0012686E">
      <w:pPr>
        <w:jc w:val="both"/>
        <w:rPr>
          <w:rFonts w:ascii="Times New Roman" w:hAnsi="Times New Roman" w:cs="Times New Roman"/>
          <w:b/>
          <w:sz w:val="24"/>
          <w:szCs w:val="24"/>
        </w:rPr>
      </w:pPr>
      <w:r w:rsidRPr="0012686E">
        <w:rPr>
          <w:rFonts w:ascii="Times New Roman" w:hAnsi="Times New Roman" w:cs="Times New Roman"/>
          <w:b/>
          <w:sz w:val="24"/>
          <w:szCs w:val="24"/>
        </w:rPr>
        <w:t>INTRODUCTION</w:t>
      </w:r>
    </w:p>
    <w:p w14:paraId="71C120E6" w14:textId="77777777" w:rsidR="00FA015E" w:rsidRPr="00FA015E" w:rsidRDefault="00FA015E" w:rsidP="0012686E">
      <w:pPr>
        <w:spacing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is a genus of gram-negative bacteria belonging to the γ-proteobacteria family. </w:t>
      </w:r>
      <w:r w:rsidRPr="00FA015E">
        <w:rPr>
          <w:rFonts w:ascii="Times New Roman" w:eastAsia="Times New Roman" w:hAnsi="Times New Roman" w:cs="Times New Roman"/>
          <w:i/>
          <w:iCs/>
          <w:color w:val="000000"/>
          <w:sz w:val="24"/>
          <w:szCs w:val="24"/>
        </w:rPr>
        <w:t xml:space="preserve">Acinetobacter </w:t>
      </w:r>
      <w:r w:rsidRPr="00FA015E">
        <w:rPr>
          <w:rFonts w:ascii="Times New Roman" w:eastAsia="Times New Roman" w:hAnsi="Times New Roman" w:cs="Times New Roman"/>
          <w:color w:val="000000"/>
          <w:sz w:val="24"/>
          <w:szCs w:val="24"/>
        </w:rPr>
        <w:t xml:space="preserve">species are coccobacillus, non-motile, non-fermentative, oxidase negative occurring in in pairs on microscopy. Several species of the genus are found in the environment but the clinical relevant species globally is </w:t>
      </w:r>
      <w:r w:rsidRPr="00FA015E">
        <w:rPr>
          <w:rFonts w:ascii="Times New Roman" w:eastAsia="Times New Roman" w:hAnsi="Times New Roman" w:cs="Times New Roman"/>
          <w:i/>
          <w:iCs/>
          <w:color w:val="000000"/>
          <w:sz w:val="24"/>
          <w:szCs w:val="24"/>
        </w:rPr>
        <w:t>Acinetobacter baumanii</w:t>
      </w:r>
      <w:r w:rsidRPr="00FA015E">
        <w:rPr>
          <w:rFonts w:ascii="Times New Roman" w:eastAsia="Times New Roman" w:hAnsi="Times New Roman" w:cs="Times New Roman"/>
          <w:color w:val="000000"/>
          <w:sz w:val="24"/>
          <w:szCs w:val="24"/>
        </w:rPr>
        <w:t xml:space="preserve">.  </w:t>
      </w:r>
      <w:r w:rsidRPr="00FA015E">
        <w:rPr>
          <w:rFonts w:ascii="Times New Roman" w:eastAsia="Times New Roman" w:hAnsi="Times New Roman" w:cs="Times New Roman"/>
          <w:i/>
          <w:iCs/>
          <w:color w:val="000000"/>
          <w:sz w:val="24"/>
          <w:szCs w:val="24"/>
        </w:rPr>
        <w:t>A. baumanii</w:t>
      </w:r>
      <w:r w:rsidRPr="00FA015E">
        <w:rPr>
          <w:rFonts w:ascii="Times New Roman" w:eastAsia="Times New Roman" w:hAnsi="Times New Roman" w:cs="Times New Roman"/>
          <w:color w:val="000000"/>
          <w:sz w:val="24"/>
          <w:szCs w:val="24"/>
        </w:rPr>
        <w:t xml:space="preserve"> is considered as the second most important nosocomial pathogen </w:t>
      </w:r>
      <w:r w:rsidRPr="0025643A">
        <w:rPr>
          <w:rFonts w:ascii="Times New Roman" w:eastAsia="Times New Roman" w:hAnsi="Times New Roman" w:cs="Times New Roman"/>
          <w:color w:val="000000"/>
          <w:sz w:val="24"/>
          <w:szCs w:val="24"/>
          <w:highlight w:val="yellow"/>
        </w:rPr>
        <w:t xml:space="preserve">worldwide after </w:t>
      </w:r>
      <w:r w:rsidRPr="0025643A">
        <w:rPr>
          <w:rFonts w:ascii="Times New Roman" w:eastAsia="Times New Roman" w:hAnsi="Times New Roman" w:cs="Times New Roman"/>
          <w:i/>
          <w:iCs/>
          <w:color w:val="000000"/>
          <w:sz w:val="24"/>
          <w:szCs w:val="24"/>
          <w:highlight w:val="yellow"/>
        </w:rPr>
        <w:t>Pseudomonas aeruginosa</w:t>
      </w:r>
      <w:r w:rsidRPr="0025643A">
        <w:rPr>
          <w:rFonts w:ascii="Times New Roman" w:eastAsia="Times New Roman" w:hAnsi="Times New Roman" w:cs="Times New Roman"/>
          <w:color w:val="000000"/>
          <w:sz w:val="24"/>
          <w:szCs w:val="24"/>
          <w:highlight w:val="yellow"/>
        </w:rPr>
        <w:t xml:space="preserve"> among aerobic gram- negative pathogens, the bacterium is responsible for outbreaks of hospital infections. </w:t>
      </w:r>
      <w:r w:rsidRPr="0025643A">
        <w:rPr>
          <w:rFonts w:ascii="Times New Roman" w:eastAsia="Times New Roman" w:hAnsi="Times New Roman" w:cs="Times New Roman"/>
          <w:i/>
          <w:iCs/>
          <w:color w:val="000000"/>
          <w:sz w:val="24"/>
          <w:szCs w:val="24"/>
          <w:highlight w:val="yellow"/>
        </w:rPr>
        <w:t>A baumanii</w:t>
      </w:r>
      <w:r w:rsidRPr="0025643A">
        <w:rPr>
          <w:rFonts w:ascii="Times New Roman" w:eastAsia="Times New Roman" w:hAnsi="Times New Roman" w:cs="Times New Roman"/>
          <w:color w:val="000000"/>
          <w:sz w:val="24"/>
          <w:szCs w:val="24"/>
          <w:highlight w:val="yellow"/>
        </w:rPr>
        <w:t xml:space="preserve"> is a key source of infections in debilitated</w:t>
      </w:r>
      <w:r w:rsidRPr="00FA015E">
        <w:rPr>
          <w:rFonts w:ascii="Times New Roman" w:eastAsia="Times New Roman" w:hAnsi="Times New Roman" w:cs="Times New Roman"/>
          <w:color w:val="000000"/>
          <w:sz w:val="24"/>
          <w:szCs w:val="24"/>
        </w:rPr>
        <w:t xml:space="preserve"> patients in the hospital and the etiological agents of respiratory and urinary tract infections, meningitis, endocarditis, burn infections and wound sepsis especially in intensive care units (ICUs).</w:t>
      </w:r>
      <w:hyperlink r:id="rId7" w:history="1">
        <w:r w:rsidRPr="0012686E">
          <w:rPr>
            <w:rFonts w:ascii="Times New Roman" w:eastAsia="Times New Roman" w:hAnsi="Times New Roman" w:cs="Times New Roman"/>
            <w:color w:val="000000"/>
            <w:sz w:val="24"/>
            <w:szCs w:val="24"/>
          </w:rPr>
          <w:t>[1]</w:t>
        </w:r>
      </w:hyperlink>
      <w:r w:rsidRPr="00FA015E">
        <w:rPr>
          <w:rFonts w:ascii="Times New Roman" w:eastAsia="Times New Roman" w:hAnsi="Times New Roman" w:cs="Times New Roman"/>
          <w:color w:val="000000"/>
          <w:sz w:val="24"/>
          <w:szCs w:val="24"/>
        </w:rPr>
        <w:t xml:space="preserve"> Presently </w:t>
      </w:r>
      <w:r w:rsidR="007B2F6B" w:rsidRPr="0012686E">
        <w:rPr>
          <w:rFonts w:ascii="Times New Roman" w:eastAsia="Times New Roman" w:hAnsi="Times New Roman" w:cs="Times New Roman"/>
          <w:i/>
          <w:color w:val="000000"/>
          <w:sz w:val="24"/>
          <w:szCs w:val="24"/>
        </w:rPr>
        <w:t>Acinetobacter baummanii</w:t>
      </w:r>
      <w:r w:rsidRPr="00FA015E">
        <w:rPr>
          <w:rFonts w:ascii="Times New Roman" w:eastAsia="Times New Roman" w:hAnsi="Times New Roman" w:cs="Times New Roman"/>
          <w:color w:val="000000"/>
          <w:sz w:val="24"/>
          <w:szCs w:val="24"/>
        </w:rPr>
        <w:t xml:space="preserve">is recognized as the cause of the largest nosocomial outbreak  in history and some cases of community–acquired infection caused by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have been reported</w:t>
      </w:r>
      <w:hyperlink r:id="rId8" w:history="1">
        <w:r w:rsidRPr="0012686E">
          <w:rPr>
            <w:rFonts w:ascii="Times New Roman" w:eastAsia="Times New Roman" w:hAnsi="Times New Roman" w:cs="Times New Roman"/>
            <w:color w:val="000000"/>
            <w:sz w:val="24"/>
            <w:szCs w:val="24"/>
          </w:rPr>
          <w:t>[2]</w:t>
        </w:r>
      </w:hyperlink>
      <w:r w:rsidRPr="00FA015E">
        <w:rPr>
          <w:rFonts w:ascii="Times New Roman" w:eastAsia="Times New Roman" w:hAnsi="Times New Roman" w:cs="Times New Roman"/>
          <w:color w:val="000000"/>
          <w:sz w:val="24"/>
          <w:szCs w:val="24"/>
        </w:rPr>
        <w:t>.</w:t>
      </w:r>
    </w:p>
    <w:p w14:paraId="191818BC" w14:textId="77777777" w:rsidR="00FA015E" w:rsidRPr="00FA015E" w:rsidRDefault="00FA015E" w:rsidP="0012686E">
      <w:pPr>
        <w:spacing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lastRenderedPageBreak/>
        <w:t xml:space="preserve">Antibiotics are the drug of choice in combating bacterial infections. The treatment of </w:t>
      </w:r>
      <w:r w:rsidRPr="00FA015E">
        <w:rPr>
          <w:rFonts w:ascii="Times New Roman" w:eastAsia="Times New Roman" w:hAnsi="Times New Roman" w:cs="Times New Roman"/>
          <w:i/>
          <w:iCs/>
          <w:color w:val="000000"/>
          <w:sz w:val="24"/>
          <w:szCs w:val="24"/>
        </w:rPr>
        <w:t xml:space="preserve">A. baumanii </w:t>
      </w:r>
      <w:r w:rsidRPr="00FA015E">
        <w:rPr>
          <w:rFonts w:ascii="Times New Roman" w:eastAsia="Times New Roman" w:hAnsi="Times New Roman" w:cs="Times New Roman"/>
          <w:color w:val="000000"/>
          <w:sz w:val="24"/>
          <w:szCs w:val="24"/>
        </w:rPr>
        <w:t xml:space="preserve">infections in many centres worldwide is problematic due to widespread resistance to many antibiotics and disinfectants as a result of innate and </w:t>
      </w:r>
      <w:r w:rsidRPr="0025643A">
        <w:rPr>
          <w:rFonts w:ascii="Times New Roman" w:eastAsia="Times New Roman" w:hAnsi="Times New Roman" w:cs="Times New Roman"/>
          <w:color w:val="000000"/>
          <w:sz w:val="24"/>
          <w:szCs w:val="24"/>
          <w:highlight w:val="yellow"/>
        </w:rPr>
        <w:t>acquired resistance mechanisms</w:t>
      </w:r>
      <w:hyperlink r:id="rId9" w:history="1">
        <w:r w:rsidRPr="0025643A">
          <w:rPr>
            <w:rFonts w:ascii="Times New Roman" w:eastAsia="Times New Roman" w:hAnsi="Times New Roman" w:cs="Times New Roman"/>
            <w:color w:val="000000"/>
            <w:sz w:val="24"/>
            <w:szCs w:val="24"/>
            <w:highlight w:val="yellow"/>
          </w:rPr>
          <w:t>[3]</w:t>
        </w:r>
      </w:hyperlink>
      <w:r w:rsidRPr="0025643A">
        <w:rPr>
          <w:rFonts w:ascii="Times New Roman" w:eastAsia="Times New Roman" w:hAnsi="Times New Roman" w:cs="Times New Roman"/>
          <w:color w:val="000000"/>
          <w:sz w:val="24"/>
          <w:szCs w:val="24"/>
          <w:highlight w:val="yellow"/>
        </w:rPr>
        <w:t>. The widespread use of β-Lactam antibiotics class of antibiotics attributed to  its selective toxicity have been rendered useless by the acquisition of β-Lactam resista</w:t>
      </w:r>
      <w:r w:rsidRPr="00FA015E">
        <w:rPr>
          <w:rFonts w:ascii="Times New Roman" w:eastAsia="Times New Roman" w:hAnsi="Times New Roman" w:cs="Times New Roman"/>
          <w:color w:val="000000"/>
          <w:sz w:val="24"/>
          <w:szCs w:val="24"/>
        </w:rPr>
        <w:t>nce mediated by β-Lactamases express by many gram-negative pathogens</w:t>
      </w:r>
      <w:hyperlink r:id="rId10" w:history="1">
        <w:r w:rsidRPr="0012686E">
          <w:rPr>
            <w:rFonts w:ascii="Times New Roman" w:eastAsia="Times New Roman" w:hAnsi="Times New Roman" w:cs="Times New Roman"/>
            <w:color w:val="000000"/>
            <w:sz w:val="24"/>
            <w:szCs w:val="24"/>
          </w:rPr>
          <w:t>[4]</w:t>
        </w:r>
      </w:hyperlink>
      <w:r w:rsidRPr="00FA015E">
        <w:rPr>
          <w:rFonts w:ascii="Times New Roman" w:eastAsia="Times New Roman" w:hAnsi="Times New Roman" w:cs="Times New Roman"/>
          <w:color w:val="000000"/>
          <w:sz w:val="24"/>
          <w:szCs w:val="24"/>
        </w:rPr>
        <w:t>. Multidrug resistance in Gram negative bacteria including Acinetobacter species especially to β-Lactams antibiotics is commonly associated with the expression of β-Lactamases such as extended spectrum β-Lactamases (ESBLs) and metallo β-Lactamase (MBL). The ESBLs have evolved into the classical TEM- , SHV- and CTX-M- β-Lactamases with different affinities to cefotaxime , ceftazidine and other broad spectrum cephalosporins and monbactams.</w:t>
      </w:r>
      <w:hyperlink r:id="rId11" w:history="1">
        <w:r w:rsidRPr="0012686E">
          <w:rPr>
            <w:rFonts w:ascii="Times New Roman" w:eastAsia="Times New Roman" w:hAnsi="Times New Roman" w:cs="Times New Roman"/>
            <w:color w:val="000000"/>
            <w:sz w:val="24"/>
            <w:szCs w:val="24"/>
          </w:rPr>
          <w:t>[1]</w:t>
        </w:r>
      </w:hyperlink>
    </w:p>
    <w:p w14:paraId="4C79B48B"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 The limited therapeutic options available for the treatment of ESBLs-producing Enterobacteriaceace and other Gram negative bacteria  necessitated the introduction of carbapenems (such as imipenem and meropenem)  presently considered the drug of choice for the treatment of multidrug resistant gram negative pathogens, but increased resistance to carbapenems by  the emergence of carbepenems-hydrolyzing β-Lactamase of Amber class D β-Lactamases particularly the OXA-23 and OXA-58 </w:t>
      </w:r>
      <w:r w:rsidRPr="0025643A">
        <w:rPr>
          <w:rFonts w:ascii="Times New Roman" w:eastAsia="Times New Roman" w:hAnsi="Times New Roman" w:cs="Times New Roman"/>
          <w:color w:val="000000"/>
          <w:sz w:val="24"/>
          <w:szCs w:val="24"/>
          <w:highlight w:val="yellow"/>
        </w:rPr>
        <w:t>enzymes, OXA-40 enzyme and carbapenemase of molecular class B are now widespread</w:t>
      </w:r>
      <w:hyperlink r:id="rId12" w:history="1">
        <w:r w:rsidRPr="0025643A">
          <w:rPr>
            <w:rFonts w:ascii="Times New Roman" w:eastAsia="Times New Roman" w:hAnsi="Times New Roman" w:cs="Times New Roman"/>
            <w:color w:val="000000"/>
            <w:sz w:val="24"/>
            <w:szCs w:val="24"/>
            <w:highlight w:val="yellow"/>
          </w:rPr>
          <w:t>[5]</w:t>
        </w:r>
      </w:hyperlink>
      <w:r w:rsidRPr="0025643A">
        <w:rPr>
          <w:rFonts w:ascii="Times New Roman" w:eastAsia="Times New Roman" w:hAnsi="Times New Roman" w:cs="Times New Roman"/>
          <w:color w:val="000000"/>
          <w:sz w:val="24"/>
          <w:szCs w:val="24"/>
          <w:highlight w:val="yellow"/>
        </w:rPr>
        <w:t xml:space="preserve">. The study was carried out to investigate the prevalence of </w:t>
      </w:r>
      <w:r w:rsidRPr="0025643A">
        <w:rPr>
          <w:rFonts w:ascii="Times New Roman" w:eastAsia="Times New Roman" w:hAnsi="Times New Roman" w:cs="Times New Roman"/>
          <w:i/>
          <w:iCs/>
          <w:color w:val="000000"/>
          <w:sz w:val="24"/>
          <w:szCs w:val="24"/>
          <w:highlight w:val="yellow"/>
        </w:rPr>
        <w:t xml:space="preserve">Acinetobacter </w:t>
      </w:r>
      <w:r w:rsidRPr="0025643A">
        <w:rPr>
          <w:rFonts w:ascii="Times New Roman" w:eastAsia="Times New Roman" w:hAnsi="Times New Roman" w:cs="Times New Roman"/>
          <w:color w:val="000000"/>
          <w:sz w:val="24"/>
          <w:szCs w:val="24"/>
          <w:highlight w:val="yellow"/>
        </w:rPr>
        <w:t>species that may be incriminated in outbreaks and to suggest possible source and mode of transmission of the pathogen. We also</w:t>
      </w:r>
      <w:r w:rsidRPr="00FA015E">
        <w:rPr>
          <w:rFonts w:ascii="Times New Roman" w:eastAsia="Times New Roman" w:hAnsi="Times New Roman" w:cs="Times New Roman"/>
          <w:color w:val="000000"/>
          <w:sz w:val="24"/>
          <w:szCs w:val="24"/>
        </w:rPr>
        <w:t xml:space="preserve"> sought to know the degree of susceptibilities in a quantitative manner to different classes of antibiotics.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strains obtained showed significant difference to susceptibility to four antibiotics of the β-Lactam class, quinolone and aminoglycoside a further evidence of the use of any of these classes in combination therapy for the treatment of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infections.</w:t>
      </w:r>
    </w:p>
    <w:p w14:paraId="741026F0"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MATERIALS AND METHODS</w:t>
      </w:r>
    </w:p>
    <w:p w14:paraId="2AB2BB5A"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Specimens Collection</w:t>
      </w:r>
    </w:p>
    <w:p w14:paraId="25CA3068"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A total of 75 swabbed sample of surfaces that includes sink, examination bedrails, examination bedside, table, vital signs monitor equipment such as thermometers, blood pressure touch pads, ventilator adjustments knob, floor on both side of examination bed, tables, drawers handles at the nurses’ station of the Pediatric surgical ward Abubakar Tafawa Balewa University Teaching Hospital (ATBUTH), a 1000-bed tertiary hospital in Bauchi Bauchi State Nigeria. Samples were collected within a month (December, 2015). The areas sampled were cleaned regularly according to hospital directives and different disinfectants containing chlorhexidine- and quaternary ammonium compounds- containing agents were used at different times within the month of sampling. The efficacy of cleaning was not measured during the study. The study was approved by the ATBUTH Research and Ethics Committee (ATBUTH- REC) and was assigned ATBUTH-REC number 03/11/2015. After sampling, each swab was placed in 5ml cooked meat broth (Oxoid, UK), mixed by gentle shaking for approximately a minute and incubated overnight at 37</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C aerobically for 24h.</w:t>
      </w:r>
    </w:p>
    <w:p w14:paraId="58AFCEE9"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 xml:space="preserve">Isolation, Identification and Preservation of </w:t>
      </w:r>
      <w:r w:rsidRPr="00FA015E">
        <w:rPr>
          <w:rFonts w:ascii="Times New Roman" w:eastAsia="Times New Roman" w:hAnsi="Times New Roman" w:cs="Times New Roman"/>
          <w:b/>
          <w:bCs/>
          <w:i/>
          <w:iCs/>
          <w:color w:val="000000"/>
          <w:sz w:val="24"/>
          <w:szCs w:val="24"/>
        </w:rPr>
        <w:t xml:space="preserve">Acinetobacter </w:t>
      </w:r>
      <w:r w:rsidRPr="00FA015E">
        <w:rPr>
          <w:rFonts w:ascii="Times New Roman" w:eastAsia="Times New Roman" w:hAnsi="Times New Roman" w:cs="Times New Roman"/>
          <w:b/>
          <w:bCs/>
          <w:color w:val="000000"/>
          <w:sz w:val="24"/>
          <w:szCs w:val="24"/>
        </w:rPr>
        <w:t>Isolates</w:t>
      </w:r>
    </w:p>
    <w:p w14:paraId="6BA1A545"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lastRenderedPageBreak/>
        <w:t>The overnight cooked meat broth culture was rocked and 100µl of the broth inoculated on MacConkey agar (Fluka, Germany) and blood agar (5% v/v human blood in nutrient agar (Fluka,Germany) using the spread plating technique. Inoculated plates were incubated aerobically, at 37</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 xml:space="preserve">C for 24h. Isolates were identified as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on the basis of Gram stain reaction, morphology of culture on </w:t>
      </w:r>
      <w:r w:rsidRPr="0025643A">
        <w:rPr>
          <w:rFonts w:ascii="Times New Roman" w:eastAsia="Times New Roman" w:hAnsi="Times New Roman" w:cs="Times New Roman"/>
          <w:color w:val="000000"/>
          <w:sz w:val="24"/>
          <w:szCs w:val="24"/>
          <w:highlight w:val="yellow"/>
        </w:rPr>
        <w:t>microscopy after Gram stain, colonial morphology on human blood agar plates (5% v/v), biochemical tests such as catalase test, lactose fermentation, oxidase test and test for motility. Strains that were G</w:t>
      </w:r>
      <w:r w:rsidRPr="00FA015E">
        <w:rPr>
          <w:rFonts w:ascii="Times New Roman" w:eastAsia="Times New Roman" w:hAnsi="Times New Roman" w:cs="Times New Roman"/>
          <w:color w:val="000000"/>
          <w:sz w:val="24"/>
          <w:szCs w:val="24"/>
        </w:rPr>
        <w:t xml:space="preserve">ram negative, coccobacilli on microscopy, catalase positive, non-lactose fermenters, oxidase negative and non-motile were identified as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Identified strains were streaked to purity unto blood agar (5% human blood in nutrient agar) plates, discrete colony for each strain picked and sub-cultured separately unto sterile nutrient agar slants, strains were labeled MM1_15 and MM2_15 accordingly and preserved in 4</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C refrigerator for further used.</w:t>
      </w:r>
    </w:p>
    <w:p w14:paraId="334E4619" w14:textId="77777777"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Determination of Antibiotic Susceptibilities</w:t>
      </w:r>
    </w:p>
    <w:p w14:paraId="5CE3F4A3" w14:textId="05082CEF" w:rsidR="00FA015E" w:rsidRPr="00FA015E" w:rsidRDefault="00FA015E" w:rsidP="0012686E">
      <w:pPr>
        <w:spacing w:before="240" w:after="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Antibiotic susceptibilities of the isolates were determined with a disc diffusion method. Discrete colonies from an overnight (O/N) culture plate were picked emulsified in 3ml normal saline (saline at physiological concentration- 0.85% w/v), and the inoculum density standardized with Densi-Chek™ (Biomeriux-SA France) to be equivalent to 0.5 McFarland standard. A sterile swab stick was</w:t>
      </w:r>
      <w:r w:rsidRPr="00FA015E">
        <w:rPr>
          <w:rFonts w:ascii="Times New Roman" w:eastAsia="Times New Roman" w:hAnsi="Times New Roman" w:cs="Times New Roman"/>
          <w:b/>
          <w:bCs/>
          <w:color w:val="000000"/>
          <w:sz w:val="24"/>
          <w:szCs w:val="24"/>
        </w:rPr>
        <w:t xml:space="preserve"> </w:t>
      </w:r>
      <w:r w:rsidRPr="00FA015E">
        <w:rPr>
          <w:rFonts w:ascii="Times New Roman" w:eastAsia="Times New Roman" w:hAnsi="Times New Roman" w:cs="Times New Roman"/>
          <w:color w:val="000000"/>
          <w:sz w:val="24"/>
          <w:szCs w:val="24"/>
        </w:rPr>
        <w:t>dipped into the inoculum suspension, drained of excess moisture by pressing against the wall of the test tube and used to inoculate the surface of Mueller-Hinton agar (Fluka, Germany) plates poured to uniform depth, to obtain a confluent growth. Commercially prepared antibiotic impregnated discs (Optudisc™, Optun</w:t>
      </w:r>
      <w:r w:rsidR="0025643A">
        <w:rPr>
          <w:rFonts w:ascii="Times New Roman" w:eastAsia="Times New Roman" w:hAnsi="Times New Roman" w:cs="Times New Roman"/>
          <w:color w:val="000000"/>
          <w:sz w:val="24"/>
          <w:szCs w:val="24"/>
        </w:rPr>
        <w:t xml:space="preserve"> </w:t>
      </w:r>
      <w:r w:rsidRPr="00FA015E">
        <w:rPr>
          <w:rFonts w:ascii="Times New Roman" w:eastAsia="Times New Roman" w:hAnsi="Times New Roman" w:cs="Times New Roman"/>
          <w:color w:val="000000"/>
          <w:sz w:val="24"/>
          <w:szCs w:val="24"/>
        </w:rPr>
        <w:t>Laboratory, Nigeria) were placed on the lawn culture, allowed to stand for five minutes on the bench. The plates were then incubated aerobically at 37</w:t>
      </w:r>
      <w:r w:rsidRPr="00FA015E">
        <w:rPr>
          <w:rFonts w:ascii="Times New Roman" w:eastAsia="Times New Roman" w:hAnsi="Times New Roman" w:cs="Times New Roman"/>
          <w:color w:val="000000"/>
          <w:sz w:val="24"/>
          <w:szCs w:val="24"/>
          <w:vertAlign w:val="superscript"/>
        </w:rPr>
        <w:t>o</w:t>
      </w:r>
      <w:r w:rsidRPr="00FA015E">
        <w:rPr>
          <w:rFonts w:ascii="Times New Roman" w:eastAsia="Times New Roman" w:hAnsi="Times New Roman" w:cs="Times New Roman"/>
          <w:color w:val="000000"/>
          <w:sz w:val="24"/>
          <w:szCs w:val="24"/>
        </w:rPr>
        <w:t xml:space="preserve">C for 24h. Zone of inhibitions (ZoI) were </w:t>
      </w:r>
      <w:r w:rsidRPr="0025643A">
        <w:rPr>
          <w:rFonts w:ascii="Times New Roman" w:eastAsia="Times New Roman" w:hAnsi="Times New Roman" w:cs="Times New Roman"/>
          <w:color w:val="000000"/>
          <w:sz w:val="24"/>
          <w:szCs w:val="24"/>
          <w:highlight w:val="yellow"/>
        </w:rPr>
        <w:t>measured with a metre rule, recorded and interpreted according to modified EUCAST 2013 int</w:t>
      </w:r>
      <w:r w:rsidRPr="00FA015E">
        <w:rPr>
          <w:rFonts w:ascii="Times New Roman" w:eastAsia="Times New Roman" w:hAnsi="Times New Roman" w:cs="Times New Roman"/>
          <w:color w:val="000000"/>
          <w:sz w:val="24"/>
          <w:szCs w:val="24"/>
        </w:rPr>
        <w:t>erpretative criteria(Committee et al. 2013). The experiments were carried out with two repeats in two independent experiments, results averaged and plotted with standard deviations. The potency of the antibiotic impregnated discs was as follows: septrin (30µg), chloramphenicol (30µg), sparfloxacin (10µg), amoxicillin (30µg), augmentin (30µg), gentamicin (10µg), perfloxacin (10 µg), ciprofloxacin (10µg), streptomycin (30µg), and ofloxacin (10µg).</w:t>
      </w:r>
    </w:p>
    <w:p w14:paraId="302CFCF7"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BIOSTATISTICS</w:t>
      </w:r>
    </w:p>
    <w:p w14:paraId="48F14AD9"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Experiments were performed with two repeats in two independent experiments, mean and standard deviation values calculated and plotted in figures. Test for statistical significance was assessed by carrying out an independent two sample t-test. Values of p&lt;0.05 were considered statistically significant.</w:t>
      </w:r>
    </w:p>
    <w:p w14:paraId="6BD14CBB"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b/>
          <w:bCs/>
          <w:color w:val="000000"/>
          <w:sz w:val="24"/>
          <w:szCs w:val="24"/>
        </w:rPr>
        <w:t>RESULTS/DISCUSSION</w:t>
      </w:r>
    </w:p>
    <w:p w14:paraId="5779A355"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A low prevalence of 2.67% (2/75) of positive isolation of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species was obtained. According to the antibiogram results presented in Table 1, the strains are completely sensitive to septrin (a trimethoprim + sulphonamide), streptomycin (aminiglycoside) sparfloxacin, perfloxacin and ofloxacin (quinolones). Similarly the zone of inhibition (ZoI) of 50% of the strains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were equal to or greater than five units to the breakpoints in five antibiotics: septrin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xml:space="preserve"> =20mm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=21mm) , streptomycin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=22mm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=29mm) ,sparfloxacin (ZoI</w:t>
      </w:r>
      <w:r w:rsidRPr="00FA015E">
        <w:rPr>
          <w:rFonts w:ascii="Times New Roman" w:eastAsia="Times New Roman" w:hAnsi="Times New Roman" w:cs="Times New Roman"/>
          <w:color w:val="000000"/>
          <w:sz w:val="24"/>
          <w:szCs w:val="24"/>
          <w:vertAlign w:val="subscript"/>
        </w:rPr>
        <w:t xml:space="preserve">50 </w:t>
      </w:r>
      <w:r w:rsidRPr="00FA015E">
        <w:rPr>
          <w:rFonts w:ascii="Times New Roman" w:eastAsia="Times New Roman" w:hAnsi="Times New Roman" w:cs="Times New Roman"/>
          <w:color w:val="000000"/>
          <w:sz w:val="24"/>
          <w:szCs w:val="24"/>
        </w:rPr>
        <w:lastRenderedPageBreak/>
        <w:t>=23mm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=25mm) perfloxacin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xml:space="preserve"> =21mm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=29mm) and ofloxacin (ZoI</w:t>
      </w:r>
      <w:r w:rsidRPr="00FA015E">
        <w:rPr>
          <w:rFonts w:ascii="Times New Roman" w:eastAsia="Times New Roman" w:hAnsi="Times New Roman" w:cs="Times New Roman"/>
          <w:color w:val="000000"/>
          <w:sz w:val="24"/>
          <w:szCs w:val="24"/>
          <w:vertAlign w:val="subscript"/>
        </w:rPr>
        <w:t>50</w:t>
      </w:r>
      <w:r w:rsidRPr="00FA015E">
        <w:rPr>
          <w:rFonts w:ascii="Times New Roman" w:eastAsia="Times New Roman" w:hAnsi="Times New Roman" w:cs="Times New Roman"/>
          <w:color w:val="000000"/>
          <w:sz w:val="24"/>
          <w:szCs w:val="24"/>
        </w:rPr>
        <w:t xml:space="preserve"> =22mm and ZoI</w:t>
      </w:r>
      <w:r w:rsidRPr="00FA015E">
        <w:rPr>
          <w:rFonts w:ascii="Times New Roman" w:eastAsia="Times New Roman" w:hAnsi="Times New Roman" w:cs="Times New Roman"/>
          <w:color w:val="000000"/>
          <w:sz w:val="24"/>
          <w:szCs w:val="24"/>
          <w:vertAlign w:val="subscript"/>
        </w:rPr>
        <w:t>90</w:t>
      </w:r>
      <w:r w:rsidRPr="00FA015E">
        <w:rPr>
          <w:rFonts w:ascii="Times New Roman" w:eastAsia="Times New Roman" w:hAnsi="Times New Roman" w:cs="Times New Roman"/>
          <w:color w:val="000000"/>
          <w:sz w:val="24"/>
          <w:szCs w:val="24"/>
        </w:rPr>
        <w:t xml:space="preserve"> =25mm), which signifies a high degree of susceptibility to these antibiotics by the strains. The susceptibilities of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strains to fluoroquinolones( such as sparfloxacin, perfloxacin ofloxacin) and aminoglycosides( such as streptomycin)  antibiotics  have led to recommendation  that these antibiotics could be used with β-Lactams for the treatment of infections due to </w:t>
      </w:r>
      <w:r w:rsidRPr="00FA015E">
        <w:rPr>
          <w:rFonts w:ascii="Times New Roman" w:eastAsia="Times New Roman" w:hAnsi="Times New Roman" w:cs="Times New Roman"/>
          <w:i/>
          <w:iCs/>
          <w:color w:val="000000"/>
          <w:sz w:val="24"/>
          <w:szCs w:val="24"/>
        </w:rPr>
        <w:t xml:space="preserve">Acinetobacter </w:t>
      </w:r>
      <w:r w:rsidRPr="0025643A">
        <w:rPr>
          <w:rFonts w:ascii="Times New Roman" w:eastAsia="Times New Roman" w:hAnsi="Times New Roman" w:cs="Times New Roman"/>
          <w:color w:val="000000"/>
          <w:sz w:val="24"/>
          <w:szCs w:val="24"/>
          <w:highlight w:val="yellow"/>
        </w:rPr>
        <w:t>species.</w:t>
      </w:r>
      <w:hyperlink r:id="rId13" w:history="1">
        <w:r w:rsidRPr="0025643A">
          <w:rPr>
            <w:rFonts w:ascii="Times New Roman" w:eastAsia="Times New Roman" w:hAnsi="Times New Roman" w:cs="Times New Roman"/>
            <w:color w:val="000000"/>
            <w:sz w:val="24"/>
            <w:szCs w:val="24"/>
            <w:highlight w:val="yellow"/>
          </w:rPr>
          <w:t>[6]</w:t>
        </w:r>
      </w:hyperlink>
      <w:r w:rsidRPr="0025643A">
        <w:rPr>
          <w:rFonts w:ascii="Times New Roman" w:eastAsia="Times New Roman" w:hAnsi="Times New Roman" w:cs="Times New Roman"/>
          <w:color w:val="000000"/>
          <w:sz w:val="24"/>
          <w:szCs w:val="24"/>
          <w:highlight w:val="yellow"/>
        </w:rPr>
        <w:t xml:space="preserve"> All the strains are out rightly resistant to chloramphenicol, amoxicillin and augmentin (ampicillin + sulbactam).Transferable plasmids encoding resistance to β-Lactams do encode resistance determinants such as those for resistance to aminoglycosides, tetracyclines, chlora</w:t>
      </w:r>
      <w:r w:rsidRPr="00FA015E">
        <w:rPr>
          <w:rFonts w:ascii="Times New Roman" w:eastAsia="Times New Roman" w:hAnsi="Times New Roman" w:cs="Times New Roman"/>
          <w:color w:val="000000"/>
          <w:sz w:val="24"/>
          <w:szCs w:val="24"/>
        </w:rPr>
        <w:t>mphenicol ,trimethoprim and sulfonamides.</w:t>
      </w:r>
      <w:hyperlink r:id="rId14" w:history="1">
        <w:r w:rsidRPr="0012686E">
          <w:rPr>
            <w:rFonts w:ascii="Times New Roman" w:eastAsia="Times New Roman" w:hAnsi="Times New Roman" w:cs="Times New Roman"/>
            <w:color w:val="000000"/>
            <w:sz w:val="24"/>
            <w:szCs w:val="24"/>
          </w:rPr>
          <w:t>[7]</w:t>
        </w:r>
      </w:hyperlink>
      <w:r w:rsidRPr="00FA015E">
        <w:rPr>
          <w:rFonts w:ascii="Times New Roman" w:eastAsia="Times New Roman" w:hAnsi="Times New Roman" w:cs="Times New Roman"/>
          <w:color w:val="000000"/>
          <w:sz w:val="24"/>
          <w:szCs w:val="24"/>
        </w:rPr>
        <w:t xml:space="preserve"> The strains were resistant to amoxicillin- a semisynthetic penicillin with low affinity to β-Lactamase –and augmentin- ampicillin conjugated with the β-Lactamase inhibitor sulbactam. Combining β-Lactams or carbapenems have boosted the efficacy of those drugs but report of increased resistance to sulbactam by </w:t>
      </w:r>
      <w:r w:rsidRPr="00FA015E">
        <w:rPr>
          <w:rFonts w:ascii="Times New Roman" w:eastAsia="Times New Roman" w:hAnsi="Times New Roman" w:cs="Times New Roman"/>
          <w:i/>
          <w:iCs/>
          <w:color w:val="000000"/>
          <w:sz w:val="24"/>
          <w:szCs w:val="24"/>
        </w:rPr>
        <w:t>Acinetobacter baumanii</w:t>
      </w:r>
      <w:r w:rsidRPr="00FA015E">
        <w:rPr>
          <w:rFonts w:ascii="Times New Roman" w:eastAsia="Times New Roman" w:hAnsi="Times New Roman" w:cs="Times New Roman"/>
          <w:color w:val="000000"/>
          <w:sz w:val="24"/>
          <w:szCs w:val="24"/>
        </w:rPr>
        <w:t xml:space="preserve"> strains are on the increased.</w:t>
      </w:r>
      <w:hyperlink r:id="rId15" w:history="1">
        <w:r w:rsidRPr="0012686E">
          <w:rPr>
            <w:rFonts w:ascii="Times New Roman" w:eastAsia="Times New Roman" w:hAnsi="Times New Roman" w:cs="Times New Roman"/>
            <w:color w:val="000000"/>
            <w:sz w:val="24"/>
            <w:szCs w:val="24"/>
          </w:rPr>
          <w:t>[8]</w:t>
        </w:r>
      </w:hyperlink>
    </w:p>
    <w:p w14:paraId="707BE864" w14:textId="77777777" w:rsidR="00FA015E" w:rsidRPr="00FA015E" w:rsidRDefault="00FA015E" w:rsidP="0012686E">
      <w:pPr>
        <w:spacing w:before="240" w:after="240" w:line="240" w:lineRule="auto"/>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The zone of inhibitions to different antibiotics tested are as shown in Figure 1, the zone of inhibitions of the strains showed no significant difference to six of the ten antibiotics tested namely: septrin (p&lt;0.522), chloramphenicol (p&lt;0.852) , sparfloxacin (p&lt;0.345), augmentin (p&lt;0.456) , perfloxacin (p&lt;0.245) and ciprofloxacin(p&lt;0.545). The ZoI of the strains were significantly different to four antibiotics: amoxicillin (p&lt;0.005), gentamicin (p&lt;0.002), streptomycin (p&lt;0.04) and ofloxacin (p&lt;0.01).</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 MM2_15 more susceptible to ofloxacin than strain MM1_15, while MM1_15 showed more susceptibility to amoxicillin, gentamicin and streptomycin. Many resistance mechanisms are said to operate in the species such as β-Lactamases, multidrug efflux pumps , aminoglycoside modifying enzymes, permeability defects  and aleteration to </w:t>
      </w:r>
      <w:r w:rsidRPr="0025643A">
        <w:rPr>
          <w:rFonts w:ascii="Times New Roman" w:eastAsia="Times New Roman" w:hAnsi="Times New Roman" w:cs="Times New Roman"/>
          <w:color w:val="000000"/>
          <w:sz w:val="24"/>
          <w:szCs w:val="24"/>
          <w:highlight w:val="yellow"/>
        </w:rPr>
        <w:t>target sites these mechanisms may act against a class of antibiotic or many classes.</w:t>
      </w:r>
      <w:hyperlink r:id="rId16" w:history="1">
        <w:r w:rsidRPr="0025643A">
          <w:rPr>
            <w:rFonts w:ascii="Times New Roman" w:eastAsia="Times New Roman" w:hAnsi="Times New Roman" w:cs="Times New Roman"/>
            <w:color w:val="000000"/>
            <w:sz w:val="24"/>
            <w:szCs w:val="24"/>
            <w:highlight w:val="yellow"/>
          </w:rPr>
          <w:t>[8]</w:t>
        </w:r>
      </w:hyperlink>
      <w:r w:rsidRPr="0025643A">
        <w:rPr>
          <w:rFonts w:ascii="Times New Roman" w:eastAsia="Times New Roman" w:hAnsi="Times New Roman" w:cs="Times New Roman"/>
          <w:color w:val="000000"/>
          <w:sz w:val="24"/>
          <w:szCs w:val="24"/>
          <w:highlight w:val="yellow"/>
        </w:rPr>
        <w:t xml:space="preserve"> It has been established that </w:t>
      </w:r>
      <w:r w:rsidRPr="0025643A">
        <w:rPr>
          <w:rFonts w:ascii="Times New Roman" w:eastAsia="Times New Roman" w:hAnsi="Times New Roman" w:cs="Times New Roman"/>
          <w:i/>
          <w:iCs/>
          <w:color w:val="000000"/>
          <w:sz w:val="24"/>
          <w:szCs w:val="24"/>
          <w:highlight w:val="yellow"/>
        </w:rPr>
        <w:t>Acinetobacter</w:t>
      </w:r>
      <w:r w:rsidRPr="0025643A">
        <w:rPr>
          <w:rFonts w:ascii="Times New Roman" w:eastAsia="Times New Roman" w:hAnsi="Times New Roman" w:cs="Times New Roman"/>
          <w:color w:val="000000"/>
          <w:sz w:val="24"/>
          <w:szCs w:val="24"/>
          <w:highlight w:val="yellow"/>
        </w:rPr>
        <w:t xml:space="preserve"> though possessing intrinsic  chromosomal β-Lactamase </w:t>
      </w:r>
      <w:r w:rsidRPr="00FA015E">
        <w:rPr>
          <w:rFonts w:ascii="Times New Roman" w:eastAsia="Times New Roman" w:hAnsi="Times New Roman" w:cs="Times New Roman"/>
          <w:color w:val="000000"/>
          <w:sz w:val="24"/>
          <w:szCs w:val="24"/>
        </w:rPr>
        <w:t xml:space="preserve">genes the expression of resistance to β-Lactams such as amoxicillin used in these study  may vary in  </w:t>
      </w:r>
      <w:r w:rsidRPr="00FA015E">
        <w:rPr>
          <w:rFonts w:ascii="Times New Roman" w:eastAsia="Times New Roman" w:hAnsi="Times New Roman" w:cs="Times New Roman"/>
          <w:i/>
          <w:iCs/>
          <w:color w:val="000000"/>
          <w:sz w:val="24"/>
          <w:szCs w:val="24"/>
        </w:rPr>
        <w:t>Acinetobacter</w:t>
      </w:r>
      <w:r w:rsidRPr="00FA015E">
        <w:rPr>
          <w:rFonts w:ascii="Times New Roman" w:eastAsia="Times New Roman" w:hAnsi="Times New Roman" w:cs="Times New Roman"/>
          <w:color w:val="000000"/>
          <w:sz w:val="24"/>
          <w:szCs w:val="24"/>
        </w:rPr>
        <w:t xml:space="preserve"> strains as a result of the presence or absence of a strong promoter provided by </w:t>
      </w:r>
      <w:r w:rsidRPr="00FA015E">
        <w:rPr>
          <w:rFonts w:ascii="Times New Roman" w:eastAsia="Times New Roman" w:hAnsi="Times New Roman" w:cs="Times New Roman"/>
          <w:i/>
          <w:iCs/>
          <w:color w:val="000000"/>
          <w:sz w:val="24"/>
          <w:szCs w:val="24"/>
        </w:rPr>
        <w:t>IS</w:t>
      </w:r>
      <w:r w:rsidRPr="00FA015E">
        <w:rPr>
          <w:rFonts w:ascii="Times New Roman" w:eastAsia="Times New Roman" w:hAnsi="Times New Roman" w:cs="Times New Roman"/>
          <w:color w:val="000000"/>
          <w:sz w:val="24"/>
          <w:szCs w:val="24"/>
        </w:rPr>
        <w:t>Aba1 upstream of the gene encoding resistance , furthermore the different ESBLs  (classical TEM- , SHV, and CTX-M-β-Lactamases) are known to confer different levels of resistance to β-Lactams such as cefotaxime, ceftazidine and other broad spectrum cephalosporins and monobactams.</w:t>
      </w:r>
      <w:hyperlink r:id="rId17" w:history="1">
        <w:r w:rsidRPr="0012686E">
          <w:rPr>
            <w:rFonts w:ascii="Times New Roman" w:eastAsia="Times New Roman" w:hAnsi="Times New Roman" w:cs="Times New Roman"/>
            <w:color w:val="000000"/>
            <w:sz w:val="24"/>
            <w:szCs w:val="24"/>
          </w:rPr>
          <w:t>[9]</w:t>
        </w:r>
      </w:hyperlink>
      <w:r w:rsidRPr="00FA015E">
        <w:rPr>
          <w:rFonts w:ascii="Times New Roman" w:eastAsia="Times New Roman" w:hAnsi="Times New Roman" w:cs="Times New Roman"/>
          <w:color w:val="000000"/>
          <w:sz w:val="24"/>
          <w:szCs w:val="24"/>
        </w:rPr>
        <w:t xml:space="preserve"> The β-Lactamases express by our local strains may have different affinities and enzyme kinetics to the β-Lactam substrate.</w:t>
      </w:r>
    </w:p>
    <w:p w14:paraId="64BC75BA" w14:textId="77777777" w:rsidR="003B2BBE" w:rsidRDefault="003B2BBE" w:rsidP="0012686E">
      <w:pPr>
        <w:jc w:val="both"/>
        <w:rPr>
          <w:rFonts w:ascii="Times New Roman" w:hAnsi="Times New Roman" w:cs="Times New Roman"/>
          <w:b/>
          <w:sz w:val="24"/>
          <w:szCs w:val="24"/>
        </w:rPr>
      </w:pPr>
    </w:p>
    <w:p w14:paraId="525158B8" w14:textId="43BA7F8F"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 xml:space="preserve">Table 1 Antibiotic Susceptibilities of Two β-Lactam Resistant </w:t>
      </w:r>
      <w:r w:rsidRPr="0012686E">
        <w:rPr>
          <w:rFonts w:ascii="Times New Roman" w:hAnsi="Times New Roman" w:cs="Times New Roman"/>
          <w:b/>
          <w:i/>
          <w:sz w:val="24"/>
          <w:szCs w:val="24"/>
        </w:rPr>
        <w:t>Acinetobacter</w:t>
      </w:r>
      <w:r w:rsidRPr="0012686E">
        <w:rPr>
          <w:rFonts w:ascii="Times New Roman" w:hAnsi="Times New Roman" w:cs="Times New Roman"/>
          <w:b/>
          <w:sz w:val="24"/>
          <w:szCs w:val="24"/>
        </w:rPr>
        <w:t xml:space="preserve"> species Isolated in Abubakar Tafawa Balewa University Teaching Hospital Bauchi Nigeria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1503"/>
        <w:gridCol w:w="1884"/>
        <w:gridCol w:w="1825"/>
        <w:gridCol w:w="1985"/>
      </w:tblGrid>
      <w:tr w:rsidR="00095F0E" w:rsidRPr="0012686E" w14:paraId="7FDE6831" w14:textId="77777777" w:rsidTr="00F46929">
        <w:trPr>
          <w:trHeight w:val="848"/>
        </w:trPr>
        <w:tc>
          <w:tcPr>
            <w:tcW w:w="2193" w:type="dxa"/>
          </w:tcPr>
          <w:p w14:paraId="15C57458"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4DE7EA7" wp14:editId="76ADA1B5">
                      <wp:simplePos x="0" y="0"/>
                      <wp:positionH relativeFrom="column">
                        <wp:posOffset>-71563</wp:posOffset>
                      </wp:positionH>
                      <wp:positionV relativeFrom="paragraph">
                        <wp:posOffset>-8283</wp:posOffset>
                      </wp:positionV>
                      <wp:extent cx="6066845"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60668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B080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65pt" to="472.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" strokecolor="#4472c4 [3204]" strokeweight=".5pt">
                      <v:stroke joinstyle="miter"/>
                    </v:line>
                  </w:pict>
                </mc:Fallback>
              </mc:AlternateContent>
            </w:r>
            <w:r w:rsidRPr="0012686E">
              <w:rPr>
                <w:rFonts w:ascii="Times New Roman" w:hAnsi="Times New Roman" w:cs="Times New Roman"/>
                <w:b/>
                <w:sz w:val="24"/>
                <w:szCs w:val="24"/>
              </w:rPr>
              <w:t>Antibiotics Tested</w:t>
            </w:r>
          </w:p>
          <w:p w14:paraId="530D2437"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E21A32C" wp14:editId="6B7DCA17">
                      <wp:simplePos x="0" y="0"/>
                      <wp:positionH relativeFrom="column">
                        <wp:posOffset>-71562</wp:posOffset>
                      </wp:positionH>
                      <wp:positionV relativeFrom="paragraph">
                        <wp:posOffset>353640</wp:posOffset>
                      </wp:positionV>
                      <wp:extent cx="6066790" cy="23854"/>
                      <wp:effectExtent l="0" t="0" r="10160" b="33655"/>
                      <wp:wrapNone/>
                      <wp:docPr id="3" name="Straight Connector 3"/>
                      <wp:cNvGraphicFramePr/>
                      <a:graphic xmlns:a="http://schemas.openxmlformats.org/drawingml/2006/main">
                        <a:graphicData uri="http://schemas.microsoft.com/office/word/2010/wordprocessingShape">
                          <wps:wsp>
                            <wps:cNvCnPr/>
                            <wps:spPr>
                              <a:xfrm>
                                <a:off x="0" y="0"/>
                                <a:ext cx="6066790" cy="238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B2F4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pt,27.85pt" to="472.0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" strokecolor="#4472c4 [3204]" strokeweight=".5pt">
                      <v:stroke joinstyle="miter"/>
                    </v:line>
                  </w:pict>
                </mc:Fallback>
              </mc:AlternateContent>
            </w:r>
            <w:r w:rsidRPr="0012686E">
              <w:rPr>
                <w:rFonts w:ascii="Times New Roman" w:hAnsi="Times New Roman" w:cs="Times New Roman"/>
                <w:b/>
                <w:sz w:val="24"/>
                <w:szCs w:val="24"/>
              </w:rPr>
              <w:t>(Disc Potency in µg)</w:t>
            </w:r>
          </w:p>
        </w:tc>
        <w:tc>
          <w:tcPr>
            <w:tcW w:w="1539" w:type="dxa"/>
          </w:tcPr>
          <w:p w14:paraId="3A33406D"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 xml:space="preserve">Total No. </w:t>
            </w:r>
          </w:p>
          <w:p w14:paraId="5B3B6565"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Screened</w:t>
            </w:r>
          </w:p>
        </w:tc>
        <w:tc>
          <w:tcPr>
            <w:tcW w:w="1926" w:type="dxa"/>
          </w:tcPr>
          <w:p w14:paraId="10ADBEB1"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EUCAST 2015</w:t>
            </w:r>
          </w:p>
          <w:p w14:paraId="74794E76"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Breakpoints (mm)</w:t>
            </w:r>
          </w:p>
          <w:p w14:paraId="6CC3ED9D"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R/S</w:t>
            </w:r>
          </w:p>
        </w:tc>
        <w:tc>
          <w:tcPr>
            <w:tcW w:w="1872" w:type="dxa"/>
          </w:tcPr>
          <w:p w14:paraId="337F9DD7"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ZoI</w:t>
            </w:r>
            <w:r w:rsidRPr="0012686E">
              <w:rPr>
                <w:rFonts w:ascii="Times New Roman" w:hAnsi="Times New Roman" w:cs="Times New Roman"/>
                <w:b/>
                <w:sz w:val="24"/>
                <w:szCs w:val="24"/>
                <w:vertAlign w:val="subscript"/>
              </w:rPr>
              <w:t>50</w:t>
            </w:r>
            <w:r w:rsidRPr="0012686E">
              <w:rPr>
                <w:rFonts w:ascii="Times New Roman" w:hAnsi="Times New Roman" w:cs="Times New Roman"/>
                <w:b/>
                <w:sz w:val="24"/>
                <w:szCs w:val="24"/>
              </w:rPr>
              <w:t>:ZoI</w:t>
            </w:r>
            <w:r w:rsidRPr="0012686E">
              <w:rPr>
                <w:rFonts w:ascii="Times New Roman" w:hAnsi="Times New Roman" w:cs="Times New Roman"/>
                <w:b/>
                <w:sz w:val="24"/>
                <w:szCs w:val="24"/>
                <w:vertAlign w:val="subscript"/>
              </w:rPr>
              <w:t>90</w:t>
            </w:r>
          </w:p>
          <w:p w14:paraId="41D71A0C"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(mm)</w:t>
            </w:r>
          </w:p>
        </w:tc>
        <w:tc>
          <w:tcPr>
            <w:tcW w:w="2038" w:type="dxa"/>
          </w:tcPr>
          <w:p w14:paraId="740F0923" w14:textId="77777777" w:rsidR="00095F0E" w:rsidRPr="0012686E" w:rsidRDefault="00095F0E" w:rsidP="0012686E">
            <w:pPr>
              <w:jc w:val="both"/>
              <w:rPr>
                <w:rFonts w:ascii="Times New Roman" w:hAnsi="Times New Roman" w:cs="Times New Roman"/>
                <w:b/>
                <w:sz w:val="24"/>
                <w:szCs w:val="24"/>
              </w:rPr>
            </w:pPr>
            <w:r w:rsidRPr="0012686E">
              <w:rPr>
                <w:rFonts w:ascii="Times New Roman" w:hAnsi="Times New Roman" w:cs="Times New Roman"/>
                <w:b/>
                <w:sz w:val="24"/>
                <w:szCs w:val="24"/>
              </w:rPr>
              <w:t>Proportion Susceptible</w:t>
            </w:r>
            <w:r w:rsidRPr="0012686E">
              <w:rPr>
                <w:rFonts w:ascii="Times New Roman" w:hAnsi="Times New Roman" w:cs="Times New Roman"/>
                <w:b/>
                <w:sz w:val="24"/>
                <w:szCs w:val="24"/>
                <w:vertAlign w:val="superscript"/>
              </w:rPr>
              <w:t>±</w:t>
            </w:r>
          </w:p>
        </w:tc>
      </w:tr>
      <w:tr w:rsidR="00095F0E" w:rsidRPr="0012686E" w14:paraId="2BDD3B53" w14:textId="77777777" w:rsidTr="00F46929">
        <w:trPr>
          <w:trHeight w:val="279"/>
        </w:trPr>
        <w:tc>
          <w:tcPr>
            <w:tcW w:w="2193" w:type="dxa"/>
          </w:tcPr>
          <w:p w14:paraId="12500FF9"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Septrin</w:t>
            </w:r>
          </w:p>
        </w:tc>
        <w:tc>
          <w:tcPr>
            <w:tcW w:w="1539" w:type="dxa"/>
          </w:tcPr>
          <w:p w14:paraId="248173C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1543C5E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640D021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20:21</w:t>
            </w:r>
          </w:p>
        </w:tc>
        <w:tc>
          <w:tcPr>
            <w:tcW w:w="2038" w:type="dxa"/>
          </w:tcPr>
          <w:p w14:paraId="62171DC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1EAA2964" w14:textId="77777777" w:rsidTr="00F46929">
        <w:trPr>
          <w:trHeight w:val="279"/>
        </w:trPr>
        <w:tc>
          <w:tcPr>
            <w:tcW w:w="2193" w:type="dxa"/>
          </w:tcPr>
          <w:p w14:paraId="61399A3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lastRenderedPageBreak/>
              <w:t>Chloramphenicol</w:t>
            </w:r>
          </w:p>
        </w:tc>
        <w:tc>
          <w:tcPr>
            <w:tcW w:w="1539" w:type="dxa"/>
          </w:tcPr>
          <w:p w14:paraId="79DD4F1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3A30513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≤17&gt;</w:t>
            </w:r>
          </w:p>
        </w:tc>
        <w:tc>
          <w:tcPr>
            <w:tcW w:w="1872" w:type="dxa"/>
          </w:tcPr>
          <w:p w14:paraId="6AA9855F"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16:17</w:t>
            </w:r>
          </w:p>
        </w:tc>
        <w:tc>
          <w:tcPr>
            <w:tcW w:w="2038" w:type="dxa"/>
          </w:tcPr>
          <w:p w14:paraId="046E8327"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0%</w:t>
            </w:r>
          </w:p>
        </w:tc>
      </w:tr>
      <w:tr w:rsidR="00095F0E" w:rsidRPr="0012686E" w14:paraId="0FB05189" w14:textId="77777777" w:rsidTr="00F46929">
        <w:trPr>
          <w:trHeight w:val="291"/>
        </w:trPr>
        <w:tc>
          <w:tcPr>
            <w:tcW w:w="2193" w:type="dxa"/>
          </w:tcPr>
          <w:p w14:paraId="010299F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Sparfloxacin</w:t>
            </w:r>
          </w:p>
        </w:tc>
        <w:tc>
          <w:tcPr>
            <w:tcW w:w="1539" w:type="dxa"/>
          </w:tcPr>
          <w:p w14:paraId="5BD9CB95"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4D640313"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10D6BD15"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23:25</w:t>
            </w:r>
          </w:p>
        </w:tc>
        <w:tc>
          <w:tcPr>
            <w:tcW w:w="2038" w:type="dxa"/>
          </w:tcPr>
          <w:p w14:paraId="1920858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55AAE17D" w14:textId="77777777" w:rsidTr="00F46929">
        <w:trPr>
          <w:trHeight w:val="279"/>
        </w:trPr>
        <w:tc>
          <w:tcPr>
            <w:tcW w:w="2193" w:type="dxa"/>
          </w:tcPr>
          <w:p w14:paraId="7A34AA0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Amoxicillin</w:t>
            </w:r>
          </w:p>
        </w:tc>
        <w:tc>
          <w:tcPr>
            <w:tcW w:w="1539" w:type="dxa"/>
          </w:tcPr>
          <w:p w14:paraId="516C4774"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41FE16DD"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≤16&gt;</w:t>
            </w:r>
          </w:p>
        </w:tc>
        <w:tc>
          <w:tcPr>
            <w:tcW w:w="1872" w:type="dxa"/>
          </w:tcPr>
          <w:p w14:paraId="4BC0017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12:16</w:t>
            </w:r>
          </w:p>
        </w:tc>
        <w:tc>
          <w:tcPr>
            <w:tcW w:w="2038" w:type="dxa"/>
          </w:tcPr>
          <w:p w14:paraId="200407C5"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0%</w:t>
            </w:r>
          </w:p>
        </w:tc>
      </w:tr>
      <w:tr w:rsidR="00095F0E" w:rsidRPr="0012686E" w14:paraId="47A183EA" w14:textId="77777777" w:rsidTr="00F46929">
        <w:trPr>
          <w:trHeight w:val="279"/>
        </w:trPr>
        <w:tc>
          <w:tcPr>
            <w:tcW w:w="2193" w:type="dxa"/>
          </w:tcPr>
          <w:p w14:paraId="179958D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Augmentin</w:t>
            </w:r>
          </w:p>
        </w:tc>
        <w:tc>
          <w:tcPr>
            <w:tcW w:w="1539" w:type="dxa"/>
          </w:tcPr>
          <w:p w14:paraId="70F2278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14E3C78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≤16&gt;</w:t>
            </w:r>
          </w:p>
        </w:tc>
        <w:tc>
          <w:tcPr>
            <w:tcW w:w="1872" w:type="dxa"/>
          </w:tcPr>
          <w:p w14:paraId="016968C6"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14:15</w:t>
            </w:r>
          </w:p>
        </w:tc>
        <w:tc>
          <w:tcPr>
            <w:tcW w:w="2038" w:type="dxa"/>
          </w:tcPr>
          <w:p w14:paraId="43E51D4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0%</w:t>
            </w:r>
          </w:p>
        </w:tc>
      </w:tr>
      <w:tr w:rsidR="00095F0E" w:rsidRPr="0012686E" w14:paraId="2EBF4D14" w14:textId="77777777" w:rsidTr="00F46929">
        <w:trPr>
          <w:trHeight w:val="279"/>
        </w:trPr>
        <w:tc>
          <w:tcPr>
            <w:tcW w:w="2193" w:type="dxa"/>
          </w:tcPr>
          <w:p w14:paraId="1A4E79C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Gentamicin</w:t>
            </w:r>
          </w:p>
        </w:tc>
        <w:tc>
          <w:tcPr>
            <w:tcW w:w="1539" w:type="dxa"/>
          </w:tcPr>
          <w:p w14:paraId="4FA1C17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0B88091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≤12&gt;</w:t>
            </w:r>
          </w:p>
        </w:tc>
        <w:tc>
          <w:tcPr>
            <w:tcW w:w="1872" w:type="dxa"/>
          </w:tcPr>
          <w:p w14:paraId="7CD076F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11:22</w:t>
            </w:r>
          </w:p>
        </w:tc>
        <w:tc>
          <w:tcPr>
            <w:tcW w:w="2038" w:type="dxa"/>
          </w:tcPr>
          <w:p w14:paraId="646FC40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50%</w:t>
            </w:r>
          </w:p>
        </w:tc>
      </w:tr>
      <w:tr w:rsidR="00095F0E" w:rsidRPr="0012686E" w14:paraId="4822E4CE" w14:textId="77777777" w:rsidTr="00F46929">
        <w:trPr>
          <w:trHeight w:val="291"/>
        </w:trPr>
        <w:tc>
          <w:tcPr>
            <w:tcW w:w="2193" w:type="dxa"/>
          </w:tcPr>
          <w:p w14:paraId="7BFCD59F"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Perfloxacin</w:t>
            </w:r>
          </w:p>
        </w:tc>
        <w:tc>
          <w:tcPr>
            <w:tcW w:w="1539" w:type="dxa"/>
          </w:tcPr>
          <w:p w14:paraId="2D9C4167"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5E85E40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51890787"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21:24</w:t>
            </w:r>
          </w:p>
        </w:tc>
        <w:tc>
          <w:tcPr>
            <w:tcW w:w="2038" w:type="dxa"/>
          </w:tcPr>
          <w:p w14:paraId="10F2A7F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59144666" w14:textId="77777777" w:rsidTr="00F46929">
        <w:trPr>
          <w:trHeight w:val="279"/>
        </w:trPr>
        <w:tc>
          <w:tcPr>
            <w:tcW w:w="2193" w:type="dxa"/>
          </w:tcPr>
          <w:p w14:paraId="7DB09B8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Ciprofloxacin</w:t>
            </w:r>
          </w:p>
        </w:tc>
        <w:tc>
          <w:tcPr>
            <w:tcW w:w="1539" w:type="dxa"/>
          </w:tcPr>
          <w:p w14:paraId="7B4AC0E9"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7DD7A00E"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≤15&gt;</w:t>
            </w:r>
          </w:p>
        </w:tc>
        <w:tc>
          <w:tcPr>
            <w:tcW w:w="1872" w:type="dxa"/>
          </w:tcPr>
          <w:p w14:paraId="54242B33"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15:19</w:t>
            </w:r>
          </w:p>
        </w:tc>
        <w:tc>
          <w:tcPr>
            <w:tcW w:w="2038" w:type="dxa"/>
          </w:tcPr>
          <w:p w14:paraId="0A9A35F2"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50%</w:t>
            </w:r>
          </w:p>
        </w:tc>
      </w:tr>
      <w:tr w:rsidR="00095F0E" w:rsidRPr="0012686E" w14:paraId="30BFE6B6" w14:textId="77777777" w:rsidTr="00F46929">
        <w:trPr>
          <w:trHeight w:val="279"/>
        </w:trPr>
        <w:tc>
          <w:tcPr>
            <w:tcW w:w="2193" w:type="dxa"/>
          </w:tcPr>
          <w:p w14:paraId="79DDADD0"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Streptomycin</w:t>
            </w:r>
          </w:p>
        </w:tc>
        <w:tc>
          <w:tcPr>
            <w:tcW w:w="1539" w:type="dxa"/>
          </w:tcPr>
          <w:p w14:paraId="486200F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72CB0B7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≤11&gt;</w:t>
            </w:r>
          </w:p>
        </w:tc>
        <w:tc>
          <w:tcPr>
            <w:tcW w:w="1872" w:type="dxa"/>
          </w:tcPr>
          <w:p w14:paraId="7283E656"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22:29</w:t>
            </w:r>
          </w:p>
        </w:tc>
        <w:tc>
          <w:tcPr>
            <w:tcW w:w="2038" w:type="dxa"/>
          </w:tcPr>
          <w:p w14:paraId="4928793D"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r w:rsidR="00095F0E" w:rsidRPr="0012686E" w14:paraId="49B989C9" w14:textId="77777777" w:rsidTr="00F46929">
        <w:trPr>
          <w:trHeight w:val="291"/>
        </w:trPr>
        <w:tc>
          <w:tcPr>
            <w:tcW w:w="2193" w:type="dxa"/>
          </w:tcPr>
          <w:p w14:paraId="4D02ADE1"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BEBEFA" wp14:editId="57B168F1">
                      <wp:simplePos x="0" y="0"/>
                      <wp:positionH relativeFrom="column">
                        <wp:posOffset>-71562</wp:posOffset>
                      </wp:positionH>
                      <wp:positionV relativeFrom="paragraph">
                        <wp:posOffset>181306</wp:posOffset>
                      </wp:positionV>
                      <wp:extent cx="6066790" cy="7952"/>
                      <wp:effectExtent l="0" t="0" r="10160" b="30480"/>
                      <wp:wrapNone/>
                      <wp:docPr id="4" name="Straight Connector 4"/>
                      <wp:cNvGraphicFramePr/>
                      <a:graphic xmlns:a="http://schemas.openxmlformats.org/drawingml/2006/main">
                        <a:graphicData uri="http://schemas.microsoft.com/office/word/2010/wordprocessingShape">
                          <wps:wsp>
                            <wps:cNvCnPr/>
                            <wps:spPr>
                              <a:xfrm>
                                <a:off x="0" y="0"/>
                                <a:ext cx="6066790"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A87D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5pt,14.3pt" to="47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" strokecolor="#4472c4 [3204]" strokeweight=".5pt">
                      <v:stroke joinstyle="miter"/>
                    </v:line>
                  </w:pict>
                </mc:Fallback>
              </mc:AlternateContent>
            </w:r>
            <w:r w:rsidRPr="0012686E">
              <w:rPr>
                <w:rFonts w:ascii="Times New Roman" w:hAnsi="Times New Roman" w:cs="Times New Roman"/>
                <w:sz w:val="24"/>
                <w:szCs w:val="24"/>
              </w:rPr>
              <w:t>Ofloxacin</w:t>
            </w:r>
          </w:p>
        </w:tc>
        <w:tc>
          <w:tcPr>
            <w:tcW w:w="1539" w:type="dxa"/>
          </w:tcPr>
          <w:p w14:paraId="7AD581CD"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w:t>
            </w:r>
          </w:p>
        </w:tc>
        <w:tc>
          <w:tcPr>
            <w:tcW w:w="1926" w:type="dxa"/>
          </w:tcPr>
          <w:p w14:paraId="6BE1995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≤14&gt;</w:t>
            </w:r>
          </w:p>
        </w:tc>
        <w:tc>
          <w:tcPr>
            <w:tcW w:w="1872" w:type="dxa"/>
          </w:tcPr>
          <w:p w14:paraId="48C4B92F"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22:25</w:t>
            </w:r>
          </w:p>
        </w:tc>
        <w:tc>
          <w:tcPr>
            <w:tcW w:w="2038" w:type="dxa"/>
          </w:tcPr>
          <w:p w14:paraId="3E010F6C"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100%</w:t>
            </w:r>
          </w:p>
        </w:tc>
      </w:tr>
    </w:tbl>
    <w:p w14:paraId="6DE7BEE8"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ZoI= Zone of Inhibition of 50% of Strains (ZoI</w:t>
      </w:r>
      <w:r w:rsidRPr="0012686E">
        <w:rPr>
          <w:rFonts w:ascii="Times New Roman" w:hAnsi="Times New Roman" w:cs="Times New Roman"/>
          <w:sz w:val="24"/>
          <w:szCs w:val="24"/>
          <w:vertAlign w:val="subscript"/>
        </w:rPr>
        <w:t>50</w:t>
      </w:r>
      <w:r w:rsidRPr="0012686E">
        <w:rPr>
          <w:rFonts w:ascii="Times New Roman" w:hAnsi="Times New Roman" w:cs="Times New Roman"/>
          <w:sz w:val="24"/>
          <w:szCs w:val="24"/>
        </w:rPr>
        <w:t>) and 90% of strains (ZoI</w:t>
      </w:r>
      <w:r w:rsidRPr="0012686E">
        <w:rPr>
          <w:rFonts w:ascii="Times New Roman" w:hAnsi="Times New Roman" w:cs="Times New Roman"/>
          <w:sz w:val="24"/>
          <w:szCs w:val="24"/>
          <w:vertAlign w:val="subscript"/>
        </w:rPr>
        <w:t>90</w:t>
      </w:r>
      <w:r w:rsidRPr="0012686E">
        <w:rPr>
          <w:rFonts w:ascii="Times New Roman" w:hAnsi="Times New Roman" w:cs="Times New Roman"/>
          <w:sz w:val="24"/>
          <w:szCs w:val="24"/>
        </w:rPr>
        <w:t xml:space="preserve">) , ± Susceptibilities defined by modified Clinical European Committee for Antimicrobial Susceptibility Testing  (EUCAST) 2013 breakpoints  </w:t>
      </w:r>
    </w:p>
    <w:p w14:paraId="6E93B0C8" w14:textId="77777777" w:rsidR="00095F0E" w:rsidRPr="0012686E" w:rsidRDefault="00095F0E" w:rsidP="0012686E">
      <w:pPr>
        <w:jc w:val="both"/>
        <w:rPr>
          <w:rFonts w:ascii="Times New Roman" w:hAnsi="Times New Roman" w:cs="Times New Roman"/>
          <w:sz w:val="24"/>
          <w:szCs w:val="24"/>
        </w:rPr>
      </w:pPr>
    </w:p>
    <w:p w14:paraId="32F1D514" w14:textId="77777777" w:rsidR="00095F0E" w:rsidRPr="0012686E" w:rsidRDefault="00095F0E" w:rsidP="0012686E">
      <w:pPr>
        <w:jc w:val="both"/>
        <w:rPr>
          <w:rFonts w:ascii="Times New Roman" w:hAnsi="Times New Roman" w:cs="Times New Roman"/>
          <w:sz w:val="24"/>
          <w:szCs w:val="24"/>
        </w:rPr>
      </w:pPr>
    </w:p>
    <w:p w14:paraId="028833D1" w14:textId="77777777" w:rsidR="00095F0E" w:rsidRPr="0012686E" w:rsidRDefault="00095F0E" w:rsidP="0012686E">
      <w:pPr>
        <w:jc w:val="both"/>
        <w:rPr>
          <w:rFonts w:ascii="Times New Roman" w:hAnsi="Times New Roman" w:cs="Times New Roman"/>
          <w:sz w:val="24"/>
          <w:szCs w:val="24"/>
        </w:rPr>
      </w:pPr>
    </w:p>
    <w:p w14:paraId="3E387A58" w14:textId="77777777" w:rsidR="00095F0E" w:rsidRPr="0012686E" w:rsidRDefault="00095F0E" w:rsidP="0012686E">
      <w:pPr>
        <w:jc w:val="both"/>
        <w:rPr>
          <w:rFonts w:ascii="Times New Roman" w:hAnsi="Times New Roman" w:cs="Times New Roman"/>
          <w:sz w:val="24"/>
          <w:szCs w:val="24"/>
        </w:rPr>
      </w:pPr>
    </w:p>
    <w:p w14:paraId="17BA5C43" w14:textId="77777777" w:rsidR="00095F0E" w:rsidRPr="0012686E" w:rsidRDefault="00095F0E" w:rsidP="0012686E">
      <w:pPr>
        <w:jc w:val="both"/>
        <w:rPr>
          <w:rFonts w:ascii="Times New Roman" w:hAnsi="Times New Roman" w:cs="Times New Roman"/>
          <w:sz w:val="24"/>
          <w:szCs w:val="24"/>
        </w:rPr>
      </w:pPr>
    </w:p>
    <w:p w14:paraId="63723C19" w14:textId="77777777" w:rsidR="00095F0E" w:rsidRPr="0012686E" w:rsidRDefault="00095F0E" w:rsidP="0012686E">
      <w:pPr>
        <w:jc w:val="both"/>
        <w:rPr>
          <w:rFonts w:ascii="Times New Roman" w:hAnsi="Times New Roman" w:cs="Times New Roman"/>
          <w:sz w:val="24"/>
          <w:szCs w:val="24"/>
        </w:rPr>
      </w:pPr>
    </w:p>
    <w:p w14:paraId="3078690B" w14:textId="77777777" w:rsidR="00095F0E" w:rsidRPr="0012686E" w:rsidRDefault="00095F0E" w:rsidP="0012686E">
      <w:pPr>
        <w:jc w:val="both"/>
        <w:rPr>
          <w:rFonts w:ascii="Times New Roman" w:hAnsi="Times New Roman" w:cs="Times New Roman"/>
          <w:sz w:val="24"/>
          <w:szCs w:val="24"/>
        </w:rPr>
      </w:pPr>
    </w:p>
    <w:p w14:paraId="16629C4C" w14:textId="77777777" w:rsidR="00095F0E" w:rsidRPr="0012686E" w:rsidRDefault="00095F0E" w:rsidP="0012686E">
      <w:pPr>
        <w:jc w:val="both"/>
        <w:rPr>
          <w:rFonts w:ascii="Times New Roman" w:hAnsi="Times New Roman" w:cs="Times New Roman"/>
          <w:sz w:val="24"/>
          <w:szCs w:val="24"/>
        </w:rPr>
      </w:pPr>
    </w:p>
    <w:p w14:paraId="6012C628" w14:textId="77777777" w:rsidR="00095F0E" w:rsidRPr="0012686E" w:rsidRDefault="00095F0E" w:rsidP="0012686E">
      <w:pPr>
        <w:jc w:val="both"/>
        <w:rPr>
          <w:rFonts w:ascii="Times New Roman" w:hAnsi="Times New Roman" w:cs="Times New Roman"/>
          <w:sz w:val="24"/>
          <w:szCs w:val="24"/>
        </w:rPr>
      </w:pPr>
    </w:p>
    <w:p w14:paraId="4B48CF5C" w14:textId="77777777" w:rsidR="00095F0E" w:rsidRPr="0012686E" w:rsidRDefault="00095F0E" w:rsidP="0012686E">
      <w:pPr>
        <w:jc w:val="both"/>
        <w:rPr>
          <w:rFonts w:ascii="Times New Roman" w:hAnsi="Times New Roman" w:cs="Times New Roman"/>
          <w:sz w:val="24"/>
          <w:szCs w:val="24"/>
        </w:rPr>
      </w:pPr>
    </w:p>
    <w:p w14:paraId="4347ECAA" w14:textId="77777777" w:rsidR="00095F0E" w:rsidRPr="0012686E" w:rsidRDefault="00095F0E" w:rsidP="0012686E">
      <w:pPr>
        <w:jc w:val="both"/>
        <w:rPr>
          <w:rFonts w:ascii="Times New Roman" w:hAnsi="Times New Roman" w:cs="Times New Roman"/>
          <w:sz w:val="24"/>
          <w:szCs w:val="24"/>
        </w:rPr>
      </w:pPr>
    </w:p>
    <w:p w14:paraId="394F1358" w14:textId="77777777" w:rsidR="00095F0E" w:rsidRPr="0012686E" w:rsidRDefault="00095F0E" w:rsidP="0012686E">
      <w:pPr>
        <w:jc w:val="both"/>
        <w:rPr>
          <w:rFonts w:ascii="Times New Roman" w:hAnsi="Times New Roman" w:cs="Times New Roman"/>
          <w:sz w:val="24"/>
          <w:szCs w:val="24"/>
        </w:rPr>
      </w:pPr>
    </w:p>
    <w:p w14:paraId="29A5EBCA"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noProof/>
          <w:sz w:val="24"/>
          <w:szCs w:val="24"/>
        </w:rPr>
        <w:lastRenderedPageBreak/>
        <w:drawing>
          <wp:inline distT="0" distB="0" distL="0" distR="0" wp14:anchorId="4C13C383" wp14:editId="2D4049E3">
            <wp:extent cx="5943600" cy="3623945"/>
            <wp:effectExtent l="0" t="0" r="1905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536F89" w14:textId="77777777" w:rsidR="00095F0E" w:rsidRPr="0012686E" w:rsidRDefault="00095F0E" w:rsidP="0012686E">
      <w:pPr>
        <w:jc w:val="both"/>
        <w:rPr>
          <w:rFonts w:ascii="Times New Roman" w:hAnsi="Times New Roman" w:cs="Times New Roman"/>
          <w:sz w:val="24"/>
          <w:szCs w:val="24"/>
        </w:rPr>
      </w:pPr>
      <w:r w:rsidRPr="0012686E">
        <w:rPr>
          <w:rFonts w:ascii="Times New Roman" w:hAnsi="Times New Roman" w:cs="Times New Roman"/>
          <w:sz w:val="24"/>
          <w:szCs w:val="24"/>
        </w:rPr>
        <w:t xml:space="preserve">Fig 1: Zone of Inhibitions in millimetres of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strains (MM1_15 and MM2_15) to ten (10) antibiotics tested. Discrete colonies of each strain from an O/N plate were emulsified in normal saline separately to match 0.5 Mc Farland standards using a Densi-Chek ™ (Biomerieux, SA France) approximately 10</w:t>
      </w:r>
      <w:r w:rsidRPr="0012686E">
        <w:rPr>
          <w:rFonts w:ascii="Times New Roman" w:hAnsi="Times New Roman" w:cs="Times New Roman"/>
          <w:sz w:val="24"/>
          <w:szCs w:val="24"/>
          <w:vertAlign w:val="superscript"/>
        </w:rPr>
        <w:t>8</w:t>
      </w:r>
      <w:r w:rsidRPr="0012686E">
        <w:rPr>
          <w:rFonts w:ascii="Times New Roman" w:hAnsi="Times New Roman" w:cs="Times New Roman"/>
          <w:sz w:val="24"/>
          <w:szCs w:val="24"/>
        </w:rPr>
        <w:t xml:space="preserve"> cells/ml. A sterile cotton swab was dipped into the suspension drained of excess moisture used to inoculate the surface of MHA (Fluka, Germany), kept on bench for 5 minutes before the placement of antibiotic discs. The plates were then incubated aerobically at 37</w:t>
      </w:r>
      <w:r w:rsidRPr="0012686E">
        <w:rPr>
          <w:rFonts w:ascii="Times New Roman" w:hAnsi="Times New Roman" w:cs="Times New Roman"/>
          <w:sz w:val="24"/>
          <w:szCs w:val="24"/>
          <w:vertAlign w:val="superscript"/>
        </w:rPr>
        <w:t>o</w:t>
      </w:r>
      <w:r w:rsidRPr="0012686E">
        <w:rPr>
          <w:rFonts w:ascii="Times New Roman" w:hAnsi="Times New Roman" w:cs="Times New Roman"/>
          <w:sz w:val="24"/>
          <w:szCs w:val="24"/>
        </w:rPr>
        <w:t xml:space="preserve">C for 24h. Two repeats in two </w:t>
      </w:r>
      <w:r w:rsidRPr="0025643A">
        <w:rPr>
          <w:rFonts w:ascii="Times New Roman" w:hAnsi="Times New Roman" w:cs="Times New Roman"/>
          <w:sz w:val="24"/>
          <w:szCs w:val="24"/>
          <w:highlight w:val="yellow"/>
        </w:rPr>
        <w:t>independent experiments were carried out, results averaged and plotted with standard deviations. Susceptibilities of the strains differ significantly with AMX (Amoxicillin) (p&lt;0.005), GEN (Gentamicin</w:t>
      </w:r>
      <w:r w:rsidRPr="0012686E">
        <w:rPr>
          <w:rFonts w:ascii="Times New Roman" w:hAnsi="Times New Roman" w:cs="Times New Roman"/>
          <w:sz w:val="24"/>
          <w:szCs w:val="24"/>
        </w:rPr>
        <w:t xml:space="preserve">) (p&lt;0.002), STR (Streptomycin)(p&lt;0.04) and OFL (Ofloxacin) (p&lt;0.01). NB: SEP-Septrin, </w:t>
      </w:r>
      <w:smartTag w:uri="urn:schemas-microsoft-com:office:smarttags" w:element="stockticker">
        <w:r w:rsidRPr="0012686E">
          <w:rPr>
            <w:rFonts w:ascii="Times New Roman" w:hAnsi="Times New Roman" w:cs="Times New Roman"/>
            <w:sz w:val="24"/>
            <w:szCs w:val="24"/>
          </w:rPr>
          <w:t>CHL</w:t>
        </w:r>
      </w:smartTag>
      <w:r w:rsidRPr="0012686E">
        <w:rPr>
          <w:rFonts w:ascii="Times New Roman" w:hAnsi="Times New Roman" w:cs="Times New Roman"/>
          <w:sz w:val="24"/>
          <w:szCs w:val="24"/>
        </w:rPr>
        <w:t xml:space="preserve">-Chloramphenicol , </w:t>
      </w:r>
      <w:smartTag w:uri="urn:schemas-microsoft-com:office:smarttags" w:element="stockticker">
        <w:r w:rsidRPr="0012686E">
          <w:rPr>
            <w:rFonts w:ascii="Times New Roman" w:hAnsi="Times New Roman" w:cs="Times New Roman"/>
            <w:sz w:val="24"/>
            <w:szCs w:val="24"/>
          </w:rPr>
          <w:t>SPAR</w:t>
        </w:r>
      </w:smartTag>
      <w:r w:rsidRPr="0012686E">
        <w:rPr>
          <w:rFonts w:ascii="Times New Roman" w:hAnsi="Times New Roman" w:cs="Times New Roman"/>
          <w:sz w:val="24"/>
          <w:szCs w:val="24"/>
        </w:rPr>
        <w:t xml:space="preserve">- Sparfloxacin  , </w:t>
      </w:r>
      <w:smartTag w:uri="urn:schemas-microsoft-com:office:smarttags" w:element="stockticker">
        <w:r w:rsidRPr="0012686E">
          <w:rPr>
            <w:rFonts w:ascii="Times New Roman" w:hAnsi="Times New Roman" w:cs="Times New Roman"/>
            <w:sz w:val="24"/>
            <w:szCs w:val="24"/>
          </w:rPr>
          <w:t>AMX</w:t>
        </w:r>
      </w:smartTag>
      <w:r w:rsidRPr="0012686E">
        <w:rPr>
          <w:rFonts w:ascii="Times New Roman" w:hAnsi="Times New Roman" w:cs="Times New Roman"/>
          <w:sz w:val="24"/>
          <w:szCs w:val="24"/>
        </w:rPr>
        <w:t xml:space="preserve">- Amoxicillin, AUG- Augmentin, GEN- Gentamicin, </w:t>
      </w:r>
      <w:smartTag w:uri="urn:schemas-microsoft-com:office:smarttags" w:element="stockticker">
        <w:r w:rsidRPr="0012686E">
          <w:rPr>
            <w:rFonts w:ascii="Times New Roman" w:hAnsi="Times New Roman" w:cs="Times New Roman"/>
            <w:sz w:val="24"/>
            <w:szCs w:val="24"/>
          </w:rPr>
          <w:t>PERF</w:t>
        </w:r>
      </w:smartTag>
      <w:r w:rsidRPr="0012686E">
        <w:rPr>
          <w:rFonts w:ascii="Times New Roman" w:hAnsi="Times New Roman" w:cs="Times New Roman"/>
          <w:sz w:val="24"/>
          <w:szCs w:val="24"/>
        </w:rPr>
        <w:t xml:space="preserve">- Perfloxacin, CIP-Ciprofloxacin, </w:t>
      </w:r>
      <w:smartTag w:uri="urn:schemas-microsoft-com:office:smarttags" w:element="stockticker">
        <w:r w:rsidRPr="0012686E">
          <w:rPr>
            <w:rFonts w:ascii="Times New Roman" w:hAnsi="Times New Roman" w:cs="Times New Roman"/>
            <w:sz w:val="24"/>
            <w:szCs w:val="24"/>
          </w:rPr>
          <w:t>STR</w:t>
        </w:r>
      </w:smartTag>
      <w:r w:rsidRPr="0012686E">
        <w:rPr>
          <w:rFonts w:ascii="Times New Roman" w:hAnsi="Times New Roman" w:cs="Times New Roman"/>
          <w:sz w:val="24"/>
          <w:szCs w:val="24"/>
        </w:rPr>
        <w:t>- Streptomycin , OFL- Ofloxacin.</w:t>
      </w:r>
    </w:p>
    <w:p w14:paraId="64EABBBA" w14:textId="77777777" w:rsidR="00095F0E" w:rsidRPr="0012686E" w:rsidRDefault="00095F0E" w:rsidP="0012686E">
      <w:pPr>
        <w:jc w:val="both"/>
        <w:rPr>
          <w:rFonts w:ascii="Times New Roman" w:hAnsi="Times New Roman" w:cs="Times New Roman"/>
          <w:sz w:val="24"/>
          <w:szCs w:val="24"/>
        </w:rPr>
      </w:pPr>
    </w:p>
    <w:p w14:paraId="1C30AA0F" w14:textId="77777777" w:rsidR="001D0641" w:rsidRPr="0012686E" w:rsidRDefault="001D0641" w:rsidP="0012686E">
      <w:pPr>
        <w:jc w:val="both"/>
        <w:rPr>
          <w:rFonts w:ascii="Times New Roman" w:hAnsi="Times New Roman" w:cs="Times New Roman"/>
          <w:sz w:val="24"/>
          <w:szCs w:val="24"/>
        </w:rPr>
      </w:pPr>
    </w:p>
    <w:p w14:paraId="17A3B48C" w14:textId="77777777" w:rsidR="0014049F" w:rsidRDefault="0014049F" w:rsidP="0012686E">
      <w:pPr>
        <w:jc w:val="both"/>
        <w:rPr>
          <w:rFonts w:ascii="Times New Roman" w:hAnsi="Times New Roman" w:cs="Times New Roman"/>
          <w:b/>
          <w:sz w:val="24"/>
          <w:szCs w:val="24"/>
        </w:rPr>
      </w:pPr>
    </w:p>
    <w:p w14:paraId="11F8D2F9" w14:textId="73261940" w:rsidR="000515EC" w:rsidRPr="0012686E" w:rsidRDefault="000515EC" w:rsidP="0012686E">
      <w:pPr>
        <w:jc w:val="both"/>
        <w:rPr>
          <w:rFonts w:ascii="Times New Roman" w:hAnsi="Times New Roman" w:cs="Times New Roman"/>
          <w:b/>
          <w:sz w:val="24"/>
          <w:szCs w:val="24"/>
        </w:rPr>
      </w:pPr>
      <w:r w:rsidRPr="0012686E">
        <w:rPr>
          <w:rFonts w:ascii="Times New Roman" w:hAnsi="Times New Roman" w:cs="Times New Roman"/>
          <w:b/>
          <w:sz w:val="24"/>
          <w:szCs w:val="24"/>
        </w:rPr>
        <w:t xml:space="preserve">CONCLUSION </w:t>
      </w:r>
    </w:p>
    <w:p w14:paraId="11C265EA" w14:textId="77777777" w:rsidR="000515EC" w:rsidRPr="0012686E" w:rsidRDefault="000515EC" w:rsidP="0012686E">
      <w:pPr>
        <w:jc w:val="both"/>
        <w:rPr>
          <w:rFonts w:ascii="Times New Roman" w:hAnsi="Times New Roman" w:cs="Times New Roman"/>
          <w:sz w:val="24"/>
          <w:szCs w:val="24"/>
        </w:rPr>
      </w:pPr>
      <w:r w:rsidRPr="0012686E">
        <w:rPr>
          <w:rFonts w:ascii="Times New Roman" w:hAnsi="Times New Roman" w:cs="Times New Roman"/>
          <w:sz w:val="24"/>
          <w:szCs w:val="24"/>
        </w:rPr>
        <w:t xml:space="preserve">We report </w:t>
      </w:r>
      <w:r w:rsidRPr="0012686E">
        <w:rPr>
          <w:rFonts w:ascii="Times New Roman" w:hAnsi="Times New Roman" w:cs="Times New Roman"/>
          <w:i/>
          <w:sz w:val="24"/>
          <w:szCs w:val="24"/>
        </w:rPr>
        <w:t>Acinetobacter</w:t>
      </w:r>
      <w:r w:rsidRPr="0012686E">
        <w:rPr>
          <w:rFonts w:ascii="Times New Roman" w:hAnsi="Times New Roman" w:cs="Times New Roman"/>
          <w:sz w:val="24"/>
          <w:szCs w:val="24"/>
        </w:rPr>
        <w:t xml:space="preserve"> strains isolated from the same clinical environment displaying varied resistance to amoxicillin- a β-Lactam antibiotic and ofloxacin -a quinolone, gentamicin and </w:t>
      </w:r>
      <w:r w:rsidRPr="0012686E">
        <w:rPr>
          <w:rFonts w:ascii="Times New Roman" w:hAnsi="Times New Roman" w:cs="Times New Roman"/>
          <w:sz w:val="24"/>
          <w:szCs w:val="24"/>
        </w:rPr>
        <w:lastRenderedPageBreak/>
        <w:t>streptomycin. We observed no significant variation in the degree of resistance to augmentin (a β -Lactam conjugated with anti-β-Lactamase sulbactam) and three other quinolones. Further work will seek to determine the ability of these strains to withstand environmental stress as obtained in a hospital setting, to establish the capacity of the strains to persist and be transmitted, we also seek investigate systematic relationship between the strains, the location of the resistance determinants that may explain variation to the expression of resistance.</w:t>
      </w:r>
    </w:p>
    <w:p w14:paraId="5513D1D1" w14:textId="77777777" w:rsidR="001D0641" w:rsidRPr="0012686E" w:rsidRDefault="001D0641" w:rsidP="0012686E">
      <w:pPr>
        <w:jc w:val="both"/>
        <w:rPr>
          <w:rFonts w:ascii="Times New Roman" w:hAnsi="Times New Roman" w:cs="Times New Roman"/>
          <w:b/>
          <w:sz w:val="24"/>
          <w:szCs w:val="24"/>
        </w:rPr>
      </w:pPr>
    </w:p>
    <w:p w14:paraId="74651743" w14:textId="77777777" w:rsidR="00FA015E" w:rsidRPr="00FA015E" w:rsidRDefault="000515EC" w:rsidP="0012686E">
      <w:pPr>
        <w:jc w:val="both"/>
        <w:rPr>
          <w:rFonts w:ascii="Times New Roman" w:hAnsi="Times New Roman" w:cs="Times New Roman"/>
          <w:b/>
          <w:sz w:val="24"/>
          <w:szCs w:val="24"/>
        </w:rPr>
      </w:pPr>
      <w:r w:rsidRPr="0012686E">
        <w:rPr>
          <w:rFonts w:ascii="Times New Roman" w:hAnsi="Times New Roman" w:cs="Times New Roman"/>
          <w:b/>
          <w:sz w:val="24"/>
          <w:szCs w:val="24"/>
        </w:rPr>
        <w:t>REFERENCES</w:t>
      </w:r>
    </w:p>
    <w:p w14:paraId="653A6B76" w14:textId="77777777" w:rsidR="00FA015E" w:rsidRPr="00FA015E" w:rsidRDefault="00FA015E" w:rsidP="0012686E">
      <w:pPr>
        <w:spacing w:before="240"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1. </w:t>
      </w:r>
      <w:r w:rsidRPr="0012686E">
        <w:rPr>
          <w:rFonts w:ascii="Times New Roman" w:eastAsia="Times New Roman" w:hAnsi="Times New Roman" w:cs="Times New Roman"/>
          <w:color w:val="000000"/>
          <w:sz w:val="24"/>
          <w:szCs w:val="24"/>
        </w:rPr>
        <w:tab/>
      </w:r>
      <w:hyperlink r:id="rId19" w:history="1">
        <w:r w:rsidRPr="0012686E">
          <w:rPr>
            <w:rFonts w:ascii="Times New Roman" w:eastAsia="Times New Roman" w:hAnsi="Times New Roman" w:cs="Times New Roman"/>
            <w:color w:val="000000"/>
            <w:sz w:val="24"/>
            <w:szCs w:val="24"/>
          </w:rPr>
          <w:t xml:space="preserve">Ayoub Moubareck C, Hammoudi Halat D. Insights into : A Review of Microbiological, Virulence, and Resistance Traits in a Threatening Nosocomial Pathogen. Antibiotics (Basel) [Internet]. 2020 Mar 12;9(3). Available from: </w:t>
        </w:r>
      </w:hyperlink>
      <w:hyperlink r:id="rId20" w:history="1">
        <w:r w:rsidRPr="0012686E">
          <w:rPr>
            <w:rFonts w:ascii="Times New Roman" w:eastAsia="Times New Roman" w:hAnsi="Times New Roman" w:cs="Times New Roman"/>
            <w:color w:val="000000"/>
            <w:sz w:val="24"/>
            <w:szCs w:val="24"/>
          </w:rPr>
          <w:t>http://dx.doi.org/10.3390/antibiotics9030119</w:t>
        </w:r>
      </w:hyperlink>
    </w:p>
    <w:p w14:paraId="0D396D1B"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2. </w:t>
      </w:r>
      <w:r w:rsidRPr="0012686E">
        <w:rPr>
          <w:rFonts w:ascii="Times New Roman" w:eastAsia="Times New Roman" w:hAnsi="Times New Roman" w:cs="Times New Roman"/>
          <w:color w:val="000000"/>
          <w:sz w:val="24"/>
          <w:szCs w:val="24"/>
        </w:rPr>
        <w:tab/>
      </w:r>
      <w:hyperlink r:id="rId21" w:history="1">
        <w:r w:rsidRPr="0012686E">
          <w:rPr>
            <w:rFonts w:ascii="Times New Roman" w:eastAsia="Times New Roman" w:hAnsi="Times New Roman" w:cs="Times New Roman"/>
            <w:color w:val="000000"/>
            <w:sz w:val="24"/>
            <w:szCs w:val="24"/>
          </w:rPr>
          <w:t xml:space="preserve">Almasaudi SB. spp. as nosocomial pathogens: Epidemiology and resistance features. Saudi J Biol Sci [Internet]. 2018 Mar;25(3):586–96. Available from: </w:t>
        </w:r>
      </w:hyperlink>
      <w:hyperlink r:id="rId22" w:history="1">
        <w:r w:rsidRPr="0012686E">
          <w:rPr>
            <w:rFonts w:ascii="Times New Roman" w:eastAsia="Times New Roman" w:hAnsi="Times New Roman" w:cs="Times New Roman"/>
            <w:color w:val="000000"/>
            <w:sz w:val="24"/>
            <w:szCs w:val="24"/>
          </w:rPr>
          <w:t>http://dx.doi.org/10.1016/j.sjbs.2016.02.009</w:t>
        </w:r>
      </w:hyperlink>
    </w:p>
    <w:p w14:paraId="6F1B531D"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3. </w:t>
      </w:r>
      <w:r w:rsidRPr="0012686E">
        <w:rPr>
          <w:rFonts w:ascii="Times New Roman" w:eastAsia="Times New Roman" w:hAnsi="Times New Roman" w:cs="Times New Roman"/>
          <w:color w:val="000000"/>
          <w:sz w:val="24"/>
          <w:szCs w:val="24"/>
        </w:rPr>
        <w:tab/>
      </w:r>
      <w:hyperlink r:id="rId23" w:history="1">
        <w:r w:rsidRPr="0012686E">
          <w:rPr>
            <w:rFonts w:ascii="Times New Roman" w:eastAsia="Times New Roman" w:hAnsi="Times New Roman" w:cs="Times New Roman"/>
            <w:color w:val="000000"/>
            <w:sz w:val="24"/>
            <w:szCs w:val="24"/>
          </w:rPr>
          <w:t xml:space="preserve">Zarrilli R. Acinetobacter baumannii virulence determinants involved in biofilm growth and adherence to host epithelial cells. Virulence [Internet]. 2016 May 18;7(4):367–8. Available from: </w:t>
        </w:r>
      </w:hyperlink>
      <w:hyperlink r:id="rId24" w:history="1">
        <w:r w:rsidRPr="0012686E">
          <w:rPr>
            <w:rFonts w:ascii="Times New Roman" w:eastAsia="Times New Roman" w:hAnsi="Times New Roman" w:cs="Times New Roman"/>
            <w:color w:val="000000"/>
            <w:sz w:val="24"/>
            <w:szCs w:val="24"/>
          </w:rPr>
          <w:t>http://dx.doi.org/10.1080/21505594.2016.1150405</w:t>
        </w:r>
      </w:hyperlink>
    </w:p>
    <w:p w14:paraId="0650631E"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4. </w:t>
      </w:r>
      <w:r w:rsidRPr="0012686E">
        <w:rPr>
          <w:rFonts w:ascii="Times New Roman" w:eastAsia="Times New Roman" w:hAnsi="Times New Roman" w:cs="Times New Roman"/>
          <w:color w:val="000000"/>
          <w:sz w:val="24"/>
          <w:szCs w:val="24"/>
        </w:rPr>
        <w:tab/>
      </w:r>
      <w:hyperlink r:id="rId25" w:history="1">
        <w:r w:rsidRPr="0012686E">
          <w:rPr>
            <w:rFonts w:ascii="Times New Roman" w:eastAsia="Times New Roman" w:hAnsi="Times New Roman" w:cs="Times New Roman"/>
            <w:color w:val="000000"/>
            <w:sz w:val="24"/>
            <w:szCs w:val="24"/>
          </w:rPr>
          <w:t xml:space="preserve">Narendrakumar L, Chakraborty M, Kumari S, Paul D, Das B. β-Lactam potentiators to re-sensitize resistant pathogens: Discovery, development, clinical use and the way forward. Front Microbiol [Internet]. 2022;13:1092556. Available from: </w:t>
        </w:r>
      </w:hyperlink>
      <w:hyperlink r:id="rId26" w:history="1">
        <w:r w:rsidRPr="0012686E">
          <w:rPr>
            <w:rFonts w:ascii="Times New Roman" w:eastAsia="Times New Roman" w:hAnsi="Times New Roman" w:cs="Times New Roman"/>
            <w:color w:val="000000"/>
            <w:sz w:val="24"/>
            <w:szCs w:val="24"/>
          </w:rPr>
          <w:t>http://dx.doi.org/10.3389/fmicb.2022.1092556</w:t>
        </w:r>
      </w:hyperlink>
    </w:p>
    <w:p w14:paraId="54F738CF"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5. </w:t>
      </w:r>
      <w:r w:rsidRPr="0012686E">
        <w:rPr>
          <w:rFonts w:ascii="Times New Roman" w:eastAsia="Times New Roman" w:hAnsi="Times New Roman" w:cs="Times New Roman"/>
          <w:color w:val="000000"/>
          <w:sz w:val="24"/>
          <w:szCs w:val="24"/>
        </w:rPr>
        <w:tab/>
      </w:r>
      <w:hyperlink r:id="rId27" w:history="1">
        <w:r w:rsidRPr="0012686E">
          <w:rPr>
            <w:rFonts w:ascii="Times New Roman" w:eastAsia="Times New Roman" w:hAnsi="Times New Roman" w:cs="Times New Roman"/>
            <w:color w:val="000000"/>
            <w:sz w:val="24"/>
            <w:szCs w:val="24"/>
          </w:rPr>
          <w:t xml:space="preserve">Sheu CC, Chang YT, Lin SY, Chen YH, Hsueh PR. Infections Caused by Carbapenem-Resistant : An Update on Therapeutic Options. Front Microbiol [Internet]. 2019 Jan 30;10:80. Available from: </w:t>
        </w:r>
      </w:hyperlink>
      <w:hyperlink r:id="rId28" w:history="1">
        <w:r w:rsidRPr="0012686E">
          <w:rPr>
            <w:rFonts w:ascii="Times New Roman" w:eastAsia="Times New Roman" w:hAnsi="Times New Roman" w:cs="Times New Roman"/>
            <w:color w:val="000000"/>
            <w:sz w:val="24"/>
            <w:szCs w:val="24"/>
          </w:rPr>
          <w:t>http://dx.doi.org/10.3389/fmicb.2019.00080</w:t>
        </w:r>
      </w:hyperlink>
    </w:p>
    <w:p w14:paraId="2B4B3EE8"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6. </w:t>
      </w:r>
      <w:r w:rsidRPr="0012686E">
        <w:rPr>
          <w:rFonts w:ascii="Times New Roman" w:eastAsia="Times New Roman" w:hAnsi="Times New Roman" w:cs="Times New Roman"/>
          <w:color w:val="000000"/>
          <w:sz w:val="24"/>
          <w:szCs w:val="24"/>
        </w:rPr>
        <w:tab/>
      </w:r>
      <w:hyperlink r:id="rId29" w:history="1">
        <w:r w:rsidRPr="0012686E">
          <w:rPr>
            <w:rFonts w:ascii="Times New Roman" w:eastAsia="Times New Roman" w:hAnsi="Times New Roman" w:cs="Times New Roman"/>
            <w:color w:val="000000"/>
            <w:sz w:val="24"/>
            <w:szCs w:val="24"/>
          </w:rPr>
          <w:t xml:space="preserve">Sahu M, Sanjith S, Bhalekar P, Keny D. Waging war against extended spectrum Beta lactamase and metallobetalactamase producing pathogens- novel adjuvant antimicrobial agent cse1034- an extended hope. J Clin Diagn Res [Internet]. 2014 Jun;8(6):DC20–3. Available from: </w:t>
        </w:r>
      </w:hyperlink>
      <w:hyperlink r:id="rId30" w:history="1">
        <w:r w:rsidRPr="0012686E">
          <w:rPr>
            <w:rFonts w:ascii="Times New Roman" w:eastAsia="Times New Roman" w:hAnsi="Times New Roman" w:cs="Times New Roman"/>
            <w:color w:val="000000"/>
            <w:sz w:val="24"/>
            <w:szCs w:val="24"/>
          </w:rPr>
          <w:t>http://dx.doi.org/10.7860/JCDR/2014/8802.4504</w:t>
        </w:r>
      </w:hyperlink>
    </w:p>
    <w:p w14:paraId="00B91EBB"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7. </w:t>
      </w:r>
      <w:r w:rsidRPr="0012686E">
        <w:rPr>
          <w:rFonts w:ascii="Times New Roman" w:eastAsia="Times New Roman" w:hAnsi="Times New Roman" w:cs="Times New Roman"/>
          <w:color w:val="000000"/>
          <w:sz w:val="24"/>
          <w:szCs w:val="24"/>
        </w:rPr>
        <w:tab/>
      </w:r>
      <w:hyperlink r:id="rId31" w:history="1">
        <w:r w:rsidRPr="0012686E">
          <w:rPr>
            <w:rFonts w:ascii="Times New Roman" w:eastAsia="Times New Roman" w:hAnsi="Times New Roman" w:cs="Times New Roman"/>
            <w:color w:val="000000"/>
            <w:sz w:val="24"/>
            <w:szCs w:val="24"/>
          </w:rPr>
          <w:t xml:space="preserve">Urban-Chmiel R, Marek A, Stępień-Pyśniak D, Wieczorek K, Dec M, Nowaczek A, et al. Antibiotic Resistance in Bacteria-A Review. Antibiotics (Basel) [Internet]. 2022 Aug 9;11(8). Available from: </w:t>
        </w:r>
      </w:hyperlink>
      <w:hyperlink r:id="rId32" w:history="1">
        <w:r w:rsidRPr="0012686E">
          <w:rPr>
            <w:rFonts w:ascii="Times New Roman" w:eastAsia="Times New Roman" w:hAnsi="Times New Roman" w:cs="Times New Roman"/>
            <w:color w:val="000000"/>
            <w:sz w:val="24"/>
            <w:szCs w:val="24"/>
          </w:rPr>
          <w:t>http://dx.doi.org/10.3390/antibiotics11081079</w:t>
        </w:r>
      </w:hyperlink>
    </w:p>
    <w:p w14:paraId="58DC943E"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8. </w:t>
      </w:r>
      <w:r w:rsidRPr="0012686E">
        <w:rPr>
          <w:rFonts w:ascii="Times New Roman" w:eastAsia="Times New Roman" w:hAnsi="Times New Roman" w:cs="Times New Roman"/>
          <w:color w:val="000000"/>
          <w:sz w:val="24"/>
          <w:szCs w:val="24"/>
        </w:rPr>
        <w:tab/>
      </w:r>
      <w:hyperlink r:id="rId33" w:history="1">
        <w:r w:rsidRPr="0012686E">
          <w:rPr>
            <w:rFonts w:ascii="Times New Roman" w:eastAsia="Times New Roman" w:hAnsi="Times New Roman" w:cs="Times New Roman"/>
            <w:color w:val="000000"/>
            <w:sz w:val="24"/>
            <w:szCs w:val="24"/>
          </w:rPr>
          <w:t xml:space="preserve">Lin MF, Lan CY. Antimicrobial resistance in Acinetobacter baumannii: From bench to bedside. World J Clin Cases [Internet]. 2014 Dec 16;2(12):787–814. Available from: </w:t>
        </w:r>
      </w:hyperlink>
      <w:hyperlink r:id="rId34" w:history="1">
        <w:r w:rsidRPr="0012686E">
          <w:rPr>
            <w:rFonts w:ascii="Times New Roman" w:eastAsia="Times New Roman" w:hAnsi="Times New Roman" w:cs="Times New Roman"/>
            <w:color w:val="000000"/>
            <w:sz w:val="24"/>
            <w:szCs w:val="24"/>
          </w:rPr>
          <w:t>http://dx.doi.org/10.12998/wjcc.v2.i12.787</w:t>
        </w:r>
      </w:hyperlink>
    </w:p>
    <w:p w14:paraId="21300417" w14:textId="77777777" w:rsidR="00FA015E" w:rsidRPr="00FA015E" w:rsidRDefault="00FA015E" w:rsidP="0012686E">
      <w:pPr>
        <w:spacing w:after="240" w:line="240" w:lineRule="auto"/>
        <w:ind w:hanging="480"/>
        <w:jc w:val="both"/>
        <w:rPr>
          <w:rFonts w:ascii="Times New Roman" w:eastAsia="Times New Roman" w:hAnsi="Times New Roman" w:cs="Times New Roman"/>
          <w:sz w:val="24"/>
          <w:szCs w:val="24"/>
        </w:rPr>
      </w:pPr>
      <w:r w:rsidRPr="00FA015E">
        <w:rPr>
          <w:rFonts w:ascii="Times New Roman" w:eastAsia="Times New Roman" w:hAnsi="Times New Roman" w:cs="Times New Roman"/>
          <w:color w:val="000000"/>
          <w:sz w:val="24"/>
          <w:szCs w:val="24"/>
        </w:rPr>
        <w:t xml:space="preserve">9. </w:t>
      </w:r>
      <w:r w:rsidRPr="0012686E">
        <w:rPr>
          <w:rFonts w:ascii="Times New Roman" w:eastAsia="Times New Roman" w:hAnsi="Times New Roman" w:cs="Times New Roman"/>
          <w:color w:val="000000"/>
          <w:sz w:val="24"/>
          <w:szCs w:val="24"/>
        </w:rPr>
        <w:tab/>
      </w:r>
      <w:hyperlink r:id="rId35" w:history="1">
        <w:r w:rsidRPr="0012686E">
          <w:rPr>
            <w:rFonts w:ascii="Times New Roman" w:eastAsia="Times New Roman" w:hAnsi="Times New Roman" w:cs="Times New Roman"/>
            <w:color w:val="000000"/>
            <w:sz w:val="24"/>
            <w:szCs w:val="24"/>
          </w:rPr>
          <w:t xml:space="preserve">Wright MS, Haft DH, Harkins DM, Perez F, Hujer KM, Bajaksouzian S, et al. Erratum for “New Insights into Dissemination and Variation of the Health Care-Associated Pathogen Acinetobacter </w:t>
        </w:r>
        <w:r w:rsidRPr="0012686E">
          <w:rPr>
            <w:rFonts w:ascii="Times New Roman" w:eastAsia="Times New Roman" w:hAnsi="Times New Roman" w:cs="Times New Roman"/>
            <w:color w:val="000000"/>
            <w:sz w:val="24"/>
            <w:szCs w:val="24"/>
          </w:rPr>
          <w:lastRenderedPageBreak/>
          <w:t xml:space="preserve">baumannii from Genomic Analysis.” MBio [Internet]. 2015 Jun 4;6(3):e00585. Available from: </w:t>
        </w:r>
      </w:hyperlink>
      <w:hyperlink r:id="rId36" w:history="1">
        <w:r w:rsidRPr="0012686E">
          <w:rPr>
            <w:rFonts w:ascii="Times New Roman" w:eastAsia="Times New Roman" w:hAnsi="Times New Roman" w:cs="Times New Roman"/>
            <w:color w:val="000000"/>
            <w:sz w:val="24"/>
            <w:szCs w:val="24"/>
          </w:rPr>
          <w:t>http://dx.doi.org/10.1128/mBio.00585-15</w:t>
        </w:r>
      </w:hyperlink>
    </w:p>
    <w:p w14:paraId="4A19A512" w14:textId="77777777" w:rsidR="000376A1" w:rsidRPr="0012686E" w:rsidRDefault="000376A1" w:rsidP="0012686E">
      <w:pPr>
        <w:spacing w:after="0" w:line="240" w:lineRule="auto"/>
        <w:jc w:val="both"/>
        <w:rPr>
          <w:rFonts w:ascii="Times New Roman" w:hAnsi="Times New Roman" w:cs="Times New Roman"/>
          <w:sz w:val="24"/>
          <w:szCs w:val="24"/>
        </w:rPr>
      </w:pPr>
    </w:p>
    <w:sectPr w:rsidR="000376A1" w:rsidRPr="0012686E">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336A" w14:textId="77777777" w:rsidR="00493DD8" w:rsidRDefault="00493DD8" w:rsidP="00FA7B35">
      <w:pPr>
        <w:spacing w:after="0" w:line="240" w:lineRule="auto"/>
      </w:pPr>
      <w:r>
        <w:separator/>
      </w:r>
    </w:p>
  </w:endnote>
  <w:endnote w:type="continuationSeparator" w:id="0">
    <w:p w14:paraId="07F9C588" w14:textId="77777777" w:rsidR="00493DD8" w:rsidRDefault="00493DD8" w:rsidP="00FA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E96" w14:textId="77777777" w:rsidR="00FA7B35" w:rsidRDefault="00FA7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EF63" w14:textId="77777777" w:rsidR="00FA7B35" w:rsidRDefault="00FA7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2BDA" w14:textId="77777777" w:rsidR="00FA7B35" w:rsidRDefault="00FA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06B8" w14:textId="77777777" w:rsidR="00493DD8" w:rsidRDefault="00493DD8" w:rsidP="00FA7B35">
      <w:pPr>
        <w:spacing w:after="0" w:line="240" w:lineRule="auto"/>
      </w:pPr>
      <w:r>
        <w:separator/>
      </w:r>
    </w:p>
  </w:footnote>
  <w:footnote w:type="continuationSeparator" w:id="0">
    <w:p w14:paraId="76C780DD" w14:textId="77777777" w:rsidR="00493DD8" w:rsidRDefault="00493DD8" w:rsidP="00FA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438D" w14:textId="3731822B" w:rsidR="00FA7B35" w:rsidRDefault="00000000">
    <w:pPr>
      <w:pStyle w:val="Header"/>
    </w:pPr>
    <w:r>
      <w:rPr>
        <w:noProof/>
      </w:rPr>
      <w:pict w14:anchorId="0B437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840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B6C5" w14:textId="5F15BCAF" w:rsidR="00FA7B35" w:rsidRDefault="00000000">
    <w:pPr>
      <w:pStyle w:val="Header"/>
    </w:pPr>
    <w:r>
      <w:rPr>
        <w:noProof/>
      </w:rPr>
      <w:pict w14:anchorId="20A11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840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8916" w14:textId="471C5F97" w:rsidR="00FA7B35" w:rsidRDefault="00000000">
    <w:pPr>
      <w:pStyle w:val="Header"/>
    </w:pPr>
    <w:r>
      <w:rPr>
        <w:noProof/>
      </w:rPr>
      <w:pict w14:anchorId="3B8A6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1840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5541E"/>
    <w:multiLevelType w:val="hybridMultilevel"/>
    <w:tmpl w:val="A50C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19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AwMjUxNDIwMTQ2NDJW0lEKTi0uzszPAykwrAUA2elQICwAAAA="/>
  </w:docVars>
  <w:rsids>
    <w:rsidRoot w:val="00C84147"/>
    <w:rsid w:val="00024115"/>
    <w:rsid w:val="000376A1"/>
    <w:rsid w:val="00046643"/>
    <w:rsid w:val="000515EC"/>
    <w:rsid w:val="00095F0E"/>
    <w:rsid w:val="000F1155"/>
    <w:rsid w:val="00105B75"/>
    <w:rsid w:val="0012686E"/>
    <w:rsid w:val="0014049F"/>
    <w:rsid w:val="001D0641"/>
    <w:rsid w:val="00246E28"/>
    <w:rsid w:val="00251126"/>
    <w:rsid w:val="0025643A"/>
    <w:rsid w:val="002B07AE"/>
    <w:rsid w:val="003813BA"/>
    <w:rsid w:val="003B2BBE"/>
    <w:rsid w:val="00493DD8"/>
    <w:rsid w:val="00566BD2"/>
    <w:rsid w:val="00697161"/>
    <w:rsid w:val="007B2F6B"/>
    <w:rsid w:val="008419F2"/>
    <w:rsid w:val="00866462"/>
    <w:rsid w:val="009748E7"/>
    <w:rsid w:val="009B1724"/>
    <w:rsid w:val="00A16C10"/>
    <w:rsid w:val="00A708AD"/>
    <w:rsid w:val="00AA7E70"/>
    <w:rsid w:val="00AB7930"/>
    <w:rsid w:val="00BF3023"/>
    <w:rsid w:val="00C84147"/>
    <w:rsid w:val="00EC57B7"/>
    <w:rsid w:val="00FA015E"/>
    <w:rsid w:val="00FA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1ABE132"/>
  <w15:chartTrackingRefBased/>
  <w15:docId w15:val="{B6A70842-20C5-43BF-8267-BA9A8CD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C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6C10"/>
    <w:rPr>
      <w:color w:val="0000FF"/>
      <w:u w:val="single"/>
    </w:rPr>
  </w:style>
  <w:style w:type="character" w:customStyle="1" w:styleId="apple-tab-span">
    <w:name w:val="apple-tab-span"/>
    <w:basedOn w:val="DefaultParagraphFont"/>
    <w:rsid w:val="00A16C10"/>
  </w:style>
  <w:style w:type="paragraph" w:styleId="ListParagraph">
    <w:name w:val="List Paragraph"/>
    <w:basedOn w:val="Normal"/>
    <w:uiPriority w:val="34"/>
    <w:qFormat/>
    <w:rsid w:val="00024115"/>
    <w:pPr>
      <w:ind w:left="720"/>
      <w:contextualSpacing/>
    </w:pPr>
  </w:style>
  <w:style w:type="table" w:styleId="TableGrid">
    <w:name w:val="Table Grid"/>
    <w:basedOn w:val="TableNormal"/>
    <w:uiPriority w:val="59"/>
    <w:rsid w:val="0009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35"/>
  </w:style>
  <w:style w:type="paragraph" w:styleId="Footer">
    <w:name w:val="footer"/>
    <w:basedOn w:val="Normal"/>
    <w:link w:val="FooterChar"/>
    <w:uiPriority w:val="99"/>
    <w:unhideWhenUsed/>
    <w:rsid w:val="00FA7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9265">
      <w:bodyDiv w:val="1"/>
      <w:marLeft w:val="0"/>
      <w:marRight w:val="0"/>
      <w:marTop w:val="0"/>
      <w:marBottom w:val="0"/>
      <w:divBdr>
        <w:top w:val="none" w:sz="0" w:space="0" w:color="auto"/>
        <w:left w:val="none" w:sz="0" w:space="0" w:color="auto"/>
        <w:bottom w:val="none" w:sz="0" w:space="0" w:color="auto"/>
        <w:right w:val="none" w:sz="0" w:space="0" w:color="auto"/>
      </w:divBdr>
    </w:div>
    <w:div w:id="1098718333">
      <w:bodyDiv w:val="1"/>
      <w:marLeft w:val="0"/>
      <w:marRight w:val="0"/>
      <w:marTop w:val="0"/>
      <w:marBottom w:val="0"/>
      <w:divBdr>
        <w:top w:val="none" w:sz="0" w:space="0" w:color="auto"/>
        <w:left w:val="none" w:sz="0" w:space="0" w:color="auto"/>
        <w:bottom w:val="none" w:sz="0" w:space="0" w:color="auto"/>
        <w:right w:val="none" w:sz="0" w:space="0" w:color="auto"/>
      </w:divBdr>
    </w:div>
    <w:div w:id="17828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rvX9ea/PghP" TargetMode="External"/><Relationship Id="rId18" Type="http://schemas.openxmlformats.org/officeDocument/2006/relationships/chart" Target="charts/chart1.xml"/><Relationship Id="rId26" Type="http://schemas.openxmlformats.org/officeDocument/2006/relationships/hyperlink" Target="http://dx.doi.org/10.3389/fmicb.2022.1092556" TargetMode="External"/><Relationship Id="rId39" Type="http://schemas.openxmlformats.org/officeDocument/2006/relationships/footer" Target="footer1.xml"/><Relationship Id="rId21" Type="http://schemas.openxmlformats.org/officeDocument/2006/relationships/hyperlink" Target="http://paperpile.com/b/rvX9ea/P5ow" TargetMode="External"/><Relationship Id="rId34" Type="http://schemas.openxmlformats.org/officeDocument/2006/relationships/hyperlink" Target="http://dx.doi.org/10.12998/wjcc.v2.i12.787" TargetMode="External"/><Relationship Id="rId42" Type="http://schemas.openxmlformats.org/officeDocument/2006/relationships/footer" Target="footer3.xml"/><Relationship Id="rId7" Type="http://schemas.openxmlformats.org/officeDocument/2006/relationships/hyperlink" Target="https://paperpile.com/c/rvX9ea/qKRc" TargetMode="External"/><Relationship Id="rId2" Type="http://schemas.openxmlformats.org/officeDocument/2006/relationships/styles" Target="styles.xml"/><Relationship Id="rId16" Type="http://schemas.openxmlformats.org/officeDocument/2006/relationships/hyperlink" Target="https://paperpile.com/c/rvX9ea/QnxD" TargetMode="External"/><Relationship Id="rId20" Type="http://schemas.openxmlformats.org/officeDocument/2006/relationships/hyperlink" Target="http://dx.doi.org/10.3390/antibiotics9030119" TargetMode="External"/><Relationship Id="rId29" Type="http://schemas.openxmlformats.org/officeDocument/2006/relationships/hyperlink" Target="http://paperpile.com/b/rvX9ea/PghP"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pile.com/c/rvX9ea/qKRc" TargetMode="External"/><Relationship Id="rId24" Type="http://schemas.openxmlformats.org/officeDocument/2006/relationships/hyperlink" Target="http://dx.doi.org/10.1080/21505594.2016.1150405" TargetMode="External"/><Relationship Id="rId32" Type="http://schemas.openxmlformats.org/officeDocument/2006/relationships/hyperlink" Target="http://dx.doi.org/10.3390/antibiotics11081079"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aperpile.com/c/rvX9ea/QnxD" TargetMode="External"/><Relationship Id="rId23" Type="http://schemas.openxmlformats.org/officeDocument/2006/relationships/hyperlink" Target="http://paperpile.com/b/rvX9ea/7Odk" TargetMode="External"/><Relationship Id="rId28" Type="http://schemas.openxmlformats.org/officeDocument/2006/relationships/hyperlink" Target="http://dx.doi.org/10.3389/fmicb.2019.00080" TargetMode="External"/><Relationship Id="rId36" Type="http://schemas.openxmlformats.org/officeDocument/2006/relationships/hyperlink" Target="http://dx.doi.org/10.1128/mBio.00585-15" TargetMode="External"/><Relationship Id="rId10" Type="http://schemas.openxmlformats.org/officeDocument/2006/relationships/hyperlink" Target="https://paperpile.com/c/rvX9ea/YzXD" TargetMode="External"/><Relationship Id="rId19" Type="http://schemas.openxmlformats.org/officeDocument/2006/relationships/hyperlink" Target="http://paperpile.com/b/rvX9ea/qKRc" TargetMode="External"/><Relationship Id="rId31" Type="http://schemas.openxmlformats.org/officeDocument/2006/relationships/hyperlink" Target="http://paperpile.com/b/rvX9ea/jo9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perpile.com/c/rvX9ea/7Odk" TargetMode="External"/><Relationship Id="rId14" Type="http://schemas.openxmlformats.org/officeDocument/2006/relationships/hyperlink" Target="https://paperpile.com/c/rvX9ea/jo93" TargetMode="External"/><Relationship Id="rId22" Type="http://schemas.openxmlformats.org/officeDocument/2006/relationships/hyperlink" Target="http://dx.doi.org/10.1016/j.sjbs.2016.02.009" TargetMode="External"/><Relationship Id="rId27" Type="http://schemas.openxmlformats.org/officeDocument/2006/relationships/hyperlink" Target="http://paperpile.com/b/rvX9ea/t9BZ" TargetMode="External"/><Relationship Id="rId30" Type="http://schemas.openxmlformats.org/officeDocument/2006/relationships/hyperlink" Target="http://dx.doi.org/10.7860/JCDR/2014/8802.4504" TargetMode="External"/><Relationship Id="rId35" Type="http://schemas.openxmlformats.org/officeDocument/2006/relationships/hyperlink" Target="http://paperpile.com/b/rvX9ea/OAf9" TargetMode="External"/><Relationship Id="rId43" Type="http://schemas.openxmlformats.org/officeDocument/2006/relationships/fontTable" Target="fontTable.xml"/><Relationship Id="rId8" Type="http://schemas.openxmlformats.org/officeDocument/2006/relationships/hyperlink" Target="https://paperpile.com/c/rvX9ea/P5ow" TargetMode="External"/><Relationship Id="rId3" Type="http://schemas.openxmlformats.org/officeDocument/2006/relationships/settings" Target="settings.xml"/><Relationship Id="rId12" Type="http://schemas.openxmlformats.org/officeDocument/2006/relationships/hyperlink" Target="https://paperpile.com/c/rvX9ea/t9BZ" TargetMode="External"/><Relationship Id="rId17" Type="http://schemas.openxmlformats.org/officeDocument/2006/relationships/hyperlink" Target="https://paperpile.com/c/rvX9ea/OAf9" TargetMode="External"/><Relationship Id="rId25" Type="http://schemas.openxmlformats.org/officeDocument/2006/relationships/hyperlink" Target="http://paperpile.com/b/rvX9ea/YzXD" TargetMode="External"/><Relationship Id="rId33" Type="http://schemas.openxmlformats.org/officeDocument/2006/relationships/hyperlink" Target="http://paperpile.com/b/rvX9ea/QnxD" TargetMode="External"/><Relationship Id="rId38"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Sheet1!$B$16</c:f>
              <c:strCache>
                <c:ptCount val="1"/>
                <c:pt idx="0">
                  <c:v>MM1_15</c:v>
                </c:pt>
              </c:strCache>
            </c:strRef>
          </c:tx>
          <c:invertIfNegative val="0"/>
          <c:errBars>
            <c:errBarType val="both"/>
            <c:errValType val="cust"/>
            <c:noEndCap val="0"/>
            <c:plus>
              <c:numRef>
                <c:f>Sheet1!$H$17:$H$26</c:f>
                <c:numCache>
                  <c:formatCode>General</c:formatCode>
                  <c:ptCount val="10"/>
                  <c:pt idx="0">
                    <c:v>1.4142135623730951</c:v>
                  </c:pt>
                  <c:pt idx="1">
                    <c:v>1.4142135623730951</c:v>
                  </c:pt>
                  <c:pt idx="2">
                    <c:v>1.4142135623730951</c:v>
                  </c:pt>
                  <c:pt idx="3">
                    <c:v>1.4142135623730951</c:v>
                  </c:pt>
                  <c:pt idx="4">
                    <c:v>1.4142135623730951</c:v>
                  </c:pt>
                  <c:pt idx="5">
                    <c:v>0</c:v>
                  </c:pt>
                  <c:pt idx="6">
                    <c:v>2.8284271247461903</c:v>
                  </c:pt>
                  <c:pt idx="7">
                    <c:v>2.8284271247461903</c:v>
                  </c:pt>
                  <c:pt idx="8">
                    <c:v>1.4142135623730951</c:v>
                  </c:pt>
                  <c:pt idx="9">
                    <c:v>1.4142135623730951</c:v>
                  </c:pt>
                </c:numCache>
              </c:numRef>
            </c:plus>
            <c:minus>
              <c:numRef>
                <c:f>Sheet1!$H$17:$H$26</c:f>
                <c:numCache>
                  <c:formatCode>General</c:formatCode>
                  <c:ptCount val="10"/>
                  <c:pt idx="0">
                    <c:v>1.4142135623730951</c:v>
                  </c:pt>
                  <c:pt idx="1">
                    <c:v>1.4142135623730951</c:v>
                  </c:pt>
                  <c:pt idx="2">
                    <c:v>1.4142135623730951</c:v>
                  </c:pt>
                  <c:pt idx="3">
                    <c:v>1.4142135623730951</c:v>
                  </c:pt>
                  <c:pt idx="4">
                    <c:v>1.4142135623730951</c:v>
                  </c:pt>
                  <c:pt idx="5">
                    <c:v>0</c:v>
                  </c:pt>
                  <c:pt idx="6">
                    <c:v>2.8284271247461903</c:v>
                  </c:pt>
                  <c:pt idx="7">
                    <c:v>2.8284271247461903</c:v>
                  </c:pt>
                  <c:pt idx="8">
                    <c:v>1.4142135623730951</c:v>
                  </c:pt>
                  <c:pt idx="9">
                    <c:v>1.4142135623730951</c:v>
                  </c:pt>
                </c:numCache>
              </c:numRef>
            </c:minus>
          </c:errBars>
          <c:cat>
            <c:strRef>
              <c:f>Sheet1!$A$17:$A$26</c:f>
              <c:strCache>
                <c:ptCount val="10"/>
                <c:pt idx="0">
                  <c:v>SEP</c:v>
                </c:pt>
                <c:pt idx="1">
                  <c:v>CHL</c:v>
                </c:pt>
                <c:pt idx="2">
                  <c:v>SPAR</c:v>
                </c:pt>
                <c:pt idx="3">
                  <c:v>AMX</c:v>
                </c:pt>
                <c:pt idx="4">
                  <c:v>AUG</c:v>
                </c:pt>
                <c:pt idx="5">
                  <c:v>GEN</c:v>
                </c:pt>
                <c:pt idx="6">
                  <c:v>PERF</c:v>
                </c:pt>
                <c:pt idx="7">
                  <c:v>CIP</c:v>
                </c:pt>
                <c:pt idx="8">
                  <c:v>STR</c:v>
                </c:pt>
                <c:pt idx="9">
                  <c:v>OFL</c:v>
                </c:pt>
              </c:strCache>
            </c:strRef>
          </c:cat>
          <c:val>
            <c:numRef>
              <c:f>Sheet1!$B$17:$B$26</c:f>
              <c:numCache>
                <c:formatCode>General</c:formatCode>
                <c:ptCount val="10"/>
                <c:pt idx="0">
                  <c:v>21</c:v>
                </c:pt>
                <c:pt idx="1">
                  <c:v>17</c:v>
                </c:pt>
                <c:pt idx="2">
                  <c:v>25</c:v>
                </c:pt>
                <c:pt idx="3">
                  <c:v>16</c:v>
                </c:pt>
                <c:pt idx="4">
                  <c:v>14</c:v>
                </c:pt>
                <c:pt idx="5">
                  <c:v>22</c:v>
                </c:pt>
                <c:pt idx="6">
                  <c:v>24</c:v>
                </c:pt>
                <c:pt idx="7">
                  <c:v>16</c:v>
                </c:pt>
                <c:pt idx="8">
                  <c:v>29</c:v>
                </c:pt>
                <c:pt idx="9">
                  <c:v>22</c:v>
                </c:pt>
              </c:numCache>
            </c:numRef>
          </c:val>
          <c:extLst>
            <c:ext xmlns:c16="http://schemas.microsoft.com/office/drawing/2014/chart" uri="{C3380CC4-5D6E-409C-BE32-E72D297353CC}">
              <c16:uniqueId val="{00000000-4CD5-43AA-B982-9E20B58D0CAB}"/>
            </c:ext>
          </c:extLst>
        </c:ser>
        <c:ser>
          <c:idx val="1"/>
          <c:order val="1"/>
          <c:tx>
            <c:strRef>
              <c:f>Sheet1!$C$16</c:f>
              <c:strCache>
                <c:ptCount val="1"/>
                <c:pt idx="0">
                  <c:v>MM2_15</c:v>
                </c:pt>
              </c:strCache>
            </c:strRef>
          </c:tx>
          <c:invertIfNegative val="0"/>
          <c:errBars>
            <c:errBarType val="both"/>
            <c:errValType val="cust"/>
            <c:noEndCap val="0"/>
            <c:plus>
              <c:numRef>
                <c:f>Sheet1!$I$17:$I$26</c:f>
                <c:numCache>
                  <c:formatCode>General</c:formatCode>
                  <c:ptCount val="10"/>
                  <c:pt idx="0">
                    <c:v>1.4142135623730951</c:v>
                  </c:pt>
                  <c:pt idx="1">
                    <c:v>1.4142135623730951</c:v>
                  </c:pt>
                  <c:pt idx="2">
                    <c:v>1.4142135623730951</c:v>
                  </c:pt>
                  <c:pt idx="3">
                    <c:v>0</c:v>
                  </c:pt>
                  <c:pt idx="4">
                    <c:v>1.4142135623730951</c:v>
                  </c:pt>
                  <c:pt idx="5">
                    <c:v>1.4142135623730951</c:v>
                  </c:pt>
                  <c:pt idx="6">
                    <c:v>1.4142135623730951</c:v>
                  </c:pt>
                  <c:pt idx="7">
                    <c:v>2.8284271247461903</c:v>
                  </c:pt>
                  <c:pt idx="8">
                    <c:v>0</c:v>
                  </c:pt>
                  <c:pt idx="9">
                    <c:v>1.4142135623730951</c:v>
                  </c:pt>
                </c:numCache>
              </c:numRef>
            </c:plus>
            <c:minus>
              <c:numRef>
                <c:f>Sheet1!$I$17:$I$26</c:f>
                <c:numCache>
                  <c:formatCode>General</c:formatCode>
                  <c:ptCount val="10"/>
                  <c:pt idx="0">
                    <c:v>1.4142135623730951</c:v>
                  </c:pt>
                  <c:pt idx="1">
                    <c:v>1.4142135623730951</c:v>
                  </c:pt>
                  <c:pt idx="2">
                    <c:v>1.4142135623730951</c:v>
                  </c:pt>
                  <c:pt idx="3">
                    <c:v>0</c:v>
                  </c:pt>
                  <c:pt idx="4">
                    <c:v>1.4142135623730951</c:v>
                  </c:pt>
                  <c:pt idx="5">
                    <c:v>1.4142135623730951</c:v>
                  </c:pt>
                  <c:pt idx="6">
                    <c:v>1.4142135623730951</c:v>
                  </c:pt>
                  <c:pt idx="7">
                    <c:v>2.8284271247461903</c:v>
                  </c:pt>
                  <c:pt idx="8">
                    <c:v>0</c:v>
                  </c:pt>
                  <c:pt idx="9">
                    <c:v>1.4142135623730951</c:v>
                  </c:pt>
                </c:numCache>
              </c:numRef>
            </c:minus>
          </c:errBars>
          <c:cat>
            <c:strRef>
              <c:f>Sheet1!$A$17:$A$26</c:f>
              <c:strCache>
                <c:ptCount val="10"/>
                <c:pt idx="0">
                  <c:v>SEP</c:v>
                </c:pt>
                <c:pt idx="1">
                  <c:v>CHL</c:v>
                </c:pt>
                <c:pt idx="2">
                  <c:v>SPAR</c:v>
                </c:pt>
                <c:pt idx="3">
                  <c:v>AMX</c:v>
                </c:pt>
                <c:pt idx="4">
                  <c:v>AUG</c:v>
                </c:pt>
                <c:pt idx="5">
                  <c:v>GEN</c:v>
                </c:pt>
                <c:pt idx="6">
                  <c:v>PERF</c:v>
                </c:pt>
                <c:pt idx="7">
                  <c:v>CIP</c:v>
                </c:pt>
                <c:pt idx="8">
                  <c:v>STR</c:v>
                </c:pt>
                <c:pt idx="9">
                  <c:v>OFL</c:v>
                </c:pt>
              </c:strCache>
            </c:strRef>
          </c:cat>
          <c:val>
            <c:numRef>
              <c:f>Sheet1!$C$17:$C$26</c:f>
              <c:numCache>
                <c:formatCode>General</c:formatCode>
                <c:ptCount val="10"/>
                <c:pt idx="0">
                  <c:v>20</c:v>
                </c:pt>
                <c:pt idx="1">
                  <c:v>16</c:v>
                </c:pt>
                <c:pt idx="2">
                  <c:v>23</c:v>
                </c:pt>
                <c:pt idx="3">
                  <c:v>12</c:v>
                </c:pt>
                <c:pt idx="4">
                  <c:v>15</c:v>
                </c:pt>
                <c:pt idx="5">
                  <c:v>11</c:v>
                </c:pt>
                <c:pt idx="6">
                  <c:v>21</c:v>
                </c:pt>
                <c:pt idx="7">
                  <c:v>19</c:v>
                </c:pt>
                <c:pt idx="8">
                  <c:v>27</c:v>
                </c:pt>
                <c:pt idx="9">
                  <c:v>25</c:v>
                </c:pt>
              </c:numCache>
            </c:numRef>
          </c:val>
          <c:extLst>
            <c:ext xmlns:c16="http://schemas.microsoft.com/office/drawing/2014/chart" uri="{C3380CC4-5D6E-409C-BE32-E72D297353CC}">
              <c16:uniqueId val="{00000001-4CD5-43AA-B982-9E20B58D0CAB}"/>
            </c:ext>
          </c:extLst>
        </c:ser>
        <c:dLbls>
          <c:showLegendKey val="0"/>
          <c:showVal val="0"/>
          <c:showCatName val="0"/>
          <c:showSerName val="0"/>
          <c:showPercent val="0"/>
          <c:showBubbleSize val="0"/>
        </c:dLbls>
        <c:gapWidth val="150"/>
        <c:axId val="130745856"/>
        <c:axId val="130747776"/>
      </c:barChart>
      <c:catAx>
        <c:axId val="130745856"/>
        <c:scaling>
          <c:orientation val="minMax"/>
        </c:scaling>
        <c:delete val="0"/>
        <c:axPos val="b"/>
        <c:title>
          <c:tx>
            <c:rich>
              <a:bodyPr/>
              <a:lstStyle/>
              <a:p>
                <a:pPr>
                  <a:defRPr/>
                </a:pPr>
                <a:r>
                  <a:rPr lang="en-US" sz="1600"/>
                  <a:t>ANTIBIOTICS</a:t>
                </a:r>
                <a:r>
                  <a:rPr lang="en-US" sz="1600" baseline="0"/>
                  <a:t> TESTED</a:t>
                </a:r>
                <a:endParaRPr lang="en-US" sz="1600"/>
              </a:p>
            </c:rich>
          </c:tx>
          <c:overlay val="0"/>
        </c:title>
        <c:numFmt formatCode="General" sourceLinked="0"/>
        <c:majorTickMark val="out"/>
        <c:minorTickMark val="none"/>
        <c:tickLblPos val="nextTo"/>
        <c:crossAx val="130747776"/>
        <c:crosses val="autoZero"/>
        <c:auto val="1"/>
        <c:lblAlgn val="ctr"/>
        <c:lblOffset val="100"/>
        <c:noMultiLvlLbl val="0"/>
      </c:catAx>
      <c:valAx>
        <c:axId val="130747776"/>
        <c:scaling>
          <c:orientation val="minMax"/>
        </c:scaling>
        <c:delete val="0"/>
        <c:axPos val="l"/>
        <c:majorGridlines/>
        <c:title>
          <c:tx>
            <c:rich>
              <a:bodyPr rot="-5400000" vert="horz"/>
              <a:lstStyle/>
              <a:p>
                <a:pPr>
                  <a:defRPr/>
                </a:pPr>
                <a:r>
                  <a:rPr lang="en-US" sz="1600"/>
                  <a:t>ZONE</a:t>
                </a:r>
                <a:r>
                  <a:rPr lang="en-US" sz="1600" baseline="0"/>
                  <a:t>  of  INHIBITIONS (mm)</a:t>
                </a:r>
                <a:endParaRPr lang="en-US" sz="1600"/>
              </a:p>
            </c:rich>
          </c:tx>
          <c:overlay val="0"/>
        </c:title>
        <c:numFmt formatCode="General" sourceLinked="1"/>
        <c:majorTickMark val="out"/>
        <c:minorTickMark val="none"/>
        <c:tickLblPos val="nextTo"/>
        <c:crossAx val="13074585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79</TotalTime>
  <Pages>8</Pages>
  <Words>2877</Words>
  <Characters>16403</Characters>
  <Application>Microsoft Office Word</Application>
  <DocSecurity>0</DocSecurity>
  <Lines>136</Lines>
  <Paragraphs>38</Paragraphs>
  <ScaleCrop>false</ScaleCrop>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Editor-90</cp:lastModifiedBy>
  <cp:revision>32</cp:revision>
  <dcterms:created xsi:type="dcterms:W3CDTF">2023-12-18T19:37:00Z</dcterms:created>
  <dcterms:modified xsi:type="dcterms:W3CDTF">2024-01-04T07:06:00Z</dcterms:modified>
</cp:coreProperties>
</file>