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87DA7" w14:textId="77777777" w:rsidR="004D0B57" w:rsidRPr="004D0B57" w:rsidRDefault="004D0B57" w:rsidP="004D0B57">
      <w:pPr>
        <w:pStyle w:val="Title"/>
        <w:rPr>
          <w:rFonts w:ascii="Arial" w:hAnsi="Arial" w:cs="Arial"/>
          <w:b/>
          <w:bCs/>
          <w:i/>
          <w:iCs/>
          <w:color w:val="000000"/>
          <w:sz w:val="32"/>
          <w:szCs w:val="32"/>
          <w:u w:val="single"/>
        </w:rPr>
      </w:pPr>
      <w:r w:rsidRPr="004D0B57">
        <w:rPr>
          <w:rFonts w:ascii="Arial" w:hAnsi="Arial" w:cs="Arial"/>
          <w:b/>
          <w:bCs/>
          <w:i/>
          <w:iCs/>
          <w:color w:val="000000"/>
          <w:sz w:val="32"/>
          <w:szCs w:val="32"/>
          <w:u w:val="single"/>
        </w:rPr>
        <w:t>Original Research Article</w:t>
      </w:r>
    </w:p>
    <w:p w14:paraId="7BBB8B05" w14:textId="5E9B988D" w:rsidR="00261AF3" w:rsidRPr="006A581E" w:rsidRDefault="005B4ED1" w:rsidP="006A581E">
      <w:pPr>
        <w:pStyle w:val="Title"/>
        <w:jc w:val="right"/>
        <w:rPr>
          <w:rFonts w:ascii="Arial" w:hAnsi="Arial" w:cs="Arial"/>
          <w:b/>
          <w:bCs/>
          <w:i/>
          <w:iCs/>
          <w:sz w:val="32"/>
          <w:szCs w:val="32"/>
        </w:rPr>
      </w:pPr>
      <w:r w:rsidRPr="00CB6329">
        <w:rPr>
          <w:rFonts w:ascii="Arial" w:hAnsi="Arial" w:cs="Arial"/>
          <w:b/>
          <w:bCs/>
          <w:i/>
          <w:iCs/>
          <w:color w:val="000000"/>
          <w:sz w:val="32"/>
          <w:szCs w:val="32"/>
          <w:highlight w:val="yellow"/>
        </w:rPr>
        <w:t xml:space="preserve">Carpobrotus edulis biosafety and potency against common pancreatic insufficiency </w:t>
      </w:r>
      <w:r w:rsidR="008A713F" w:rsidRPr="00CB6329">
        <w:rPr>
          <w:rFonts w:ascii="Arial" w:hAnsi="Arial" w:cs="Arial"/>
          <w:b/>
          <w:bCs/>
          <w:i/>
          <w:iCs/>
          <w:color w:val="000000"/>
          <w:sz w:val="32"/>
          <w:szCs w:val="32"/>
          <w:highlight w:val="yellow"/>
        </w:rPr>
        <w:t>biomarkers</w:t>
      </w:r>
    </w:p>
    <w:p w14:paraId="64D132A7" w14:textId="77777777" w:rsidR="00261AF3" w:rsidRPr="002F727C" w:rsidRDefault="00261AF3">
      <w:pPr>
        <w:pStyle w:val="Author"/>
        <w:spacing w:line="240" w:lineRule="auto"/>
        <w:rPr>
          <w:rFonts w:ascii="Arial" w:hAnsi="Arial" w:cs="Arial"/>
          <w:bCs/>
          <w:i/>
          <w:sz w:val="20"/>
          <w:lang w:val="en-ZW"/>
        </w:rPr>
      </w:pPr>
    </w:p>
    <w:p w14:paraId="489129FA" w14:textId="77777777" w:rsidR="00261AF3" w:rsidRPr="002F727C" w:rsidRDefault="00261AF3">
      <w:pPr>
        <w:pStyle w:val="Author"/>
        <w:spacing w:line="240" w:lineRule="auto"/>
        <w:jc w:val="both"/>
        <w:rPr>
          <w:rFonts w:ascii="Arial" w:hAnsi="Arial" w:cs="Arial"/>
          <w:bCs/>
          <w:iCs/>
          <w:kern w:val="28"/>
          <w:sz w:val="20"/>
        </w:rPr>
      </w:pPr>
    </w:p>
    <w:p w14:paraId="59AC33E9" w14:textId="77777777" w:rsidR="00F10265" w:rsidRPr="002F727C" w:rsidRDefault="00F10265">
      <w:pPr>
        <w:pStyle w:val="Affiliation"/>
        <w:rPr>
          <w:rFonts w:ascii="Arial" w:hAnsi="Arial" w:cs="Arial"/>
          <w:sz w:val="18"/>
          <w:szCs w:val="18"/>
        </w:rPr>
      </w:pPr>
    </w:p>
    <w:p w14:paraId="5B1987CF" w14:textId="77777777" w:rsidR="00261AF3" w:rsidRPr="002F4F9C" w:rsidRDefault="00000000" w:rsidP="002F4F9C">
      <w:pPr>
        <w:rPr>
          <w:rFonts w:ascii="Arial" w:hAnsi="Arial" w:cs="Arial"/>
          <w:b/>
          <w:bCs/>
          <w:sz w:val="24"/>
          <w:szCs w:val="24"/>
        </w:rPr>
      </w:pPr>
      <w:r w:rsidRPr="002F4F9C">
        <w:rPr>
          <w:rFonts w:ascii="Arial" w:hAnsi="Arial" w:cs="Arial"/>
          <w:b/>
          <w:bCs/>
          <w:sz w:val="24"/>
          <w:szCs w:val="24"/>
        </w:rPr>
        <w:t>Abstract</w:t>
      </w:r>
    </w:p>
    <w:p w14:paraId="09F385B4" w14:textId="79056B0E" w:rsidR="00F52E61" w:rsidRPr="00F52E61" w:rsidRDefault="005B4ED1" w:rsidP="00F52E61">
      <w:pPr>
        <w:pBdr>
          <w:top w:val="single" w:sz="4" w:space="1" w:color="auto"/>
          <w:left w:val="single" w:sz="4" w:space="4" w:color="auto"/>
          <w:bottom w:val="single" w:sz="4" w:space="1" w:color="auto"/>
          <w:right w:val="single" w:sz="4" w:space="4" w:color="auto"/>
        </w:pBdr>
        <w:jc w:val="both"/>
        <w:rPr>
          <w:rFonts w:ascii="Arial" w:hAnsi="Arial" w:cs="Arial"/>
        </w:rPr>
      </w:pPr>
      <w:r w:rsidRPr="002F727C">
        <w:rPr>
          <w:rFonts w:ascii="Arial" w:hAnsi="Arial" w:cs="Arial"/>
          <w:i/>
          <w:color w:val="000000"/>
        </w:rPr>
        <w:t>Carpobrotus edulis</w:t>
      </w:r>
      <w:r w:rsidRPr="002F727C">
        <w:rPr>
          <w:rFonts w:ascii="Arial" w:hAnsi="Arial" w:cs="Arial"/>
          <w:color w:val="000000"/>
        </w:rPr>
        <w:t>, a succulent plant indigenous to South</w:t>
      </w:r>
      <w:r w:rsidR="00A20289">
        <w:rPr>
          <w:rFonts w:ascii="Arial" w:hAnsi="Arial" w:cs="Arial"/>
          <w:color w:val="000000"/>
        </w:rPr>
        <w:t>ern</w:t>
      </w:r>
      <w:r w:rsidRPr="002F727C">
        <w:rPr>
          <w:rFonts w:ascii="Arial" w:hAnsi="Arial" w:cs="Arial"/>
          <w:color w:val="000000"/>
        </w:rPr>
        <w:t xml:space="preserve"> Africa</w:t>
      </w:r>
      <w:r w:rsidR="00A20289">
        <w:rPr>
          <w:rFonts w:ascii="Arial" w:hAnsi="Arial" w:cs="Arial"/>
          <w:color w:val="000000"/>
        </w:rPr>
        <w:t>n climes</w:t>
      </w:r>
      <w:r w:rsidRPr="002F727C">
        <w:rPr>
          <w:rFonts w:ascii="Arial" w:hAnsi="Arial" w:cs="Arial"/>
          <w:color w:val="000000"/>
        </w:rPr>
        <w:t xml:space="preserve">, has been utilized in </w:t>
      </w:r>
      <w:r w:rsidR="00A20289" w:rsidRPr="008A713F">
        <w:rPr>
          <w:rFonts w:ascii="Arial" w:hAnsi="Arial" w:cs="Arial"/>
          <w:color w:val="000000"/>
          <w:highlight w:val="yellow"/>
        </w:rPr>
        <w:t>traditional</w:t>
      </w:r>
      <w:r w:rsidRPr="008A713F">
        <w:rPr>
          <w:rFonts w:ascii="Arial" w:hAnsi="Arial" w:cs="Arial"/>
          <w:color w:val="000000"/>
          <w:highlight w:val="yellow"/>
        </w:rPr>
        <w:t xml:space="preserve"> ethnomedicine for a wide array of ailments, including bacterial infections, digestive disorders, and inflammat</w:t>
      </w:r>
      <w:r w:rsidR="00CB6329">
        <w:rPr>
          <w:rFonts w:ascii="Arial" w:hAnsi="Arial" w:cs="Arial"/>
          <w:color w:val="000000"/>
          <w:highlight w:val="yellow"/>
        </w:rPr>
        <w:t>ory</w:t>
      </w:r>
      <w:r w:rsidRPr="008A713F">
        <w:rPr>
          <w:rFonts w:ascii="Arial" w:hAnsi="Arial" w:cs="Arial"/>
          <w:color w:val="000000"/>
          <w:highlight w:val="yellow"/>
        </w:rPr>
        <w:t xml:space="preserve"> disorders. Pancreatic insufficiency, characterized by impaired enzyme production and subsequent malabsorption, may benefit from therapies that address inflammation, oxidative stress, and infection. This study explores the pharmacologically active </w:t>
      </w:r>
      <w:r w:rsidR="00A20289" w:rsidRPr="008A713F">
        <w:rPr>
          <w:rFonts w:ascii="Arial" w:hAnsi="Arial" w:cs="Arial"/>
          <w:color w:val="000000"/>
          <w:highlight w:val="yellow"/>
        </w:rPr>
        <w:t xml:space="preserve">secondary </w:t>
      </w:r>
      <w:r w:rsidR="00313587" w:rsidRPr="008A713F">
        <w:rPr>
          <w:rFonts w:ascii="Arial" w:hAnsi="Arial" w:cs="Arial"/>
          <w:color w:val="000000"/>
          <w:highlight w:val="yellow"/>
        </w:rPr>
        <w:t>metabolites</w:t>
      </w:r>
      <w:r w:rsidR="00A20289" w:rsidRPr="008A713F">
        <w:rPr>
          <w:rFonts w:ascii="Arial" w:hAnsi="Arial" w:cs="Arial"/>
          <w:color w:val="000000"/>
          <w:highlight w:val="yellow"/>
        </w:rPr>
        <w:t>, the</w:t>
      </w:r>
      <w:r w:rsidRPr="008A713F">
        <w:rPr>
          <w:rFonts w:ascii="Arial" w:hAnsi="Arial" w:cs="Arial"/>
          <w:color w:val="000000"/>
          <w:highlight w:val="yellow"/>
        </w:rPr>
        <w:t xml:space="preserve"> </w:t>
      </w:r>
      <w:r w:rsidR="00A20289" w:rsidRPr="008A713F">
        <w:rPr>
          <w:rFonts w:ascii="Arial" w:hAnsi="Arial" w:cs="Arial"/>
          <w:color w:val="000000"/>
          <w:highlight w:val="yellow"/>
        </w:rPr>
        <w:t xml:space="preserve">pharmacological   </w:t>
      </w:r>
      <w:r w:rsidRPr="008A713F">
        <w:rPr>
          <w:rFonts w:ascii="Arial" w:hAnsi="Arial" w:cs="Arial"/>
          <w:color w:val="000000"/>
          <w:highlight w:val="yellow"/>
        </w:rPr>
        <w:t xml:space="preserve"> activities</w:t>
      </w:r>
      <w:r w:rsidR="00A20289" w:rsidRPr="008A713F">
        <w:rPr>
          <w:rFonts w:ascii="Arial" w:hAnsi="Arial" w:cs="Arial"/>
          <w:color w:val="000000"/>
          <w:highlight w:val="yellow"/>
        </w:rPr>
        <w:t xml:space="preserve"> as well as the safety</w:t>
      </w:r>
      <w:r w:rsidRPr="008A713F">
        <w:rPr>
          <w:rFonts w:ascii="Arial" w:hAnsi="Arial" w:cs="Arial"/>
          <w:color w:val="000000"/>
          <w:highlight w:val="yellow"/>
        </w:rPr>
        <w:t xml:space="preserve"> of hydro-ethanolic extracts from </w:t>
      </w:r>
      <w:r w:rsidRPr="008A713F">
        <w:rPr>
          <w:rFonts w:ascii="Arial" w:hAnsi="Arial" w:cs="Arial"/>
          <w:i/>
          <w:color w:val="000000"/>
          <w:highlight w:val="yellow"/>
        </w:rPr>
        <w:t>C. edulis</w:t>
      </w:r>
      <w:r w:rsidR="00A20289" w:rsidRPr="008A713F">
        <w:rPr>
          <w:rFonts w:ascii="Arial" w:hAnsi="Arial" w:cs="Arial"/>
          <w:color w:val="000000"/>
          <w:highlight w:val="yellow"/>
        </w:rPr>
        <w:t xml:space="preserve"> plant parts</w:t>
      </w:r>
      <w:r w:rsidRPr="008A713F">
        <w:rPr>
          <w:rFonts w:ascii="Arial" w:hAnsi="Arial" w:cs="Arial"/>
          <w:color w:val="000000"/>
          <w:highlight w:val="yellow"/>
        </w:rPr>
        <w:t xml:space="preserve"> to validate </w:t>
      </w:r>
      <w:r w:rsidR="00A20289" w:rsidRPr="008A713F">
        <w:rPr>
          <w:rFonts w:ascii="Arial" w:hAnsi="Arial" w:cs="Arial"/>
          <w:color w:val="000000"/>
          <w:highlight w:val="yellow"/>
        </w:rPr>
        <w:t>the</w:t>
      </w:r>
      <w:r w:rsidRPr="008A713F">
        <w:rPr>
          <w:rFonts w:ascii="Arial" w:hAnsi="Arial" w:cs="Arial"/>
          <w:color w:val="000000"/>
          <w:highlight w:val="yellow"/>
        </w:rPr>
        <w:t xml:space="preserve"> traditional uses. Phytochemical screening</w:t>
      </w:r>
      <w:r w:rsidR="00A20289" w:rsidRPr="008A713F">
        <w:rPr>
          <w:rFonts w:ascii="Arial" w:hAnsi="Arial" w:cs="Arial"/>
          <w:color w:val="000000"/>
          <w:highlight w:val="yellow"/>
        </w:rPr>
        <w:t xml:space="preserve"> was done using various classical techniques</w:t>
      </w:r>
      <w:r w:rsidR="00313587" w:rsidRPr="008A713F">
        <w:rPr>
          <w:rFonts w:ascii="Arial" w:hAnsi="Arial" w:cs="Arial"/>
          <w:color w:val="000000"/>
          <w:highlight w:val="yellow"/>
        </w:rPr>
        <w:t xml:space="preserve">, Total phenolic content was evaluated using the Folin-Ciocalteu method. Acute and </w:t>
      </w:r>
      <w:r w:rsidR="00854E70" w:rsidRPr="008A713F">
        <w:rPr>
          <w:rFonts w:ascii="Arial" w:hAnsi="Arial" w:cs="Arial"/>
          <w:color w:val="000000"/>
          <w:highlight w:val="yellow"/>
        </w:rPr>
        <w:t>sub-acute</w:t>
      </w:r>
      <w:r w:rsidR="00313587" w:rsidRPr="008A713F">
        <w:rPr>
          <w:rFonts w:ascii="Arial" w:hAnsi="Arial" w:cs="Arial"/>
          <w:color w:val="000000"/>
          <w:highlight w:val="yellow"/>
        </w:rPr>
        <w:t xml:space="preserve"> toxicity profiles were done using OECD guidelines.</w:t>
      </w:r>
      <w:r w:rsidR="00854E70" w:rsidRPr="008A713F">
        <w:rPr>
          <w:rFonts w:ascii="Arial" w:hAnsi="Arial" w:cs="Arial"/>
          <w:color w:val="000000"/>
          <w:highlight w:val="yellow"/>
        </w:rPr>
        <w:t xml:space="preserve"> Anti-inflammatory activity was evaluated using the egg albumin test with diclofenac as a standard and the</w:t>
      </w:r>
      <w:r w:rsidR="00854E70">
        <w:rPr>
          <w:rFonts w:ascii="Arial" w:hAnsi="Arial" w:cs="Arial"/>
          <w:color w:val="000000"/>
        </w:rPr>
        <w:t xml:space="preserve"> antibacterial tests were evaluated using </w:t>
      </w:r>
      <w:proofErr w:type="gramStart"/>
      <w:r w:rsidR="00854E70">
        <w:rPr>
          <w:rFonts w:ascii="Arial" w:hAnsi="Arial" w:cs="Arial"/>
          <w:color w:val="000000"/>
        </w:rPr>
        <w:t>the agar</w:t>
      </w:r>
      <w:proofErr w:type="gramEnd"/>
      <w:r w:rsidR="00854E70">
        <w:rPr>
          <w:rFonts w:ascii="Arial" w:hAnsi="Arial" w:cs="Arial"/>
          <w:color w:val="000000"/>
        </w:rPr>
        <w:t xml:space="preserve"> well diffusion method</w:t>
      </w:r>
      <w:r w:rsidR="00C055D8">
        <w:rPr>
          <w:rFonts w:ascii="Arial" w:hAnsi="Arial" w:cs="Arial"/>
          <w:color w:val="000000"/>
        </w:rPr>
        <w:t xml:space="preserve">. The metabolomics studies </w:t>
      </w:r>
      <w:r w:rsidRPr="002F727C">
        <w:rPr>
          <w:rFonts w:ascii="Arial" w:hAnsi="Arial" w:cs="Arial"/>
          <w:color w:val="000000"/>
        </w:rPr>
        <w:t xml:space="preserve">revealed the presence of </w:t>
      </w:r>
      <w:r w:rsidR="00C055D8">
        <w:rPr>
          <w:rFonts w:ascii="Arial" w:hAnsi="Arial" w:cs="Arial"/>
          <w:color w:val="000000"/>
        </w:rPr>
        <w:t xml:space="preserve">numerous pharmacologically active metabolites </w:t>
      </w:r>
      <w:r w:rsidRPr="002F727C">
        <w:rPr>
          <w:rFonts w:ascii="Arial" w:hAnsi="Arial" w:cs="Arial"/>
          <w:color w:val="000000"/>
        </w:rPr>
        <w:t>The total phenolic content was high, at 279.7 mg GAE/g</w:t>
      </w:r>
      <w:r w:rsidR="00C055D8">
        <w:rPr>
          <w:rFonts w:ascii="Arial" w:hAnsi="Arial" w:cs="Arial"/>
          <w:color w:val="000000"/>
        </w:rPr>
        <w:t>.</w:t>
      </w:r>
      <w:r w:rsidRPr="002F727C">
        <w:rPr>
          <w:rFonts w:ascii="Arial" w:hAnsi="Arial" w:cs="Arial"/>
          <w:color w:val="000000"/>
        </w:rPr>
        <w:t xml:space="preserve"> Antibacterial analysis demonstrated a mean zone of inhibition of 18.7±1.5 mm at 100mg/ml, and estimated MIC values lie between 12.5 mg/ml and 25 mg/ml. The anti-inflammatory activity of the lyophilized leaf extract of </w:t>
      </w:r>
      <w:r w:rsidRPr="002F727C">
        <w:rPr>
          <w:rFonts w:ascii="Arial" w:hAnsi="Arial" w:cs="Arial"/>
          <w:i/>
          <w:color w:val="000000"/>
        </w:rPr>
        <w:t>C. edulis</w:t>
      </w:r>
      <w:r w:rsidRPr="002F727C">
        <w:rPr>
          <w:rFonts w:ascii="Arial" w:hAnsi="Arial" w:cs="Arial"/>
          <w:color w:val="000000"/>
        </w:rPr>
        <w:t xml:space="preserve"> showed </w:t>
      </w:r>
      <w:r w:rsidR="00C055D8">
        <w:rPr>
          <w:rFonts w:ascii="Arial" w:hAnsi="Arial" w:cs="Arial"/>
          <w:color w:val="000000"/>
        </w:rPr>
        <w:t xml:space="preserve">significant      </w:t>
      </w:r>
      <w:r w:rsidR="00854E70">
        <w:rPr>
          <w:rFonts w:ascii="Arial" w:hAnsi="Arial" w:cs="Arial"/>
          <w:color w:val="000000"/>
        </w:rPr>
        <w:t xml:space="preserve"> </w:t>
      </w:r>
      <w:r w:rsidRPr="002F727C">
        <w:rPr>
          <w:rFonts w:ascii="Arial" w:hAnsi="Arial" w:cs="Arial"/>
          <w:color w:val="000000"/>
        </w:rPr>
        <w:t xml:space="preserve"> inhibition</w:t>
      </w:r>
      <w:r w:rsidR="00C055D8">
        <w:rPr>
          <w:rFonts w:ascii="Arial" w:hAnsi="Arial" w:cs="Arial"/>
          <w:color w:val="000000"/>
        </w:rPr>
        <w:t xml:space="preserve"> and was comparable to the standard</w:t>
      </w:r>
      <w:r w:rsidRPr="002F727C">
        <w:rPr>
          <w:rFonts w:ascii="Arial" w:hAnsi="Arial" w:cs="Arial"/>
          <w:color w:val="000000"/>
        </w:rPr>
        <w:t xml:space="preserve">. In acute toxicity assessments, no mortality or adverse physiological conditions were observed at doses up to 5000 mg/kg body weight. Sub-acute toxicity </w:t>
      </w:r>
      <w:r w:rsidRPr="00CB6329">
        <w:rPr>
          <w:rFonts w:ascii="Arial" w:hAnsi="Arial" w:cs="Arial"/>
          <w:color w:val="000000"/>
          <w:highlight w:val="yellow"/>
        </w:rPr>
        <w:t>investigations showed no significant differences in weight gain, food and water consumption, and no histopathological changes were observed in major organs. However, hematology and biochemistry revealed statistically significant alterations, warranting further investigation.</w:t>
      </w:r>
      <w:r w:rsidR="00854E70" w:rsidRPr="00CB6329">
        <w:rPr>
          <w:rFonts w:ascii="Arial" w:hAnsi="Arial" w:cs="Arial"/>
          <w:color w:val="000000"/>
          <w:highlight w:val="yellow"/>
        </w:rPr>
        <w:t xml:space="preserve"> Based on the foregoing it is concluded that   lyophilized </w:t>
      </w:r>
      <w:r w:rsidR="00854E70" w:rsidRPr="00CB6329">
        <w:rPr>
          <w:rFonts w:ascii="Arial" w:hAnsi="Arial" w:cs="Arial"/>
          <w:i/>
          <w:color w:val="000000"/>
          <w:highlight w:val="yellow"/>
        </w:rPr>
        <w:t xml:space="preserve">Carpobrotus edulis </w:t>
      </w:r>
      <w:r w:rsidR="00854E70" w:rsidRPr="00CB6329">
        <w:rPr>
          <w:rFonts w:ascii="Arial" w:hAnsi="Arial" w:cs="Arial"/>
          <w:iCs/>
          <w:color w:val="000000"/>
          <w:highlight w:val="yellow"/>
        </w:rPr>
        <w:t>at controlled</w:t>
      </w:r>
      <w:r w:rsidR="00854E70">
        <w:rPr>
          <w:rFonts w:ascii="Arial" w:hAnsi="Arial" w:cs="Arial"/>
          <w:iCs/>
          <w:color w:val="000000"/>
        </w:rPr>
        <w:t xml:space="preserve"> </w:t>
      </w:r>
      <w:r w:rsidR="00854E70" w:rsidRPr="00854E70">
        <w:rPr>
          <w:rFonts w:ascii="Arial" w:hAnsi="Arial" w:cs="Arial"/>
          <w:iCs/>
          <w:color w:val="000000"/>
        </w:rPr>
        <w:t>doses presents a safe, efficacious alternative for the management of pancreatic inefficiency end</w:t>
      </w:r>
      <w:r w:rsidR="00854E70">
        <w:rPr>
          <w:rFonts w:ascii="Arial" w:hAnsi="Arial" w:cs="Arial"/>
          <w:iCs/>
          <w:color w:val="000000"/>
        </w:rPr>
        <w:t xml:space="preserve"> </w:t>
      </w:r>
      <w:r w:rsidR="00854E70" w:rsidRPr="00854E70">
        <w:rPr>
          <w:rFonts w:ascii="Arial" w:hAnsi="Arial" w:cs="Arial"/>
          <w:iCs/>
          <w:color w:val="000000"/>
        </w:rPr>
        <w:t>points</w:t>
      </w:r>
    </w:p>
    <w:p w14:paraId="161BEFD1" w14:textId="48199A1C" w:rsidR="00261AF3" w:rsidRPr="002F727C" w:rsidRDefault="005B4ED1">
      <w:pPr>
        <w:rPr>
          <w:rFonts w:ascii="Arial" w:hAnsi="Arial" w:cs="Arial"/>
        </w:rPr>
      </w:pPr>
      <w:r w:rsidRPr="002F727C">
        <w:rPr>
          <w:rFonts w:ascii="Arial" w:hAnsi="Arial" w:cs="Arial"/>
          <w:b/>
          <w:bCs/>
        </w:rPr>
        <w:t>Key words</w:t>
      </w:r>
      <w:r w:rsidRPr="002F727C">
        <w:rPr>
          <w:rFonts w:ascii="Arial" w:hAnsi="Arial" w:cs="Arial"/>
        </w:rPr>
        <w:t xml:space="preserve">: </w:t>
      </w:r>
      <w:r w:rsidRPr="00635507">
        <w:rPr>
          <w:rFonts w:ascii="Arial" w:hAnsi="Arial" w:cs="Arial"/>
          <w:i/>
          <w:iCs/>
        </w:rPr>
        <w:t>Carpobrotus edulis</w:t>
      </w:r>
      <w:r w:rsidRPr="002F727C">
        <w:rPr>
          <w:rFonts w:ascii="Arial" w:hAnsi="Arial" w:cs="Arial"/>
        </w:rPr>
        <w:t xml:space="preserve">, pancreatic insufficiency, Secondary metabolites, antibacterial, anti-inflammation, </w:t>
      </w:r>
      <w:proofErr w:type="gramStart"/>
      <w:r w:rsidRPr="002F727C">
        <w:rPr>
          <w:rFonts w:ascii="Arial" w:hAnsi="Arial" w:cs="Arial"/>
        </w:rPr>
        <w:t>anti-oxidant</w:t>
      </w:r>
      <w:proofErr w:type="gramEnd"/>
      <w:r w:rsidR="00CA4152" w:rsidRPr="002F727C">
        <w:rPr>
          <w:rFonts w:ascii="Arial" w:hAnsi="Arial" w:cs="Arial"/>
        </w:rPr>
        <w:t xml:space="preserve"> and toxicity</w:t>
      </w:r>
    </w:p>
    <w:p w14:paraId="4F21795F" w14:textId="77777777" w:rsidR="00F3431D" w:rsidRDefault="00F3431D">
      <w:pPr>
        <w:rPr>
          <w:rFonts w:ascii="Arial" w:hAnsi="Arial" w:cs="Arial"/>
        </w:rPr>
      </w:pPr>
    </w:p>
    <w:p w14:paraId="19FFF448" w14:textId="77777777" w:rsidR="00F3431D" w:rsidRDefault="00F3431D">
      <w:pPr>
        <w:rPr>
          <w:rFonts w:ascii="Arial" w:hAnsi="Arial" w:cs="Arial"/>
        </w:rPr>
      </w:pPr>
    </w:p>
    <w:p w14:paraId="5D308BB1" w14:textId="77777777" w:rsidR="00F3431D" w:rsidRDefault="00F3431D">
      <w:pPr>
        <w:rPr>
          <w:rFonts w:ascii="Arial" w:hAnsi="Arial" w:cs="Arial"/>
        </w:rPr>
      </w:pPr>
    </w:p>
    <w:p w14:paraId="0C19432E" w14:textId="77777777" w:rsidR="00F3431D" w:rsidRDefault="00F3431D">
      <w:pPr>
        <w:rPr>
          <w:rFonts w:ascii="Arial" w:hAnsi="Arial" w:cs="Arial"/>
        </w:rPr>
      </w:pPr>
    </w:p>
    <w:p w14:paraId="7B14ECDE" w14:textId="77777777" w:rsidR="00F3431D" w:rsidRDefault="00F3431D">
      <w:pPr>
        <w:rPr>
          <w:rFonts w:ascii="Arial" w:hAnsi="Arial" w:cs="Arial"/>
        </w:rPr>
      </w:pPr>
    </w:p>
    <w:p w14:paraId="022243EE" w14:textId="77777777" w:rsidR="00F3431D" w:rsidRDefault="00F3431D">
      <w:pPr>
        <w:rPr>
          <w:rFonts w:ascii="Arial" w:hAnsi="Arial" w:cs="Arial"/>
        </w:rPr>
      </w:pPr>
    </w:p>
    <w:p w14:paraId="1EC5EEAD" w14:textId="77777777" w:rsidR="00F3431D" w:rsidRDefault="00F3431D">
      <w:pPr>
        <w:rPr>
          <w:rFonts w:ascii="Arial" w:hAnsi="Arial" w:cs="Arial"/>
        </w:rPr>
      </w:pPr>
    </w:p>
    <w:p w14:paraId="1089399F" w14:textId="77777777" w:rsidR="00F3431D" w:rsidRDefault="00F3431D">
      <w:pPr>
        <w:rPr>
          <w:rFonts w:ascii="Arial" w:hAnsi="Arial" w:cs="Arial"/>
        </w:rPr>
      </w:pPr>
    </w:p>
    <w:p w14:paraId="7AB44B86" w14:textId="77777777" w:rsidR="00F3431D" w:rsidRDefault="00F3431D">
      <w:pPr>
        <w:rPr>
          <w:rFonts w:ascii="Arial" w:hAnsi="Arial" w:cs="Arial"/>
        </w:rPr>
      </w:pPr>
    </w:p>
    <w:p w14:paraId="19603437" w14:textId="0450E770" w:rsidR="002F727C" w:rsidRPr="00F3431D" w:rsidRDefault="002F727C" w:rsidP="00F3431D">
      <w:pPr>
        <w:pStyle w:val="Footer"/>
        <w:rPr>
          <w:color w:val="0563C1"/>
          <w:u w:val="single"/>
        </w:rPr>
      </w:pPr>
      <w:r>
        <w:rPr>
          <w:rFonts w:ascii="Arial" w:hAnsi="Arial" w:cs="Arial"/>
        </w:rPr>
        <w:br w:type="page"/>
      </w:r>
    </w:p>
    <w:p w14:paraId="48CBDBD9" w14:textId="04D214A1" w:rsidR="00261AF3" w:rsidRPr="002F4F9C" w:rsidRDefault="00000000" w:rsidP="002F4F9C">
      <w:pPr>
        <w:pStyle w:val="Heading1"/>
      </w:pPr>
      <w:r w:rsidRPr="002F4F9C">
        <w:lastRenderedPageBreak/>
        <w:t>Introduction</w:t>
      </w:r>
    </w:p>
    <w:p w14:paraId="4FBDF324" w14:textId="04DDEB18" w:rsidR="00261AF3" w:rsidRPr="00635507" w:rsidRDefault="005B4ED1" w:rsidP="002F4F9C">
      <w:pPr>
        <w:pStyle w:val="Heading2"/>
        <w:rPr>
          <w:i/>
          <w:iCs/>
        </w:rPr>
      </w:pPr>
      <w:r w:rsidRPr="00635507">
        <w:rPr>
          <w:i/>
          <w:iCs/>
        </w:rPr>
        <w:t>Carpobrotus edulis</w:t>
      </w:r>
    </w:p>
    <w:p w14:paraId="452587B7" w14:textId="3EAB779D" w:rsidR="00261AF3" w:rsidRPr="002F727C" w:rsidRDefault="005B4ED1" w:rsidP="002F727C">
      <w:pPr>
        <w:jc w:val="both"/>
        <w:rPr>
          <w:rFonts w:ascii="Arial" w:hAnsi="Arial" w:cs="Arial"/>
        </w:rPr>
      </w:pPr>
      <w:r w:rsidRPr="002F727C">
        <w:rPr>
          <w:rFonts w:ascii="Arial" w:hAnsi="Arial" w:cs="Arial"/>
          <w:i/>
          <w:iCs/>
          <w:color w:val="000000"/>
        </w:rPr>
        <w:t>Carpobrotus edulis</w:t>
      </w:r>
      <w:r w:rsidRPr="002F727C">
        <w:rPr>
          <w:rFonts w:ascii="Arial" w:hAnsi="Arial" w:cs="Arial"/>
          <w:color w:val="000000"/>
        </w:rPr>
        <w:t>, commonly known as sea fig or Hottentot fig, is a perennial ground-creeping plant native to South Africa that has naturalized in various regions worldwide</w:t>
      </w:r>
      <w:hyperlink w:anchor="5f4d4ddb046c2541465cc79e558e78d0" w:history="1">
        <w:r w:rsidR="00261AF3" w:rsidRPr="002F727C">
          <w:rPr>
            <w:rStyle w:val="Hyperlink"/>
            <w:rFonts w:ascii="Arial" w:hAnsi="Arial" w:cs="Arial"/>
            <w:color w:val="auto"/>
            <w:u w:val="none"/>
            <w:vertAlign w:val="superscript"/>
          </w:rPr>
          <w:t>1,2</w:t>
        </w:r>
      </w:hyperlink>
      <w:r w:rsidRPr="002F727C">
        <w:rPr>
          <w:rFonts w:ascii="Arial" w:hAnsi="Arial" w:cs="Arial"/>
          <w:color w:val="000000"/>
        </w:rPr>
        <w:t xml:space="preserve">. Its adaptability to coastal environments, characterized by sandy soils and harsh conditions, has allowed it to </w:t>
      </w:r>
      <w:proofErr w:type="spellStart"/>
      <w:r w:rsidR="003A03DF">
        <w:rPr>
          <w:rFonts w:ascii="Arial" w:hAnsi="Arial" w:cs="Arial"/>
          <w:color w:val="000000"/>
        </w:rPr>
        <w:t>naturalise</w:t>
      </w:r>
      <w:proofErr w:type="spellEnd"/>
      <w:r w:rsidR="003A03DF">
        <w:rPr>
          <w:rFonts w:ascii="Arial" w:hAnsi="Arial" w:cs="Arial"/>
          <w:color w:val="000000"/>
        </w:rPr>
        <w:t xml:space="preserve"> across all continents</w:t>
      </w:r>
      <w:hyperlink w:anchor="53fca0c717deb18ac139628c1fcdd05a" w:history="1">
        <w:r w:rsidR="00261AF3" w:rsidRPr="002F727C">
          <w:rPr>
            <w:rStyle w:val="Hyperlink"/>
            <w:rFonts w:ascii="Arial" w:hAnsi="Arial" w:cs="Arial"/>
            <w:color w:val="auto"/>
            <w:u w:val="none"/>
            <w:vertAlign w:val="superscript"/>
          </w:rPr>
          <w:t>2,3</w:t>
        </w:r>
      </w:hyperlink>
      <w:r w:rsidRPr="002F727C">
        <w:rPr>
          <w:rFonts w:ascii="Arial" w:hAnsi="Arial" w:cs="Arial"/>
          <w:color w:val="000000"/>
        </w:rPr>
        <w:t>. The plant's morphology is distinguished by succulent leaves, vibrant flowers ranging from yellow to pink, and edible fruits, contributing to its appeal as an ornamental species and a source of nutrition</w:t>
      </w:r>
      <w:r w:rsidR="006A581E">
        <w:rPr>
          <w:rFonts w:ascii="Arial" w:hAnsi="Arial" w:cs="Arial"/>
          <w:color w:val="000000"/>
        </w:rPr>
        <w:t xml:space="preserve"> (Figure 1) </w:t>
      </w:r>
      <w:hyperlink w:anchor="6b7ce6dfdc070894b5fad73ffb9d4e7e" w:history="1">
        <w:r w:rsidR="00261AF3" w:rsidRPr="002F727C">
          <w:rPr>
            <w:rStyle w:val="Hyperlink"/>
            <w:rFonts w:ascii="Arial" w:hAnsi="Arial" w:cs="Arial"/>
            <w:color w:val="auto"/>
            <w:u w:val="none"/>
            <w:vertAlign w:val="superscript"/>
          </w:rPr>
          <w:t>2</w:t>
        </w:r>
      </w:hyperlink>
      <w:r w:rsidRPr="002F727C">
        <w:rPr>
          <w:rFonts w:ascii="Arial" w:hAnsi="Arial" w:cs="Arial"/>
          <w:color w:val="000000"/>
        </w:rPr>
        <w:t xml:space="preserve">. Traditionally, </w:t>
      </w:r>
      <w:r w:rsidRPr="002F727C">
        <w:rPr>
          <w:rFonts w:ascii="Arial" w:hAnsi="Arial" w:cs="Arial"/>
          <w:i/>
          <w:iCs/>
          <w:color w:val="000000"/>
        </w:rPr>
        <w:t>C. edulis</w:t>
      </w:r>
      <w:r w:rsidRPr="002F727C">
        <w:rPr>
          <w:rFonts w:ascii="Arial" w:hAnsi="Arial" w:cs="Arial"/>
          <w:color w:val="000000"/>
        </w:rPr>
        <w:t xml:space="preserve"> has been utilized in </w:t>
      </w:r>
      <w:r w:rsidR="003A03DF">
        <w:rPr>
          <w:rFonts w:ascii="Arial" w:hAnsi="Arial" w:cs="Arial"/>
          <w:color w:val="000000"/>
        </w:rPr>
        <w:t>Zimbabwean</w:t>
      </w:r>
      <w:r w:rsidRPr="002F727C">
        <w:rPr>
          <w:rFonts w:ascii="Arial" w:hAnsi="Arial" w:cs="Arial"/>
          <w:color w:val="000000"/>
        </w:rPr>
        <w:t xml:space="preserve"> ethnomedicine for a wide array of ailments</w:t>
      </w:r>
      <w:hyperlink w:anchor="6b7ce6dfdc070894b5fad73ffb9d4e7e" w:history="1">
        <w:r w:rsidR="00261AF3" w:rsidRPr="002F727C">
          <w:rPr>
            <w:rStyle w:val="Hyperlink"/>
            <w:rFonts w:ascii="Arial" w:hAnsi="Arial" w:cs="Arial"/>
            <w:color w:val="auto"/>
            <w:u w:val="none"/>
            <w:vertAlign w:val="superscript"/>
          </w:rPr>
          <w:t>2</w:t>
        </w:r>
      </w:hyperlink>
      <w:r w:rsidRPr="002F727C">
        <w:rPr>
          <w:rFonts w:ascii="Arial" w:hAnsi="Arial" w:cs="Arial"/>
          <w:color w:val="000000"/>
        </w:rPr>
        <w:t>. Its leaves and flowers are used to make decoctions for bacterial and fungal infections, while the acerbic juice from the leaves serves as a remedy for throat and mouth infections</w:t>
      </w:r>
      <w:hyperlink w:anchor="38a24be4dca31cd3230279d3cfe819f5" w:history="1">
        <w:r w:rsidR="00261AF3" w:rsidRPr="002F727C">
          <w:rPr>
            <w:rStyle w:val="Hyperlink"/>
            <w:rFonts w:ascii="Arial" w:hAnsi="Arial" w:cs="Arial"/>
            <w:color w:val="auto"/>
            <w:u w:val="none"/>
            <w:vertAlign w:val="superscript"/>
          </w:rPr>
          <w:t>4</w:t>
        </w:r>
      </w:hyperlink>
      <w:r w:rsidRPr="002F727C">
        <w:rPr>
          <w:rFonts w:ascii="Arial" w:hAnsi="Arial" w:cs="Arial"/>
          <w:color w:val="000000"/>
        </w:rPr>
        <w:t>. Furthermore, traditional uses extend to treating dysentery, stomach cramps, burns, and skin ailments</w:t>
      </w:r>
      <w:hyperlink w:anchor="53fca0c717deb18ac139628c1fcdd05a" w:history="1">
        <w:r w:rsidR="00261AF3" w:rsidRPr="002F727C">
          <w:rPr>
            <w:rStyle w:val="Hyperlink"/>
            <w:rFonts w:ascii="Arial" w:hAnsi="Arial" w:cs="Arial"/>
            <w:color w:val="auto"/>
            <w:u w:val="none"/>
            <w:vertAlign w:val="superscript"/>
          </w:rPr>
          <w:t>3</w:t>
        </w:r>
      </w:hyperlink>
      <w:r w:rsidRPr="002F727C">
        <w:rPr>
          <w:rFonts w:ascii="Arial" w:hAnsi="Arial" w:cs="Arial"/>
          <w:color w:val="000000"/>
        </w:rPr>
        <w:t>. Some research suggests its potential in managing diabetes and hypertension, further highlighting its therapeutic versatility</w:t>
      </w:r>
      <w:hyperlink w:anchor="38a24be4dca31cd3230279d3cfe819f5" w:history="1">
        <w:r w:rsidR="00261AF3" w:rsidRPr="002F727C">
          <w:rPr>
            <w:rStyle w:val="Hyperlink"/>
            <w:rFonts w:ascii="Arial" w:hAnsi="Arial" w:cs="Arial"/>
            <w:color w:val="auto"/>
            <w:u w:val="none"/>
            <w:vertAlign w:val="superscript"/>
          </w:rPr>
          <w:t>4</w:t>
        </w:r>
      </w:hyperlink>
      <w:r w:rsidRPr="002F727C">
        <w:rPr>
          <w:rFonts w:ascii="Arial" w:hAnsi="Arial" w:cs="Arial"/>
          <w:color w:val="000000"/>
        </w:rPr>
        <w:t xml:space="preserve">. The traditional use of </w:t>
      </w:r>
      <w:r w:rsidRPr="002F727C">
        <w:rPr>
          <w:rFonts w:ascii="Arial" w:hAnsi="Arial" w:cs="Arial"/>
          <w:i/>
          <w:iCs/>
          <w:color w:val="000000"/>
        </w:rPr>
        <w:t>C. edulis</w:t>
      </w:r>
      <w:r w:rsidRPr="002F727C">
        <w:rPr>
          <w:rFonts w:ascii="Arial" w:hAnsi="Arial" w:cs="Arial"/>
          <w:color w:val="000000"/>
        </w:rPr>
        <w:t xml:space="preserve"> to treat digestive disorders, such as dysentery and stomach cramps, provides a rationale for investigating its potential role in pancreatic insufficiency. Pancreatic insufficiency often leads to malabsorption and digestive discomfort, mirroring some of the symptoms traditionally addressed by </w:t>
      </w:r>
      <w:r w:rsidRPr="002F727C">
        <w:rPr>
          <w:rFonts w:ascii="Arial" w:hAnsi="Arial" w:cs="Arial"/>
          <w:i/>
          <w:iCs/>
          <w:color w:val="000000"/>
        </w:rPr>
        <w:t>C. edulis</w:t>
      </w:r>
      <w:hyperlink w:anchor="53fca0c717deb18ac139628c1fcdd05a" w:history="1">
        <w:r w:rsidR="00261AF3" w:rsidRPr="002F727C">
          <w:rPr>
            <w:rStyle w:val="Hyperlink"/>
            <w:rFonts w:ascii="Arial" w:hAnsi="Arial" w:cs="Arial"/>
            <w:color w:val="auto"/>
            <w:u w:val="none"/>
            <w:vertAlign w:val="superscript"/>
          </w:rPr>
          <w:t>3</w:t>
        </w:r>
      </w:hyperlink>
      <w:r w:rsidRPr="002F727C">
        <w:rPr>
          <w:rFonts w:ascii="Arial" w:hAnsi="Arial" w:cs="Arial"/>
          <w:color w:val="000000"/>
        </w:rPr>
        <w:t>. Phytochemical investigations have revealed a rich composition of bioactive compounds, including flavonoids, phenols, anthraquinones, saponins, cardiac glycosides, alkaloids, and tannins</w:t>
      </w:r>
      <w:hyperlink w:anchor="38a24be4dca31cd3230279d3cfe819f5" w:history="1">
        <w:r w:rsidR="00261AF3" w:rsidRPr="002F727C">
          <w:rPr>
            <w:rStyle w:val="Hyperlink"/>
            <w:rFonts w:ascii="Arial" w:hAnsi="Arial" w:cs="Arial"/>
            <w:color w:val="auto"/>
            <w:u w:val="none"/>
            <w:vertAlign w:val="superscript"/>
          </w:rPr>
          <w:t>4</w:t>
        </w:r>
      </w:hyperlink>
      <w:r w:rsidRPr="002F727C">
        <w:rPr>
          <w:rFonts w:ascii="Arial" w:hAnsi="Arial" w:cs="Arial"/>
          <w:color w:val="000000"/>
        </w:rPr>
        <w:t>. These compounds are believed to be responsible for the plant's diverse pharmacological activities, including antibacterial, antioxidant, anti-inflammatory, and antidiabetic effects</w:t>
      </w:r>
      <w:hyperlink w:anchor="a31d280e1cc73610cd1bfa01f1a896cf" w:history="1">
        <w:r w:rsidR="00261AF3" w:rsidRPr="002F727C">
          <w:rPr>
            <w:rStyle w:val="Hyperlink"/>
            <w:rFonts w:ascii="Arial" w:hAnsi="Arial" w:cs="Arial"/>
            <w:color w:val="auto"/>
            <w:u w:val="none"/>
            <w:vertAlign w:val="superscript"/>
          </w:rPr>
          <w:t>5</w:t>
        </w:r>
      </w:hyperlink>
      <w:r w:rsidRPr="002F727C">
        <w:rPr>
          <w:rFonts w:ascii="Arial" w:hAnsi="Arial" w:cs="Arial"/>
          <w:color w:val="000000"/>
        </w:rPr>
        <w:t xml:space="preserve">. </w:t>
      </w:r>
      <w:r w:rsidR="009577EE" w:rsidRPr="002F727C">
        <w:rPr>
          <w:rFonts w:ascii="Arial" w:hAnsi="Arial" w:cs="Arial"/>
          <w:color w:val="000000"/>
        </w:rPr>
        <w:t>Sabiu et al.</w:t>
      </w:r>
      <w:hyperlink w:anchor="53fca0c717deb18ac139628c1fcdd05a" w:history="1">
        <w:r w:rsidR="00261AF3" w:rsidRPr="002F727C">
          <w:rPr>
            <w:rStyle w:val="Hyperlink"/>
            <w:rFonts w:ascii="Arial" w:hAnsi="Arial" w:cs="Arial"/>
            <w:color w:val="auto"/>
            <w:u w:val="none"/>
            <w:vertAlign w:val="superscript"/>
          </w:rPr>
          <w:t>3</w:t>
        </w:r>
      </w:hyperlink>
      <w:r w:rsidRPr="002F727C">
        <w:rPr>
          <w:rFonts w:ascii="Arial" w:hAnsi="Arial" w:cs="Arial"/>
          <w:color w:val="000000"/>
        </w:rPr>
        <w:t xml:space="preserve"> identified a number of phenolics. Studies have demonstrated the ability of </w:t>
      </w:r>
      <w:r w:rsidRPr="002F727C">
        <w:rPr>
          <w:rFonts w:ascii="Arial" w:hAnsi="Arial" w:cs="Arial"/>
          <w:i/>
          <w:iCs/>
          <w:color w:val="000000"/>
        </w:rPr>
        <w:t>C. edulis</w:t>
      </w:r>
      <w:r w:rsidRPr="002F727C">
        <w:rPr>
          <w:rFonts w:ascii="Arial" w:hAnsi="Arial" w:cs="Arial"/>
          <w:color w:val="000000"/>
        </w:rPr>
        <w:t xml:space="preserve"> extracts to inhibit α-glucosidase, an enzyme involved in carbohydrate metabolism, suggesting a potential mechanism for its antidiabetic properties</w:t>
      </w:r>
      <w:hyperlink w:anchor="53fca0c717deb18ac139628c1fcdd05a" w:history="1">
        <w:r w:rsidR="00261AF3" w:rsidRPr="002F727C">
          <w:rPr>
            <w:rStyle w:val="Hyperlink"/>
            <w:rFonts w:ascii="Arial" w:hAnsi="Arial" w:cs="Arial"/>
            <w:color w:val="auto"/>
            <w:u w:val="none"/>
            <w:vertAlign w:val="superscript"/>
          </w:rPr>
          <w:t>3</w:t>
        </w:r>
      </w:hyperlink>
      <w:r w:rsidRPr="002F727C">
        <w:rPr>
          <w:rFonts w:ascii="Arial" w:hAnsi="Arial" w:cs="Arial"/>
          <w:color w:val="000000"/>
        </w:rPr>
        <w:t xml:space="preserve">. Despite the traditional uses and promising pharmacological activities of </w:t>
      </w:r>
      <w:r w:rsidRPr="002F727C">
        <w:rPr>
          <w:rFonts w:ascii="Arial" w:hAnsi="Arial" w:cs="Arial"/>
          <w:i/>
          <w:iCs/>
          <w:color w:val="000000"/>
        </w:rPr>
        <w:t>C. edulis</w:t>
      </w:r>
      <w:r w:rsidRPr="002F727C">
        <w:rPr>
          <w:rFonts w:ascii="Arial" w:hAnsi="Arial" w:cs="Arial"/>
          <w:color w:val="000000"/>
        </w:rPr>
        <w:t>, there remains a need for extensive research to fully elucidate its therapeutic potential and ensure its safe application</w:t>
      </w:r>
      <w:hyperlink w:anchor="d73ec6c53d6bcec7882fec6ac0484899" w:history="1">
        <w:r w:rsidR="00261AF3" w:rsidRPr="002F727C">
          <w:rPr>
            <w:rStyle w:val="Hyperlink"/>
            <w:rFonts w:ascii="Arial" w:hAnsi="Arial" w:cs="Arial"/>
            <w:color w:val="auto"/>
            <w:u w:val="none"/>
            <w:vertAlign w:val="superscript"/>
          </w:rPr>
          <w:t>6</w:t>
        </w:r>
      </w:hyperlink>
      <w:r w:rsidRPr="002F727C">
        <w:rPr>
          <w:rFonts w:ascii="Arial" w:hAnsi="Arial" w:cs="Arial"/>
          <w:color w:val="000000"/>
        </w:rPr>
        <w:t xml:space="preserve">. </w:t>
      </w:r>
    </w:p>
    <w:p w14:paraId="0152D6C0" w14:textId="706C6D24" w:rsidR="002F727C" w:rsidRDefault="003A03DF" w:rsidP="002F4F9C">
      <w:pPr>
        <w:pStyle w:val="Heading2"/>
        <w:numPr>
          <w:ilvl w:val="0"/>
          <w:numId w:val="0"/>
        </w:numPr>
        <w:ind w:left="576" w:hanging="576"/>
        <w:jc w:val="both"/>
      </w:pPr>
      <w:r>
        <w:rPr>
          <w:noProof/>
        </w:rPr>
        <w:t xml:space="preserve">                            </w:t>
      </w:r>
      <w:r w:rsidR="002F727C">
        <w:rPr>
          <w:noProof/>
        </w:rPr>
        <w:drawing>
          <wp:inline distT="0" distB="0" distL="0" distR="0" wp14:anchorId="1D28A0D9" wp14:editId="79D606ED">
            <wp:extent cx="3749040" cy="2308860"/>
            <wp:effectExtent l="0" t="0" r="3810" b="0"/>
            <wp:docPr id="10521305" name="Image"/>
            <wp:cNvGraphicFramePr/>
            <a:graphic xmlns:a="http://schemas.openxmlformats.org/drawingml/2006/main">
              <a:graphicData uri="http://schemas.openxmlformats.org/drawingml/2006/picture">
                <pic:pic xmlns:pic="http://schemas.openxmlformats.org/drawingml/2006/picture">
                  <pic:nvPicPr>
                    <pic:cNvPr id="10521305" name="Image"/>
                    <pic:cNvPicPr/>
                  </pic:nvPicPr>
                  <pic:blipFill rotWithShape="1">
                    <a:blip r:embed="rId8" cstate="print">
                      <a:extLst>
                        <a:ext uri="{28A0092B-C50C-407E-A947-70E740481C1C}">
                          <a14:useLocalDpi xmlns:a14="http://schemas.microsoft.com/office/drawing/2010/main" val="0"/>
                        </a:ext>
                      </a:extLst>
                    </a:blip>
                    <a:srcRect l="-302" t="2714" r="-231" b="4730"/>
                    <a:stretch/>
                  </pic:blipFill>
                  <pic:spPr>
                    <a:xfrm>
                      <a:off x="0" y="0"/>
                      <a:ext cx="3749040" cy="2308860"/>
                    </a:xfrm>
                    <a:prstGeom prst="rect">
                      <a:avLst/>
                    </a:prstGeom>
                  </pic:spPr>
                </pic:pic>
              </a:graphicData>
            </a:graphic>
          </wp:inline>
        </w:drawing>
      </w:r>
    </w:p>
    <w:p w14:paraId="19E86BD6" w14:textId="7451196A" w:rsidR="00261AF3" w:rsidRPr="002F727C" w:rsidRDefault="002F727C" w:rsidP="002F727C">
      <w:pPr>
        <w:pStyle w:val="Caption"/>
        <w:jc w:val="both"/>
        <w:rPr>
          <w:rFonts w:ascii="Arial" w:hAnsi="Arial" w:cs="Arial"/>
          <w:sz w:val="20"/>
          <w:szCs w:val="20"/>
        </w:rPr>
      </w:pPr>
      <w:r>
        <w:t xml:space="preserve">Figure </w:t>
      </w:r>
      <w:r>
        <w:fldChar w:fldCharType="begin"/>
      </w:r>
      <w:r>
        <w:instrText xml:space="preserve"> SEQ Figure \* ARABIC </w:instrText>
      </w:r>
      <w:r>
        <w:fldChar w:fldCharType="separate"/>
      </w:r>
      <w:r w:rsidR="007010C1">
        <w:rPr>
          <w:noProof/>
        </w:rPr>
        <w:t>1</w:t>
      </w:r>
      <w:r>
        <w:fldChar w:fldCharType="end"/>
      </w:r>
      <w:r>
        <w:t xml:space="preserve"> Carpobrotus Edulis Plant</w:t>
      </w:r>
    </w:p>
    <w:p w14:paraId="047DA160" w14:textId="24F17CBE" w:rsidR="00261AF3" w:rsidRPr="008A2527" w:rsidRDefault="00000000" w:rsidP="002F4F9C">
      <w:pPr>
        <w:pStyle w:val="Heading2"/>
      </w:pPr>
      <w:r w:rsidRPr="008A2527">
        <w:t>Pancreatic insufficiency</w:t>
      </w:r>
    </w:p>
    <w:p w14:paraId="62A48EEE" w14:textId="75BC06F6" w:rsidR="00261AF3" w:rsidRPr="002F727C" w:rsidRDefault="00000000" w:rsidP="002F727C">
      <w:pPr>
        <w:jc w:val="both"/>
        <w:rPr>
          <w:rFonts w:ascii="Arial" w:hAnsi="Arial" w:cs="Arial"/>
        </w:rPr>
      </w:pPr>
      <w:r w:rsidRPr="002F727C">
        <w:rPr>
          <w:rFonts w:ascii="Arial" w:hAnsi="Arial" w:cs="Arial"/>
          <w:color w:val="000000"/>
        </w:rPr>
        <w:t xml:space="preserve">Pancreatic insufficiency is a debilitating condition characterized by the impaired ability of the pancreas to produce and secrete adequate digestive enzymes. This leads to maldigestion, malabsorption, and a cascade of adverse nutritional consequences. Exocrine pancreatic insufficiency affects an estimated 5-10% of the global population, with higher prevalence in regions with increased incidence of chronic pancreatitis, such as </w:t>
      </w:r>
      <w:r w:rsidR="003A03DF">
        <w:rPr>
          <w:rFonts w:ascii="Arial" w:hAnsi="Arial" w:cs="Arial"/>
          <w:color w:val="000000"/>
        </w:rPr>
        <w:t xml:space="preserve">Southern </w:t>
      </w:r>
      <w:r w:rsidRPr="002F727C">
        <w:rPr>
          <w:rFonts w:ascii="Arial" w:hAnsi="Arial" w:cs="Arial"/>
          <w:color w:val="000000"/>
        </w:rPr>
        <w:t>Africa, where the condition affects up to 15% of the population</w:t>
      </w:r>
      <w:hyperlink w:anchor="643e5cf70494850d7232a4de9c6d0cfe" w:history="1">
        <w:r w:rsidR="00261AF3" w:rsidRPr="002F727C">
          <w:rPr>
            <w:rStyle w:val="Hyperlink"/>
            <w:rFonts w:ascii="Arial" w:hAnsi="Arial" w:cs="Arial"/>
            <w:color w:val="auto"/>
            <w:u w:val="none"/>
            <w:vertAlign w:val="superscript"/>
          </w:rPr>
          <w:t>7</w:t>
        </w:r>
      </w:hyperlink>
      <w:r w:rsidRPr="002F727C">
        <w:rPr>
          <w:rFonts w:ascii="Arial" w:hAnsi="Arial" w:cs="Arial"/>
          <w:color w:val="000000"/>
        </w:rPr>
        <w:t>. This disorder arises from reduced pancreatic juice secretion, impacting digestive enzyme activity, notably pancreatic lipase</w:t>
      </w:r>
      <w:hyperlink w:anchor="8b9e10a6f5021e844c93138e75f12926" w:history="1">
        <w:r w:rsidR="00261AF3" w:rsidRPr="002F727C">
          <w:rPr>
            <w:rStyle w:val="Hyperlink"/>
            <w:rFonts w:ascii="Arial" w:hAnsi="Arial" w:cs="Arial"/>
            <w:color w:val="auto"/>
            <w:u w:val="none"/>
            <w:vertAlign w:val="superscript"/>
          </w:rPr>
          <w:t>8</w:t>
        </w:r>
      </w:hyperlink>
      <w:r w:rsidRPr="002F727C">
        <w:rPr>
          <w:rFonts w:ascii="Arial" w:hAnsi="Arial" w:cs="Arial"/>
          <w:color w:val="000000"/>
        </w:rPr>
        <w:t>. This deficiency hinders the breakdown of fats, proteins, and carbohydrates, resulting in nutrient loss, weight loss, steatorrhea, and gastrointestinal distress</w:t>
      </w:r>
      <w:hyperlink w:anchor="58e8142166c565a51818244318830753" w:history="1">
        <w:r w:rsidR="00261AF3" w:rsidRPr="002F727C">
          <w:rPr>
            <w:rStyle w:val="Hyperlink"/>
            <w:rFonts w:ascii="Arial" w:hAnsi="Arial" w:cs="Arial"/>
            <w:color w:val="auto"/>
            <w:u w:val="none"/>
            <w:vertAlign w:val="superscript"/>
          </w:rPr>
          <w:t>9</w:t>
        </w:r>
      </w:hyperlink>
      <w:r w:rsidRPr="002F727C">
        <w:rPr>
          <w:rFonts w:ascii="Arial" w:hAnsi="Arial" w:cs="Arial"/>
          <w:color w:val="000000"/>
        </w:rPr>
        <w:t>. The etiologies of pancreatic insufficiency are diverse, encompassing chronic pancreatitis, cystic fibrosis, pancreatic cancer, and surgical resections of the pancreas</w:t>
      </w:r>
      <w:hyperlink w:anchor="643e5cf70494850d7232a4de9c6d0cfe" w:history="1">
        <w:r w:rsidR="00261AF3" w:rsidRPr="002F727C">
          <w:rPr>
            <w:rStyle w:val="Hyperlink"/>
            <w:rFonts w:ascii="Arial" w:hAnsi="Arial" w:cs="Arial"/>
            <w:color w:val="auto"/>
            <w:u w:val="none"/>
            <w:vertAlign w:val="superscript"/>
          </w:rPr>
          <w:t>7</w:t>
        </w:r>
      </w:hyperlink>
      <w:r w:rsidRPr="002F727C">
        <w:rPr>
          <w:rFonts w:ascii="Arial" w:hAnsi="Arial" w:cs="Arial"/>
          <w:color w:val="000000"/>
        </w:rPr>
        <w:t>. Accurate identification of the underlying cause is crucial for effective diagnosis and treatment strategies to mitigate the effects of pancreatic insufficiency, which can lead to serious complications such as malnutrition, osteoporosis, and vitamin deficiencies</w:t>
      </w:r>
      <w:hyperlink w:anchor="643e5cf70494850d7232a4de9c6d0cfe" w:history="1">
        <w:r w:rsidR="00261AF3" w:rsidRPr="002F727C">
          <w:rPr>
            <w:rStyle w:val="Hyperlink"/>
            <w:rFonts w:ascii="Arial" w:hAnsi="Arial" w:cs="Arial"/>
            <w:color w:val="auto"/>
            <w:u w:val="none"/>
            <w:vertAlign w:val="superscript"/>
          </w:rPr>
          <w:t>7</w:t>
        </w:r>
      </w:hyperlink>
      <w:r w:rsidRPr="002F727C">
        <w:rPr>
          <w:rFonts w:ascii="Arial" w:hAnsi="Arial" w:cs="Arial"/>
          <w:color w:val="000000"/>
        </w:rPr>
        <w:t>. Given the limitations in highly accurate or specific testing, the clinical manifestations of EPI are often nonspecific, leading to potential misdiagnosis and suboptimal management</w:t>
      </w:r>
      <w:hyperlink w:anchor="3a3fb76bb96582580d78be7092e5a020" w:history="1">
        <w:r w:rsidR="00261AF3" w:rsidRPr="002F727C">
          <w:rPr>
            <w:rStyle w:val="Hyperlink"/>
            <w:rFonts w:ascii="Arial" w:hAnsi="Arial" w:cs="Arial"/>
            <w:color w:val="auto"/>
            <w:u w:val="none"/>
            <w:vertAlign w:val="superscript"/>
          </w:rPr>
          <w:t>10</w:t>
        </w:r>
      </w:hyperlink>
      <w:r w:rsidRPr="002F727C">
        <w:rPr>
          <w:rFonts w:ascii="Arial" w:hAnsi="Arial" w:cs="Arial"/>
          <w:color w:val="000000"/>
        </w:rPr>
        <w:t xml:space="preserve">. Pancreatic enzyme </w:t>
      </w:r>
      <w:r w:rsidRPr="002F727C">
        <w:rPr>
          <w:rFonts w:ascii="Arial" w:hAnsi="Arial" w:cs="Arial"/>
          <w:color w:val="000000"/>
        </w:rPr>
        <w:lastRenderedPageBreak/>
        <w:t>replacement therapy represents a cornerstone of treatment, aiming to replenish deficient enzymes and restore digestive function</w:t>
      </w:r>
      <w:hyperlink w:anchor="4258108f16ce9ef16c63bf6f93c97bfa" w:history="1">
        <w:r w:rsidR="00261AF3" w:rsidRPr="002F727C">
          <w:rPr>
            <w:rStyle w:val="Hyperlink"/>
            <w:rFonts w:ascii="Arial" w:hAnsi="Arial" w:cs="Arial"/>
            <w:color w:val="auto"/>
            <w:u w:val="none"/>
            <w:vertAlign w:val="superscript"/>
          </w:rPr>
          <w:t>11</w:t>
        </w:r>
      </w:hyperlink>
      <w:r w:rsidRPr="002F727C">
        <w:rPr>
          <w:rFonts w:ascii="Arial" w:hAnsi="Arial" w:cs="Arial"/>
          <w:color w:val="000000"/>
        </w:rPr>
        <w:t>. The diagnosis of EPI can be achieved through direct or indirect measurement of pancreatic enzyme output, or by documenting maldigestion in general</w:t>
      </w:r>
      <w:hyperlink w:anchor="3a3fb76bb96582580d78be7092e5a020" w:history="1">
        <w:r w:rsidR="00261AF3" w:rsidRPr="002F727C">
          <w:rPr>
            <w:rStyle w:val="Hyperlink"/>
            <w:rFonts w:ascii="Arial" w:hAnsi="Arial" w:cs="Arial"/>
            <w:color w:val="auto"/>
            <w:u w:val="none"/>
            <w:vertAlign w:val="superscript"/>
          </w:rPr>
          <w:t>10</w:t>
        </w:r>
      </w:hyperlink>
      <w:r w:rsidRPr="002F727C">
        <w:rPr>
          <w:rFonts w:ascii="Arial" w:hAnsi="Arial" w:cs="Arial"/>
          <w:color w:val="000000"/>
        </w:rPr>
        <w:t>.</w:t>
      </w:r>
    </w:p>
    <w:p w14:paraId="3F19F065" w14:textId="71F16FB1" w:rsidR="00261AF3" w:rsidRPr="008A2527" w:rsidRDefault="00000000" w:rsidP="002F4F9C">
      <w:pPr>
        <w:pStyle w:val="Heading2"/>
      </w:pPr>
      <w:r w:rsidRPr="008A2527">
        <w:t>Bacterial infection and pancreatic insufficiency</w:t>
      </w:r>
    </w:p>
    <w:p w14:paraId="61282E67" w14:textId="77777777" w:rsidR="00261AF3" w:rsidRPr="002F727C" w:rsidRDefault="00000000" w:rsidP="002F727C">
      <w:pPr>
        <w:jc w:val="both"/>
        <w:rPr>
          <w:rFonts w:ascii="Arial" w:hAnsi="Arial" w:cs="Arial"/>
        </w:rPr>
      </w:pPr>
      <w:r w:rsidRPr="002F727C">
        <w:rPr>
          <w:rFonts w:ascii="Arial" w:hAnsi="Arial" w:cs="Arial"/>
          <w:color w:val="000000"/>
        </w:rPr>
        <w:t xml:space="preserve">Bacterial infections, particularly those involving </w:t>
      </w:r>
      <w:r w:rsidRPr="002F727C">
        <w:rPr>
          <w:rFonts w:ascii="Arial" w:hAnsi="Arial" w:cs="Arial"/>
          <w:i/>
          <w:iCs/>
          <w:color w:val="000000"/>
        </w:rPr>
        <w:t>Escherichia coli</w:t>
      </w:r>
      <w:r w:rsidRPr="002F727C">
        <w:rPr>
          <w:rFonts w:ascii="Arial" w:hAnsi="Arial" w:cs="Arial"/>
          <w:color w:val="000000"/>
        </w:rPr>
        <w:t xml:space="preserve">, can exacerbate pancreatic insufficiency through various mechanisms. </w:t>
      </w:r>
      <w:r w:rsidRPr="002F727C">
        <w:rPr>
          <w:rFonts w:ascii="Arial" w:hAnsi="Arial" w:cs="Arial"/>
          <w:i/>
          <w:iCs/>
          <w:color w:val="000000"/>
        </w:rPr>
        <w:t>E. coli</w:t>
      </w:r>
      <w:r w:rsidRPr="002F727C">
        <w:rPr>
          <w:rFonts w:ascii="Arial" w:hAnsi="Arial" w:cs="Arial"/>
          <w:color w:val="000000"/>
        </w:rPr>
        <w:t>-induced inflammation can disrupt pancreatic enzyme production and secretion, further compromising digestive function</w:t>
      </w:r>
      <w:hyperlink w:anchor="945694f7e4b7bffb49ccbb8c3bf50cf6" w:history="1">
        <w:r w:rsidR="00261AF3" w:rsidRPr="002F727C">
          <w:rPr>
            <w:rStyle w:val="Hyperlink"/>
            <w:rFonts w:ascii="Arial" w:hAnsi="Arial" w:cs="Arial"/>
            <w:color w:val="auto"/>
            <w:u w:val="none"/>
            <w:vertAlign w:val="superscript"/>
          </w:rPr>
          <w:t>13</w:t>
        </w:r>
      </w:hyperlink>
      <w:r w:rsidRPr="002F727C">
        <w:rPr>
          <w:rFonts w:ascii="Arial" w:hAnsi="Arial" w:cs="Arial"/>
          <w:color w:val="000000"/>
        </w:rPr>
        <w:t>. Furthermore, bacterial overgrowth in the small intestine, a common consequence of pancreatic insufficiency, can lead to nutrient malabsorption and exacerbate symptoms</w:t>
      </w:r>
      <w:hyperlink w:anchor="fec646e022f77747d338b4a1fea58b09" w:history="1">
        <w:r w:rsidR="00261AF3" w:rsidRPr="002F727C">
          <w:rPr>
            <w:rStyle w:val="Hyperlink"/>
            <w:rFonts w:ascii="Arial" w:hAnsi="Arial" w:cs="Arial"/>
            <w:color w:val="auto"/>
            <w:u w:val="none"/>
            <w:vertAlign w:val="superscript"/>
          </w:rPr>
          <w:t>14</w:t>
        </w:r>
      </w:hyperlink>
      <w:r w:rsidRPr="002F727C">
        <w:rPr>
          <w:rFonts w:ascii="Arial" w:hAnsi="Arial" w:cs="Arial"/>
          <w:color w:val="000000"/>
        </w:rPr>
        <w:t xml:space="preserve">. The uncontrolled proliferation of </w:t>
      </w:r>
      <w:r w:rsidRPr="002F727C">
        <w:rPr>
          <w:rFonts w:ascii="Arial" w:hAnsi="Arial" w:cs="Arial"/>
          <w:i/>
          <w:iCs/>
          <w:color w:val="000000"/>
        </w:rPr>
        <w:t>E. coli</w:t>
      </w:r>
      <w:r w:rsidRPr="002F727C">
        <w:rPr>
          <w:rFonts w:ascii="Arial" w:hAnsi="Arial" w:cs="Arial"/>
          <w:color w:val="000000"/>
        </w:rPr>
        <w:t xml:space="preserve"> and other bacteria can also result in the degradation of pancreatic enzymes, diminishing their effectiveness in digesting food. Addressing bacterial infections and restoring microbial balance is crucial in managing pancreatic insufficiency and alleviating associated complications</w:t>
      </w:r>
      <w:hyperlink w:anchor="f283cd552c6ea7a715a81dc6903491b9" w:history="1">
        <w:r w:rsidR="00261AF3" w:rsidRPr="002F727C">
          <w:rPr>
            <w:rStyle w:val="Hyperlink"/>
            <w:rFonts w:ascii="Arial" w:hAnsi="Arial" w:cs="Arial"/>
            <w:color w:val="auto"/>
            <w:u w:val="none"/>
            <w:vertAlign w:val="superscript"/>
          </w:rPr>
          <w:t>15</w:t>
        </w:r>
      </w:hyperlink>
      <w:r w:rsidRPr="002F727C">
        <w:rPr>
          <w:rFonts w:ascii="Arial" w:hAnsi="Arial" w:cs="Arial"/>
          <w:color w:val="000000"/>
        </w:rPr>
        <w:t xml:space="preserve">. The disruption of the gut microbiome due to pancreatic insufficiency can create an environment that promotes the growth of pathogenic bacteria, such as </w:t>
      </w:r>
      <w:r w:rsidRPr="002F727C">
        <w:rPr>
          <w:rFonts w:ascii="Arial" w:hAnsi="Arial" w:cs="Arial"/>
          <w:i/>
          <w:iCs/>
          <w:color w:val="000000"/>
        </w:rPr>
        <w:t>E. coli</w:t>
      </w:r>
      <w:r w:rsidRPr="002F727C">
        <w:rPr>
          <w:rFonts w:ascii="Arial" w:hAnsi="Arial" w:cs="Arial"/>
          <w:color w:val="000000"/>
        </w:rPr>
        <w:t>.</w:t>
      </w:r>
      <w:hyperlink w:anchor="0807bda57c23b9f05f2701abe18fac89" w:history="1">
        <w:r w:rsidR="00261AF3" w:rsidRPr="002F727C">
          <w:rPr>
            <w:rStyle w:val="Hyperlink"/>
            <w:rFonts w:ascii="Arial" w:hAnsi="Arial" w:cs="Arial"/>
            <w:color w:val="auto"/>
            <w:u w:val="none"/>
            <w:vertAlign w:val="superscript"/>
          </w:rPr>
          <w:t>16</w:t>
        </w:r>
      </w:hyperlink>
      <w:r w:rsidRPr="002F727C">
        <w:rPr>
          <w:rFonts w:ascii="Arial" w:hAnsi="Arial" w:cs="Arial"/>
          <w:color w:val="000000"/>
        </w:rPr>
        <w:t>. This bacterial overgrowth can further compromise digestive function, leading to a vicious cycle of malnutrition and exacerbation of pancreatic insufficiency symptoms</w:t>
      </w:r>
      <w:hyperlink w:anchor="e82fe2ceedcee9f55240e736e494c602" w:history="1">
        <w:r w:rsidR="00261AF3" w:rsidRPr="002F727C">
          <w:rPr>
            <w:rStyle w:val="Hyperlink"/>
            <w:rFonts w:ascii="Arial" w:hAnsi="Arial" w:cs="Arial"/>
            <w:color w:val="auto"/>
            <w:u w:val="none"/>
            <w:vertAlign w:val="superscript"/>
          </w:rPr>
          <w:t>17</w:t>
        </w:r>
      </w:hyperlink>
      <w:r w:rsidRPr="002F727C">
        <w:rPr>
          <w:rFonts w:ascii="Arial" w:hAnsi="Arial" w:cs="Arial"/>
          <w:color w:val="000000"/>
        </w:rPr>
        <w:t>. Employing strategies to modulate the gut microbiome, such as the use of probiotics or targeted antimicrobial therapy, may help restore the balance of beneficial and pathogenic bacteria, thereby improving overall digestive health and mitigating the effects of pancreatic insufficiency.</w:t>
      </w:r>
    </w:p>
    <w:p w14:paraId="5D890BD8" w14:textId="1EF97ADC" w:rsidR="00261AF3" w:rsidRPr="008A2527" w:rsidRDefault="00000000" w:rsidP="002F4F9C">
      <w:pPr>
        <w:pStyle w:val="Heading2"/>
      </w:pPr>
      <w:r w:rsidRPr="008A2527">
        <w:t>Anti-oxidan</w:t>
      </w:r>
      <w:r w:rsidR="003A03DF">
        <w:t>cy</w:t>
      </w:r>
      <w:r w:rsidRPr="008A2527">
        <w:t xml:space="preserve"> and pancreatic insufficiency</w:t>
      </w:r>
    </w:p>
    <w:p w14:paraId="6D9842EB" w14:textId="77777777" w:rsidR="00261AF3" w:rsidRPr="002F727C" w:rsidRDefault="00000000" w:rsidP="002F727C">
      <w:pPr>
        <w:jc w:val="both"/>
        <w:rPr>
          <w:rFonts w:ascii="Arial" w:hAnsi="Arial" w:cs="Arial"/>
        </w:rPr>
      </w:pPr>
      <w:r w:rsidRPr="002F727C">
        <w:rPr>
          <w:rFonts w:ascii="Arial" w:hAnsi="Arial" w:cs="Arial"/>
          <w:color w:val="000000"/>
        </w:rPr>
        <w:t>Oxidative stress significantly contributes to the development of pancreatic insufficiency through several key mechanisms. It damages pancreatic tissue, impairs enzyme production, and promotes fibrosis, ultimately reducing the pancreas's ability to produce and secrete digestive enzymes, leading to exocrine pancreatic insufficiency</w:t>
      </w:r>
      <w:hyperlink w:anchor="7121cc97b25c93128e0c07e102ffda97" w:history="1">
        <w:r w:rsidR="00261AF3" w:rsidRPr="002F727C">
          <w:rPr>
            <w:rStyle w:val="Hyperlink"/>
            <w:rFonts w:ascii="Arial" w:hAnsi="Arial" w:cs="Arial"/>
            <w:color w:val="auto"/>
            <w:u w:val="none"/>
            <w:vertAlign w:val="superscript"/>
          </w:rPr>
          <w:t>18</w:t>
        </w:r>
      </w:hyperlink>
      <w:r w:rsidRPr="002F727C">
        <w:rPr>
          <w:rFonts w:ascii="Arial" w:hAnsi="Arial" w:cs="Arial"/>
          <w:color w:val="000000"/>
        </w:rPr>
        <w:t>. Reactive oxygen species directly damage acinar cells, impairing enzyme synthesis and secretion, and disrupt mitochondrial function, reducing ATP production and compromising energy-dependent enzyme processes</w:t>
      </w:r>
      <w:hyperlink w:anchor="8edd07e47a5e51acfca296db7516fc97" w:history="1">
        <w:r w:rsidR="00261AF3" w:rsidRPr="002F727C">
          <w:rPr>
            <w:rStyle w:val="Hyperlink"/>
            <w:rFonts w:ascii="Arial" w:hAnsi="Arial" w:cs="Arial"/>
            <w:color w:val="auto"/>
            <w:u w:val="none"/>
            <w:vertAlign w:val="superscript"/>
          </w:rPr>
          <w:t>19</w:t>
        </w:r>
      </w:hyperlink>
      <w:r w:rsidRPr="002F727C">
        <w:rPr>
          <w:rFonts w:ascii="Arial" w:hAnsi="Arial" w:cs="Arial"/>
          <w:color w:val="000000"/>
        </w:rPr>
        <w:t>. ROS also activate pancreatic stellate cells, transforming them into myofibroblasts that deposit collagen and replace functional pancreatic tissue with scar tissue, further reducing enzyme production capacity</w:t>
      </w:r>
      <w:hyperlink w:anchor="aed863f2615521988e5d262139db0018" w:history="1">
        <w:r w:rsidR="00261AF3" w:rsidRPr="002F727C">
          <w:rPr>
            <w:rStyle w:val="Hyperlink"/>
            <w:rFonts w:ascii="Arial" w:hAnsi="Arial" w:cs="Arial"/>
            <w:color w:val="auto"/>
            <w:u w:val="none"/>
            <w:vertAlign w:val="superscript"/>
          </w:rPr>
          <w:t>20</w:t>
        </w:r>
      </w:hyperlink>
      <w:r w:rsidRPr="002F727C">
        <w:rPr>
          <w:rFonts w:ascii="Arial" w:hAnsi="Arial" w:cs="Arial"/>
          <w:color w:val="000000"/>
        </w:rPr>
        <w:t>. Oxidative stress triggers pro-inflammatory signaling, creating a feedback loop that amplifies tissue damage and fibrosis</w:t>
      </w:r>
      <w:hyperlink w:anchor="08f6e7d1c69a2bbf9d5a59f61485e376" w:history="1">
        <w:r w:rsidR="00261AF3" w:rsidRPr="002F727C">
          <w:rPr>
            <w:rStyle w:val="Hyperlink"/>
            <w:rFonts w:ascii="Arial" w:hAnsi="Arial" w:cs="Arial"/>
            <w:color w:val="auto"/>
            <w:u w:val="none"/>
            <w:vertAlign w:val="superscript"/>
          </w:rPr>
          <w:t>21</w:t>
        </w:r>
      </w:hyperlink>
      <w:r w:rsidRPr="002F727C">
        <w:rPr>
          <w:rFonts w:ascii="Arial" w:hAnsi="Arial" w:cs="Arial"/>
          <w:color w:val="000000"/>
        </w:rPr>
        <w:t>. Chronic diseases deplete antioxidants like glutathione and superoxide dismutase, leaving the pancreas vulnerable to oxidative damage</w:t>
      </w:r>
      <w:hyperlink w:anchor="0eba8692fdfa4a9b68bb3589286858a0" w:history="1">
        <w:r w:rsidR="00261AF3" w:rsidRPr="002F727C">
          <w:rPr>
            <w:rStyle w:val="Hyperlink"/>
            <w:rFonts w:ascii="Arial" w:hAnsi="Arial" w:cs="Arial"/>
            <w:color w:val="auto"/>
            <w:u w:val="none"/>
            <w:vertAlign w:val="superscript"/>
          </w:rPr>
          <w:t>22</w:t>
        </w:r>
      </w:hyperlink>
      <w:r w:rsidRPr="002F727C">
        <w:rPr>
          <w:rFonts w:ascii="Arial" w:hAnsi="Arial" w:cs="Arial"/>
          <w:color w:val="000000"/>
        </w:rPr>
        <w:t>. ROS can also damage ductal cells, impairing bicarbonate secretion and leading to premature enzyme activation and autodigestion of pancreatic tissue</w:t>
      </w:r>
      <w:hyperlink w:anchor="2e726ed0d2219705a2a45371cf825f49" w:history="1">
        <w:r w:rsidR="00261AF3" w:rsidRPr="002F727C">
          <w:rPr>
            <w:rStyle w:val="Hyperlink"/>
            <w:rFonts w:ascii="Arial" w:hAnsi="Arial" w:cs="Arial"/>
            <w:color w:val="auto"/>
            <w:u w:val="none"/>
            <w:vertAlign w:val="superscript"/>
          </w:rPr>
          <w:t>23</w:t>
        </w:r>
      </w:hyperlink>
      <w:r w:rsidRPr="002F727C">
        <w:rPr>
          <w:rFonts w:ascii="Arial" w:hAnsi="Arial" w:cs="Arial"/>
          <w:color w:val="000000"/>
        </w:rPr>
        <w:t>. The relationship between oxidative stress and pancreatic insufficiency highlights the importance of antioxidant defenses and managing risk factors, such as alcohol abuse, smoking, genetic mutations, and chronic pancreatitis, to prevent or slow the progression of pancreatic damage</w:t>
      </w:r>
      <w:hyperlink w:anchor="c7d510b17d326d59957c121f5681452f" w:history="1">
        <w:r w:rsidR="00261AF3" w:rsidRPr="002F727C">
          <w:rPr>
            <w:rStyle w:val="Hyperlink"/>
            <w:rFonts w:ascii="Arial" w:hAnsi="Arial" w:cs="Arial"/>
            <w:color w:val="auto"/>
            <w:u w:val="none"/>
            <w:vertAlign w:val="superscript"/>
          </w:rPr>
          <w:t>24</w:t>
        </w:r>
      </w:hyperlink>
      <w:r w:rsidRPr="002F727C">
        <w:rPr>
          <w:rFonts w:ascii="Arial" w:hAnsi="Arial" w:cs="Arial"/>
          <w:color w:val="000000"/>
        </w:rPr>
        <w:t>. Compounds like omega-3 fatty acids have shown promise in suppressing inflammatory pathways and inhibiting oxidative stress in pancreatic acinar cells</w:t>
      </w:r>
      <w:hyperlink w:anchor="a8dee824510325daf850f8ca564586f0" w:history="1">
        <w:r w:rsidR="00261AF3" w:rsidRPr="002F727C">
          <w:rPr>
            <w:rStyle w:val="Hyperlink"/>
            <w:rFonts w:ascii="Arial" w:hAnsi="Arial" w:cs="Arial"/>
            <w:color w:val="auto"/>
            <w:u w:val="none"/>
            <w:vertAlign w:val="superscript"/>
          </w:rPr>
          <w:t>25</w:t>
        </w:r>
      </w:hyperlink>
      <w:r w:rsidRPr="002F727C">
        <w:rPr>
          <w:rFonts w:ascii="Arial" w:hAnsi="Arial" w:cs="Arial"/>
        </w:rPr>
        <w:t>.</w:t>
      </w:r>
      <w:r w:rsidRPr="002F727C">
        <w:rPr>
          <w:rFonts w:ascii="Arial" w:hAnsi="Arial" w:cs="Arial"/>
          <w:color w:val="000000"/>
        </w:rPr>
        <w:t xml:space="preserve"> Oxidative stress can overwhelm the cytoprotective molecules in the pancreas, with calcium signaling and reactive oxygen species intricately linked through mitochondrial interactions</w:t>
      </w:r>
      <w:hyperlink w:anchor="b6e5090a1d2cc8fc57d427da43358c22" w:history="1">
        <w:r w:rsidR="00261AF3" w:rsidRPr="002F727C">
          <w:rPr>
            <w:rStyle w:val="Hyperlink"/>
            <w:rFonts w:ascii="Arial" w:hAnsi="Arial" w:cs="Arial"/>
            <w:color w:val="auto"/>
            <w:u w:val="none"/>
            <w:vertAlign w:val="superscript"/>
          </w:rPr>
          <w:t>12</w:t>
        </w:r>
      </w:hyperlink>
      <w:r w:rsidRPr="002F727C">
        <w:rPr>
          <w:rFonts w:ascii="Arial" w:hAnsi="Arial" w:cs="Arial"/>
          <w:color w:val="000000"/>
        </w:rPr>
        <w:t xml:space="preserve">. </w:t>
      </w:r>
    </w:p>
    <w:p w14:paraId="054C2F54" w14:textId="74D53E9A" w:rsidR="00261AF3" w:rsidRPr="008A2527" w:rsidRDefault="00000000" w:rsidP="002F4F9C">
      <w:pPr>
        <w:pStyle w:val="Heading2"/>
      </w:pPr>
      <w:r w:rsidRPr="008A2527">
        <w:t>Anti-inflammatory and pancreatic insufficiency</w:t>
      </w:r>
    </w:p>
    <w:p w14:paraId="1A4F6948" w14:textId="7386BF40" w:rsidR="008A2527" w:rsidRPr="008A2527" w:rsidRDefault="00000000" w:rsidP="002F727C">
      <w:pPr>
        <w:jc w:val="both"/>
        <w:rPr>
          <w:rFonts w:ascii="Arial" w:hAnsi="Arial" w:cs="Arial"/>
          <w:color w:val="000000"/>
        </w:rPr>
      </w:pPr>
      <w:r w:rsidRPr="002F727C">
        <w:rPr>
          <w:rFonts w:ascii="Arial" w:hAnsi="Arial" w:cs="Arial"/>
          <w:color w:val="000000"/>
        </w:rPr>
        <w:t>Pancreatic inflammation plays a pivotal role in the pathogenesis of pancreatic insufficiency, contributing to tissue damage, impaired enzyme production, and compromised digestive function</w:t>
      </w:r>
      <w:hyperlink w:anchor="cf7916ea87edd49b45d8c77d229e2b77" w:history="1">
        <w:r w:rsidR="00261AF3" w:rsidRPr="002F727C">
          <w:rPr>
            <w:rStyle w:val="Hyperlink"/>
            <w:rFonts w:ascii="Arial" w:hAnsi="Arial" w:cs="Arial"/>
            <w:color w:val="auto"/>
            <w:u w:val="none"/>
            <w:vertAlign w:val="superscript"/>
          </w:rPr>
          <w:t>26</w:t>
        </w:r>
      </w:hyperlink>
      <w:r w:rsidRPr="002F727C">
        <w:rPr>
          <w:rFonts w:ascii="Arial" w:hAnsi="Arial" w:cs="Arial"/>
          <w:color w:val="000000"/>
        </w:rPr>
        <w:t>. Inflammatory mediators, such as cytokines and chemokines, can disrupt the delicate balance within the pancreas, leading to cellular injury and fibrosis</w:t>
      </w:r>
      <w:hyperlink w:anchor="85be994bd204022052d1c7559c7e4f56" w:history="1">
        <w:r w:rsidR="00261AF3" w:rsidRPr="002F727C">
          <w:rPr>
            <w:rStyle w:val="Hyperlink"/>
            <w:rFonts w:ascii="Arial" w:hAnsi="Arial" w:cs="Arial"/>
            <w:color w:val="auto"/>
            <w:u w:val="none"/>
            <w:vertAlign w:val="superscript"/>
          </w:rPr>
          <w:t>27</w:t>
        </w:r>
      </w:hyperlink>
      <w:r w:rsidRPr="002F727C">
        <w:rPr>
          <w:rFonts w:ascii="Arial" w:hAnsi="Arial" w:cs="Arial"/>
          <w:color w:val="000000"/>
        </w:rPr>
        <w:t>.Targeting inflammatory pathways represents a promising therapeutic strategy for mitigating pancreatic damage and preserving pancreatic function. Supplementation of omega-3 fatty acids increases anti-inflammatory cytokines and attenuates systemic disease, which suggests that the systemic inflammatory response to pancreatic injury is attenuated</w:t>
      </w:r>
      <w:hyperlink w:anchor="e3ca879b08683bf16ed90ac24d38a680" w:history="1">
        <w:r w:rsidR="00261AF3" w:rsidRPr="002F727C">
          <w:rPr>
            <w:rStyle w:val="Hyperlink"/>
            <w:rFonts w:ascii="Arial" w:hAnsi="Arial" w:cs="Arial"/>
            <w:color w:val="auto"/>
            <w:u w:val="none"/>
            <w:vertAlign w:val="superscript"/>
          </w:rPr>
          <w:t>28</w:t>
        </w:r>
      </w:hyperlink>
      <w:r w:rsidRPr="002F727C">
        <w:rPr>
          <w:rFonts w:ascii="Arial" w:hAnsi="Arial" w:cs="Arial"/>
          <w:color w:val="000000"/>
        </w:rPr>
        <w:t>. Natural compounds extracted from plants can inhibit inflammation and oxidative stress in acute pancreatitis by blocking several signaling pathways</w:t>
      </w:r>
      <w:hyperlink w:anchor="e3ca879b08683bf16ed90ac24d38a680" w:history="1">
        <w:r w:rsidR="00261AF3" w:rsidRPr="002F727C">
          <w:rPr>
            <w:rStyle w:val="Hyperlink"/>
            <w:rFonts w:ascii="Arial" w:hAnsi="Arial" w:cs="Arial"/>
            <w:color w:val="auto"/>
            <w:u w:val="none"/>
            <w:vertAlign w:val="superscript"/>
          </w:rPr>
          <w:t>28</w:t>
        </w:r>
      </w:hyperlink>
      <w:r w:rsidRPr="002F727C">
        <w:rPr>
          <w:rFonts w:ascii="Arial" w:hAnsi="Arial" w:cs="Arial"/>
          <w:vertAlign w:val="superscript"/>
        </w:rPr>
        <w:t xml:space="preserve">, </w:t>
      </w:r>
      <w:hyperlink w:anchor="3670ddb58ef0ad6a5806fba30f88dbc7" w:history="1">
        <w:r w:rsidR="00261AF3" w:rsidRPr="002F727C">
          <w:rPr>
            <w:rStyle w:val="Hyperlink"/>
            <w:rFonts w:ascii="Arial" w:hAnsi="Arial" w:cs="Arial"/>
            <w:color w:val="auto"/>
            <w:u w:val="none"/>
            <w:vertAlign w:val="superscript"/>
          </w:rPr>
          <w:t>29</w:t>
        </w:r>
      </w:hyperlink>
      <w:r w:rsidRPr="002F727C">
        <w:rPr>
          <w:rFonts w:ascii="Arial" w:hAnsi="Arial" w:cs="Arial"/>
          <w:color w:val="000000"/>
        </w:rPr>
        <w:t>.</w:t>
      </w:r>
    </w:p>
    <w:p w14:paraId="2EB07772" w14:textId="5E930DD9" w:rsidR="00261AF3" w:rsidRPr="002F4F9C" w:rsidRDefault="00000000" w:rsidP="002F4F9C">
      <w:pPr>
        <w:pStyle w:val="Heading1"/>
      </w:pPr>
      <w:r w:rsidRPr="002F4F9C">
        <w:t>Materials and Methodology</w:t>
      </w:r>
    </w:p>
    <w:p w14:paraId="42E30F47" w14:textId="25CF1EAA" w:rsidR="00261AF3" w:rsidRPr="008A2527" w:rsidRDefault="00000000" w:rsidP="008A2527">
      <w:pPr>
        <w:jc w:val="both"/>
        <w:rPr>
          <w:rFonts w:ascii="Arial" w:hAnsi="Arial" w:cs="Arial"/>
        </w:rPr>
      </w:pPr>
      <w:r w:rsidRPr="008A2527">
        <w:rPr>
          <w:rFonts w:ascii="Arial" w:hAnsi="Arial" w:cs="Arial"/>
          <w:color w:val="000000"/>
        </w:rPr>
        <w:t xml:space="preserve">The materials and methodology employed in this study encompassed a comprehensive range of procedures to investigate the therapeutic potential of </w:t>
      </w:r>
      <w:r w:rsidR="005B4ED1" w:rsidRPr="008A2527">
        <w:rPr>
          <w:rFonts w:ascii="Arial" w:hAnsi="Arial" w:cs="Arial"/>
          <w:i/>
          <w:color w:val="000000"/>
        </w:rPr>
        <w:t>Carpobrotus edulis</w:t>
      </w:r>
      <w:r w:rsidRPr="008A2527">
        <w:rPr>
          <w:rFonts w:ascii="Arial" w:hAnsi="Arial" w:cs="Arial"/>
          <w:color w:val="000000"/>
        </w:rPr>
        <w:t xml:space="preserve"> leaf extracts in pancreatic insufficiency. The study materials included analytical-grade chemicals and reagents obtained from the University of Zimbabwe, ensuring the reliability and accuracy of the experimental procedures. The study utilized specific equipment and facilities, including spectrophotometers for quantitative phytochemical analyses, which enabled precise measurement of the total phenolic and flavonoid content in the plant </w:t>
      </w:r>
      <w:r w:rsidRPr="008A2527">
        <w:rPr>
          <w:rFonts w:ascii="Arial" w:hAnsi="Arial" w:cs="Arial"/>
          <w:color w:val="000000"/>
        </w:rPr>
        <w:lastRenderedPageBreak/>
        <w:t xml:space="preserve">extracts. Additionally, cell culture facilities were employed for in vitro anti-inflammatory and antibacterial activity assays, providing a controlled environment for evaluating the biological effects of </w:t>
      </w:r>
      <w:r w:rsidR="005B4ED1" w:rsidRPr="008A2527">
        <w:rPr>
          <w:rFonts w:ascii="Arial" w:hAnsi="Arial" w:cs="Arial"/>
          <w:i/>
          <w:color w:val="000000"/>
        </w:rPr>
        <w:t>Carpobrotus edulis</w:t>
      </w:r>
      <w:r w:rsidRPr="008A2527">
        <w:rPr>
          <w:rFonts w:ascii="Arial" w:hAnsi="Arial" w:cs="Arial"/>
          <w:color w:val="000000"/>
        </w:rPr>
        <w:t xml:space="preserve"> extracts. Plant specimens were meticulously authenticated at the National Herbarium in Zimbabwe, affirming the correct identification of </w:t>
      </w:r>
      <w:r w:rsidR="005B4ED1" w:rsidRPr="008A2527">
        <w:rPr>
          <w:rFonts w:ascii="Arial" w:hAnsi="Arial" w:cs="Arial"/>
          <w:i/>
          <w:color w:val="000000"/>
        </w:rPr>
        <w:t>Carpobrotus edulis</w:t>
      </w:r>
      <w:r w:rsidRPr="008A2527">
        <w:rPr>
          <w:rFonts w:ascii="Arial" w:hAnsi="Arial" w:cs="Arial"/>
          <w:color w:val="000000"/>
        </w:rPr>
        <w:t xml:space="preserve"> for subsequent analyses. Ethical approval for the use of animals in this research was obtained from the Joint Research Ethics Committee prior to commencement, adhering to ethical guidelines and ensuring the humane treatment of all animal subjects.</w:t>
      </w:r>
    </w:p>
    <w:p w14:paraId="1BCDFFD8" w14:textId="1784293B" w:rsidR="00261AF3" w:rsidRPr="002F4F9C" w:rsidRDefault="00000000" w:rsidP="002F4F9C">
      <w:pPr>
        <w:pStyle w:val="Heading2"/>
      </w:pPr>
      <w:r w:rsidRPr="002F4F9C">
        <w:t>Plant collection and Preparation</w:t>
      </w:r>
    </w:p>
    <w:p w14:paraId="48DCCE45" w14:textId="37875054" w:rsidR="00261AF3" w:rsidRPr="002F4F9C" w:rsidRDefault="00FB69C5" w:rsidP="002F4F9C">
      <w:pPr>
        <w:pStyle w:val="Heading3"/>
      </w:pPr>
      <w:r>
        <w:t>Plant c</w:t>
      </w:r>
      <w:r w:rsidRPr="002F4F9C">
        <w:t>ollection</w:t>
      </w:r>
    </w:p>
    <w:p w14:paraId="59E20DDF" w14:textId="2199BD58" w:rsidR="00261AF3" w:rsidRPr="008A2527" w:rsidRDefault="00000000" w:rsidP="008A2527">
      <w:pPr>
        <w:jc w:val="both"/>
        <w:rPr>
          <w:rFonts w:ascii="Arial" w:hAnsi="Arial" w:cs="Arial"/>
        </w:rPr>
      </w:pPr>
      <w:r w:rsidRPr="008A2527">
        <w:rPr>
          <w:rFonts w:ascii="Arial" w:hAnsi="Arial" w:cs="Arial"/>
          <w:color w:val="000000"/>
        </w:rPr>
        <w:t xml:space="preserve">The </w:t>
      </w:r>
      <w:r w:rsidR="005B4ED1" w:rsidRPr="008A2527">
        <w:rPr>
          <w:rFonts w:ascii="Arial" w:hAnsi="Arial" w:cs="Arial"/>
          <w:i/>
          <w:iCs/>
          <w:color w:val="000000"/>
        </w:rPr>
        <w:t>Carpobrotus edulis</w:t>
      </w:r>
      <w:r w:rsidRPr="008A2527">
        <w:rPr>
          <w:rFonts w:ascii="Arial" w:hAnsi="Arial" w:cs="Arial"/>
          <w:color w:val="000000"/>
        </w:rPr>
        <w:t xml:space="preserve"> leaf plant collection and preparation involved several key steps. The plants were collected in Hatfield, Harare, a suburban area situated in the southern part of Harare</w:t>
      </w:r>
      <w:r w:rsidR="003A03DF">
        <w:rPr>
          <w:rFonts w:ascii="Arial" w:hAnsi="Arial" w:cs="Arial"/>
          <w:color w:val="000000"/>
        </w:rPr>
        <w:t xml:space="preserve"> in</w:t>
      </w:r>
      <w:r w:rsidRPr="008A2527">
        <w:rPr>
          <w:rFonts w:ascii="Arial" w:hAnsi="Arial" w:cs="Arial"/>
          <w:color w:val="000000"/>
        </w:rPr>
        <w:t xml:space="preserve"> Zimbabwe. The collection was conducted during the dry season to ensure optimal phytochemical content in the leaves</w:t>
      </w:r>
      <w:hyperlink w:anchor="d73ec6c53d6bcec7882fec6ac0484899" w:history="1">
        <w:r w:rsidR="00261AF3" w:rsidRPr="008A2527">
          <w:rPr>
            <w:rStyle w:val="Hyperlink"/>
            <w:rFonts w:ascii="Arial" w:hAnsi="Arial" w:cs="Arial"/>
            <w:color w:val="auto"/>
            <w:u w:val="none"/>
            <w:vertAlign w:val="superscript"/>
          </w:rPr>
          <w:t>6</w:t>
        </w:r>
      </w:hyperlink>
      <w:r w:rsidRPr="008A2527">
        <w:rPr>
          <w:rFonts w:ascii="Arial" w:hAnsi="Arial" w:cs="Arial"/>
          <w:color w:val="000000"/>
        </w:rPr>
        <w:t xml:space="preserve">.  The leaves were carefully selected, focusing on mature and healthy specimens, to minimize variations in chemical composition. </w:t>
      </w:r>
    </w:p>
    <w:p w14:paraId="503B17ED" w14:textId="5D837439" w:rsidR="00261AF3" w:rsidRPr="008A2527" w:rsidRDefault="00FB69C5" w:rsidP="002F4F9C">
      <w:pPr>
        <w:pStyle w:val="Heading3"/>
      </w:pPr>
      <w:r>
        <w:t>Samples p</w:t>
      </w:r>
      <w:r w:rsidRPr="008A2527">
        <w:t>reparation</w:t>
      </w:r>
    </w:p>
    <w:p w14:paraId="0611B8DE" w14:textId="77777777" w:rsidR="00261AF3" w:rsidRPr="008A2527" w:rsidRDefault="00000000" w:rsidP="008A2527">
      <w:pPr>
        <w:jc w:val="both"/>
        <w:rPr>
          <w:rFonts w:ascii="Arial" w:hAnsi="Arial" w:cs="Arial"/>
        </w:rPr>
      </w:pPr>
      <w:r w:rsidRPr="008A2527">
        <w:rPr>
          <w:rFonts w:ascii="Arial" w:hAnsi="Arial" w:cs="Arial"/>
          <w:color w:val="000000"/>
        </w:rPr>
        <w:t>The leaves were first washed to remove any sand and debris</w:t>
      </w:r>
      <w:hyperlink w:anchor="478c248fe30b0cb8fcde76cc6893fd43" w:history="1">
        <w:r w:rsidR="00261AF3" w:rsidRPr="008A2527">
          <w:rPr>
            <w:rStyle w:val="Hyperlink"/>
            <w:rFonts w:ascii="Arial" w:hAnsi="Arial" w:cs="Arial"/>
            <w:color w:val="auto"/>
            <w:u w:val="none"/>
            <w:vertAlign w:val="superscript"/>
          </w:rPr>
          <w:t>30,31</w:t>
        </w:r>
      </w:hyperlink>
      <w:r w:rsidRPr="008A2527">
        <w:rPr>
          <w:rFonts w:ascii="Arial" w:hAnsi="Arial" w:cs="Arial"/>
          <w:color w:val="000000"/>
        </w:rPr>
        <w:t>. Following washing, the leaves were air-dried at room temperature (24°C ±3°C) for 12 days</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Once dried, the leaves were ground into a powder</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xml:space="preserve">. 300g of the resulting powder was then macerated in 70% ethanol at a ratio of 1 to 6 (w/v) in a volumetric flask </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This suspension was macerated for 48 hours at room temperature, with constant shaking</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After maceration, the suspension was filtered using Whatman® filter paper (number 4)</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The filtrate was then freeze-dried for 48 hours</w:t>
      </w:r>
      <w:hyperlink w:anchor="9bab0014f2164b59f8d56aedb072cf0f" w:history="1">
        <w:r w:rsidR="00261AF3" w:rsidRPr="008A2527">
          <w:rPr>
            <w:rStyle w:val="Hyperlink"/>
            <w:rFonts w:ascii="Arial" w:hAnsi="Arial" w:cs="Arial"/>
            <w:color w:val="auto"/>
            <w:u w:val="none"/>
            <w:vertAlign w:val="superscript"/>
          </w:rPr>
          <w:t>31</w:t>
        </w:r>
      </w:hyperlink>
      <w:r w:rsidRPr="008A2527">
        <w:rPr>
          <w:rFonts w:ascii="Arial" w:hAnsi="Arial" w:cs="Arial"/>
          <w:color w:val="000000"/>
        </w:rPr>
        <w:t>. The extract was weighed to determine the extract yield. The freeze-dried extract was then stored in an airtight container at 4°C until further use in the experiment</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w:t>
      </w:r>
    </w:p>
    <w:p w14:paraId="70EDC0FC" w14:textId="2AB1535E" w:rsidR="00261AF3" w:rsidRPr="008A2527" w:rsidRDefault="00000000" w:rsidP="00FB69C5">
      <w:pPr>
        <w:pStyle w:val="Heading2"/>
      </w:pPr>
      <w:r w:rsidRPr="008A2527">
        <w:t>Qualitative phytochemical analysis</w:t>
      </w:r>
    </w:p>
    <w:p w14:paraId="6C11876B" w14:textId="6ADC7928" w:rsidR="00261AF3" w:rsidRPr="008A2527" w:rsidRDefault="00000000" w:rsidP="008A2527">
      <w:pPr>
        <w:jc w:val="both"/>
        <w:rPr>
          <w:rFonts w:ascii="Arial" w:hAnsi="Arial" w:cs="Arial"/>
        </w:rPr>
      </w:pPr>
      <w:r w:rsidRPr="008A2527">
        <w:rPr>
          <w:rFonts w:ascii="Arial" w:hAnsi="Arial" w:cs="Arial"/>
          <w:color w:val="000000"/>
        </w:rPr>
        <w:t xml:space="preserve">Qualitative phytochemical analysis was conducted to identify the presence of various classes of secondary metabolites in </w:t>
      </w:r>
      <w:r w:rsidR="005B4ED1" w:rsidRPr="008A2527">
        <w:rPr>
          <w:rFonts w:ascii="Arial" w:hAnsi="Arial" w:cs="Arial"/>
          <w:i/>
          <w:iCs/>
          <w:color w:val="000000"/>
        </w:rPr>
        <w:t>Carpobrotus edulis</w:t>
      </w:r>
      <w:r w:rsidRPr="008A2527">
        <w:rPr>
          <w:rFonts w:ascii="Arial" w:hAnsi="Arial" w:cs="Arial"/>
          <w:color w:val="000000"/>
        </w:rPr>
        <w:t xml:space="preserve"> extracts, providing insights into the chemical composition and potential bioactivity of the plant</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This phytochemical screening employed standard techniques to determine the presence or absence of relevant phytoconstituents, such as alkaloids, flavonoids, tannins, saponins, and other compounds that may contribute to the observed therapeutic effects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A series of qualitative tests were carried out on the hydro-ethanolic leaf extracts of </w:t>
      </w:r>
      <w:r w:rsidR="005B4ED1" w:rsidRPr="008A2527">
        <w:rPr>
          <w:rFonts w:ascii="Arial" w:hAnsi="Arial" w:cs="Arial"/>
          <w:i/>
          <w:color w:val="000000"/>
        </w:rPr>
        <w:t>Carpobrotus edulis</w:t>
      </w:r>
      <w:r w:rsidRPr="008A2527">
        <w:rPr>
          <w:rFonts w:ascii="Arial" w:hAnsi="Arial" w:cs="Arial"/>
          <w:color w:val="000000"/>
        </w:rPr>
        <w:t xml:space="preserve"> to confirm the presence of these phytochemicals of pharmacological interest. </w:t>
      </w:r>
    </w:p>
    <w:p w14:paraId="77850815" w14:textId="2A07D051" w:rsidR="00261AF3" w:rsidRPr="008A2527" w:rsidRDefault="00000000" w:rsidP="00FB69C5">
      <w:pPr>
        <w:pStyle w:val="Heading3"/>
      </w:pPr>
      <w:r w:rsidRPr="008A2527">
        <w:t xml:space="preserve">Preparation of a concentration prior to phytochemical analysis </w:t>
      </w:r>
    </w:p>
    <w:p w14:paraId="45940357" w14:textId="75C24703" w:rsidR="00261AF3" w:rsidRPr="008A2527" w:rsidRDefault="00000000" w:rsidP="008A2527">
      <w:pPr>
        <w:jc w:val="both"/>
        <w:rPr>
          <w:rFonts w:ascii="Arial" w:hAnsi="Arial" w:cs="Arial"/>
        </w:rPr>
      </w:pPr>
      <w:r w:rsidRPr="008A2527">
        <w:rPr>
          <w:rFonts w:ascii="Arial" w:hAnsi="Arial" w:cs="Arial"/>
          <w:color w:val="000000"/>
        </w:rPr>
        <w:t xml:space="preserve">To prepare for phytochemical analysis, 10g of the freeze-dried hydro-ethanolic extract of </w:t>
      </w:r>
      <w:r w:rsidR="005B4ED1" w:rsidRPr="008A2527">
        <w:rPr>
          <w:rFonts w:ascii="Arial" w:hAnsi="Arial" w:cs="Arial"/>
          <w:i/>
          <w:color w:val="000000"/>
        </w:rPr>
        <w:t>C. edulis</w:t>
      </w:r>
      <w:r w:rsidRPr="008A2527">
        <w:rPr>
          <w:rFonts w:ascii="Arial" w:hAnsi="Arial" w:cs="Arial"/>
          <w:color w:val="000000"/>
        </w:rPr>
        <w:t xml:space="preserve"> was dissolved in 100ml of distilled water in a 200ml round bottom flask. This solution was then tested using </w:t>
      </w:r>
      <w:proofErr w:type="gramStart"/>
      <w:r w:rsidRPr="008A2527">
        <w:rPr>
          <w:rFonts w:ascii="Arial" w:hAnsi="Arial" w:cs="Arial"/>
          <w:color w:val="000000"/>
        </w:rPr>
        <w:t>various phyto-screening</w:t>
      </w:r>
      <w:proofErr w:type="gramEnd"/>
      <w:r w:rsidRPr="008A2527">
        <w:rPr>
          <w:rFonts w:ascii="Arial" w:hAnsi="Arial" w:cs="Arial"/>
          <w:color w:val="000000"/>
        </w:rPr>
        <w:t xml:space="preserve"> methods to identify the presence or absence of pharmacologically important phytoconstituents. The extract solution underwent the following qualitative tests.</w:t>
      </w:r>
    </w:p>
    <w:p w14:paraId="5A51083B" w14:textId="3AB414E6" w:rsidR="00261AF3" w:rsidRPr="008A2527" w:rsidRDefault="00000000" w:rsidP="00FB69C5">
      <w:pPr>
        <w:pStyle w:val="Heading3"/>
      </w:pPr>
      <w:r w:rsidRPr="008A2527">
        <w:t>Detection of Alkaloids</w:t>
      </w:r>
    </w:p>
    <w:p w14:paraId="71B5A14A" w14:textId="0BC25FE6" w:rsidR="00261AF3" w:rsidRPr="008A2527" w:rsidRDefault="00000000" w:rsidP="008A2527">
      <w:pPr>
        <w:jc w:val="both"/>
        <w:rPr>
          <w:rFonts w:ascii="Arial" w:hAnsi="Arial" w:cs="Arial"/>
        </w:rPr>
      </w:pPr>
      <w:r w:rsidRPr="008A2527">
        <w:rPr>
          <w:rFonts w:ascii="Arial" w:hAnsi="Arial" w:cs="Arial"/>
          <w:color w:val="000000"/>
        </w:rPr>
        <w:t>To detect the presence of alkaloids, Mayer's reagent was employed. To 2 ml of the extract, 1 ml of 2N HCl was added. The solution was then heated gently, cooled and filtered. To the filtrate, few drops of Mayer’s reagent were added. Formation of a creamy or white precipitate indicated the presence of alkaloids</w:t>
      </w:r>
      <w:hyperlink w:anchor="d5c2466646bce2022c8e3f4056d0084f" w:history="1">
        <w:r w:rsidR="00261AF3" w:rsidRPr="008A2527">
          <w:rPr>
            <w:rStyle w:val="Hyperlink"/>
            <w:rFonts w:ascii="Arial" w:hAnsi="Arial" w:cs="Arial"/>
            <w:color w:val="auto"/>
            <w:u w:val="none"/>
            <w:vertAlign w:val="superscript"/>
          </w:rPr>
          <w:t>33</w:t>
        </w:r>
      </w:hyperlink>
      <w:r w:rsidR="008A2527">
        <w:rPr>
          <w:rFonts w:ascii="Arial" w:hAnsi="Arial" w:cs="Arial"/>
        </w:rPr>
        <w:t>.</w:t>
      </w:r>
    </w:p>
    <w:p w14:paraId="5FF97643" w14:textId="3C8E8E1D" w:rsidR="00261AF3" w:rsidRPr="008A2527" w:rsidRDefault="00000000" w:rsidP="00FB69C5">
      <w:pPr>
        <w:pStyle w:val="Heading3"/>
      </w:pPr>
      <w:r w:rsidRPr="008A2527">
        <w:t>Detection of Flavonoids</w:t>
      </w:r>
    </w:p>
    <w:p w14:paraId="003AD537" w14:textId="77777777" w:rsidR="00261AF3" w:rsidRPr="002F727C" w:rsidRDefault="00000000" w:rsidP="008A2527">
      <w:pPr>
        <w:jc w:val="both"/>
        <w:rPr>
          <w:rFonts w:ascii="Arial" w:hAnsi="Arial" w:cs="Arial"/>
          <w:sz w:val="24"/>
          <w:szCs w:val="24"/>
        </w:rPr>
      </w:pPr>
      <w:r w:rsidRPr="008A2527">
        <w:rPr>
          <w:rFonts w:ascii="Arial" w:hAnsi="Arial" w:cs="Arial"/>
          <w:color w:val="000000"/>
        </w:rPr>
        <w:t>To detect the presence of flavonoids, a few drops of diluted NaOH were added to 2 ml of the extract. An intense yellow color was formed in the extract, which turned colorless on addition of few drops of diluted acid, indicating the presence of flavonoids</w:t>
      </w:r>
      <w:hyperlink w:anchor="16157d3833c9e1fd37d0f726e4e4fcd8" w:history="1">
        <w:r w:rsidR="00261AF3" w:rsidRPr="008A2527">
          <w:rPr>
            <w:rStyle w:val="Hyperlink"/>
            <w:rFonts w:ascii="Arial" w:hAnsi="Arial" w:cs="Arial"/>
            <w:color w:val="auto"/>
            <w:u w:val="none"/>
            <w:vertAlign w:val="superscript"/>
          </w:rPr>
          <w:t>32</w:t>
        </w:r>
      </w:hyperlink>
      <w:r w:rsidRPr="002F727C">
        <w:rPr>
          <w:rFonts w:ascii="Arial" w:hAnsi="Arial" w:cs="Arial"/>
          <w:color w:val="000000"/>
          <w:sz w:val="24"/>
          <w:szCs w:val="24"/>
        </w:rPr>
        <w:t>.</w:t>
      </w:r>
    </w:p>
    <w:p w14:paraId="6C124F88" w14:textId="09E268B8" w:rsidR="00261AF3" w:rsidRPr="008A2527" w:rsidRDefault="00000000" w:rsidP="00FB69C5">
      <w:pPr>
        <w:pStyle w:val="Heading3"/>
      </w:pPr>
      <w:r w:rsidRPr="008A2527">
        <w:t xml:space="preserve">Detection of </w:t>
      </w:r>
      <w:proofErr w:type="gramStart"/>
      <w:r w:rsidRPr="008A2527">
        <w:t>phenols</w:t>
      </w:r>
      <w:proofErr w:type="gramEnd"/>
    </w:p>
    <w:p w14:paraId="15820939" w14:textId="77777777" w:rsidR="00261AF3" w:rsidRPr="008A2527" w:rsidRDefault="00000000" w:rsidP="008A2527">
      <w:pPr>
        <w:jc w:val="both"/>
        <w:rPr>
          <w:rFonts w:ascii="Arial" w:hAnsi="Arial" w:cs="Arial"/>
        </w:rPr>
      </w:pPr>
      <w:r w:rsidRPr="008A2527">
        <w:rPr>
          <w:rFonts w:ascii="Arial" w:hAnsi="Arial" w:cs="Arial"/>
          <w:color w:val="000000"/>
        </w:rPr>
        <w:t xml:space="preserve">To detect the presence of phenols, </w:t>
      </w:r>
      <w:proofErr w:type="gramStart"/>
      <w:r w:rsidRPr="008A2527">
        <w:rPr>
          <w:rFonts w:ascii="Arial" w:hAnsi="Arial" w:cs="Arial"/>
          <w:color w:val="000000"/>
        </w:rPr>
        <w:t>Ferric</w:t>
      </w:r>
      <w:proofErr w:type="gramEnd"/>
      <w:r w:rsidRPr="008A2527">
        <w:rPr>
          <w:rFonts w:ascii="Arial" w:hAnsi="Arial" w:cs="Arial"/>
          <w:color w:val="000000"/>
        </w:rPr>
        <w:t xml:space="preserve"> chloride test was employed. To 1 ml of extract, 2 ml of distilled water was added followed by addition of few drops of 10% ferric chloride solution. Formation of a blue or green color indicated the presence of phenols</w:t>
      </w:r>
      <w:hyperlink w:anchor="d5c2466646bce2022c8e3f4056d0084f" w:history="1">
        <w:r w:rsidR="00261AF3" w:rsidRPr="008A2527">
          <w:rPr>
            <w:rStyle w:val="Hyperlink"/>
            <w:rFonts w:ascii="Arial" w:hAnsi="Arial" w:cs="Arial"/>
            <w:color w:val="auto"/>
            <w:u w:val="none"/>
            <w:vertAlign w:val="superscript"/>
          </w:rPr>
          <w:t>33</w:t>
        </w:r>
      </w:hyperlink>
      <w:r w:rsidRPr="008A2527">
        <w:rPr>
          <w:rFonts w:ascii="Arial" w:hAnsi="Arial" w:cs="Arial"/>
        </w:rPr>
        <w:t>.</w:t>
      </w:r>
    </w:p>
    <w:p w14:paraId="38A89877" w14:textId="01B08324" w:rsidR="00261AF3" w:rsidRPr="008A2527" w:rsidRDefault="00000000" w:rsidP="00FB69C5">
      <w:pPr>
        <w:pStyle w:val="Heading3"/>
      </w:pPr>
      <w:r w:rsidRPr="008A2527">
        <w:t>Detection of tannins</w:t>
      </w:r>
    </w:p>
    <w:p w14:paraId="36EDCF05" w14:textId="77777777" w:rsidR="00261AF3" w:rsidRPr="008A2527" w:rsidRDefault="00000000" w:rsidP="008A2527">
      <w:pPr>
        <w:jc w:val="both"/>
        <w:rPr>
          <w:rFonts w:ascii="Arial" w:hAnsi="Arial" w:cs="Arial"/>
        </w:rPr>
      </w:pPr>
      <w:r w:rsidRPr="008A2527">
        <w:rPr>
          <w:rFonts w:ascii="Arial" w:hAnsi="Arial" w:cs="Arial"/>
          <w:color w:val="000000"/>
        </w:rPr>
        <w:lastRenderedPageBreak/>
        <w:t>To detect the presence of tannins, a ferric chloride test was employed. To 2 ml of the extract, few drops of 1% ferric chloride solution were added. A blue-black or brownish green coloration indicated the presence of tannins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w:t>
      </w:r>
    </w:p>
    <w:p w14:paraId="5C2BB8B9" w14:textId="01407288" w:rsidR="00261AF3" w:rsidRPr="008A2527" w:rsidRDefault="00000000" w:rsidP="00FB69C5">
      <w:pPr>
        <w:pStyle w:val="Heading3"/>
      </w:pPr>
      <w:r w:rsidRPr="008A2527">
        <w:t>Detection of Saponins</w:t>
      </w:r>
    </w:p>
    <w:p w14:paraId="145A7D1B" w14:textId="77777777" w:rsidR="00261AF3" w:rsidRPr="008A2527" w:rsidRDefault="00000000" w:rsidP="008A2527">
      <w:pPr>
        <w:jc w:val="both"/>
        <w:rPr>
          <w:rFonts w:ascii="Arial" w:hAnsi="Arial" w:cs="Arial"/>
        </w:rPr>
      </w:pPr>
      <w:r w:rsidRPr="008A2527">
        <w:rPr>
          <w:rFonts w:ascii="Arial" w:hAnsi="Arial" w:cs="Arial"/>
          <w:color w:val="000000"/>
        </w:rPr>
        <w:t>To detect the presence of saponins, a froth test was employed. 2 ml of the extract was diluted with 20 ml of distilled water and agitated in a graduated cylinder for 15 minutes. Formation of foam indicated the presence of saponins</w:t>
      </w:r>
      <w:hyperlink w:anchor="6b7ce6dfdc070894b5fad73ffb9d4e7e" w:history="1">
        <w:r w:rsidR="00261AF3" w:rsidRPr="008A2527">
          <w:rPr>
            <w:rStyle w:val="Hyperlink"/>
            <w:rFonts w:ascii="Arial" w:hAnsi="Arial" w:cs="Arial"/>
            <w:color w:val="auto"/>
            <w:u w:val="none"/>
            <w:vertAlign w:val="superscript"/>
          </w:rPr>
          <w:t>2</w:t>
        </w:r>
      </w:hyperlink>
      <w:r w:rsidRPr="008A2527">
        <w:rPr>
          <w:rFonts w:ascii="Arial" w:hAnsi="Arial" w:cs="Arial"/>
        </w:rPr>
        <w:t>.</w:t>
      </w:r>
    </w:p>
    <w:p w14:paraId="6E7E3DDC" w14:textId="66CBB8FC" w:rsidR="00261AF3" w:rsidRPr="008A2527" w:rsidRDefault="00000000" w:rsidP="00FB69C5">
      <w:pPr>
        <w:pStyle w:val="Heading3"/>
      </w:pPr>
      <w:r w:rsidRPr="008A2527">
        <w:t>Detection of Sterols</w:t>
      </w:r>
    </w:p>
    <w:p w14:paraId="7C1824F1" w14:textId="77777777" w:rsidR="00261AF3" w:rsidRPr="008A2527" w:rsidRDefault="00000000" w:rsidP="008A2527">
      <w:pPr>
        <w:jc w:val="both"/>
        <w:rPr>
          <w:rFonts w:ascii="Arial" w:hAnsi="Arial" w:cs="Arial"/>
        </w:rPr>
      </w:pPr>
      <w:r w:rsidRPr="008A2527">
        <w:rPr>
          <w:rFonts w:ascii="Arial" w:hAnsi="Arial" w:cs="Arial"/>
          <w:color w:val="000000"/>
        </w:rPr>
        <w:t xml:space="preserve">To detect the presence of sterols, </w:t>
      </w:r>
      <w:proofErr w:type="spellStart"/>
      <w:r w:rsidRPr="008A2527">
        <w:rPr>
          <w:rFonts w:ascii="Arial" w:hAnsi="Arial" w:cs="Arial"/>
          <w:color w:val="000000"/>
        </w:rPr>
        <w:t>Libermann</w:t>
      </w:r>
      <w:proofErr w:type="spellEnd"/>
      <w:r w:rsidRPr="008A2527">
        <w:rPr>
          <w:rFonts w:ascii="Arial" w:hAnsi="Arial" w:cs="Arial"/>
          <w:color w:val="000000"/>
        </w:rPr>
        <w:t>-Burchard test was employed. To 2 ml of the extract, 2 ml of acetic anhydride was added followed by 1 ml of concentrated sulfuric acid. The solution mixture was observed for a change in color. Formation of a blue-green color indicated the presence of sterols</w:t>
      </w:r>
      <w:hyperlink w:anchor="7a539ac1efdad75488aacbfca9d6f9fd" w:history="1">
        <w:r w:rsidR="00261AF3" w:rsidRPr="008A2527">
          <w:rPr>
            <w:rStyle w:val="Hyperlink"/>
            <w:rFonts w:ascii="Arial" w:hAnsi="Arial" w:cs="Arial"/>
            <w:color w:val="auto"/>
            <w:u w:val="none"/>
            <w:vertAlign w:val="superscript"/>
          </w:rPr>
          <w:t>34</w:t>
        </w:r>
      </w:hyperlink>
      <w:r w:rsidRPr="008A2527">
        <w:rPr>
          <w:rFonts w:ascii="Arial" w:hAnsi="Arial" w:cs="Arial"/>
        </w:rPr>
        <w:t>.</w:t>
      </w:r>
    </w:p>
    <w:p w14:paraId="454E33DA" w14:textId="36B68666" w:rsidR="00261AF3" w:rsidRPr="008A2527" w:rsidRDefault="00000000" w:rsidP="00FB69C5">
      <w:pPr>
        <w:pStyle w:val="Heading3"/>
      </w:pPr>
      <w:r w:rsidRPr="008A2527">
        <w:t>Detection of Terpenoids</w:t>
      </w:r>
    </w:p>
    <w:p w14:paraId="6428073D" w14:textId="77777777" w:rsidR="00261AF3" w:rsidRPr="008A2527" w:rsidRDefault="00000000" w:rsidP="008A2527">
      <w:pPr>
        <w:jc w:val="both"/>
        <w:rPr>
          <w:rFonts w:ascii="Arial" w:hAnsi="Arial" w:cs="Arial"/>
        </w:rPr>
      </w:pPr>
      <w:r w:rsidRPr="008A2527">
        <w:rPr>
          <w:rFonts w:ascii="Arial" w:hAnsi="Arial" w:cs="Arial"/>
          <w:color w:val="000000"/>
        </w:rPr>
        <w:t>To detect the presence of terpenoids, Salkowski test was employed. To 2 ml of the extract, 2 ml of chloroform was added followed by 3 ml of concentrated sulfuric acid carefully to form a layer. A reddish-brown color formed at the interface indicated the presence of terpenoids</w:t>
      </w:r>
      <w:hyperlink w:anchor="4c57850881afa4e90555f6c333226247" w:history="1">
        <w:r w:rsidR="00261AF3" w:rsidRPr="008A2527">
          <w:rPr>
            <w:rStyle w:val="Hyperlink"/>
            <w:rFonts w:ascii="Arial" w:hAnsi="Arial" w:cs="Arial"/>
            <w:color w:val="auto"/>
            <w:u w:val="none"/>
            <w:vertAlign w:val="superscript"/>
          </w:rPr>
          <w:t>35</w:t>
        </w:r>
      </w:hyperlink>
      <w:r w:rsidRPr="008A2527">
        <w:rPr>
          <w:rFonts w:ascii="Arial" w:hAnsi="Arial" w:cs="Arial"/>
          <w:color w:val="000000"/>
        </w:rPr>
        <w:t>.</w:t>
      </w:r>
    </w:p>
    <w:p w14:paraId="6EAA8F37" w14:textId="267F731C" w:rsidR="00261AF3" w:rsidRPr="008A2527" w:rsidRDefault="00000000" w:rsidP="00FB69C5">
      <w:pPr>
        <w:pStyle w:val="Heading3"/>
      </w:pPr>
      <w:r w:rsidRPr="008A2527">
        <w:t>Detection of Glycosides</w:t>
      </w:r>
    </w:p>
    <w:p w14:paraId="20452BF1" w14:textId="77777777" w:rsidR="00261AF3" w:rsidRPr="008A2527" w:rsidRDefault="00000000" w:rsidP="008A2527">
      <w:pPr>
        <w:jc w:val="both"/>
        <w:rPr>
          <w:rFonts w:ascii="Arial" w:hAnsi="Arial" w:cs="Arial"/>
        </w:rPr>
      </w:pPr>
      <w:r w:rsidRPr="008A2527">
        <w:rPr>
          <w:rFonts w:ascii="Arial" w:hAnsi="Arial" w:cs="Arial"/>
          <w:color w:val="000000"/>
        </w:rPr>
        <w:t xml:space="preserve">To detect the presence of glycosides, a glycoside test was employed. 2 ml of the extract was dissolved in 2 ml of distilled water. Then, </w:t>
      </w:r>
      <w:proofErr w:type="gramStart"/>
      <w:r w:rsidRPr="008A2527">
        <w:rPr>
          <w:rFonts w:ascii="Arial" w:hAnsi="Arial" w:cs="Arial"/>
          <w:color w:val="000000"/>
        </w:rPr>
        <w:t>few</w:t>
      </w:r>
      <w:proofErr w:type="gramEnd"/>
      <w:r w:rsidRPr="008A2527">
        <w:rPr>
          <w:rFonts w:ascii="Arial" w:hAnsi="Arial" w:cs="Arial"/>
          <w:color w:val="000000"/>
        </w:rPr>
        <w:t xml:space="preserve"> drops of Molisch’s reagent were added followed by 2 ml of concentrated sulfuric acid carefully down the side of the test tube. The mixture was then allowed to stand for two minutes. Then, 5 ml of distilled water was added. A red ring formed at the interface of the two layers indicated the presence of glycosides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w:t>
      </w:r>
    </w:p>
    <w:p w14:paraId="18B372E0" w14:textId="2456874A" w:rsidR="00261AF3" w:rsidRPr="00FB69C5" w:rsidRDefault="00000000" w:rsidP="00FB69C5">
      <w:pPr>
        <w:pStyle w:val="Heading3"/>
      </w:pPr>
      <w:r w:rsidRPr="00FB69C5">
        <w:t>Detection of Anthraquinones</w:t>
      </w:r>
    </w:p>
    <w:p w14:paraId="374AC94D" w14:textId="77777777" w:rsidR="00261AF3" w:rsidRDefault="00000000" w:rsidP="008A2527">
      <w:pPr>
        <w:jc w:val="both"/>
        <w:rPr>
          <w:rFonts w:ascii="Arial" w:hAnsi="Arial" w:cs="Arial"/>
        </w:rPr>
      </w:pPr>
      <w:r w:rsidRPr="008A2527">
        <w:rPr>
          <w:rFonts w:ascii="Arial" w:hAnsi="Arial" w:cs="Arial"/>
          <w:color w:val="000000"/>
        </w:rPr>
        <w:t>To detect the presence of anthraquinones, Borntrager’s test was employed. 2 ml of the extract was shaken with 5 ml of 10% aqueous ammonia. A pink color indicated the presence of anthraquinones</w:t>
      </w:r>
      <w:hyperlink w:anchor="80ab07f963222ed2a00a33921c7138d8" w:history="1">
        <w:r w:rsidR="00261AF3" w:rsidRPr="008A2527">
          <w:rPr>
            <w:rStyle w:val="Hyperlink"/>
            <w:rFonts w:ascii="Arial" w:hAnsi="Arial" w:cs="Arial"/>
            <w:color w:val="auto"/>
            <w:u w:val="none"/>
            <w:vertAlign w:val="superscript"/>
          </w:rPr>
          <w:t>36</w:t>
        </w:r>
      </w:hyperlink>
      <w:r w:rsidRPr="008A2527">
        <w:rPr>
          <w:rFonts w:ascii="Arial" w:hAnsi="Arial" w:cs="Arial"/>
        </w:rPr>
        <w:t>.</w:t>
      </w:r>
    </w:p>
    <w:p w14:paraId="4B196537" w14:textId="670323F2" w:rsidR="00261AF3" w:rsidRPr="00FB69C5" w:rsidRDefault="00000000" w:rsidP="00FB69C5">
      <w:pPr>
        <w:pStyle w:val="Heading3"/>
      </w:pPr>
      <w:r w:rsidRPr="00FB69C5">
        <w:t>Total Phenolic Content Quantitative Analysis</w:t>
      </w:r>
    </w:p>
    <w:p w14:paraId="2CAFBDEE" w14:textId="026FCC92" w:rsidR="00261AF3" w:rsidRPr="008A2527" w:rsidRDefault="00000000" w:rsidP="008A2527">
      <w:pPr>
        <w:jc w:val="both"/>
        <w:rPr>
          <w:rFonts w:ascii="Arial" w:hAnsi="Arial" w:cs="Arial"/>
          <w:color w:val="000000"/>
          <w:sz w:val="24"/>
          <w:szCs w:val="24"/>
        </w:rPr>
      </w:pPr>
      <w:r w:rsidRPr="008A2527">
        <w:rPr>
          <w:rFonts w:ascii="Arial" w:hAnsi="Arial" w:cs="Arial"/>
          <w:color w:val="000000"/>
        </w:rPr>
        <w:t xml:space="preserve">The total phenolic content of the </w:t>
      </w:r>
      <w:r w:rsidR="005B4ED1" w:rsidRPr="008A2527">
        <w:rPr>
          <w:rFonts w:ascii="Arial" w:hAnsi="Arial" w:cs="Arial"/>
          <w:i/>
          <w:color w:val="000000"/>
        </w:rPr>
        <w:t>Carpobrotus edulis</w:t>
      </w:r>
      <w:r w:rsidRPr="008A2527">
        <w:rPr>
          <w:rFonts w:ascii="Arial" w:hAnsi="Arial" w:cs="Arial"/>
          <w:color w:val="000000"/>
        </w:rPr>
        <w:t xml:space="preserve"> extract was quantified using the Folin-Ciocalteu reagent assay, following established protocols with slight modifications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A gallic acid stock solution was prepared at a concentration of 5 mg/ml by dissolving 5 mg of gallic acid in 1 mL of distilled water. Serial dilutions of this stock solution were performed to create five different concentrations of gallic acid standard solutions. The lyophilized leaf extract of </w:t>
      </w:r>
      <w:r w:rsidR="005B4ED1" w:rsidRPr="008A2527">
        <w:rPr>
          <w:rFonts w:ascii="Arial" w:hAnsi="Arial" w:cs="Arial"/>
          <w:i/>
          <w:color w:val="000000"/>
        </w:rPr>
        <w:t>Carpobrotus edulis</w:t>
      </w:r>
      <w:r w:rsidRPr="008A2527">
        <w:rPr>
          <w:rFonts w:ascii="Arial" w:hAnsi="Arial" w:cs="Arial"/>
          <w:color w:val="000000"/>
        </w:rPr>
        <w:t xml:space="preserve"> was reconstituted in distilled water to achieve a concentration of 10 mg/ml. Immediately before use, the Folin-Ciocalteu reagent was diluted 10-fold with deionized water. Aliquots of 0.25 mL of each gallic acid standard solution and 0.25 mL of the </w:t>
      </w:r>
      <w:r w:rsidR="005B4ED1" w:rsidRPr="008A2527">
        <w:rPr>
          <w:rFonts w:ascii="Arial" w:hAnsi="Arial" w:cs="Arial"/>
          <w:i/>
          <w:color w:val="000000"/>
        </w:rPr>
        <w:t>C. edulis</w:t>
      </w:r>
      <w:r w:rsidRPr="008A2527">
        <w:rPr>
          <w:rFonts w:ascii="Arial" w:hAnsi="Arial" w:cs="Arial"/>
          <w:color w:val="000000"/>
        </w:rPr>
        <w:t xml:space="preserve"> extract solution were transferred into separate test tubes. To each test tube, 1.25 mL of the 10-fold diluted Folin-Ciocalteu reagent was added, and the mixture was allowed to react for 5 minutes at room temperature. Subsequently, 2 mL of 7.5% sodium carbonate combined with </w:t>
      </w:r>
      <w:proofErr w:type="spellStart"/>
      <w:r w:rsidRPr="008A2527">
        <w:rPr>
          <w:rFonts w:ascii="Arial" w:hAnsi="Arial" w:cs="Arial"/>
          <w:color w:val="000000"/>
        </w:rPr>
        <w:t>folin</w:t>
      </w:r>
      <w:proofErr w:type="spellEnd"/>
      <w:r w:rsidRPr="008A2527">
        <w:rPr>
          <w:rFonts w:ascii="Arial" w:hAnsi="Arial" w:cs="Arial"/>
          <w:color w:val="000000"/>
        </w:rPr>
        <w:t xml:space="preserve"> solution was added to each test tube, and the final volume in each test tube was adjusted to 5 mL with distilled water. The test tubes were then incubated in the dark at room temperature for 60 minutes to facilitate color development. After incubation, the absorbance at 760 nm was measured spectrophotometrically, using the Folin-Ciocalteu reagent combined with sodium carbonate solution as a blank. All experiments were performed in triplicate. A calibration curve was generated by plotting the absorbance values of the gallic acid standard solutions against their corresponding concentrations. This calibration curve was used to determine the total phenolic content in </w:t>
      </w:r>
      <w:r w:rsidR="005B4ED1" w:rsidRPr="008A2527">
        <w:rPr>
          <w:rFonts w:ascii="Arial" w:hAnsi="Arial" w:cs="Arial"/>
          <w:i/>
          <w:color w:val="000000"/>
        </w:rPr>
        <w:t>C. edulis</w:t>
      </w:r>
      <w:r w:rsidRPr="008A2527">
        <w:rPr>
          <w:rFonts w:ascii="Arial" w:hAnsi="Arial" w:cs="Arial"/>
          <w:color w:val="000000"/>
        </w:rPr>
        <w:t xml:space="preserve"> leaf extracts, by comparing the absorbance of the extract solution to the gallic acid calibration curve. The results were expressed as milligrams of gallic acid equivalents per gram of the sample. The total phenolic content was calculated using the formula derived from the gallic acid calibration curve: Total Phenolic Content (mg GAE/g) = (C × V) / m, where C is the concentration of gallic acid determined from the calibration curve (mg/mL), V is the volume of the extract in mL, and m is the weight of the dry plant extract in grams. </w:t>
      </w:r>
    </w:p>
    <w:p w14:paraId="6D162ECC" w14:textId="7727FF4A" w:rsidR="00261AF3" w:rsidRPr="008A2527" w:rsidRDefault="00000000" w:rsidP="00FB69C5">
      <w:pPr>
        <w:pStyle w:val="Heading2"/>
      </w:pPr>
      <w:r w:rsidRPr="008A2527">
        <w:t xml:space="preserve">Anti-inflammatory effect of lyophilized leaf extract of </w:t>
      </w:r>
      <w:r w:rsidR="005B4ED1" w:rsidRPr="008A2527">
        <w:rPr>
          <w:i/>
        </w:rPr>
        <w:t>C. edulis</w:t>
      </w:r>
    </w:p>
    <w:p w14:paraId="070E3210" w14:textId="10916EEB" w:rsidR="00261AF3" w:rsidRPr="008A2527" w:rsidRDefault="00000000" w:rsidP="008A2527">
      <w:pPr>
        <w:jc w:val="both"/>
        <w:rPr>
          <w:rFonts w:ascii="Arial" w:hAnsi="Arial" w:cs="Arial"/>
        </w:rPr>
      </w:pPr>
      <w:r w:rsidRPr="008A2527">
        <w:rPr>
          <w:rFonts w:ascii="Arial" w:hAnsi="Arial" w:cs="Arial"/>
          <w:color w:val="000000"/>
        </w:rPr>
        <w:t xml:space="preserve">The anti-inflammatory activity of the lyophilized leaf extract of </w:t>
      </w:r>
      <w:r w:rsidR="005B4ED1" w:rsidRPr="008A2527">
        <w:rPr>
          <w:rFonts w:ascii="Arial" w:hAnsi="Arial" w:cs="Arial"/>
          <w:i/>
          <w:color w:val="000000"/>
        </w:rPr>
        <w:t>C. edulis</w:t>
      </w:r>
      <w:r w:rsidRPr="008A2527">
        <w:rPr>
          <w:rFonts w:ascii="Arial" w:hAnsi="Arial" w:cs="Arial"/>
          <w:color w:val="000000"/>
        </w:rPr>
        <w:t xml:space="preserve"> was evaluated using the egg albumin denaturation test with minor modifications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The methodology involved assessing the extract's </w:t>
      </w:r>
      <w:r w:rsidRPr="008A2527">
        <w:rPr>
          <w:rFonts w:ascii="Arial" w:hAnsi="Arial" w:cs="Arial"/>
          <w:color w:val="000000"/>
        </w:rPr>
        <w:lastRenderedPageBreak/>
        <w:t>capacity to prevent protein denaturation, a mechanism linked to inflammation</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The assay monitored the extract's ability to inhibit egg albumin denaturation in a phosphate-buffered saline solution. This method is based on the principle that inflammatory </w:t>
      </w:r>
      <w:proofErr w:type="spellStart"/>
      <w:r w:rsidRPr="008A2527">
        <w:rPr>
          <w:rFonts w:ascii="Arial" w:hAnsi="Arial" w:cs="Arial"/>
          <w:color w:val="000000"/>
        </w:rPr>
        <w:t>Tlesponses</w:t>
      </w:r>
      <w:proofErr w:type="spellEnd"/>
      <w:r w:rsidRPr="008A2527">
        <w:rPr>
          <w:rFonts w:ascii="Arial" w:hAnsi="Arial" w:cs="Arial"/>
          <w:color w:val="000000"/>
        </w:rPr>
        <w:t xml:space="preserve"> often lead to protein denaturation, and substances with anti-inflammatory properties can inhibit this denaturation process</w:t>
      </w:r>
      <w:hyperlink w:anchor="d5c2466646bce2022c8e3f4056d0084f" w:history="1">
        <w:r w:rsidR="00261AF3" w:rsidRPr="008A2527">
          <w:rPr>
            <w:rStyle w:val="Hyperlink"/>
            <w:rFonts w:ascii="Arial" w:hAnsi="Arial" w:cs="Arial"/>
            <w:color w:val="auto"/>
            <w:u w:val="none"/>
            <w:vertAlign w:val="superscript"/>
          </w:rPr>
          <w:t>33</w:t>
        </w:r>
      </w:hyperlink>
      <w:r w:rsidRPr="008A2527">
        <w:rPr>
          <w:rFonts w:ascii="Arial" w:hAnsi="Arial" w:cs="Arial"/>
          <w:color w:val="000000"/>
        </w:rPr>
        <w:t>.</w:t>
      </w:r>
    </w:p>
    <w:p w14:paraId="46A33D4B" w14:textId="427FB129" w:rsidR="00261AF3" w:rsidRPr="00FB69C5" w:rsidRDefault="00000000" w:rsidP="00FB69C5">
      <w:pPr>
        <w:pStyle w:val="Heading3"/>
      </w:pPr>
      <w:r w:rsidRPr="00FB69C5">
        <w:t>Reagents and Materials</w:t>
      </w:r>
    </w:p>
    <w:p w14:paraId="7F7349E6" w14:textId="200A06F6" w:rsidR="00261AF3" w:rsidRPr="008A2527" w:rsidRDefault="00000000" w:rsidP="008A2527">
      <w:pPr>
        <w:jc w:val="both"/>
        <w:rPr>
          <w:rFonts w:ascii="Arial" w:hAnsi="Arial" w:cs="Arial"/>
        </w:rPr>
      </w:pPr>
      <w:r w:rsidRPr="008A2527">
        <w:rPr>
          <w:rFonts w:ascii="Arial" w:hAnsi="Arial" w:cs="Arial"/>
          <w:color w:val="000000"/>
        </w:rPr>
        <w:t xml:space="preserve">Fresh chicken egg albumin was used, and phosphate-buffered saline with a pH of 7.2 served as the buffer solution. Lyophilized </w:t>
      </w:r>
      <w:r w:rsidR="005B4ED1" w:rsidRPr="008A2527">
        <w:rPr>
          <w:rFonts w:ascii="Arial" w:hAnsi="Arial" w:cs="Arial"/>
          <w:i/>
          <w:color w:val="000000"/>
        </w:rPr>
        <w:t>Carpobrotus edulis</w:t>
      </w:r>
      <w:r w:rsidRPr="008A2527">
        <w:rPr>
          <w:rFonts w:ascii="Arial" w:hAnsi="Arial" w:cs="Arial"/>
          <w:color w:val="000000"/>
        </w:rPr>
        <w:t xml:space="preserve"> leaf extracts were prepared in 0.4% dimethyl sulfoxide, while diclofenac sodium, the positive control, was also dissolved in 0.4% DMSO. The vehicle control consisted of 0.4% DMSO.</w:t>
      </w:r>
    </w:p>
    <w:p w14:paraId="04E6ECBA" w14:textId="2B001ADB" w:rsidR="00261AF3" w:rsidRPr="00FB69C5" w:rsidRDefault="00000000" w:rsidP="00FB69C5">
      <w:pPr>
        <w:pStyle w:val="Heading3"/>
      </w:pPr>
      <w:r w:rsidRPr="00FB69C5">
        <w:t>Preparation of Stock Solutions and Test Concentrations</w:t>
      </w:r>
    </w:p>
    <w:p w14:paraId="2A144BE7" w14:textId="24D92E15" w:rsidR="00261AF3" w:rsidRPr="008A2527" w:rsidRDefault="00000000" w:rsidP="008A2527">
      <w:pPr>
        <w:jc w:val="both"/>
        <w:rPr>
          <w:rFonts w:ascii="Arial" w:hAnsi="Arial" w:cs="Arial"/>
        </w:rPr>
      </w:pPr>
      <w:r w:rsidRPr="008A2527">
        <w:rPr>
          <w:rFonts w:ascii="Arial" w:hAnsi="Arial" w:cs="Arial"/>
          <w:color w:val="000000"/>
        </w:rPr>
        <w:t xml:space="preserve">A stock solution of lyophilized </w:t>
      </w:r>
      <w:r w:rsidR="005B4ED1" w:rsidRPr="008A2527">
        <w:rPr>
          <w:rFonts w:ascii="Arial" w:hAnsi="Arial" w:cs="Arial"/>
          <w:i/>
          <w:color w:val="000000"/>
        </w:rPr>
        <w:t>C. edulis</w:t>
      </w:r>
      <w:r w:rsidRPr="008A2527">
        <w:rPr>
          <w:rFonts w:ascii="Arial" w:hAnsi="Arial" w:cs="Arial"/>
          <w:color w:val="000000"/>
        </w:rPr>
        <w:t xml:space="preserve"> extract was prepared at a concentration of 10 mg/mL in 0.4% DMSO by dissolving 100 mg of each lyophilized extract in 10 mL of 0.4% DMSO. Serial dilutions were then made from the stock solution to achieve the following final concentrations in the total reaction mixture: 50, 100, 250, 500, 750 and 1000 </w:t>
      </w:r>
      <w:proofErr w:type="gramStart"/>
      <w:r w:rsidRPr="008A2527">
        <w:rPr>
          <w:rFonts w:ascii="Arial" w:hAnsi="Arial" w:cs="Arial"/>
          <w:color w:val="000000"/>
        </w:rPr>
        <w:t>µg</w:t>
      </w:r>
      <w:proofErr w:type="gramEnd"/>
      <w:r w:rsidRPr="008A2527">
        <w:rPr>
          <w:rFonts w:ascii="Arial" w:hAnsi="Arial" w:cs="Arial"/>
          <w:color w:val="000000"/>
        </w:rPr>
        <w:t>/ml.</w:t>
      </w:r>
    </w:p>
    <w:p w14:paraId="67B09676" w14:textId="3E130B57" w:rsidR="00261AF3" w:rsidRPr="00FB69C5" w:rsidRDefault="00000000" w:rsidP="00FB69C5">
      <w:pPr>
        <w:pStyle w:val="Heading3"/>
      </w:pPr>
      <w:r w:rsidRPr="00FB69C5">
        <w:t>Reaction Mixture Preparation</w:t>
      </w:r>
    </w:p>
    <w:p w14:paraId="7C8919E2" w14:textId="20495C81" w:rsidR="00261AF3" w:rsidRDefault="00000000" w:rsidP="008A2527">
      <w:pPr>
        <w:jc w:val="both"/>
        <w:rPr>
          <w:rFonts w:ascii="Arial" w:hAnsi="Arial" w:cs="Arial"/>
          <w:color w:val="000000"/>
        </w:rPr>
      </w:pPr>
      <w:r w:rsidRPr="008A2527">
        <w:rPr>
          <w:rFonts w:ascii="Arial" w:hAnsi="Arial" w:cs="Arial"/>
          <w:color w:val="000000"/>
        </w:rPr>
        <w:t>The protocol involved using egg albumin from free-range domesticated hens, phosphate-buffered saline at pH 7.2, and solutions of varying concentrations of the lyophilized leaf extracts in 0.4% DMSO. The concentrations of the lyophilized extracts in the total reaction solution ranged from 50 to 1000 µg/mL</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The reaction mixture comprised 0.4 mL of egg albumin, 10 mL of phosphate-buffered saline, and 5 mL of the </w:t>
      </w:r>
      <w:r w:rsidR="005B4ED1" w:rsidRPr="008A2527">
        <w:rPr>
          <w:rFonts w:ascii="Arial" w:hAnsi="Arial" w:cs="Arial"/>
          <w:i/>
          <w:color w:val="000000"/>
        </w:rPr>
        <w:t>C. edulis</w:t>
      </w:r>
      <w:r w:rsidRPr="008A2527">
        <w:rPr>
          <w:rFonts w:ascii="Arial" w:hAnsi="Arial" w:cs="Arial"/>
          <w:color w:val="000000"/>
        </w:rPr>
        <w:t xml:space="preserve"> extract solutions. The positive control (Diclofenac) group consisted of a similar mixture without the extract. Negative controls consisting of 0.4 mL of fresh egg albumin, 0.5 mL of 0.4% DMSO, and 3 mL of PBS. Diclofenac sodium was used as a positive control for the study at similar concentrations</w:t>
      </w:r>
      <w:hyperlink w:anchor="16157d3833c9e1fd37d0f726e4e4fcd8" w:history="1">
        <w:r w:rsidR="00261AF3" w:rsidRPr="008A2527">
          <w:rPr>
            <w:rStyle w:val="Hyperlink"/>
            <w:rFonts w:ascii="Arial" w:hAnsi="Arial" w:cs="Arial"/>
            <w:color w:val="auto"/>
            <w:u w:val="none"/>
            <w:vertAlign w:val="superscript"/>
          </w:rPr>
          <w:t>32</w:t>
        </w:r>
      </w:hyperlink>
      <w:r w:rsidRPr="008A2527">
        <w:rPr>
          <w:rFonts w:ascii="Arial" w:hAnsi="Arial" w:cs="Arial"/>
          <w:color w:val="000000"/>
        </w:rPr>
        <w:t xml:space="preserve">. </w:t>
      </w:r>
    </w:p>
    <w:p w14:paraId="32B2FE52" w14:textId="63FEADDC" w:rsidR="00261AF3" w:rsidRPr="00FB69C5" w:rsidRDefault="00000000" w:rsidP="00FB69C5">
      <w:pPr>
        <w:pStyle w:val="Heading3"/>
      </w:pPr>
      <w:r w:rsidRPr="00FB69C5">
        <w:t>Incubation and Absorbance Measurement</w:t>
      </w:r>
    </w:p>
    <w:p w14:paraId="17D35626" w14:textId="77777777" w:rsidR="00261AF3" w:rsidRPr="008A2527" w:rsidRDefault="00000000" w:rsidP="008A2527">
      <w:pPr>
        <w:jc w:val="both"/>
        <w:rPr>
          <w:rFonts w:ascii="Arial" w:hAnsi="Arial" w:cs="Arial"/>
        </w:rPr>
      </w:pPr>
      <w:r w:rsidRPr="008A2527">
        <w:rPr>
          <w:rFonts w:ascii="Arial" w:hAnsi="Arial" w:cs="Arial"/>
          <w:color w:val="000000"/>
        </w:rPr>
        <w:t xml:space="preserve">The samples were incubated for 20 minutes at 37°C; by heating at 65°C in a water bath for an additional 30 minutes to induce denaturation of the egg albumin. After cooling the mixture, the absorbance was measured at 660 nm using the vehicle as blank. </w:t>
      </w:r>
    </w:p>
    <w:p w14:paraId="219CB8C9" w14:textId="11603A8F" w:rsidR="00261AF3" w:rsidRPr="00FB69C5" w:rsidRDefault="00000000" w:rsidP="00FB69C5">
      <w:pPr>
        <w:pStyle w:val="Heading3"/>
      </w:pPr>
      <w:r w:rsidRPr="00FB69C5">
        <w:t>Determination of Percentage Inhibition</w:t>
      </w:r>
    </w:p>
    <w:p w14:paraId="1469CDB7" w14:textId="77777777" w:rsidR="00261AF3" w:rsidRPr="008A2527" w:rsidRDefault="00000000" w:rsidP="008A2527">
      <w:pPr>
        <w:jc w:val="both"/>
        <w:rPr>
          <w:rFonts w:ascii="Arial" w:hAnsi="Arial" w:cs="Arial"/>
        </w:rPr>
      </w:pPr>
      <w:r w:rsidRPr="008A2527">
        <w:rPr>
          <w:rFonts w:ascii="Arial" w:hAnsi="Arial" w:cs="Arial"/>
          <w:color w:val="000000"/>
        </w:rPr>
        <w:t>The percentage of inhibition, which translates to the anti-inflammatory activity of the extracts and standards, was calculated by the following equation:</w:t>
      </w:r>
    </w:p>
    <w:p w14:paraId="5844F064" w14:textId="3D34F042" w:rsidR="003A03DF" w:rsidRDefault="003A03DF" w:rsidP="008A2527">
      <w:pPr>
        <w:jc w:val="both"/>
        <w:rPr>
          <w:rFonts w:ascii="Arial" w:hAnsi="Arial" w:cs="Arial"/>
          <w:i/>
          <w:iCs/>
          <w:color w:val="000000"/>
        </w:rPr>
      </w:pPr>
      <w:r>
        <w:rPr>
          <w:rFonts w:ascii="Arial" w:hAnsi="Arial" w:cs="Arial"/>
          <w:i/>
          <w:iCs/>
          <w:color w:val="000000"/>
        </w:rPr>
        <w:t xml:space="preserve">    Equation 1 </w:t>
      </w:r>
    </w:p>
    <w:p w14:paraId="3A059F07" w14:textId="6EAF5B0D" w:rsidR="00261AF3" w:rsidRPr="003A03DF" w:rsidRDefault="00000000" w:rsidP="003A03DF">
      <w:pPr>
        <w:ind w:left="720" w:firstLine="720"/>
        <w:jc w:val="both"/>
        <w:rPr>
          <w:rFonts w:ascii="Arial" w:hAnsi="Arial" w:cs="Arial"/>
          <w:i/>
          <w:iCs/>
        </w:rPr>
      </w:pPr>
      <w:r w:rsidRPr="003A03DF">
        <w:rPr>
          <w:rFonts w:ascii="Arial" w:hAnsi="Arial" w:cs="Arial"/>
          <w:i/>
          <w:iCs/>
          <w:color w:val="000000"/>
        </w:rPr>
        <w:t>% Inhibition = 100 × (Abs control – Abs sample)/Abs control</w:t>
      </w:r>
    </w:p>
    <w:p w14:paraId="04B29634" w14:textId="77777777" w:rsidR="00261AF3" w:rsidRPr="008A2527" w:rsidRDefault="00000000" w:rsidP="008A2527">
      <w:pPr>
        <w:jc w:val="both"/>
        <w:rPr>
          <w:rFonts w:ascii="Arial" w:hAnsi="Arial" w:cs="Arial"/>
        </w:rPr>
      </w:pPr>
      <w:r w:rsidRPr="008A2527">
        <w:rPr>
          <w:rFonts w:ascii="Arial" w:hAnsi="Arial" w:cs="Arial"/>
          <w:color w:val="000000"/>
        </w:rPr>
        <w:t>Where: Abs test is the absorbance of the test sample (containing the extract or standard), and Abs control is the absorbance of the control sample (without the extract or standard).</w:t>
      </w:r>
    </w:p>
    <w:p w14:paraId="52390761" w14:textId="227308EA" w:rsidR="00261AF3" w:rsidRPr="00FB69C5" w:rsidRDefault="00FB69C5" w:rsidP="00FB69C5">
      <w:pPr>
        <w:pStyle w:val="Heading2"/>
      </w:pPr>
      <w:r>
        <w:t>A</w:t>
      </w:r>
      <w:r w:rsidRPr="00FB69C5">
        <w:t>ntibacterial activity</w:t>
      </w:r>
      <w:r w:rsidR="00B93BC7" w:rsidRPr="00FB69C5">
        <w:t xml:space="preserve"> of lyophilized </w:t>
      </w:r>
      <w:r w:rsidR="00B93BC7" w:rsidRPr="00635507">
        <w:rPr>
          <w:i/>
          <w:iCs/>
        </w:rPr>
        <w:t>C. edulis</w:t>
      </w:r>
      <w:r w:rsidRPr="00FB69C5">
        <w:t xml:space="preserve"> against </w:t>
      </w:r>
      <w:r w:rsidRPr="00635507">
        <w:rPr>
          <w:i/>
          <w:iCs/>
        </w:rPr>
        <w:t>Escherichia coli</w:t>
      </w:r>
      <w:r w:rsidRPr="00FB69C5">
        <w:t xml:space="preserve"> using well diffusion method.</w:t>
      </w:r>
    </w:p>
    <w:p w14:paraId="70DD00CF" w14:textId="6070AF6A" w:rsidR="00261AF3" w:rsidRPr="008A2527" w:rsidRDefault="00000000" w:rsidP="008A2527">
      <w:pPr>
        <w:jc w:val="both"/>
        <w:rPr>
          <w:rFonts w:ascii="Arial" w:hAnsi="Arial" w:cs="Arial"/>
        </w:rPr>
      </w:pPr>
      <w:r w:rsidRPr="008A2527">
        <w:rPr>
          <w:rFonts w:ascii="Arial" w:hAnsi="Arial" w:cs="Arial"/>
          <w:color w:val="000000"/>
        </w:rPr>
        <w:t xml:space="preserve">The antibacterial activity of </w:t>
      </w:r>
      <w:r w:rsidR="005B4ED1" w:rsidRPr="008A2527">
        <w:rPr>
          <w:rFonts w:ascii="Arial" w:hAnsi="Arial" w:cs="Arial"/>
          <w:i/>
          <w:color w:val="000000"/>
        </w:rPr>
        <w:t>Carpobrotus edulis</w:t>
      </w:r>
      <w:r w:rsidRPr="008A2527">
        <w:rPr>
          <w:rFonts w:ascii="Arial" w:hAnsi="Arial" w:cs="Arial"/>
          <w:color w:val="000000"/>
        </w:rPr>
        <w:t xml:space="preserve"> extracts was assessed through a qualitative screening process, specifically by measuring the zones of inhibition against </w:t>
      </w:r>
      <w:r w:rsidRPr="00635507">
        <w:rPr>
          <w:rFonts w:ascii="Arial" w:hAnsi="Arial" w:cs="Arial"/>
          <w:i/>
          <w:iCs/>
          <w:color w:val="000000"/>
        </w:rPr>
        <w:t>Escherichia coli</w:t>
      </w:r>
      <w:r w:rsidRPr="008A2527">
        <w:rPr>
          <w:rFonts w:ascii="Arial" w:hAnsi="Arial" w:cs="Arial"/>
          <w:color w:val="000000"/>
        </w:rPr>
        <w:t xml:space="preserve"> using the well diffusion method. The well diffusion method is widely recognized for its simplicity and reliability in determining the antibacterial potential of various substances, making it an ideal choice for this study</w:t>
      </w:r>
      <w:hyperlink w:anchor="84eeb59ec734e0aedeab6908bd06b043" w:history="1">
        <w:r w:rsidR="00261AF3" w:rsidRPr="008A2527">
          <w:rPr>
            <w:rStyle w:val="Hyperlink"/>
            <w:rFonts w:ascii="Arial" w:hAnsi="Arial" w:cs="Arial"/>
            <w:color w:val="auto"/>
            <w:u w:val="none"/>
            <w:vertAlign w:val="superscript"/>
          </w:rPr>
          <w:t>37</w:t>
        </w:r>
      </w:hyperlink>
      <w:r w:rsidRPr="008A2527">
        <w:rPr>
          <w:rFonts w:ascii="Arial" w:hAnsi="Arial" w:cs="Arial"/>
          <w:color w:val="000000"/>
        </w:rPr>
        <w:t>. This method allows for direct observation of the inhibitory effects of the extracts on bacterial growth, providing valuable insights into their antibacterial properties.</w:t>
      </w:r>
    </w:p>
    <w:p w14:paraId="6974E69B" w14:textId="69E259E3" w:rsidR="00261AF3" w:rsidRPr="008A2527" w:rsidRDefault="00000000" w:rsidP="00FB69C5">
      <w:pPr>
        <w:pStyle w:val="Heading3"/>
      </w:pPr>
      <w:r w:rsidRPr="008A2527">
        <w:t>Procedure:</w:t>
      </w:r>
    </w:p>
    <w:p w14:paraId="44BFA73E" w14:textId="3229CC54" w:rsidR="00261AF3" w:rsidRPr="008A2527" w:rsidRDefault="00000000" w:rsidP="008A2527">
      <w:pPr>
        <w:jc w:val="both"/>
        <w:rPr>
          <w:rFonts w:ascii="Arial" w:hAnsi="Arial" w:cs="Arial"/>
        </w:rPr>
      </w:pPr>
      <w:r w:rsidRPr="008A2527">
        <w:rPr>
          <w:rFonts w:ascii="Arial" w:hAnsi="Arial" w:cs="Arial"/>
          <w:color w:val="000000"/>
        </w:rPr>
        <w:t>Tryptone soya agar was sterilized by autoclaving at 121°C for 15 minutes</w:t>
      </w:r>
      <w:hyperlink w:anchor="4c57850881afa4e90555f6c333226247" w:history="1">
        <w:r w:rsidR="00261AF3" w:rsidRPr="008A2527">
          <w:rPr>
            <w:rStyle w:val="Hyperlink"/>
            <w:rFonts w:ascii="Arial" w:hAnsi="Arial" w:cs="Arial"/>
            <w:color w:val="auto"/>
            <w:u w:val="none"/>
            <w:vertAlign w:val="superscript"/>
          </w:rPr>
          <w:t>35</w:t>
        </w:r>
      </w:hyperlink>
      <w:r w:rsidRPr="008A2527">
        <w:rPr>
          <w:rFonts w:ascii="Arial" w:hAnsi="Arial" w:cs="Arial"/>
          <w:color w:val="000000"/>
        </w:rPr>
        <w:t xml:space="preserve">. The sterilized agar was allowed to cool to approximately 45-50°C before pouring into sterile Petri dishes under aseptic conditions. A uniform depth of approximately 4 mm was ensured. The agar was allowed to solidify completely. An </w:t>
      </w:r>
      <w:r w:rsidRPr="008A2527">
        <w:rPr>
          <w:rFonts w:ascii="Arial" w:hAnsi="Arial" w:cs="Arial"/>
          <w:i/>
          <w:iCs/>
          <w:color w:val="000000"/>
        </w:rPr>
        <w:t>E. coli</w:t>
      </w:r>
      <w:r w:rsidRPr="008A2527">
        <w:rPr>
          <w:rFonts w:ascii="Arial" w:hAnsi="Arial" w:cs="Arial"/>
          <w:color w:val="000000"/>
        </w:rPr>
        <w:t xml:space="preserve"> suspension was prepared and adjusted to a 0.5 McFarland turbidity standard. The bacterial suspension was then evenly swabbed onto the surface of the solidified Mueller-Hinton agar plates using a sterile swab</w:t>
      </w:r>
      <w:hyperlink w:anchor="4c57850881afa4e90555f6c333226247" w:history="1">
        <w:r w:rsidR="00261AF3" w:rsidRPr="008A2527">
          <w:rPr>
            <w:rStyle w:val="Hyperlink"/>
            <w:rFonts w:ascii="Arial" w:hAnsi="Arial" w:cs="Arial"/>
            <w:color w:val="auto"/>
            <w:u w:val="none"/>
            <w:vertAlign w:val="superscript"/>
          </w:rPr>
          <w:t>35</w:t>
        </w:r>
      </w:hyperlink>
      <w:r w:rsidRPr="008A2527">
        <w:rPr>
          <w:rFonts w:ascii="Arial" w:hAnsi="Arial" w:cs="Arial"/>
          <w:color w:val="000000"/>
        </w:rPr>
        <w:t xml:space="preserve">. Each Petri dish was divided into four sections by marking on the lid. </w:t>
      </w:r>
      <w:r w:rsidRPr="008A2527">
        <w:rPr>
          <w:rFonts w:ascii="Arial" w:hAnsi="Arial" w:cs="Arial"/>
          <w:color w:val="000000"/>
        </w:rPr>
        <w:lastRenderedPageBreak/>
        <w:t xml:space="preserve">Using a sterile </w:t>
      </w:r>
      <w:proofErr w:type="spellStart"/>
      <w:r w:rsidRPr="008A2527">
        <w:rPr>
          <w:rFonts w:ascii="Arial" w:hAnsi="Arial" w:cs="Arial"/>
          <w:color w:val="000000"/>
        </w:rPr>
        <w:t>cork</w:t>
      </w:r>
      <w:proofErr w:type="spellEnd"/>
      <w:r w:rsidRPr="008A2527">
        <w:rPr>
          <w:rFonts w:ascii="Arial" w:hAnsi="Arial" w:cs="Arial"/>
          <w:color w:val="000000"/>
        </w:rPr>
        <w:t xml:space="preserve"> borer, four wells of 6 mm diameter were created in the agar within each section of the plate. The different concentrations of each plant extract (100 mg/m</w:t>
      </w:r>
      <w:r w:rsidR="00B93BC7">
        <w:rPr>
          <w:rFonts w:ascii="Arial" w:hAnsi="Arial" w:cs="Arial"/>
          <w:color w:val="000000"/>
        </w:rPr>
        <w:t>l</w:t>
      </w:r>
      <w:r w:rsidRPr="008A2527">
        <w:rPr>
          <w:rFonts w:ascii="Arial" w:hAnsi="Arial" w:cs="Arial"/>
          <w:color w:val="000000"/>
        </w:rPr>
        <w:t>, 50 mg/m</w:t>
      </w:r>
      <w:r w:rsidR="00B93BC7">
        <w:rPr>
          <w:rFonts w:ascii="Arial" w:hAnsi="Arial" w:cs="Arial"/>
          <w:color w:val="000000"/>
        </w:rPr>
        <w:t>l</w:t>
      </w:r>
      <w:r w:rsidRPr="008A2527">
        <w:rPr>
          <w:rFonts w:ascii="Arial" w:hAnsi="Arial" w:cs="Arial"/>
          <w:color w:val="000000"/>
        </w:rPr>
        <w:t>, 25 mg/m</w:t>
      </w:r>
      <w:r w:rsidR="00B93BC7">
        <w:rPr>
          <w:rFonts w:ascii="Arial" w:hAnsi="Arial" w:cs="Arial"/>
          <w:color w:val="000000"/>
        </w:rPr>
        <w:t>l</w:t>
      </w:r>
      <w:r w:rsidRPr="008A2527">
        <w:rPr>
          <w:rFonts w:ascii="Arial" w:hAnsi="Arial" w:cs="Arial"/>
          <w:color w:val="000000"/>
        </w:rPr>
        <w:t>, and 12.5 mg/m</w:t>
      </w:r>
      <w:r w:rsidR="00B93BC7">
        <w:rPr>
          <w:rFonts w:ascii="Arial" w:hAnsi="Arial" w:cs="Arial"/>
          <w:color w:val="000000"/>
        </w:rPr>
        <w:t>l</w:t>
      </w:r>
      <w:r w:rsidRPr="008A2527">
        <w:rPr>
          <w:rFonts w:ascii="Arial" w:hAnsi="Arial" w:cs="Arial"/>
          <w:color w:val="000000"/>
        </w:rPr>
        <w:t xml:space="preserve">), ciprofloxacin solutions (positive control at the same concentrations), and sterile distilled water (negative control) were prepared. Using a sterile pipette, one drop (approximately 50 </w:t>
      </w:r>
      <w:proofErr w:type="spellStart"/>
      <w:r w:rsidRPr="008A2527">
        <w:rPr>
          <w:rFonts w:ascii="Arial" w:hAnsi="Arial" w:cs="Arial"/>
          <w:color w:val="000000"/>
        </w:rPr>
        <w:t>μ</w:t>
      </w:r>
      <w:r w:rsidR="00E348AB">
        <w:rPr>
          <w:rFonts w:ascii="Arial" w:hAnsi="Arial" w:cs="Arial"/>
          <w:color w:val="000000"/>
        </w:rPr>
        <w:t>l</w:t>
      </w:r>
      <w:proofErr w:type="spellEnd"/>
      <w:r w:rsidRPr="008A2527">
        <w:rPr>
          <w:rFonts w:ascii="Arial" w:hAnsi="Arial" w:cs="Arial"/>
          <w:color w:val="000000"/>
        </w:rPr>
        <w:t>) of each concentration was carefully added into the appropriately labeled well. Each concentration corresponded to a specific section of the Petri dish, and each Petri dish had four wells</w:t>
      </w:r>
      <w:r w:rsidR="008A2527">
        <w:rPr>
          <w:rFonts w:ascii="Arial" w:hAnsi="Arial" w:cs="Arial"/>
          <w:color w:val="000000"/>
        </w:rPr>
        <w:t>.</w:t>
      </w:r>
      <w:r w:rsidRPr="008A2527">
        <w:rPr>
          <w:rFonts w:ascii="Arial" w:hAnsi="Arial" w:cs="Arial"/>
          <w:color w:val="000000"/>
        </w:rPr>
        <w:t xml:space="preserve"> The Petri dishes were incubated in an incubator at 37°C for 24 hours</w:t>
      </w:r>
      <w:hyperlink w:anchor="718026e4ea4f884f868c88800e98e529" w:history="1">
        <w:r w:rsidR="00261AF3" w:rsidRPr="008A2527">
          <w:rPr>
            <w:rStyle w:val="Hyperlink"/>
            <w:rFonts w:ascii="Arial" w:hAnsi="Arial" w:cs="Arial"/>
            <w:color w:val="auto"/>
            <w:u w:val="none"/>
            <w:vertAlign w:val="superscript"/>
          </w:rPr>
          <w:t>38</w:t>
        </w:r>
      </w:hyperlink>
      <w:r w:rsidRPr="008A2527">
        <w:rPr>
          <w:rFonts w:ascii="Arial" w:hAnsi="Arial" w:cs="Arial"/>
          <w:color w:val="000000"/>
        </w:rPr>
        <w:t>. After incubation, the diameter of the zones of inhibition around each well was measured using a ruler</w:t>
      </w:r>
      <w:r w:rsidR="008A2527">
        <w:rPr>
          <w:rFonts w:ascii="Arial" w:hAnsi="Arial" w:cs="Arial"/>
          <w:color w:val="000000"/>
        </w:rPr>
        <w:t>.</w:t>
      </w:r>
      <w:r w:rsidRPr="008A2527">
        <w:rPr>
          <w:rFonts w:ascii="Arial" w:hAnsi="Arial" w:cs="Arial"/>
          <w:color w:val="000000"/>
        </w:rPr>
        <w:t xml:space="preserve"> The measurement was taken from the back of the petri dish to ensure accuracy. The experiment was performed in triplicate to ensure the reproducibility of the results. Each Petri dish was labeled appropriately to indicate the plant extract and concentrations tested. The diameter of the inhibition zones was recorded for each concentration of the plant extracts, positive control, and negative control. The mean and standard deviation of the inhibition zone diameters were calculated for each treatment group. The antibacterial activity of the plant extracts was determined by comparing the size of the inhibition zones with those of the positive and negative controls</w:t>
      </w:r>
      <w:hyperlink w:anchor="d5f0284449732ad8585b082239644490" w:history="1">
        <w:r w:rsidR="00261AF3" w:rsidRPr="008A2527">
          <w:rPr>
            <w:rStyle w:val="Hyperlink"/>
            <w:rFonts w:ascii="Arial" w:hAnsi="Arial" w:cs="Arial"/>
            <w:color w:val="auto"/>
            <w:u w:val="none"/>
            <w:vertAlign w:val="superscript"/>
          </w:rPr>
          <w:t>39</w:t>
        </w:r>
      </w:hyperlink>
      <w:r w:rsidRPr="008A2527">
        <w:rPr>
          <w:rFonts w:ascii="Arial" w:hAnsi="Arial" w:cs="Arial"/>
          <w:color w:val="000000"/>
        </w:rPr>
        <w:t xml:space="preserve">. The extent of antibacterial activity was quantified by measuring the diameter of the clear zone surrounding each well, representing the inhibition of bacterial growth; these measurements were then used to calculate the area of the inhibition zone using the formula: </w:t>
      </w:r>
    </w:p>
    <w:p w14:paraId="335B60B9" w14:textId="716B43CB" w:rsidR="00055B9B" w:rsidRPr="00055B9B" w:rsidRDefault="00055B9B" w:rsidP="008A2527">
      <w:pPr>
        <w:jc w:val="both"/>
        <w:rPr>
          <w:rFonts w:ascii="Arial" w:hAnsi="Arial" w:cs="Arial"/>
          <w:i/>
          <w:iCs/>
          <w:color w:val="000000"/>
        </w:rPr>
      </w:pPr>
      <w:r>
        <w:rPr>
          <w:rFonts w:ascii="Arial" w:hAnsi="Arial" w:cs="Arial"/>
          <w:color w:val="000000"/>
        </w:rPr>
        <w:t xml:space="preserve">    </w:t>
      </w:r>
      <w:r w:rsidRPr="00055B9B">
        <w:rPr>
          <w:rFonts w:ascii="Arial" w:hAnsi="Arial" w:cs="Arial"/>
          <w:i/>
          <w:iCs/>
          <w:color w:val="000000"/>
        </w:rPr>
        <w:t xml:space="preserve">Equation 2 </w:t>
      </w:r>
    </w:p>
    <w:p w14:paraId="077FD4B0" w14:textId="1F78827D" w:rsidR="00261AF3" w:rsidRPr="00055B9B" w:rsidRDefault="00055B9B" w:rsidP="008A2527">
      <w:pPr>
        <w:jc w:val="both"/>
        <w:rPr>
          <w:rFonts w:ascii="Arial" w:hAnsi="Arial" w:cs="Arial"/>
          <w:i/>
          <w:iCs/>
        </w:rPr>
      </w:pPr>
      <w:r>
        <w:rPr>
          <w:rFonts w:ascii="Arial" w:hAnsi="Arial" w:cs="Arial"/>
          <w:i/>
          <w:iCs/>
          <w:color w:val="000000"/>
        </w:rPr>
        <w:t xml:space="preserve">              </w:t>
      </w:r>
      <w:r w:rsidRPr="00055B9B">
        <w:rPr>
          <w:rFonts w:ascii="Arial" w:hAnsi="Arial" w:cs="Arial"/>
          <w:i/>
          <w:iCs/>
          <w:color w:val="000000"/>
        </w:rPr>
        <w:t>Net Zone of inhibition= (Observed Zone of Inhibition diameter - Well diameter)</w:t>
      </w:r>
    </w:p>
    <w:p w14:paraId="4E0F0B46" w14:textId="6898267E" w:rsidR="00261AF3" w:rsidRPr="008A2527" w:rsidRDefault="00000000" w:rsidP="008A2527">
      <w:pPr>
        <w:jc w:val="both"/>
        <w:rPr>
          <w:rFonts w:ascii="Arial" w:hAnsi="Arial" w:cs="Arial"/>
        </w:rPr>
      </w:pPr>
      <w:r w:rsidRPr="008A2527">
        <w:rPr>
          <w:rFonts w:ascii="Arial" w:hAnsi="Arial" w:cs="Arial"/>
          <w:color w:val="000000"/>
        </w:rPr>
        <w:t>% Inhibition</w:t>
      </w:r>
      <w:r w:rsidR="008A2527">
        <w:rPr>
          <w:rFonts w:ascii="Arial" w:hAnsi="Arial" w:cs="Arial"/>
          <w:color w:val="000000"/>
        </w:rPr>
        <w:t xml:space="preserve"> </w:t>
      </w:r>
      <w:r w:rsidRPr="008A2527">
        <w:rPr>
          <w:rFonts w:ascii="Arial" w:hAnsi="Arial" w:cs="Arial"/>
          <w:color w:val="000000"/>
        </w:rPr>
        <w:t>=</w:t>
      </w:r>
      <w:r w:rsidR="008A2527">
        <w:rPr>
          <w:rFonts w:ascii="Arial" w:hAnsi="Arial" w:cs="Arial"/>
          <w:color w:val="000000"/>
        </w:rPr>
        <w:t xml:space="preserve"> </w:t>
      </w:r>
      <w:r w:rsidRPr="008A2527">
        <w:rPr>
          <w:rFonts w:ascii="Arial" w:hAnsi="Arial" w:cs="Arial"/>
          <w:color w:val="000000"/>
        </w:rPr>
        <w:t xml:space="preserve">Net ZOI of extract at conc X/ Net ZOI of ciprofloxacin at conc X×100; Where </w:t>
      </w:r>
      <w:r w:rsidR="00353956" w:rsidRPr="008A2527">
        <w:rPr>
          <w:rFonts w:ascii="Arial" w:hAnsi="Arial" w:cs="Arial"/>
          <w:color w:val="000000"/>
        </w:rPr>
        <w:t>Net</w:t>
      </w:r>
      <w:r w:rsidRPr="008A2527">
        <w:rPr>
          <w:rFonts w:ascii="Arial" w:hAnsi="Arial" w:cs="Arial"/>
          <w:color w:val="000000"/>
        </w:rPr>
        <w:t xml:space="preserve"> ZOI of test compound = ZOI of test compound - ZOI of solvent control.</w:t>
      </w:r>
    </w:p>
    <w:p w14:paraId="32306422" w14:textId="2E35A452" w:rsidR="00261AF3" w:rsidRPr="00FB69C5" w:rsidRDefault="00000000" w:rsidP="00FB69C5">
      <w:pPr>
        <w:pStyle w:val="Heading3"/>
      </w:pPr>
      <w:r w:rsidRPr="00FB69C5">
        <w:t>Acute toxicity studies</w:t>
      </w:r>
    </w:p>
    <w:p w14:paraId="057E2ED1" w14:textId="7708BCC5" w:rsidR="00261AF3" w:rsidRPr="00E348AB" w:rsidRDefault="00000000" w:rsidP="00E348AB">
      <w:pPr>
        <w:jc w:val="both"/>
        <w:rPr>
          <w:rFonts w:ascii="Arial" w:hAnsi="Arial" w:cs="Arial"/>
        </w:rPr>
      </w:pPr>
      <w:r w:rsidRPr="00E348AB">
        <w:rPr>
          <w:rFonts w:ascii="Arial" w:hAnsi="Arial" w:cs="Arial"/>
          <w:color w:val="000000"/>
        </w:rPr>
        <w:t xml:space="preserve">To ascertain the potential hazards associated with the administration of lyophilized </w:t>
      </w:r>
      <w:r w:rsidR="005B4ED1" w:rsidRPr="00E348AB">
        <w:rPr>
          <w:rFonts w:ascii="Arial" w:hAnsi="Arial" w:cs="Arial"/>
          <w:i/>
          <w:color w:val="000000"/>
        </w:rPr>
        <w:t>C. edulis</w:t>
      </w:r>
      <w:r w:rsidRPr="00E348AB">
        <w:rPr>
          <w:rFonts w:ascii="Arial" w:hAnsi="Arial" w:cs="Arial"/>
          <w:color w:val="000000"/>
        </w:rPr>
        <w:t xml:space="preserve"> extracts, a comprehensive acute toxicity study was undertaken, following the Organization for Economic Cooperation and Development guidelines 425 for the assessment of </w:t>
      </w:r>
      <w:proofErr w:type="gramStart"/>
      <w:r w:rsidRPr="00E348AB">
        <w:rPr>
          <w:rFonts w:ascii="Arial" w:hAnsi="Arial" w:cs="Arial"/>
          <w:color w:val="000000"/>
        </w:rPr>
        <w:t>chemical</w:t>
      </w:r>
      <w:proofErr w:type="gramEnd"/>
      <w:r w:rsidRPr="00E348AB">
        <w:rPr>
          <w:rFonts w:ascii="Arial" w:hAnsi="Arial" w:cs="Arial"/>
          <w:color w:val="000000"/>
        </w:rPr>
        <w:t xml:space="preserve">. The study utilized 12 healthy, nulliparous, and non-pregnant female Sprague-Dawley rats, aged 8-12 weeks and weighing between 200-250g. The rats were individually housed and acclimatized to the laboratory conditions for a minimum of 5 days, with free access to commercial rodent feed and water. A stock solution of the extract was prepared by dissolving the lyophilized extract in distilled water to achieve a concentration of 5000mg/m. The rats were randomly divided into three treatment groups and a control group. Following an overnight fast, the treatment groups received a single oral dose of the plant extract at 500mg/kg, 2500mg/kg, and 5000 mg/kg body weight, respectively, while the control group received an equivalent volume of distilled water. The extracts were administered via oral </w:t>
      </w:r>
      <w:proofErr w:type="gramStart"/>
      <w:r w:rsidRPr="00E348AB">
        <w:rPr>
          <w:rFonts w:ascii="Arial" w:hAnsi="Arial" w:cs="Arial"/>
          <w:color w:val="000000"/>
        </w:rPr>
        <w:t>gavage</w:t>
      </w:r>
      <w:proofErr w:type="gramEnd"/>
      <w:r w:rsidRPr="00E348AB">
        <w:rPr>
          <w:rFonts w:ascii="Arial" w:hAnsi="Arial" w:cs="Arial"/>
          <w:color w:val="000000"/>
        </w:rPr>
        <w:t>. The animals were closely observed for the first 4 hours after dosing, with attention to any signs of tremors, convulsions, salivation, diarrhea, or other abnormal behavior. Thereafter, observations were made daily for 14 days, recording various parameters such as mortality, changes in skin and fur, changes in eyes and mucous membranes, respiratory rate and pattern, activity level, gait abnormalities, changes in food and water consumption, and presence of diarrhea or changes in urine output. The body weight of each animal was recorded on days 0, 7, and 14 post-dosing, and food and water intake were measured daily. Throughout the study, a veterinary specialist monitored the animals daily for any signs of distress or toxicity, and any adverse clinical signs or unexpected deaths were recorded immediately. At the end of the 14-day observation period, all surviving animals were humanely euthanized via cervical dislocation, a method aligned with AVMA guidelines for the humane euthanasia of animals.</w:t>
      </w:r>
    </w:p>
    <w:p w14:paraId="54D6BFD2" w14:textId="5FF53AE8" w:rsidR="00261AF3" w:rsidRPr="00FB69C5" w:rsidRDefault="00000000" w:rsidP="00FB69C5">
      <w:pPr>
        <w:pStyle w:val="Heading3"/>
      </w:pPr>
      <w:r w:rsidRPr="00FB69C5">
        <w:t>Ethical Considerations</w:t>
      </w:r>
    </w:p>
    <w:p w14:paraId="4D89C876" w14:textId="77777777" w:rsidR="00261AF3" w:rsidRPr="00E348AB" w:rsidRDefault="00000000" w:rsidP="00E348AB">
      <w:pPr>
        <w:jc w:val="both"/>
        <w:rPr>
          <w:rFonts w:ascii="Arial" w:hAnsi="Arial" w:cs="Arial"/>
        </w:rPr>
      </w:pPr>
      <w:r w:rsidRPr="00E348AB">
        <w:rPr>
          <w:rFonts w:ascii="Arial" w:hAnsi="Arial" w:cs="Arial"/>
          <w:color w:val="000000"/>
        </w:rPr>
        <w:t>This study was conducted in accordance with the ethical guidelines for the care and use of laboratory animals and was approved by the Institutional Animal Care and Use Committee. All efforts were made to minimize animal suffering. Animals exhibiting signs of severe distress or moribund condition were humanely euthanized according to approved protocols.</w:t>
      </w:r>
    </w:p>
    <w:p w14:paraId="39DC234B" w14:textId="5418AEFA" w:rsidR="00261AF3" w:rsidRPr="00E348AB" w:rsidRDefault="00000000" w:rsidP="00FB69C5">
      <w:pPr>
        <w:pStyle w:val="Heading2"/>
      </w:pPr>
      <w:r w:rsidRPr="00E348AB">
        <w:t xml:space="preserve">Subacute Oral Toxicity Study of </w:t>
      </w:r>
      <w:r w:rsidR="005B4ED1" w:rsidRPr="00E348AB">
        <w:rPr>
          <w:i/>
          <w:iCs/>
        </w:rPr>
        <w:t>Carpobrotus edulis</w:t>
      </w:r>
      <w:r w:rsidRPr="00E348AB">
        <w:t xml:space="preserve"> Extract in Sprague Dawley Rats</w:t>
      </w:r>
    </w:p>
    <w:p w14:paraId="4D42D893" w14:textId="540DDA1B" w:rsidR="00261AF3" w:rsidRPr="00E348AB" w:rsidRDefault="00000000" w:rsidP="00E348AB">
      <w:pPr>
        <w:jc w:val="both"/>
        <w:rPr>
          <w:rFonts w:ascii="Arial" w:hAnsi="Arial" w:cs="Arial"/>
        </w:rPr>
      </w:pPr>
      <w:r w:rsidRPr="00E348AB">
        <w:rPr>
          <w:rFonts w:ascii="Arial" w:hAnsi="Arial" w:cs="Arial"/>
          <w:color w:val="000000"/>
        </w:rPr>
        <w:t xml:space="preserve">This study aimed to evaluate the subacute oral toxicity of lyophilized extracts of </w:t>
      </w:r>
      <w:r w:rsidR="005B4ED1" w:rsidRPr="00E348AB">
        <w:rPr>
          <w:rFonts w:ascii="Arial" w:hAnsi="Arial" w:cs="Arial"/>
          <w:i/>
          <w:iCs/>
          <w:color w:val="000000"/>
        </w:rPr>
        <w:t>Carpobrotus edulis</w:t>
      </w:r>
      <w:r w:rsidRPr="00E348AB">
        <w:rPr>
          <w:rFonts w:ascii="Arial" w:hAnsi="Arial" w:cs="Arial"/>
          <w:i/>
          <w:iCs/>
          <w:color w:val="000000"/>
        </w:rPr>
        <w:t xml:space="preserve"> </w:t>
      </w:r>
      <w:r w:rsidRPr="00E348AB">
        <w:rPr>
          <w:rFonts w:ascii="Arial" w:hAnsi="Arial" w:cs="Arial"/>
          <w:color w:val="000000"/>
        </w:rPr>
        <w:t>in Sprague Dawley rats. Subacute toxicity studies are crucial for assessing the potential health risks associated with repeated exposure to a substance over a defined period, typically ranging from 14 to 28 days</w:t>
      </w:r>
      <w:hyperlink w:anchor="cde51eadea3f697ca26f432978068565" w:history="1">
        <w:r w:rsidR="00261AF3" w:rsidRPr="00E348AB">
          <w:rPr>
            <w:rStyle w:val="Hyperlink"/>
            <w:rFonts w:ascii="Arial" w:hAnsi="Arial" w:cs="Arial"/>
            <w:color w:val="auto"/>
            <w:u w:val="none"/>
            <w:vertAlign w:val="superscript"/>
          </w:rPr>
          <w:t>40</w:t>
        </w:r>
      </w:hyperlink>
      <w:r w:rsidRPr="00E348AB">
        <w:rPr>
          <w:rFonts w:ascii="Arial" w:hAnsi="Arial" w:cs="Arial"/>
          <w:color w:val="000000"/>
        </w:rPr>
        <w:t xml:space="preserve">. These studies provide valuable insights into the target organs affected, the nature of toxic </w:t>
      </w:r>
      <w:r w:rsidRPr="00E348AB">
        <w:rPr>
          <w:rFonts w:ascii="Arial" w:hAnsi="Arial" w:cs="Arial"/>
          <w:color w:val="000000"/>
        </w:rPr>
        <w:lastRenderedPageBreak/>
        <w:t>effects, and the dose-response relationship, thereby aiding in the determination of safe exposure levels for further investigations The study was conducted in accordance with OECD Test Guideline 407, with slight modification, specifically on the number of study groups and dosages: Repeated Dose 28-day Oral Toxicity Study in Rodents</w:t>
      </w:r>
      <w:hyperlink w:anchor="a0fb1eb1cd426dc287511545c9347fb3" w:history="1">
        <w:r w:rsidR="00261AF3" w:rsidRPr="00E348AB">
          <w:rPr>
            <w:rStyle w:val="Hyperlink"/>
            <w:rFonts w:ascii="Arial" w:hAnsi="Arial" w:cs="Arial"/>
            <w:color w:val="auto"/>
            <w:u w:val="none"/>
            <w:vertAlign w:val="superscript"/>
          </w:rPr>
          <w:t>41</w:t>
        </w:r>
      </w:hyperlink>
      <w:r w:rsidRPr="00E348AB">
        <w:rPr>
          <w:rFonts w:ascii="Arial" w:hAnsi="Arial" w:cs="Arial"/>
          <w:color w:val="000000"/>
        </w:rPr>
        <w:t>.</w:t>
      </w:r>
    </w:p>
    <w:p w14:paraId="187B6190" w14:textId="77D1A40A" w:rsidR="00261AF3" w:rsidRPr="00FB69C5" w:rsidRDefault="00000000" w:rsidP="00FB69C5">
      <w:pPr>
        <w:pStyle w:val="Heading3"/>
      </w:pPr>
      <w:r w:rsidRPr="00FB69C5">
        <w:t>Animals and Housing</w:t>
      </w:r>
    </w:p>
    <w:p w14:paraId="505A82D7" w14:textId="23A6B932" w:rsidR="00261AF3" w:rsidRPr="00E348AB" w:rsidRDefault="00000000" w:rsidP="00E348AB">
      <w:pPr>
        <w:jc w:val="both"/>
        <w:rPr>
          <w:rFonts w:ascii="Arial" w:hAnsi="Arial" w:cs="Arial"/>
        </w:rPr>
      </w:pPr>
      <w:r w:rsidRPr="00E348AB">
        <w:rPr>
          <w:rFonts w:ascii="Arial" w:hAnsi="Arial" w:cs="Arial"/>
          <w:color w:val="000000"/>
        </w:rPr>
        <w:t>A total of 18 healthy, nulliparous and non-pregnant female Wistar rats, aged 8-12 weeks and weighing between 200-250g, were used. The groups of rats were divided into control, low-dose, and high-dose groups, each group having six rats</w:t>
      </w:r>
      <w:r w:rsidR="00E348AB">
        <w:rPr>
          <w:rFonts w:ascii="Arial" w:hAnsi="Arial" w:cs="Arial"/>
          <w:color w:val="000000"/>
        </w:rPr>
        <w:t xml:space="preserve"> </w:t>
      </w:r>
      <w:r w:rsidRPr="00E348AB">
        <w:rPr>
          <w:rFonts w:ascii="Arial" w:hAnsi="Arial" w:cs="Arial"/>
          <w:color w:val="000000"/>
        </w:rPr>
        <w:t>(n=6). The rats were obtained from a certified animal breeding facility, University of Zimbabwe Animal House and acclimatized to the laboratory conditions for a minimum of 7 days prior to the experiment. This acclimatization period allows the animals to adjust to the new environment, minimizing stress</w:t>
      </w:r>
      <w:hyperlink w:anchor="16157d3833c9e1fd37d0f726e4e4fcd8" w:history="1">
        <w:r w:rsidR="00261AF3" w:rsidRPr="00E348AB">
          <w:rPr>
            <w:rStyle w:val="Hyperlink"/>
            <w:rFonts w:ascii="Arial" w:hAnsi="Arial" w:cs="Arial"/>
            <w:color w:val="auto"/>
            <w:u w:val="none"/>
            <w:vertAlign w:val="superscript"/>
          </w:rPr>
          <w:t>32</w:t>
        </w:r>
      </w:hyperlink>
      <w:r w:rsidRPr="00E348AB">
        <w:rPr>
          <w:rFonts w:ascii="Arial" w:hAnsi="Arial" w:cs="Arial"/>
          <w:color w:val="000000"/>
        </w:rPr>
        <w:t xml:space="preserve">. Animals were housed individually in standard rat cages with stainless steel wire mesh floors. The animal room was maintained at a temperature of 22 ± 3°C, with a relative humidity of 50-60% and a 12-hour light/dark cycle. Rats were provided with free access to commercial rodent feed and water </w:t>
      </w:r>
      <w:proofErr w:type="gramStart"/>
      <w:r w:rsidRPr="00E348AB">
        <w:rPr>
          <w:rFonts w:ascii="Arial" w:hAnsi="Arial" w:cs="Arial"/>
          <w:i/>
          <w:iCs/>
          <w:color w:val="000000"/>
        </w:rPr>
        <w:t>ad</w:t>
      </w:r>
      <w:proofErr w:type="gramEnd"/>
      <w:r w:rsidRPr="00E348AB">
        <w:rPr>
          <w:rFonts w:ascii="Arial" w:hAnsi="Arial" w:cs="Arial"/>
          <w:i/>
          <w:iCs/>
          <w:color w:val="000000"/>
        </w:rPr>
        <w:t xml:space="preserve"> libitum</w:t>
      </w:r>
      <w:r w:rsidRPr="00E348AB">
        <w:rPr>
          <w:rFonts w:ascii="Arial" w:hAnsi="Arial" w:cs="Arial"/>
          <w:color w:val="000000"/>
        </w:rPr>
        <w:t xml:space="preserve"> throughout the acclimatization and experimental periods.</w:t>
      </w:r>
      <w:r w:rsidR="00E348AB">
        <w:rPr>
          <w:rFonts w:ascii="Arial" w:hAnsi="Arial" w:cs="Arial"/>
          <w:color w:val="000000"/>
        </w:rPr>
        <w:t xml:space="preserve"> </w:t>
      </w:r>
      <w:r w:rsidRPr="00E348AB">
        <w:rPr>
          <w:rFonts w:ascii="Arial" w:hAnsi="Arial" w:cs="Arial"/>
          <w:color w:val="000000"/>
        </w:rPr>
        <w:t xml:space="preserve">The dose levels for the subacute toxicity study were selected based on the results of the acute toxicity study. </w:t>
      </w:r>
    </w:p>
    <w:p w14:paraId="3B5A4E6B" w14:textId="0DE56730" w:rsidR="00261AF3" w:rsidRPr="00E348AB" w:rsidRDefault="00000000" w:rsidP="00FB69C5">
      <w:pPr>
        <w:pStyle w:val="Heading3"/>
      </w:pPr>
      <w:r w:rsidRPr="00E348AB">
        <w:t>Clinical Observations</w:t>
      </w:r>
    </w:p>
    <w:p w14:paraId="127F3052" w14:textId="2DCD8468" w:rsidR="00261AF3" w:rsidRPr="00E348AB" w:rsidRDefault="00000000" w:rsidP="00E348AB">
      <w:pPr>
        <w:jc w:val="both"/>
        <w:rPr>
          <w:rFonts w:ascii="Arial" w:hAnsi="Arial" w:cs="Arial"/>
        </w:rPr>
      </w:pPr>
      <w:r w:rsidRPr="00E348AB">
        <w:rPr>
          <w:rFonts w:ascii="Arial" w:hAnsi="Arial" w:cs="Arial"/>
          <w:color w:val="000000"/>
        </w:rPr>
        <w:t>The animals were observed twice daily for any clinical signs of toxicity. Detailed observations, including the following parameters, were recorded daily: Mortality, changes in skin and fur, changes in eyes and mucous membranes, respiratory rate and pattern, activity level (drowsiness, excitability), gait abnormalities, changes in food and water consumption, presence of diarrhea or changes in urine output and erection of fur</w:t>
      </w:r>
      <w:r w:rsidR="00E348AB">
        <w:rPr>
          <w:rFonts w:ascii="Arial" w:hAnsi="Arial" w:cs="Arial"/>
          <w:color w:val="000000"/>
        </w:rPr>
        <w:t>.</w:t>
      </w:r>
    </w:p>
    <w:p w14:paraId="346D7E46" w14:textId="5DBEB267" w:rsidR="00261AF3" w:rsidRPr="00E348AB" w:rsidRDefault="00000000" w:rsidP="00FB69C5">
      <w:pPr>
        <w:pStyle w:val="Heading3"/>
      </w:pPr>
      <w:r w:rsidRPr="00E348AB">
        <w:t>Body Weight and Food Consumption</w:t>
      </w:r>
    </w:p>
    <w:p w14:paraId="67921E04" w14:textId="77777777" w:rsidR="00261AF3" w:rsidRPr="00E348AB" w:rsidRDefault="00000000" w:rsidP="00E348AB">
      <w:pPr>
        <w:jc w:val="both"/>
        <w:rPr>
          <w:rFonts w:ascii="Arial" w:hAnsi="Arial" w:cs="Arial"/>
        </w:rPr>
      </w:pPr>
      <w:r w:rsidRPr="00E348AB">
        <w:rPr>
          <w:rFonts w:ascii="Arial" w:hAnsi="Arial" w:cs="Arial"/>
          <w:color w:val="000000"/>
        </w:rPr>
        <w:t>The body weights of the animals were recorded daily. Additionally, the food and water consumption of each group was measured and documented on a daily basis.</w:t>
      </w:r>
    </w:p>
    <w:p w14:paraId="0F43EE4E" w14:textId="77777777" w:rsidR="0069734E" w:rsidRDefault="0069734E" w:rsidP="00E348AB">
      <w:pPr>
        <w:jc w:val="both"/>
        <w:rPr>
          <w:rFonts w:ascii="Arial" w:hAnsi="Arial" w:cs="Arial"/>
          <w:b/>
          <w:bCs/>
          <w:color w:val="000000"/>
          <w:sz w:val="22"/>
          <w:szCs w:val="22"/>
        </w:rPr>
      </w:pPr>
    </w:p>
    <w:p w14:paraId="6B967071" w14:textId="6D1E1EFD" w:rsidR="00261AF3" w:rsidRPr="00E348AB" w:rsidRDefault="00000000" w:rsidP="00FB69C5">
      <w:pPr>
        <w:pStyle w:val="Heading2"/>
      </w:pPr>
      <w:r w:rsidRPr="00E348AB">
        <w:t>Hematology, Clinical Biochemistry and Histopathology</w:t>
      </w:r>
    </w:p>
    <w:p w14:paraId="58C90C5A" w14:textId="775D5EB6" w:rsidR="00055B9B" w:rsidRPr="00E348AB" w:rsidRDefault="00000000" w:rsidP="00055B9B">
      <w:pPr>
        <w:jc w:val="both"/>
        <w:rPr>
          <w:rFonts w:ascii="Arial" w:hAnsi="Arial" w:cs="Arial"/>
        </w:rPr>
      </w:pPr>
      <w:r w:rsidRPr="00E348AB">
        <w:rPr>
          <w:rFonts w:ascii="Arial" w:hAnsi="Arial" w:cs="Arial"/>
          <w:color w:val="000000"/>
        </w:rPr>
        <w:t>Hematology, clinical biochemistry, and histopathology analyses were performed according to established protocols</w:t>
      </w:r>
      <w:hyperlink w:anchor="38a24be4dca31cd3230279d3cfe819f5" w:history="1">
        <w:r w:rsidR="00261AF3" w:rsidRPr="00E348AB">
          <w:rPr>
            <w:rStyle w:val="Hyperlink"/>
            <w:rFonts w:ascii="Arial" w:hAnsi="Arial" w:cs="Arial"/>
            <w:color w:val="auto"/>
            <w:u w:val="none"/>
            <w:vertAlign w:val="superscript"/>
          </w:rPr>
          <w:t>4</w:t>
        </w:r>
      </w:hyperlink>
      <w:r w:rsidRPr="00E348AB">
        <w:rPr>
          <w:rFonts w:ascii="Arial" w:hAnsi="Arial" w:cs="Arial"/>
          <w:color w:val="000000"/>
        </w:rPr>
        <w:t>. Following the 28-day treatment period, the rats were fasted overnight to minimize the influence of recent food intake on biochemical parameters.</w:t>
      </w:r>
      <w:r w:rsidR="00055B9B" w:rsidRPr="00055B9B">
        <w:rPr>
          <w:rFonts w:ascii="Arial" w:hAnsi="Arial" w:cs="Arial"/>
          <w:color w:val="000000"/>
        </w:rPr>
        <w:t xml:space="preserve"> </w:t>
      </w:r>
      <w:r w:rsidR="00055B9B" w:rsidRPr="00E348AB">
        <w:rPr>
          <w:rFonts w:ascii="Arial" w:hAnsi="Arial" w:cs="Arial"/>
          <w:color w:val="000000"/>
        </w:rPr>
        <w:t xml:space="preserve">15 Sprague Dawley rats of both sexes were </w:t>
      </w:r>
      <w:r w:rsidR="00055B9B">
        <w:rPr>
          <w:rFonts w:ascii="Arial" w:hAnsi="Arial" w:cs="Arial"/>
          <w:color w:val="000000"/>
        </w:rPr>
        <w:t>used in these studies</w:t>
      </w:r>
      <w:r w:rsidR="00055B9B" w:rsidRPr="00E348AB">
        <w:rPr>
          <w:rFonts w:ascii="Arial" w:hAnsi="Arial" w:cs="Arial"/>
          <w:color w:val="000000"/>
        </w:rPr>
        <w:t>.</w:t>
      </w:r>
    </w:p>
    <w:p w14:paraId="05649BF6" w14:textId="33EBC7D1" w:rsidR="00261AF3" w:rsidRPr="00E348AB" w:rsidRDefault="00261AF3" w:rsidP="00E348AB">
      <w:pPr>
        <w:jc w:val="both"/>
        <w:rPr>
          <w:rFonts w:ascii="Arial" w:hAnsi="Arial" w:cs="Arial"/>
        </w:rPr>
      </w:pPr>
    </w:p>
    <w:p w14:paraId="7FBFD80C" w14:textId="005CF5DD" w:rsidR="00261AF3" w:rsidRPr="00FB69C5" w:rsidRDefault="00000000" w:rsidP="00FB69C5">
      <w:pPr>
        <w:pStyle w:val="Heading3"/>
      </w:pPr>
      <w:r w:rsidRPr="00FB69C5">
        <w:t>Hematology</w:t>
      </w:r>
    </w:p>
    <w:p w14:paraId="394AC0FD" w14:textId="16517DA8" w:rsidR="00261AF3" w:rsidRPr="00FB69C5" w:rsidRDefault="00000000" w:rsidP="00FB69C5">
      <w:pPr>
        <w:pStyle w:val="Heading4"/>
      </w:pPr>
      <w:r w:rsidRPr="00FB69C5">
        <w:t>Blood Collection</w:t>
      </w:r>
    </w:p>
    <w:p w14:paraId="03DA858D" w14:textId="77777777" w:rsidR="00261AF3" w:rsidRPr="00E348AB" w:rsidRDefault="00000000" w:rsidP="00E348AB">
      <w:pPr>
        <w:jc w:val="both"/>
        <w:rPr>
          <w:rFonts w:ascii="Arial" w:hAnsi="Arial" w:cs="Arial"/>
        </w:rPr>
      </w:pPr>
      <w:r w:rsidRPr="00E348AB">
        <w:rPr>
          <w:rFonts w:ascii="Arial" w:hAnsi="Arial" w:cs="Arial"/>
          <w:color w:val="000000"/>
        </w:rPr>
        <w:t>The rats were anesthetized using chloroform. Blood was collected via cardiac puncture and transferred into blood collection tubes containing Ethylenediaminetetraacetic acid as an anticoagulant. It is worth noting that anesthesia is recommended to minimize discomfort during blood collection</w:t>
      </w:r>
      <w:hyperlink w:anchor="bf7f4f4d63068aaf9f62cd197c2a5a4a" w:history="1">
        <w:r w:rsidR="00261AF3" w:rsidRPr="00E348AB">
          <w:rPr>
            <w:rStyle w:val="Hyperlink"/>
            <w:rFonts w:ascii="Arial" w:hAnsi="Arial" w:cs="Arial"/>
            <w:color w:val="auto"/>
            <w:u w:val="none"/>
            <w:vertAlign w:val="superscript"/>
          </w:rPr>
          <w:t>42</w:t>
        </w:r>
      </w:hyperlink>
      <w:r w:rsidRPr="00E348AB">
        <w:rPr>
          <w:rFonts w:ascii="Arial" w:hAnsi="Arial" w:cs="Arial"/>
          <w:color w:val="000000"/>
        </w:rPr>
        <w:t>.</w:t>
      </w:r>
    </w:p>
    <w:p w14:paraId="21125A7D" w14:textId="260F4C68" w:rsidR="00E348AB" w:rsidRPr="0069734E" w:rsidRDefault="00000000" w:rsidP="00FB69C5">
      <w:pPr>
        <w:pStyle w:val="Heading4"/>
        <w:rPr>
          <w:sz w:val="24"/>
          <w:szCs w:val="24"/>
        </w:rPr>
      </w:pPr>
      <w:r w:rsidRPr="0069734E">
        <w:t>Hematological Analysis</w:t>
      </w:r>
    </w:p>
    <w:p w14:paraId="71422B51" w14:textId="4AFEE82B" w:rsidR="00261AF3" w:rsidRPr="00E348AB" w:rsidRDefault="00000000" w:rsidP="00E348AB">
      <w:pPr>
        <w:jc w:val="both"/>
        <w:rPr>
          <w:rFonts w:ascii="Arial" w:hAnsi="Arial" w:cs="Arial"/>
        </w:rPr>
      </w:pPr>
      <w:r w:rsidRPr="00E348AB">
        <w:rPr>
          <w:rFonts w:ascii="Arial" w:hAnsi="Arial" w:cs="Arial"/>
          <w:color w:val="000000"/>
        </w:rPr>
        <w:t xml:space="preserve">The blood samples in EDTA tubes were analyzed using a Mindray BC-2800Vet hematology analyzer. The following parameters were determined: red blood cell count, white blood cell count, hemoglobin concentration, hematocrit, mean corpuscular volume, mean corpuscular hemoglobin, mean corpuscular hemoglobin concentration, mean platelet volume and platelet count. </w:t>
      </w:r>
    </w:p>
    <w:p w14:paraId="1284AC01" w14:textId="00308BB3" w:rsidR="00261AF3" w:rsidRPr="002F3DEB" w:rsidRDefault="00000000" w:rsidP="002F3DEB">
      <w:pPr>
        <w:pStyle w:val="Heading3"/>
      </w:pPr>
      <w:r w:rsidRPr="002F3DEB">
        <w:t>Biochemistry</w:t>
      </w:r>
    </w:p>
    <w:p w14:paraId="06C7534C" w14:textId="77777777" w:rsidR="00261AF3" w:rsidRPr="00E348AB" w:rsidRDefault="00000000" w:rsidP="00E348AB">
      <w:pPr>
        <w:jc w:val="both"/>
        <w:rPr>
          <w:rFonts w:ascii="Arial" w:hAnsi="Arial" w:cs="Arial"/>
        </w:rPr>
      </w:pPr>
      <w:r w:rsidRPr="00E348AB">
        <w:rPr>
          <w:rFonts w:ascii="Arial" w:hAnsi="Arial" w:cs="Arial"/>
          <w:color w:val="000000"/>
        </w:rPr>
        <w:t xml:space="preserve">Serum Preparation: Blood was collected from all animals through cardiac puncture under chloroform anesthesia and stored in plain blood collection tubes. The blood was then centrifuged using a </w:t>
      </w:r>
      <w:proofErr w:type="spellStart"/>
      <w:r w:rsidRPr="00E348AB">
        <w:rPr>
          <w:rFonts w:ascii="Arial" w:hAnsi="Arial" w:cs="Arial"/>
          <w:color w:val="000000"/>
        </w:rPr>
        <w:t>Hermle</w:t>
      </w:r>
      <w:proofErr w:type="spellEnd"/>
      <w:r w:rsidRPr="00E348AB">
        <w:rPr>
          <w:rFonts w:ascii="Arial" w:hAnsi="Arial" w:cs="Arial"/>
          <w:color w:val="000000"/>
        </w:rPr>
        <w:t xml:space="preserve"> Centrifuge at 3000 revolutions per minute to obtain serum. The separated serum was collected and stored in Eppendorf tubes at -20°C until analysis.</w:t>
      </w:r>
    </w:p>
    <w:p w14:paraId="27D32F2D" w14:textId="0465555B" w:rsidR="00261AF3" w:rsidRPr="00E348AB" w:rsidRDefault="00000000" w:rsidP="002F3DEB">
      <w:pPr>
        <w:pStyle w:val="Heading4"/>
      </w:pPr>
      <w:r w:rsidRPr="00E348AB">
        <w:t>Biochemical Analysis</w:t>
      </w:r>
    </w:p>
    <w:p w14:paraId="6BC59D66" w14:textId="28F79EF8" w:rsidR="00261AF3" w:rsidRPr="00E348AB" w:rsidRDefault="00000000" w:rsidP="00E348AB">
      <w:pPr>
        <w:jc w:val="both"/>
        <w:rPr>
          <w:rFonts w:ascii="Arial" w:hAnsi="Arial" w:cs="Arial"/>
        </w:rPr>
      </w:pPr>
      <w:r w:rsidRPr="00E348AB">
        <w:rPr>
          <w:rFonts w:ascii="Arial" w:hAnsi="Arial" w:cs="Arial"/>
          <w:color w:val="000000"/>
        </w:rPr>
        <w:lastRenderedPageBreak/>
        <w:t>Serum samples were analyzed using a Mindray BS-120 chemistry analyzer. The following biochemical parameters were assessed: urea, aspartate aminotransferase, alanine aminotransferase, alkaline phosphatase, creatinine, total protein and albumin</w:t>
      </w:r>
      <w:r w:rsidR="00E348AB">
        <w:rPr>
          <w:rFonts w:ascii="Arial" w:hAnsi="Arial" w:cs="Arial"/>
          <w:color w:val="000000"/>
        </w:rPr>
        <w:t>.</w:t>
      </w:r>
    </w:p>
    <w:p w14:paraId="173439E8" w14:textId="50CD4202" w:rsidR="00261AF3" w:rsidRPr="0069734E" w:rsidRDefault="00000000" w:rsidP="002F3DEB">
      <w:pPr>
        <w:pStyle w:val="Heading2"/>
      </w:pPr>
      <w:r w:rsidRPr="0069734E">
        <w:t>Histopathology</w:t>
      </w:r>
    </w:p>
    <w:p w14:paraId="499E49D4" w14:textId="60A91519" w:rsidR="00261AF3" w:rsidRPr="0069734E" w:rsidRDefault="00000000" w:rsidP="002F3DEB">
      <w:pPr>
        <w:pStyle w:val="Heading3"/>
      </w:pPr>
      <w:r w:rsidRPr="0069734E">
        <w:t>Organ Removal and Fixation</w:t>
      </w:r>
    </w:p>
    <w:p w14:paraId="58832DF8" w14:textId="77777777" w:rsidR="00261AF3" w:rsidRPr="0069734E" w:rsidRDefault="00000000" w:rsidP="0069734E">
      <w:pPr>
        <w:jc w:val="both"/>
        <w:rPr>
          <w:rFonts w:ascii="Arial" w:hAnsi="Arial" w:cs="Arial"/>
        </w:rPr>
      </w:pPr>
      <w:r w:rsidRPr="0069734E">
        <w:rPr>
          <w:rFonts w:ascii="Arial" w:hAnsi="Arial" w:cs="Arial"/>
          <w:color w:val="000000"/>
        </w:rPr>
        <w:t>After the treatment period, the rats were euthanized using hexane and subjected to post-mortem examination. Major organs, including the liver, heart, and kidney, were carefully removed. The organ weights of the heart, liver, and kidney were recorded. These organs were then fixed in 10% buffered formalin to preserve tissue structure.</w:t>
      </w:r>
    </w:p>
    <w:p w14:paraId="3B8768C6" w14:textId="7D2651EB" w:rsidR="00261AF3" w:rsidRPr="0069734E" w:rsidRDefault="00000000" w:rsidP="002F3DEB">
      <w:pPr>
        <w:pStyle w:val="Heading3"/>
      </w:pPr>
      <w:r w:rsidRPr="0069734E">
        <w:t>Tissue Processing</w:t>
      </w:r>
    </w:p>
    <w:p w14:paraId="54CB3A10" w14:textId="77777777" w:rsidR="00261AF3" w:rsidRPr="0069734E" w:rsidRDefault="00000000" w:rsidP="0069734E">
      <w:pPr>
        <w:jc w:val="both"/>
        <w:rPr>
          <w:rFonts w:ascii="Arial" w:hAnsi="Arial" w:cs="Arial"/>
        </w:rPr>
      </w:pPr>
      <w:r w:rsidRPr="0069734E">
        <w:rPr>
          <w:rFonts w:ascii="Arial" w:hAnsi="Arial" w:cs="Arial"/>
          <w:color w:val="000000"/>
        </w:rPr>
        <w:t>The fixed organs were processed for histopathology following standard protocols. This involved trimming the tissues and embedding them in paraffin wax.</w:t>
      </w:r>
    </w:p>
    <w:p w14:paraId="137F5241" w14:textId="5F931C56" w:rsidR="00261AF3" w:rsidRPr="0069734E" w:rsidRDefault="00000000" w:rsidP="002F3DEB">
      <w:pPr>
        <w:pStyle w:val="Heading3"/>
      </w:pPr>
      <w:r w:rsidRPr="0069734E">
        <w:t>Sectioning and Staining</w:t>
      </w:r>
    </w:p>
    <w:p w14:paraId="1683444F" w14:textId="3C19EB1F" w:rsidR="00261AF3" w:rsidRPr="0069734E" w:rsidRDefault="00000000" w:rsidP="0069734E">
      <w:pPr>
        <w:jc w:val="both"/>
        <w:rPr>
          <w:rFonts w:ascii="Arial" w:hAnsi="Arial" w:cs="Arial"/>
        </w:rPr>
      </w:pPr>
      <w:r w:rsidRPr="0069734E">
        <w:rPr>
          <w:rFonts w:ascii="Arial" w:hAnsi="Arial" w:cs="Arial"/>
          <w:color w:val="000000"/>
        </w:rPr>
        <w:t xml:space="preserve">The paraffin-embedded tissues were sectioned at a thickness of 5 </w:t>
      </w:r>
      <w:proofErr w:type="spellStart"/>
      <w:r w:rsidRPr="0069734E">
        <w:rPr>
          <w:rFonts w:ascii="Arial" w:hAnsi="Arial" w:cs="Arial"/>
          <w:color w:val="000000"/>
        </w:rPr>
        <w:t>μm</w:t>
      </w:r>
      <w:proofErr w:type="spellEnd"/>
      <w:r w:rsidRPr="0069734E">
        <w:rPr>
          <w:rFonts w:ascii="Arial" w:hAnsi="Arial" w:cs="Arial"/>
          <w:color w:val="000000"/>
        </w:rPr>
        <w:t xml:space="preserve"> using a microtome. The sections were then stained with hematoxylin and eosin to visualize cellular structures.</w:t>
      </w:r>
    </w:p>
    <w:p w14:paraId="2FA8ADEE" w14:textId="40A7A57B" w:rsidR="0069734E" w:rsidRPr="0069734E" w:rsidRDefault="00000000" w:rsidP="002F3DEB">
      <w:pPr>
        <w:pStyle w:val="Heading3"/>
      </w:pPr>
      <w:r w:rsidRPr="0069734E">
        <w:t>Microscopic Examination</w:t>
      </w:r>
    </w:p>
    <w:p w14:paraId="44E0431F" w14:textId="495DD45C" w:rsidR="00261AF3" w:rsidRPr="0069734E" w:rsidRDefault="00000000" w:rsidP="0069734E">
      <w:pPr>
        <w:jc w:val="both"/>
        <w:rPr>
          <w:rFonts w:ascii="Arial" w:hAnsi="Arial" w:cs="Arial"/>
        </w:rPr>
      </w:pPr>
      <w:r w:rsidRPr="0069734E">
        <w:rPr>
          <w:rFonts w:ascii="Arial" w:hAnsi="Arial" w:cs="Arial"/>
          <w:color w:val="000000"/>
        </w:rPr>
        <w:t>The stained slides were examined under a light microscope at 10x and 40x objective magnification by Dr. Mudimba, who analyzed the slides for any pathological changes.</w:t>
      </w:r>
    </w:p>
    <w:p w14:paraId="6A7BCD7B" w14:textId="726ACD71" w:rsidR="00261AF3" w:rsidRPr="002F3DEB" w:rsidRDefault="00000000" w:rsidP="002F3DEB">
      <w:pPr>
        <w:pStyle w:val="Heading3"/>
      </w:pPr>
      <w:r w:rsidRPr="002F3DEB">
        <w:t>Statistical Analysis</w:t>
      </w:r>
    </w:p>
    <w:p w14:paraId="3CBD2824" w14:textId="3FB9B815" w:rsidR="0069734E" w:rsidRPr="0069734E" w:rsidRDefault="00000000" w:rsidP="0069734E">
      <w:pPr>
        <w:jc w:val="both"/>
        <w:rPr>
          <w:rFonts w:ascii="Arial" w:hAnsi="Arial" w:cs="Arial"/>
          <w:color w:val="000000"/>
        </w:rPr>
      </w:pPr>
      <w:r w:rsidRPr="0069734E">
        <w:rPr>
          <w:rFonts w:ascii="Arial" w:hAnsi="Arial" w:cs="Arial"/>
          <w:color w:val="000000"/>
        </w:rPr>
        <w:t>Data was analyzed using the Statistical Package for Social Sciences. Hematological and biochemical parameters were expressed as means ± standard error of the mean for all groups. One-way analysis of variance was used to compare the variation of hematological profiles and biochemical differences within groups. Where ANOVA indicated significant differences, a post-hoc test (e.g., Dunnett's test) was applied to determine the specific pairs of groups that differed significantly</w:t>
      </w:r>
      <w:hyperlink w:anchor="f3db3fd0449dfe59664264467054ef58" w:history="1">
        <w:r w:rsidR="00261AF3" w:rsidRPr="0069734E">
          <w:rPr>
            <w:rStyle w:val="Hyperlink"/>
            <w:rFonts w:ascii="Arial" w:hAnsi="Arial" w:cs="Arial"/>
            <w:color w:val="auto"/>
            <w:u w:val="none"/>
            <w:vertAlign w:val="superscript"/>
          </w:rPr>
          <w:t>43</w:t>
        </w:r>
      </w:hyperlink>
      <w:r w:rsidRPr="0069734E">
        <w:rPr>
          <w:rFonts w:ascii="Arial" w:hAnsi="Arial" w:cs="Arial"/>
          <w:color w:val="000000"/>
        </w:rPr>
        <w:t>. A 95% level of significance (p ≤ 0.05) was used to determine statistically significant differences.  For histopathology, descriptive statistical analysis was conducted.</w:t>
      </w:r>
    </w:p>
    <w:p w14:paraId="5E02B2CA" w14:textId="04EF8300" w:rsidR="00261AF3" w:rsidRPr="002F727C" w:rsidRDefault="00000000" w:rsidP="002F3DEB">
      <w:pPr>
        <w:pStyle w:val="Heading1"/>
      </w:pPr>
      <w:r w:rsidRPr="002F727C">
        <w:t xml:space="preserve">Results and Discussion </w:t>
      </w:r>
    </w:p>
    <w:p w14:paraId="2891D07E" w14:textId="087FC27C" w:rsidR="00261AF3" w:rsidRPr="0069734E" w:rsidRDefault="00000000" w:rsidP="002F3DEB">
      <w:pPr>
        <w:pStyle w:val="Heading2"/>
      </w:pPr>
      <w:r w:rsidRPr="0069734E">
        <w:t xml:space="preserve">Evaluation of phytochemical studies </w:t>
      </w:r>
    </w:p>
    <w:p w14:paraId="7CF834D5" w14:textId="07D4D16D" w:rsidR="00261AF3" w:rsidRPr="0069734E" w:rsidRDefault="00000000" w:rsidP="0069734E">
      <w:pPr>
        <w:jc w:val="both"/>
        <w:rPr>
          <w:rFonts w:ascii="Arial" w:hAnsi="Arial" w:cs="Arial"/>
          <w:color w:val="000000"/>
        </w:rPr>
      </w:pPr>
      <w:r w:rsidRPr="0069734E">
        <w:rPr>
          <w:rFonts w:ascii="Arial" w:hAnsi="Arial" w:cs="Arial"/>
          <w:color w:val="000000"/>
        </w:rPr>
        <w:t xml:space="preserve">The phytochemical screening of the lyophilized </w:t>
      </w:r>
      <w:r w:rsidR="005B4ED1" w:rsidRPr="0069734E">
        <w:rPr>
          <w:rFonts w:ascii="Arial" w:hAnsi="Arial" w:cs="Arial"/>
          <w:i/>
          <w:color w:val="000000"/>
        </w:rPr>
        <w:t>C. edulis</w:t>
      </w:r>
      <w:r w:rsidRPr="0069734E">
        <w:rPr>
          <w:rFonts w:ascii="Arial" w:hAnsi="Arial" w:cs="Arial"/>
          <w:color w:val="000000"/>
        </w:rPr>
        <w:t xml:space="preserve"> leaf extract reveals a diverse array of secondary metabolites, including phenolics, alkaloids, flavonoids, tannins, saponins, terpenoids, anthraquinones, glycosides, and sterols</w:t>
      </w:r>
      <w:r w:rsidR="006A581E">
        <w:rPr>
          <w:rFonts w:ascii="Arial" w:hAnsi="Arial" w:cs="Arial"/>
          <w:color w:val="000000"/>
        </w:rPr>
        <w:t xml:space="preserve"> (Table 1)</w:t>
      </w:r>
      <w:r w:rsidRPr="0069734E">
        <w:rPr>
          <w:rFonts w:ascii="Arial" w:hAnsi="Arial" w:cs="Arial"/>
          <w:color w:val="000000"/>
        </w:rPr>
        <w:t>. This rich phytochemical profile supports the plant's potential therapeutic effects, particularly in the context of pancreatic insufficiency, where antibacterial, antioxidant, and anti-inflammatory properties are highly relevant.</w:t>
      </w:r>
      <w:r w:rsidRPr="0069734E">
        <w:rPr>
          <w:rFonts w:ascii="Arial" w:hAnsi="Arial" w:cs="Arial"/>
        </w:rPr>
        <w:t xml:space="preserve"> </w:t>
      </w:r>
      <w:r w:rsidRPr="0069734E">
        <w:rPr>
          <w:rFonts w:ascii="Arial" w:hAnsi="Arial" w:cs="Arial"/>
          <w:color w:val="000000"/>
        </w:rPr>
        <w:t>Phenolics and flavonoids, which are highly present in the extract, are well-known for their antioxidant and anti-inflammatory activities</w:t>
      </w:r>
      <w:hyperlink w:anchor="ca1726c4820f04e87d8ed90850be1ae7" w:history="1">
        <w:r w:rsidR="00261AF3" w:rsidRPr="0069734E">
          <w:rPr>
            <w:rStyle w:val="Hyperlink"/>
            <w:rFonts w:ascii="Arial" w:hAnsi="Arial" w:cs="Arial"/>
            <w:color w:val="auto"/>
            <w:u w:val="none"/>
            <w:vertAlign w:val="superscript"/>
          </w:rPr>
          <w:t>44</w:t>
        </w:r>
      </w:hyperlink>
      <w:r w:rsidRPr="0069734E">
        <w:rPr>
          <w:rFonts w:ascii="Arial" w:hAnsi="Arial" w:cs="Arial"/>
          <w:vertAlign w:val="superscript"/>
        </w:rPr>
        <w:t xml:space="preserve">, </w:t>
      </w:r>
      <w:hyperlink w:anchor="53fca0c717deb18ac139628c1fcdd05a" w:history="1">
        <w:r w:rsidR="00261AF3" w:rsidRPr="0069734E">
          <w:rPr>
            <w:rStyle w:val="Hyperlink"/>
            <w:rFonts w:ascii="Arial" w:hAnsi="Arial" w:cs="Arial"/>
            <w:color w:val="auto"/>
            <w:u w:val="none"/>
            <w:vertAlign w:val="superscript"/>
          </w:rPr>
          <w:t>3</w:t>
        </w:r>
      </w:hyperlink>
      <w:r w:rsidRPr="0069734E">
        <w:rPr>
          <w:rFonts w:ascii="Arial" w:hAnsi="Arial" w:cs="Arial"/>
          <w:color w:val="000000"/>
        </w:rPr>
        <w:t>. Their ability to scavenge free radicals and modulate inflammatory pathways can help mitigate oxidative stress and inflammation, both of which can exacerbate pancreatic damage and dysfunction. These compounds are effective in the treatments against several debilitating diseases such as cancer, diabetes, inflammation, pathogenic infections and aging</w:t>
      </w:r>
      <w:hyperlink w:anchor="53fca0c717deb18ac139628c1fcdd05a" w:history="1">
        <w:r w:rsidR="00261AF3" w:rsidRPr="0069734E">
          <w:rPr>
            <w:rStyle w:val="Hyperlink"/>
            <w:rFonts w:ascii="Arial" w:hAnsi="Arial" w:cs="Arial"/>
            <w:color w:val="auto"/>
            <w:u w:val="none"/>
            <w:vertAlign w:val="superscript"/>
          </w:rPr>
          <w:t>3</w:t>
        </w:r>
      </w:hyperlink>
      <w:r w:rsidRPr="0069734E">
        <w:rPr>
          <w:rFonts w:ascii="Arial" w:hAnsi="Arial" w:cs="Arial"/>
          <w:color w:val="000000"/>
        </w:rPr>
        <w:t>. Tannins, also abundant in the extract, possess antibacterial properties that can combat bacterial infections, which are a common complication in pancreatic insufficiency</w:t>
      </w:r>
      <w:hyperlink w:anchor="08891f3f1d93a16d3c9b6ed04f8b3c8f" w:history="1">
        <w:r w:rsidR="00261AF3" w:rsidRPr="0069734E">
          <w:rPr>
            <w:rStyle w:val="Hyperlink"/>
            <w:rFonts w:ascii="Arial" w:hAnsi="Arial" w:cs="Arial"/>
            <w:color w:val="auto"/>
            <w:u w:val="none"/>
            <w:vertAlign w:val="superscript"/>
          </w:rPr>
          <w:t>45</w:t>
        </w:r>
      </w:hyperlink>
      <w:r w:rsidRPr="0069734E">
        <w:rPr>
          <w:rFonts w:ascii="Arial" w:hAnsi="Arial" w:cs="Arial"/>
          <w:color w:val="000000"/>
        </w:rPr>
        <w:t>. Saponins, moderately present, have been shown to exhibit both anti-inflammatory and immunomodulatory effects, further contributing to the plant's therapeutic potential</w:t>
      </w:r>
      <w:hyperlink w:anchor="6b7ce6dfdc070894b5fad73ffb9d4e7e" w:history="1">
        <w:r w:rsidR="00261AF3" w:rsidRPr="0069734E">
          <w:rPr>
            <w:rStyle w:val="Hyperlink"/>
            <w:rFonts w:ascii="Arial" w:hAnsi="Arial" w:cs="Arial"/>
            <w:color w:val="auto"/>
            <w:u w:val="none"/>
            <w:vertAlign w:val="superscript"/>
          </w:rPr>
          <w:t>2</w:t>
        </w:r>
      </w:hyperlink>
      <w:r w:rsidRPr="0069734E">
        <w:rPr>
          <w:rFonts w:ascii="Arial" w:hAnsi="Arial" w:cs="Arial"/>
          <w:color w:val="000000"/>
        </w:rPr>
        <w:t>.</w:t>
      </w:r>
      <w:r w:rsidRPr="0069734E">
        <w:rPr>
          <w:rFonts w:ascii="Arial" w:hAnsi="Arial" w:cs="Arial"/>
        </w:rPr>
        <w:t xml:space="preserve"> </w:t>
      </w:r>
      <w:r w:rsidRPr="0069734E">
        <w:rPr>
          <w:rFonts w:ascii="Arial" w:hAnsi="Arial" w:cs="Arial"/>
          <w:color w:val="000000"/>
        </w:rPr>
        <w:t xml:space="preserve">Given this diverse range of bioactive compounds, further research is warranted to isolate and identify the specific compounds responsible for the observed therapeutic effects, determine their mechanisms of action, and assess their safety and efficacy in preclinical and clinical studies. By elucidating the intricate interplay between these phytochemicals and their therapeutic activities, we can unlock the full potential of </w:t>
      </w:r>
      <w:r w:rsidR="005B4ED1" w:rsidRPr="0069734E">
        <w:rPr>
          <w:rFonts w:ascii="Arial" w:hAnsi="Arial" w:cs="Arial"/>
          <w:i/>
          <w:color w:val="000000"/>
        </w:rPr>
        <w:t>C. edulis</w:t>
      </w:r>
      <w:r w:rsidRPr="0069734E">
        <w:rPr>
          <w:rFonts w:ascii="Arial" w:hAnsi="Arial" w:cs="Arial"/>
          <w:color w:val="000000"/>
        </w:rPr>
        <w:t xml:space="preserve"> as a valuable natural remedy for pancreatic insufficiency</w:t>
      </w:r>
      <w:hyperlink w:anchor="d73ec6c53d6bcec7882fec6ac0484899" w:history="1">
        <w:r w:rsidR="00261AF3" w:rsidRPr="0069734E">
          <w:rPr>
            <w:rStyle w:val="Hyperlink"/>
            <w:rFonts w:ascii="Arial" w:hAnsi="Arial" w:cs="Arial"/>
            <w:color w:val="auto"/>
            <w:u w:val="none"/>
            <w:vertAlign w:val="superscript"/>
          </w:rPr>
          <w:t>6</w:t>
        </w:r>
      </w:hyperlink>
      <w:r w:rsidRPr="0069734E">
        <w:rPr>
          <w:rFonts w:ascii="Arial" w:hAnsi="Arial" w:cs="Arial"/>
          <w:color w:val="000000"/>
        </w:rPr>
        <w:t>.</w:t>
      </w:r>
    </w:p>
    <w:p w14:paraId="590FBF05" w14:textId="77777777" w:rsidR="00261AF3" w:rsidRPr="002F727C" w:rsidRDefault="00261AF3">
      <w:pPr>
        <w:pStyle w:val="NoSpacing"/>
        <w:rPr>
          <w:rFonts w:ascii="Arial" w:hAnsi="Arial" w:cs="Arial"/>
        </w:rPr>
      </w:pPr>
    </w:p>
    <w:p w14:paraId="4C201588" w14:textId="6B5AE95B" w:rsidR="00261AF3" w:rsidRPr="00055B9B" w:rsidRDefault="00000000" w:rsidP="00055B9B">
      <w:pPr>
        <w:pStyle w:val="Heading2"/>
        <w:jc w:val="both"/>
        <w:rPr>
          <w:rFonts w:ascii="Times New Roman" w:hAnsi="Times New Roman"/>
          <w:i/>
          <w:iCs/>
          <w:color w:val="44546A"/>
          <w:sz w:val="18"/>
          <w:szCs w:val="18"/>
          <w:lang w:val="en-ZW" w:eastAsia="en-ZW"/>
        </w:rPr>
      </w:pPr>
      <w:r w:rsidRPr="00055B9B">
        <w:rPr>
          <w:rFonts w:ascii="Times New Roman" w:hAnsi="Times New Roman"/>
          <w:i/>
          <w:iCs/>
          <w:color w:val="44546A"/>
          <w:sz w:val="18"/>
          <w:szCs w:val="18"/>
          <w:lang w:val="en-ZW" w:eastAsia="en-ZW"/>
        </w:rPr>
        <w:t xml:space="preserve">Table 1: </w:t>
      </w:r>
      <w:r w:rsidR="00657315" w:rsidRPr="00055B9B">
        <w:rPr>
          <w:rFonts w:ascii="Times New Roman" w:hAnsi="Times New Roman"/>
          <w:i/>
          <w:iCs/>
          <w:color w:val="44546A"/>
          <w:sz w:val="18"/>
          <w:szCs w:val="18"/>
          <w:lang w:val="en-ZW" w:eastAsia="en-ZW"/>
        </w:rPr>
        <w:t xml:space="preserve">Secondary </w:t>
      </w:r>
      <w:r w:rsidRPr="00055B9B">
        <w:rPr>
          <w:rFonts w:ascii="Times New Roman" w:hAnsi="Times New Roman"/>
          <w:i/>
          <w:iCs/>
          <w:color w:val="44546A"/>
          <w:sz w:val="18"/>
          <w:szCs w:val="18"/>
          <w:lang w:val="en-ZW" w:eastAsia="en-ZW"/>
        </w:rPr>
        <w:t xml:space="preserve">Metabolomics screening tests done on </w:t>
      </w:r>
      <w:r w:rsidR="005B4ED1" w:rsidRPr="00055B9B">
        <w:rPr>
          <w:rFonts w:ascii="Times New Roman" w:hAnsi="Times New Roman"/>
          <w:i/>
          <w:iCs/>
          <w:color w:val="44546A"/>
          <w:sz w:val="18"/>
          <w:szCs w:val="18"/>
          <w:lang w:val="en-ZW" w:eastAsia="en-ZW"/>
        </w:rPr>
        <w:t>Carpobrotus edulis</w:t>
      </w:r>
      <w:r w:rsidRPr="00055B9B">
        <w:rPr>
          <w:rFonts w:ascii="Times New Roman" w:hAnsi="Times New Roman"/>
          <w:i/>
          <w:iCs/>
          <w:color w:val="44546A"/>
          <w:sz w:val="18"/>
          <w:szCs w:val="18"/>
          <w:lang w:val="en-ZW" w:eastAsia="en-ZW"/>
        </w:rPr>
        <w:t xml:space="preserve"> lyophilized leaf extract</w:t>
      </w:r>
    </w:p>
    <w:tbl>
      <w:tblPr>
        <w:tblStyle w:val="TableGrid"/>
        <w:tblW w:w="0" w:type="auto"/>
        <w:tblLook w:val="0000" w:firstRow="0" w:lastRow="0" w:firstColumn="0" w:lastColumn="0" w:noHBand="0" w:noVBand="0"/>
      </w:tblPr>
      <w:tblGrid>
        <w:gridCol w:w="3116"/>
        <w:gridCol w:w="4619"/>
      </w:tblGrid>
      <w:tr w:rsidR="00261AF3" w:rsidRPr="002F727C" w14:paraId="35A06E33" w14:textId="77777777">
        <w:trPr>
          <w:trHeight w:val="120"/>
        </w:trPr>
        <w:tc>
          <w:tcPr>
            <w:tcW w:w="3116" w:type="dxa"/>
            <w:tcBorders>
              <w:left w:val="nil"/>
              <w:bottom w:val="single" w:sz="4" w:space="0" w:color="auto"/>
              <w:right w:val="nil"/>
            </w:tcBorders>
          </w:tcPr>
          <w:p w14:paraId="05E6DFC5" w14:textId="77777777" w:rsidR="00261AF3" w:rsidRPr="0069734E" w:rsidRDefault="00000000">
            <w:pPr>
              <w:jc w:val="center"/>
              <w:rPr>
                <w:rFonts w:ascii="Arial" w:hAnsi="Arial" w:cs="Arial"/>
                <w:b/>
                <w:bCs/>
                <w:sz w:val="22"/>
                <w:szCs w:val="22"/>
              </w:rPr>
            </w:pPr>
            <w:r w:rsidRPr="0069734E">
              <w:rPr>
                <w:rFonts w:ascii="Arial" w:hAnsi="Arial" w:cs="Arial"/>
                <w:b/>
                <w:bCs/>
                <w:sz w:val="22"/>
                <w:szCs w:val="22"/>
              </w:rPr>
              <w:t>Secondary Metabolites</w:t>
            </w:r>
          </w:p>
        </w:tc>
        <w:tc>
          <w:tcPr>
            <w:tcW w:w="4619" w:type="dxa"/>
            <w:tcBorders>
              <w:left w:val="nil"/>
              <w:bottom w:val="single" w:sz="4" w:space="0" w:color="auto"/>
              <w:right w:val="nil"/>
            </w:tcBorders>
          </w:tcPr>
          <w:p w14:paraId="0523487C" w14:textId="77777777" w:rsidR="00261AF3" w:rsidRPr="0069734E" w:rsidRDefault="00000000">
            <w:pPr>
              <w:jc w:val="center"/>
              <w:rPr>
                <w:rFonts w:ascii="Arial" w:hAnsi="Arial" w:cs="Arial"/>
                <w:b/>
                <w:bCs/>
                <w:sz w:val="22"/>
                <w:szCs w:val="22"/>
              </w:rPr>
            </w:pPr>
            <w:r w:rsidRPr="0069734E">
              <w:rPr>
                <w:rFonts w:ascii="Arial" w:hAnsi="Arial" w:cs="Arial"/>
                <w:b/>
                <w:bCs/>
                <w:sz w:val="22"/>
                <w:szCs w:val="22"/>
              </w:rPr>
              <w:t>Presence in hydro-ethanolic extract</w:t>
            </w:r>
          </w:p>
        </w:tc>
      </w:tr>
      <w:tr w:rsidR="00261AF3" w:rsidRPr="002F727C" w14:paraId="5A6C67EE" w14:textId="77777777">
        <w:tblPrEx>
          <w:tblLook w:val="04A0" w:firstRow="1" w:lastRow="0" w:firstColumn="1" w:lastColumn="0" w:noHBand="0" w:noVBand="1"/>
        </w:tblPrEx>
        <w:tc>
          <w:tcPr>
            <w:tcW w:w="3116" w:type="dxa"/>
            <w:tcBorders>
              <w:left w:val="nil"/>
              <w:bottom w:val="nil"/>
              <w:right w:val="nil"/>
            </w:tcBorders>
          </w:tcPr>
          <w:p w14:paraId="66B07A5C" w14:textId="77777777" w:rsidR="00261AF3" w:rsidRPr="0069734E" w:rsidRDefault="00000000">
            <w:pPr>
              <w:jc w:val="center"/>
              <w:rPr>
                <w:rFonts w:ascii="Arial" w:hAnsi="Arial" w:cs="Arial"/>
                <w:sz w:val="20"/>
                <w:szCs w:val="20"/>
              </w:rPr>
            </w:pPr>
            <w:r w:rsidRPr="0069734E">
              <w:rPr>
                <w:rFonts w:ascii="Arial" w:hAnsi="Arial" w:cs="Arial"/>
                <w:sz w:val="20"/>
                <w:szCs w:val="20"/>
              </w:rPr>
              <w:lastRenderedPageBreak/>
              <w:t>Phenolics</w:t>
            </w:r>
          </w:p>
        </w:tc>
        <w:tc>
          <w:tcPr>
            <w:tcW w:w="4619" w:type="dxa"/>
            <w:tcBorders>
              <w:left w:val="nil"/>
              <w:bottom w:val="nil"/>
              <w:right w:val="nil"/>
            </w:tcBorders>
          </w:tcPr>
          <w:p w14:paraId="1B53017A"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1A05A08C" w14:textId="77777777">
        <w:tblPrEx>
          <w:tblLook w:val="04A0" w:firstRow="1" w:lastRow="0" w:firstColumn="1" w:lastColumn="0" w:noHBand="0" w:noVBand="1"/>
        </w:tblPrEx>
        <w:tc>
          <w:tcPr>
            <w:tcW w:w="3116" w:type="dxa"/>
            <w:tcBorders>
              <w:top w:val="nil"/>
              <w:left w:val="nil"/>
              <w:bottom w:val="nil"/>
              <w:right w:val="nil"/>
            </w:tcBorders>
          </w:tcPr>
          <w:p w14:paraId="0BDC01A9" w14:textId="77777777" w:rsidR="00261AF3" w:rsidRPr="0069734E" w:rsidRDefault="00000000">
            <w:pPr>
              <w:jc w:val="center"/>
              <w:rPr>
                <w:rFonts w:ascii="Arial" w:hAnsi="Arial" w:cs="Arial"/>
                <w:sz w:val="20"/>
                <w:szCs w:val="20"/>
              </w:rPr>
            </w:pPr>
            <w:r w:rsidRPr="0069734E">
              <w:rPr>
                <w:rFonts w:ascii="Arial" w:hAnsi="Arial" w:cs="Arial"/>
                <w:sz w:val="20"/>
                <w:szCs w:val="20"/>
              </w:rPr>
              <w:t>Alkaloids</w:t>
            </w:r>
          </w:p>
        </w:tc>
        <w:tc>
          <w:tcPr>
            <w:tcW w:w="4619" w:type="dxa"/>
            <w:tcBorders>
              <w:top w:val="nil"/>
              <w:left w:val="nil"/>
              <w:bottom w:val="nil"/>
              <w:right w:val="nil"/>
            </w:tcBorders>
          </w:tcPr>
          <w:p w14:paraId="12386EF6"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58E9135E" w14:textId="77777777">
        <w:tblPrEx>
          <w:tblLook w:val="04A0" w:firstRow="1" w:lastRow="0" w:firstColumn="1" w:lastColumn="0" w:noHBand="0" w:noVBand="1"/>
        </w:tblPrEx>
        <w:tc>
          <w:tcPr>
            <w:tcW w:w="3116" w:type="dxa"/>
            <w:tcBorders>
              <w:top w:val="nil"/>
              <w:left w:val="nil"/>
              <w:bottom w:val="nil"/>
              <w:right w:val="nil"/>
            </w:tcBorders>
          </w:tcPr>
          <w:p w14:paraId="64ECD1C8" w14:textId="77777777" w:rsidR="00261AF3" w:rsidRPr="0069734E" w:rsidRDefault="00000000">
            <w:pPr>
              <w:jc w:val="center"/>
              <w:rPr>
                <w:rFonts w:ascii="Arial" w:hAnsi="Arial" w:cs="Arial"/>
                <w:sz w:val="20"/>
                <w:szCs w:val="20"/>
              </w:rPr>
            </w:pPr>
            <w:r w:rsidRPr="0069734E">
              <w:rPr>
                <w:rFonts w:ascii="Arial" w:hAnsi="Arial" w:cs="Arial"/>
                <w:sz w:val="20"/>
                <w:szCs w:val="20"/>
              </w:rPr>
              <w:t>Flavonoids</w:t>
            </w:r>
          </w:p>
        </w:tc>
        <w:tc>
          <w:tcPr>
            <w:tcW w:w="4619" w:type="dxa"/>
            <w:tcBorders>
              <w:top w:val="nil"/>
              <w:left w:val="nil"/>
              <w:bottom w:val="nil"/>
              <w:right w:val="nil"/>
            </w:tcBorders>
          </w:tcPr>
          <w:p w14:paraId="6C38C4F6"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39389236" w14:textId="77777777">
        <w:tblPrEx>
          <w:tblLook w:val="04A0" w:firstRow="1" w:lastRow="0" w:firstColumn="1" w:lastColumn="0" w:noHBand="0" w:noVBand="1"/>
        </w:tblPrEx>
        <w:tc>
          <w:tcPr>
            <w:tcW w:w="3116" w:type="dxa"/>
            <w:tcBorders>
              <w:top w:val="nil"/>
              <w:left w:val="nil"/>
              <w:bottom w:val="nil"/>
              <w:right w:val="nil"/>
            </w:tcBorders>
          </w:tcPr>
          <w:p w14:paraId="0098DCB0" w14:textId="77777777" w:rsidR="00261AF3" w:rsidRPr="0069734E" w:rsidRDefault="00000000">
            <w:pPr>
              <w:jc w:val="center"/>
              <w:rPr>
                <w:rFonts w:ascii="Arial" w:hAnsi="Arial" w:cs="Arial"/>
                <w:sz w:val="20"/>
                <w:szCs w:val="20"/>
              </w:rPr>
            </w:pPr>
            <w:r w:rsidRPr="0069734E">
              <w:rPr>
                <w:rFonts w:ascii="Arial" w:hAnsi="Arial" w:cs="Arial"/>
                <w:sz w:val="20"/>
                <w:szCs w:val="20"/>
              </w:rPr>
              <w:t>Tannins</w:t>
            </w:r>
          </w:p>
        </w:tc>
        <w:tc>
          <w:tcPr>
            <w:tcW w:w="4619" w:type="dxa"/>
            <w:tcBorders>
              <w:top w:val="nil"/>
              <w:left w:val="nil"/>
              <w:bottom w:val="nil"/>
              <w:right w:val="nil"/>
            </w:tcBorders>
          </w:tcPr>
          <w:p w14:paraId="0356EFC2"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1C63A3AD" w14:textId="77777777">
        <w:tblPrEx>
          <w:tblLook w:val="04A0" w:firstRow="1" w:lastRow="0" w:firstColumn="1" w:lastColumn="0" w:noHBand="0" w:noVBand="1"/>
        </w:tblPrEx>
        <w:tc>
          <w:tcPr>
            <w:tcW w:w="3116" w:type="dxa"/>
            <w:tcBorders>
              <w:top w:val="nil"/>
              <w:left w:val="nil"/>
              <w:bottom w:val="nil"/>
              <w:right w:val="nil"/>
            </w:tcBorders>
          </w:tcPr>
          <w:p w14:paraId="4A4DF173" w14:textId="77777777" w:rsidR="00261AF3" w:rsidRPr="0069734E" w:rsidRDefault="00000000">
            <w:pPr>
              <w:jc w:val="center"/>
              <w:rPr>
                <w:rFonts w:ascii="Arial" w:hAnsi="Arial" w:cs="Arial"/>
                <w:sz w:val="20"/>
                <w:szCs w:val="20"/>
              </w:rPr>
            </w:pPr>
            <w:r w:rsidRPr="0069734E">
              <w:rPr>
                <w:rFonts w:ascii="Arial" w:hAnsi="Arial" w:cs="Arial"/>
                <w:sz w:val="20"/>
                <w:szCs w:val="20"/>
              </w:rPr>
              <w:t>Saponins</w:t>
            </w:r>
          </w:p>
        </w:tc>
        <w:tc>
          <w:tcPr>
            <w:tcW w:w="4619" w:type="dxa"/>
            <w:tcBorders>
              <w:top w:val="nil"/>
              <w:left w:val="nil"/>
              <w:bottom w:val="nil"/>
              <w:right w:val="nil"/>
            </w:tcBorders>
          </w:tcPr>
          <w:p w14:paraId="2B349C79"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66F5A76E" w14:textId="77777777">
        <w:tblPrEx>
          <w:tblLook w:val="04A0" w:firstRow="1" w:lastRow="0" w:firstColumn="1" w:lastColumn="0" w:noHBand="0" w:noVBand="1"/>
        </w:tblPrEx>
        <w:tc>
          <w:tcPr>
            <w:tcW w:w="3116" w:type="dxa"/>
            <w:tcBorders>
              <w:top w:val="nil"/>
              <w:left w:val="nil"/>
              <w:bottom w:val="nil"/>
              <w:right w:val="nil"/>
            </w:tcBorders>
          </w:tcPr>
          <w:p w14:paraId="358AF5E5" w14:textId="77777777" w:rsidR="00261AF3" w:rsidRPr="0069734E" w:rsidRDefault="00000000">
            <w:pPr>
              <w:jc w:val="center"/>
              <w:rPr>
                <w:rFonts w:ascii="Arial" w:hAnsi="Arial" w:cs="Arial"/>
                <w:sz w:val="20"/>
                <w:szCs w:val="20"/>
              </w:rPr>
            </w:pPr>
            <w:r w:rsidRPr="0069734E">
              <w:rPr>
                <w:rFonts w:ascii="Arial" w:hAnsi="Arial" w:cs="Arial"/>
                <w:sz w:val="20"/>
                <w:szCs w:val="20"/>
              </w:rPr>
              <w:t>Terpenoids</w:t>
            </w:r>
          </w:p>
        </w:tc>
        <w:tc>
          <w:tcPr>
            <w:tcW w:w="4619" w:type="dxa"/>
            <w:tcBorders>
              <w:top w:val="nil"/>
              <w:left w:val="nil"/>
              <w:bottom w:val="nil"/>
              <w:right w:val="nil"/>
            </w:tcBorders>
          </w:tcPr>
          <w:p w14:paraId="2F082810"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356AE2C0" w14:textId="77777777">
        <w:tblPrEx>
          <w:tblLook w:val="04A0" w:firstRow="1" w:lastRow="0" w:firstColumn="1" w:lastColumn="0" w:noHBand="0" w:noVBand="1"/>
        </w:tblPrEx>
        <w:tc>
          <w:tcPr>
            <w:tcW w:w="3116" w:type="dxa"/>
            <w:tcBorders>
              <w:top w:val="nil"/>
              <w:left w:val="nil"/>
              <w:bottom w:val="nil"/>
              <w:right w:val="nil"/>
            </w:tcBorders>
          </w:tcPr>
          <w:p w14:paraId="79251AF2" w14:textId="77777777" w:rsidR="00261AF3" w:rsidRPr="0069734E" w:rsidRDefault="00000000">
            <w:pPr>
              <w:jc w:val="center"/>
              <w:rPr>
                <w:rFonts w:ascii="Arial" w:hAnsi="Arial" w:cs="Arial"/>
                <w:sz w:val="20"/>
                <w:szCs w:val="20"/>
              </w:rPr>
            </w:pPr>
            <w:r w:rsidRPr="0069734E">
              <w:rPr>
                <w:rFonts w:ascii="Arial" w:hAnsi="Arial" w:cs="Arial"/>
                <w:sz w:val="20"/>
                <w:szCs w:val="20"/>
              </w:rPr>
              <w:t>Anthraquinones</w:t>
            </w:r>
          </w:p>
        </w:tc>
        <w:tc>
          <w:tcPr>
            <w:tcW w:w="4619" w:type="dxa"/>
            <w:tcBorders>
              <w:top w:val="nil"/>
              <w:left w:val="nil"/>
              <w:bottom w:val="nil"/>
              <w:right w:val="nil"/>
            </w:tcBorders>
          </w:tcPr>
          <w:p w14:paraId="1F87BD03"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003FC558" w14:textId="77777777">
        <w:tblPrEx>
          <w:tblLook w:val="04A0" w:firstRow="1" w:lastRow="0" w:firstColumn="1" w:lastColumn="0" w:noHBand="0" w:noVBand="1"/>
        </w:tblPrEx>
        <w:tc>
          <w:tcPr>
            <w:tcW w:w="3116" w:type="dxa"/>
            <w:tcBorders>
              <w:top w:val="nil"/>
              <w:left w:val="nil"/>
              <w:bottom w:val="nil"/>
              <w:right w:val="nil"/>
            </w:tcBorders>
          </w:tcPr>
          <w:p w14:paraId="60899E3D" w14:textId="77777777" w:rsidR="00261AF3" w:rsidRPr="0069734E" w:rsidRDefault="00000000">
            <w:pPr>
              <w:jc w:val="center"/>
              <w:rPr>
                <w:rFonts w:ascii="Arial" w:hAnsi="Arial" w:cs="Arial"/>
                <w:sz w:val="20"/>
                <w:szCs w:val="20"/>
              </w:rPr>
            </w:pPr>
            <w:r w:rsidRPr="0069734E">
              <w:rPr>
                <w:rFonts w:ascii="Arial" w:hAnsi="Arial" w:cs="Arial"/>
                <w:sz w:val="20"/>
                <w:szCs w:val="20"/>
              </w:rPr>
              <w:t>Glycosides</w:t>
            </w:r>
          </w:p>
        </w:tc>
        <w:tc>
          <w:tcPr>
            <w:tcW w:w="4619" w:type="dxa"/>
            <w:tcBorders>
              <w:top w:val="nil"/>
              <w:left w:val="nil"/>
              <w:bottom w:val="nil"/>
              <w:right w:val="nil"/>
            </w:tcBorders>
          </w:tcPr>
          <w:p w14:paraId="1A8876BC"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r w:rsidR="00261AF3" w:rsidRPr="002F727C" w14:paraId="22FC5356" w14:textId="77777777">
        <w:tblPrEx>
          <w:tblLook w:val="04A0" w:firstRow="1" w:lastRow="0" w:firstColumn="1" w:lastColumn="0" w:noHBand="0" w:noVBand="1"/>
        </w:tblPrEx>
        <w:tc>
          <w:tcPr>
            <w:tcW w:w="3116" w:type="dxa"/>
            <w:tcBorders>
              <w:top w:val="nil"/>
              <w:left w:val="nil"/>
              <w:right w:val="nil"/>
            </w:tcBorders>
          </w:tcPr>
          <w:p w14:paraId="2982798B" w14:textId="77777777" w:rsidR="00261AF3" w:rsidRPr="0069734E" w:rsidRDefault="00000000">
            <w:pPr>
              <w:jc w:val="center"/>
              <w:rPr>
                <w:rFonts w:ascii="Arial" w:hAnsi="Arial" w:cs="Arial"/>
                <w:sz w:val="20"/>
                <w:szCs w:val="20"/>
              </w:rPr>
            </w:pPr>
            <w:r w:rsidRPr="0069734E">
              <w:rPr>
                <w:rFonts w:ascii="Arial" w:hAnsi="Arial" w:cs="Arial"/>
                <w:sz w:val="20"/>
                <w:szCs w:val="20"/>
              </w:rPr>
              <w:t>Sterols</w:t>
            </w:r>
          </w:p>
        </w:tc>
        <w:tc>
          <w:tcPr>
            <w:tcW w:w="4619" w:type="dxa"/>
            <w:tcBorders>
              <w:top w:val="nil"/>
              <w:left w:val="nil"/>
              <w:right w:val="nil"/>
            </w:tcBorders>
          </w:tcPr>
          <w:p w14:paraId="0D7D824C" w14:textId="77777777" w:rsidR="00261AF3" w:rsidRPr="0069734E" w:rsidRDefault="00000000">
            <w:pPr>
              <w:jc w:val="center"/>
              <w:rPr>
                <w:rFonts w:ascii="Arial" w:hAnsi="Arial" w:cs="Arial"/>
                <w:sz w:val="20"/>
                <w:szCs w:val="20"/>
              </w:rPr>
            </w:pPr>
            <w:r w:rsidRPr="0069734E">
              <w:rPr>
                <w:rFonts w:ascii="Arial" w:hAnsi="Arial" w:cs="Arial"/>
                <w:sz w:val="20"/>
                <w:szCs w:val="20"/>
              </w:rPr>
              <w:t>+</w:t>
            </w:r>
          </w:p>
        </w:tc>
      </w:tr>
    </w:tbl>
    <w:p w14:paraId="4515C6C9" w14:textId="77777777" w:rsidR="00261AF3" w:rsidRPr="00055B9B" w:rsidRDefault="00000000">
      <w:pPr>
        <w:rPr>
          <w:rFonts w:ascii="Arial" w:hAnsi="Arial" w:cs="Arial"/>
          <w:i/>
          <w:iCs/>
          <w:sz w:val="22"/>
          <w:szCs w:val="22"/>
        </w:rPr>
      </w:pPr>
      <w:r w:rsidRPr="00055B9B">
        <w:rPr>
          <w:rFonts w:ascii="Arial" w:hAnsi="Arial" w:cs="Arial"/>
          <w:i/>
          <w:iCs/>
        </w:rPr>
        <w:t>Highly present+++, Moderately present++, lowly present+</w:t>
      </w:r>
    </w:p>
    <w:p w14:paraId="6F77DDDD" w14:textId="77777777" w:rsidR="00261AF3" w:rsidRPr="002F727C" w:rsidRDefault="00261AF3">
      <w:pPr>
        <w:rPr>
          <w:rFonts w:ascii="Arial" w:hAnsi="Arial" w:cs="Arial"/>
          <w:b/>
          <w:bCs/>
          <w:sz w:val="24"/>
          <w:szCs w:val="24"/>
        </w:rPr>
      </w:pPr>
    </w:p>
    <w:p w14:paraId="6487671C" w14:textId="426E1BF4" w:rsidR="00261AF3" w:rsidRPr="0069734E" w:rsidRDefault="00000000" w:rsidP="002F3DEB">
      <w:pPr>
        <w:pStyle w:val="Heading2"/>
      </w:pPr>
      <w:r w:rsidRPr="0069734E">
        <w:t>Evaluation of total phenolic content</w:t>
      </w:r>
    </w:p>
    <w:p w14:paraId="398B98E1" w14:textId="6996E7F9" w:rsidR="00261AF3" w:rsidRPr="0069734E" w:rsidRDefault="00000000" w:rsidP="0069734E">
      <w:pPr>
        <w:jc w:val="both"/>
        <w:rPr>
          <w:rFonts w:ascii="Arial" w:hAnsi="Arial" w:cs="Arial"/>
          <w:color w:val="000000"/>
        </w:rPr>
      </w:pPr>
      <w:r w:rsidRPr="0069734E">
        <w:rPr>
          <w:rFonts w:ascii="Arial" w:hAnsi="Arial" w:cs="Arial"/>
          <w:color w:val="000000"/>
        </w:rPr>
        <w:t xml:space="preserve">The total phenolic content of 279.7 mg GAE/g in the lyophilized leaves of </w:t>
      </w:r>
      <w:r w:rsidR="005B4ED1" w:rsidRPr="0069734E">
        <w:rPr>
          <w:rFonts w:ascii="Arial" w:hAnsi="Arial" w:cs="Arial"/>
          <w:i/>
          <w:iCs/>
          <w:color w:val="000000"/>
        </w:rPr>
        <w:t>Carpobrotus edulis</w:t>
      </w:r>
      <w:r w:rsidRPr="0069734E">
        <w:rPr>
          <w:rFonts w:ascii="Arial" w:hAnsi="Arial" w:cs="Arial"/>
          <w:color w:val="000000"/>
        </w:rPr>
        <w:t xml:space="preserve"> suggests a notably high antioxidant potential</w:t>
      </w:r>
      <w:r w:rsidR="0094124A">
        <w:rPr>
          <w:rFonts w:ascii="Arial" w:hAnsi="Arial" w:cs="Arial"/>
          <w:color w:val="000000"/>
        </w:rPr>
        <w:t xml:space="preserve"> (Fig 2)</w:t>
      </w:r>
      <w:r w:rsidRPr="0069734E">
        <w:rPr>
          <w:rFonts w:ascii="Arial" w:hAnsi="Arial" w:cs="Arial"/>
          <w:color w:val="000000"/>
        </w:rPr>
        <w:t>. This is significant because oxidative stress plays a crucial role in the pathogenesis of pancreatic insufficiency, exacerbating damage to pancreatic tissue and impairing its function. Phenolic compounds are known for their free radical scavenging abilities, which can mitigate oxidative damage</w:t>
      </w:r>
      <w:hyperlink w:anchor="d5f0284449732ad8585b082239644490" w:history="1">
        <w:r w:rsidR="00261AF3" w:rsidRPr="0069734E">
          <w:rPr>
            <w:rStyle w:val="Hyperlink"/>
            <w:rFonts w:ascii="Arial" w:hAnsi="Arial" w:cs="Arial"/>
            <w:color w:val="auto"/>
            <w:u w:val="none"/>
            <w:vertAlign w:val="superscript"/>
          </w:rPr>
          <w:t>39</w:t>
        </w:r>
      </w:hyperlink>
      <w:r w:rsidRPr="0069734E">
        <w:rPr>
          <w:rFonts w:ascii="Arial" w:hAnsi="Arial" w:cs="Arial"/>
          <w:color w:val="000000"/>
        </w:rPr>
        <w:t xml:space="preserve">. This value suggests that the </w:t>
      </w:r>
      <w:r w:rsidR="005B4ED1" w:rsidRPr="0069734E">
        <w:rPr>
          <w:rFonts w:ascii="Arial" w:hAnsi="Arial" w:cs="Arial"/>
          <w:i/>
          <w:iCs/>
          <w:color w:val="000000"/>
        </w:rPr>
        <w:t>C. edulis</w:t>
      </w:r>
      <w:r w:rsidRPr="0069734E">
        <w:rPr>
          <w:rFonts w:ascii="Arial" w:hAnsi="Arial" w:cs="Arial"/>
          <w:color w:val="000000"/>
        </w:rPr>
        <w:t xml:space="preserve"> leaves from Zvimba, Zimbabwe, could be a potent source of antioxidants. While a direct comparison to other studies on </w:t>
      </w:r>
      <w:r w:rsidR="005B4ED1" w:rsidRPr="0069734E">
        <w:rPr>
          <w:rFonts w:ascii="Arial" w:hAnsi="Arial" w:cs="Arial"/>
          <w:i/>
          <w:iCs/>
          <w:color w:val="000000"/>
        </w:rPr>
        <w:t>C. edulis</w:t>
      </w:r>
      <w:r w:rsidRPr="0069734E">
        <w:rPr>
          <w:rFonts w:ascii="Arial" w:hAnsi="Arial" w:cs="Arial"/>
          <w:color w:val="000000"/>
        </w:rPr>
        <w:t xml:space="preserve"> is necessary for validation, several factors could influence this high value. The altitude and specific environmental conditions in the Zvimba area could contribute to increased phenolic production as a stress response in the plant</w:t>
      </w:r>
      <w:hyperlink w:anchor="16157d3833c9e1fd37d0f726e4e4fcd8" w:history="1">
        <w:r w:rsidR="00261AF3" w:rsidRPr="0069734E">
          <w:rPr>
            <w:rStyle w:val="Hyperlink"/>
            <w:rFonts w:ascii="Arial" w:hAnsi="Arial" w:cs="Arial"/>
            <w:color w:val="auto"/>
            <w:u w:val="none"/>
            <w:vertAlign w:val="superscript"/>
          </w:rPr>
          <w:t>32</w:t>
        </w:r>
      </w:hyperlink>
      <w:r w:rsidRPr="0069734E">
        <w:rPr>
          <w:rFonts w:ascii="Arial" w:hAnsi="Arial" w:cs="Arial"/>
          <w:color w:val="000000"/>
        </w:rPr>
        <w:t xml:space="preserve">. Further investigation, including comparisons with </w:t>
      </w:r>
      <w:r w:rsidR="005B4ED1" w:rsidRPr="0069734E">
        <w:rPr>
          <w:rFonts w:ascii="Arial" w:hAnsi="Arial" w:cs="Arial"/>
          <w:i/>
          <w:iCs/>
          <w:color w:val="000000"/>
        </w:rPr>
        <w:t>C. edulis</w:t>
      </w:r>
      <w:r w:rsidRPr="0069734E">
        <w:rPr>
          <w:rFonts w:ascii="Arial" w:hAnsi="Arial" w:cs="Arial"/>
          <w:color w:val="000000"/>
        </w:rPr>
        <w:t xml:space="preserve"> from different regions and detailed phenolic profiling, would be valuable to confirm this result and fully understand its implications</w:t>
      </w:r>
      <w:hyperlink w:anchor="b49a0b3e126be4511acc2fd858989a16" w:history="1">
        <w:r w:rsidR="00261AF3" w:rsidRPr="0069734E">
          <w:rPr>
            <w:rStyle w:val="Hyperlink"/>
            <w:rFonts w:ascii="Arial" w:hAnsi="Arial" w:cs="Arial"/>
            <w:color w:val="auto"/>
            <w:u w:val="none"/>
            <w:vertAlign w:val="superscript"/>
          </w:rPr>
          <w:t>46</w:t>
        </w:r>
      </w:hyperlink>
      <w:r w:rsidRPr="0069734E">
        <w:rPr>
          <w:rFonts w:ascii="Arial" w:hAnsi="Arial" w:cs="Arial"/>
          <w:color w:val="000000"/>
        </w:rPr>
        <w:t xml:space="preserve">. Overall, this high phenolic content supports the potential of </w:t>
      </w:r>
      <w:r w:rsidR="005B4ED1" w:rsidRPr="0069734E">
        <w:rPr>
          <w:rFonts w:ascii="Arial" w:hAnsi="Arial" w:cs="Arial"/>
          <w:i/>
          <w:iCs/>
          <w:color w:val="000000"/>
        </w:rPr>
        <w:t>C. edulis</w:t>
      </w:r>
      <w:r w:rsidRPr="0069734E">
        <w:rPr>
          <w:rFonts w:ascii="Arial" w:hAnsi="Arial" w:cs="Arial"/>
          <w:color w:val="000000"/>
        </w:rPr>
        <w:t xml:space="preserve"> as a complementary treatment for pancreatic insufficiency by combating oxidative stress</w:t>
      </w:r>
      <w:hyperlink w:anchor="3f583438bd56505262bed78fb846dd79" w:history="1">
        <w:r w:rsidR="00261AF3" w:rsidRPr="0069734E">
          <w:rPr>
            <w:rStyle w:val="Hyperlink"/>
            <w:rFonts w:ascii="Arial" w:hAnsi="Arial" w:cs="Arial"/>
            <w:color w:val="auto"/>
            <w:u w:val="none"/>
            <w:vertAlign w:val="superscript"/>
          </w:rPr>
          <w:t>5,47</w:t>
        </w:r>
      </w:hyperlink>
      <w:r w:rsidRPr="0069734E">
        <w:rPr>
          <w:rFonts w:ascii="Arial" w:hAnsi="Arial" w:cs="Arial"/>
          <w:color w:val="000000"/>
        </w:rPr>
        <w:t>.</w:t>
      </w:r>
    </w:p>
    <w:p w14:paraId="7E820012" w14:textId="77777777" w:rsidR="007010C1" w:rsidRDefault="00000000" w:rsidP="007010C1">
      <w:pPr>
        <w:keepNext/>
      </w:pPr>
      <w:r w:rsidRPr="002F727C">
        <w:rPr>
          <w:rFonts w:ascii="Arial" w:hAnsi="Arial" w:cs="Arial"/>
          <w:noProof/>
        </w:rPr>
        <w:drawing>
          <wp:inline distT="0" distB="0" distL="114300" distR="114300" wp14:anchorId="40D42047" wp14:editId="4294ADEA">
            <wp:extent cx="5731510" cy="2376847"/>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17824E" w14:textId="01A7BAD0" w:rsidR="00261AF3" w:rsidRPr="002F727C" w:rsidRDefault="007010C1" w:rsidP="007010C1">
      <w:pPr>
        <w:pStyle w:val="Caption"/>
        <w:rPr>
          <w:rFonts w:ascii="Arial" w:hAnsi="Arial" w:cs="Arial"/>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w:t>
      </w:r>
      <w:r w:rsidR="0094124A">
        <w:t>T</w:t>
      </w:r>
      <w:r w:rsidRPr="00652CD0">
        <w:t>otal phenolic content assa</w:t>
      </w:r>
      <w:r w:rsidR="00635507">
        <w:t>y</w:t>
      </w:r>
      <w:r w:rsidR="0094124A">
        <w:t xml:space="preserve">  of C edulis</w:t>
      </w:r>
    </w:p>
    <w:p w14:paraId="15EEEFF0" w14:textId="6DEA1A15" w:rsidR="00261AF3" w:rsidRPr="000B2D4A" w:rsidRDefault="00000000" w:rsidP="002F3DEB">
      <w:pPr>
        <w:pStyle w:val="Heading2"/>
      </w:pPr>
      <w:r w:rsidRPr="000B2D4A">
        <w:t xml:space="preserve">Evaluation of Anti-Inflammatory Activity of lyophilized leaves of </w:t>
      </w:r>
      <w:r w:rsidRPr="00635507">
        <w:rPr>
          <w:i/>
          <w:iCs/>
        </w:rPr>
        <w:t>c edulis</w:t>
      </w:r>
      <w:r w:rsidRPr="000B2D4A">
        <w:t xml:space="preserve"> extracts</w:t>
      </w:r>
    </w:p>
    <w:p w14:paraId="24593D3A" w14:textId="7E942FD5" w:rsidR="00261AF3" w:rsidRPr="007010C1" w:rsidRDefault="00000000" w:rsidP="007010C1">
      <w:pPr>
        <w:jc w:val="both"/>
        <w:rPr>
          <w:rFonts w:ascii="Arial" w:hAnsi="Arial" w:cs="Arial"/>
          <w:color w:val="000000"/>
        </w:rPr>
      </w:pPr>
      <w:r w:rsidRPr="000B2D4A">
        <w:rPr>
          <w:rFonts w:ascii="Arial" w:hAnsi="Arial" w:cs="Arial"/>
          <w:color w:val="000000"/>
        </w:rPr>
        <w:t xml:space="preserve">The observed anti-inflammatory activity of the lyophilized hydroethanolic leaf extract of </w:t>
      </w:r>
      <w:r w:rsidR="005B4ED1" w:rsidRPr="000B2D4A">
        <w:rPr>
          <w:rFonts w:ascii="Arial" w:hAnsi="Arial" w:cs="Arial"/>
          <w:i/>
          <w:color w:val="000000"/>
        </w:rPr>
        <w:t>C. edulis</w:t>
      </w:r>
      <w:r w:rsidRPr="000B2D4A">
        <w:rPr>
          <w:rFonts w:ascii="Arial" w:hAnsi="Arial" w:cs="Arial"/>
          <w:color w:val="000000"/>
        </w:rPr>
        <w:t xml:space="preserve">, with a peak of 69.37% inhibition at 1000 </w:t>
      </w:r>
      <w:proofErr w:type="gramStart"/>
      <w:r w:rsidRPr="000B2D4A">
        <w:rPr>
          <w:rFonts w:ascii="Arial" w:hAnsi="Arial" w:cs="Arial"/>
          <w:color w:val="000000"/>
        </w:rPr>
        <w:t>µg</w:t>
      </w:r>
      <w:proofErr w:type="gramEnd"/>
      <w:r w:rsidRPr="000B2D4A">
        <w:rPr>
          <w:rFonts w:ascii="Arial" w:hAnsi="Arial" w:cs="Arial"/>
          <w:color w:val="000000"/>
        </w:rPr>
        <w:t>/mL relative to diclofenac</w:t>
      </w:r>
      <w:r w:rsidR="00635507">
        <w:rPr>
          <w:rFonts w:ascii="Arial" w:hAnsi="Arial" w:cs="Arial"/>
          <w:color w:val="000000"/>
        </w:rPr>
        <w:t xml:space="preserve"> </w:t>
      </w:r>
      <w:r w:rsidR="00422C75">
        <w:rPr>
          <w:rFonts w:ascii="Arial" w:hAnsi="Arial" w:cs="Arial"/>
          <w:color w:val="000000"/>
        </w:rPr>
        <w:t xml:space="preserve">(Table 2 and </w:t>
      </w:r>
      <w:r w:rsidR="0094124A">
        <w:rPr>
          <w:rFonts w:ascii="Arial" w:hAnsi="Arial" w:cs="Arial"/>
          <w:color w:val="000000"/>
        </w:rPr>
        <w:t>F</w:t>
      </w:r>
      <w:r w:rsidR="00422C75">
        <w:rPr>
          <w:rFonts w:ascii="Arial" w:hAnsi="Arial" w:cs="Arial"/>
          <w:color w:val="000000"/>
        </w:rPr>
        <w:t>ig 3)</w:t>
      </w:r>
      <w:r w:rsidRPr="000B2D4A">
        <w:rPr>
          <w:rFonts w:ascii="Arial" w:hAnsi="Arial" w:cs="Arial"/>
          <w:color w:val="000000"/>
        </w:rPr>
        <w:t xml:space="preserve">, strongly suggests its potential therapeutic application in pancreatic insufficiency. This activity is consistent with the traditional use of </w:t>
      </w:r>
      <w:r w:rsidR="005B4ED1" w:rsidRPr="000B2D4A">
        <w:rPr>
          <w:rFonts w:ascii="Arial" w:hAnsi="Arial" w:cs="Arial"/>
          <w:i/>
          <w:color w:val="000000"/>
        </w:rPr>
        <w:t>C. edulis</w:t>
      </w:r>
      <w:r w:rsidRPr="000B2D4A">
        <w:rPr>
          <w:rFonts w:ascii="Arial" w:hAnsi="Arial" w:cs="Arial"/>
          <w:color w:val="000000"/>
        </w:rPr>
        <w:t xml:space="preserve"> for treating inflammatory conditions and warrants further investigation into its use as a natural anti-inflammatory agent</w:t>
      </w:r>
      <w:hyperlink w:anchor="6b7ce6dfdc070894b5fad73ffb9d4e7e" w:history="1">
        <w:r w:rsidR="00261AF3" w:rsidRPr="000B2D4A">
          <w:rPr>
            <w:rStyle w:val="Hyperlink"/>
            <w:rFonts w:ascii="Arial" w:hAnsi="Arial" w:cs="Arial"/>
            <w:color w:val="auto"/>
            <w:u w:val="none"/>
            <w:vertAlign w:val="superscript"/>
          </w:rPr>
          <w:t>2</w:t>
        </w:r>
      </w:hyperlink>
      <w:r w:rsidRPr="000B2D4A">
        <w:rPr>
          <w:rFonts w:ascii="Arial" w:hAnsi="Arial" w:cs="Arial"/>
          <w:vertAlign w:val="superscript"/>
        </w:rPr>
        <w:t xml:space="preserve">, </w:t>
      </w:r>
      <w:hyperlink w:anchor="a31d280e1cc73610cd1bfa01f1a896cf" w:history="1">
        <w:r w:rsidR="00261AF3" w:rsidRPr="000B2D4A">
          <w:rPr>
            <w:rStyle w:val="Hyperlink"/>
            <w:rFonts w:ascii="Arial" w:hAnsi="Arial" w:cs="Arial"/>
            <w:color w:val="auto"/>
            <w:u w:val="none"/>
            <w:vertAlign w:val="superscript"/>
          </w:rPr>
          <w:t>5</w:t>
        </w:r>
      </w:hyperlink>
      <w:r w:rsidRPr="000B2D4A">
        <w:rPr>
          <w:rFonts w:ascii="Arial" w:hAnsi="Arial" w:cs="Arial"/>
          <w:color w:val="000000"/>
        </w:rPr>
        <w:t>. The greater inhibition percentage observed at the highest concentration tested, compared to lower concentrations, indicates a dose-dependent response up to a certain point. It is also possible that synergistic effects occur at higher concentrations between certain compounds within the extract, leading to enhanced anti-inflammatory activity</w:t>
      </w:r>
      <w:hyperlink w:anchor="16157d3833c9e1fd37d0f726e4e4fcd8" w:history="1">
        <w:r w:rsidR="00261AF3" w:rsidRPr="000B2D4A">
          <w:rPr>
            <w:rStyle w:val="Hyperlink"/>
            <w:rFonts w:ascii="Arial" w:hAnsi="Arial" w:cs="Arial"/>
            <w:color w:val="auto"/>
            <w:u w:val="none"/>
            <w:vertAlign w:val="superscript"/>
          </w:rPr>
          <w:t>32</w:t>
        </w:r>
      </w:hyperlink>
      <w:r w:rsidRPr="000B2D4A">
        <w:rPr>
          <w:rFonts w:ascii="Arial" w:hAnsi="Arial" w:cs="Arial"/>
          <w:color w:val="000000"/>
        </w:rPr>
        <w:t>. It is also plausible that the 69.37% inhibition is attributable to other phytochemical constituents with significant anti-inflammatory potential</w:t>
      </w:r>
      <w:hyperlink w:anchor="16157d3833c9e1fd37d0f726e4e4fcd8" w:history="1">
        <w:r w:rsidR="00261AF3" w:rsidRPr="000B2D4A">
          <w:rPr>
            <w:rStyle w:val="Hyperlink"/>
            <w:rFonts w:ascii="Arial" w:hAnsi="Arial" w:cs="Arial"/>
            <w:color w:val="auto"/>
            <w:u w:val="none"/>
            <w:vertAlign w:val="superscript"/>
          </w:rPr>
          <w:t>32</w:t>
        </w:r>
      </w:hyperlink>
      <w:r w:rsidRPr="000B2D4A">
        <w:rPr>
          <w:rFonts w:ascii="Arial" w:hAnsi="Arial" w:cs="Arial"/>
          <w:color w:val="000000"/>
        </w:rPr>
        <w:t xml:space="preserve">. </w:t>
      </w:r>
      <w:r w:rsidR="009577EE" w:rsidRPr="000B2D4A">
        <w:rPr>
          <w:rFonts w:ascii="Arial" w:hAnsi="Arial" w:cs="Arial"/>
          <w:color w:val="000000"/>
        </w:rPr>
        <w:t>Sabiu et al</w:t>
      </w:r>
      <w:hyperlink w:anchor="53fca0c717deb18ac139628c1fcdd05a" w:history="1">
        <w:r w:rsidR="00261AF3" w:rsidRPr="000B2D4A">
          <w:rPr>
            <w:rStyle w:val="Hyperlink"/>
            <w:rFonts w:ascii="Arial" w:hAnsi="Arial" w:cs="Arial"/>
            <w:color w:val="auto"/>
            <w:u w:val="none"/>
            <w:vertAlign w:val="superscript"/>
          </w:rPr>
          <w:t>3</w:t>
        </w:r>
      </w:hyperlink>
      <w:r w:rsidRPr="000B2D4A">
        <w:rPr>
          <w:rFonts w:ascii="Arial" w:hAnsi="Arial" w:cs="Arial"/>
          <w:color w:val="000000"/>
        </w:rPr>
        <w:t xml:space="preserve"> identified a number of phenolics. The observed anti-inflammatory activity might also be linked to compounds that interfere with inflammatory pathways. Given the potential of </w:t>
      </w:r>
      <w:r w:rsidR="005B4ED1" w:rsidRPr="000B2D4A">
        <w:rPr>
          <w:rFonts w:ascii="Arial" w:hAnsi="Arial" w:cs="Arial"/>
          <w:i/>
          <w:color w:val="000000"/>
        </w:rPr>
        <w:t>C. edulis</w:t>
      </w:r>
      <w:r w:rsidRPr="000B2D4A">
        <w:rPr>
          <w:rFonts w:ascii="Arial" w:hAnsi="Arial" w:cs="Arial"/>
          <w:color w:val="000000"/>
        </w:rPr>
        <w:t xml:space="preserve"> as an anti-inflammatory agent, further research is justified to fully elucidate its mechanisms of action, optimize extraction methods, and determine safe and effective dosages. Future studies should </w:t>
      </w:r>
      <w:r w:rsidRPr="000B2D4A">
        <w:rPr>
          <w:rFonts w:ascii="Arial" w:hAnsi="Arial" w:cs="Arial"/>
          <w:color w:val="000000"/>
        </w:rPr>
        <w:lastRenderedPageBreak/>
        <w:t xml:space="preserve">explore the effects of </w:t>
      </w:r>
      <w:r w:rsidR="005B4ED1" w:rsidRPr="000B2D4A">
        <w:rPr>
          <w:rFonts w:ascii="Arial" w:hAnsi="Arial" w:cs="Arial"/>
          <w:i/>
          <w:color w:val="000000"/>
        </w:rPr>
        <w:t>C. edulis</w:t>
      </w:r>
      <w:r w:rsidRPr="000B2D4A">
        <w:rPr>
          <w:rFonts w:ascii="Arial" w:hAnsi="Arial" w:cs="Arial"/>
          <w:color w:val="000000"/>
        </w:rPr>
        <w:t xml:space="preserve"> extracts on specific inflammatory mediators and signaling pathways relevant to pancreatic insufficiency. Furthermore, in vivo studies are crucial to validate the anti-inflammatory efficacy of </w:t>
      </w:r>
      <w:r w:rsidR="005B4ED1" w:rsidRPr="000B2D4A">
        <w:rPr>
          <w:rFonts w:ascii="Arial" w:hAnsi="Arial" w:cs="Arial"/>
          <w:i/>
          <w:color w:val="000000"/>
        </w:rPr>
        <w:t>C. edulis</w:t>
      </w:r>
      <w:r w:rsidRPr="000B2D4A">
        <w:rPr>
          <w:rFonts w:ascii="Arial" w:hAnsi="Arial" w:cs="Arial"/>
          <w:color w:val="000000"/>
        </w:rPr>
        <w:t xml:space="preserve"> in a physiological context.</w:t>
      </w:r>
    </w:p>
    <w:p w14:paraId="0E8E98CA" w14:textId="4C193F93" w:rsidR="00261AF3" w:rsidRPr="00055B9B" w:rsidRDefault="00000000">
      <w:pPr>
        <w:pStyle w:val="Heading2"/>
        <w:jc w:val="both"/>
        <w:rPr>
          <w:rFonts w:ascii="Times New Roman" w:hAnsi="Times New Roman"/>
          <w:i/>
          <w:iCs/>
          <w:color w:val="44546A"/>
          <w:sz w:val="18"/>
          <w:szCs w:val="18"/>
          <w:lang w:val="en-ZW" w:eastAsia="en-ZW"/>
        </w:rPr>
      </w:pPr>
      <w:r w:rsidRPr="00055B9B">
        <w:rPr>
          <w:rFonts w:ascii="Times New Roman" w:hAnsi="Times New Roman"/>
          <w:i/>
          <w:iCs/>
          <w:color w:val="44546A"/>
          <w:sz w:val="18"/>
          <w:szCs w:val="18"/>
          <w:lang w:val="en-ZW" w:eastAsia="en-ZW"/>
        </w:rPr>
        <w:t xml:space="preserve">Table 2. Anti-inflammatory test of extracts of </w:t>
      </w:r>
      <w:r w:rsidR="005B4ED1" w:rsidRPr="00055B9B">
        <w:rPr>
          <w:rFonts w:ascii="Times New Roman" w:hAnsi="Times New Roman"/>
          <w:i/>
          <w:iCs/>
          <w:color w:val="44546A"/>
          <w:sz w:val="18"/>
          <w:szCs w:val="18"/>
          <w:lang w:val="en-ZW" w:eastAsia="en-ZW"/>
        </w:rPr>
        <w:t>C. edulis</w:t>
      </w:r>
    </w:p>
    <w:tbl>
      <w:tblPr>
        <w:tblStyle w:val="TableGrid"/>
        <w:tblW w:w="0" w:type="auto"/>
        <w:tblLook w:val="04A0" w:firstRow="1" w:lastRow="0" w:firstColumn="1" w:lastColumn="0" w:noHBand="0" w:noVBand="1"/>
      </w:tblPr>
      <w:tblGrid>
        <w:gridCol w:w="2092"/>
        <w:gridCol w:w="2643"/>
        <w:gridCol w:w="959"/>
        <w:gridCol w:w="1604"/>
        <w:gridCol w:w="1728"/>
      </w:tblGrid>
      <w:tr w:rsidR="007010C1" w:rsidRPr="007010C1" w14:paraId="3460C353" w14:textId="77777777" w:rsidTr="007010C1">
        <w:trPr>
          <w:trHeight w:val="235"/>
        </w:trPr>
        <w:tc>
          <w:tcPr>
            <w:tcW w:w="2092" w:type="dxa"/>
            <w:tcBorders>
              <w:left w:val="nil"/>
              <w:bottom w:val="single" w:sz="4" w:space="0" w:color="auto"/>
              <w:right w:val="nil"/>
            </w:tcBorders>
          </w:tcPr>
          <w:p w14:paraId="0F883223" w14:textId="77777777" w:rsidR="007010C1" w:rsidRPr="007010C1" w:rsidRDefault="007010C1">
            <w:pPr>
              <w:jc w:val="both"/>
              <w:rPr>
                <w:rFonts w:ascii="Arial" w:hAnsi="Arial" w:cs="Arial"/>
                <w:b/>
                <w:bCs/>
                <w:sz w:val="20"/>
                <w:szCs w:val="20"/>
              </w:rPr>
            </w:pPr>
            <w:r w:rsidRPr="007010C1">
              <w:rPr>
                <w:rFonts w:ascii="Arial" w:hAnsi="Arial" w:cs="Arial"/>
                <w:b/>
                <w:bCs/>
                <w:sz w:val="20"/>
                <w:szCs w:val="20"/>
              </w:rPr>
              <w:t>Sample</w:t>
            </w:r>
          </w:p>
        </w:tc>
        <w:tc>
          <w:tcPr>
            <w:tcW w:w="2643" w:type="dxa"/>
            <w:tcBorders>
              <w:left w:val="nil"/>
              <w:bottom w:val="single" w:sz="4" w:space="0" w:color="auto"/>
              <w:right w:val="nil"/>
            </w:tcBorders>
          </w:tcPr>
          <w:p w14:paraId="76F81764" w14:textId="77777777" w:rsidR="007010C1" w:rsidRPr="007010C1" w:rsidRDefault="007010C1">
            <w:pPr>
              <w:jc w:val="both"/>
              <w:rPr>
                <w:rFonts w:ascii="Arial" w:hAnsi="Arial" w:cs="Arial"/>
                <w:b/>
                <w:bCs/>
                <w:sz w:val="20"/>
                <w:szCs w:val="20"/>
              </w:rPr>
            </w:pPr>
            <w:r w:rsidRPr="007010C1">
              <w:rPr>
                <w:rFonts w:ascii="Arial" w:hAnsi="Arial" w:cs="Arial"/>
                <w:b/>
                <w:bCs/>
                <w:sz w:val="20"/>
                <w:szCs w:val="20"/>
              </w:rPr>
              <w:t>Concentration(ug/ml)</w:t>
            </w:r>
          </w:p>
        </w:tc>
        <w:tc>
          <w:tcPr>
            <w:tcW w:w="959" w:type="dxa"/>
            <w:tcBorders>
              <w:left w:val="nil"/>
              <w:bottom w:val="single" w:sz="4" w:space="0" w:color="auto"/>
              <w:right w:val="nil"/>
            </w:tcBorders>
          </w:tcPr>
          <w:p w14:paraId="7F65FC05" w14:textId="77777777" w:rsidR="007010C1" w:rsidRPr="007010C1" w:rsidRDefault="007010C1">
            <w:pPr>
              <w:jc w:val="both"/>
              <w:rPr>
                <w:rFonts w:ascii="Arial" w:hAnsi="Arial" w:cs="Arial"/>
                <w:b/>
                <w:bCs/>
                <w:sz w:val="20"/>
                <w:szCs w:val="20"/>
              </w:rPr>
            </w:pPr>
          </w:p>
        </w:tc>
        <w:tc>
          <w:tcPr>
            <w:tcW w:w="1604" w:type="dxa"/>
            <w:tcBorders>
              <w:left w:val="nil"/>
              <w:bottom w:val="single" w:sz="4" w:space="0" w:color="auto"/>
              <w:right w:val="nil"/>
            </w:tcBorders>
          </w:tcPr>
          <w:p w14:paraId="26A65DC0" w14:textId="0A5BD0CD" w:rsidR="007010C1" w:rsidRPr="007010C1" w:rsidRDefault="007010C1">
            <w:pPr>
              <w:jc w:val="both"/>
              <w:rPr>
                <w:rFonts w:ascii="Arial" w:hAnsi="Arial" w:cs="Arial"/>
                <w:b/>
                <w:bCs/>
                <w:sz w:val="20"/>
                <w:szCs w:val="20"/>
              </w:rPr>
            </w:pPr>
            <w:r w:rsidRPr="007010C1">
              <w:rPr>
                <w:rFonts w:ascii="Arial" w:hAnsi="Arial" w:cs="Arial"/>
                <w:b/>
                <w:bCs/>
                <w:sz w:val="20"/>
                <w:szCs w:val="20"/>
              </w:rPr>
              <w:t>Absorbance</w:t>
            </w:r>
          </w:p>
        </w:tc>
        <w:tc>
          <w:tcPr>
            <w:tcW w:w="1728" w:type="dxa"/>
            <w:tcBorders>
              <w:left w:val="nil"/>
              <w:bottom w:val="single" w:sz="4" w:space="0" w:color="auto"/>
              <w:right w:val="nil"/>
            </w:tcBorders>
          </w:tcPr>
          <w:p w14:paraId="5767637E" w14:textId="77777777" w:rsidR="007010C1" w:rsidRPr="007010C1" w:rsidRDefault="007010C1">
            <w:pPr>
              <w:jc w:val="both"/>
              <w:rPr>
                <w:rFonts w:ascii="Arial" w:hAnsi="Arial" w:cs="Arial"/>
                <w:b/>
                <w:bCs/>
                <w:sz w:val="20"/>
                <w:szCs w:val="20"/>
              </w:rPr>
            </w:pPr>
            <w:r w:rsidRPr="007010C1">
              <w:rPr>
                <w:rFonts w:ascii="Arial" w:hAnsi="Arial" w:cs="Arial"/>
                <w:b/>
                <w:bCs/>
                <w:sz w:val="20"/>
                <w:szCs w:val="20"/>
              </w:rPr>
              <w:t>% Inhibition</w:t>
            </w:r>
          </w:p>
        </w:tc>
      </w:tr>
      <w:tr w:rsidR="007010C1" w:rsidRPr="007010C1" w14:paraId="32D6E47D" w14:textId="77777777" w:rsidTr="007010C1">
        <w:trPr>
          <w:trHeight w:val="512"/>
        </w:trPr>
        <w:tc>
          <w:tcPr>
            <w:tcW w:w="2092" w:type="dxa"/>
            <w:tcBorders>
              <w:left w:val="nil"/>
              <w:bottom w:val="nil"/>
              <w:right w:val="nil"/>
            </w:tcBorders>
          </w:tcPr>
          <w:p w14:paraId="7F3205DD" w14:textId="77777777" w:rsidR="007010C1" w:rsidRPr="007010C1" w:rsidRDefault="007010C1">
            <w:pPr>
              <w:jc w:val="both"/>
              <w:rPr>
                <w:rFonts w:ascii="Arial" w:hAnsi="Arial" w:cs="Arial"/>
                <w:b/>
                <w:bCs/>
                <w:sz w:val="20"/>
                <w:szCs w:val="20"/>
              </w:rPr>
            </w:pPr>
            <w:r w:rsidRPr="007010C1">
              <w:rPr>
                <w:rFonts w:ascii="Arial" w:hAnsi="Arial" w:cs="Arial"/>
                <w:b/>
                <w:bCs/>
                <w:sz w:val="20"/>
                <w:szCs w:val="20"/>
              </w:rPr>
              <w:t>Negative control</w:t>
            </w:r>
          </w:p>
        </w:tc>
        <w:tc>
          <w:tcPr>
            <w:tcW w:w="2643" w:type="dxa"/>
            <w:tcBorders>
              <w:left w:val="nil"/>
              <w:bottom w:val="nil"/>
              <w:right w:val="nil"/>
            </w:tcBorders>
          </w:tcPr>
          <w:p w14:paraId="3D17F0C3"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0.4% DMSO</w:t>
            </w:r>
          </w:p>
        </w:tc>
        <w:tc>
          <w:tcPr>
            <w:tcW w:w="959" w:type="dxa"/>
            <w:tcBorders>
              <w:left w:val="nil"/>
              <w:bottom w:val="nil"/>
              <w:right w:val="nil"/>
            </w:tcBorders>
          </w:tcPr>
          <w:p w14:paraId="4F7D2FA2" w14:textId="77777777" w:rsidR="007010C1" w:rsidRPr="007010C1" w:rsidRDefault="007010C1" w:rsidP="007010C1">
            <w:pPr>
              <w:jc w:val="center"/>
              <w:rPr>
                <w:rFonts w:ascii="Arial" w:hAnsi="Arial" w:cs="Arial"/>
                <w:sz w:val="20"/>
                <w:szCs w:val="20"/>
              </w:rPr>
            </w:pPr>
          </w:p>
        </w:tc>
        <w:tc>
          <w:tcPr>
            <w:tcW w:w="1604" w:type="dxa"/>
            <w:tcBorders>
              <w:left w:val="nil"/>
              <w:bottom w:val="nil"/>
              <w:right w:val="nil"/>
            </w:tcBorders>
          </w:tcPr>
          <w:p w14:paraId="5A7C3DE2" w14:textId="06824AD3" w:rsidR="007010C1" w:rsidRPr="007010C1" w:rsidRDefault="007010C1" w:rsidP="007010C1">
            <w:pPr>
              <w:jc w:val="center"/>
              <w:rPr>
                <w:rFonts w:ascii="Arial" w:hAnsi="Arial" w:cs="Arial"/>
                <w:sz w:val="20"/>
                <w:szCs w:val="20"/>
              </w:rPr>
            </w:pPr>
            <w:r w:rsidRPr="007010C1">
              <w:rPr>
                <w:rFonts w:ascii="Arial" w:hAnsi="Arial" w:cs="Arial"/>
                <w:sz w:val="20"/>
                <w:szCs w:val="20"/>
              </w:rPr>
              <w:t>0.924</w:t>
            </w:r>
          </w:p>
        </w:tc>
        <w:tc>
          <w:tcPr>
            <w:tcW w:w="1728" w:type="dxa"/>
            <w:tcBorders>
              <w:left w:val="nil"/>
              <w:bottom w:val="nil"/>
              <w:right w:val="nil"/>
            </w:tcBorders>
          </w:tcPr>
          <w:p w14:paraId="6B5EE728"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0.00</w:t>
            </w:r>
          </w:p>
        </w:tc>
      </w:tr>
      <w:tr w:rsidR="007010C1" w:rsidRPr="007010C1" w14:paraId="166AF3F9" w14:textId="77777777" w:rsidTr="007010C1">
        <w:tc>
          <w:tcPr>
            <w:tcW w:w="2092" w:type="dxa"/>
            <w:tcBorders>
              <w:top w:val="nil"/>
              <w:left w:val="nil"/>
              <w:bottom w:val="nil"/>
              <w:right w:val="nil"/>
            </w:tcBorders>
          </w:tcPr>
          <w:p w14:paraId="79086C18" w14:textId="77777777" w:rsidR="007010C1" w:rsidRPr="007010C1" w:rsidRDefault="007010C1">
            <w:pPr>
              <w:rPr>
                <w:rFonts w:ascii="Arial" w:hAnsi="Arial" w:cs="Arial"/>
                <w:b/>
                <w:bCs/>
                <w:sz w:val="20"/>
                <w:szCs w:val="20"/>
              </w:rPr>
            </w:pPr>
            <w:r w:rsidRPr="007010C1">
              <w:rPr>
                <w:rFonts w:ascii="Arial" w:hAnsi="Arial" w:cs="Arial"/>
                <w:b/>
                <w:bCs/>
                <w:sz w:val="20"/>
                <w:szCs w:val="20"/>
              </w:rPr>
              <w:t>Diclofenac</w:t>
            </w:r>
          </w:p>
        </w:tc>
        <w:tc>
          <w:tcPr>
            <w:tcW w:w="2643" w:type="dxa"/>
            <w:tcBorders>
              <w:top w:val="nil"/>
              <w:left w:val="nil"/>
              <w:bottom w:val="nil"/>
              <w:right w:val="nil"/>
            </w:tcBorders>
          </w:tcPr>
          <w:p w14:paraId="5327C902"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50</w:t>
            </w:r>
          </w:p>
        </w:tc>
        <w:tc>
          <w:tcPr>
            <w:tcW w:w="959" w:type="dxa"/>
            <w:tcBorders>
              <w:top w:val="nil"/>
              <w:left w:val="nil"/>
              <w:bottom w:val="nil"/>
              <w:right w:val="nil"/>
            </w:tcBorders>
          </w:tcPr>
          <w:p w14:paraId="5FBD0658"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385727F8" w14:textId="10992F6C" w:rsidR="007010C1" w:rsidRPr="007010C1" w:rsidRDefault="007010C1" w:rsidP="007010C1">
            <w:pPr>
              <w:jc w:val="center"/>
              <w:rPr>
                <w:rFonts w:ascii="Arial" w:hAnsi="Arial" w:cs="Arial"/>
                <w:sz w:val="20"/>
                <w:szCs w:val="20"/>
              </w:rPr>
            </w:pPr>
            <w:r w:rsidRPr="007010C1">
              <w:rPr>
                <w:rFonts w:ascii="Arial" w:hAnsi="Arial" w:cs="Arial"/>
                <w:sz w:val="20"/>
                <w:szCs w:val="20"/>
              </w:rPr>
              <w:t>0.781</w:t>
            </w:r>
          </w:p>
        </w:tc>
        <w:tc>
          <w:tcPr>
            <w:tcW w:w="1728" w:type="dxa"/>
            <w:tcBorders>
              <w:top w:val="nil"/>
              <w:left w:val="nil"/>
              <w:bottom w:val="nil"/>
              <w:right w:val="nil"/>
            </w:tcBorders>
          </w:tcPr>
          <w:p w14:paraId="02A5318F"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15.48</w:t>
            </w:r>
          </w:p>
        </w:tc>
      </w:tr>
      <w:tr w:rsidR="007010C1" w:rsidRPr="007010C1" w14:paraId="429C413E" w14:textId="77777777" w:rsidTr="007010C1">
        <w:tc>
          <w:tcPr>
            <w:tcW w:w="2092" w:type="dxa"/>
            <w:tcBorders>
              <w:top w:val="nil"/>
              <w:left w:val="nil"/>
              <w:bottom w:val="nil"/>
              <w:right w:val="nil"/>
            </w:tcBorders>
          </w:tcPr>
          <w:p w14:paraId="201E53B4"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467DEC5E"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100</w:t>
            </w:r>
          </w:p>
        </w:tc>
        <w:tc>
          <w:tcPr>
            <w:tcW w:w="959" w:type="dxa"/>
            <w:tcBorders>
              <w:top w:val="nil"/>
              <w:left w:val="nil"/>
              <w:bottom w:val="nil"/>
              <w:right w:val="nil"/>
            </w:tcBorders>
          </w:tcPr>
          <w:p w14:paraId="0472AA81"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67E1B307" w14:textId="71A93C13" w:rsidR="007010C1" w:rsidRPr="007010C1" w:rsidRDefault="007010C1" w:rsidP="007010C1">
            <w:pPr>
              <w:jc w:val="center"/>
              <w:rPr>
                <w:rFonts w:ascii="Arial" w:hAnsi="Arial" w:cs="Arial"/>
                <w:sz w:val="20"/>
                <w:szCs w:val="20"/>
              </w:rPr>
            </w:pPr>
            <w:r w:rsidRPr="007010C1">
              <w:rPr>
                <w:rFonts w:ascii="Arial" w:hAnsi="Arial" w:cs="Arial"/>
                <w:sz w:val="20"/>
                <w:szCs w:val="20"/>
              </w:rPr>
              <w:t>0.653</w:t>
            </w:r>
          </w:p>
        </w:tc>
        <w:tc>
          <w:tcPr>
            <w:tcW w:w="1728" w:type="dxa"/>
            <w:tcBorders>
              <w:top w:val="nil"/>
              <w:left w:val="nil"/>
              <w:bottom w:val="nil"/>
              <w:right w:val="nil"/>
            </w:tcBorders>
          </w:tcPr>
          <w:p w14:paraId="589E0E6D"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29.33</w:t>
            </w:r>
          </w:p>
        </w:tc>
      </w:tr>
      <w:tr w:rsidR="007010C1" w:rsidRPr="007010C1" w14:paraId="050E44D3" w14:textId="77777777" w:rsidTr="007010C1">
        <w:tc>
          <w:tcPr>
            <w:tcW w:w="2092" w:type="dxa"/>
            <w:tcBorders>
              <w:top w:val="nil"/>
              <w:left w:val="nil"/>
              <w:bottom w:val="nil"/>
              <w:right w:val="nil"/>
            </w:tcBorders>
          </w:tcPr>
          <w:p w14:paraId="7F7FB299"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60F397EF"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250</w:t>
            </w:r>
          </w:p>
        </w:tc>
        <w:tc>
          <w:tcPr>
            <w:tcW w:w="959" w:type="dxa"/>
            <w:tcBorders>
              <w:top w:val="nil"/>
              <w:left w:val="nil"/>
              <w:bottom w:val="nil"/>
              <w:right w:val="nil"/>
            </w:tcBorders>
          </w:tcPr>
          <w:p w14:paraId="31B2C613"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7C188B81" w14:textId="3E03C53F" w:rsidR="007010C1" w:rsidRPr="007010C1" w:rsidRDefault="007010C1" w:rsidP="007010C1">
            <w:pPr>
              <w:jc w:val="center"/>
              <w:rPr>
                <w:rFonts w:ascii="Arial" w:hAnsi="Arial" w:cs="Arial"/>
                <w:sz w:val="20"/>
                <w:szCs w:val="20"/>
              </w:rPr>
            </w:pPr>
            <w:r w:rsidRPr="007010C1">
              <w:rPr>
                <w:rFonts w:ascii="Arial" w:hAnsi="Arial" w:cs="Arial"/>
                <w:sz w:val="20"/>
                <w:szCs w:val="20"/>
              </w:rPr>
              <w:t>0.482</w:t>
            </w:r>
          </w:p>
        </w:tc>
        <w:tc>
          <w:tcPr>
            <w:tcW w:w="1728" w:type="dxa"/>
            <w:tcBorders>
              <w:top w:val="nil"/>
              <w:left w:val="nil"/>
              <w:bottom w:val="nil"/>
              <w:right w:val="nil"/>
            </w:tcBorders>
          </w:tcPr>
          <w:p w14:paraId="54ACD257"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47.84</w:t>
            </w:r>
          </w:p>
        </w:tc>
      </w:tr>
      <w:tr w:rsidR="007010C1" w:rsidRPr="007010C1" w14:paraId="06F94A5B" w14:textId="77777777" w:rsidTr="007010C1">
        <w:tc>
          <w:tcPr>
            <w:tcW w:w="2092" w:type="dxa"/>
            <w:tcBorders>
              <w:top w:val="nil"/>
              <w:left w:val="nil"/>
              <w:bottom w:val="nil"/>
              <w:right w:val="nil"/>
            </w:tcBorders>
          </w:tcPr>
          <w:p w14:paraId="0F7317BD"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4D627345"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500</w:t>
            </w:r>
          </w:p>
        </w:tc>
        <w:tc>
          <w:tcPr>
            <w:tcW w:w="959" w:type="dxa"/>
            <w:tcBorders>
              <w:top w:val="nil"/>
              <w:left w:val="nil"/>
              <w:bottom w:val="nil"/>
              <w:right w:val="nil"/>
            </w:tcBorders>
          </w:tcPr>
          <w:p w14:paraId="7BC3D982"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54ECEE17" w14:textId="3265859E" w:rsidR="007010C1" w:rsidRPr="007010C1" w:rsidRDefault="007010C1" w:rsidP="007010C1">
            <w:pPr>
              <w:jc w:val="center"/>
              <w:rPr>
                <w:rFonts w:ascii="Arial" w:hAnsi="Arial" w:cs="Arial"/>
                <w:sz w:val="20"/>
                <w:szCs w:val="20"/>
              </w:rPr>
            </w:pPr>
            <w:r w:rsidRPr="007010C1">
              <w:rPr>
                <w:rFonts w:ascii="Arial" w:hAnsi="Arial" w:cs="Arial"/>
                <w:sz w:val="20"/>
                <w:szCs w:val="20"/>
              </w:rPr>
              <w:t>0.317</w:t>
            </w:r>
          </w:p>
        </w:tc>
        <w:tc>
          <w:tcPr>
            <w:tcW w:w="1728" w:type="dxa"/>
            <w:tcBorders>
              <w:top w:val="nil"/>
              <w:left w:val="nil"/>
              <w:bottom w:val="nil"/>
              <w:right w:val="nil"/>
            </w:tcBorders>
          </w:tcPr>
          <w:p w14:paraId="2076C1E6"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65.69</w:t>
            </w:r>
          </w:p>
        </w:tc>
      </w:tr>
      <w:tr w:rsidR="007010C1" w:rsidRPr="007010C1" w14:paraId="24DB9E83" w14:textId="77777777" w:rsidTr="007010C1">
        <w:tc>
          <w:tcPr>
            <w:tcW w:w="2092" w:type="dxa"/>
            <w:tcBorders>
              <w:top w:val="nil"/>
              <w:left w:val="nil"/>
              <w:bottom w:val="nil"/>
              <w:right w:val="nil"/>
            </w:tcBorders>
          </w:tcPr>
          <w:p w14:paraId="24A64892"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1A3AD5C5"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750</w:t>
            </w:r>
          </w:p>
        </w:tc>
        <w:tc>
          <w:tcPr>
            <w:tcW w:w="959" w:type="dxa"/>
            <w:tcBorders>
              <w:top w:val="nil"/>
              <w:left w:val="nil"/>
              <w:bottom w:val="nil"/>
              <w:right w:val="nil"/>
            </w:tcBorders>
          </w:tcPr>
          <w:p w14:paraId="726E65FB"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5E279A0A" w14:textId="237C4BA3" w:rsidR="007010C1" w:rsidRPr="007010C1" w:rsidRDefault="007010C1" w:rsidP="007010C1">
            <w:pPr>
              <w:jc w:val="center"/>
              <w:rPr>
                <w:rFonts w:ascii="Arial" w:hAnsi="Arial" w:cs="Arial"/>
                <w:sz w:val="20"/>
                <w:szCs w:val="20"/>
              </w:rPr>
            </w:pPr>
            <w:r w:rsidRPr="007010C1">
              <w:rPr>
                <w:rFonts w:ascii="Arial" w:hAnsi="Arial" w:cs="Arial"/>
                <w:sz w:val="20"/>
                <w:szCs w:val="20"/>
              </w:rPr>
              <w:t>0.209</w:t>
            </w:r>
          </w:p>
        </w:tc>
        <w:tc>
          <w:tcPr>
            <w:tcW w:w="1728" w:type="dxa"/>
            <w:tcBorders>
              <w:top w:val="nil"/>
              <w:left w:val="nil"/>
              <w:bottom w:val="nil"/>
              <w:right w:val="nil"/>
            </w:tcBorders>
          </w:tcPr>
          <w:p w14:paraId="304D69AB"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77.38</w:t>
            </w:r>
          </w:p>
        </w:tc>
      </w:tr>
      <w:tr w:rsidR="007010C1" w:rsidRPr="007010C1" w14:paraId="14393550" w14:textId="77777777" w:rsidTr="007010C1">
        <w:trPr>
          <w:trHeight w:val="459"/>
        </w:trPr>
        <w:tc>
          <w:tcPr>
            <w:tcW w:w="2092" w:type="dxa"/>
            <w:tcBorders>
              <w:top w:val="nil"/>
              <w:left w:val="nil"/>
              <w:bottom w:val="nil"/>
              <w:right w:val="nil"/>
            </w:tcBorders>
          </w:tcPr>
          <w:p w14:paraId="185CD5D1" w14:textId="77777777" w:rsidR="007010C1" w:rsidRPr="007010C1" w:rsidRDefault="007010C1">
            <w:pPr>
              <w:jc w:val="both"/>
              <w:rPr>
                <w:rFonts w:ascii="Arial" w:hAnsi="Arial" w:cs="Arial"/>
                <w:b/>
                <w:bCs/>
                <w:sz w:val="20"/>
                <w:szCs w:val="20"/>
              </w:rPr>
            </w:pPr>
          </w:p>
        </w:tc>
        <w:tc>
          <w:tcPr>
            <w:tcW w:w="2643" w:type="dxa"/>
            <w:tcBorders>
              <w:top w:val="nil"/>
              <w:left w:val="nil"/>
              <w:bottom w:val="nil"/>
              <w:right w:val="nil"/>
            </w:tcBorders>
          </w:tcPr>
          <w:p w14:paraId="3C837EAE"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1000</w:t>
            </w:r>
          </w:p>
        </w:tc>
        <w:tc>
          <w:tcPr>
            <w:tcW w:w="959" w:type="dxa"/>
            <w:tcBorders>
              <w:top w:val="nil"/>
              <w:left w:val="nil"/>
              <w:bottom w:val="nil"/>
              <w:right w:val="nil"/>
            </w:tcBorders>
          </w:tcPr>
          <w:p w14:paraId="344D1AD0"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1B9FA531" w14:textId="104B501D" w:rsidR="007010C1" w:rsidRPr="007010C1" w:rsidRDefault="007010C1" w:rsidP="007010C1">
            <w:pPr>
              <w:jc w:val="center"/>
              <w:rPr>
                <w:rFonts w:ascii="Arial" w:hAnsi="Arial" w:cs="Arial"/>
                <w:sz w:val="20"/>
                <w:szCs w:val="20"/>
              </w:rPr>
            </w:pPr>
            <w:r w:rsidRPr="007010C1">
              <w:rPr>
                <w:rFonts w:ascii="Arial" w:hAnsi="Arial" w:cs="Arial"/>
                <w:sz w:val="20"/>
                <w:szCs w:val="20"/>
              </w:rPr>
              <w:t>0.152</w:t>
            </w:r>
          </w:p>
        </w:tc>
        <w:tc>
          <w:tcPr>
            <w:tcW w:w="1728" w:type="dxa"/>
            <w:tcBorders>
              <w:top w:val="nil"/>
              <w:left w:val="nil"/>
              <w:bottom w:val="nil"/>
              <w:right w:val="nil"/>
            </w:tcBorders>
          </w:tcPr>
          <w:p w14:paraId="56910352"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83.55</w:t>
            </w:r>
          </w:p>
        </w:tc>
      </w:tr>
      <w:tr w:rsidR="007010C1" w:rsidRPr="007010C1" w14:paraId="2003BD7B" w14:textId="77777777" w:rsidTr="007010C1">
        <w:tc>
          <w:tcPr>
            <w:tcW w:w="2092" w:type="dxa"/>
            <w:tcBorders>
              <w:top w:val="nil"/>
              <w:left w:val="nil"/>
              <w:bottom w:val="nil"/>
              <w:right w:val="nil"/>
            </w:tcBorders>
          </w:tcPr>
          <w:p w14:paraId="71BEED57" w14:textId="09E4A008" w:rsidR="007010C1" w:rsidRPr="007010C1" w:rsidRDefault="007010C1">
            <w:pPr>
              <w:jc w:val="both"/>
              <w:rPr>
                <w:rFonts w:ascii="Arial" w:hAnsi="Arial" w:cs="Arial"/>
                <w:b/>
                <w:bCs/>
                <w:i/>
                <w:iCs/>
                <w:sz w:val="20"/>
                <w:szCs w:val="20"/>
              </w:rPr>
            </w:pPr>
            <w:r w:rsidRPr="007010C1">
              <w:rPr>
                <w:rFonts w:ascii="Arial" w:hAnsi="Arial" w:cs="Arial"/>
                <w:b/>
                <w:bCs/>
                <w:i/>
                <w:iCs/>
                <w:sz w:val="20"/>
                <w:szCs w:val="20"/>
              </w:rPr>
              <w:t>C. edulis</w:t>
            </w:r>
          </w:p>
        </w:tc>
        <w:tc>
          <w:tcPr>
            <w:tcW w:w="2643" w:type="dxa"/>
            <w:tcBorders>
              <w:top w:val="nil"/>
              <w:left w:val="nil"/>
              <w:bottom w:val="nil"/>
              <w:right w:val="nil"/>
            </w:tcBorders>
          </w:tcPr>
          <w:p w14:paraId="44A4140C"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50</w:t>
            </w:r>
          </w:p>
        </w:tc>
        <w:tc>
          <w:tcPr>
            <w:tcW w:w="959" w:type="dxa"/>
            <w:tcBorders>
              <w:top w:val="nil"/>
              <w:left w:val="nil"/>
              <w:bottom w:val="nil"/>
              <w:right w:val="nil"/>
            </w:tcBorders>
          </w:tcPr>
          <w:p w14:paraId="64E423FA"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65A1EA7F" w14:textId="0D0A72D6" w:rsidR="007010C1" w:rsidRPr="007010C1" w:rsidRDefault="007010C1" w:rsidP="007010C1">
            <w:pPr>
              <w:jc w:val="center"/>
              <w:rPr>
                <w:rFonts w:ascii="Arial" w:hAnsi="Arial" w:cs="Arial"/>
                <w:sz w:val="20"/>
                <w:szCs w:val="20"/>
              </w:rPr>
            </w:pPr>
            <w:r w:rsidRPr="007010C1">
              <w:rPr>
                <w:rFonts w:ascii="Arial" w:hAnsi="Arial" w:cs="Arial"/>
                <w:sz w:val="20"/>
                <w:szCs w:val="20"/>
              </w:rPr>
              <w:t>0.847</w:t>
            </w:r>
          </w:p>
        </w:tc>
        <w:tc>
          <w:tcPr>
            <w:tcW w:w="1728" w:type="dxa"/>
            <w:tcBorders>
              <w:top w:val="nil"/>
              <w:left w:val="nil"/>
              <w:bottom w:val="nil"/>
              <w:right w:val="nil"/>
            </w:tcBorders>
          </w:tcPr>
          <w:p w14:paraId="0FADF7AF"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8.33</w:t>
            </w:r>
          </w:p>
        </w:tc>
      </w:tr>
      <w:tr w:rsidR="007010C1" w:rsidRPr="007010C1" w14:paraId="183CDFC9" w14:textId="77777777" w:rsidTr="007010C1">
        <w:tc>
          <w:tcPr>
            <w:tcW w:w="2092" w:type="dxa"/>
            <w:tcBorders>
              <w:top w:val="nil"/>
              <w:left w:val="nil"/>
              <w:bottom w:val="nil"/>
              <w:right w:val="nil"/>
            </w:tcBorders>
          </w:tcPr>
          <w:p w14:paraId="4A88E768" w14:textId="77777777" w:rsidR="007010C1" w:rsidRPr="007010C1" w:rsidRDefault="007010C1">
            <w:pPr>
              <w:jc w:val="both"/>
              <w:rPr>
                <w:rFonts w:ascii="Arial" w:hAnsi="Arial" w:cs="Arial"/>
                <w:b/>
                <w:bCs/>
                <w:i/>
                <w:iCs/>
                <w:sz w:val="20"/>
                <w:szCs w:val="20"/>
              </w:rPr>
            </w:pPr>
          </w:p>
        </w:tc>
        <w:tc>
          <w:tcPr>
            <w:tcW w:w="2643" w:type="dxa"/>
            <w:tcBorders>
              <w:top w:val="nil"/>
              <w:left w:val="nil"/>
              <w:bottom w:val="nil"/>
              <w:right w:val="nil"/>
            </w:tcBorders>
          </w:tcPr>
          <w:p w14:paraId="012264D1"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100</w:t>
            </w:r>
          </w:p>
        </w:tc>
        <w:tc>
          <w:tcPr>
            <w:tcW w:w="959" w:type="dxa"/>
            <w:tcBorders>
              <w:top w:val="nil"/>
              <w:left w:val="nil"/>
              <w:bottom w:val="nil"/>
              <w:right w:val="nil"/>
            </w:tcBorders>
          </w:tcPr>
          <w:p w14:paraId="395FEC3E"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1F8245D9" w14:textId="1F451C6B" w:rsidR="007010C1" w:rsidRPr="007010C1" w:rsidRDefault="007010C1" w:rsidP="007010C1">
            <w:pPr>
              <w:jc w:val="center"/>
              <w:rPr>
                <w:rFonts w:ascii="Arial" w:hAnsi="Arial" w:cs="Arial"/>
                <w:sz w:val="20"/>
                <w:szCs w:val="20"/>
              </w:rPr>
            </w:pPr>
            <w:r w:rsidRPr="007010C1">
              <w:rPr>
                <w:rFonts w:ascii="Arial" w:hAnsi="Arial" w:cs="Arial"/>
                <w:sz w:val="20"/>
                <w:szCs w:val="20"/>
              </w:rPr>
              <w:t>0.723</w:t>
            </w:r>
          </w:p>
        </w:tc>
        <w:tc>
          <w:tcPr>
            <w:tcW w:w="1728" w:type="dxa"/>
            <w:tcBorders>
              <w:top w:val="nil"/>
              <w:left w:val="nil"/>
              <w:bottom w:val="nil"/>
              <w:right w:val="nil"/>
            </w:tcBorders>
          </w:tcPr>
          <w:p w14:paraId="63BE57D8"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21.75</w:t>
            </w:r>
          </w:p>
        </w:tc>
      </w:tr>
      <w:tr w:rsidR="007010C1" w:rsidRPr="007010C1" w14:paraId="29041B46" w14:textId="77777777" w:rsidTr="007010C1">
        <w:tc>
          <w:tcPr>
            <w:tcW w:w="2092" w:type="dxa"/>
            <w:tcBorders>
              <w:top w:val="nil"/>
              <w:left w:val="nil"/>
              <w:bottom w:val="nil"/>
              <w:right w:val="nil"/>
            </w:tcBorders>
          </w:tcPr>
          <w:p w14:paraId="7261E9CC" w14:textId="77777777" w:rsidR="007010C1" w:rsidRPr="007010C1" w:rsidRDefault="007010C1">
            <w:pPr>
              <w:jc w:val="both"/>
              <w:rPr>
                <w:rFonts w:ascii="Arial" w:hAnsi="Arial" w:cs="Arial"/>
                <w:b/>
                <w:bCs/>
                <w:i/>
                <w:iCs/>
                <w:sz w:val="20"/>
                <w:szCs w:val="20"/>
              </w:rPr>
            </w:pPr>
          </w:p>
        </w:tc>
        <w:tc>
          <w:tcPr>
            <w:tcW w:w="2643" w:type="dxa"/>
            <w:tcBorders>
              <w:top w:val="nil"/>
              <w:left w:val="nil"/>
              <w:bottom w:val="nil"/>
              <w:right w:val="nil"/>
            </w:tcBorders>
          </w:tcPr>
          <w:p w14:paraId="315337C3"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250</w:t>
            </w:r>
          </w:p>
        </w:tc>
        <w:tc>
          <w:tcPr>
            <w:tcW w:w="959" w:type="dxa"/>
            <w:tcBorders>
              <w:top w:val="nil"/>
              <w:left w:val="nil"/>
              <w:bottom w:val="nil"/>
              <w:right w:val="nil"/>
            </w:tcBorders>
          </w:tcPr>
          <w:p w14:paraId="2E603212"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608F0908" w14:textId="2FF6E948" w:rsidR="007010C1" w:rsidRPr="007010C1" w:rsidRDefault="007010C1" w:rsidP="007010C1">
            <w:pPr>
              <w:jc w:val="center"/>
              <w:rPr>
                <w:rFonts w:ascii="Arial" w:hAnsi="Arial" w:cs="Arial"/>
                <w:sz w:val="20"/>
                <w:szCs w:val="20"/>
              </w:rPr>
            </w:pPr>
            <w:r w:rsidRPr="007010C1">
              <w:rPr>
                <w:rFonts w:ascii="Arial" w:hAnsi="Arial" w:cs="Arial"/>
                <w:sz w:val="20"/>
                <w:szCs w:val="20"/>
              </w:rPr>
              <w:t>0.598</w:t>
            </w:r>
          </w:p>
        </w:tc>
        <w:tc>
          <w:tcPr>
            <w:tcW w:w="1728" w:type="dxa"/>
            <w:tcBorders>
              <w:top w:val="nil"/>
              <w:left w:val="nil"/>
              <w:bottom w:val="nil"/>
              <w:right w:val="nil"/>
            </w:tcBorders>
          </w:tcPr>
          <w:p w14:paraId="6A5A65E6"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35.28</w:t>
            </w:r>
          </w:p>
        </w:tc>
      </w:tr>
      <w:tr w:rsidR="007010C1" w:rsidRPr="007010C1" w14:paraId="72191D72" w14:textId="77777777" w:rsidTr="007010C1">
        <w:tc>
          <w:tcPr>
            <w:tcW w:w="2092" w:type="dxa"/>
            <w:tcBorders>
              <w:top w:val="nil"/>
              <w:left w:val="nil"/>
              <w:bottom w:val="nil"/>
              <w:right w:val="nil"/>
            </w:tcBorders>
          </w:tcPr>
          <w:p w14:paraId="1D97036E" w14:textId="77777777" w:rsidR="007010C1" w:rsidRPr="007010C1" w:rsidRDefault="007010C1">
            <w:pPr>
              <w:jc w:val="both"/>
              <w:rPr>
                <w:rFonts w:ascii="Arial" w:hAnsi="Arial" w:cs="Arial"/>
                <w:b/>
                <w:bCs/>
                <w:i/>
                <w:iCs/>
                <w:sz w:val="20"/>
                <w:szCs w:val="20"/>
              </w:rPr>
            </w:pPr>
          </w:p>
        </w:tc>
        <w:tc>
          <w:tcPr>
            <w:tcW w:w="2643" w:type="dxa"/>
            <w:tcBorders>
              <w:top w:val="nil"/>
              <w:left w:val="nil"/>
              <w:bottom w:val="nil"/>
              <w:right w:val="nil"/>
            </w:tcBorders>
          </w:tcPr>
          <w:p w14:paraId="456B52E0"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500</w:t>
            </w:r>
          </w:p>
        </w:tc>
        <w:tc>
          <w:tcPr>
            <w:tcW w:w="959" w:type="dxa"/>
            <w:tcBorders>
              <w:top w:val="nil"/>
              <w:left w:val="nil"/>
              <w:bottom w:val="nil"/>
              <w:right w:val="nil"/>
            </w:tcBorders>
          </w:tcPr>
          <w:p w14:paraId="76688D8B"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415732E4" w14:textId="3B6D97E2" w:rsidR="007010C1" w:rsidRPr="007010C1" w:rsidRDefault="007010C1" w:rsidP="007010C1">
            <w:pPr>
              <w:jc w:val="center"/>
              <w:rPr>
                <w:rFonts w:ascii="Arial" w:hAnsi="Arial" w:cs="Arial"/>
                <w:sz w:val="20"/>
                <w:szCs w:val="20"/>
              </w:rPr>
            </w:pPr>
            <w:r w:rsidRPr="007010C1">
              <w:rPr>
                <w:rFonts w:ascii="Arial" w:hAnsi="Arial" w:cs="Arial"/>
                <w:sz w:val="20"/>
                <w:szCs w:val="20"/>
              </w:rPr>
              <w:t>0.452</w:t>
            </w:r>
          </w:p>
        </w:tc>
        <w:tc>
          <w:tcPr>
            <w:tcW w:w="1728" w:type="dxa"/>
            <w:tcBorders>
              <w:top w:val="nil"/>
              <w:left w:val="nil"/>
              <w:bottom w:val="nil"/>
              <w:right w:val="nil"/>
            </w:tcBorders>
          </w:tcPr>
          <w:p w14:paraId="494834A9"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51.08</w:t>
            </w:r>
          </w:p>
        </w:tc>
      </w:tr>
      <w:tr w:rsidR="007010C1" w:rsidRPr="007010C1" w14:paraId="7669E380" w14:textId="77777777" w:rsidTr="007010C1">
        <w:tc>
          <w:tcPr>
            <w:tcW w:w="2092" w:type="dxa"/>
            <w:tcBorders>
              <w:top w:val="nil"/>
              <w:left w:val="nil"/>
              <w:bottom w:val="nil"/>
              <w:right w:val="nil"/>
            </w:tcBorders>
          </w:tcPr>
          <w:p w14:paraId="488B8763" w14:textId="77777777" w:rsidR="007010C1" w:rsidRPr="007010C1" w:rsidRDefault="007010C1">
            <w:pPr>
              <w:jc w:val="both"/>
              <w:rPr>
                <w:rFonts w:ascii="Arial" w:hAnsi="Arial" w:cs="Arial"/>
                <w:b/>
                <w:bCs/>
                <w:i/>
                <w:iCs/>
                <w:sz w:val="20"/>
                <w:szCs w:val="20"/>
              </w:rPr>
            </w:pPr>
          </w:p>
        </w:tc>
        <w:tc>
          <w:tcPr>
            <w:tcW w:w="2643" w:type="dxa"/>
            <w:tcBorders>
              <w:top w:val="nil"/>
              <w:left w:val="nil"/>
              <w:bottom w:val="nil"/>
              <w:right w:val="nil"/>
            </w:tcBorders>
          </w:tcPr>
          <w:p w14:paraId="2BD5CD3D"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750</w:t>
            </w:r>
          </w:p>
        </w:tc>
        <w:tc>
          <w:tcPr>
            <w:tcW w:w="959" w:type="dxa"/>
            <w:tcBorders>
              <w:top w:val="nil"/>
              <w:left w:val="nil"/>
              <w:bottom w:val="nil"/>
              <w:right w:val="nil"/>
            </w:tcBorders>
          </w:tcPr>
          <w:p w14:paraId="556D111E" w14:textId="77777777" w:rsidR="007010C1" w:rsidRPr="007010C1" w:rsidRDefault="007010C1" w:rsidP="007010C1">
            <w:pPr>
              <w:jc w:val="center"/>
              <w:rPr>
                <w:rFonts w:ascii="Arial" w:hAnsi="Arial" w:cs="Arial"/>
                <w:sz w:val="20"/>
                <w:szCs w:val="20"/>
              </w:rPr>
            </w:pPr>
          </w:p>
        </w:tc>
        <w:tc>
          <w:tcPr>
            <w:tcW w:w="1604" w:type="dxa"/>
            <w:tcBorders>
              <w:top w:val="nil"/>
              <w:left w:val="nil"/>
              <w:bottom w:val="nil"/>
              <w:right w:val="nil"/>
            </w:tcBorders>
          </w:tcPr>
          <w:p w14:paraId="442F62B2" w14:textId="240B0289" w:rsidR="007010C1" w:rsidRPr="007010C1" w:rsidRDefault="007010C1" w:rsidP="007010C1">
            <w:pPr>
              <w:jc w:val="center"/>
              <w:rPr>
                <w:rFonts w:ascii="Arial" w:hAnsi="Arial" w:cs="Arial"/>
                <w:sz w:val="20"/>
                <w:szCs w:val="20"/>
              </w:rPr>
            </w:pPr>
            <w:r w:rsidRPr="007010C1">
              <w:rPr>
                <w:rFonts w:ascii="Arial" w:hAnsi="Arial" w:cs="Arial"/>
                <w:sz w:val="20"/>
                <w:szCs w:val="20"/>
              </w:rPr>
              <w:t>0.347</w:t>
            </w:r>
          </w:p>
        </w:tc>
        <w:tc>
          <w:tcPr>
            <w:tcW w:w="1728" w:type="dxa"/>
            <w:tcBorders>
              <w:top w:val="nil"/>
              <w:left w:val="nil"/>
              <w:bottom w:val="nil"/>
              <w:right w:val="nil"/>
            </w:tcBorders>
          </w:tcPr>
          <w:p w14:paraId="68EA0FB8"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62.45</w:t>
            </w:r>
          </w:p>
        </w:tc>
      </w:tr>
      <w:tr w:rsidR="007010C1" w:rsidRPr="007010C1" w14:paraId="25423273" w14:textId="77777777" w:rsidTr="007010C1">
        <w:trPr>
          <w:trHeight w:val="495"/>
        </w:trPr>
        <w:tc>
          <w:tcPr>
            <w:tcW w:w="2092" w:type="dxa"/>
            <w:tcBorders>
              <w:top w:val="nil"/>
              <w:left w:val="nil"/>
              <w:bottom w:val="single" w:sz="4" w:space="0" w:color="auto"/>
              <w:right w:val="nil"/>
            </w:tcBorders>
          </w:tcPr>
          <w:p w14:paraId="5749A7A6" w14:textId="77777777" w:rsidR="007010C1" w:rsidRPr="007010C1" w:rsidRDefault="007010C1">
            <w:pPr>
              <w:jc w:val="both"/>
              <w:rPr>
                <w:rFonts w:ascii="Arial" w:hAnsi="Arial" w:cs="Arial"/>
                <w:b/>
                <w:bCs/>
                <w:i/>
                <w:iCs/>
                <w:sz w:val="20"/>
                <w:szCs w:val="20"/>
              </w:rPr>
            </w:pPr>
          </w:p>
        </w:tc>
        <w:tc>
          <w:tcPr>
            <w:tcW w:w="2643" w:type="dxa"/>
            <w:tcBorders>
              <w:top w:val="nil"/>
              <w:left w:val="nil"/>
              <w:bottom w:val="single" w:sz="4" w:space="0" w:color="auto"/>
              <w:right w:val="nil"/>
            </w:tcBorders>
          </w:tcPr>
          <w:p w14:paraId="3FB178C6"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1000</w:t>
            </w:r>
          </w:p>
        </w:tc>
        <w:tc>
          <w:tcPr>
            <w:tcW w:w="959" w:type="dxa"/>
            <w:tcBorders>
              <w:top w:val="nil"/>
              <w:left w:val="nil"/>
              <w:bottom w:val="single" w:sz="4" w:space="0" w:color="auto"/>
              <w:right w:val="nil"/>
            </w:tcBorders>
          </w:tcPr>
          <w:p w14:paraId="4CC37DAA" w14:textId="77777777" w:rsidR="007010C1" w:rsidRPr="007010C1" w:rsidRDefault="007010C1" w:rsidP="007010C1">
            <w:pPr>
              <w:jc w:val="center"/>
              <w:rPr>
                <w:rFonts w:ascii="Arial" w:hAnsi="Arial" w:cs="Arial"/>
                <w:sz w:val="20"/>
                <w:szCs w:val="20"/>
              </w:rPr>
            </w:pPr>
          </w:p>
        </w:tc>
        <w:tc>
          <w:tcPr>
            <w:tcW w:w="1604" w:type="dxa"/>
            <w:tcBorders>
              <w:top w:val="nil"/>
              <w:left w:val="nil"/>
              <w:bottom w:val="single" w:sz="4" w:space="0" w:color="auto"/>
              <w:right w:val="nil"/>
            </w:tcBorders>
          </w:tcPr>
          <w:p w14:paraId="16732C3C" w14:textId="54369373" w:rsidR="007010C1" w:rsidRPr="007010C1" w:rsidRDefault="007010C1" w:rsidP="007010C1">
            <w:pPr>
              <w:jc w:val="center"/>
              <w:rPr>
                <w:rFonts w:ascii="Arial" w:hAnsi="Arial" w:cs="Arial"/>
                <w:sz w:val="20"/>
                <w:szCs w:val="20"/>
              </w:rPr>
            </w:pPr>
            <w:r w:rsidRPr="007010C1">
              <w:rPr>
                <w:rFonts w:ascii="Arial" w:hAnsi="Arial" w:cs="Arial"/>
                <w:sz w:val="20"/>
                <w:szCs w:val="20"/>
              </w:rPr>
              <w:t>0.283</w:t>
            </w:r>
          </w:p>
        </w:tc>
        <w:tc>
          <w:tcPr>
            <w:tcW w:w="1728" w:type="dxa"/>
            <w:tcBorders>
              <w:top w:val="nil"/>
              <w:left w:val="nil"/>
              <w:bottom w:val="single" w:sz="4" w:space="0" w:color="auto"/>
              <w:right w:val="nil"/>
            </w:tcBorders>
          </w:tcPr>
          <w:p w14:paraId="5B74A747" w14:textId="77777777" w:rsidR="007010C1" w:rsidRPr="007010C1" w:rsidRDefault="007010C1" w:rsidP="007010C1">
            <w:pPr>
              <w:jc w:val="center"/>
              <w:rPr>
                <w:rFonts w:ascii="Arial" w:hAnsi="Arial" w:cs="Arial"/>
                <w:sz w:val="20"/>
                <w:szCs w:val="20"/>
              </w:rPr>
            </w:pPr>
            <w:r w:rsidRPr="007010C1">
              <w:rPr>
                <w:rFonts w:ascii="Arial" w:hAnsi="Arial" w:cs="Arial"/>
                <w:sz w:val="20"/>
                <w:szCs w:val="20"/>
              </w:rPr>
              <w:t>69.37</w:t>
            </w:r>
          </w:p>
        </w:tc>
      </w:tr>
    </w:tbl>
    <w:p w14:paraId="77962F94" w14:textId="77777777" w:rsidR="00261AF3" w:rsidRPr="002F727C" w:rsidRDefault="00261AF3">
      <w:pPr>
        <w:rPr>
          <w:rFonts w:ascii="Arial" w:hAnsi="Arial" w:cs="Arial"/>
          <w:sz w:val="24"/>
          <w:szCs w:val="24"/>
        </w:rPr>
      </w:pPr>
    </w:p>
    <w:p w14:paraId="2381F09B" w14:textId="77777777" w:rsidR="007010C1" w:rsidRDefault="00000000" w:rsidP="007010C1">
      <w:pPr>
        <w:keepNext/>
      </w:pPr>
      <w:r w:rsidRPr="002F727C">
        <w:rPr>
          <w:rFonts w:ascii="Arial" w:hAnsi="Arial" w:cs="Arial"/>
          <w:noProof/>
        </w:rPr>
        <w:drawing>
          <wp:inline distT="0" distB="0" distL="114300" distR="114300" wp14:anchorId="50602D6C" wp14:editId="718D291F">
            <wp:extent cx="5731510" cy="2790190"/>
            <wp:effectExtent l="0" t="0" r="2540" b="10160"/>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B7097F" w14:textId="1F2DC9C7" w:rsidR="007010C1" w:rsidRPr="007010C1" w:rsidRDefault="007010C1" w:rsidP="007010C1">
      <w:pPr>
        <w:pStyle w:val="Caption"/>
        <w:rPr>
          <w:rFonts w:ascii="Arial" w:hAnsi="Arial" w:cs="Arial"/>
          <w:sz w:val="24"/>
          <w:szCs w:val="24"/>
          <w:lang w:val="en-US"/>
        </w:rPr>
      </w:pPr>
      <w:r>
        <w:t xml:space="preserve">Figure </w:t>
      </w:r>
      <w:r>
        <w:fldChar w:fldCharType="begin"/>
      </w:r>
      <w:r>
        <w:instrText xml:space="preserve"> SEQ Figure \* ARABIC </w:instrText>
      </w:r>
      <w:r>
        <w:fldChar w:fldCharType="separate"/>
      </w:r>
      <w:r>
        <w:rPr>
          <w:noProof/>
        </w:rPr>
        <w:t>3</w:t>
      </w:r>
      <w:r>
        <w:fldChar w:fldCharType="end"/>
      </w:r>
      <w:r w:rsidR="00055B9B">
        <w:t>:I</w:t>
      </w:r>
      <w:r w:rsidRPr="007E525B">
        <w:t xml:space="preserve">nflammation-inhibiting effects of C. edulis in comparison to diclofenac sodium </w:t>
      </w:r>
    </w:p>
    <w:p w14:paraId="233EDE4C" w14:textId="722DB764" w:rsidR="00261AF3" w:rsidRPr="007010C1" w:rsidRDefault="00000000" w:rsidP="002F3DEB">
      <w:pPr>
        <w:pStyle w:val="Heading2"/>
        <w:rPr>
          <w:i/>
          <w:iCs/>
        </w:rPr>
      </w:pPr>
      <w:r w:rsidRPr="007010C1">
        <w:t xml:space="preserve">Evaluation of Antibacterial activity of lyophilized leaf extract of </w:t>
      </w:r>
      <w:r w:rsidR="005B4ED1" w:rsidRPr="00635507">
        <w:rPr>
          <w:i/>
          <w:iCs/>
        </w:rPr>
        <w:t>C. edulis</w:t>
      </w:r>
    </w:p>
    <w:p w14:paraId="7EECFD9E" w14:textId="2725FD60" w:rsidR="00261AF3" w:rsidRDefault="005B4ED1" w:rsidP="007010C1">
      <w:pPr>
        <w:jc w:val="both"/>
        <w:rPr>
          <w:rFonts w:ascii="Arial" w:hAnsi="Arial" w:cs="Arial"/>
          <w:color w:val="000000"/>
        </w:rPr>
      </w:pPr>
      <w:r w:rsidRPr="007010C1">
        <w:rPr>
          <w:rFonts w:ascii="Arial" w:hAnsi="Arial" w:cs="Arial"/>
          <w:i/>
          <w:iCs/>
          <w:color w:val="000000"/>
        </w:rPr>
        <w:t>Carpobrotus edulis</w:t>
      </w:r>
      <w:r w:rsidRPr="007010C1">
        <w:rPr>
          <w:rFonts w:ascii="Arial" w:hAnsi="Arial" w:cs="Arial"/>
          <w:color w:val="000000"/>
        </w:rPr>
        <w:t xml:space="preserve"> has demonstrated antibacterial activity, making it potentially useful in managing bacterial imbalances associated with pancreatic insufficiency. The results show that at a concentration of 100 mg/ml, </w:t>
      </w:r>
      <w:r w:rsidRPr="007010C1">
        <w:rPr>
          <w:rFonts w:ascii="Arial" w:hAnsi="Arial" w:cs="Arial"/>
          <w:i/>
          <w:color w:val="000000"/>
        </w:rPr>
        <w:t>C. edulis</w:t>
      </w:r>
      <w:r w:rsidRPr="007010C1">
        <w:rPr>
          <w:rFonts w:ascii="Arial" w:hAnsi="Arial" w:cs="Arial"/>
          <w:color w:val="000000"/>
        </w:rPr>
        <w:t xml:space="preserve"> inhibited bacterial growth with a mean zone of inhibition of 18.7±1.5 mm, while the positive control, Ciprofloxacin, had a ZOI of 38.3±1.5 mm</w:t>
      </w:r>
      <w:r w:rsidR="0094124A">
        <w:rPr>
          <w:rFonts w:ascii="Arial" w:hAnsi="Arial" w:cs="Arial"/>
          <w:color w:val="000000"/>
        </w:rPr>
        <w:t xml:space="preserve"> (Table 3,4, Fig 4)</w:t>
      </w:r>
      <w:r w:rsidRPr="007010C1">
        <w:rPr>
          <w:rFonts w:ascii="Arial" w:hAnsi="Arial" w:cs="Arial"/>
          <w:color w:val="000000"/>
        </w:rPr>
        <w:t xml:space="preserve">. The net ZOI for </w:t>
      </w:r>
      <w:r w:rsidRPr="007010C1">
        <w:rPr>
          <w:rFonts w:ascii="Arial" w:hAnsi="Arial" w:cs="Arial"/>
          <w:i/>
          <w:color w:val="000000"/>
        </w:rPr>
        <w:t>C. edulis</w:t>
      </w:r>
      <w:r w:rsidRPr="007010C1">
        <w:rPr>
          <w:rFonts w:ascii="Arial" w:hAnsi="Arial" w:cs="Arial"/>
          <w:color w:val="000000"/>
        </w:rPr>
        <w:t xml:space="preserve"> and Ciprofloxacin were 12.7±1.5 mm and 32.3±1.5 mm, respectively</w:t>
      </w:r>
      <w:r w:rsidR="00422C75">
        <w:rPr>
          <w:rFonts w:ascii="Arial" w:hAnsi="Arial" w:cs="Arial"/>
          <w:color w:val="000000"/>
        </w:rPr>
        <w:t>. The results are shown in table 3 and 4</w:t>
      </w:r>
      <w:r w:rsidRPr="007010C1">
        <w:rPr>
          <w:rFonts w:ascii="Arial" w:hAnsi="Arial" w:cs="Arial"/>
          <w:color w:val="000000"/>
        </w:rPr>
        <w:t xml:space="preserve">. The likely minimum inhibitory concentration value lies between 12.5 mg/ml and 25 mg/ml, as at 12.5mg/ml the net ZOI of </w:t>
      </w:r>
      <w:r w:rsidRPr="007010C1">
        <w:rPr>
          <w:rFonts w:ascii="Arial" w:hAnsi="Arial" w:cs="Arial"/>
          <w:i/>
          <w:iCs/>
          <w:color w:val="000000"/>
        </w:rPr>
        <w:t>C. edulis</w:t>
      </w:r>
      <w:r w:rsidRPr="007010C1">
        <w:rPr>
          <w:rFonts w:ascii="Arial" w:hAnsi="Arial" w:cs="Arial"/>
          <w:color w:val="000000"/>
        </w:rPr>
        <w:t xml:space="preserve"> is 4.00±1.0mm. The highest ZOI observed for </w:t>
      </w:r>
      <w:r w:rsidRPr="007010C1">
        <w:rPr>
          <w:rFonts w:ascii="Arial" w:hAnsi="Arial" w:cs="Arial"/>
          <w:i/>
          <w:color w:val="000000"/>
        </w:rPr>
        <w:t>C. edulis</w:t>
      </w:r>
      <w:r w:rsidRPr="007010C1">
        <w:rPr>
          <w:rFonts w:ascii="Arial" w:hAnsi="Arial" w:cs="Arial"/>
          <w:color w:val="000000"/>
        </w:rPr>
        <w:t xml:space="preserve"> in this study was 18.7±1.5 mm at 100 mg/ml concentration. The antibacterial activity of </w:t>
      </w:r>
      <w:r w:rsidRPr="007010C1">
        <w:rPr>
          <w:rFonts w:ascii="Arial" w:hAnsi="Arial" w:cs="Arial"/>
          <w:i/>
          <w:color w:val="000000"/>
        </w:rPr>
        <w:t>C. edulis</w:t>
      </w:r>
      <w:r w:rsidRPr="007010C1">
        <w:rPr>
          <w:rFonts w:ascii="Arial" w:hAnsi="Arial" w:cs="Arial"/>
          <w:color w:val="000000"/>
        </w:rPr>
        <w:t xml:space="preserve"> extracts has significant implications for managing pancreatic insufficiency. The antibacterial effects may also help mitigate the complications associated with bacterial overgrowth in the gut, further improving digestive health and nutrient absorption</w:t>
      </w:r>
      <w:hyperlink w:anchor="09d796d816f61328342f6c9a44f1e7c0" w:history="1">
        <w:r w:rsidR="00261AF3" w:rsidRPr="007010C1">
          <w:rPr>
            <w:rStyle w:val="Hyperlink"/>
            <w:rFonts w:ascii="Arial" w:hAnsi="Arial" w:cs="Arial"/>
            <w:color w:val="auto"/>
            <w:u w:val="none"/>
            <w:vertAlign w:val="superscript"/>
          </w:rPr>
          <w:t>48</w:t>
        </w:r>
      </w:hyperlink>
      <w:r w:rsidRPr="007010C1">
        <w:rPr>
          <w:rFonts w:ascii="Arial" w:hAnsi="Arial" w:cs="Arial"/>
          <w:color w:val="000000"/>
        </w:rPr>
        <w:t xml:space="preserve">. The seasonal variation in the antimicrobial activity of </w:t>
      </w:r>
      <w:r w:rsidRPr="007010C1">
        <w:rPr>
          <w:rFonts w:ascii="Arial" w:hAnsi="Arial" w:cs="Arial"/>
          <w:i/>
          <w:color w:val="000000"/>
        </w:rPr>
        <w:t>C. edulis</w:t>
      </w:r>
      <w:r w:rsidRPr="007010C1">
        <w:rPr>
          <w:rFonts w:ascii="Arial" w:hAnsi="Arial" w:cs="Arial"/>
          <w:color w:val="000000"/>
        </w:rPr>
        <w:t xml:space="preserve"> against </w:t>
      </w:r>
      <w:r w:rsidRPr="00635507">
        <w:rPr>
          <w:rFonts w:ascii="Arial" w:hAnsi="Arial" w:cs="Arial"/>
          <w:i/>
          <w:iCs/>
          <w:color w:val="000000"/>
        </w:rPr>
        <w:t>Pseudomonas aeruginosa, Enterococcus faecalis, Escherichia coli</w:t>
      </w:r>
      <w:r w:rsidRPr="007010C1">
        <w:rPr>
          <w:rFonts w:ascii="Arial" w:hAnsi="Arial" w:cs="Arial"/>
          <w:color w:val="000000"/>
        </w:rPr>
        <w:t xml:space="preserve">, and </w:t>
      </w:r>
      <w:r w:rsidRPr="00635507">
        <w:rPr>
          <w:rFonts w:ascii="Arial" w:hAnsi="Arial" w:cs="Arial"/>
          <w:i/>
          <w:iCs/>
          <w:color w:val="000000"/>
        </w:rPr>
        <w:t>Staphylococcus aureus</w:t>
      </w:r>
      <w:r w:rsidRPr="007010C1">
        <w:rPr>
          <w:rFonts w:ascii="Arial" w:hAnsi="Arial" w:cs="Arial"/>
          <w:color w:val="000000"/>
        </w:rPr>
        <w:t xml:space="preserve"> was </w:t>
      </w:r>
      <w:r w:rsidRPr="007010C1">
        <w:rPr>
          <w:rFonts w:ascii="Arial" w:hAnsi="Arial" w:cs="Arial"/>
          <w:color w:val="000000"/>
        </w:rPr>
        <w:lastRenderedPageBreak/>
        <w:t>also evaluated</w:t>
      </w:r>
      <w:hyperlink w:anchor="6b7ce6dfdc070894b5fad73ffb9d4e7e" w:history="1">
        <w:r w:rsidR="00261AF3" w:rsidRPr="007010C1">
          <w:rPr>
            <w:rStyle w:val="Hyperlink"/>
            <w:rFonts w:ascii="Arial" w:hAnsi="Arial" w:cs="Arial"/>
            <w:color w:val="auto"/>
            <w:u w:val="none"/>
            <w:vertAlign w:val="superscript"/>
          </w:rPr>
          <w:t>2</w:t>
        </w:r>
      </w:hyperlink>
      <w:r w:rsidRPr="007010C1">
        <w:rPr>
          <w:rFonts w:ascii="Arial" w:hAnsi="Arial" w:cs="Arial"/>
          <w:color w:val="000000"/>
        </w:rPr>
        <w:t xml:space="preserve">. Another study found that </w:t>
      </w:r>
      <w:r w:rsidRPr="007010C1">
        <w:rPr>
          <w:rFonts w:ascii="Arial" w:hAnsi="Arial" w:cs="Arial"/>
          <w:i/>
          <w:color w:val="000000"/>
        </w:rPr>
        <w:t>C. edulis</w:t>
      </w:r>
      <w:r w:rsidRPr="007010C1">
        <w:rPr>
          <w:rFonts w:ascii="Arial" w:hAnsi="Arial" w:cs="Arial"/>
          <w:color w:val="000000"/>
        </w:rPr>
        <w:t xml:space="preserve"> from the Tunisian coast displayed notable antibacterial activity against Pseudomonas aeruginosa, </w:t>
      </w:r>
      <w:r w:rsidRPr="00635507">
        <w:rPr>
          <w:rFonts w:ascii="Arial" w:hAnsi="Arial" w:cs="Arial"/>
          <w:i/>
          <w:iCs/>
          <w:color w:val="000000"/>
        </w:rPr>
        <w:t xml:space="preserve">Escherichia coli and </w:t>
      </w:r>
      <w:r w:rsidRPr="00635507">
        <w:rPr>
          <w:rFonts w:ascii="Arial" w:hAnsi="Arial" w:cs="Arial"/>
          <w:color w:val="000000"/>
        </w:rPr>
        <w:t>Staphylococcus aureus,</w:t>
      </w:r>
      <w:r w:rsidRPr="007010C1">
        <w:rPr>
          <w:rFonts w:ascii="Arial" w:hAnsi="Arial" w:cs="Arial"/>
          <w:color w:val="000000"/>
        </w:rPr>
        <w:t xml:space="preserve"> with MIC values between 6.25 and 50 mg/ml. When compared to other studies, the antibacterial activity of </w:t>
      </w:r>
      <w:r w:rsidRPr="007010C1">
        <w:rPr>
          <w:rFonts w:ascii="Arial" w:hAnsi="Arial" w:cs="Arial"/>
          <w:i/>
          <w:color w:val="000000"/>
        </w:rPr>
        <w:t>C. edulis</w:t>
      </w:r>
      <w:r w:rsidRPr="007010C1">
        <w:rPr>
          <w:rFonts w:ascii="Arial" w:hAnsi="Arial" w:cs="Arial"/>
          <w:color w:val="000000"/>
        </w:rPr>
        <w:t xml:space="preserve"> observed in this study is consistent with previous reports. For instance, ethanolic extracts of </w:t>
      </w:r>
      <w:r w:rsidRPr="007010C1">
        <w:rPr>
          <w:rFonts w:ascii="Arial" w:hAnsi="Arial" w:cs="Arial"/>
          <w:i/>
          <w:color w:val="000000"/>
        </w:rPr>
        <w:t>C. edulis</w:t>
      </w:r>
      <w:r w:rsidRPr="007010C1">
        <w:rPr>
          <w:rFonts w:ascii="Arial" w:hAnsi="Arial" w:cs="Arial"/>
          <w:color w:val="000000"/>
        </w:rPr>
        <w:t xml:space="preserve"> have shown significant activity against </w:t>
      </w:r>
      <w:r w:rsidRPr="00635507">
        <w:rPr>
          <w:rFonts w:ascii="Arial" w:hAnsi="Arial" w:cs="Arial"/>
          <w:i/>
          <w:iCs/>
          <w:color w:val="000000"/>
        </w:rPr>
        <w:t>Staphylococcus aureus, Bacillus cereus</w:t>
      </w:r>
      <w:r w:rsidRPr="007010C1">
        <w:rPr>
          <w:rFonts w:ascii="Arial" w:hAnsi="Arial" w:cs="Arial"/>
          <w:color w:val="000000"/>
        </w:rPr>
        <w:t xml:space="preserve">, and </w:t>
      </w:r>
      <w:r w:rsidRPr="00635507">
        <w:rPr>
          <w:rFonts w:ascii="Arial" w:hAnsi="Arial" w:cs="Arial"/>
          <w:i/>
          <w:iCs/>
          <w:color w:val="000000"/>
        </w:rPr>
        <w:t>Mycobacterium aurum</w:t>
      </w:r>
      <w:hyperlink w:anchor="38a24be4dca31cd3230279d3cfe819f5" w:history="1">
        <w:r w:rsidR="00261AF3" w:rsidRPr="007010C1">
          <w:rPr>
            <w:rStyle w:val="Hyperlink"/>
            <w:rFonts w:ascii="Arial" w:hAnsi="Arial" w:cs="Arial"/>
            <w:color w:val="auto"/>
            <w:u w:val="none"/>
            <w:vertAlign w:val="superscript"/>
          </w:rPr>
          <w:t>4</w:t>
        </w:r>
      </w:hyperlink>
      <w:r w:rsidRPr="007010C1">
        <w:rPr>
          <w:rFonts w:ascii="Arial" w:hAnsi="Arial" w:cs="Arial"/>
          <w:color w:val="000000"/>
        </w:rPr>
        <w:t xml:space="preserve">. However, the variations in the antibacterial activity of </w:t>
      </w:r>
      <w:r w:rsidRPr="007010C1">
        <w:rPr>
          <w:rFonts w:ascii="Arial" w:hAnsi="Arial" w:cs="Arial"/>
          <w:i/>
          <w:color w:val="000000"/>
        </w:rPr>
        <w:t>C. edulis</w:t>
      </w:r>
      <w:r w:rsidRPr="007010C1">
        <w:rPr>
          <w:rFonts w:ascii="Arial" w:hAnsi="Arial" w:cs="Arial"/>
          <w:color w:val="000000"/>
        </w:rPr>
        <w:t xml:space="preserve"> across different studies can be attributed to several factors. The extraction method used to obtain </w:t>
      </w:r>
      <w:proofErr w:type="gramStart"/>
      <w:r w:rsidRPr="007010C1">
        <w:rPr>
          <w:rFonts w:ascii="Arial" w:hAnsi="Arial" w:cs="Arial"/>
          <w:color w:val="000000"/>
        </w:rPr>
        <w:t>the plant</w:t>
      </w:r>
      <w:proofErr w:type="gramEnd"/>
      <w:r w:rsidRPr="007010C1">
        <w:rPr>
          <w:rFonts w:ascii="Arial" w:hAnsi="Arial" w:cs="Arial"/>
          <w:color w:val="000000"/>
        </w:rPr>
        <w:t xml:space="preserve"> extracts can significantly influence their antibacterial activity. Different solvents and techniques may selectively extract different antibacterial compounds, leading to variations in the composition and potency of the extracts</w:t>
      </w:r>
      <w:hyperlink w:anchor="6c48722e3f4d36a8122d7c028fbbef04" w:history="1">
        <w:r w:rsidR="00261AF3" w:rsidRPr="007010C1">
          <w:rPr>
            <w:rStyle w:val="Hyperlink"/>
            <w:rFonts w:ascii="Arial" w:hAnsi="Arial" w:cs="Arial"/>
            <w:color w:val="auto"/>
            <w:u w:val="none"/>
            <w:vertAlign w:val="superscript"/>
          </w:rPr>
          <w:t>49</w:t>
        </w:r>
      </w:hyperlink>
      <w:r w:rsidRPr="007010C1">
        <w:rPr>
          <w:rFonts w:ascii="Arial" w:hAnsi="Arial" w:cs="Arial"/>
          <w:color w:val="000000"/>
        </w:rPr>
        <w:t xml:space="preserve">. Geographical location and environmental factors can also affect the phytochemical profile of </w:t>
      </w:r>
      <w:r w:rsidRPr="007010C1">
        <w:rPr>
          <w:rFonts w:ascii="Arial" w:hAnsi="Arial" w:cs="Arial"/>
          <w:i/>
          <w:color w:val="000000"/>
        </w:rPr>
        <w:t>C. edulis</w:t>
      </w:r>
      <w:r w:rsidRPr="007010C1">
        <w:rPr>
          <w:rFonts w:ascii="Arial" w:hAnsi="Arial" w:cs="Arial"/>
          <w:color w:val="000000"/>
        </w:rPr>
        <w:t xml:space="preserve"> plants. Plants collected from different regions may possess unique compositions due to variations in soil composition, altitude, and climate, affecting the production of antibacterial metabolites</w:t>
      </w:r>
      <w:hyperlink w:anchor="16157d3833c9e1fd37d0f726e4e4fcd8" w:history="1">
        <w:r w:rsidR="00261AF3" w:rsidRPr="007010C1">
          <w:rPr>
            <w:rStyle w:val="Hyperlink"/>
            <w:rFonts w:ascii="Arial" w:hAnsi="Arial" w:cs="Arial"/>
            <w:color w:val="auto"/>
            <w:u w:val="none"/>
            <w:vertAlign w:val="superscript"/>
          </w:rPr>
          <w:t>32</w:t>
        </w:r>
      </w:hyperlink>
      <w:r w:rsidRPr="007010C1">
        <w:rPr>
          <w:rFonts w:ascii="Arial" w:hAnsi="Arial" w:cs="Arial"/>
          <w:color w:val="000000"/>
        </w:rPr>
        <w:t xml:space="preserve">. Additionally, different bacterial strains may exhibit varying degrees of sensitivity to the antibacterial compounds present in </w:t>
      </w:r>
      <w:r w:rsidRPr="007010C1">
        <w:rPr>
          <w:rFonts w:ascii="Arial" w:hAnsi="Arial" w:cs="Arial"/>
          <w:i/>
          <w:color w:val="000000"/>
        </w:rPr>
        <w:t>C. edulis</w:t>
      </w:r>
      <w:r w:rsidRPr="007010C1">
        <w:rPr>
          <w:rFonts w:ascii="Arial" w:hAnsi="Arial" w:cs="Arial"/>
          <w:color w:val="000000"/>
        </w:rPr>
        <w:t xml:space="preserve"> extracts. The antibacterial properties of </w:t>
      </w:r>
      <w:r w:rsidRPr="007010C1">
        <w:rPr>
          <w:rFonts w:ascii="Arial" w:hAnsi="Arial" w:cs="Arial"/>
          <w:i/>
          <w:color w:val="000000"/>
        </w:rPr>
        <w:t>C. edulis</w:t>
      </w:r>
      <w:r w:rsidRPr="007010C1">
        <w:rPr>
          <w:rFonts w:ascii="Arial" w:hAnsi="Arial" w:cs="Arial"/>
          <w:color w:val="000000"/>
        </w:rPr>
        <w:t xml:space="preserve"> can be attributed to its rich content of bioactive compounds. </w:t>
      </w:r>
      <w:r w:rsidRPr="007010C1">
        <w:rPr>
          <w:rFonts w:ascii="Arial" w:hAnsi="Arial" w:cs="Arial"/>
          <w:i/>
          <w:color w:val="000000"/>
        </w:rPr>
        <w:t>C. edulis</w:t>
      </w:r>
      <w:r w:rsidRPr="007010C1">
        <w:rPr>
          <w:rFonts w:ascii="Arial" w:hAnsi="Arial" w:cs="Arial"/>
          <w:color w:val="000000"/>
        </w:rPr>
        <w:t xml:space="preserve"> found on the Tunisian coast also displayed notable antibacterial activity against </w:t>
      </w:r>
      <w:r w:rsidRPr="00635507">
        <w:rPr>
          <w:rFonts w:ascii="Arial" w:hAnsi="Arial" w:cs="Arial"/>
          <w:i/>
          <w:iCs/>
          <w:color w:val="000000"/>
        </w:rPr>
        <w:t>Pseudomonas aeruginosa, Escherichia coli</w:t>
      </w:r>
      <w:r w:rsidRPr="007010C1">
        <w:rPr>
          <w:rFonts w:ascii="Arial" w:hAnsi="Arial" w:cs="Arial"/>
          <w:color w:val="000000"/>
        </w:rPr>
        <w:t xml:space="preserve"> and </w:t>
      </w:r>
      <w:r w:rsidRPr="00635507">
        <w:rPr>
          <w:rFonts w:ascii="Arial" w:hAnsi="Arial" w:cs="Arial"/>
          <w:i/>
          <w:iCs/>
          <w:color w:val="000000"/>
        </w:rPr>
        <w:t>Staphylococcus aureus</w:t>
      </w:r>
      <w:hyperlink w:anchor="6b7ce6dfdc070894b5fad73ffb9d4e7e" w:history="1">
        <w:r w:rsidR="00261AF3" w:rsidRPr="00635507">
          <w:rPr>
            <w:rStyle w:val="Hyperlink"/>
            <w:rFonts w:ascii="Arial" w:hAnsi="Arial" w:cs="Arial"/>
            <w:i/>
            <w:iCs/>
            <w:color w:val="auto"/>
            <w:u w:val="none"/>
            <w:vertAlign w:val="superscript"/>
          </w:rPr>
          <w:t>2</w:t>
        </w:r>
      </w:hyperlink>
      <w:r w:rsidRPr="007010C1">
        <w:rPr>
          <w:rFonts w:ascii="Arial" w:hAnsi="Arial" w:cs="Arial"/>
          <w:color w:val="000000"/>
        </w:rPr>
        <w:t xml:space="preserve">. Specific phenolic compounds within </w:t>
      </w:r>
      <w:r w:rsidRPr="007010C1">
        <w:rPr>
          <w:rFonts w:ascii="Arial" w:hAnsi="Arial" w:cs="Arial"/>
          <w:i/>
          <w:color w:val="000000"/>
        </w:rPr>
        <w:t>C. edulis</w:t>
      </w:r>
      <w:r w:rsidRPr="007010C1">
        <w:rPr>
          <w:rFonts w:ascii="Arial" w:hAnsi="Arial" w:cs="Arial"/>
          <w:color w:val="000000"/>
        </w:rPr>
        <w:t xml:space="preserve"> contribute to its antibacterial prowess; for example, </w:t>
      </w:r>
      <w:proofErr w:type="spellStart"/>
      <w:r w:rsidRPr="007010C1">
        <w:rPr>
          <w:rFonts w:ascii="Arial" w:hAnsi="Arial" w:cs="Arial"/>
          <w:color w:val="000000"/>
        </w:rPr>
        <w:t>hyperoside</w:t>
      </w:r>
      <w:proofErr w:type="spellEnd"/>
      <w:r w:rsidRPr="007010C1">
        <w:rPr>
          <w:rFonts w:ascii="Arial" w:hAnsi="Arial" w:cs="Arial"/>
          <w:color w:val="000000"/>
        </w:rPr>
        <w:t xml:space="preserve"> and the </w:t>
      </w:r>
      <w:proofErr w:type="spellStart"/>
      <w:r w:rsidRPr="007010C1">
        <w:rPr>
          <w:rFonts w:ascii="Arial" w:hAnsi="Arial" w:cs="Arial"/>
          <w:color w:val="000000"/>
        </w:rPr>
        <w:t>flavonone</w:t>
      </w:r>
      <w:proofErr w:type="spellEnd"/>
      <w:r w:rsidRPr="007010C1">
        <w:rPr>
          <w:rFonts w:ascii="Arial" w:hAnsi="Arial" w:cs="Arial"/>
          <w:color w:val="000000"/>
        </w:rPr>
        <w:t xml:space="preserve"> glycoside </w:t>
      </w:r>
      <w:proofErr w:type="spellStart"/>
      <w:r w:rsidRPr="007010C1">
        <w:rPr>
          <w:rFonts w:ascii="Arial" w:hAnsi="Arial" w:cs="Arial"/>
          <w:color w:val="000000"/>
        </w:rPr>
        <w:t>neohesperidin</w:t>
      </w:r>
      <w:proofErr w:type="spellEnd"/>
      <w:r w:rsidRPr="007010C1">
        <w:rPr>
          <w:rFonts w:ascii="Arial" w:hAnsi="Arial" w:cs="Arial"/>
          <w:color w:val="000000"/>
        </w:rPr>
        <w:t xml:space="preserve"> have both demonstrated antibacterial activity against </w:t>
      </w:r>
      <w:r w:rsidRPr="00635507">
        <w:rPr>
          <w:rFonts w:ascii="Arial" w:hAnsi="Arial" w:cs="Arial"/>
          <w:i/>
          <w:iCs/>
          <w:color w:val="000000"/>
        </w:rPr>
        <w:t>Pseudomonas aeruginosa</w:t>
      </w:r>
      <w:hyperlink w:anchor="6b7ce6dfdc070894b5fad73ffb9d4e7e" w:history="1">
        <w:r w:rsidR="00261AF3" w:rsidRPr="00635507">
          <w:rPr>
            <w:rStyle w:val="Hyperlink"/>
            <w:rFonts w:ascii="Arial" w:hAnsi="Arial" w:cs="Arial"/>
            <w:i/>
            <w:iCs/>
            <w:color w:val="auto"/>
            <w:u w:val="none"/>
            <w:vertAlign w:val="superscript"/>
          </w:rPr>
          <w:t>2</w:t>
        </w:r>
      </w:hyperlink>
      <w:r w:rsidRPr="007010C1">
        <w:rPr>
          <w:rFonts w:ascii="Arial" w:hAnsi="Arial" w:cs="Arial"/>
          <w:color w:val="000000"/>
        </w:rPr>
        <w:t xml:space="preserve">. Further, rutin, </w:t>
      </w:r>
      <w:proofErr w:type="spellStart"/>
      <w:r w:rsidRPr="007010C1">
        <w:rPr>
          <w:rFonts w:ascii="Arial" w:hAnsi="Arial" w:cs="Arial"/>
          <w:color w:val="000000"/>
        </w:rPr>
        <w:t>cactichin</w:t>
      </w:r>
      <w:proofErr w:type="spellEnd"/>
      <w:r w:rsidRPr="007010C1">
        <w:rPr>
          <w:rFonts w:ascii="Arial" w:hAnsi="Arial" w:cs="Arial"/>
          <w:color w:val="000000"/>
        </w:rPr>
        <w:t>, and ferulic acid have demonstrated antibacterial activity</w:t>
      </w:r>
      <w:hyperlink w:anchor="a0461330dccb32d971a4627f2ee91ed6" w:history="1">
        <w:r w:rsidR="00261AF3" w:rsidRPr="007010C1">
          <w:rPr>
            <w:rStyle w:val="Hyperlink"/>
            <w:rFonts w:ascii="Arial" w:hAnsi="Arial" w:cs="Arial"/>
            <w:color w:val="auto"/>
            <w:u w:val="none"/>
            <w:vertAlign w:val="superscript"/>
          </w:rPr>
          <w:t>50</w:t>
        </w:r>
      </w:hyperlink>
      <w:r w:rsidRPr="007010C1">
        <w:rPr>
          <w:rFonts w:ascii="Arial" w:hAnsi="Arial" w:cs="Arial"/>
          <w:color w:val="000000"/>
        </w:rPr>
        <w:t xml:space="preserve">. Furthermore, previous studies have shown that rutin, </w:t>
      </w:r>
      <w:proofErr w:type="spellStart"/>
      <w:r w:rsidRPr="007010C1">
        <w:rPr>
          <w:rFonts w:ascii="Arial" w:hAnsi="Arial" w:cs="Arial"/>
          <w:color w:val="000000"/>
        </w:rPr>
        <w:t>cactichin</w:t>
      </w:r>
      <w:proofErr w:type="spellEnd"/>
      <w:r w:rsidRPr="007010C1">
        <w:rPr>
          <w:rFonts w:ascii="Arial" w:hAnsi="Arial" w:cs="Arial"/>
          <w:color w:val="000000"/>
        </w:rPr>
        <w:t xml:space="preserve">, and ferulic acid, compounds found in </w:t>
      </w:r>
      <w:r w:rsidRPr="007010C1">
        <w:rPr>
          <w:rFonts w:ascii="Arial" w:hAnsi="Arial" w:cs="Arial"/>
          <w:i/>
          <w:color w:val="000000"/>
        </w:rPr>
        <w:t>C. edulis</w:t>
      </w:r>
      <w:r w:rsidRPr="007010C1">
        <w:rPr>
          <w:rFonts w:ascii="Arial" w:hAnsi="Arial" w:cs="Arial"/>
          <w:color w:val="000000"/>
        </w:rPr>
        <w:t>, possess antibacterial activity</w:t>
      </w:r>
      <w:hyperlink w:anchor="a0461330dccb32d971a4627f2ee91ed6" w:history="1">
        <w:r w:rsidR="00261AF3" w:rsidRPr="007010C1">
          <w:rPr>
            <w:rStyle w:val="Hyperlink"/>
            <w:rFonts w:ascii="Arial" w:hAnsi="Arial" w:cs="Arial"/>
            <w:color w:val="auto"/>
            <w:u w:val="none"/>
            <w:vertAlign w:val="superscript"/>
          </w:rPr>
          <w:t>50</w:t>
        </w:r>
      </w:hyperlink>
      <w:r w:rsidRPr="007010C1">
        <w:rPr>
          <w:rFonts w:ascii="Arial" w:hAnsi="Arial" w:cs="Arial"/>
          <w:color w:val="000000"/>
        </w:rPr>
        <w:t xml:space="preserve">. Compared to other studies, the antibacterial activity of </w:t>
      </w:r>
      <w:r w:rsidRPr="007010C1">
        <w:rPr>
          <w:rFonts w:ascii="Arial" w:hAnsi="Arial" w:cs="Arial"/>
          <w:i/>
          <w:color w:val="000000"/>
        </w:rPr>
        <w:t>C. edulis</w:t>
      </w:r>
      <w:r w:rsidRPr="007010C1">
        <w:rPr>
          <w:rFonts w:ascii="Arial" w:hAnsi="Arial" w:cs="Arial"/>
          <w:color w:val="000000"/>
        </w:rPr>
        <w:t xml:space="preserve"> holds promises for managing bacterial imbalances in pancreatic insufficiency. Future research is needed to explore the specific mechanisms of action of </w:t>
      </w:r>
      <w:r w:rsidRPr="007010C1">
        <w:rPr>
          <w:rFonts w:ascii="Arial" w:hAnsi="Arial" w:cs="Arial"/>
          <w:i/>
          <w:color w:val="000000"/>
        </w:rPr>
        <w:t>C. edulis</w:t>
      </w:r>
      <w:r w:rsidRPr="007010C1">
        <w:rPr>
          <w:rFonts w:ascii="Arial" w:hAnsi="Arial" w:cs="Arial"/>
          <w:color w:val="000000"/>
        </w:rPr>
        <w:t xml:space="preserve"> against different bacterial strains and to optimize extraction and formulation methods for enhanced antibacterial efficacy. Additionally, clinical trials are necessary to evaluate the effectiveness of </w:t>
      </w:r>
      <w:r w:rsidRPr="007010C1">
        <w:rPr>
          <w:rFonts w:ascii="Arial" w:hAnsi="Arial" w:cs="Arial"/>
          <w:i/>
          <w:color w:val="000000"/>
        </w:rPr>
        <w:t>C. edulis</w:t>
      </w:r>
      <w:r w:rsidRPr="007010C1">
        <w:rPr>
          <w:rFonts w:ascii="Arial" w:hAnsi="Arial" w:cs="Arial"/>
          <w:color w:val="000000"/>
        </w:rPr>
        <w:t xml:space="preserve"> in managing bacterial-related complications in patients with pancreatic insufficiency.</w:t>
      </w:r>
    </w:p>
    <w:p w14:paraId="55CF85D2" w14:textId="77777777" w:rsidR="007010C1" w:rsidRPr="007010C1" w:rsidRDefault="007010C1" w:rsidP="007010C1">
      <w:pPr>
        <w:jc w:val="both"/>
        <w:rPr>
          <w:rFonts w:ascii="Arial" w:hAnsi="Arial" w:cs="Arial"/>
          <w:color w:val="000000"/>
        </w:rPr>
      </w:pPr>
    </w:p>
    <w:p w14:paraId="64CA99D2" w14:textId="154DB8EF" w:rsidR="00261AF3" w:rsidRPr="00055B9B" w:rsidRDefault="00000000" w:rsidP="007010C1">
      <w:pPr>
        <w:jc w:val="both"/>
        <w:rPr>
          <w:i/>
          <w:iCs/>
          <w:color w:val="44546A"/>
          <w:sz w:val="18"/>
          <w:szCs w:val="18"/>
          <w:lang w:val="en-ZW" w:eastAsia="en-ZW"/>
        </w:rPr>
      </w:pPr>
      <w:r w:rsidRPr="00055B9B">
        <w:rPr>
          <w:i/>
          <w:iCs/>
          <w:color w:val="44546A"/>
          <w:sz w:val="18"/>
          <w:szCs w:val="18"/>
          <w:lang w:val="en-ZW" w:eastAsia="en-ZW"/>
        </w:rPr>
        <w:t xml:space="preserve">Table 3: Observed Zone of Inhibition diameter(mm) with respect to concentration of Lyophilized </w:t>
      </w:r>
      <w:r w:rsidR="005B4ED1" w:rsidRPr="00055B9B">
        <w:rPr>
          <w:i/>
          <w:iCs/>
          <w:color w:val="44546A"/>
          <w:sz w:val="18"/>
          <w:szCs w:val="18"/>
          <w:lang w:val="en-ZW" w:eastAsia="en-ZW"/>
        </w:rPr>
        <w:t>C. edulis</w:t>
      </w:r>
      <w:r w:rsidRPr="00055B9B">
        <w:rPr>
          <w:i/>
          <w:iCs/>
          <w:color w:val="44546A"/>
          <w:sz w:val="18"/>
          <w:szCs w:val="18"/>
          <w:lang w:val="en-ZW" w:eastAsia="en-ZW"/>
        </w:rPr>
        <w:t xml:space="preserve"> and Ciprofloxacin</w:t>
      </w:r>
    </w:p>
    <w:tbl>
      <w:tblPr>
        <w:tblStyle w:val="TableGrid"/>
        <w:tblW w:w="9715" w:type="dxa"/>
        <w:tblLook w:val="0000" w:firstRow="0" w:lastRow="0" w:firstColumn="0" w:lastColumn="0" w:noHBand="0" w:noVBand="0"/>
      </w:tblPr>
      <w:tblGrid>
        <w:gridCol w:w="1932"/>
        <w:gridCol w:w="741"/>
        <w:gridCol w:w="736"/>
        <w:gridCol w:w="769"/>
        <w:gridCol w:w="1307"/>
        <w:gridCol w:w="1180"/>
        <w:gridCol w:w="627"/>
        <w:gridCol w:w="734"/>
        <w:gridCol w:w="1689"/>
      </w:tblGrid>
      <w:tr w:rsidR="00261AF3" w:rsidRPr="007010C1" w14:paraId="202E05C6" w14:textId="77777777">
        <w:trPr>
          <w:trHeight w:val="210"/>
        </w:trPr>
        <w:tc>
          <w:tcPr>
            <w:tcW w:w="1932" w:type="dxa"/>
            <w:vMerge w:val="restart"/>
            <w:tcBorders>
              <w:left w:val="nil"/>
              <w:bottom w:val="nil"/>
              <w:right w:val="nil"/>
            </w:tcBorders>
          </w:tcPr>
          <w:p w14:paraId="4B7BFE35" w14:textId="77777777" w:rsidR="00261AF3" w:rsidRPr="007010C1" w:rsidRDefault="00000000">
            <w:pPr>
              <w:rPr>
                <w:rFonts w:ascii="Arial" w:hAnsi="Arial" w:cs="Arial"/>
                <w:b/>
                <w:bCs/>
                <w:sz w:val="20"/>
                <w:szCs w:val="20"/>
              </w:rPr>
            </w:pPr>
            <w:r w:rsidRPr="007010C1">
              <w:rPr>
                <w:rFonts w:ascii="Arial" w:hAnsi="Arial" w:cs="Arial"/>
                <w:b/>
                <w:bCs/>
                <w:sz w:val="20"/>
                <w:szCs w:val="20"/>
              </w:rPr>
              <w:t>Concentration</w:t>
            </w:r>
          </w:p>
        </w:tc>
        <w:tc>
          <w:tcPr>
            <w:tcW w:w="3553" w:type="dxa"/>
            <w:gridSpan w:val="4"/>
            <w:tcBorders>
              <w:left w:val="nil"/>
              <w:bottom w:val="nil"/>
              <w:right w:val="nil"/>
            </w:tcBorders>
          </w:tcPr>
          <w:p w14:paraId="6ED406D3" w14:textId="77777777" w:rsidR="00261AF3" w:rsidRPr="007010C1" w:rsidRDefault="00000000">
            <w:pPr>
              <w:jc w:val="center"/>
              <w:rPr>
                <w:rFonts w:ascii="Arial" w:hAnsi="Arial" w:cs="Arial"/>
                <w:b/>
                <w:bCs/>
                <w:sz w:val="20"/>
                <w:szCs w:val="20"/>
              </w:rPr>
            </w:pPr>
            <w:r w:rsidRPr="007010C1">
              <w:rPr>
                <w:rFonts w:ascii="Arial" w:hAnsi="Arial" w:cs="Arial"/>
                <w:b/>
                <w:bCs/>
                <w:sz w:val="20"/>
                <w:szCs w:val="20"/>
              </w:rPr>
              <w:t>Observed Zone of Inhibition</w:t>
            </w:r>
          </w:p>
        </w:tc>
        <w:tc>
          <w:tcPr>
            <w:tcW w:w="4230" w:type="dxa"/>
            <w:gridSpan w:val="4"/>
            <w:tcBorders>
              <w:left w:val="nil"/>
              <w:bottom w:val="nil"/>
              <w:right w:val="nil"/>
            </w:tcBorders>
          </w:tcPr>
          <w:p w14:paraId="5716C91B" w14:textId="77777777" w:rsidR="00261AF3" w:rsidRPr="007010C1" w:rsidRDefault="00000000">
            <w:pPr>
              <w:jc w:val="center"/>
              <w:rPr>
                <w:rFonts w:ascii="Arial" w:hAnsi="Arial" w:cs="Arial"/>
                <w:b/>
                <w:bCs/>
                <w:sz w:val="20"/>
                <w:szCs w:val="20"/>
              </w:rPr>
            </w:pPr>
            <w:r w:rsidRPr="007010C1">
              <w:rPr>
                <w:rFonts w:ascii="Arial" w:hAnsi="Arial" w:cs="Arial"/>
                <w:b/>
                <w:bCs/>
                <w:sz w:val="20"/>
                <w:szCs w:val="20"/>
              </w:rPr>
              <w:t>Observed Zone of Inhibition</w:t>
            </w:r>
          </w:p>
        </w:tc>
      </w:tr>
      <w:tr w:rsidR="00261AF3" w:rsidRPr="007010C1" w14:paraId="766A35CB" w14:textId="77777777">
        <w:trPr>
          <w:trHeight w:val="240"/>
        </w:trPr>
        <w:tc>
          <w:tcPr>
            <w:tcW w:w="1932" w:type="dxa"/>
            <w:vMerge/>
            <w:tcBorders>
              <w:top w:val="nil"/>
              <w:left w:val="nil"/>
              <w:bottom w:val="single" w:sz="4" w:space="0" w:color="auto"/>
              <w:right w:val="nil"/>
            </w:tcBorders>
          </w:tcPr>
          <w:p w14:paraId="20A0452A" w14:textId="77777777" w:rsidR="00261AF3" w:rsidRPr="007010C1" w:rsidRDefault="00261AF3">
            <w:pPr>
              <w:rPr>
                <w:rFonts w:ascii="Arial" w:hAnsi="Arial" w:cs="Arial"/>
                <w:b/>
                <w:bCs/>
                <w:sz w:val="20"/>
                <w:szCs w:val="20"/>
              </w:rPr>
            </w:pPr>
          </w:p>
        </w:tc>
        <w:tc>
          <w:tcPr>
            <w:tcW w:w="3553" w:type="dxa"/>
            <w:gridSpan w:val="4"/>
            <w:tcBorders>
              <w:top w:val="nil"/>
              <w:left w:val="nil"/>
              <w:bottom w:val="single" w:sz="4" w:space="0" w:color="auto"/>
              <w:right w:val="nil"/>
            </w:tcBorders>
          </w:tcPr>
          <w:p w14:paraId="3F8A13A1" w14:textId="58FADDBA" w:rsidR="00261AF3" w:rsidRPr="007010C1" w:rsidRDefault="005B4ED1">
            <w:pPr>
              <w:jc w:val="center"/>
              <w:rPr>
                <w:rFonts w:ascii="Arial" w:hAnsi="Arial" w:cs="Arial"/>
                <w:b/>
                <w:bCs/>
                <w:i/>
                <w:iCs/>
                <w:sz w:val="20"/>
                <w:szCs w:val="20"/>
              </w:rPr>
            </w:pPr>
            <w:r w:rsidRPr="007010C1">
              <w:rPr>
                <w:rFonts w:ascii="Arial" w:hAnsi="Arial" w:cs="Arial"/>
                <w:b/>
                <w:bCs/>
                <w:i/>
                <w:iCs/>
                <w:sz w:val="20"/>
                <w:szCs w:val="20"/>
              </w:rPr>
              <w:t>C. edulis(mm)</w:t>
            </w:r>
          </w:p>
        </w:tc>
        <w:tc>
          <w:tcPr>
            <w:tcW w:w="4230" w:type="dxa"/>
            <w:gridSpan w:val="4"/>
            <w:tcBorders>
              <w:top w:val="nil"/>
              <w:left w:val="nil"/>
              <w:bottom w:val="single" w:sz="4" w:space="0" w:color="auto"/>
              <w:right w:val="nil"/>
            </w:tcBorders>
          </w:tcPr>
          <w:p w14:paraId="2F1FEA3F" w14:textId="77777777" w:rsidR="00261AF3" w:rsidRPr="007010C1" w:rsidRDefault="00000000">
            <w:pPr>
              <w:jc w:val="center"/>
              <w:rPr>
                <w:rFonts w:ascii="Arial" w:hAnsi="Arial" w:cs="Arial"/>
                <w:b/>
                <w:bCs/>
                <w:i/>
                <w:iCs/>
                <w:sz w:val="20"/>
                <w:szCs w:val="20"/>
              </w:rPr>
            </w:pPr>
            <w:r w:rsidRPr="007010C1">
              <w:rPr>
                <w:rFonts w:ascii="Arial" w:hAnsi="Arial" w:cs="Arial"/>
                <w:b/>
                <w:bCs/>
                <w:i/>
                <w:iCs/>
                <w:sz w:val="20"/>
                <w:szCs w:val="20"/>
              </w:rPr>
              <w:t>Ciprofloxacin(mm)</w:t>
            </w:r>
          </w:p>
        </w:tc>
      </w:tr>
      <w:tr w:rsidR="00261AF3" w:rsidRPr="007010C1" w14:paraId="503A6527" w14:textId="77777777">
        <w:tblPrEx>
          <w:tblLook w:val="04A0" w:firstRow="1" w:lastRow="0" w:firstColumn="1" w:lastColumn="0" w:noHBand="0" w:noVBand="1"/>
        </w:tblPrEx>
        <w:tc>
          <w:tcPr>
            <w:tcW w:w="1932" w:type="dxa"/>
            <w:tcBorders>
              <w:left w:val="nil"/>
              <w:bottom w:val="nil"/>
              <w:right w:val="nil"/>
            </w:tcBorders>
          </w:tcPr>
          <w:p w14:paraId="639EB4D0" w14:textId="77777777" w:rsidR="00261AF3" w:rsidRPr="007010C1" w:rsidRDefault="00000000">
            <w:pPr>
              <w:rPr>
                <w:rFonts w:ascii="Arial" w:hAnsi="Arial" w:cs="Arial"/>
                <w:sz w:val="20"/>
                <w:szCs w:val="20"/>
              </w:rPr>
            </w:pPr>
            <w:r w:rsidRPr="007010C1">
              <w:rPr>
                <w:rFonts w:ascii="Arial" w:hAnsi="Arial" w:cs="Arial"/>
                <w:sz w:val="20"/>
                <w:szCs w:val="20"/>
              </w:rPr>
              <w:t>mg/ml</w:t>
            </w:r>
          </w:p>
        </w:tc>
        <w:tc>
          <w:tcPr>
            <w:tcW w:w="741" w:type="dxa"/>
            <w:tcBorders>
              <w:left w:val="nil"/>
              <w:bottom w:val="nil"/>
              <w:right w:val="nil"/>
            </w:tcBorders>
          </w:tcPr>
          <w:p w14:paraId="5A8B8A5E" w14:textId="77777777" w:rsidR="00261AF3" w:rsidRPr="007010C1" w:rsidRDefault="00000000">
            <w:pPr>
              <w:rPr>
                <w:rFonts w:ascii="Arial" w:hAnsi="Arial" w:cs="Arial"/>
                <w:sz w:val="20"/>
                <w:szCs w:val="20"/>
              </w:rPr>
            </w:pPr>
            <w:r w:rsidRPr="007010C1">
              <w:rPr>
                <w:rFonts w:ascii="Arial" w:hAnsi="Arial" w:cs="Arial"/>
                <w:sz w:val="20"/>
                <w:szCs w:val="20"/>
              </w:rPr>
              <w:t>Trial</w:t>
            </w:r>
          </w:p>
          <w:p w14:paraId="36482D30" w14:textId="77777777" w:rsidR="00261AF3" w:rsidRPr="007010C1" w:rsidRDefault="00000000">
            <w:pPr>
              <w:rPr>
                <w:rFonts w:ascii="Arial" w:hAnsi="Arial" w:cs="Arial"/>
                <w:sz w:val="20"/>
                <w:szCs w:val="20"/>
              </w:rPr>
            </w:pPr>
            <w:r w:rsidRPr="007010C1">
              <w:rPr>
                <w:rFonts w:ascii="Arial" w:hAnsi="Arial" w:cs="Arial"/>
                <w:sz w:val="20"/>
                <w:szCs w:val="20"/>
              </w:rPr>
              <w:t>1</w:t>
            </w:r>
          </w:p>
        </w:tc>
        <w:tc>
          <w:tcPr>
            <w:tcW w:w="736" w:type="dxa"/>
            <w:tcBorders>
              <w:left w:val="nil"/>
              <w:bottom w:val="nil"/>
              <w:right w:val="nil"/>
            </w:tcBorders>
          </w:tcPr>
          <w:p w14:paraId="09FA59A4" w14:textId="77777777" w:rsidR="00261AF3" w:rsidRPr="007010C1" w:rsidRDefault="00000000">
            <w:pPr>
              <w:rPr>
                <w:rFonts w:ascii="Arial" w:hAnsi="Arial" w:cs="Arial"/>
                <w:sz w:val="20"/>
                <w:szCs w:val="20"/>
              </w:rPr>
            </w:pPr>
            <w:r w:rsidRPr="007010C1">
              <w:rPr>
                <w:rFonts w:ascii="Arial" w:hAnsi="Arial" w:cs="Arial"/>
                <w:sz w:val="20"/>
                <w:szCs w:val="20"/>
              </w:rPr>
              <w:t>Trial 2</w:t>
            </w:r>
          </w:p>
        </w:tc>
        <w:tc>
          <w:tcPr>
            <w:tcW w:w="769" w:type="dxa"/>
            <w:tcBorders>
              <w:left w:val="nil"/>
              <w:bottom w:val="nil"/>
              <w:right w:val="nil"/>
            </w:tcBorders>
          </w:tcPr>
          <w:p w14:paraId="644D9BD4" w14:textId="77777777" w:rsidR="00261AF3" w:rsidRPr="007010C1" w:rsidRDefault="00000000">
            <w:pPr>
              <w:rPr>
                <w:rFonts w:ascii="Arial" w:hAnsi="Arial" w:cs="Arial"/>
                <w:sz w:val="20"/>
                <w:szCs w:val="20"/>
              </w:rPr>
            </w:pPr>
            <w:r w:rsidRPr="007010C1">
              <w:rPr>
                <w:rFonts w:ascii="Arial" w:hAnsi="Arial" w:cs="Arial"/>
                <w:sz w:val="20"/>
                <w:szCs w:val="20"/>
              </w:rPr>
              <w:t>Trial 3</w:t>
            </w:r>
          </w:p>
        </w:tc>
        <w:tc>
          <w:tcPr>
            <w:tcW w:w="1307" w:type="dxa"/>
            <w:tcBorders>
              <w:left w:val="nil"/>
              <w:bottom w:val="nil"/>
              <w:right w:val="nil"/>
            </w:tcBorders>
          </w:tcPr>
          <w:p w14:paraId="105FF726" w14:textId="0736442A" w:rsidR="00261AF3" w:rsidRPr="007010C1" w:rsidRDefault="00000000">
            <w:pPr>
              <w:rPr>
                <w:rFonts w:ascii="Arial" w:hAnsi="Arial" w:cs="Arial"/>
                <w:sz w:val="20"/>
                <w:szCs w:val="20"/>
              </w:rPr>
            </w:pPr>
            <w:r w:rsidRPr="007010C1">
              <w:rPr>
                <w:rFonts w:ascii="Arial" w:hAnsi="Arial" w:cs="Arial"/>
                <w:sz w:val="20"/>
                <w:szCs w:val="20"/>
              </w:rPr>
              <w:t>Mean</w:t>
            </w:r>
            <w:r w:rsidR="009579BC">
              <w:rPr>
                <w:rFonts w:ascii="Arial" w:hAnsi="Arial" w:cs="Arial"/>
                <w:sz w:val="20"/>
                <w:szCs w:val="20"/>
              </w:rPr>
              <w:t xml:space="preserve"> </w:t>
            </w:r>
            <w:r w:rsidRPr="007010C1">
              <w:rPr>
                <w:rFonts w:ascii="Arial" w:hAnsi="Arial" w:cs="Arial"/>
                <w:sz w:val="20"/>
                <w:szCs w:val="20"/>
              </w:rPr>
              <w:t>±</w:t>
            </w:r>
            <w:r w:rsidR="009579BC">
              <w:rPr>
                <w:rFonts w:ascii="Arial" w:hAnsi="Arial" w:cs="Arial"/>
                <w:sz w:val="20"/>
                <w:szCs w:val="20"/>
              </w:rPr>
              <w:t xml:space="preserve"> </w:t>
            </w:r>
            <w:r w:rsidRPr="007010C1">
              <w:rPr>
                <w:rFonts w:ascii="Arial" w:hAnsi="Arial" w:cs="Arial"/>
                <w:sz w:val="20"/>
                <w:szCs w:val="20"/>
              </w:rPr>
              <w:t xml:space="preserve">SD </w:t>
            </w:r>
          </w:p>
        </w:tc>
        <w:tc>
          <w:tcPr>
            <w:tcW w:w="1180" w:type="dxa"/>
            <w:tcBorders>
              <w:left w:val="nil"/>
              <w:bottom w:val="nil"/>
              <w:right w:val="nil"/>
            </w:tcBorders>
          </w:tcPr>
          <w:p w14:paraId="4C992C32" w14:textId="77777777" w:rsidR="00261AF3" w:rsidRPr="007010C1" w:rsidRDefault="00000000">
            <w:pPr>
              <w:rPr>
                <w:rFonts w:ascii="Arial" w:hAnsi="Arial" w:cs="Arial"/>
                <w:sz w:val="20"/>
                <w:szCs w:val="20"/>
              </w:rPr>
            </w:pPr>
            <w:r w:rsidRPr="007010C1">
              <w:rPr>
                <w:rFonts w:ascii="Arial" w:hAnsi="Arial" w:cs="Arial"/>
                <w:sz w:val="20"/>
                <w:szCs w:val="20"/>
              </w:rPr>
              <w:t>Trial 1</w:t>
            </w:r>
          </w:p>
        </w:tc>
        <w:tc>
          <w:tcPr>
            <w:tcW w:w="627" w:type="dxa"/>
            <w:tcBorders>
              <w:left w:val="nil"/>
              <w:bottom w:val="nil"/>
              <w:right w:val="nil"/>
            </w:tcBorders>
          </w:tcPr>
          <w:p w14:paraId="2B414744" w14:textId="77777777" w:rsidR="00261AF3" w:rsidRPr="007010C1" w:rsidRDefault="00000000">
            <w:pPr>
              <w:rPr>
                <w:rFonts w:ascii="Arial" w:hAnsi="Arial" w:cs="Arial"/>
                <w:sz w:val="20"/>
                <w:szCs w:val="20"/>
              </w:rPr>
            </w:pPr>
            <w:r w:rsidRPr="007010C1">
              <w:rPr>
                <w:rFonts w:ascii="Arial" w:hAnsi="Arial" w:cs="Arial"/>
                <w:sz w:val="20"/>
                <w:szCs w:val="20"/>
              </w:rPr>
              <w:t>Trial 2</w:t>
            </w:r>
          </w:p>
        </w:tc>
        <w:tc>
          <w:tcPr>
            <w:tcW w:w="734" w:type="dxa"/>
            <w:tcBorders>
              <w:left w:val="nil"/>
              <w:bottom w:val="nil"/>
              <w:right w:val="nil"/>
            </w:tcBorders>
          </w:tcPr>
          <w:p w14:paraId="0257D206" w14:textId="77777777" w:rsidR="00261AF3" w:rsidRPr="007010C1" w:rsidRDefault="00000000">
            <w:pPr>
              <w:rPr>
                <w:rFonts w:ascii="Arial" w:hAnsi="Arial" w:cs="Arial"/>
                <w:sz w:val="20"/>
                <w:szCs w:val="20"/>
              </w:rPr>
            </w:pPr>
            <w:r w:rsidRPr="007010C1">
              <w:rPr>
                <w:rFonts w:ascii="Arial" w:hAnsi="Arial" w:cs="Arial"/>
                <w:sz w:val="20"/>
                <w:szCs w:val="20"/>
              </w:rPr>
              <w:t>Trial 3</w:t>
            </w:r>
          </w:p>
        </w:tc>
        <w:tc>
          <w:tcPr>
            <w:tcW w:w="1689" w:type="dxa"/>
            <w:tcBorders>
              <w:left w:val="nil"/>
              <w:bottom w:val="nil"/>
              <w:right w:val="nil"/>
            </w:tcBorders>
          </w:tcPr>
          <w:p w14:paraId="7E20ED3E" w14:textId="3B2AB879" w:rsidR="00261AF3" w:rsidRPr="007010C1" w:rsidRDefault="00000000">
            <w:pPr>
              <w:rPr>
                <w:rFonts w:ascii="Arial" w:hAnsi="Arial" w:cs="Arial"/>
                <w:sz w:val="20"/>
                <w:szCs w:val="20"/>
              </w:rPr>
            </w:pPr>
            <w:r w:rsidRPr="007010C1">
              <w:rPr>
                <w:rFonts w:ascii="Arial" w:hAnsi="Arial" w:cs="Arial"/>
                <w:sz w:val="20"/>
                <w:szCs w:val="20"/>
              </w:rPr>
              <w:t>Mean</w:t>
            </w:r>
            <w:r w:rsidR="009579BC">
              <w:rPr>
                <w:rFonts w:ascii="Arial" w:hAnsi="Arial" w:cs="Arial"/>
                <w:sz w:val="20"/>
                <w:szCs w:val="20"/>
              </w:rPr>
              <w:t xml:space="preserve"> </w:t>
            </w:r>
            <w:r w:rsidRPr="007010C1">
              <w:rPr>
                <w:rFonts w:ascii="Arial" w:hAnsi="Arial" w:cs="Arial"/>
                <w:sz w:val="20"/>
                <w:szCs w:val="20"/>
              </w:rPr>
              <w:t>±</w:t>
            </w:r>
            <w:r w:rsidR="009579BC">
              <w:rPr>
                <w:rFonts w:ascii="Arial" w:hAnsi="Arial" w:cs="Arial"/>
                <w:sz w:val="20"/>
                <w:szCs w:val="20"/>
              </w:rPr>
              <w:t xml:space="preserve"> </w:t>
            </w:r>
            <w:r w:rsidRPr="007010C1">
              <w:rPr>
                <w:rFonts w:ascii="Arial" w:hAnsi="Arial" w:cs="Arial"/>
                <w:sz w:val="20"/>
                <w:szCs w:val="20"/>
              </w:rPr>
              <w:t>SD</w:t>
            </w:r>
          </w:p>
        </w:tc>
      </w:tr>
      <w:tr w:rsidR="00261AF3" w:rsidRPr="007010C1" w14:paraId="6AF15DBE" w14:textId="77777777">
        <w:tblPrEx>
          <w:tblLook w:val="04A0" w:firstRow="1" w:lastRow="0" w:firstColumn="1" w:lastColumn="0" w:noHBand="0" w:noVBand="1"/>
        </w:tblPrEx>
        <w:tc>
          <w:tcPr>
            <w:tcW w:w="1932" w:type="dxa"/>
            <w:tcBorders>
              <w:left w:val="nil"/>
              <w:bottom w:val="nil"/>
              <w:right w:val="nil"/>
            </w:tcBorders>
          </w:tcPr>
          <w:p w14:paraId="6B475CDC" w14:textId="77777777" w:rsidR="00261AF3" w:rsidRPr="007010C1" w:rsidRDefault="00261AF3">
            <w:pPr>
              <w:rPr>
                <w:rFonts w:ascii="Arial" w:hAnsi="Arial" w:cs="Arial"/>
                <w:sz w:val="20"/>
                <w:szCs w:val="20"/>
              </w:rPr>
            </w:pPr>
          </w:p>
        </w:tc>
        <w:tc>
          <w:tcPr>
            <w:tcW w:w="741" w:type="dxa"/>
            <w:tcBorders>
              <w:left w:val="nil"/>
              <w:bottom w:val="nil"/>
              <w:right w:val="nil"/>
            </w:tcBorders>
          </w:tcPr>
          <w:p w14:paraId="2BC26001" w14:textId="77777777" w:rsidR="00261AF3" w:rsidRPr="007010C1" w:rsidRDefault="00261AF3">
            <w:pPr>
              <w:rPr>
                <w:rFonts w:ascii="Arial" w:hAnsi="Arial" w:cs="Arial"/>
                <w:sz w:val="20"/>
                <w:szCs w:val="20"/>
              </w:rPr>
            </w:pPr>
          </w:p>
        </w:tc>
        <w:tc>
          <w:tcPr>
            <w:tcW w:w="736" w:type="dxa"/>
            <w:tcBorders>
              <w:left w:val="nil"/>
              <w:bottom w:val="nil"/>
              <w:right w:val="nil"/>
            </w:tcBorders>
          </w:tcPr>
          <w:p w14:paraId="5AE9D869" w14:textId="77777777" w:rsidR="00261AF3" w:rsidRPr="007010C1" w:rsidRDefault="00261AF3">
            <w:pPr>
              <w:rPr>
                <w:rFonts w:ascii="Arial" w:hAnsi="Arial" w:cs="Arial"/>
                <w:sz w:val="20"/>
                <w:szCs w:val="20"/>
              </w:rPr>
            </w:pPr>
          </w:p>
        </w:tc>
        <w:tc>
          <w:tcPr>
            <w:tcW w:w="769" w:type="dxa"/>
            <w:tcBorders>
              <w:left w:val="nil"/>
              <w:bottom w:val="nil"/>
              <w:right w:val="nil"/>
            </w:tcBorders>
          </w:tcPr>
          <w:p w14:paraId="58200A03" w14:textId="77777777" w:rsidR="00261AF3" w:rsidRPr="007010C1" w:rsidRDefault="00261AF3">
            <w:pPr>
              <w:rPr>
                <w:rFonts w:ascii="Arial" w:hAnsi="Arial" w:cs="Arial"/>
                <w:sz w:val="20"/>
                <w:szCs w:val="20"/>
              </w:rPr>
            </w:pPr>
          </w:p>
        </w:tc>
        <w:tc>
          <w:tcPr>
            <w:tcW w:w="1307" w:type="dxa"/>
            <w:tcBorders>
              <w:left w:val="nil"/>
              <w:bottom w:val="nil"/>
              <w:right w:val="nil"/>
            </w:tcBorders>
          </w:tcPr>
          <w:p w14:paraId="602CF512" w14:textId="77777777" w:rsidR="00261AF3" w:rsidRPr="007010C1" w:rsidRDefault="00261AF3">
            <w:pPr>
              <w:rPr>
                <w:rFonts w:ascii="Arial" w:hAnsi="Arial" w:cs="Arial"/>
                <w:sz w:val="20"/>
                <w:szCs w:val="20"/>
              </w:rPr>
            </w:pPr>
          </w:p>
        </w:tc>
        <w:tc>
          <w:tcPr>
            <w:tcW w:w="1180" w:type="dxa"/>
            <w:tcBorders>
              <w:left w:val="nil"/>
              <w:bottom w:val="nil"/>
              <w:right w:val="nil"/>
            </w:tcBorders>
          </w:tcPr>
          <w:p w14:paraId="37C2A787" w14:textId="77777777" w:rsidR="00261AF3" w:rsidRPr="007010C1" w:rsidRDefault="00261AF3">
            <w:pPr>
              <w:rPr>
                <w:rFonts w:ascii="Arial" w:hAnsi="Arial" w:cs="Arial"/>
                <w:sz w:val="20"/>
                <w:szCs w:val="20"/>
              </w:rPr>
            </w:pPr>
          </w:p>
        </w:tc>
        <w:tc>
          <w:tcPr>
            <w:tcW w:w="627" w:type="dxa"/>
            <w:tcBorders>
              <w:left w:val="nil"/>
              <w:bottom w:val="nil"/>
              <w:right w:val="nil"/>
            </w:tcBorders>
          </w:tcPr>
          <w:p w14:paraId="41A1C6C7" w14:textId="77777777" w:rsidR="00261AF3" w:rsidRPr="007010C1" w:rsidRDefault="00261AF3">
            <w:pPr>
              <w:rPr>
                <w:rFonts w:ascii="Arial" w:hAnsi="Arial" w:cs="Arial"/>
                <w:sz w:val="20"/>
                <w:szCs w:val="20"/>
              </w:rPr>
            </w:pPr>
          </w:p>
        </w:tc>
        <w:tc>
          <w:tcPr>
            <w:tcW w:w="734" w:type="dxa"/>
            <w:tcBorders>
              <w:left w:val="nil"/>
              <w:bottom w:val="nil"/>
              <w:right w:val="nil"/>
            </w:tcBorders>
          </w:tcPr>
          <w:p w14:paraId="765386DF" w14:textId="77777777" w:rsidR="00261AF3" w:rsidRPr="007010C1" w:rsidRDefault="00261AF3">
            <w:pPr>
              <w:rPr>
                <w:rFonts w:ascii="Arial" w:hAnsi="Arial" w:cs="Arial"/>
                <w:sz w:val="20"/>
                <w:szCs w:val="20"/>
              </w:rPr>
            </w:pPr>
          </w:p>
        </w:tc>
        <w:tc>
          <w:tcPr>
            <w:tcW w:w="1689" w:type="dxa"/>
            <w:tcBorders>
              <w:left w:val="nil"/>
              <w:bottom w:val="nil"/>
              <w:right w:val="nil"/>
            </w:tcBorders>
          </w:tcPr>
          <w:p w14:paraId="7D6A1D42" w14:textId="77777777" w:rsidR="00261AF3" w:rsidRPr="007010C1" w:rsidRDefault="00261AF3">
            <w:pPr>
              <w:rPr>
                <w:rFonts w:ascii="Arial" w:hAnsi="Arial" w:cs="Arial"/>
                <w:sz w:val="20"/>
                <w:szCs w:val="20"/>
              </w:rPr>
            </w:pPr>
          </w:p>
        </w:tc>
      </w:tr>
      <w:tr w:rsidR="00261AF3" w:rsidRPr="007010C1" w14:paraId="012F7C83" w14:textId="77777777">
        <w:tblPrEx>
          <w:tblLook w:val="04A0" w:firstRow="1" w:lastRow="0" w:firstColumn="1" w:lastColumn="0" w:noHBand="0" w:noVBand="1"/>
        </w:tblPrEx>
        <w:tc>
          <w:tcPr>
            <w:tcW w:w="1932" w:type="dxa"/>
            <w:tcBorders>
              <w:top w:val="nil"/>
              <w:left w:val="nil"/>
              <w:bottom w:val="nil"/>
              <w:right w:val="nil"/>
            </w:tcBorders>
          </w:tcPr>
          <w:p w14:paraId="48A62A19" w14:textId="77777777" w:rsidR="00261AF3" w:rsidRPr="007010C1" w:rsidRDefault="00000000">
            <w:pPr>
              <w:rPr>
                <w:rFonts w:ascii="Arial" w:hAnsi="Arial" w:cs="Arial"/>
                <w:sz w:val="20"/>
                <w:szCs w:val="20"/>
              </w:rPr>
            </w:pPr>
            <w:r w:rsidRPr="007010C1">
              <w:rPr>
                <w:rFonts w:ascii="Arial" w:hAnsi="Arial" w:cs="Arial"/>
                <w:sz w:val="20"/>
                <w:szCs w:val="20"/>
              </w:rPr>
              <w:t>100</w:t>
            </w:r>
          </w:p>
        </w:tc>
        <w:tc>
          <w:tcPr>
            <w:tcW w:w="741" w:type="dxa"/>
            <w:tcBorders>
              <w:top w:val="nil"/>
              <w:left w:val="nil"/>
              <w:bottom w:val="nil"/>
              <w:right w:val="nil"/>
            </w:tcBorders>
          </w:tcPr>
          <w:p w14:paraId="29A9E676" w14:textId="77777777" w:rsidR="00261AF3" w:rsidRPr="007010C1" w:rsidRDefault="00000000">
            <w:pPr>
              <w:rPr>
                <w:rFonts w:ascii="Arial" w:hAnsi="Arial" w:cs="Arial"/>
                <w:sz w:val="20"/>
                <w:szCs w:val="20"/>
              </w:rPr>
            </w:pPr>
            <w:r w:rsidRPr="007010C1">
              <w:rPr>
                <w:rFonts w:ascii="Arial" w:hAnsi="Arial" w:cs="Arial"/>
                <w:sz w:val="20"/>
                <w:szCs w:val="20"/>
              </w:rPr>
              <w:t>19</w:t>
            </w:r>
          </w:p>
        </w:tc>
        <w:tc>
          <w:tcPr>
            <w:tcW w:w="736" w:type="dxa"/>
            <w:tcBorders>
              <w:top w:val="nil"/>
              <w:left w:val="nil"/>
              <w:bottom w:val="nil"/>
              <w:right w:val="nil"/>
            </w:tcBorders>
          </w:tcPr>
          <w:p w14:paraId="75FB0D7D" w14:textId="77777777" w:rsidR="00261AF3" w:rsidRPr="007010C1" w:rsidRDefault="00000000">
            <w:pPr>
              <w:rPr>
                <w:rFonts w:ascii="Arial" w:hAnsi="Arial" w:cs="Arial"/>
                <w:sz w:val="20"/>
                <w:szCs w:val="20"/>
              </w:rPr>
            </w:pPr>
            <w:r w:rsidRPr="007010C1">
              <w:rPr>
                <w:rFonts w:ascii="Arial" w:hAnsi="Arial" w:cs="Arial"/>
                <w:sz w:val="20"/>
                <w:szCs w:val="20"/>
              </w:rPr>
              <w:t>17</w:t>
            </w:r>
          </w:p>
        </w:tc>
        <w:tc>
          <w:tcPr>
            <w:tcW w:w="769" w:type="dxa"/>
            <w:tcBorders>
              <w:top w:val="nil"/>
              <w:left w:val="nil"/>
              <w:bottom w:val="nil"/>
              <w:right w:val="nil"/>
            </w:tcBorders>
          </w:tcPr>
          <w:p w14:paraId="3B415F55" w14:textId="77777777" w:rsidR="00261AF3" w:rsidRPr="007010C1" w:rsidRDefault="00000000">
            <w:pPr>
              <w:rPr>
                <w:rFonts w:ascii="Arial" w:hAnsi="Arial" w:cs="Arial"/>
                <w:sz w:val="20"/>
                <w:szCs w:val="20"/>
              </w:rPr>
            </w:pPr>
            <w:r w:rsidRPr="007010C1">
              <w:rPr>
                <w:rFonts w:ascii="Arial" w:hAnsi="Arial" w:cs="Arial"/>
                <w:sz w:val="20"/>
                <w:szCs w:val="20"/>
              </w:rPr>
              <w:t>20</w:t>
            </w:r>
          </w:p>
        </w:tc>
        <w:tc>
          <w:tcPr>
            <w:tcW w:w="1307" w:type="dxa"/>
            <w:tcBorders>
              <w:top w:val="nil"/>
              <w:left w:val="nil"/>
              <w:bottom w:val="nil"/>
              <w:right w:val="nil"/>
            </w:tcBorders>
          </w:tcPr>
          <w:p w14:paraId="55F32182" w14:textId="77777777" w:rsidR="00261AF3" w:rsidRPr="007010C1" w:rsidRDefault="00000000">
            <w:pPr>
              <w:rPr>
                <w:rFonts w:ascii="Arial" w:hAnsi="Arial" w:cs="Arial"/>
                <w:sz w:val="20"/>
                <w:szCs w:val="20"/>
              </w:rPr>
            </w:pPr>
            <w:r w:rsidRPr="007010C1">
              <w:rPr>
                <w:rFonts w:ascii="Arial" w:hAnsi="Arial" w:cs="Arial"/>
                <w:sz w:val="20"/>
                <w:szCs w:val="20"/>
              </w:rPr>
              <w:t>18.7±1.5</w:t>
            </w:r>
          </w:p>
        </w:tc>
        <w:tc>
          <w:tcPr>
            <w:tcW w:w="1180" w:type="dxa"/>
            <w:tcBorders>
              <w:top w:val="nil"/>
              <w:left w:val="nil"/>
              <w:bottom w:val="nil"/>
              <w:right w:val="nil"/>
            </w:tcBorders>
          </w:tcPr>
          <w:p w14:paraId="6B596C10" w14:textId="77777777" w:rsidR="00261AF3" w:rsidRPr="007010C1" w:rsidRDefault="00000000">
            <w:pPr>
              <w:rPr>
                <w:rFonts w:ascii="Arial" w:hAnsi="Arial" w:cs="Arial"/>
                <w:sz w:val="20"/>
                <w:szCs w:val="20"/>
              </w:rPr>
            </w:pPr>
            <w:r w:rsidRPr="007010C1">
              <w:rPr>
                <w:rFonts w:ascii="Arial" w:hAnsi="Arial" w:cs="Arial"/>
                <w:sz w:val="20"/>
                <w:szCs w:val="20"/>
              </w:rPr>
              <w:t>38</w:t>
            </w:r>
          </w:p>
        </w:tc>
        <w:tc>
          <w:tcPr>
            <w:tcW w:w="627" w:type="dxa"/>
            <w:tcBorders>
              <w:top w:val="nil"/>
              <w:left w:val="nil"/>
              <w:bottom w:val="nil"/>
              <w:right w:val="nil"/>
            </w:tcBorders>
          </w:tcPr>
          <w:p w14:paraId="60939AF8" w14:textId="77777777" w:rsidR="00261AF3" w:rsidRPr="007010C1" w:rsidRDefault="00000000">
            <w:pPr>
              <w:rPr>
                <w:rFonts w:ascii="Arial" w:hAnsi="Arial" w:cs="Arial"/>
                <w:sz w:val="20"/>
                <w:szCs w:val="20"/>
              </w:rPr>
            </w:pPr>
            <w:r w:rsidRPr="007010C1">
              <w:rPr>
                <w:rFonts w:ascii="Arial" w:hAnsi="Arial" w:cs="Arial"/>
                <w:sz w:val="20"/>
                <w:szCs w:val="20"/>
              </w:rPr>
              <w:t>40</w:t>
            </w:r>
          </w:p>
        </w:tc>
        <w:tc>
          <w:tcPr>
            <w:tcW w:w="734" w:type="dxa"/>
            <w:tcBorders>
              <w:top w:val="nil"/>
              <w:left w:val="nil"/>
              <w:bottom w:val="nil"/>
              <w:right w:val="nil"/>
            </w:tcBorders>
          </w:tcPr>
          <w:p w14:paraId="19AD115C" w14:textId="77777777" w:rsidR="00261AF3" w:rsidRPr="007010C1" w:rsidRDefault="00000000">
            <w:pPr>
              <w:rPr>
                <w:rFonts w:ascii="Arial" w:hAnsi="Arial" w:cs="Arial"/>
                <w:sz w:val="20"/>
                <w:szCs w:val="20"/>
              </w:rPr>
            </w:pPr>
            <w:r w:rsidRPr="007010C1">
              <w:rPr>
                <w:rFonts w:ascii="Arial" w:hAnsi="Arial" w:cs="Arial"/>
                <w:sz w:val="20"/>
                <w:szCs w:val="20"/>
              </w:rPr>
              <w:t>37</w:t>
            </w:r>
          </w:p>
        </w:tc>
        <w:tc>
          <w:tcPr>
            <w:tcW w:w="1689" w:type="dxa"/>
            <w:tcBorders>
              <w:top w:val="nil"/>
              <w:left w:val="nil"/>
              <w:bottom w:val="nil"/>
              <w:right w:val="nil"/>
            </w:tcBorders>
          </w:tcPr>
          <w:p w14:paraId="1F7FB42A" w14:textId="77777777" w:rsidR="00261AF3" w:rsidRPr="007010C1" w:rsidRDefault="00000000">
            <w:pPr>
              <w:rPr>
                <w:rFonts w:ascii="Arial" w:hAnsi="Arial" w:cs="Arial"/>
                <w:sz w:val="20"/>
                <w:szCs w:val="20"/>
              </w:rPr>
            </w:pPr>
            <w:r w:rsidRPr="007010C1">
              <w:rPr>
                <w:rFonts w:ascii="Arial" w:hAnsi="Arial" w:cs="Arial"/>
                <w:sz w:val="20"/>
                <w:szCs w:val="20"/>
              </w:rPr>
              <w:t>38.3±1.5</w:t>
            </w:r>
          </w:p>
        </w:tc>
      </w:tr>
      <w:tr w:rsidR="00261AF3" w:rsidRPr="007010C1" w14:paraId="3D585B91" w14:textId="77777777">
        <w:tblPrEx>
          <w:tblLook w:val="04A0" w:firstRow="1" w:lastRow="0" w:firstColumn="1" w:lastColumn="0" w:noHBand="0" w:noVBand="1"/>
        </w:tblPrEx>
        <w:tc>
          <w:tcPr>
            <w:tcW w:w="1932" w:type="dxa"/>
            <w:tcBorders>
              <w:top w:val="nil"/>
              <w:left w:val="nil"/>
              <w:bottom w:val="nil"/>
              <w:right w:val="nil"/>
            </w:tcBorders>
          </w:tcPr>
          <w:p w14:paraId="15C86B7C" w14:textId="77777777" w:rsidR="00261AF3" w:rsidRPr="007010C1" w:rsidRDefault="00000000">
            <w:pPr>
              <w:rPr>
                <w:rFonts w:ascii="Arial" w:hAnsi="Arial" w:cs="Arial"/>
                <w:sz w:val="20"/>
                <w:szCs w:val="20"/>
              </w:rPr>
            </w:pPr>
            <w:r w:rsidRPr="007010C1">
              <w:rPr>
                <w:rFonts w:ascii="Arial" w:hAnsi="Arial" w:cs="Arial"/>
                <w:sz w:val="20"/>
                <w:szCs w:val="20"/>
              </w:rPr>
              <w:t>50</w:t>
            </w:r>
          </w:p>
        </w:tc>
        <w:tc>
          <w:tcPr>
            <w:tcW w:w="741" w:type="dxa"/>
            <w:tcBorders>
              <w:top w:val="nil"/>
              <w:left w:val="nil"/>
              <w:bottom w:val="nil"/>
              <w:right w:val="nil"/>
            </w:tcBorders>
          </w:tcPr>
          <w:p w14:paraId="44D028DF" w14:textId="77777777" w:rsidR="00261AF3" w:rsidRPr="007010C1" w:rsidRDefault="00000000">
            <w:pPr>
              <w:rPr>
                <w:rFonts w:ascii="Arial" w:hAnsi="Arial" w:cs="Arial"/>
                <w:sz w:val="20"/>
                <w:szCs w:val="20"/>
              </w:rPr>
            </w:pPr>
            <w:r w:rsidRPr="007010C1">
              <w:rPr>
                <w:rFonts w:ascii="Arial" w:hAnsi="Arial" w:cs="Arial"/>
                <w:sz w:val="20"/>
                <w:szCs w:val="20"/>
              </w:rPr>
              <w:t>16</w:t>
            </w:r>
          </w:p>
        </w:tc>
        <w:tc>
          <w:tcPr>
            <w:tcW w:w="736" w:type="dxa"/>
            <w:tcBorders>
              <w:top w:val="nil"/>
              <w:left w:val="nil"/>
              <w:bottom w:val="nil"/>
              <w:right w:val="nil"/>
            </w:tcBorders>
          </w:tcPr>
          <w:p w14:paraId="00BCDA88" w14:textId="77777777" w:rsidR="00261AF3" w:rsidRPr="007010C1" w:rsidRDefault="00000000">
            <w:pPr>
              <w:rPr>
                <w:rFonts w:ascii="Arial" w:hAnsi="Arial" w:cs="Arial"/>
                <w:sz w:val="20"/>
                <w:szCs w:val="20"/>
              </w:rPr>
            </w:pPr>
            <w:r w:rsidRPr="007010C1">
              <w:rPr>
                <w:rFonts w:ascii="Arial" w:hAnsi="Arial" w:cs="Arial"/>
                <w:sz w:val="20"/>
                <w:szCs w:val="20"/>
              </w:rPr>
              <w:t>15</w:t>
            </w:r>
          </w:p>
        </w:tc>
        <w:tc>
          <w:tcPr>
            <w:tcW w:w="769" w:type="dxa"/>
            <w:tcBorders>
              <w:top w:val="nil"/>
              <w:left w:val="nil"/>
              <w:bottom w:val="nil"/>
              <w:right w:val="nil"/>
            </w:tcBorders>
          </w:tcPr>
          <w:p w14:paraId="6818313A" w14:textId="77777777" w:rsidR="00261AF3" w:rsidRPr="007010C1" w:rsidRDefault="00000000">
            <w:pPr>
              <w:rPr>
                <w:rFonts w:ascii="Arial" w:hAnsi="Arial" w:cs="Arial"/>
                <w:sz w:val="20"/>
                <w:szCs w:val="20"/>
              </w:rPr>
            </w:pPr>
            <w:r w:rsidRPr="007010C1">
              <w:rPr>
                <w:rFonts w:ascii="Arial" w:hAnsi="Arial" w:cs="Arial"/>
                <w:sz w:val="20"/>
                <w:szCs w:val="20"/>
              </w:rPr>
              <w:t>17</w:t>
            </w:r>
          </w:p>
        </w:tc>
        <w:tc>
          <w:tcPr>
            <w:tcW w:w="1307" w:type="dxa"/>
            <w:tcBorders>
              <w:top w:val="nil"/>
              <w:left w:val="nil"/>
              <w:bottom w:val="nil"/>
              <w:right w:val="nil"/>
            </w:tcBorders>
          </w:tcPr>
          <w:p w14:paraId="03256327" w14:textId="77777777" w:rsidR="00261AF3" w:rsidRPr="007010C1" w:rsidRDefault="00000000">
            <w:pPr>
              <w:rPr>
                <w:rFonts w:ascii="Arial" w:hAnsi="Arial" w:cs="Arial"/>
                <w:sz w:val="20"/>
                <w:szCs w:val="20"/>
              </w:rPr>
            </w:pPr>
            <w:r w:rsidRPr="007010C1">
              <w:rPr>
                <w:rFonts w:ascii="Arial" w:hAnsi="Arial" w:cs="Arial"/>
                <w:sz w:val="20"/>
                <w:szCs w:val="20"/>
              </w:rPr>
              <w:t>16.0±1.0</w:t>
            </w:r>
          </w:p>
        </w:tc>
        <w:tc>
          <w:tcPr>
            <w:tcW w:w="1180" w:type="dxa"/>
            <w:tcBorders>
              <w:top w:val="nil"/>
              <w:left w:val="nil"/>
              <w:bottom w:val="nil"/>
              <w:right w:val="nil"/>
            </w:tcBorders>
          </w:tcPr>
          <w:p w14:paraId="4C598F62" w14:textId="77777777" w:rsidR="00261AF3" w:rsidRPr="007010C1" w:rsidRDefault="00000000">
            <w:pPr>
              <w:rPr>
                <w:rFonts w:ascii="Arial" w:hAnsi="Arial" w:cs="Arial"/>
                <w:sz w:val="20"/>
                <w:szCs w:val="20"/>
              </w:rPr>
            </w:pPr>
            <w:r w:rsidRPr="007010C1">
              <w:rPr>
                <w:rFonts w:ascii="Arial" w:hAnsi="Arial" w:cs="Arial"/>
                <w:sz w:val="20"/>
                <w:szCs w:val="20"/>
              </w:rPr>
              <w:t>35</w:t>
            </w:r>
          </w:p>
        </w:tc>
        <w:tc>
          <w:tcPr>
            <w:tcW w:w="627" w:type="dxa"/>
            <w:tcBorders>
              <w:top w:val="nil"/>
              <w:left w:val="nil"/>
              <w:bottom w:val="nil"/>
              <w:right w:val="nil"/>
            </w:tcBorders>
          </w:tcPr>
          <w:p w14:paraId="22DE6FA2" w14:textId="77777777" w:rsidR="00261AF3" w:rsidRPr="007010C1" w:rsidRDefault="00000000">
            <w:pPr>
              <w:rPr>
                <w:rFonts w:ascii="Arial" w:hAnsi="Arial" w:cs="Arial"/>
                <w:sz w:val="20"/>
                <w:szCs w:val="20"/>
              </w:rPr>
            </w:pPr>
            <w:r w:rsidRPr="007010C1">
              <w:rPr>
                <w:rFonts w:ascii="Arial" w:hAnsi="Arial" w:cs="Arial"/>
                <w:sz w:val="20"/>
                <w:szCs w:val="20"/>
              </w:rPr>
              <w:t>36</w:t>
            </w:r>
          </w:p>
        </w:tc>
        <w:tc>
          <w:tcPr>
            <w:tcW w:w="734" w:type="dxa"/>
            <w:tcBorders>
              <w:top w:val="nil"/>
              <w:left w:val="nil"/>
              <w:bottom w:val="nil"/>
              <w:right w:val="nil"/>
            </w:tcBorders>
          </w:tcPr>
          <w:p w14:paraId="4A6D59D7" w14:textId="77777777" w:rsidR="00261AF3" w:rsidRPr="007010C1" w:rsidRDefault="00000000">
            <w:pPr>
              <w:rPr>
                <w:rFonts w:ascii="Arial" w:hAnsi="Arial" w:cs="Arial"/>
                <w:sz w:val="20"/>
                <w:szCs w:val="20"/>
              </w:rPr>
            </w:pPr>
            <w:r w:rsidRPr="007010C1">
              <w:rPr>
                <w:rFonts w:ascii="Arial" w:hAnsi="Arial" w:cs="Arial"/>
                <w:sz w:val="20"/>
                <w:szCs w:val="20"/>
              </w:rPr>
              <w:t>33</w:t>
            </w:r>
          </w:p>
        </w:tc>
        <w:tc>
          <w:tcPr>
            <w:tcW w:w="1689" w:type="dxa"/>
            <w:tcBorders>
              <w:top w:val="nil"/>
              <w:left w:val="nil"/>
              <w:bottom w:val="nil"/>
              <w:right w:val="nil"/>
            </w:tcBorders>
          </w:tcPr>
          <w:p w14:paraId="601C6B97" w14:textId="77777777" w:rsidR="00261AF3" w:rsidRPr="007010C1" w:rsidRDefault="00000000">
            <w:pPr>
              <w:rPr>
                <w:rFonts w:ascii="Arial" w:hAnsi="Arial" w:cs="Arial"/>
                <w:sz w:val="20"/>
                <w:szCs w:val="20"/>
              </w:rPr>
            </w:pPr>
            <w:r w:rsidRPr="007010C1">
              <w:rPr>
                <w:rFonts w:ascii="Arial" w:hAnsi="Arial" w:cs="Arial"/>
                <w:sz w:val="20"/>
                <w:szCs w:val="20"/>
              </w:rPr>
              <w:t>34.7±1.5</w:t>
            </w:r>
          </w:p>
        </w:tc>
      </w:tr>
      <w:tr w:rsidR="00261AF3" w:rsidRPr="007010C1" w14:paraId="509A2B6A" w14:textId="77777777">
        <w:tblPrEx>
          <w:tblLook w:val="04A0" w:firstRow="1" w:lastRow="0" w:firstColumn="1" w:lastColumn="0" w:noHBand="0" w:noVBand="1"/>
        </w:tblPrEx>
        <w:tc>
          <w:tcPr>
            <w:tcW w:w="1932" w:type="dxa"/>
            <w:tcBorders>
              <w:top w:val="nil"/>
              <w:left w:val="nil"/>
              <w:bottom w:val="nil"/>
              <w:right w:val="nil"/>
            </w:tcBorders>
          </w:tcPr>
          <w:p w14:paraId="01BDB01B" w14:textId="77777777" w:rsidR="00261AF3" w:rsidRPr="007010C1" w:rsidRDefault="00000000">
            <w:pPr>
              <w:rPr>
                <w:rFonts w:ascii="Arial" w:hAnsi="Arial" w:cs="Arial"/>
                <w:sz w:val="20"/>
                <w:szCs w:val="20"/>
              </w:rPr>
            </w:pPr>
            <w:r w:rsidRPr="007010C1">
              <w:rPr>
                <w:rFonts w:ascii="Arial" w:hAnsi="Arial" w:cs="Arial"/>
                <w:sz w:val="20"/>
                <w:szCs w:val="20"/>
              </w:rPr>
              <w:t>25</w:t>
            </w:r>
          </w:p>
        </w:tc>
        <w:tc>
          <w:tcPr>
            <w:tcW w:w="741" w:type="dxa"/>
            <w:tcBorders>
              <w:top w:val="nil"/>
              <w:left w:val="nil"/>
              <w:bottom w:val="nil"/>
              <w:right w:val="nil"/>
            </w:tcBorders>
          </w:tcPr>
          <w:p w14:paraId="6519BAE5" w14:textId="77777777" w:rsidR="00261AF3" w:rsidRPr="007010C1" w:rsidRDefault="00000000">
            <w:pPr>
              <w:rPr>
                <w:rFonts w:ascii="Arial" w:hAnsi="Arial" w:cs="Arial"/>
                <w:sz w:val="20"/>
                <w:szCs w:val="20"/>
              </w:rPr>
            </w:pPr>
            <w:r w:rsidRPr="007010C1">
              <w:rPr>
                <w:rFonts w:ascii="Arial" w:hAnsi="Arial" w:cs="Arial"/>
                <w:sz w:val="20"/>
                <w:szCs w:val="20"/>
              </w:rPr>
              <w:t>11</w:t>
            </w:r>
          </w:p>
        </w:tc>
        <w:tc>
          <w:tcPr>
            <w:tcW w:w="736" w:type="dxa"/>
            <w:tcBorders>
              <w:top w:val="nil"/>
              <w:left w:val="nil"/>
              <w:bottom w:val="nil"/>
              <w:right w:val="nil"/>
            </w:tcBorders>
          </w:tcPr>
          <w:p w14:paraId="2723E126" w14:textId="77777777" w:rsidR="00261AF3" w:rsidRPr="007010C1" w:rsidRDefault="00000000">
            <w:pPr>
              <w:rPr>
                <w:rFonts w:ascii="Arial" w:hAnsi="Arial" w:cs="Arial"/>
                <w:sz w:val="20"/>
                <w:szCs w:val="20"/>
              </w:rPr>
            </w:pPr>
            <w:r w:rsidRPr="007010C1">
              <w:rPr>
                <w:rFonts w:ascii="Arial" w:hAnsi="Arial" w:cs="Arial"/>
                <w:sz w:val="20"/>
                <w:szCs w:val="20"/>
              </w:rPr>
              <w:t>13</w:t>
            </w:r>
          </w:p>
        </w:tc>
        <w:tc>
          <w:tcPr>
            <w:tcW w:w="769" w:type="dxa"/>
            <w:tcBorders>
              <w:top w:val="nil"/>
              <w:left w:val="nil"/>
              <w:bottom w:val="nil"/>
              <w:right w:val="nil"/>
            </w:tcBorders>
          </w:tcPr>
          <w:p w14:paraId="2681463F" w14:textId="77777777" w:rsidR="00261AF3" w:rsidRPr="007010C1" w:rsidRDefault="00000000">
            <w:pPr>
              <w:rPr>
                <w:rFonts w:ascii="Arial" w:hAnsi="Arial" w:cs="Arial"/>
                <w:sz w:val="20"/>
                <w:szCs w:val="20"/>
              </w:rPr>
            </w:pPr>
            <w:r w:rsidRPr="007010C1">
              <w:rPr>
                <w:rFonts w:ascii="Arial" w:hAnsi="Arial" w:cs="Arial"/>
                <w:sz w:val="20"/>
                <w:szCs w:val="20"/>
              </w:rPr>
              <w:t>14</w:t>
            </w:r>
          </w:p>
        </w:tc>
        <w:tc>
          <w:tcPr>
            <w:tcW w:w="1307" w:type="dxa"/>
            <w:tcBorders>
              <w:top w:val="nil"/>
              <w:left w:val="nil"/>
              <w:bottom w:val="nil"/>
              <w:right w:val="nil"/>
            </w:tcBorders>
          </w:tcPr>
          <w:p w14:paraId="4870B7C0" w14:textId="77777777" w:rsidR="00261AF3" w:rsidRPr="007010C1" w:rsidRDefault="00000000">
            <w:pPr>
              <w:rPr>
                <w:rFonts w:ascii="Arial" w:hAnsi="Arial" w:cs="Arial"/>
                <w:sz w:val="20"/>
                <w:szCs w:val="20"/>
              </w:rPr>
            </w:pPr>
            <w:r w:rsidRPr="007010C1">
              <w:rPr>
                <w:rFonts w:ascii="Arial" w:hAnsi="Arial" w:cs="Arial"/>
                <w:sz w:val="20"/>
                <w:szCs w:val="20"/>
              </w:rPr>
              <w:t>12.7±1.5</w:t>
            </w:r>
          </w:p>
        </w:tc>
        <w:tc>
          <w:tcPr>
            <w:tcW w:w="1180" w:type="dxa"/>
            <w:tcBorders>
              <w:top w:val="nil"/>
              <w:left w:val="nil"/>
              <w:bottom w:val="nil"/>
              <w:right w:val="nil"/>
            </w:tcBorders>
          </w:tcPr>
          <w:p w14:paraId="27462AED" w14:textId="77777777" w:rsidR="00261AF3" w:rsidRPr="007010C1" w:rsidRDefault="00000000">
            <w:pPr>
              <w:rPr>
                <w:rFonts w:ascii="Arial" w:hAnsi="Arial" w:cs="Arial"/>
                <w:sz w:val="20"/>
                <w:szCs w:val="20"/>
              </w:rPr>
            </w:pPr>
            <w:r w:rsidRPr="007010C1">
              <w:rPr>
                <w:rFonts w:ascii="Arial" w:hAnsi="Arial" w:cs="Arial"/>
                <w:sz w:val="20"/>
                <w:szCs w:val="20"/>
              </w:rPr>
              <w:t>28</w:t>
            </w:r>
          </w:p>
        </w:tc>
        <w:tc>
          <w:tcPr>
            <w:tcW w:w="627" w:type="dxa"/>
            <w:tcBorders>
              <w:top w:val="nil"/>
              <w:left w:val="nil"/>
              <w:bottom w:val="nil"/>
              <w:right w:val="nil"/>
            </w:tcBorders>
          </w:tcPr>
          <w:p w14:paraId="49E98856" w14:textId="77777777" w:rsidR="00261AF3" w:rsidRPr="007010C1" w:rsidRDefault="00000000">
            <w:pPr>
              <w:rPr>
                <w:rFonts w:ascii="Arial" w:hAnsi="Arial" w:cs="Arial"/>
                <w:sz w:val="20"/>
                <w:szCs w:val="20"/>
              </w:rPr>
            </w:pPr>
            <w:r w:rsidRPr="007010C1">
              <w:rPr>
                <w:rFonts w:ascii="Arial" w:hAnsi="Arial" w:cs="Arial"/>
                <w:sz w:val="20"/>
                <w:szCs w:val="20"/>
              </w:rPr>
              <w:t>30</w:t>
            </w:r>
          </w:p>
        </w:tc>
        <w:tc>
          <w:tcPr>
            <w:tcW w:w="734" w:type="dxa"/>
            <w:tcBorders>
              <w:top w:val="nil"/>
              <w:left w:val="nil"/>
              <w:bottom w:val="nil"/>
              <w:right w:val="nil"/>
            </w:tcBorders>
          </w:tcPr>
          <w:p w14:paraId="1F201499" w14:textId="77777777" w:rsidR="00261AF3" w:rsidRPr="007010C1" w:rsidRDefault="00000000">
            <w:pPr>
              <w:rPr>
                <w:rFonts w:ascii="Arial" w:hAnsi="Arial" w:cs="Arial"/>
                <w:sz w:val="20"/>
                <w:szCs w:val="20"/>
              </w:rPr>
            </w:pPr>
            <w:r w:rsidRPr="007010C1">
              <w:rPr>
                <w:rFonts w:ascii="Arial" w:hAnsi="Arial" w:cs="Arial"/>
                <w:sz w:val="20"/>
                <w:szCs w:val="20"/>
              </w:rPr>
              <w:t>26</w:t>
            </w:r>
          </w:p>
        </w:tc>
        <w:tc>
          <w:tcPr>
            <w:tcW w:w="1689" w:type="dxa"/>
            <w:tcBorders>
              <w:top w:val="nil"/>
              <w:left w:val="nil"/>
              <w:bottom w:val="nil"/>
              <w:right w:val="nil"/>
            </w:tcBorders>
          </w:tcPr>
          <w:p w14:paraId="2CC304C1" w14:textId="77777777" w:rsidR="00261AF3" w:rsidRPr="007010C1" w:rsidRDefault="00000000">
            <w:pPr>
              <w:rPr>
                <w:rFonts w:ascii="Arial" w:hAnsi="Arial" w:cs="Arial"/>
                <w:sz w:val="20"/>
                <w:szCs w:val="20"/>
              </w:rPr>
            </w:pPr>
            <w:r w:rsidRPr="007010C1">
              <w:rPr>
                <w:rFonts w:ascii="Arial" w:hAnsi="Arial" w:cs="Arial"/>
                <w:sz w:val="20"/>
                <w:szCs w:val="20"/>
              </w:rPr>
              <w:t>28.0±2.0</w:t>
            </w:r>
          </w:p>
        </w:tc>
      </w:tr>
      <w:tr w:rsidR="00261AF3" w:rsidRPr="007010C1" w14:paraId="6707B908" w14:textId="77777777">
        <w:tblPrEx>
          <w:tblLook w:val="04A0" w:firstRow="1" w:lastRow="0" w:firstColumn="1" w:lastColumn="0" w:noHBand="0" w:noVBand="1"/>
        </w:tblPrEx>
        <w:trPr>
          <w:trHeight w:val="423"/>
        </w:trPr>
        <w:tc>
          <w:tcPr>
            <w:tcW w:w="1932" w:type="dxa"/>
            <w:tcBorders>
              <w:top w:val="nil"/>
              <w:left w:val="nil"/>
              <w:right w:val="nil"/>
            </w:tcBorders>
          </w:tcPr>
          <w:p w14:paraId="45807067" w14:textId="77777777" w:rsidR="00261AF3" w:rsidRPr="007010C1" w:rsidRDefault="00000000">
            <w:pPr>
              <w:rPr>
                <w:rFonts w:ascii="Arial" w:hAnsi="Arial" w:cs="Arial"/>
                <w:sz w:val="20"/>
                <w:szCs w:val="20"/>
              </w:rPr>
            </w:pPr>
            <w:r w:rsidRPr="007010C1">
              <w:rPr>
                <w:rFonts w:ascii="Arial" w:hAnsi="Arial" w:cs="Arial"/>
                <w:sz w:val="20"/>
                <w:szCs w:val="20"/>
              </w:rPr>
              <w:t>12.5</w:t>
            </w:r>
          </w:p>
        </w:tc>
        <w:tc>
          <w:tcPr>
            <w:tcW w:w="741" w:type="dxa"/>
            <w:tcBorders>
              <w:top w:val="nil"/>
              <w:left w:val="nil"/>
              <w:right w:val="nil"/>
            </w:tcBorders>
          </w:tcPr>
          <w:p w14:paraId="6B64F2A9" w14:textId="77777777" w:rsidR="00261AF3" w:rsidRPr="007010C1" w:rsidRDefault="00000000">
            <w:pPr>
              <w:rPr>
                <w:rFonts w:ascii="Arial" w:hAnsi="Arial" w:cs="Arial"/>
                <w:sz w:val="20"/>
                <w:szCs w:val="20"/>
              </w:rPr>
            </w:pPr>
            <w:r w:rsidRPr="007010C1">
              <w:rPr>
                <w:rFonts w:ascii="Arial" w:hAnsi="Arial" w:cs="Arial"/>
                <w:sz w:val="20"/>
                <w:szCs w:val="20"/>
              </w:rPr>
              <w:t>10</w:t>
            </w:r>
          </w:p>
        </w:tc>
        <w:tc>
          <w:tcPr>
            <w:tcW w:w="736" w:type="dxa"/>
            <w:tcBorders>
              <w:top w:val="nil"/>
              <w:left w:val="nil"/>
              <w:right w:val="nil"/>
            </w:tcBorders>
          </w:tcPr>
          <w:p w14:paraId="1ABE3608" w14:textId="77777777" w:rsidR="00261AF3" w:rsidRPr="007010C1" w:rsidRDefault="00000000">
            <w:pPr>
              <w:rPr>
                <w:rFonts w:ascii="Arial" w:hAnsi="Arial" w:cs="Arial"/>
                <w:sz w:val="20"/>
                <w:szCs w:val="20"/>
              </w:rPr>
            </w:pPr>
            <w:r w:rsidRPr="007010C1">
              <w:rPr>
                <w:rFonts w:ascii="Arial" w:hAnsi="Arial" w:cs="Arial"/>
                <w:sz w:val="20"/>
                <w:szCs w:val="20"/>
              </w:rPr>
              <w:t>9</w:t>
            </w:r>
          </w:p>
        </w:tc>
        <w:tc>
          <w:tcPr>
            <w:tcW w:w="769" w:type="dxa"/>
            <w:tcBorders>
              <w:top w:val="nil"/>
              <w:left w:val="nil"/>
              <w:right w:val="nil"/>
            </w:tcBorders>
          </w:tcPr>
          <w:p w14:paraId="0E2B9578" w14:textId="77777777" w:rsidR="00261AF3" w:rsidRPr="007010C1" w:rsidRDefault="00000000">
            <w:pPr>
              <w:rPr>
                <w:rFonts w:ascii="Arial" w:hAnsi="Arial" w:cs="Arial"/>
                <w:sz w:val="20"/>
                <w:szCs w:val="20"/>
              </w:rPr>
            </w:pPr>
            <w:r w:rsidRPr="007010C1">
              <w:rPr>
                <w:rFonts w:ascii="Arial" w:hAnsi="Arial" w:cs="Arial"/>
                <w:sz w:val="20"/>
                <w:szCs w:val="20"/>
              </w:rPr>
              <w:t>11</w:t>
            </w:r>
          </w:p>
        </w:tc>
        <w:tc>
          <w:tcPr>
            <w:tcW w:w="1307" w:type="dxa"/>
            <w:tcBorders>
              <w:top w:val="nil"/>
              <w:left w:val="nil"/>
              <w:right w:val="nil"/>
            </w:tcBorders>
          </w:tcPr>
          <w:p w14:paraId="3911D7CA" w14:textId="77777777" w:rsidR="00261AF3" w:rsidRPr="007010C1" w:rsidRDefault="00000000">
            <w:pPr>
              <w:rPr>
                <w:rFonts w:ascii="Arial" w:hAnsi="Arial" w:cs="Arial"/>
                <w:sz w:val="20"/>
                <w:szCs w:val="20"/>
              </w:rPr>
            </w:pPr>
            <w:r w:rsidRPr="007010C1">
              <w:rPr>
                <w:rFonts w:ascii="Arial" w:hAnsi="Arial" w:cs="Arial"/>
                <w:sz w:val="20"/>
                <w:szCs w:val="20"/>
              </w:rPr>
              <w:t>10.0±1.0</w:t>
            </w:r>
          </w:p>
        </w:tc>
        <w:tc>
          <w:tcPr>
            <w:tcW w:w="1180" w:type="dxa"/>
            <w:tcBorders>
              <w:top w:val="nil"/>
              <w:left w:val="nil"/>
              <w:right w:val="nil"/>
            </w:tcBorders>
          </w:tcPr>
          <w:p w14:paraId="7C9026E3" w14:textId="77777777" w:rsidR="00261AF3" w:rsidRPr="007010C1" w:rsidRDefault="00000000">
            <w:pPr>
              <w:rPr>
                <w:rFonts w:ascii="Arial" w:hAnsi="Arial" w:cs="Arial"/>
                <w:sz w:val="20"/>
                <w:szCs w:val="20"/>
              </w:rPr>
            </w:pPr>
            <w:r w:rsidRPr="007010C1">
              <w:rPr>
                <w:rFonts w:ascii="Arial" w:hAnsi="Arial" w:cs="Arial"/>
                <w:sz w:val="20"/>
                <w:szCs w:val="20"/>
              </w:rPr>
              <w:t>22</w:t>
            </w:r>
          </w:p>
        </w:tc>
        <w:tc>
          <w:tcPr>
            <w:tcW w:w="627" w:type="dxa"/>
            <w:tcBorders>
              <w:top w:val="nil"/>
              <w:left w:val="nil"/>
              <w:right w:val="nil"/>
            </w:tcBorders>
          </w:tcPr>
          <w:p w14:paraId="4130CFBF" w14:textId="77777777" w:rsidR="00261AF3" w:rsidRPr="007010C1" w:rsidRDefault="00000000">
            <w:pPr>
              <w:rPr>
                <w:rFonts w:ascii="Arial" w:hAnsi="Arial" w:cs="Arial"/>
                <w:sz w:val="20"/>
                <w:szCs w:val="20"/>
              </w:rPr>
            </w:pPr>
            <w:r w:rsidRPr="007010C1">
              <w:rPr>
                <w:rFonts w:ascii="Arial" w:hAnsi="Arial" w:cs="Arial"/>
                <w:sz w:val="20"/>
                <w:szCs w:val="20"/>
              </w:rPr>
              <w:t>24</w:t>
            </w:r>
          </w:p>
        </w:tc>
        <w:tc>
          <w:tcPr>
            <w:tcW w:w="734" w:type="dxa"/>
            <w:tcBorders>
              <w:top w:val="nil"/>
              <w:left w:val="nil"/>
              <w:right w:val="nil"/>
            </w:tcBorders>
          </w:tcPr>
          <w:p w14:paraId="089EA0D7" w14:textId="77777777" w:rsidR="00261AF3" w:rsidRPr="007010C1" w:rsidRDefault="00000000">
            <w:pPr>
              <w:rPr>
                <w:rFonts w:ascii="Arial" w:hAnsi="Arial" w:cs="Arial"/>
                <w:sz w:val="20"/>
                <w:szCs w:val="20"/>
              </w:rPr>
            </w:pPr>
            <w:r w:rsidRPr="007010C1">
              <w:rPr>
                <w:rFonts w:ascii="Arial" w:hAnsi="Arial" w:cs="Arial"/>
                <w:sz w:val="20"/>
                <w:szCs w:val="20"/>
              </w:rPr>
              <w:t>21</w:t>
            </w:r>
          </w:p>
        </w:tc>
        <w:tc>
          <w:tcPr>
            <w:tcW w:w="1689" w:type="dxa"/>
            <w:tcBorders>
              <w:top w:val="nil"/>
              <w:left w:val="nil"/>
              <w:right w:val="nil"/>
            </w:tcBorders>
          </w:tcPr>
          <w:p w14:paraId="488D1266" w14:textId="77777777" w:rsidR="00261AF3" w:rsidRPr="007010C1" w:rsidRDefault="00000000">
            <w:pPr>
              <w:rPr>
                <w:rFonts w:ascii="Arial" w:hAnsi="Arial" w:cs="Arial"/>
                <w:sz w:val="20"/>
                <w:szCs w:val="20"/>
              </w:rPr>
            </w:pPr>
            <w:r w:rsidRPr="007010C1">
              <w:rPr>
                <w:rFonts w:ascii="Arial" w:hAnsi="Arial" w:cs="Arial"/>
                <w:sz w:val="20"/>
                <w:szCs w:val="20"/>
              </w:rPr>
              <w:t>22.3±1.5</w:t>
            </w:r>
          </w:p>
        </w:tc>
      </w:tr>
    </w:tbl>
    <w:p w14:paraId="2E5249EA" w14:textId="77777777" w:rsidR="00261AF3" w:rsidRPr="007010C1" w:rsidRDefault="00261AF3">
      <w:pPr>
        <w:rPr>
          <w:rFonts w:ascii="Arial" w:hAnsi="Arial" w:cs="Arial"/>
        </w:rPr>
      </w:pPr>
    </w:p>
    <w:p w14:paraId="25EA5FF7" w14:textId="5930E2AB" w:rsidR="00261AF3" w:rsidRPr="00055B9B" w:rsidRDefault="00000000" w:rsidP="00055B9B">
      <w:pPr>
        <w:jc w:val="both"/>
        <w:rPr>
          <w:i/>
          <w:iCs/>
          <w:color w:val="44546A"/>
          <w:sz w:val="18"/>
          <w:szCs w:val="18"/>
          <w:lang w:val="en-ZW" w:eastAsia="en-ZW"/>
        </w:rPr>
      </w:pPr>
      <w:r w:rsidRPr="00055B9B">
        <w:rPr>
          <w:i/>
          <w:iCs/>
          <w:color w:val="44546A"/>
          <w:sz w:val="18"/>
          <w:szCs w:val="18"/>
          <w:lang w:val="en-ZW" w:eastAsia="en-ZW"/>
        </w:rPr>
        <w:t>Table 4: Net Zone of Inhibition diameter</w:t>
      </w:r>
      <w:r w:rsidR="009579BC" w:rsidRPr="00055B9B">
        <w:rPr>
          <w:i/>
          <w:iCs/>
          <w:color w:val="44546A"/>
          <w:sz w:val="18"/>
          <w:szCs w:val="18"/>
          <w:lang w:val="en-ZW" w:eastAsia="en-ZW"/>
        </w:rPr>
        <w:t xml:space="preserve"> </w:t>
      </w:r>
      <w:r w:rsidRPr="00055B9B">
        <w:rPr>
          <w:i/>
          <w:iCs/>
          <w:color w:val="44546A"/>
          <w:sz w:val="18"/>
          <w:szCs w:val="18"/>
          <w:lang w:val="en-ZW" w:eastAsia="en-ZW"/>
        </w:rPr>
        <w:t xml:space="preserve">(mm) with respect to concentration of Lyophilized </w:t>
      </w:r>
      <w:r w:rsidR="005B4ED1" w:rsidRPr="00055B9B">
        <w:rPr>
          <w:i/>
          <w:iCs/>
          <w:color w:val="44546A"/>
          <w:sz w:val="18"/>
          <w:szCs w:val="18"/>
          <w:lang w:val="en-ZW" w:eastAsia="en-ZW"/>
        </w:rPr>
        <w:t>C. edulis</w:t>
      </w:r>
      <w:r w:rsidRPr="00055B9B">
        <w:rPr>
          <w:i/>
          <w:iCs/>
          <w:color w:val="44546A"/>
          <w:sz w:val="18"/>
          <w:szCs w:val="18"/>
          <w:lang w:val="en-ZW" w:eastAsia="en-ZW"/>
        </w:rPr>
        <w:t xml:space="preserve"> and Ciprofloxacin</w:t>
      </w:r>
    </w:p>
    <w:tbl>
      <w:tblPr>
        <w:tblStyle w:val="TableGrid"/>
        <w:tblW w:w="0" w:type="auto"/>
        <w:tblLook w:val="04A0" w:firstRow="1" w:lastRow="0" w:firstColumn="1" w:lastColumn="0" w:noHBand="0" w:noVBand="1"/>
      </w:tblPr>
      <w:tblGrid>
        <w:gridCol w:w="3008"/>
        <w:gridCol w:w="3009"/>
        <w:gridCol w:w="3009"/>
      </w:tblGrid>
      <w:tr w:rsidR="00261AF3" w:rsidRPr="007010C1" w14:paraId="2A2793A2" w14:textId="77777777">
        <w:tc>
          <w:tcPr>
            <w:tcW w:w="3116" w:type="dxa"/>
            <w:tcBorders>
              <w:left w:val="nil"/>
              <w:bottom w:val="single" w:sz="4" w:space="0" w:color="auto"/>
              <w:right w:val="nil"/>
            </w:tcBorders>
          </w:tcPr>
          <w:p w14:paraId="2B7044EC"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Concentration</w:t>
            </w:r>
          </w:p>
        </w:tc>
        <w:tc>
          <w:tcPr>
            <w:tcW w:w="3117" w:type="dxa"/>
            <w:tcBorders>
              <w:left w:val="nil"/>
              <w:bottom w:val="single" w:sz="4" w:space="0" w:color="auto"/>
              <w:right w:val="nil"/>
            </w:tcBorders>
          </w:tcPr>
          <w:p w14:paraId="0D10E270"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Net Zone of Inhibition(mm)</w:t>
            </w:r>
          </w:p>
        </w:tc>
        <w:tc>
          <w:tcPr>
            <w:tcW w:w="3117" w:type="dxa"/>
            <w:tcBorders>
              <w:left w:val="nil"/>
              <w:bottom w:val="single" w:sz="4" w:space="0" w:color="auto"/>
              <w:right w:val="nil"/>
            </w:tcBorders>
          </w:tcPr>
          <w:p w14:paraId="5BCB87DA"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Net Zone of Inhibition(mm)</w:t>
            </w:r>
          </w:p>
        </w:tc>
      </w:tr>
      <w:tr w:rsidR="00261AF3" w:rsidRPr="007010C1" w14:paraId="115CE6C3" w14:textId="77777777">
        <w:tc>
          <w:tcPr>
            <w:tcW w:w="3116" w:type="dxa"/>
            <w:tcBorders>
              <w:left w:val="nil"/>
              <w:bottom w:val="nil"/>
              <w:right w:val="nil"/>
            </w:tcBorders>
          </w:tcPr>
          <w:p w14:paraId="4B5774BC"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mg/ml</w:t>
            </w:r>
          </w:p>
        </w:tc>
        <w:tc>
          <w:tcPr>
            <w:tcW w:w="3117" w:type="dxa"/>
            <w:tcBorders>
              <w:left w:val="nil"/>
              <w:bottom w:val="nil"/>
              <w:right w:val="nil"/>
            </w:tcBorders>
          </w:tcPr>
          <w:p w14:paraId="752623B0" w14:textId="4D0342C0" w:rsidR="00261AF3" w:rsidRPr="007010C1" w:rsidRDefault="005B4ED1" w:rsidP="0094124A">
            <w:pPr>
              <w:contextualSpacing/>
              <w:jc w:val="center"/>
              <w:rPr>
                <w:rFonts w:ascii="Arial" w:hAnsi="Arial" w:cs="Arial"/>
                <w:i/>
                <w:iCs/>
                <w:sz w:val="20"/>
                <w:szCs w:val="20"/>
              </w:rPr>
            </w:pPr>
            <w:r w:rsidRPr="007010C1">
              <w:rPr>
                <w:rFonts w:ascii="Arial" w:hAnsi="Arial" w:cs="Arial"/>
                <w:i/>
                <w:iCs/>
                <w:sz w:val="20"/>
                <w:szCs w:val="20"/>
              </w:rPr>
              <w:t>C. edulis</w:t>
            </w:r>
          </w:p>
        </w:tc>
        <w:tc>
          <w:tcPr>
            <w:tcW w:w="3117" w:type="dxa"/>
            <w:tcBorders>
              <w:left w:val="nil"/>
              <w:bottom w:val="nil"/>
              <w:right w:val="nil"/>
            </w:tcBorders>
          </w:tcPr>
          <w:p w14:paraId="53341D82" w14:textId="77777777" w:rsidR="00261AF3" w:rsidRPr="007010C1" w:rsidRDefault="00000000" w:rsidP="0094124A">
            <w:pPr>
              <w:contextualSpacing/>
              <w:jc w:val="center"/>
              <w:rPr>
                <w:rFonts w:ascii="Arial" w:hAnsi="Arial" w:cs="Arial"/>
                <w:i/>
                <w:iCs/>
                <w:sz w:val="20"/>
                <w:szCs w:val="20"/>
              </w:rPr>
            </w:pPr>
            <w:r w:rsidRPr="007010C1">
              <w:rPr>
                <w:rFonts w:ascii="Arial" w:hAnsi="Arial" w:cs="Arial"/>
                <w:i/>
                <w:iCs/>
                <w:sz w:val="20"/>
                <w:szCs w:val="20"/>
              </w:rPr>
              <w:t>Ciprofloxacin</w:t>
            </w:r>
          </w:p>
        </w:tc>
      </w:tr>
      <w:tr w:rsidR="00261AF3" w:rsidRPr="007010C1" w14:paraId="0E000863" w14:textId="77777777">
        <w:tc>
          <w:tcPr>
            <w:tcW w:w="3116" w:type="dxa"/>
            <w:tcBorders>
              <w:top w:val="nil"/>
              <w:left w:val="nil"/>
              <w:bottom w:val="nil"/>
              <w:right w:val="nil"/>
            </w:tcBorders>
          </w:tcPr>
          <w:p w14:paraId="340D74D9"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100</w:t>
            </w:r>
          </w:p>
        </w:tc>
        <w:tc>
          <w:tcPr>
            <w:tcW w:w="3117" w:type="dxa"/>
            <w:tcBorders>
              <w:top w:val="nil"/>
              <w:left w:val="nil"/>
              <w:bottom w:val="nil"/>
              <w:right w:val="nil"/>
            </w:tcBorders>
          </w:tcPr>
          <w:p w14:paraId="0348708B"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12.7±1.5</w:t>
            </w:r>
          </w:p>
        </w:tc>
        <w:tc>
          <w:tcPr>
            <w:tcW w:w="3117" w:type="dxa"/>
            <w:tcBorders>
              <w:top w:val="nil"/>
              <w:left w:val="nil"/>
              <w:bottom w:val="nil"/>
              <w:right w:val="nil"/>
            </w:tcBorders>
          </w:tcPr>
          <w:p w14:paraId="0D123175"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32.3±1.5</w:t>
            </w:r>
          </w:p>
        </w:tc>
      </w:tr>
      <w:tr w:rsidR="00261AF3" w:rsidRPr="007010C1" w14:paraId="33B55720" w14:textId="77777777">
        <w:tc>
          <w:tcPr>
            <w:tcW w:w="3116" w:type="dxa"/>
            <w:tcBorders>
              <w:top w:val="nil"/>
              <w:left w:val="nil"/>
              <w:bottom w:val="nil"/>
              <w:right w:val="nil"/>
            </w:tcBorders>
          </w:tcPr>
          <w:p w14:paraId="324E6EE3"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50</w:t>
            </w:r>
          </w:p>
        </w:tc>
        <w:tc>
          <w:tcPr>
            <w:tcW w:w="3117" w:type="dxa"/>
            <w:tcBorders>
              <w:top w:val="nil"/>
              <w:left w:val="nil"/>
              <w:bottom w:val="nil"/>
              <w:right w:val="nil"/>
            </w:tcBorders>
          </w:tcPr>
          <w:p w14:paraId="0600B626"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10.0±1.0</w:t>
            </w:r>
          </w:p>
        </w:tc>
        <w:tc>
          <w:tcPr>
            <w:tcW w:w="3117" w:type="dxa"/>
            <w:tcBorders>
              <w:top w:val="nil"/>
              <w:left w:val="nil"/>
              <w:bottom w:val="nil"/>
              <w:right w:val="nil"/>
            </w:tcBorders>
          </w:tcPr>
          <w:p w14:paraId="64588A0F"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28.7±1.5</w:t>
            </w:r>
          </w:p>
        </w:tc>
      </w:tr>
      <w:tr w:rsidR="00261AF3" w:rsidRPr="007010C1" w14:paraId="20732DF2" w14:textId="77777777">
        <w:tc>
          <w:tcPr>
            <w:tcW w:w="3116" w:type="dxa"/>
            <w:tcBorders>
              <w:top w:val="nil"/>
              <w:left w:val="nil"/>
              <w:bottom w:val="nil"/>
              <w:right w:val="nil"/>
            </w:tcBorders>
          </w:tcPr>
          <w:p w14:paraId="4EDC378C"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25</w:t>
            </w:r>
          </w:p>
        </w:tc>
        <w:tc>
          <w:tcPr>
            <w:tcW w:w="3117" w:type="dxa"/>
            <w:tcBorders>
              <w:top w:val="nil"/>
              <w:left w:val="nil"/>
              <w:bottom w:val="nil"/>
              <w:right w:val="nil"/>
            </w:tcBorders>
          </w:tcPr>
          <w:p w14:paraId="714BD64A"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6.70±1.5</w:t>
            </w:r>
          </w:p>
        </w:tc>
        <w:tc>
          <w:tcPr>
            <w:tcW w:w="3117" w:type="dxa"/>
            <w:tcBorders>
              <w:top w:val="nil"/>
              <w:left w:val="nil"/>
              <w:bottom w:val="nil"/>
              <w:right w:val="nil"/>
            </w:tcBorders>
          </w:tcPr>
          <w:p w14:paraId="0568CC53"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22.0±2.0</w:t>
            </w:r>
          </w:p>
        </w:tc>
      </w:tr>
      <w:tr w:rsidR="00261AF3" w:rsidRPr="007010C1" w14:paraId="3D615CED" w14:textId="77777777">
        <w:tc>
          <w:tcPr>
            <w:tcW w:w="3116" w:type="dxa"/>
            <w:tcBorders>
              <w:top w:val="nil"/>
              <w:left w:val="nil"/>
              <w:right w:val="nil"/>
            </w:tcBorders>
          </w:tcPr>
          <w:p w14:paraId="7DB673AD" w14:textId="77777777" w:rsidR="00261AF3" w:rsidRPr="007010C1" w:rsidRDefault="00000000" w:rsidP="0094124A">
            <w:pPr>
              <w:contextualSpacing/>
              <w:rPr>
                <w:rFonts w:ascii="Arial" w:hAnsi="Arial" w:cs="Arial"/>
                <w:sz w:val="20"/>
                <w:szCs w:val="20"/>
              </w:rPr>
            </w:pPr>
            <w:r w:rsidRPr="007010C1">
              <w:rPr>
                <w:rFonts w:ascii="Arial" w:hAnsi="Arial" w:cs="Arial"/>
                <w:sz w:val="20"/>
                <w:szCs w:val="20"/>
              </w:rPr>
              <w:t>12.5</w:t>
            </w:r>
          </w:p>
        </w:tc>
        <w:tc>
          <w:tcPr>
            <w:tcW w:w="3117" w:type="dxa"/>
            <w:tcBorders>
              <w:top w:val="nil"/>
              <w:left w:val="nil"/>
              <w:right w:val="nil"/>
            </w:tcBorders>
          </w:tcPr>
          <w:p w14:paraId="5B80C116"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4.00±1.0</w:t>
            </w:r>
          </w:p>
        </w:tc>
        <w:tc>
          <w:tcPr>
            <w:tcW w:w="3117" w:type="dxa"/>
            <w:tcBorders>
              <w:top w:val="nil"/>
              <w:left w:val="nil"/>
              <w:right w:val="nil"/>
            </w:tcBorders>
          </w:tcPr>
          <w:p w14:paraId="757C51F7" w14:textId="77777777" w:rsidR="00261AF3" w:rsidRPr="007010C1" w:rsidRDefault="00000000" w:rsidP="0094124A">
            <w:pPr>
              <w:contextualSpacing/>
              <w:jc w:val="center"/>
              <w:rPr>
                <w:rFonts w:ascii="Arial" w:hAnsi="Arial" w:cs="Arial"/>
                <w:sz w:val="20"/>
                <w:szCs w:val="20"/>
              </w:rPr>
            </w:pPr>
            <w:r w:rsidRPr="007010C1">
              <w:rPr>
                <w:rFonts w:ascii="Arial" w:hAnsi="Arial" w:cs="Arial"/>
                <w:sz w:val="20"/>
                <w:szCs w:val="20"/>
              </w:rPr>
              <w:t>16.3±1.5</w:t>
            </w:r>
          </w:p>
        </w:tc>
      </w:tr>
    </w:tbl>
    <w:p w14:paraId="5B36D506" w14:textId="77777777" w:rsidR="00261AF3" w:rsidRPr="002F727C" w:rsidRDefault="00261AF3">
      <w:pPr>
        <w:rPr>
          <w:rFonts w:ascii="Arial" w:hAnsi="Arial" w:cs="Arial"/>
          <w:sz w:val="24"/>
          <w:szCs w:val="24"/>
        </w:rPr>
      </w:pPr>
    </w:p>
    <w:p w14:paraId="290CA51D" w14:textId="77777777" w:rsidR="007010C1" w:rsidRDefault="00000000" w:rsidP="007010C1">
      <w:pPr>
        <w:keepNext/>
      </w:pPr>
      <w:r w:rsidRPr="002F727C">
        <w:rPr>
          <w:rFonts w:ascii="Arial" w:hAnsi="Arial" w:cs="Arial"/>
          <w:noProof/>
        </w:rPr>
        <w:lastRenderedPageBreak/>
        <w:drawing>
          <wp:inline distT="0" distB="0" distL="114300" distR="114300" wp14:anchorId="72F08D1B" wp14:editId="7F84AEF4">
            <wp:extent cx="5731510" cy="2728388"/>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B48222" w14:textId="751CF396" w:rsidR="00261AF3" w:rsidRPr="007010C1" w:rsidRDefault="007010C1" w:rsidP="007010C1">
      <w:pPr>
        <w:pStyle w:val="Caption"/>
        <w:rPr>
          <w:rFonts w:ascii="Arial" w:hAnsi="Arial" w:cs="Arial"/>
          <w:sz w:val="24"/>
          <w:szCs w:val="24"/>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7D0544">
        <w:t>Zone of Inhibition diameter(mm) with respect to concentration of Lyophilized C. edulis and Ciprofloxacin</w:t>
      </w:r>
    </w:p>
    <w:p w14:paraId="04F10B4D" w14:textId="43A1D060" w:rsidR="00261AF3" w:rsidRPr="007010C1" w:rsidRDefault="00000000" w:rsidP="002F3DEB">
      <w:pPr>
        <w:pStyle w:val="Heading2"/>
        <w:rPr>
          <w:sz w:val="28"/>
          <w:szCs w:val="28"/>
        </w:rPr>
      </w:pPr>
      <w:r w:rsidRPr="007010C1">
        <w:t xml:space="preserve">Evaluation of toxicity studies of Lyophilized extract of </w:t>
      </w:r>
      <w:r w:rsidR="005B4ED1" w:rsidRPr="007010C1">
        <w:rPr>
          <w:i/>
        </w:rPr>
        <w:t>C. edulis</w:t>
      </w:r>
    </w:p>
    <w:p w14:paraId="2E4B3E40" w14:textId="1B9E9F7F" w:rsidR="00261AF3" w:rsidRPr="007010C1" w:rsidRDefault="00000000" w:rsidP="007010C1">
      <w:pPr>
        <w:jc w:val="both"/>
        <w:rPr>
          <w:rFonts w:ascii="Arial" w:hAnsi="Arial" w:cs="Arial"/>
        </w:rPr>
      </w:pPr>
      <w:r w:rsidRPr="007010C1">
        <w:rPr>
          <w:rFonts w:ascii="Arial" w:hAnsi="Arial" w:cs="Arial"/>
          <w:color w:val="000000"/>
        </w:rPr>
        <w:t xml:space="preserve">Acute and sub-acute toxicity studies are essential for evaluating the safety profile of </w:t>
      </w:r>
      <w:r w:rsidR="005B4ED1" w:rsidRPr="007010C1">
        <w:rPr>
          <w:rFonts w:ascii="Arial" w:hAnsi="Arial" w:cs="Arial"/>
          <w:i/>
          <w:color w:val="000000"/>
        </w:rPr>
        <w:t>Carpobrotus edulis</w:t>
      </w:r>
      <w:r w:rsidRPr="007010C1">
        <w:rPr>
          <w:rFonts w:ascii="Arial" w:hAnsi="Arial" w:cs="Arial"/>
          <w:color w:val="000000"/>
        </w:rPr>
        <w:t xml:space="preserve"> extracts, ensuring their suitability for therapeutic applications in pancreatic insufficiency. </w:t>
      </w:r>
    </w:p>
    <w:p w14:paraId="179FED57" w14:textId="0EC54D63" w:rsidR="00261AF3" w:rsidRPr="002F3DEB" w:rsidRDefault="00000000" w:rsidP="002F3DEB">
      <w:pPr>
        <w:pStyle w:val="Heading3"/>
      </w:pPr>
      <w:r w:rsidRPr="002F3DEB">
        <w:t xml:space="preserve">Acute toxicity studies and validation of oral toxicity profile of </w:t>
      </w:r>
      <w:r w:rsidR="005B4ED1" w:rsidRPr="00635507">
        <w:rPr>
          <w:i/>
          <w:iCs/>
        </w:rPr>
        <w:t>C. edulis</w:t>
      </w:r>
    </w:p>
    <w:p w14:paraId="6D60F3DD" w14:textId="61EDB765" w:rsidR="00261AF3" w:rsidRPr="007010C1" w:rsidRDefault="00000000" w:rsidP="007010C1">
      <w:pPr>
        <w:jc w:val="both"/>
        <w:rPr>
          <w:rFonts w:ascii="Arial" w:hAnsi="Arial" w:cs="Arial"/>
          <w:color w:val="000000"/>
        </w:rPr>
      </w:pPr>
      <w:r w:rsidRPr="007010C1">
        <w:rPr>
          <w:rFonts w:ascii="Arial" w:hAnsi="Arial" w:cs="Arial"/>
          <w:color w:val="000000"/>
        </w:rPr>
        <w:t xml:space="preserve">The acute toxicity studies revealed no mortality or significant signs of toxicity in rats administered </w:t>
      </w:r>
      <w:r w:rsidR="005B4ED1" w:rsidRPr="007010C1">
        <w:rPr>
          <w:rFonts w:ascii="Arial" w:hAnsi="Arial" w:cs="Arial"/>
          <w:i/>
          <w:color w:val="000000"/>
        </w:rPr>
        <w:t>C. edulis</w:t>
      </w:r>
      <w:r w:rsidRPr="007010C1">
        <w:rPr>
          <w:rFonts w:ascii="Arial" w:hAnsi="Arial" w:cs="Arial"/>
          <w:color w:val="000000"/>
        </w:rPr>
        <w:t xml:space="preserve"> extracts at doses up to 5000 mg/kg body weight</w:t>
      </w:r>
      <w:r w:rsidR="00422C75">
        <w:rPr>
          <w:rFonts w:ascii="Arial" w:hAnsi="Arial" w:cs="Arial"/>
          <w:color w:val="000000"/>
        </w:rPr>
        <w:t xml:space="preserve"> as shown in table 5</w:t>
      </w:r>
      <w:r w:rsidRPr="007010C1">
        <w:rPr>
          <w:rFonts w:ascii="Arial" w:hAnsi="Arial" w:cs="Arial"/>
          <w:color w:val="000000"/>
        </w:rPr>
        <w:t xml:space="preserve">, suggesting a high margin of safety. These findings align with previous research demonstrating the non-toxic nature of aqueous </w:t>
      </w:r>
      <w:r w:rsidR="005B4ED1" w:rsidRPr="007010C1">
        <w:rPr>
          <w:rFonts w:ascii="Arial" w:hAnsi="Arial" w:cs="Arial"/>
          <w:i/>
          <w:color w:val="000000"/>
        </w:rPr>
        <w:t>C. edulis</w:t>
      </w:r>
      <w:r w:rsidRPr="007010C1">
        <w:rPr>
          <w:rFonts w:ascii="Arial" w:hAnsi="Arial" w:cs="Arial"/>
          <w:color w:val="000000"/>
        </w:rPr>
        <w:t xml:space="preserve"> extracts at a dose of 2000 mg/kg</w:t>
      </w:r>
      <w:hyperlink w:anchor="38a24be4dca31cd3230279d3cfe819f5" w:history="1">
        <w:r w:rsidR="00261AF3" w:rsidRPr="007010C1">
          <w:rPr>
            <w:rStyle w:val="Hyperlink"/>
            <w:rFonts w:ascii="Arial" w:hAnsi="Arial" w:cs="Arial"/>
            <w:color w:val="auto"/>
            <w:u w:val="none"/>
            <w:vertAlign w:val="superscript"/>
          </w:rPr>
          <w:t>4</w:t>
        </w:r>
      </w:hyperlink>
      <w:r w:rsidRPr="007010C1">
        <w:rPr>
          <w:rFonts w:ascii="Arial" w:hAnsi="Arial" w:cs="Arial"/>
          <w:color w:val="000000"/>
        </w:rPr>
        <w:t>. According to the Globally Harmonized System of Classification and Labelling of Chemicals, substances with an LD50 greater than 5000 mg/kg are considered non-toxic</w:t>
      </w:r>
      <w:hyperlink w:anchor="16157d3833c9e1fd37d0f726e4e4fcd8" w:history="1">
        <w:r w:rsidR="00261AF3" w:rsidRPr="007010C1">
          <w:rPr>
            <w:rStyle w:val="Hyperlink"/>
            <w:rFonts w:ascii="Arial" w:hAnsi="Arial" w:cs="Arial"/>
            <w:color w:val="auto"/>
            <w:u w:val="none"/>
            <w:vertAlign w:val="superscript"/>
          </w:rPr>
          <w:t>32</w:t>
        </w:r>
      </w:hyperlink>
      <w:r w:rsidRPr="007010C1">
        <w:rPr>
          <w:rFonts w:ascii="Arial" w:hAnsi="Arial" w:cs="Arial"/>
          <w:color w:val="000000"/>
        </w:rPr>
        <w:t xml:space="preserve">. The absence of mortality and visible signs of toxicity at these high doses indicates that </w:t>
      </w:r>
      <w:r w:rsidR="005B4ED1" w:rsidRPr="007010C1">
        <w:rPr>
          <w:rFonts w:ascii="Arial" w:hAnsi="Arial" w:cs="Arial"/>
          <w:i/>
          <w:color w:val="000000"/>
        </w:rPr>
        <w:t>C. edulis</w:t>
      </w:r>
      <w:r w:rsidRPr="007010C1">
        <w:rPr>
          <w:rFonts w:ascii="Arial" w:hAnsi="Arial" w:cs="Arial"/>
          <w:color w:val="000000"/>
        </w:rPr>
        <w:t xml:space="preserve"> extracts have a wide therapeutic window, minimizing the risk of adverse effects even at elevated concentrations. These results provide initial reassurance regarding the safety of </w:t>
      </w:r>
      <w:r w:rsidR="005B4ED1" w:rsidRPr="007010C1">
        <w:rPr>
          <w:rFonts w:ascii="Arial" w:hAnsi="Arial" w:cs="Arial"/>
          <w:i/>
          <w:color w:val="000000"/>
        </w:rPr>
        <w:t>C. edulis</w:t>
      </w:r>
      <w:r w:rsidRPr="007010C1">
        <w:rPr>
          <w:rFonts w:ascii="Arial" w:hAnsi="Arial" w:cs="Arial"/>
          <w:color w:val="000000"/>
        </w:rPr>
        <w:t xml:space="preserve"> extracts for potential use in treating pancreatic insufficiency. Furthermore, the detailed observations during the acute toxicity studies, including </w:t>
      </w:r>
      <w:proofErr w:type="gramStart"/>
      <w:r w:rsidRPr="007010C1">
        <w:rPr>
          <w:rFonts w:ascii="Arial" w:hAnsi="Arial" w:cs="Arial"/>
          <w:color w:val="000000"/>
        </w:rPr>
        <w:t>monitoring of</w:t>
      </w:r>
      <w:proofErr w:type="gramEnd"/>
      <w:r w:rsidRPr="007010C1">
        <w:rPr>
          <w:rFonts w:ascii="Arial" w:hAnsi="Arial" w:cs="Arial"/>
          <w:color w:val="000000"/>
        </w:rPr>
        <w:t xml:space="preserve"> behavioral changes, clinical signs, and body weight</w:t>
      </w:r>
      <w:r w:rsidR="00635507">
        <w:rPr>
          <w:rFonts w:ascii="Arial" w:hAnsi="Arial" w:cs="Arial"/>
          <w:color w:val="000000"/>
        </w:rPr>
        <w:t xml:space="preserve"> </w:t>
      </w:r>
      <w:r w:rsidR="00422C75">
        <w:rPr>
          <w:rFonts w:ascii="Arial" w:hAnsi="Arial" w:cs="Arial"/>
          <w:color w:val="000000"/>
        </w:rPr>
        <w:t>(table 6)</w:t>
      </w:r>
      <w:r w:rsidRPr="007010C1">
        <w:rPr>
          <w:rFonts w:ascii="Arial" w:hAnsi="Arial" w:cs="Arial"/>
          <w:color w:val="000000"/>
        </w:rPr>
        <w:t xml:space="preserve">, offer valuable insights into the immediate effects of </w:t>
      </w:r>
      <w:r w:rsidR="005B4ED1" w:rsidRPr="007010C1">
        <w:rPr>
          <w:rFonts w:ascii="Arial" w:hAnsi="Arial" w:cs="Arial"/>
          <w:i/>
          <w:color w:val="000000"/>
        </w:rPr>
        <w:t>C. edulis</w:t>
      </w:r>
      <w:r w:rsidRPr="007010C1">
        <w:rPr>
          <w:rFonts w:ascii="Arial" w:hAnsi="Arial" w:cs="Arial"/>
          <w:color w:val="000000"/>
        </w:rPr>
        <w:t xml:space="preserve"> extracts on the physiological and behavioral parameters of the tested animals. The fact that no significant changes were observed in these parameters further supports the safety profile of </w:t>
      </w:r>
      <w:r w:rsidR="005B4ED1" w:rsidRPr="007010C1">
        <w:rPr>
          <w:rFonts w:ascii="Arial" w:hAnsi="Arial" w:cs="Arial"/>
          <w:i/>
          <w:color w:val="000000"/>
        </w:rPr>
        <w:t>C. edulis</w:t>
      </w:r>
      <w:r w:rsidRPr="007010C1">
        <w:rPr>
          <w:rFonts w:ascii="Arial" w:hAnsi="Arial" w:cs="Arial"/>
          <w:color w:val="000000"/>
        </w:rPr>
        <w:t xml:space="preserve"> extracts during acute exposure. </w:t>
      </w:r>
    </w:p>
    <w:p w14:paraId="3DA1FE8A" w14:textId="2630C75D" w:rsidR="00261AF3" w:rsidRPr="00055B9B" w:rsidRDefault="00000000" w:rsidP="00055B9B">
      <w:pPr>
        <w:spacing w:after="0"/>
        <w:jc w:val="both"/>
        <w:outlineLvl w:val="1"/>
        <w:rPr>
          <w:i/>
          <w:iCs/>
          <w:color w:val="44546A"/>
          <w:sz w:val="18"/>
          <w:szCs w:val="18"/>
          <w:lang w:val="en-ZW" w:eastAsia="en-ZW"/>
        </w:rPr>
      </w:pPr>
      <w:r w:rsidRPr="00055B9B">
        <w:rPr>
          <w:i/>
          <w:iCs/>
          <w:color w:val="44546A"/>
          <w:sz w:val="18"/>
          <w:szCs w:val="18"/>
          <w:lang w:val="en-ZW" w:eastAsia="en-ZW"/>
        </w:rPr>
        <w:t xml:space="preserve">Table </w:t>
      </w:r>
      <w:r w:rsidR="00055B9B">
        <w:rPr>
          <w:i/>
          <w:iCs/>
          <w:color w:val="44546A"/>
          <w:sz w:val="18"/>
          <w:szCs w:val="18"/>
          <w:lang w:val="en-ZW" w:eastAsia="en-ZW"/>
        </w:rPr>
        <w:t>5</w:t>
      </w:r>
      <w:r w:rsidRPr="00055B9B">
        <w:rPr>
          <w:i/>
          <w:iCs/>
          <w:color w:val="44546A"/>
          <w:sz w:val="18"/>
          <w:szCs w:val="18"/>
          <w:lang w:val="en-ZW" w:eastAsia="en-ZW"/>
        </w:rPr>
        <w:t xml:space="preserve">: Weekly mean body weight of Sprague Dawley rat groups used in acute toxicity study of </w:t>
      </w:r>
      <w:r w:rsidR="005B4ED1" w:rsidRPr="00055B9B">
        <w:rPr>
          <w:i/>
          <w:iCs/>
          <w:color w:val="44546A"/>
          <w:sz w:val="18"/>
          <w:szCs w:val="18"/>
          <w:lang w:val="en-ZW" w:eastAsia="en-ZW"/>
        </w:rPr>
        <w:t>C. edulis</w:t>
      </w:r>
      <w:r w:rsidRPr="00055B9B">
        <w:rPr>
          <w:i/>
          <w:iCs/>
          <w:color w:val="44546A"/>
          <w:sz w:val="18"/>
          <w:szCs w:val="18"/>
          <w:lang w:val="en-ZW" w:eastAsia="en-ZW"/>
        </w:rPr>
        <w:t xml:space="preserve"> hydro-ethanolic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2"/>
        <w:gridCol w:w="1273"/>
        <w:gridCol w:w="2475"/>
        <w:gridCol w:w="2156"/>
        <w:gridCol w:w="2220"/>
      </w:tblGrid>
      <w:tr w:rsidR="00261AF3" w:rsidRPr="002F727C" w14:paraId="552177FB" w14:textId="77777777">
        <w:trPr>
          <w:tblCellSpacing w:w="15" w:type="dxa"/>
        </w:trPr>
        <w:tc>
          <w:tcPr>
            <w:tcW w:w="0" w:type="auto"/>
            <w:tcBorders>
              <w:top w:val="single" w:sz="4" w:space="0" w:color="auto"/>
              <w:left w:val="single" w:sz="4" w:space="0" w:color="auto"/>
              <w:bottom w:val="single" w:sz="4" w:space="0" w:color="auto"/>
            </w:tcBorders>
            <w:vAlign w:val="center"/>
            <w:hideMark/>
          </w:tcPr>
          <w:p w14:paraId="0AAEC8CE" w14:textId="77777777" w:rsidR="00261AF3" w:rsidRPr="002F727C" w:rsidRDefault="00000000" w:rsidP="0094124A">
            <w:pPr>
              <w:contextualSpacing/>
              <w:jc w:val="center"/>
              <w:rPr>
                <w:rFonts w:ascii="Arial" w:hAnsi="Arial" w:cs="Arial"/>
                <w:b/>
                <w:bCs/>
              </w:rPr>
            </w:pPr>
            <w:r w:rsidRPr="002F727C">
              <w:rPr>
                <w:rFonts w:ascii="Arial" w:hAnsi="Arial" w:cs="Arial"/>
                <w:b/>
                <w:bCs/>
              </w:rPr>
              <w:t>Group (n=3)</w:t>
            </w:r>
          </w:p>
        </w:tc>
        <w:tc>
          <w:tcPr>
            <w:tcW w:w="0" w:type="auto"/>
            <w:tcBorders>
              <w:top w:val="single" w:sz="4" w:space="0" w:color="auto"/>
              <w:left w:val="single" w:sz="4" w:space="0" w:color="auto"/>
              <w:bottom w:val="single" w:sz="4" w:space="0" w:color="auto"/>
              <w:right w:val="single" w:sz="4" w:space="0" w:color="auto"/>
            </w:tcBorders>
            <w:vAlign w:val="center"/>
            <w:hideMark/>
          </w:tcPr>
          <w:p w14:paraId="6E5A440D" w14:textId="77777777" w:rsidR="00261AF3" w:rsidRPr="002F727C" w:rsidRDefault="00000000" w:rsidP="0094124A">
            <w:pPr>
              <w:contextualSpacing/>
              <w:jc w:val="center"/>
              <w:rPr>
                <w:rFonts w:ascii="Arial" w:hAnsi="Arial" w:cs="Arial"/>
                <w:b/>
                <w:bCs/>
              </w:rPr>
            </w:pPr>
            <w:r w:rsidRPr="002F727C">
              <w:rPr>
                <w:rFonts w:ascii="Arial" w:hAnsi="Arial" w:cs="Arial"/>
                <w:b/>
                <w:bCs/>
              </w:rPr>
              <w:t>Dose Levels (mg/kg)</w:t>
            </w:r>
          </w:p>
        </w:tc>
        <w:tc>
          <w:tcPr>
            <w:tcW w:w="0" w:type="auto"/>
            <w:tcBorders>
              <w:top w:val="single" w:sz="4" w:space="0" w:color="auto"/>
              <w:bottom w:val="single" w:sz="4" w:space="0" w:color="auto"/>
            </w:tcBorders>
            <w:vAlign w:val="center"/>
            <w:hideMark/>
          </w:tcPr>
          <w:p w14:paraId="17F18FED" w14:textId="66CC54B4" w:rsidR="00261AF3" w:rsidRPr="002F727C" w:rsidRDefault="00000000" w:rsidP="0094124A">
            <w:pPr>
              <w:contextualSpacing/>
              <w:jc w:val="center"/>
              <w:rPr>
                <w:rFonts w:ascii="Arial" w:hAnsi="Arial" w:cs="Arial"/>
                <w:b/>
                <w:bCs/>
              </w:rPr>
            </w:pPr>
            <w:r w:rsidRPr="002F727C">
              <w:rPr>
                <w:rFonts w:ascii="Arial" w:hAnsi="Arial" w:cs="Arial"/>
                <w:b/>
                <w:bCs/>
              </w:rPr>
              <w:t xml:space="preserve">Weight in grams prior to </w:t>
            </w:r>
            <w:r w:rsidR="005B4ED1" w:rsidRPr="002F727C">
              <w:rPr>
                <w:rFonts w:ascii="Arial" w:hAnsi="Arial" w:cs="Arial"/>
                <w:b/>
                <w:bCs/>
                <w:i/>
                <w:iCs/>
              </w:rPr>
              <w:t>C. edulis</w:t>
            </w:r>
            <w:r w:rsidRPr="002F727C">
              <w:rPr>
                <w:rFonts w:ascii="Arial" w:hAnsi="Arial" w:cs="Arial"/>
                <w:b/>
                <w:bCs/>
              </w:rPr>
              <w:t xml:space="preserve"> extract exposure</w:t>
            </w:r>
          </w:p>
        </w:tc>
        <w:tc>
          <w:tcPr>
            <w:tcW w:w="0" w:type="auto"/>
            <w:tcBorders>
              <w:top w:val="single" w:sz="4" w:space="0" w:color="auto"/>
              <w:left w:val="single" w:sz="4" w:space="0" w:color="auto"/>
              <w:bottom w:val="single" w:sz="4" w:space="0" w:color="auto"/>
            </w:tcBorders>
            <w:vAlign w:val="center"/>
            <w:hideMark/>
          </w:tcPr>
          <w:p w14:paraId="292B2B79" w14:textId="77777777" w:rsidR="00261AF3" w:rsidRPr="002F727C" w:rsidRDefault="00000000" w:rsidP="0094124A">
            <w:pPr>
              <w:contextualSpacing/>
              <w:jc w:val="center"/>
              <w:rPr>
                <w:rFonts w:ascii="Arial" w:hAnsi="Arial" w:cs="Arial"/>
                <w:b/>
                <w:bCs/>
              </w:rPr>
            </w:pPr>
            <w:r w:rsidRPr="002F727C">
              <w:rPr>
                <w:rFonts w:ascii="Arial" w:hAnsi="Arial" w:cs="Arial"/>
                <w:b/>
                <w:bCs/>
              </w:rPr>
              <w:t>Weight in grams, one week after exposure</w:t>
            </w:r>
          </w:p>
        </w:tc>
        <w:tc>
          <w:tcPr>
            <w:tcW w:w="0" w:type="auto"/>
            <w:tcBorders>
              <w:top w:val="single" w:sz="4" w:space="0" w:color="auto"/>
              <w:left w:val="single" w:sz="4" w:space="0" w:color="auto"/>
              <w:bottom w:val="single" w:sz="4" w:space="0" w:color="auto"/>
              <w:right w:val="single" w:sz="4" w:space="0" w:color="auto"/>
            </w:tcBorders>
            <w:vAlign w:val="center"/>
            <w:hideMark/>
          </w:tcPr>
          <w:p w14:paraId="782F9985" w14:textId="77777777" w:rsidR="00261AF3" w:rsidRPr="002F727C" w:rsidRDefault="00000000" w:rsidP="0094124A">
            <w:pPr>
              <w:contextualSpacing/>
              <w:jc w:val="center"/>
              <w:rPr>
                <w:rFonts w:ascii="Arial" w:hAnsi="Arial" w:cs="Arial"/>
                <w:b/>
                <w:bCs/>
              </w:rPr>
            </w:pPr>
            <w:r w:rsidRPr="002F727C">
              <w:rPr>
                <w:rFonts w:ascii="Arial" w:hAnsi="Arial" w:cs="Arial"/>
                <w:b/>
                <w:bCs/>
              </w:rPr>
              <w:t>Weight in grams, two weeks after exposure</w:t>
            </w:r>
          </w:p>
        </w:tc>
      </w:tr>
      <w:tr w:rsidR="00261AF3" w:rsidRPr="002F727C" w14:paraId="75DB2120" w14:textId="77777777">
        <w:trPr>
          <w:tblCellSpacing w:w="15" w:type="dxa"/>
        </w:trPr>
        <w:tc>
          <w:tcPr>
            <w:tcW w:w="0" w:type="auto"/>
            <w:tcBorders>
              <w:left w:val="single" w:sz="4" w:space="0" w:color="auto"/>
            </w:tcBorders>
            <w:vAlign w:val="center"/>
            <w:hideMark/>
          </w:tcPr>
          <w:p w14:paraId="0004AAFC" w14:textId="77777777" w:rsidR="00261AF3" w:rsidRPr="002F727C" w:rsidRDefault="00000000" w:rsidP="0094124A">
            <w:pPr>
              <w:contextualSpacing/>
              <w:jc w:val="center"/>
              <w:rPr>
                <w:rFonts w:ascii="Arial" w:hAnsi="Arial" w:cs="Arial"/>
              </w:rPr>
            </w:pPr>
            <w:r w:rsidRPr="002F727C">
              <w:rPr>
                <w:rFonts w:ascii="Arial" w:hAnsi="Arial" w:cs="Arial"/>
              </w:rPr>
              <w:t>A</w:t>
            </w:r>
          </w:p>
        </w:tc>
        <w:tc>
          <w:tcPr>
            <w:tcW w:w="0" w:type="auto"/>
            <w:tcBorders>
              <w:left w:val="single" w:sz="4" w:space="0" w:color="auto"/>
              <w:right w:val="single" w:sz="4" w:space="0" w:color="auto"/>
            </w:tcBorders>
            <w:vAlign w:val="center"/>
            <w:hideMark/>
          </w:tcPr>
          <w:p w14:paraId="4E202E02" w14:textId="77777777" w:rsidR="00261AF3" w:rsidRPr="002F727C" w:rsidRDefault="00000000" w:rsidP="0094124A">
            <w:pPr>
              <w:contextualSpacing/>
              <w:jc w:val="center"/>
              <w:rPr>
                <w:rFonts w:ascii="Arial" w:hAnsi="Arial" w:cs="Arial"/>
              </w:rPr>
            </w:pPr>
            <w:r w:rsidRPr="002F727C">
              <w:rPr>
                <w:rFonts w:ascii="Arial" w:hAnsi="Arial" w:cs="Arial"/>
              </w:rPr>
              <w:t>0</w:t>
            </w:r>
          </w:p>
        </w:tc>
        <w:tc>
          <w:tcPr>
            <w:tcW w:w="0" w:type="auto"/>
            <w:vAlign w:val="center"/>
            <w:hideMark/>
          </w:tcPr>
          <w:p w14:paraId="4391DFDD" w14:textId="77777777" w:rsidR="00261AF3" w:rsidRPr="002F727C" w:rsidRDefault="00000000" w:rsidP="0094124A">
            <w:pPr>
              <w:contextualSpacing/>
              <w:jc w:val="center"/>
              <w:rPr>
                <w:rFonts w:ascii="Arial" w:hAnsi="Arial" w:cs="Arial"/>
              </w:rPr>
            </w:pPr>
            <w:r w:rsidRPr="002F727C">
              <w:rPr>
                <w:rFonts w:ascii="Arial" w:hAnsi="Arial" w:cs="Arial"/>
              </w:rPr>
              <w:t>120.00 ± 8.50</w:t>
            </w:r>
          </w:p>
        </w:tc>
        <w:tc>
          <w:tcPr>
            <w:tcW w:w="0" w:type="auto"/>
            <w:tcBorders>
              <w:left w:val="single" w:sz="4" w:space="0" w:color="auto"/>
            </w:tcBorders>
            <w:vAlign w:val="center"/>
            <w:hideMark/>
          </w:tcPr>
          <w:p w14:paraId="4E460085" w14:textId="77777777" w:rsidR="00261AF3" w:rsidRPr="002F727C" w:rsidRDefault="00000000" w:rsidP="0094124A">
            <w:pPr>
              <w:contextualSpacing/>
              <w:jc w:val="center"/>
              <w:rPr>
                <w:rFonts w:ascii="Arial" w:hAnsi="Arial" w:cs="Arial"/>
              </w:rPr>
            </w:pPr>
            <w:r w:rsidRPr="002F727C">
              <w:rPr>
                <w:rFonts w:ascii="Arial" w:hAnsi="Arial" w:cs="Arial"/>
              </w:rPr>
              <w:t>123.00 ± 7.90</w:t>
            </w:r>
          </w:p>
        </w:tc>
        <w:tc>
          <w:tcPr>
            <w:tcW w:w="0" w:type="auto"/>
            <w:tcBorders>
              <w:left w:val="single" w:sz="4" w:space="0" w:color="auto"/>
              <w:right w:val="single" w:sz="4" w:space="0" w:color="auto"/>
            </w:tcBorders>
            <w:vAlign w:val="center"/>
            <w:hideMark/>
          </w:tcPr>
          <w:p w14:paraId="6E8EC2FC" w14:textId="77777777" w:rsidR="00261AF3" w:rsidRPr="002F727C" w:rsidRDefault="00000000" w:rsidP="0094124A">
            <w:pPr>
              <w:contextualSpacing/>
              <w:jc w:val="center"/>
              <w:rPr>
                <w:rFonts w:ascii="Arial" w:hAnsi="Arial" w:cs="Arial"/>
              </w:rPr>
            </w:pPr>
            <w:r w:rsidRPr="002F727C">
              <w:rPr>
                <w:rFonts w:ascii="Arial" w:hAnsi="Arial" w:cs="Arial"/>
              </w:rPr>
              <w:t>127.00 ± 9.10</w:t>
            </w:r>
          </w:p>
        </w:tc>
      </w:tr>
      <w:tr w:rsidR="00261AF3" w:rsidRPr="002F727C" w14:paraId="103C8BB0" w14:textId="77777777">
        <w:trPr>
          <w:tblCellSpacing w:w="15" w:type="dxa"/>
        </w:trPr>
        <w:tc>
          <w:tcPr>
            <w:tcW w:w="0" w:type="auto"/>
            <w:tcBorders>
              <w:top w:val="single" w:sz="4" w:space="0" w:color="auto"/>
              <w:left w:val="single" w:sz="4" w:space="0" w:color="auto"/>
              <w:bottom w:val="single" w:sz="4" w:space="0" w:color="auto"/>
            </w:tcBorders>
            <w:vAlign w:val="center"/>
            <w:hideMark/>
          </w:tcPr>
          <w:p w14:paraId="7292B1E6" w14:textId="77777777" w:rsidR="00261AF3" w:rsidRPr="002F727C" w:rsidRDefault="00000000" w:rsidP="0094124A">
            <w:pPr>
              <w:contextualSpacing/>
              <w:jc w:val="center"/>
              <w:rPr>
                <w:rFonts w:ascii="Arial" w:hAnsi="Arial" w:cs="Arial"/>
              </w:rPr>
            </w:pPr>
            <w:r w:rsidRPr="002F727C">
              <w:rPr>
                <w:rFonts w:ascii="Arial" w:hAnsi="Arial" w:cs="Arial"/>
              </w:rPr>
              <w:t>B</w:t>
            </w:r>
          </w:p>
        </w:tc>
        <w:tc>
          <w:tcPr>
            <w:tcW w:w="0" w:type="auto"/>
            <w:tcBorders>
              <w:top w:val="single" w:sz="4" w:space="0" w:color="auto"/>
              <w:left w:val="single" w:sz="4" w:space="0" w:color="auto"/>
              <w:bottom w:val="single" w:sz="4" w:space="0" w:color="auto"/>
              <w:right w:val="single" w:sz="4" w:space="0" w:color="auto"/>
            </w:tcBorders>
            <w:vAlign w:val="center"/>
            <w:hideMark/>
          </w:tcPr>
          <w:p w14:paraId="00BFA657" w14:textId="77777777" w:rsidR="00261AF3" w:rsidRPr="002F727C" w:rsidRDefault="00000000" w:rsidP="0094124A">
            <w:pPr>
              <w:contextualSpacing/>
              <w:jc w:val="center"/>
              <w:rPr>
                <w:rFonts w:ascii="Arial" w:hAnsi="Arial" w:cs="Arial"/>
              </w:rPr>
            </w:pPr>
            <w:r w:rsidRPr="002F727C">
              <w:rPr>
                <w:rFonts w:ascii="Arial" w:hAnsi="Arial" w:cs="Arial"/>
              </w:rPr>
              <w:t>500</w:t>
            </w:r>
          </w:p>
        </w:tc>
        <w:tc>
          <w:tcPr>
            <w:tcW w:w="0" w:type="auto"/>
            <w:tcBorders>
              <w:top w:val="single" w:sz="4" w:space="0" w:color="auto"/>
              <w:bottom w:val="single" w:sz="4" w:space="0" w:color="auto"/>
            </w:tcBorders>
            <w:vAlign w:val="center"/>
            <w:hideMark/>
          </w:tcPr>
          <w:p w14:paraId="535D0CBB" w14:textId="77777777" w:rsidR="00261AF3" w:rsidRPr="002F727C" w:rsidRDefault="00000000" w:rsidP="0094124A">
            <w:pPr>
              <w:contextualSpacing/>
              <w:jc w:val="center"/>
              <w:rPr>
                <w:rFonts w:ascii="Arial" w:hAnsi="Arial" w:cs="Arial"/>
              </w:rPr>
            </w:pPr>
            <w:r w:rsidRPr="002F727C">
              <w:rPr>
                <w:rFonts w:ascii="Arial" w:hAnsi="Arial" w:cs="Arial"/>
              </w:rPr>
              <w:t>115.50 ± 9.20</w:t>
            </w:r>
          </w:p>
        </w:tc>
        <w:tc>
          <w:tcPr>
            <w:tcW w:w="0" w:type="auto"/>
            <w:tcBorders>
              <w:top w:val="single" w:sz="4" w:space="0" w:color="auto"/>
              <w:left w:val="single" w:sz="4" w:space="0" w:color="auto"/>
              <w:bottom w:val="single" w:sz="4" w:space="0" w:color="auto"/>
            </w:tcBorders>
            <w:vAlign w:val="center"/>
            <w:hideMark/>
          </w:tcPr>
          <w:p w14:paraId="33BE3375" w14:textId="77777777" w:rsidR="00261AF3" w:rsidRPr="002F727C" w:rsidRDefault="00000000" w:rsidP="0094124A">
            <w:pPr>
              <w:contextualSpacing/>
              <w:jc w:val="center"/>
              <w:rPr>
                <w:rFonts w:ascii="Arial" w:hAnsi="Arial" w:cs="Arial"/>
              </w:rPr>
            </w:pPr>
            <w:r w:rsidRPr="002F727C">
              <w:rPr>
                <w:rFonts w:ascii="Arial" w:hAnsi="Arial" w:cs="Arial"/>
              </w:rPr>
              <w:t>118.00 ± 8.80</w:t>
            </w:r>
          </w:p>
        </w:tc>
        <w:tc>
          <w:tcPr>
            <w:tcW w:w="0" w:type="auto"/>
            <w:tcBorders>
              <w:top w:val="single" w:sz="4" w:space="0" w:color="auto"/>
              <w:left w:val="single" w:sz="4" w:space="0" w:color="auto"/>
              <w:bottom w:val="single" w:sz="4" w:space="0" w:color="auto"/>
              <w:right w:val="single" w:sz="4" w:space="0" w:color="auto"/>
            </w:tcBorders>
            <w:vAlign w:val="center"/>
            <w:hideMark/>
          </w:tcPr>
          <w:p w14:paraId="22C8E66C" w14:textId="77777777" w:rsidR="00261AF3" w:rsidRPr="002F727C" w:rsidRDefault="00000000" w:rsidP="0094124A">
            <w:pPr>
              <w:contextualSpacing/>
              <w:jc w:val="center"/>
              <w:rPr>
                <w:rFonts w:ascii="Arial" w:hAnsi="Arial" w:cs="Arial"/>
              </w:rPr>
            </w:pPr>
            <w:r w:rsidRPr="002F727C">
              <w:rPr>
                <w:rFonts w:ascii="Arial" w:hAnsi="Arial" w:cs="Arial"/>
              </w:rPr>
              <w:t>122.50 ± 9.50</w:t>
            </w:r>
          </w:p>
        </w:tc>
      </w:tr>
      <w:tr w:rsidR="00261AF3" w:rsidRPr="002F727C" w14:paraId="7A9FBB96" w14:textId="77777777">
        <w:trPr>
          <w:tblCellSpacing w:w="15" w:type="dxa"/>
        </w:trPr>
        <w:tc>
          <w:tcPr>
            <w:tcW w:w="0" w:type="auto"/>
            <w:tcBorders>
              <w:left w:val="single" w:sz="4" w:space="0" w:color="auto"/>
            </w:tcBorders>
            <w:vAlign w:val="center"/>
            <w:hideMark/>
          </w:tcPr>
          <w:p w14:paraId="7DC7993A" w14:textId="77777777" w:rsidR="00261AF3" w:rsidRPr="002F727C" w:rsidRDefault="00000000" w:rsidP="0094124A">
            <w:pPr>
              <w:contextualSpacing/>
              <w:jc w:val="center"/>
              <w:rPr>
                <w:rFonts w:ascii="Arial" w:hAnsi="Arial" w:cs="Arial"/>
              </w:rPr>
            </w:pPr>
            <w:r w:rsidRPr="002F727C">
              <w:rPr>
                <w:rFonts w:ascii="Arial" w:hAnsi="Arial" w:cs="Arial"/>
              </w:rPr>
              <w:t>C</w:t>
            </w:r>
          </w:p>
        </w:tc>
        <w:tc>
          <w:tcPr>
            <w:tcW w:w="0" w:type="auto"/>
            <w:tcBorders>
              <w:left w:val="single" w:sz="4" w:space="0" w:color="auto"/>
              <w:right w:val="single" w:sz="4" w:space="0" w:color="auto"/>
            </w:tcBorders>
            <w:vAlign w:val="center"/>
            <w:hideMark/>
          </w:tcPr>
          <w:p w14:paraId="6D4E5269" w14:textId="77777777" w:rsidR="00261AF3" w:rsidRPr="002F727C" w:rsidRDefault="00000000" w:rsidP="0094124A">
            <w:pPr>
              <w:contextualSpacing/>
              <w:jc w:val="center"/>
              <w:rPr>
                <w:rFonts w:ascii="Arial" w:hAnsi="Arial" w:cs="Arial"/>
              </w:rPr>
            </w:pPr>
            <w:r w:rsidRPr="002F727C">
              <w:rPr>
                <w:rFonts w:ascii="Arial" w:hAnsi="Arial" w:cs="Arial"/>
              </w:rPr>
              <w:t>2500</w:t>
            </w:r>
          </w:p>
        </w:tc>
        <w:tc>
          <w:tcPr>
            <w:tcW w:w="0" w:type="auto"/>
            <w:vAlign w:val="center"/>
            <w:hideMark/>
          </w:tcPr>
          <w:p w14:paraId="70BC6839" w14:textId="77777777" w:rsidR="00261AF3" w:rsidRPr="002F727C" w:rsidRDefault="00000000" w:rsidP="0094124A">
            <w:pPr>
              <w:contextualSpacing/>
              <w:jc w:val="center"/>
              <w:rPr>
                <w:rFonts w:ascii="Arial" w:hAnsi="Arial" w:cs="Arial"/>
              </w:rPr>
            </w:pPr>
            <w:r w:rsidRPr="002F727C">
              <w:rPr>
                <w:rFonts w:ascii="Arial" w:hAnsi="Arial" w:cs="Arial"/>
              </w:rPr>
              <w:t>118.00 ± 7.80</w:t>
            </w:r>
          </w:p>
        </w:tc>
        <w:tc>
          <w:tcPr>
            <w:tcW w:w="0" w:type="auto"/>
            <w:tcBorders>
              <w:left w:val="single" w:sz="4" w:space="0" w:color="auto"/>
            </w:tcBorders>
            <w:vAlign w:val="center"/>
            <w:hideMark/>
          </w:tcPr>
          <w:p w14:paraId="06F74A12" w14:textId="77777777" w:rsidR="00261AF3" w:rsidRPr="002F727C" w:rsidRDefault="00000000" w:rsidP="0094124A">
            <w:pPr>
              <w:contextualSpacing/>
              <w:jc w:val="center"/>
              <w:rPr>
                <w:rFonts w:ascii="Arial" w:hAnsi="Arial" w:cs="Arial"/>
              </w:rPr>
            </w:pPr>
            <w:r w:rsidRPr="002F727C">
              <w:rPr>
                <w:rFonts w:ascii="Arial" w:hAnsi="Arial" w:cs="Arial"/>
              </w:rPr>
              <w:t>121.50 ± 8.10</w:t>
            </w:r>
          </w:p>
        </w:tc>
        <w:tc>
          <w:tcPr>
            <w:tcW w:w="0" w:type="auto"/>
            <w:tcBorders>
              <w:left w:val="single" w:sz="4" w:space="0" w:color="auto"/>
              <w:right w:val="single" w:sz="4" w:space="0" w:color="auto"/>
            </w:tcBorders>
            <w:vAlign w:val="center"/>
            <w:hideMark/>
          </w:tcPr>
          <w:p w14:paraId="57E155A7" w14:textId="77777777" w:rsidR="00261AF3" w:rsidRPr="002F727C" w:rsidRDefault="00000000" w:rsidP="0094124A">
            <w:pPr>
              <w:contextualSpacing/>
              <w:jc w:val="center"/>
              <w:rPr>
                <w:rFonts w:ascii="Arial" w:hAnsi="Arial" w:cs="Arial"/>
              </w:rPr>
            </w:pPr>
            <w:r w:rsidRPr="002F727C">
              <w:rPr>
                <w:rFonts w:ascii="Arial" w:hAnsi="Arial" w:cs="Arial"/>
              </w:rPr>
              <w:t>125.00 ± 8.70</w:t>
            </w:r>
          </w:p>
        </w:tc>
      </w:tr>
      <w:tr w:rsidR="00261AF3" w:rsidRPr="002F727C" w14:paraId="7AF6ECE3" w14:textId="77777777">
        <w:trPr>
          <w:tblCellSpacing w:w="15" w:type="dxa"/>
        </w:trPr>
        <w:tc>
          <w:tcPr>
            <w:tcW w:w="0" w:type="auto"/>
            <w:tcBorders>
              <w:top w:val="single" w:sz="4" w:space="0" w:color="auto"/>
              <w:left w:val="single" w:sz="4" w:space="0" w:color="auto"/>
              <w:bottom w:val="single" w:sz="4" w:space="0" w:color="auto"/>
            </w:tcBorders>
            <w:vAlign w:val="center"/>
            <w:hideMark/>
          </w:tcPr>
          <w:p w14:paraId="5CEC541D" w14:textId="77777777" w:rsidR="00261AF3" w:rsidRPr="002F727C" w:rsidRDefault="00000000" w:rsidP="0094124A">
            <w:pPr>
              <w:contextualSpacing/>
              <w:jc w:val="center"/>
              <w:rPr>
                <w:rFonts w:ascii="Arial" w:hAnsi="Arial" w:cs="Arial"/>
              </w:rPr>
            </w:pPr>
            <w:r w:rsidRPr="002F727C">
              <w:rPr>
                <w:rFonts w:ascii="Arial" w:hAnsi="Arial" w:cs="Arial"/>
              </w:rPr>
              <w:t>D</w:t>
            </w:r>
          </w:p>
        </w:tc>
        <w:tc>
          <w:tcPr>
            <w:tcW w:w="0" w:type="auto"/>
            <w:tcBorders>
              <w:top w:val="single" w:sz="4" w:space="0" w:color="auto"/>
              <w:left w:val="single" w:sz="4" w:space="0" w:color="auto"/>
              <w:bottom w:val="single" w:sz="4" w:space="0" w:color="auto"/>
              <w:right w:val="single" w:sz="4" w:space="0" w:color="auto"/>
            </w:tcBorders>
            <w:vAlign w:val="center"/>
            <w:hideMark/>
          </w:tcPr>
          <w:p w14:paraId="7163C8A7" w14:textId="77777777" w:rsidR="00261AF3" w:rsidRPr="002F727C" w:rsidRDefault="00000000" w:rsidP="0094124A">
            <w:pPr>
              <w:contextualSpacing/>
              <w:jc w:val="center"/>
              <w:rPr>
                <w:rFonts w:ascii="Arial" w:hAnsi="Arial" w:cs="Arial"/>
              </w:rPr>
            </w:pPr>
            <w:r w:rsidRPr="002F727C">
              <w:rPr>
                <w:rFonts w:ascii="Arial" w:hAnsi="Arial" w:cs="Arial"/>
              </w:rPr>
              <w:t>5000</w:t>
            </w:r>
          </w:p>
        </w:tc>
        <w:tc>
          <w:tcPr>
            <w:tcW w:w="0" w:type="auto"/>
            <w:tcBorders>
              <w:top w:val="single" w:sz="4" w:space="0" w:color="auto"/>
              <w:bottom w:val="single" w:sz="4" w:space="0" w:color="auto"/>
            </w:tcBorders>
            <w:vAlign w:val="center"/>
            <w:hideMark/>
          </w:tcPr>
          <w:p w14:paraId="1C15B2FE" w14:textId="77777777" w:rsidR="00261AF3" w:rsidRPr="002F727C" w:rsidRDefault="00000000" w:rsidP="0094124A">
            <w:pPr>
              <w:contextualSpacing/>
              <w:jc w:val="center"/>
              <w:rPr>
                <w:rFonts w:ascii="Arial" w:hAnsi="Arial" w:cs="Arial"/>
              </w:rPr>
            </w:pPr>
            <w:r w:rsidRPr="002F727C">
              <w:rPr>
                <w:rFonts w:ascii="Arial" w:hAnsi="Arial" w:cs="Arial"/>
              </w:rPr>
              <w:t>117.00 ± 8.10</w:t>
            </w:r>
          </w:p>
        </w:tc>
        <w:tc>
          <w:tcPr>
            <w:tcW w:w="0" w:type="auto"/>
            <w:tcBorders>
              <w:top w:val="single" w:sz="4" w:space="0" w:color="auto"/>
              <w:left w:val="single" w:sz="4" w:space="0" w:color="auto"/>
              <w:bottom w:val="single" w:sz="4" w:space="0" w:color="auto"/>
            </w:tcBorders>
            <w:vAlign w:val="center"/>
            <w:hideMark/>
          </w:tcPr>
          <w:p w14:paraId="07808BB9" w14:textId="77777777" w:rsidR="00261AF3" w:rsidRPr="002F727C" w:rsidRDefault="00000000" w:rsidP="0094124A">
            <w:pPr>
              <w:contextualSpacing/>
              <w:jc w:val="center"/>
              <w:rPr>
                <w:rFonts w:ascii="Arial" w:hAnsi="Arial" w:cs="Arial"/>
              </w:rPr>
            </w:pPr>
            <w:r w:rsidRPr="002F727C">
              <w:rPr>
                <w:rFonts w:ascii="Arial" w:hAnsi="Arial" w:cs="Arial"/>
              </w:rPr>
              <w:t>120.00 ± 7.50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7CFCB0" w14:textId="77777777" w:rsidR="00261AF3" w:rsidRPr="002F727C" w:rsidRDefault="00000000" w:rsidP="0094124A">
            <w:pPr>
              <w:contextualSpacing/>
              <w:jc w:val="center"/>
              <w:rPr>
                <w:rFonts w:ascii="Arial" w:hAnsi="Arial" w:cs="Arial"/>
              </w:rPr>
            </w:pPr>
            <w:r w:rsidRPr="002F727C">
              <w:rPr>
                <w:rFonts w:ascii="Arial" w:hAnsi="Arial" w:cs="Arial"/>
              </w:rPr>
              <w:t>124.50 ± 8.00</w:t>
            </w:r>
          </w:p>
        </w:tc>
      </w:tr>
    </w:tbl>
    <w:p w14:paraId="6DEAB174" w14:textId="3B245CFB" w:rsidR="00261AF3" w:rsidRPr="002F727C" w:rsidRDefault="00000000">
      <w:pPr>
        <w:spacing w:before="0"/>
        <w:jc w:val="both"/>
        <w:outlineLvl w:val="1"/>
        <w:rPr>
          <w:rFonts w:ascii="Arial" w:hAnsi="Arial" w:cs="Arial"/>
          <w:color w:val="000000"/>
        </w:rPr>
      </w:pPr>
      <w:r w:rsidRPr="002F727C">
        <w:rPr>
          <w:rFonts w:ascii="Arial" w:hAnsi="Arial" w:cs="Arial"/>
          <w:color w:val="000000"/>
        </w:rPr>
        <w:t>Values are expressed as mean</w:t>
      </w:r>
      <w:r w:rsidR="007F71EA">
        <w:rPr>
          <w:rFonts w:ascii="Arial" w:hAnsi="Arial" w:cs="Arial"/>
          <w:color w:val="000000"/>
        </w:rPr>
        <w:t xml:space="preserve"> </w:t>
      </w:r>
      <w:r w:rsidRPr="002F727C">
        <w:rPr>
          <w:rFonts w:ascii="Arial" w:hAnsi="Arial" w:cs="Arial"/>
          <w:color w:val="000000"/>
        </w:rPr>
        <w:t>±</w:t>
      </w:r>
      <w:r w:rsidR="007F71EA">
        <w:rPr>
          <w:rFonts w:ascii="Arial" w:hAnsi="Arial" w:cs="Arial"/>
          <w:color w:val="000000"/>
        </w:rPr>
        <w:t xml:space="preserve"> </w:t>
      </w:r>
      <w:r w:rsidRPr="002F727C">
        <w:rPr>
          <w:rFonts w:ascii="Arial" w:hAnsi="Arial" w:cs="Arial"/>
          <w:color w:val="000000"/>
        </w:rPr>
        <w:t>SEM. *p value less than 0.05, (p&lt;0.05) significant value.</w:t>
      </w:r>
    </w:p>
    <w:p w14:paraId="5FA6AC0B" w14:textId="23E8EAB5" w:rsidR="00261AF3" w:rsidRPr="002F3DEB" w:rsidRDefault="00000000" w:rsidP="002F3DEB">
      <w:pPr>
        <w:pStyle w:val="Heading2"/>
      </w:pPr>
      <w:r w:rsidRPr="002F3DEB">
        <w:t>Evaluation of Subacute toxicity studies</w:t>
      </w:r>
    </w:p>
    <w:p w14:paraId="18231A69" w14:textId="297A7F2C" w:rsidR="00261AF3" w:rsidRPr="007010C1" w:rsidRDefault="00000000" w:rsidP="002F3DEB">
      <w:pPr>
        <w:pStyle w:val="Heading3"/>
      </w:pPr>
      <w:r w:rsidRPr="007010C1">
        <w:t xml:space="preserve">Observations from subacute toxicity profiling of </w:t>
      </w:r>
      <w:r w:rsidR="005B4ED1" w:rsidRPr="007010C1">
        <w:rPr>
          <w:i/>
          <w:iCs/>
        </w:rPr>
        <w:t>C. edulis</w:t>
      </w:r>
    </w:p>
    <w:p w14:paraId="15B8DDA7" w14:textId="1B1813C5" w:rsidR="00261AF3" w:rsidRPr="007010C1" w:rsidRDefault="00000000" w:rsidP="007010C1">
      <w:pPr>
        <w:jc w:val="both"/>
        <w:rPr>
          <w:rFonts w:ascii="Arial" w:hAnsi="Arial" w:cs="Arial"/>
          <w:color w:val="000000"/>
        </w:rPr>
      </w:pPr>
      <w:r w:rsidRPr="007010C1">
        <w:rPr>
          <w:rFonts w:ascii="Arial" w:hAnsi="Arial" w:cs="Arial"/>
          <w:color w:val="000000"/>
        </w:rPr>
        <w:t xml:space="preserve">The sub-acute toxicity study, conducted over 28 days, supported the safety of </w:t>
      </w:r>
      <w:r w:rsidR="005B4ED1" w:rsidRPr="007010C1">
        <w:rPr>
          <w:rFonts w:ascii="Arial" w:hAnsi="Arial" w:cs="Arial"/>
          <w:i/>
          <w:color w:val="000000"/>
        </w:rPr>
        <w:t>C. edulis</w:t>
      </w:r>
      <w:r w:rsidRPr="007010C1">
        <w:rPr>
          <w:rFonts w:ascii="Arial" w:hAnsi="Arial" w:cs="Arial"/>
          <w:color w:val="000000"/>
        </w:rPr>
        <w:t xml:space="preserve"> extracts at doses up to 1000 mg/kg body weight</w:t>
      </w:r>
      <w:r w:rsidR="00685BCB">
        <w:rPr>
          <w:rFonts w:ascii="Arial" w:hAnsi="Arial" w:cs="Arial"/>
          <w:color w:val="000000"/>
        </w:rPr>
        <w:t xml:space="preserve"> as shown in table </w:t>
      </w:r>
      <w:r w:rsidR="0094124A">
        <w:rPr>
          <w:rFonts w:ascii="Arial" w:hAnsi="Arial" w:cs="Arial"/>
          <w:color w:val="000000"/>
        </w:rPr>
        <w:t>6 and Figure 5</w:t>
      </w:r>
      <w:r w:rsidRPr="007010C1">
        <w:rPr>
          <w:rFonts w:ascii="Arial" w:hAnsi="Arial" w:cs="Arial"/>
          <w:color w:val="000000"/>
        </w:rPr>
        <w:t xml:space="preserve">. The treated rats exhibited normal food and water intake, similar to the control group, suggesting that the extract did not significantly affect </w:t>
      </w:r>
      <w:r w:rsidRPr="007010C1">
        <w:rPr>
          <w:rFonts w:ascii="Arial" w:hAnsi="Arial" w:cs="Arial"/>
          <w:color w:val="000000"/>
        </w:rPr>
        <w:lastRenderedPageBreak/>
        <w:t>their appetite or general physiology. Importantly, no deaths occurred in any of the groups, indicating a lack of acute toxicity at the tested doses</w:t>
      </w:r>
      <w:r w:rsidR="00685BCB">
        <w:rPr>
          <w:rFonts w:ascii="Arial" w:hAnsi="Arial" w:cs="Arial"/>
          <w:color w:val="000000"/>
        </w:rPr>
        <w:t xml:space="preserve">. The treatment did not cause significant </w:t>
      </w:r>
      <w:proofErr w:type="gramStart"/>
      <w:r w:rsidR="00685BCB">
        <w:rPr>
          <w:rFonts w:ascii="Arial" w:hAnsi="Arial" w:cs="Arial"/>
          <w:color w:val="000000"/>
        </w:rPr>
        <w:t>change</w:t>
      </w:r>
      <w:proofErr w:type="gramEnd"/>
      <w:r w:rsidR="00685BCB">
        <w:rPr>
          <w:rFonts w:ascii="Arial" w:hAnsi="Arial" w:cs="Arial"/>
          <w:color w:val="000000"/>
        </w:rPr>
        <w:t xml:space="preserve"> in weights of rats</w:t>
      </w:r>
      <w:r w:rsidR="008A713F">
        <w:rPr>
          <w:rFonts w:ascii="Arial" w:hAnsi="Arial" w:cs="Arial"/>
          <w:color w:val="000000"/>
        </w:rPr>
        <w:t xml:space="preserve"> </w:t>
      </w:r>
      <w:r w:rsidR="00685BCB">
        <w:rPr>
          <w:rFonts w:ascii="Arial" w:hAnsi="Arial" w:cs="Arial"/>
          <w:color w:val="000000"/>
        </w:rPr>
        <w:t>(fig 5)</w:t>
      </w:r>
      <w:r w:rsidRPr="007010C1">
        <w:rPr>
          <w:rFonts w:ascii="Arial" w:hAnsi="Arial" w:cs="Arial"/>
          <w:color w:val="000000"/>
        </w:rPr>
        <w:t>. Furthermore, the absence of clinical signs, such as drowsiness or erection of fur, reinforced the non-toxic nature of the extract. However, increased urination was noted in the 1000 mg/kg group, prompting further toxicity studies, including hematology, biochemistry, and histopathology</w:t>
      </w:r>
      <w:hyperlink w:anchor="38a24be4dca31cd3230279d3cfe819f5" w:history="1">
        <w:r w:rsidR="00261AF3" w:rsidRPr="007010C1">
          <w:rPr>
            <w:rStyle w:val="Hyperlink"/>
            <w:rFonts w:ascii="Arial" w:hAnsi="Arial" w:cs="Arial"/>
            <w:color w:val="auto"/>
            <w:u w:val="none"/>
            <w:vertAlign w:val="superscript"/>
          </w:rPr>
          <w:t>4</w:t>
        </w:r>
      </w:hyperlink>
      <w:r w:rsidRPr="007010C1">
        <w:rPr>
          <w:rFonts w:ascii="Arial" w:hAnsi="Arial" w:cs="Arial"/>
          <w:color w:val="000000"/>
        </w:rPr>
        <w:t>. These findings align with previous studies</w:t>
      </w:r>
      <w:hyperlink w:anchor="38a24be4dca31cd3230279d3cfe819f5" w:history="1">
        <w:r w:rsidR="00261AF3" w:rsidRPr="007010C1">
          <w:rPr>
            <w:rStyle w:val="Hyperlink"/>
            <w:rFonts w:ascii="Arial" w:hAnsi="Arial" w:cs="Arial"/>
            <w:color w:val="auto"/>
            <w:u w:val="none"/>
            <w:vertAlign w:val="superscript"/>
          </w:rPr>
          <w:t>4</w:t>
        </w:r>
      </w:hyperlink>
      <w:r w:rsidRPr="007010C1">
        <w:rPr>
          <w:rFonts w:ascii="Arial" w:hAnsi="Arial" w:cs="Arial"/>
          <w:color w:val="000000"/>
        </w:rPr>
        <w:t xml:space="preserve">, which also found no adverse effects on body weight, feed/water intake, or tested biochemical parameters in Sprague Dawley rats, reinforcing the safety profile of </w:t>
      </w:r>
      <w:r w:rsidR="005B4ED1" w:rsidRPr="007010C1">
        <w:rPr>
          <w:rFonts w:ascii="Arial" w:hAnsi="Arial" w:cs="Arial"/>
          <w:i/>
          <w:color w:val="000000"/>
        </w:rPr>
        <w:t>C. edulis</w:t>
      </w:r>
      <w:r w:rsidRPr="007010C1">
        <w:rPr>
          <w:rFonts w:ascii="Arial" w:hAnsi="Arial" w:cs="Arial"/>
          <w:color w:val="000000"/>
        </w:rPr>
        <w:t xml:space="preserve">. Considering its favorable side effect profile, the potential use of </w:t>
      </w:r>
      <w:r w:rsidR="005B4ED1" w:rsidRPr="007010C1">
        <w:rPr>
          <w:rFonts w:ascii="Arial" w:hAnsi="Arial" w:cs="Arial"/>
          <w:i/>
          <w:color w:val="000000"/>
        </w:rPr>
        <w:t>C. edulis</w:t>
      </w:r>
      <w:r w:rsidRPr="007010C1">
        <w:rPr>
          <w:rFonts w:ascii="Arial" w:hAnsi="Arial" w:cs="Arial"/>
          <w:color w:val="000000"/>
        </w:rPr>
        <w:t xml:space="preserve"> in pancreatic insufficiency could be validated, as the plant appears to be relatively safe at the tested doses, with no significant adverse effects observed on the general health and behavior of the treated animals. The increased urination observed at the highest dose (1000 mg/kg) may indicate a potential diuretic effect of the extract, which could be further investigated to determine its underlying mechanism and potential implications for fluid balance.</w:t>
      </w:r>
    </w:p>
    <w:p w14:paraId="701C0949" w14:textId="5E95F1DE" w:rsidR="00261AF3" w:rsidRPr="00055B9B" w:rsidRDefault="00000000" w:rsidP="00055B9B">
      <w:pPr>
        <w:spacing w:after="0"/>
        <w:jc w:val="both"/>
        <w:outlineLvl w:val="1"/>
        <w:rPr>
          <w:i/>
          <w:iCs/>
          <w:color w:val="44546A"/>
          <w:sz w:val="18"/>
          <w:szCs w:val="18"/>
          <w:lang w:val="en-ZW" w:eastAsia="en-ZW"/>
        </w:rPr>
      </w:pPr>
      <w:r w:rsidRPr="00055B9B">
        <w:rPr>
          <w:i/>
          <w:iCs/>
          <w:color w:val="44546A"/>
          <w:sz w:val="18"/>
          <w:szCs w:val="18"/>
          <w:lang w:val="en-ZW" w:eastAsia="en-ZW"/>
        </w:rPr>
        <w:t xml:space="preserve">Table </w:t>
      </w:r>
      <w:r w:rsidR="00055B9B">
        <w:rPr>
          <w:i/>
          <w:iCs/>
          <w:color w:val="44546A"/>
          <w:sz w:val="18"/>
          <w:szCs w:val="18"/>
          <w:lang w:val="en-ZW" w:eastAsia="en-ZW"/>
        </w:rPr>
        <w:t>6</w:t>
      </w:r>
      <w:r w:rsidRPr="00055B9B">
        <w:rPr>
          <w:i/>
          <w:iCs/>
          <w:color w:val="44546A"/>
          <w:sz w:val="18"/>
          <w:szCs w:val="18"/>
          <w:lang w:val="en-ZW" w:eastAsia="en-ZW"/>
        </w:rPr>
        <w:t>. Observations from</w:t>
      </w:r>
      <w:r w:rsidR="00055B9B">
        <w:rPr>
          <w:i/>
          <w:iCs/>
          <w:color w:val="44546A"/>
          <w:sz w:val="18"/>
          <w:szCs w:val="18"/>
          <w:lang w:val="en-ZW" w:eastAsia="en-ZW"/>
        </w:rPr>
        <w:t xml:space="preserve"> Acute and </w:t>
      </w:r>
      <w:r w:rsidRPr="00055B9B">
        <w:rPr>
          <w:i/>
          <w:iCs/>
          <w:color w:val="44546A"/>
          <w:sz w:val="18"/>
          <w:szCs w:val="18"/>
          <w:lang w:val="en-ZW" w:eastAsia="en-ZW"/>
        </w:rPr>
        <w:t xml:space="preserve">subacute toxicity profiling of </w:t>
      </w:r>
      <w:r w:rsidR="005B4ED1" w:rsidRPr="00055B9B">
        <w:rPr>
          <w:i/>
          <w:iCs/>
          <w:color w:val="44546A"/>
          <w:sz w:val="18"/>
          <w:szCs w:val="18"/>
          <w:lang w:val="en-ZW" w:eastAsia="en-ZW"/>
        </w:rPr>
        <w:t>C. edulis</w:t>
      </w:r>
    </w:p>
    <w:tbl>
      <w:tblPr>
        <w:tblStyle w:val="TableGrid3"/>
        <w:tblpPr w:leftFromText="180" w:rightFromText="180" w:vertAnchor="text" w:horzAnchor="margin" w:tblpY="133"/>
        <w:tblW w:w="0" w:type="auto"/>
        <w:tblLook w:val="04A0" w:firstRow="1" w:lastRow="0" w:firstColumn="1" w:lastColumn="0" w:noHBand="0" w:noVBand="1"/>
      </w:tblPr>
      <w:tblGrid>
        <w:gridCol w:w="1854"/>
        <w:gridCol w:w="2094"/>
        <w:gridCol w:w="2866"/>
        <w:gridCol w:w="1884"/>
        <w:gridCol w:w="328"/>
      </w:tblGrid>
      <w:tr w:rsidR="00261AF3" w:rsidRPr="002F727C" w14:paraId="4B1EE406" w14:textId="77777777">
        <w:trPr>
          <w:trHeight w:val="395"/>
        </w:trPr>
        <w:tc>
          <w:tcPr>
            <w:tcW w:w="1858" w:type="dxa"/>
            <w:tcBorders>
              <w:left w:val="nil"/>
              <w:bottom w:val="single" w:sz="4" w:space="0" w:color="auto"/>
              <w:right w:val="nil"/>
            </w:tcBorders>
          </w:tcPr>
          <w:p w14:paraId="7E9D2981" w14:textId="77777777" w:rsidR="00261AF3" w:rsidRPr="002F727C" w:rsidRDefault="00000000" w:rsidP="0094124A">
            <w:pPr>
              <w:contextualSpacing/>
              <w:jc w:val="both"/>
              <w:rPr>
                <w:rFonts w:ascii="Arial" w:hAnsi="Arial" w:cs="Arial"/>
                <w:b/>
                <w:bCs/>
              </w:rPr>
            </w:pPr>
            <w:r w:rsidRPr="002F727C">
              <w:rPr>
                <w:rFonts w:ascii="Arial" w:hAnsi="Arial" w:cs="Arial"/>
                <w:b/>
                <w:bCs/>
              </w:rPr>
              <w:t>Observed Parameter</w:t>
            </w:r>
          </w:p>
        </w:tc>
        <w:tc>
          <w:tcPr>
            <w:tcW w:w="7168" w:type="dxa"/>
            <w:gridSpan w:val="4"/>
            <w:tcBorders>
              <w:left w:val="nil"/>
              <w:bottom w:val="single" w:sz="4" w:space="0" w:color="auto"/>
              <w:right w:val="nil"/>
            </w:tcBorders>
          </w:tcPr>
          <w:p w14:paraId="6E4E40F5" w14:textId="4CCBD786" w:rsidR="00261AF3" w:rsidRPr="002F727C" w:rsidRDefault="00000000" w:rsidP="0094124A">
            <w:pPr>
              <w:contextualSpacing/>
              <w:jc w:val="both"/>
              <w:rPr>
                <w:rFonts w:ascii="Arial" w:hAnsi="Arial" w:cs="Arial"/>
                <w:b/>
                <w:bCs/>
                <w:i/>
                <w:iCs/>
              </w:rPr>
            </w:pPr>
            <w:r w:rsidRPr="002F727C">
              <w:rPr>
                <w:rFonts w:ascii="Arial" w:hAnsi="Arial" w:cs="Arial"/>
                <w:b/>
                <w:bCs/>
              </w:rPr>
              <w:t xml:space="preserve">Dose of </w:t>
            </w:r>
            <w:r w:rsidR="005B4ED1" w:rsidRPr="002F727C">
              <w:rPr>
                <w:rFonts w:ascii="Arial" w:hAnsi="Arial" w:cs="Arial"/>
                <w:b/>
                <w:bCs/>
                <w:i/>
                <w:iCs/>
              </w:rPr>
              <w:t>C. edulis</w:t>
            </w:r>
            <w:r w:rsidRPr="002F727C">
              <w:rPr>
                <w:rFonts w:ascii="Arial" w:hAnsi="Arial" w:cs="Arial"/>
                <w:b/>
                <w:bCs/>
                <w:i/>
                <w:iCs/>
              </w:rPr>
              <w:t xml:space="preserve"> in mg/kg body weight</w:t>
            </w:r>
          </w:p>
        </w:tc>
      </w:tr>
      <w:tr w:rsidR="00261AF3" w:rsidRPr="002F727C" w14:paraId="0F7BF832" w14:textId="77777777">
        <w:trPr>
          <w:trHeight w:val="314"/>
        </w:trPr>
        <w:tc>
          <w:tcPr>
            <w:tcW w:w="1858" w:type="dxa"/>
            <w:tcBorders>
              <w:left w:val="nil"/>
              <w:bottom w:val="single" w:sz="4" w:space="0" w:color="auto"/>
              <w:right w:val="nil"/>
            </w:tcBorders>
          </w:tcPr>
          <w:p w14:paraId="7B1E9F1B" w14:textId="77777777" w:rsidR="00261AF3" w:rsidRPr="002F727C" w:rsidRDefault="00261AF3" w:rsidP="0094124A">
            <w:pPr>
              <w:contextualSpacing/>
              <w:jc w:val="both"/>
              <w:rPr>
                <w:rFonts w:ascii="Arial" w:hAnsi="Arial" w:cs="Arial"/>
                <w:b/>
                <w:bCs/>
              </w:rPr>
            </w:pPr>
          </w:p>
        </w:tc>
        <w:tc>
          <w:tcPr>
            <w:tcW w:w="2102" w:type="dxa"/>
            <w:tcBorders>
              <w:left w:val="nil"/>
              <w:bottom w:val="single" w:sz="4" w:space="0" w:color="auto"/>
              <w:right w:val="nil"/>
            </w:tcBorders>
          </w:tcPr>
          <w:p w14:paraId="60CAC259" w14:textId="77777777" w:rsidR="00261AF3" w:rsidRPr="002F727C" w:rsidRDefault="00000000" w:rsidP="0094124A">
            <w:pPr>
              <w:contextualSpacing/>
              <w:jc w:val="both"/>
              <w:rPr>
                <w:rFonts w:ascii="Arial" w:hAnsi="Arial" w:cs="Arial"/>
                <w:b/>
                <w:bCs/>
              </w:rPr>
            </w:pPr>
            <w:r w:rsidRPr="002F727C">
              <w:rPr>
                <w:rFonts w:ascii="Arial" w:hAnsi="Arial" w:cs="Arial"/>
                <w:b/>
                <w:bCs/>
              </w:rPr>
              <w:t>Control</w:t>
            </w:r>
          </w:p>
        </w:tc>
        <w:tc>
          <w:tcPr>
            <w:tcW w:w="2880" w:type="dxa"/>
            <w:tcBorders>
              <w:left w:val="nil"/>
              <w:bottom w:val="single" w:sz="4" w:space="0" w:color="auto"/>
              <w:right w:val="nil"/>
            </w:tcBorders>
          </w:tcPr>
          <w:p w14:paraId="5D8EADC4" w14:textId="77777777" w:rsidR="00261AF3" w:rsidRPr="002F727C" w:rsidRDefault="00000000" w:rsidP="0094124A">
            <w:pPr>
              <w:contextualSpacing/>
              <w:jc w:val="both"/>
              <w:rPr>
                <w:rFonts w:ascii="Arial" w:hAnsi="Arial" w:cs="Arial"/>
                <w:b/>
                <w:bCs/>
              </w:rPr>
            </w:pPr>
            <w:r w:rsidRPr="002F727C">
              <w:rPr>
                <w:rFonts w:ascii="Arial" w:hAnsi="Arial" w:cs="Arial"/>
                <w:b/>
                <w:bCs/>
              </w:rPr>
              <w:t>2500mg</w:t>
            </w:r>
          </w:p>
        </w:tc>
        <w:tc>
          <w:tcPr>
            <w:tcW w:w="1890" w:type="dxa"/>
            <w:tcBorders>
              <w:left w:val="nil"/>
              <w:bottom w:val="single" w:sz="4" w:space="0" w:color="auto"/>
              <w:right w:val="nil"/>
            </w:tcBorders>
          </w:tcPr>
          <w:p w14:paraId="45AD2573" w14:textId="77777777" w:rsidR="00261AF3" w:rsidRPr="002F727C" w:rsidRDefault="00000000" w:rsidP="0094124A">
            <w:pPr>
              <w:contextualSpacing/>
              <w:jc w:val="both"/>
              <w:rPr>
                <w:rFonts w:ascii="Arial" w:hAnsi="Arial" w:cs="Arial"/>
                <w:b/>
                <w:bCs/>
              </w:rPr>
            </w:pPr>
            <w:r w:rsidRPr="002F727C">
              <w:rPr>
                <w:rFonts w:ascii="Arial" w:hAnsi="Arial" w:cs="Arial"/>
                <w:b/>
                <w:bCs/>
              </w:rPr>
              <w:t>5000mg</w:t>
            </w:r>
          </w:p>
        </w:tc>
        <w:tc>
          <w:tcPr>
            <w:tcW w:w="296" w:type="dxa"/>
            <w:tcBorders>
              <w:left w:val="nil"/>
              <w:bottom w:val="single" w:sz="4" w:space="0" w:color="auto"/>
              <w:right w:val="nil"/>
            </w:tcBorders>
          </w:tcPr>
          <w:p w14:paraId="1E82802D" w14:textId="77777777" w:rsidR="00261AF3" w:rsidRPr="002F727C" w:rsidRDefault="00261AF3" w:rsidP="0094124A">
            <w:pPr>
              <w:contextualSpacing/>
              <w:jc w:val="both"/>
              <w:rPr>
                <w:rFonts w:ascii="Arial" w:hAnsi="Arial" w:cs="Arial"/>
                <w:b/>
                <w:bCs/>
              </w:rPr>
            </w:pPr>
          </w:p>
        </w:tc>
      </w:tr>
      <w:tr w:rsidR="00261AF3" w:rsidRPr="002F727C" w14:paraId="07EBE2FC" w14:textId="77777777">
        <w:tc>
          <w:tcPr>
            <w:tcW w:w="1858" w:type="dxa"/>
            <w:tcBorders>
              <w:top w:val="single" w:sz="4" w:space="0" w:color="auto"/>
              <w:left w:val="nil"/>
              <w:bottom w:val="nil"/>
              <w:right w:val="nil"/>
            </w:tcBorders>
          </w:tcPr>
          <w:p w14:paraId="21ED5255" w14:textId="77777777" w:rsidR="00261AF3" w:rsidRPr="002F727C" w:rsidRDefault="00000000" w:rsidP="0094124A">
            <w:pPr>
              <w:contextualSpacing/>
              <w:jc w:val="both"/>
              <w:rPr>
                <w:rFonts w:ascii="Arial" w:hAnsi="Arial" w:cs="Arial"/>
                <w:b/>
                <w:bCs/>
              </w:rPr>
            </w:pPr>
            <w:r w:rsidRPr="002F727C">
              <w:rPr>
                <w:rFonts w:ascii="Arial" w:hAnsi="Arial" w:cs="Arial"/>
                <w:b/>
                <w:bCs/>
              </w:rPr>
              <w:t>Food intake</w:t>
            </w:r>
          </w:p>
        </w:tc>
        <w:tc>
          <w:tcPr>
            <w:tcW w:w="2102" w:type="dxa"/>
            <w:tcBorders>
              <w:top w:val="single" w:sz="4" w:space="0" w:color="auto"/>
              <w:left w:val="nil"/>
              <w:bottom w:val="nil"/>
              <w:right w:val="nil"/>
            </w:tcBorders>
          </w:tcPr>
          <w:p w14:paraId="287C5B40"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single" w:sz="4" w:space="0" w:color="auto"/>
              <w:left w:val="nil"/>
              <w:bottom w:val="nil"/>
              <w:right w:val="nil"/>
            </w:tcBorders>
          </w:tcPr>
          <w:p w14:paraId="45C56DF5"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single" w:sz="4" w:space="0" w:color="auto"/>
              <w:left w:val="nil"/>
              <w:bottom w:val="nil"/>
              <w:right w:val="nil"/>
            </w:tcBorders>
          </w:tcPr>
          <w:p w14:paraId="42182353"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single" w:sz="4" w:space="0" w:color="auto"/>
              <w:left w:val="nil"/>
              <w:bottom w:val="nil"/>
              <w:right w:val="nil"/>
            </w:tcBorders>
          </w:tcPr>
          <w:p w14:paraId="33100065" w14:textId="77777777" w:rsidR="00261AF3" w:rsidRPr="002F727C" w:rsidRDefault="00261AF3" w:rsidP="0094124A">
            <w:pPr>
              <w:contextualSpacing/>
              <w:jc w:val="both"/>
              <w:rPr>
                <w:rFonts w:ascii="Arial" w:hAnsi="Arial" w:cs="Arial"/>
              </w:rPr>
            </w:pPr>
          </w:p>
        </w:tc>
      </w:tr>
      <w:tr w:rsidR="00261AF3" w:rsidRPr="002F727C" w14:paraId="3D5A869E" w14:textId="77777777">
        <w:tc>
          <w:tcPr>
            <w:tcW w:w="1858" w:type="dxa"/>
            <w:tcBorders>
              <w:top w:val="nil"/>
              <w:left w:val="nil"/>
              <w:bottom w:val="nil"/>
              <w:right w:val="nil"/>
            </w:tcBorders>
          </w:tcPr>
          <w:p w14:paraId="7F6F8B2D" w14:textId="77777777" w:rsidR="00261AF3" w:rsidRPr="002F727C" w:rsidRDefault="00000000" w:rsidP="0094124A">
            <w:pPr>
              <w:contextualSpacing/>
              <w:jc w:val="both"/>
              <w:rPr>
                <w:rFonts w:ascii="Arial" w:hAnsi="Arial" w:cs="Arial"/>
                <w:b/>
                <w:bCs/>
              </w:rPr>
            </w:pPr>
            <w:r w:rsidRPr="002F727C">
              <w:rPr>
                <w:rFonts w:ascii="Arial" w:hAnsi="Arial" w:cs="Arial"/>
                <w:b/>
                <w:bCs/>
              </w:rPr>
              <w:t>Water intake</w:t>
            </w:r>
          </w:p>
        </w:tc>
        <w:tc>
          <w:tcPr>
            <w:tcW w:w="2102" w:type="dxa"/>
            <w:tcBorders>
              <w:top w:val="nil"/>
              <w:left w:val="nil"/>
              <w:bottom w:val="nil"/>
              <w:right w:val="nil"/>
            </w:tcBorders>
          </w:tcPr>
          <w:p w14:paraId="753B2EF0"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nil"/>
              <w:right w:val="nil"/>
            </w:tcBorders>
          </w:tcPr>
          <w:p w14:paraId="7A84951C"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nil"/>
              <w:right w:val="nil"/>
            </w:tcBorders>
          </w:tcPr>
          <w:p w14:paraId="4B5950FA"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nil"/>
              <w:left w:val="nil"/>
              <w:bottom w:val="nil"/>
              <w:right w:val="nil"/>
            </w:tcBorders>
          </w:tcPr>
          <w:p w14:paraId="3C845FC3" w14:textId="77777777" w:rsidR="00261AF3" w:rsidRPr="002F727C" w:rsidRDefault="00261AF3" w:rsidP="0094124A">
            <w:pPr>
              <w:contextualSpacing/>
              <w:jc w:val="both"/>
              <w:rPr>
                <w:rFonts w:ascii="Arial" w:hAnsi="Arial" w:cs="Arial"/>
              </w:rPr>
            </w:pPr>
          </w:p>
        </w:tc>
      </w:tr>
      <w:tr w:rsidR="00261AF3" w:rsidRPr="002F727C" w14:paraId="0B642732" w14:textId="77777777">
        <w:tc>
          <w:tcPr>
            <w:tcW w:w="1858" w:type="dxa"/>
            <w:tcBorders>
              <w:top w:val="nil"/>
              <w:left w:val="nil"/>
              <w:bottom w:val="nil"/>
              <w:right w:val="nil"/>
            </w:tcBorders>
          </w:tcPr>
          <w:p w14:paraId="54EB3FE0" w14:textId="77777777" w:rsidR="00261AF3" w:rsidRPr="002F727C" w:rsidRDefault="00000000" w:rsidP="0094124A">
            <w:pPr>
              <w:contextualSpacing/>
              <w:jc w:val="both"/>
              <w:rPr>
                <w:rFonts w:ascii="Arial" w:hAnsi="Arial" w:cs="Arial"/>
                <w:b/>
                <w:bCs/>
              </w:rPr>
            </w:pPr>
            <w:r w:rsidRPr="002F727C">
              <w:rPr>
                <w:rFonts w:ascii="Arial" w:hAnsi="Arial" w:cs="Arial"/>
                <w:b/>
                <w:bCs/>
              </w:rPr>
              <w:t>Death</w:t>
            </w:r>
          </w:p>
        </w:tc>
        <w:tc>
          <w:tcPr>
            <w:tcW w:w="2102" w:type="dxa"/>
            <w:tcBorders>
              <w:top w:val="nil"/>
              <w:left w:val="nil"/>
              <w:bottom w:val="nil"/>
              <w:right w:val="nil"/>
            </w:tcBorders>
          </w:tcPr>
          <w:p w14:paraId="5FFE6477" w14:textId="77777777" w:rsidR="00261AF3" w:rsidRPr="002F727C" w:rsidRDefault="00000000" w:rsidP="0094124A">
            <w:pPr>
              <w:contextualSpacing/>
              <w:jc w:val="both"/>
              <w:rPr>
                <w:rFonts w:ascii="Arial" w:hAnsi="Arial" w:cs="Arial"/>
              </w:rPr>
            </w:pPr>
            <w:r w:rsidRPr="002F727C">
              <w:rPr>
                <w:rFonts w:ascii="Arial" w:hAnsi="Arial" w:cs="Arial"/>
              </w:rPr>
              <w:t>Alive</w:t>
            </w:r>
          </w:p>
        </w:tc>
        <w:tc>
          <w:tcPr>
            <w:tcW w:w="2880" w:type="dxa"/>
            <w:tcBorders>
              <w:top w:val="nil"/>
              <w:left w:val="nil"/>
              <w:bottom w:val="nil"/>
              <w:right w:val="nil"/>
            </w:tcBorders>
          </w:tcPr>
          <w:p w14:paraId="3D611F3E" w14:textId="77777777" w:rsidR="00261AF3" w:rsidRPr="002F727C" w:rsidRDefault="00000000" w:rsidP="0094124A">
            <w:pPr>
              <w:contextualSpacing/>
              <w:jc w:val="both"/>
              <w:rPr>
                <w:rFonts w:ascii="Arial" w:hAnsi="Arial" w:cs="Arial"/>
              </w:rPr>
            </w:pPr>
            <w:r w:rsidRPr="002F727C">
              <w:rPr>
                <w:rFonts w:ascii="Arial" w:hAnsi="Arial" w:cs="Arial"/>
              </w:rPr>
              <w:t>Alive</w:t>
            </w:r>
          </w:p>
        </w:tc>
        <w:tc>
          <w:tcPr>
            <w:tcW w:w="1890" w:type="dxa"/>
            <w:tcBorders>
              <w:top w:val="nil"/>
              <w:left w:val="nil"/>
              <w:bottom w:val="nil"/>
              <w:right w:val="nil"/>
            </w:tcBorders>
          </w:tcPr>
          <w:p w14:paraId="51F86A95" w14:textId="77777777" w:rsidR="00261AF3" w:rsidRPr="002F727C" w:rsidRDefault="00000000" w:rsidP="0094124A">
            <w:pPr>
              <w:contextualSpacing/>
              <w:jc w:val="both"/>
              <w:rPr>
                <w:rFonts w:ascii="Arial" w:hAnsi="Arial" w:cs="Arial"/>
              </w:rPr>
            </w:pPr>
            <w:r w:rsidRPr="002F727C">
              <w:rPr>
                <w:rFonts w:ascii="Arial" w:hAnsi="Arial" w:cs="Arial"/>
              </w:rPr>
              <w:t>Alive</w:t>
            </w:r>
          </w:p>
        </w:tc>
        <w:tc>
          <w:tcPr>
            <w:tcW w:w="296" w:type="dxa"/>
            <w:tcBorders>
              <w:top w:val="nil"/>
              <w:left w:val="nil"/>
              <w:bottom w:val="nil"/>
              <w:right w:val="nil"/>
            </w:tcBorders>
          </w:tcPr>
          <w:p w14:paraId="421DC6E5" w14:textId="77777777" w:rsidR="00261AF3" w:rsidRPr="002F727C" w:rsidRDefault="00261AF3" w:rsidP="0094124A">
            <w:pPr>
              <w:contextualSpacing/>
              <w:jc w:val="both"/>
              <w:rPr>
                <w:rFonts w:ascii="Arial" w:hAnsi="Arial" w:cs="Arial"/>
              </w:rPr>
            </w:pPr>
          </w:p>
        </w:tc>
      </w:tr>
      <w:tr w:rsidR="00261AF3" w:rsidRPr="002F727C" w14:paraId="4AB0411C" w14:textId="77777777">
        <w:tc>
          <w:tcPr>
            <w:tcW w:w="1858" w:type="dxa"/>
            <w:tcBorders>
              <w:top w:val="nil"/>
              <w:left w:val="nil"/>
              <w:bottom w:val="nil"/>
              <w:right w:val="nil"/>
            </w:tcBorders>
          </w:tcPr>
          <w:p w14:paraId="1C406123" w14:textId="77777777" w:rsidR="00261AF3" w:rsidRPr="002F727C" w:rsidRDefault="00000000" w:rsidP="0094124A">
            <w:pPr>
              <w:contextualSpacing/>
              <w:jc w:val="both"/>
              <w:rPr>
                <w:rFonts w:ascii="Arial" w:hAnsi="Arial" w:cs="Arial"/>
                <w:b/>
                <w:bCs/>
              </w:rPr>
            </w:pPr>
            <w:r w:rsidRPr="002F727C">
              <w:rPr>
                <w:rFonts w:ascii="Arial" w:hAnsi="Arial" w:cs="Arial"/>
                <w:b/>
                <w:bCs/>
              </w:rPr>
              <w:t>Breathing</w:t>
            </w:r>
          </w:p>
        </w:tc>
        <w:tc>
          <w:tcPr>
            <w:tcW w:w="2102" w:type="dxa"/>
            <w:tcBorders>
              <w:top w:val="nil"/>
              <w:left w:val="nil"/>
              <w:bottom w:val="nil"/>
              <w:right w:val="nil"/>
            </w:tcBorders>
          </w:tcPr>
          <w:p w14:paraId="6CDB497D"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nil"/>
              <w:right w:val="nil"/>
            </w:tcBorders>
          </w:tcPr>
          <w:p w14:paraId="339F2F15"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nil"/>
              <w:right w:val="nil"/>
            </w:tcBorders>
          </w:tcPr>
          <w:p w14:paraId="7CDDF70A"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nil"/>
              <w:left w:val="nil"/>
              <w:bottom w:val="nil"/>
              <w:right w:val="nil"/>
            </w:tcBorders>
          </w:tcPr>
          <w:p w14:paraId="6A5B4699" w14:textId="77777777" w:rsidR="00261AF3" w:rsidRPr="002F727C" w:rsidRDefault="00261AF3" w:rsidP="0094124A">
            <w:pPr>
              <w:contextualSpacing/>
              <w:jc w:val="both"/>
              <w:rPr>
                <w:rFonts w:ascii="Arial" w:hAnsi="Arial" w:cs="Arial"/>
              </w:rPr>
            </w:pPr>
          </w:p>
        </w:tc>
      </w:tr>
      <w:tr w:rsidR="00261AF3" w:rsidRPr="002F727C" w14:paraId="743117E3" w14:textId="77777777">
        <w:tc>
          <w:tcPr>
            <w:tcW w:w="1858" w:type="dxa"/>
            <w:tcBorders>
              <w:top w:val="nil"/>
              <w:left w:val="nil"/>
              <w:bottom w:val="nil"/>
              <w:right w:val="nil"/>
            </w:tcBorders>
          </w:tcPr>
          <w:p w14:paraId="66BEADBB" w14:textId="77777777" w:rsidR="00261AF3" w:rsidRPr="002F727C" w:rsidRDefault="00000000" w:rsidP="0094124A">
            <w:pPr>
              <w:contextualSpacing/>
              <w:jc w:val="both"/>
              <w:rPr>
                <w:rFonts w:ascii="Arial" w:hAnsi="Arial" w:cs="Arial"/>
                <w:b/>
                <w:bCs/>
              </w:rPr>
            </w:pPr>
            <w:r w:rsidRPr="002F727C">
              <w:rPr>
                <w:rFonts w:ascii="Arial" w:hAnsi="Arial" w:cs="Arial"/>
                <w:b/>
                <w:bCs/>
              </w:rPr>
              <w:t>Defecation</w:t>
            </w:r>
          </w:p>
        </w:tc>
        <w:tc>
          <w:tcPr>
            <w:tcW w:w="2102" w:type="dxa"/>
            <w:tcBorders>
              <w:top w:val="nil"/>
              <w:left w:val="nil"/>
              <w:bottom w:val="nil"/>
              <w:right w:val="nil"/>
            </w:tcBorders>
          </w:tcPr>
          <w:p w14:paraId="3C1BC19D"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nil"/>
              <w:right w:val="nil"/>
            </w:tcBorders>
          </w:tcPr>
          <w:p w14:paraId="0FDF8658"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nil"/>
              <w:right w:val="nil"/>
            </w:tcBorders>
          </w:tcPr>
          <w:p w14:paraId="0D319D70"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nil"/>
              <w:left w:val="nil"/>
              <w:bottom w:val="nil"/>
              <w:right w:val="nil"/>
            </w:tcBorders>
          </w:tcPr>
          <w:p w14:paraId="43717F65" w14:textId="77777777" w:rsidR="00261AF3" w:rsidRPr="002F727C" w:rsidRDefault="00261AF3" w:rsidP="0094124A">
            <w:pPr>
              <w:contextualSpacing/>
              <w:jc w:val="both"/>
              <w:rPr>
                <w:rFonts w:ascii="Arial" w:hAnsi="Arial" w:cs="Arial"/>
              </w:rPr>
            </w:pPr>
          </w:p>
        </w:tc>
      </w:tr>
      <w:tr w:rsidR="00261AF3" w:rsidRPr="002F727C" w14:paraId="25A10CC6" w14:textId="77777777">
        <w:tc>
          <w:tcPr>
            <w:tcW w:w="1858" w:type="dxa"/>
            <w:tcBorders>
              <w:top w:val="nil"/>
              <w:left w:val="nil"/>
              <w:bottom w:val="nil"/>
              <w:right w:val="nil"/>
            </w:tcBorders>
          </w:tcPr>
          <w:p w14:paraId="1A6E4346" w14:textId="471409A7" w:rsidR="00261AF3" w:rsidRPr="002F727C" w:rsidRDefault="00000000" w:rsidP="0094124A">
            <w:pPr>
              <w:contextualSpacing/>
              <w:jc w:val="both"/>
              <w:rPr>
                <w:rFonts w:ascii="Arial" w:hAnsi="Arial" w:cs="Arial"/>
                <w:b/>
                <w:bCs/>
              </w:rPr>
            </w:pPr>
            <w:r w:rsidRPr="002F727C">
              <w:rPr>
                <w:rFonts w:ascii="Arial" w:hAnsi="Arial" w:cs="Arial"/>
                <w:b/>
                <w:bCs/>
              </w:rPr>
              <w:t xml:space="preserve">Skin </w:t>
            </w:r>
            <w:r w:rsidR="00422C75" w:rsidRPr="002F727C">
              <w:rPr>
                <w:rFonts w:ascii="Arial" w:hAnsi="Arial" w:cs="Arial"/>
                <w:b/>
                <w:bCs/>
              </w:rPr>
              <w:t>color</w:t>
            </w:r>
          </w:p>
        </w:tc>
        <w:tc>
          <w:tcPr>
            <w:tcW w:w="2102" w:type="dxa"/>
            <w:tcBorders>
              <w:top w:val="nil"/>
              <w:left w:val="nil"/>
              <w:bottom w:val="nil"/>
              <w:right w:val="nil"/>
            </w:tcBorders>
          </w:tcPr>
          <w:p w14:paraId="131785CF"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nil"/>
              <w:right w:val="nil"/>
            </w:tcBorders>
          </w:tcPr>
          <w:p w14:paraId="08752494"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nil"/>
              <w:right w:val="nil"/>
            </w:tcBorders>
          </w:tcPr>
          <w:p w14:paraId="1108F518"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96" w:type="dxa"/>
            <w:tcBorders>
              <w:top w:val="nil"/>
              <w:left w:val="nil"/>
              <w:bottom w:val="nil"/>
              <w:right w:val="nil"/>
            </w:tcBorders>
          </w:tcPr>
          <w:p w14:paraId="1FAF5D75" w14:textId="77777777" w:rsidR="00261AF3" w:rsidRPr="002F727C" w:rsidRDefault="00261AF3" w:rsidP="0094124A">
            <w:pPr>
              <w:contextualSpacing/>
              <w:jc w:val="both"/>
              <w:rPr>
                <w:rFonts w:ascii="Arial" w:hAnsi="Arial" w:cs="Arial"/>
              </w:rPr>
            </w:pPr>
          </w:p>
        </w:tc>
      </w:tr>
      <w:tr w:rsidR="00261AF3" w:rsidRPr="002F727C" w14:paraId="476D84F8" w14:textId="77777777">
        <w:tc>
          <w:tcPr>
            <w:tcW w:w="1858" w:type="dxa"/>
            <w:tcBorders>
              <w:top w:val="nil"/>
              <w:left w:val="nil"/>
              <w:bottom w:val="nil"/>
              <w:right w:val="nil"/>
            </w:tcBorders>
          </w:tcPr>
          <w:p w14:paraId="2E73D568" w14:textId="77777777" w:rsidR="00261AF3" w:rsidRPr="002F727C" w:rsidRDefault="00000000" w:rsidP="0094124A">
            <w:pPr>
              <w:contextualSpacing/>
              <w:jc w:val="both"/>
              <w:rPr>
                <w:rFonts w:ascii="Arial" w:hAnsi="Arial" w:cs="Arial"/>
                <w:b/>
                <w:bCs/>
              </w:rPr>
            </w:pPr>
            <w:r w:rsidRPr="002F727C">
              <w:rPr>
                <w:rFonts w:ascii="Arial" w:hAnsi="Arial" w:cs="Arial"/>
                <w:b/>
                <w:bCs/>
              </w:rPr>
              <w:t>Drowsiness</w:t>
            </w:r>
          </w:p>
        </w:tc>
        <w:tc>
          <w:tcPr>
            <w:tcW w:w="2102" w:type="dxa"/>
            <w:tcBorders>
              <w:top w:val="nil"/>
              <w:left w:val="nil"/>
              <w:bottom w:val="nil"/>
              <w:right w:val="nil"/>
            </w:tcBorders>
          </w:tcPr>
          <w:p w14:paraId="2CCEC994"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2880" w:type="dxa"/>
            <w:tcBorders>
              <w:top w:val="nil"/>
              <w:left w:val="nil"/>
              <w:bottom w:val="nil"/>
              <w:right w:val="nil"/>
            </w:tcBorders>
          </w:tcPr>
          <w:p w14:paraId="14180198"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1890" w:type="dxa"/>
            <w:tcBorders>
              <w:top w:val="nil"/>
              <w:left w:val="nil"/>
              <w:bottom w:val="nil"/>
              <w:right w:val="nil"/>
            </w:tcBorders>
          </w:tcPr>
          <w:p w14:paraId="7801DAFD"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296" w:type="dxa"/>
            <w:tcBorders>
              <w:top w:val="nil"/>
              <w:left w:val="nil"/>
              <w:bottom w:val="nil"/>
              <w:right w:val="nil"/>
            </w:tcBorders>
          </w:tcPr>
          <w:p w14:paraId="7A3B13A4" w14:textId="77777777" w:rsidR="00261AF3" w:rsidRPr="002F727C" w:rsidRDefault="00261AF3" w:rsidP="0094124A">
            <w:pPr>
              <w:contextualSpacing/>
              <w:jc w:val="both"/>
              <w:rPr>
                <w:rFonts w:ascii="Arial" w:hAnsi="Arial" w:cs="Arial"/>
              </w:rPr>
            </w:pPr>
          </w:p>
        </w:tc>
      </w:tr>
      <w:tr w:rsidR="00261AF3" w:rsidRPr="002F727C" w14:paraId="6E9ADDB0" w14:textId="77777777">
        <w:tc>
          <w:tcPr>
            <w:tcW w:w="1858" w:type="dxa"/>
            <w:tcBorders>
              <w:top w:val="nil"/>
              <w:left w:val="nil"/>
              <w:bottom w:val="nil"/>
              <w:right w:val="nil"/>
            </w:tcBorders>
          </w:tcPr>
          <w:p w14:paraId="4F930AD0" w14:textId="77777777" w:rsidR="00261AF3" w:rsidRPr="002F727C" w:rsidRDefault="00000000" w:rsidP="0094124A">
            <w:pPr>
              <w:contextualSpacing/>
              <w:jc w:val="both"/>
              <w:rPr>
                <w:rFonts w:ascii="Arial" w:hAnsi="Arial" w:cs="Arial"/>
                <w:b/>
                <w:bCs/>
              </w:rPr>
            </w:pPr>
            <w:r w:rsidRPr="002F727C">
              <w:rPr>
                <w:rFonts w:ascii="Arial" w:hAnsi="Arial" w:cs="Arial"/>
                <w:b/>
                <w:bCs/>
              </w:rPr>
              <w:t>Erection of Fur</w:t>
            </w:r>
          </w:p>
        </w:tc>
        <w:tc>
          <w:tcPr>
            <w:tcW w:w="2102" w:type="dxa"/>
            <w:tcBorders>
              <w:top w:val="nil"/>
              <w:left w:val="nil"/>
              <w:bottom w:val="nil"/>
              <w:right w:val="nil"/>
            </w:tcBorders>
          </w:tcPr>
          <w:p w14:paraId="5712BCE8"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2880" w:type="dxa"/>
            <w:tcBorders>
              <w:top w:val="nil"/>
              <w:left w:val="nil"/>
              <w:bottom w:val="nil"/>
              <w:right w:val="nil"/>
            </w:tcBorders>
          </w:tcPr>
          <w:p w14:paraId="04E5E6FA"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1890" w:type="dxa"/>
            <w:tcBorders>
              <w:top w:val="nil"/>
              <w:left w:val="nil"/>
              <w:bottom w:val="nil"/>
              <w:right w:val="nil"/>
            </w:tcBorders>
          </w:tcPr>
          <w:p w14:paraId="02DABE5F" w14:textId="77777777" w:rsidR="00261AF3" w:rsidRPr="002F727C" w:rsidRDefault="00000000" w:rsidP="0094124A">
            <w:pPr>
              <w:contextualSpacing/>
              <w:jc w:val="both"/>
              <w:rPr>
                <w:rFonts w:ascii="Arial" w:hAnsi="Arial" w:cs="Arial"/>
              </w:rPr>
            </w:pPr>
            <w:r w:rsidRPr="002F727C">
              <w:rPr>
                <w:rFonts w:ascii="Arial" w:hAnsi="Arial" w:cs="Arial"/>
              </w:rPr>
              <w:t>Not observed</w:t>
            </w:r>
          </w:p>
        </w:tc>
        <w:tc>
          <w:tcPr>
            <w:tcW w:w="296" w:type="dxa"/>
            <w:tcBorders>
              <w:top w:val="nil"/>
              <w:left w:val="nil"/>
              <w:bottom w:val="nil"/>
              <w:right w:val="nil"/>
            </w:tcBorders>
          </w:tcPr>
          <w:p w14:paraId="1CC5E2CF" w14:textId="77777777" w:rsidR="00261AF3" w:rsidRPr="002F727C" w:rsidRDefault="00261AF3" w:rsidP="0094124A">
            <w:pPr>
              <w:contextualSpacing/>
              <w:jc w:val="both"/>
              <w:rPr>
                <w:rFonts w:ascii="Arial" w:hAnsi="Arial" w:cs="Arial"/>
              </w:rPr>
            </w:pPr>
          </w:p>
        </w:tc>
      </w:tr>
      <w:tr w:rsidR="00261AF3" w:rsidRPr="002F727C" w14:paraId="138BBE20" w14:textId="77777777">
        <w:trPr>
          <w:trHeight w:val="477"/>
        </w:trPr>
        <w:tc>
          <w:tcPr>
            <w:tcW w:w="1858" w:type="dxa"/>
            <w:tcBorders>
              <w:top w:val="nil"/>
              <w:left w:val="nil"/>
              <w:bottom w:val="single" w:sz="4" w:space="0" w:color="auto"/>
              <w:right w:val="nil"/>
            </w:tcBorders>
          </w:tcPr>
          <w:p w14:paraId="4637AC83" w14:textId="77777777" w:rsidR="00261AF3" w:rsidRPr="002F727C" w:rsidRDefault="00000000" w:rsidP="0094124A">
            <w:pPr>
              <w:contextualSpacing/>
              <w:jc w:val="both"/>
              <w:rPr>
                <w:rFonts w:ascii="Arial" w:hAnsi="Arial" w:cs="Arial"/>
                <w:b/>
                <w:bCs/>
              </w:rPr>
            </w:pPr>
            <w:r w:rsidRPr="002F727C">
              <w:rPr>
                <w:rFonts w:ascii="Arial" w:hAnsi="Arial" w:cs="Arial"/>
                <w:b/>
                <w:bCs/>
              </w:rPr>
              <w:t>Urination</w:t>
            </w:r>
          </w:p>
        </w:tc>
        <w:tc>
          <w:tcPr>
            <w:tcW w:w="2102" w:type="dxa"/>
            <w:tcBorders>
              <w:top w:val="nil"/>
              <w:left w:val="nil"/>
              <w:bottom w:val="single" w:sz="4" w:space="0" w:color="auto"/>
              <w:right w:val="nil"/>
            </w:tcBorders>
          </w:tcPr>
          <w:p w14:paraId="60E1F5EE"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2880" w:type="dxa"/>
            <w:tcBorders>
              <w:top w:val="nil"/>
              <w:left w:val="nil"/>
              <w:bottom w:val="single" w:sz="4" w:space="0" w:color="auto"/>
              <w:right w:val="nil"/>
            </w:tcBorders>
          </w:tcPr>
          <w:p w14:paraId="57A48B38" w14:textId="77777777" w:rsidR="00261AF3" w:rsidRPr="002F727C" w:rsidRDefault="00000000" w:rsidP="0094124A">
            <w:pPr>
              <w:contextualSpacing/>
              <w:jc w:val="both"/>
              <w:rPr>
                <w:rFonts w:ascii="Arial" w:hAnsi="Arial" w:cs="Arial"/>
              </w:rPr>
            </w:pPr>
            <w:r w:rsidRPr="002F727C">
              <w:rPr>
                <w:rFonts w:ascii="Arial" w:hAnsi="Arial" w:cs="Arial"/>
              </w:rPr>
              <w:t>Normal</w:t>
            </w:r>
          </w:p>
        </w:tc>
        <w:tc>
          <w:tcPr>
            <w:tcW w:w="1890" w:type="dxa"/>
            <w:tcBorders>
              <w:top w:val="nil"/>
              <w:left w:val="nil"/>
              <w:bottom w:val="single" w:sz="4" w:space="0" w:color="auto"/>
              <w:right w:val="nil"/>
            </w:tcBorders>
          </w:tcPr>
          <w:p w14:paraId="5E7DC26D" w14:textId="77777777" w:rsidR="00261AF3" w:rsidRPr="002F727C" w:rsidRDefault="00000000" w:rsidP="0094124A">
            <w:pPr>
              <w:contextualSpacing/>
              <w:jc w:val="both"/>
              <w:rPr>
                <w:rFonts w:ascii="Arial" w:hAnsi="Arial" w:cs="Arial"/>
              </w:rPr>
            </w:pPr>
            <w:r w:rsidRPr="002F727C">
              <w:rPr>
                <w:rFonts w:ascii="Arial" w:hAnsi="Arial" w:cs="Arial"/>
              </w:rPr>
              <w:t>Increased</w:t>
            </w:r>
          </w:p>
        </w:tc>
        <w:tc>
          <w:tcPr>
            <w:tcW w:w="296" w:type="dxa"/>
            <w:tcBorders>
              <w:top w:val="nil"/>
              <w:left w:val="nil"/>
              <w:bottom w:val="single" w:sz="4" w:space="0" w:color="auto"/>
              <w:right w:val="nil"/>
            </w:tcBorders>
          </w:tcPr>
          <w:p w14:paraId="1998BCB2" w14:textId="77777777" w:rsidR="00261AF3" w:rsidRPr="002F727C" w:rsidRDefault="00000000" w:rsidP="0094124A">
            <w:pPr>
              <w:contextualSpacing/>
              <w:jc w:val="both"/>
              <w:rPr>
                <w:rFonts w:ascii="Arial" w:hAnsi="Arial" w:cs="Arial"/>
              </w:rPr>
            </w:pPr>
            <w:r w:rsidRPr="002F727C">
              <w:rPr>
                <w:rFonts w:ascii="Arial" w:hAnsi="Arial" w:cs="Arial"/>
              </w:rPr>
              <w:t>1</w:t>
            </w:r>
          </w:p>
        </w:tc>
      </w:tr>
    </w:tbl>
    <w:p w14:paraId="730993B5" w14:textId="76B94CEB" w:rsidR="00261AF3" w:rsidRPr="002F727C" w:rsidRDefault="007010C1">
      <w:pPr>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3DC8D1DA" wp14:editId="49D5D54C">
                <wp:simplePos x="0" y="0"/>
                <wp:positionH relativeFrom="column">
                  <wp:posOffset>0</wp:posOffset>
                </wp:positionH>
                <wp:positionV relativeFrom="paragraph">
                  <wp:posOffset>5463540</wp:posOffset>
                </wp:positionV>
                <wp:extent cx="5866130" cy="635"/>
                <wp:effectExtent l="0" t="0" r="0" b="0"/>
                <wp:wrapNone/>
                <wp:docPr id="994530499" name="Text Box 1"/>
                <wp:cNvGraphicFramePr/>
                <a:graphic xmlns:a="http://schemas.openxmlformats.org/drawingml/2006/main">
                  <a:graphicData uri="http://schemas.microsoft.com/office/word/2010/wordprocessingShape">
                    <wps:wsp>
                      <wps:cNvSpPr txBox="1"/>
                      <wps:spPr>
                        <a:xfrm>
                          <a:off x="0" y="0"/>
                          <a:ext cx="5866130" cy="635"/>
                        </a:xfrm>
                        <a:prstGeom prst="rect">
                          <a:avLst/>
                        </a:prstGeom>
                        <a:solidFill>
                          <a:prstClr val="white"/>
                        </a:solidFill>
                        <a:ln>
                          <a:noFill/>
                        </a:ln>
                      </wps:spPr>
                      <wps:txbx>
                        <w:txbxContent>
                          <w:p w14:paraId="5FEF3461" w14:textId="71A48B5E" w:rsidR="007010C1" w:rsidRPr="00F97479" w:rsidRDefault="007010C1" w:rsidP="007010C1">
                            <w:pPr>
                              <w:pStyle w:val="Caption"/>
                              <w:rPr>
                                <w:rFonts w:ascii="Arial" w:hAnsi="Arial" w:cs="Arial"/>
                                <w:noProof/>
                                <w:sz w:val="20"/>
                                <w:szCs w:val="20"/>
                                <w:lang w:val="en-US" w:eastAsia="en-US"/>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632D10">
                              <w:t xml:space="preserve">Sprague-Dawley </w:t>
                            </w:r>
                            <w:r w:rsidR="00685BCB" w:rsidRPr="00632D10">
                              <w:t>rats’</w:t>
                            </w:r>
                            <w:r w:rsidRPr="00632D10">
                              <w:t xml:space="preserve"> weight over the subacute toxicity test investigation period (g)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C8D1DA" id="_x0000_t202" coordsize="21600,21600" o:spt="202" path="m,l,21600r21600,l21600,xe">
                <v:stroke joinstyle="miter"/>
                <v:path gradientshapeok="t" o:connecttype="rect"/>
              </v:shapetype>
              <v:shape id="Text Box 1" o:spid="_x0000_s1026" type="#_x0000_t202" style="position:absolute;margin-left:0;margin-top:430.2pt;width:461.9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" stroked="f">
                <v:textbox style="mso-fit-shape-to-text:t" inset="0,0,0,0">
                  <w:txbxContent>
                    <w:p w14:paraId="5FEF3461" w14:textId="71A48B5E" w:rsidR="007010C1" w:rsidRPr="00F97479" w:rsidRDefault="007010C1" w:rsidP="007010C1">
                      <w:pPr>
                        <w:pStyle w:val="Caption"/>
                        <w:rPr>
                          <w:rFonts w:ascii="Arial" w:hAnsi="Arial" w:cs="Arial"/>
                          <w:noProof/>
                          <w:sz w:val="20"/>
                          <w:szCs w:val="20"/>
                          <w:lang w:val="en-US" w:eastAsia="en-US"/>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632D10">
                        <w:t xml:space="preserve">Sprague-Dawley </w:t>
                      </w:r>
                      <w:r w:rsidR="00685BCB" w:rsidRPr="00632D10">
                        <w:t>rats’</w:t>
                      </w:r>
                      <w:r w:rsidRPr="00632D10">
                        <w:t xml:space="preserve"> weight over the subacute toxicity test investigation period (g)</w:t>
                      </w:r>
                    </w:p>
                  </w:txbxContent>
                </v:textbox>
              </v:shape>
            </w:pict>
          </mc:Fallback>
        </mc:AlternateContent>
      </w:r>
      <w:r w:rsidRPr="002F727C">
        <w:rPr>
          <w:rFonts w:ascii="Arial" w:hAnsi="Arial" w:cs="Arial"/>
          <w:noProof/>
        </w:rPr>
        <w:drawing>
          <wp:inline distT="0" distB="0" distL="0" distR="0" wp14:anchorId="027150AB" wp14:editId="5BB4E309">
            <wp:extent cx="5866410" cy="3253740"/>
            <wp:effectExtent l="0" t="0" r="1270" b="381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DA6FF6" w14:textId="77777777" w:rsidR="007010C1" w:rsidRPr="002F727C" w:rsidRDefault="007010C1">
      <w:pPr>
        <w:rPr>
          <w:rFonts w:ascii="Arial" w:hAnsi="Arial" w:cs="Arial"/>
          <w:sz w:val="24"/>
          <w:szCs w:val="24"/>
        </w:rPr>
      </w:pPr>
    </w:p>
    <w:p w14:paraId="039D0CB1" w14:textId="3AC3DC04" w:rsidR="00532EAF" w:rsidRPr="007010C1" w:rsidRDefault="00532EAF" w:rsidP="002F3DEB">
      <w:pPr>
        <w:pStyle w:val="Heading3"/>
      </w:pPr>
      <w:r w:rsidRPr="007010C1">
        <w:t>Food and water consumption</w:t>
      </w:r>
    </w:p>
    <w:p w14:paraId="18F74B1C" w14:textId="6A1218F6" w:rsidR="005B0B2A" w:rsidRPr="007010C1" w:rsidRDefault="00610B37" w:rsidP="007010C1">
      <w:pPr>
        <w:jc w:val="both"/>
        <w:rPr>
          <w:rFonts w:ascii="Arial" w:hAnsi="Arial" w:cs="Arial"/>
        </w:rPr>
      </w:pPr>
      <w:r>
        <w:rPr>
          <w:rFonts w:ascii="Arial" w:hAnsi="Arial" w:cs="Arial"/>
        </w:rPr>
        <w:t xml:space="preserve">The average daily water intake feed intake </w:t>
      </w:r>
      <w:r w:rsidR="008A713F">
        <w:rPr>
          <w:rFonts w:ascii="Arial" w:hAnsi="Arial" w:cs="Arial"/>
        </w:rPr>
        <w:t>is</w:t>
      </w:r>
      <w:r>
        <w:rPr>
          <w:rFonts w:ascii="Arial" w:hAnsi="Arial" w:cs="Arial"/>
        </w:rPr>
        <w:t xml:space="preserve"> shown in Table</w:t>
      </w:r>
      <w:r w:rsidR="0094124A">
        <w:rPr>
          <w:rFonts w:ascii="Arial" w:hAnsi="Arial" w:cs="Arial"/>
        </w:rPr>
        <w:t xml:space="preserve"> 7</w:t>
      </w:r>
      <w:r w:rsidR="008A713F">
        <w:rPr>
          <w:rFonts w:ascii="Arial" w:hAnsi="Arial" w:cs="Arial"/>
        </w:rPr>
        <w:t xml:space="preserve"> </w:t>
      </w:r>
      <w:r w:rsidR="0094124A">
        <w:rPr>
          <w:rFonts w:ascii="Arial" w:hAnsi="Arial" w:cs="Arial"/>
        </w:rPr>
        <w:t xml:space="preserve">and </w:t>
      </w:r>
      <w:r>
        <w:rPr>
          <w:rFonts w:ascii="Arial" w:hAnsi="Arial" w:cs="Arial"/>
        </w:rPr>
        <w:t>8. There were n</w:t>
      </w:r>
      <w:r w:rsidR="005B0B2A" w:rsidRPr="007010C1">
        <w:rPr>
          <w:rFonts w:ascii="Arial" w:hAnsi="Arial" w:cs="Arial"/>
        </w:rPr>
        <w:t xml:space="preserve">o </w:t>
      </w:r>
      <w:proofErr w:type="spellStart"/>
      <w:r w:rsidR="005B0B2A" w:rsidRPr="007010C1">
        <w:rPr>
          <w:rFonts w:ascii="Arial" w:hAnsi="Arial" w:cs="Arial"/>
        </w:rPr>
        <w:t>s</w:t>
      </w:r>
      <w:r w:rsidR="008A713F" w:rsidRPr="007010C1">
        <w:rPr>
          <w:rFonts w:ascii="Arial" w:hAnsi="Arial" w:cs="Arial"/>
        </w:rPr>
        <w:t>significant</w:t>
      </w:r>
      <w:r w:rsidR="00681220" w:rsidRPr="007010C1">
        <w:rPr>
          <w:rFonts w:ascii="Arial" w:hAnsi="Arial" w:cs="Arial"/>
        </w:rPr>
        <w:t>differences</w:t>
      </w:r>
      <w:proofErr w:type="spellEnd"/>
      <w:r w:rsidR="00681220" w:rsidRPr="007010C1">
        <w:rPr>
          <w:rFonts w:ascii="Arial" w:hAnsi="Arial" w:cs="Arial"/>
        </w:rPr>
        <w:t xml:space="preserve"> (p&gt;0.05) in water and food consumption at any time point. In water intake the 1000mg/kg group showed a mild, no significant increase in water intake over time, which could reflect natural variability or a weak biological effect. For feed intake, all groups maintained stable intake across </w:t>
      </w:r>
      <w:r w:rsidR="00681220" w:rsidRPr="007010C1">
        <w:rPr>
          <w:rFonts w:ascii="Arial" w:hAnsi="Arial" w:cs="Arial"/>
        </w:rPr>
        <w:lastRenderedPageBreak/>
        <w:t>weeks with no dose-dependent effects</w:t>
      </w:r>
      <w:r w:rsidR="00F463DB" w:rsidRPr="007010C1">
        <w:rPr>
          <w:rFonts w:ascii="Arial" w:hAnsi="Arial" w:cs="Arial"/>
        </w:rPr>
        <w:t>. Variability</w:t>
      </w:r>
      <w:r w:rsidR="007010C1">
        <w:rPr>
          <w:rFonts w:ascii="Arial" w:hAnsi="Arial" w:cs="Arial"/>
        </w:rPr>
        <w:t xml:space="preserve"> </w:t>
      </w:r>
      <w:r w:rsidR="00F463DB" w:rsidRPr="007010C1">
        <w:rPr>
          <w:rFonts w:ascii="Arial" w:hAnsi="Arial" w:cs="Arial"/>
        </w:rPr>
        <w:t>(SEM) was consistent across groups and no interaction between dose and time reached significance, suggesting the treatment had no measurable impact on consumption behaviors under the tested conditions.</w:t>
      </w:r>
    </w:p>
    <w:p w14:paraId="39246453" w14:textId="73E7A92E" w:rsidR="00532EAF" w:rsidRPr="008468BA" w:rsidRDefault="00F463DB">
      <w:pPr>
        <w:rPr>
          <w:i/>
          <w:iCs/>
          <w:color w:val="44546A"/>
          <w:sz w:val="18"/>
          <w:szCs w:val="18"/>
          <w:lang w:val="en-ZW" w:eastAsia="en-ZW"/>
        </w:rPr>
      </w:pPr>
      <w:r w:rsidRPr="008468BA">
        <w:rPr>
          <w:i/>
          <w:iCs/>
          <w:color w:val="44546A"/>
          <w:sz w:val="18"/>
          <w:szCs w:val="18"/>
          <w:lang w:val="en-ZW" w:eastAsia="en-ZW"/>
        </w:rPr>
        <w:t>Table</w:t>
      </w:r>
      <w:r w:rsidR="007010C1" w:rsidRPr="008468BA">
        <w:rPr>
          <w:i/>
          <w:iCs/>
          <w:color w:val="44546A"/>
          <w:sz w:val="18"/>
          <w:szCs w:val="18"/>
          <w:lang w:val="en-ZW" w:eastAsia="en-ZW"/>
        </w:rPr>
        <w:t xml:space="preserve"> </w:t>
      </w:r>
      <w:r w:rsidR="008468BA">
        <w:rPr>
          <w:i/>
          <w:iCs/>
          <w:color w:val="44546A"/>
          <w:sz w:val="18"/>
          <w:szCs w:val="18"/>
          <w:lang w:val="en-ZW" w:eastAsia="en-ZW"/>
        </w:rPr>
        <w:t>7</w:t>
      </w:r>
      <w:r w:rsidRPr="008468BA">
        <w:rPr>
          <w:i/>
          <w:iCs/>
          <w:color w:val="44546A"/>
          <w:sz w:val="18"/>
          <w:szCs w:val="18"/>
          <w:lang w:val="en-ZW" w:eastAsia="en-ZW"/>
        </w:rPr>
        <w:t xml:space="preserve">: </w:t>
      </w:r>
      <w:r w:rsidR="00532EAF" w:rsidRPr="008468BA">
        <w:rPr>
          <w:i/>
          <w:iCs/>
          <w:color w:val="44546A"/>
          <w:sz w:val="18"/>
          <w:szCs w:val="18"/>
          <w:lang w:val="en-ZW" w:eastAsia="en-ZW"/>
        </w:rPr>
        <w:t xml:space="preserve">Effects of </w:t>
      </w:r>
      <w:r w:rsidR="005B4ED1" w:rsidRPr="008468BA">
        <w:rPr>
          <w:i/>
          <w:iCs/>
          <w:color w:val="44546A"/>
          <w:sz w:val="18"/>
          <w:szCs w:val="18"/>
          <w:lang w:val="en-ZW" w:eastAsia="en-ZW"/>
        </w:rPr>
        <w:t>Carpobrotus edulis</w:t>
      </w:r>
      <w:r w:rsidR="00532EAF" w:rsidRPr="008468BA">
        <w:rPr>
          <w:i/>
          <w:iCs/>
          <w:color w:val="44546A"/>
          <w:sz w:val="18"/>
          <w:szCs w:val="18"/>
          <w:lang w:val="en-ZW" w:eastAsia="en-ZW"/>
        </w:rPr>
        <w:t xml:space="preserve"> on average daily water intake</w:t>
      </w:r>
      <w:r w:rsidR="00CE4429" w:rsidRPr="008468BA">
        <w:rPr>
          <w:i/>
          <w:iCs/>
          <w:color w:val="44546A"/>
          <w:sz w:val="18"/>
          <w:szCs w:val="18"/>
          <w:lang w:val="en-ZW" w:eastAsia="en-ZW"/>
        </w:rPr>
        <w:t xml:space="preserve"> </w:t>
      </w:r>
      <w:r w:rsidR="00532EAF" w:rsidRPr="008468BA">
        <w:rPr>
          <w:i/>
          <w:iCs/>
          <w:color w:val="44546A"/>
          <w:sz w:val="18"/>
          <w:szCs w:val="18"/>
          <w:lang w:val="en-ZW" w:eastAsia="en-ZW"/>
        </w:rPr>
        <w:t xml:space="preserve">(ml) of Sprague Dawley Rats </w:t>
      </w:r>
      <w:r w:rsidR="0007389C" w:rsidRPr="008468BA">
        <w:rPr>
          <w:i/>
          <w:iCs/>
          <w:color w:val="44546A"/>
          <w:sz w:val="18"/>
          <w:szCs w:val="18"/>
          <w:lang w:val="en-ZW" w:eastAsia="en-ZW"/>
        </w:rPr>
        <w:t>over 28 days</w:t>
      </w:r>
      <w:r w:rsidR="007010C1" w:rsidRPr="008468BA">
        <w:rPr>
          <w:i/>
          <w:iCs/>
          <w:color w:val="44546A"/>
          <w:sz w:val="18"/>
          <w:szCs w:val="18"/>
          <w:lang w:val="en-ZW" w:eastAsia="en-ZW"/>
        </w:rPr>
        <w:t>.</w:t>
      </w:r>
    </w:p>
    <w:tbl>
      <w:tblPr>
        <w:tblStyle w:val="PlainTable2"/>
        <w:tblW w:w="0" w:type="auto"/>
        <w:tblLook w:val="04A0" w:firstRow="1" w:lastRow="0" w:firstColumn="1" w:lastColumn="0" w:noHBand="0" w:noVBand="1"/>
      </w:tblPr>
      <w:tblGrid>
        <w:gridCol w:w="1482"/>
        <w:gridCol w:w="1482"/>
        <w:gridCol w:w="1500"/>
        <w:gridCol w:w="1500"/>
        <w:gridCol w:w="1552"/>
        <w:gridCol w:w="1500"/>
      </w:tblGrid>
      <w:tr w:rsidR="00532EAF" w:rsidRPr="007010C1" w14:paraId="57C0EE5F" w14:textId="77777777" w:rsidTr="00941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14:paraId="08E0F492" w14:textId="1D743059" w:rsidR="00532EAF" w:rsidRPr="007010C1" w:rsidRDefault="00532EAF" w:rsidP="0094124A">
            <w:pPr>
              <w:contextualSpacing/>
              <w:rPr>
                <w:rFonts w:ascii="Arial" w:hAnsi="Arial" w:cs="Arial"/>
                <w:b w:val="0"/>
                <w:bCs w:val="0"/>
              </w:rPr>
            </w:pPr>
            <w:r w:rsidRPr="007010C1">
              <w:rPr>
                <w:rFonts w:ascii="Arial" w:hAnsi="Arial" w:cs="Arial"/>
              </w:rPr>
              <w:t>Group</w:t>
            </w:r>
          </w:p>
        </w:tc>
        <w:tc>
          <w:tcPr>
            <w:tcW w:w="1482" w:type="dxa"/>
          </w:tcPr>
          <w:p w14:paraId="39133B96" w14:textId="5BBF4329"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Dosage</w:t>
            </w:r>
          </w:p>
        </w:tc>
        <w:tc>
          <w:tcPr>
            <w:tcW w:w="1500" w:type="dxa"/>
          </w:tcPr>
          <w:p w14:paraId="31E1CC53" w14:textId="16553120"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Week 1</w:t>
            </w:r>
          </w:p>
        </w:tc>
        <w:tc>
          <w:tcPr>
            <w:tcW w:w="1500" w:type="dxa"/>
          </w:tcPr>
          <w:p w14:paraId="3E685608" w14:textId="7C3234EC"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Week 2</w:t>
            </w:r>
          </w:p>
        </w:tc>
        <w:tc>
          <w:tcPr>
            <w:tcW w:w="1552" w:type="dxa"/>
          </w:tcPr>
          <w:p w14:paraId="43B94E7E" w14:textId="06B91808"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Week 3</w:t>
            </w:r>
          </w:p>
        </w:tc>
        <w:tc>
          <w:tcPr>
            <w:tcW w:w="1500" w:type="dxa"/>
          </w:tcPr>
          <w:p w14:paraId="37050C98" w14:textId="3D629C35" w:rsidR="00532EAF" w:rsidRPr="007010C1" w:rsidRDefault="00532EAF"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7010C1">
              <w:rPr>
                <w:rFonts w:ascii="Arial" w:hAnsi="Arial" w:cs="Arial"/>
              </w:rPr>
              <w:t>Week 4</w:t>
            </w:r>
          </w:p>
        </w:tc>
      </w:tr>
      <w:tr w:rsidR="00532EAF" w:rsidRPr="007010C1" w14:paraId="115C2BB6"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14:paraId="1F859379" w14:textId="5693B53E" w:rsidR="00532EAF" w:rsidRPr="007010C1" w:rsidRDefault="00532EAF" w:rsidP="0094124A">
            <w:pPr>
              <w:contextualSpacing/>
              <w:rPr>
                <w:rFonts w:ascii="Arial" w:hAnsi="Arial" w:cs="Arial"/>
              </w:rPr>
            </w:pPr>
            <w:r w:rsidRPr="007010C1">
              <w:rPr>
                <w:rFonts w:ascii="Arial" w:hAnsi="Arial" w:cs="Arial"/>
              </w:rPr>
              <w:t>Control</w:t>
            </w:r>
          </w:p>
        </w:tc>
        <w:tc>
          <w:tcPr>
            <w:tcW w:w="1482" w:type="dxa"/>
          </w:tcPr>
          <w:p w14:paraId="62773E14" w14:textId="538075F4" w:rsidR="00532EAF" w:rsidRPr="007010C1" w:rsidRDefault="00532EAF"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0</w:t>
            </w:r>
          </w:p>
        </w:tc>
        <w:tc>
          <w:tcPr>
            <w:tcW w:w="1500" w:type="dxa"/>
          </w:tcPr>
          <w:p w14:paraId="13957D27" w14:textId="02A0F779" w:rsidR="00532EAF" w:rsidRPr="007010C1" w:rsidRDefault="00532EAF"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97.50±2.10</w:t>
            </w:r>
          </w:p>
        </w:tc>
        <w:tc>
          <w:tcPr>
            <w:tcW w:w="1500" w:type="dxa"/>
          </w:tcPr>
          <w:p w14:paraId="68EF0C9E" w14:textId="30763A03"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99.83±4.80</w:t>
            </w:r>
          </w:p>
        </w:tc>
        <w:tc>
          <w:tcPr>
            <w:tcW w:w="1552" w:type="dxa"/>
          </w:tcPr>
          <w:p w14:paraId="35C4063B" w14:textId="5BFE796A"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113.20±8.50</w:t>
            </w:r>
          </w:p>
        </w:tc>
        <w:tc>
          <w:tcPr>
            <w:tcW w:w="1500" w:type="dxa"/>
          </w:tcPr>
          <w:p w14:paraId="3C2FD070" w14:textId="11308AE5"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96.67±4.10</w:t>
            </w:r>
          </w:p>
        </w:tc>
      </w:tr>
      <w:tr w:rsidR="00532EAF" w:rsidRPr="007010C1" w14:paraId="6FBD4FB0" w14:textId="77777777" w:rsidTr="0094124A">
        <w:tc>
          <w:tcPr>
            <w:cnfStyle w:val="001000000000" w:firstRow="0" w:lastRow="0" w:firstColumn="1" w:lastColumn="0" w:oddVBand="0" w:evenVBand="0" w:oddHBand="0" w:evenHBand="0" w:firstRowFirstColumn="0" w:firstRowLastColumn="0" w:lastRowFirstColumn="0" w:lastRowLastColumn="0"/>
            <w:tcW w:w="1482" w:type="dxa"/>
          </w:tcPr>
          <w:p w14:paraId="1805A27C" w14:textId="7B9CFC70" w:rsidR="00532EAF" w:rsidRPr="007010C1" w:rsidRDefault="00532EAF" w:rsidP="0094124A">
            <w:pPr>
              <w:contextualSpacing/>
              <w:rPr>
                <w:rFonts w:ascii="Arial" w:hAnsi="Arial" w:cs="Arial"/>
              </w:rPr>
            </w:pPr>
            <w:r w:rsidRPr="007010C1">
              <w:rPr>
                <w:rFonts w:ascii="Arial" w:hAnsi="Arial" w:cs="Arial"/>
              </w:rPr>
              <w:t>1</w:t>
            </w:r>
          </w:p>
        </w:tc>
        <w:tc>
          <w:tcPr>
            <w:tcW w:w="1482" w:type="dxa"/>
          </w:tcPr>
          <w:p w14:paraId="2B373FD2" w14:textId="3ECC7F77" w:rsidR="00532EAF" w:rsidRPr="007010C1" w:rsidRDefault="00532EAF"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500</w:t>
            </w:r>
          </w:p>
        </w:tc>
        <w:tc>
          <w:tcPr>
            <w:tcW w:w="1500" w:type="dxa"/>
          </w:tcPr>
          <w:p w14:paraId="01982DCA" w14:textId="04599F9A" w:rsidR="00532EAF" w:rsidRPr="007010C1"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95.33±3.50</w:t>
            </w:r>
          </w:p>
        </w:tc>
        <w:tc>
          <w:tcPr>
            <w:tcW w:w="1500" w:type="dxa"/>
          </w:tcPr>
          <w:p w14:paraId="46215156" w14:textId="60BE29C2" w:rsidR="00532EAF" w:rsidRPr="007010C1"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98.67±5.20</w:t>
            </w:r>
          </w:p>
        </w:tc>
        <w:tc>
          <w:tcPr>
            <w:tcW w:w="1552" w:type="dxa"/>
          </w:tcPr>
          <w:p w14:paraId="073A1781" w14:textId="75D6F160" w:rsidR="00532EAF" w:rsidRPr="007010C1"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108.17±9.20</w:t>
            </w:r>
          </w:p>
        </w:tc>
        <w:tc>
          <w:tcPr>
            <w:tcW w:w="1500" w:type="dxa"/>
          </w:tcPr>
          <w:p w14:paraId="5AA464D6" w14:textId="15FABEEE" w:rsidR="00532EAF" w:rsidRPr="007010C1"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7010C1">
              <w:rPr>
                <w:rFonts w:ascii="Arial" w:hAnsi="Arial" w:cs="Arial"/>
              </w:rPr>
              <w:t>105.50±3.90</w:t>
            </w:r>
          </w:p>
        </w:tc>
      </w:tr>
      <w:tr w:rsidR="00532EAF" w:rsidRPr="007010C1" w14:paraId="6525DD00"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14:paraId="4CA70CFF" w14:textId="508D4AA0" w:rsidR="00532EAF" w:rsidRPr="007010C1" w:rsidRDefault="00532EAF" w:rsidP="0094124A">
            <w:pPr>
              <w:contextualSpacing/>
              <w:rPr>
                <w:rFonts w:ascii="Arial" w:hAnsi="Arial" w:cs="Arial"/>
              </w:rPr>
            </w:pPr>
            <w:r w:rsidRPr="007010C1">
              <w:rPr>
                <w:rFonts w:ascii="Arial" w:hAnsi="Arial" w:cs="Arial"/>
              </w:rPr>
              <w:t>2</w:t>
            </w:r>
          </w:p>
        </w:tc>
        <w:tc>
          <w:tcPr>
            <w:tcW w:w="1482" w:type="dxa"/>
          </w:tcPr>
          <w:p w14:paraId="3FAA686E" w14:textId="53E2E425" w:rsidR="00532EAF" w:rsidRPr="007010C1" w:rsidRDefault="00532EAF"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1000</w:t>
            </w:r>
          </w:p>
        </w:tc>
        <w:tc>
          <w:tcPr>
            <w:tcW w:w="1500" w:type="dxa"/>
          </w:tcPr>
          <w:p w14:paraId="07751CFB" w14:textId="69258796"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105.83±5.40</w:t>
            </w:r>
          </w:p>
        </w:tc>
        <w:tc>
          <w:tcPr>
            <w:tcW w:w="1500" w:type="dxa"/>
          </w:tcPr>
          <w:p w14:paraId="32E57491" w14:textId="426EA0B6"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104.17±6.80</w:t>
            </w:r>
          </w:p>
        </w:tc>
        <w:tc>
          <w:tcPr>
            <w:tcW w:w="1552" w:type="dxa"/>
          </w:tcPr>
          <w:p w14:paraId="27B5BF09" w14:textId="461E69DB"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122.33±10.20</w:t>
            </w:r>
          </w:p>
        </w:tc>
        <w:tc>
          <w:tcPr>
            <w:tcW w:w="1500" w:type="dxa"/>
          </w:tcPr>
          <w:p w14:paraId="026E8661" w14:textId="5221BD19" w:rsidR="00532EAF" w:rsidRPr="007010C1"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7010C1">
              <w:rPr>
                <w:rFonts w:ascii="Arial" w:hAnsi="Arial" w:cs="Arial"/>
              </w:rPr>
              <w:t>112.83±5.50</w:t>
            </w:r>
          </w:p>
        </w:tc>
      </w:tr>
    </w:tbl>
    <w:p w14:paraId="4F88A400" w14:textId="77777777" w:rsidR="0007389C" w:rsidRPr="007010C1" w:rsidRDefault="0007389C" w:rsidP="0007389C">
      <w:pPr>
        <w:spacing w:before="0"/>
        <w:rPr>
          <w:rFonts w:ascii="Arial" w:hAnsi="Arial" w:cs="Arial"/>
          <w:color w:val="000000"/>
        </w:rPr>
      </w:pPr>
      <w:r w:rsidRPr="007010C1">
        <w:rPr>
          <w:rFonts w:ascii="Arial" w:hAnsi="Arial" w:cs="Arial"/>
          <w:color w:val="000000"/>
        </w:rPr>
        <w:t>Values are presented as mean ± SEM. *p &lt; 0.05 indicates statistical significance.</w:t>
      </w:r>
    </w:p>
    <w:p w14:paraId="4564933C" w14:textId="04520EB0" w:rsidR="0007389C" w:rsidRPr="008468BA" w:rsidRDefault="00F463DB" w:rsidP="0007389C">
      <w:pPr>
        <w:rPr>
          <w:i/>
          <w:iCs/>
          <w:color w:val="44546A"/>
          <w:sz w:val="18"/>
          <w:szCs w:val="18"/>
          <w:lang w:val="en-ZW" w:eastAsia="en-ZW"/>
        </w:rPr>
      </w:pPr>
      <w:r w:rsidRPr="008468BA">
        <w:rPr>
          <w:i/>
          <w:iCs/>
          <w:color w:val="44546A"/>
          <w:sz w:val="18"/>
          <w:szCs w:val="18"/>
          <w:lang w:val="en-ZW" w:eastAsia="en-ZW"/>
        </w:rPr>
        <w:t>Table</w:t>
      </w:r>
      <w:r w:rsidR="007010C1" w:rsidRPr="008468BA">
        <w:rPr>
          <w:i/>
          <w:iCs/>
          <w:color w:val="44546A"/>
          <w:sz w:val="18"/>
          <w:szCs w:val="18"/>
          <w:lang w:val="en-ZW" w:eastAsia="en-ZW"/>
        </w:rPr>
        <w:t xml:space="preserve"> </w:t>
      </w:r>
      <w:r w:rsidR="008468BA">
        <w:rPr>
          <w:i/>
          <w:iCs/>
          <w:color w:val="44546A"/>
          <w:sz w:val="18"/>
          <w:szCs w:val="18"/>
          <w:lang w:val="en-ZW" w:eastAsia="en-ZW"/>
        </w:rPr>
        <w:t>8</w:t>
      </w:r>
      <w:r w:rsidRPr="008468BA">
        <w:rPr>
          <w:i/>
          <w:iCs/>
          <w:color w:val="44546A"/>
          <w:sz w:val="18"/>
          <w:szCs w:val="18"/>
          <w:lang w:val="en-ZW" w:eastAsia="en-ZW"/>
        </w:rPr>
        <w:t xml:space="preserve">: </w:t>
      </w:r>
      <w:r w:rsidR="0007389C" w:rsidRPr="008468BA">
        <w:rPr>
          <w:i/>
          <w:iCs/>
          <w:color w:val="44546A"/>
          <w:sz w:val="18"/>
          <w:szCs w:val="18"/>
          <w:lang w:val="en-ZW" w:eastAsia="en-ZW"/>
        </w:rPr>
        <w:t xml:space="preserve">Effects of </w:t>
      </w:r>
      <w:r w:rsidR="005B4ED1" w:rsidRPr="008468BA">
        <w:rPr>
          <w:i/>
          <w:iCs/>
          <w:color w:val="44546A"/>
          <w:sz w:val="18"/>
          <w:szCs w:val="18"/>
          <w:lang w:val="en-ZW" w:eastAsia="en-ZW"/>
        </w:rPr>
        <w:t>Carpobrotus edulis</w:t>
      </w:r>
      <w:r w:rsidR="0007389C" w:rsidRPr="008468BA">
        <w:rPr>
          <w:i/>
          <w:iCs/>
          <w:color w:val="44546A"/>
          <w:sz w:val="18"/>
          <w:szCs w:val="18"/>
          <w:lang w:val="en-ZW" w:eastAsia="en-ZW"/>
        </w:rPr>
        <w:t xml:space="preserve"> on average feed intake(g) of Sprague Dawley Rats over 28 days</w:t>
      </w:r>
      <w:r w:rsidR="007010C1" w:rsidRPr="008468BA">
        <w:rPr>
          <w:i/>
          <w:iCs/>
          <w:color w:val="44546A"/>
          <w:sz w:val="18"/>
          <w:szCs w:val="18"/>
          <w:lang w:val="en-ZW" w:eastAsia="en-ZW"/>
        </w:rPr>
        <w:t>.</w:t>
      </w:r>
    </w:p>
    <w:tbl>
      <w:tblPr>
        <w:tblStyle w:val="PlainTable2"/>
        <w:tblW w:w="0" w:type="auto"/>
        <w:tblLook w:val="04A0" w:firstRow="1" w:lastRow="0" w:firstColumn="1" w:lastColumn="0" w:noHBand="0" w:noVBand="1"/>
      </w:tblPr>
      <w:tblGrid>
        <w:gridCol w:w="1502"/>
        <w:gridCol w:w="1502"/>
        <w:gridCol w:w="1503"/>
        <w:gridCol w:w="1503"/>
        <w:gridCol w:w="1503"/>
        <w:gridCol w:w="1116"/>
      </w:tblGrid>
      <w:tr w:rsidR="0007389C" w:rsidRPr="0094124A" w14:paraId="7B195547" w14:textId="77777777" w:rsidTr="0094124A">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502" w:type="dxa"/>
          </w:tcPr>
          <w:p w14:paraId="31D08F84" w14:textId="3E41EABE" w:rsidR="0007389C" w:rsidRPr="0094124A" w:rsidRDefault="0007389C" w:rsidP="0094124A">
            <w:pPr>
              <w:contextualSpacing/>
              <w:rPr>
                <w:rFonts w:ascii="Arial" w:hAnsi="Arial" w:cs="Arial"/>
                <w:sz w:val="18"/>
                <w:szCs w:val="18"/>
              </w:rPr>
            </w:pPr>
            <w:r w:rsidRPr="0094124A">
              <w:rPr>
                <w:rFonts w:ascii="Arial" w:hAnsi="Arial" w:cs="Arial"/>
                <w:sz w:val="18"/>
                <w:szCs w:val="18"/>
              </w:rPr>
              <w:t>Group</w:t>
            </w:r>
          </w:p>
        </w:tc>
        <w:tc>
          <w:tcPr>
            <w:tcW w:w="1502" w:type="dxa"/>
          </w:tcPr>
          <w:p w14:paraId="291E7D31" w14:textId="6E7699A8"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Dose</w:t>
            </w:r>
            <w:r w:rsidR="008A713F">
              <w:rPr>
                <w:rFonts w:ascii="Arial" w:hAnsi="Arial" w:cs="Arial"/>
                <w:sz w:val="18"/>
                <w:szCs w:val="18"/>
              </w:rPr>
              <w:t xml:space="preserve"> </w:t>
            </w:r>
            <w:r w:rsidRPr="0094124A">
              <w:rPr>
                <w:rFonts w:ascii="Arial" w:hAnsi="Arial" w:cs="Arial"/>
                <w:sz w:val="18"/>
                <w:szCs w:val="18"/>
              </w:rPr>
              <w:t>(mg/kg)</w:t>
            </w:r>
          </w:p>
        </w:tc>
        <w:tc>
          <w:tcPr>
            <w:tcW w:w="1503" w:type="dxa"/>
          </w:tcPr>
          <w:p w14:paraId="11B58A29" w14:textId="76DBC59F"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Week 1</w:t>
            </w:r>
          </w:p>
        </w:tc>
        <w:tc>
          <w:tcPr>
            <w:tcW w:w="1503" w:type="dxa"/>
          </w:tcPr>
          <w:p w14:paraId="7C81F3B3" w14:textId="099975CF"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Week 2</w:t>
            </w:r>
          </w:p>
        </w:tc>
        <w:tc>
          <w:tcPr>
            <w:tcW w:w="1503" w:type="dxa"/>
          </w:tcPr>
          <w:p w14:paraId="206F0BB2" w14:textId="746B2FA8"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Week 3</w:t>
            </w:r>
          </w:p>
        </w:tc>
        <w:tc>
          <w:tcPr>
            <w:tcW w:w="284" w:type="dxa"/>
          </w:tcPr>
          <w:p w14:paraId="5F207445" w14:textId="739FDBA8" w:rsidR="0007389C" w:rsidRPr="0094124A" w:rsidRDefault="0007389C"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 xml:space="preserve">Week 4 </w:t>
            </w:r>
          </w:p>
        </w:tc>
      </w:tr>
      <w:tr w:rsidR="0007389C" w:rsidRPr="0094124A" w14:paraId="0E32C9DA"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15E9794F" w14:textId="07929BA9" w:rsidR="0007389C" w:rsidRPr="0094124A" w:rsidRDefault="0007389C" w:rsidP="0094124A">
            <w:pPr>
              <w:contextualSpacing/>
              <w:rPr>
                <w:rFonts w:ascii="Arial" w:hAnsi="Arial" w:cs="Arial"/>
                <w:sz w:val="18"/>
                <w:szCs w:val="18"/>
              </w:rPr>
            </w:pPr>
            <w:r w:rsidRPr="0094124A">
              <w:rPr>
                <w:rFonts w:ascii="Arial" w:hAnsi="Arial" w:cs="Arial"/>
                <w:sz w:val="18"/>
                <w:szCs w:val="18"/>
              </w:rPr>
              <w:t>Control</w:t>
            </w:r>
          </w:p>
        </w:tc>
        <w:tc>
          <w:tcPr>
            <w:tcW w:w="1502" w:type="dxa"/>
          </w:tcPr>
          <w:p w14:paraId="38DF908F" w14:textId="1E6A5413" w:rsidR="0007389C" w:rsidRPr="0094124A"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0</w:t>
            </w:r>
          </w:p>
        </w:tc>
        <w:tc>
          <w:tcPr>
            <w:tcW w:w="1503" w:type="dxa"/>
          </w:tcPr>
          <w:p w14:paraId="73B99503" w14:textId="79DDE599"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65.83±5.50</w:t>
            </w:r>
          </w:p>
        </w:tc>
        <w:tc>
          <w:tcPr>
            <w:tcW w:w="1503" w:type="dxa"/>
          </w:tcPr>
          <w:p w14:paraId="319696D7" w14:textId="3DCDDA7D"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72.33±2.70</w:t>
            </w:r>
          </w:p>
        </w:tc>
        <w:tc>
          <w:tcPr>
            <w:tcW w:w="1503" w:type="dxa"/>
          </w:tcPr>
          <w:p w14:paraId="79258E98" w14:textId="3FDAC5A2"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78.17±3.20</w:t>
            </w:r>
          </w:p>
        </w:tc>
        <w:tc>
          <w:tcPr>
            <w:tcW w:w="284" w:type="dxa"/>
          </w:tcPr>
          <w:p w14:paraId="30DC4AEA" w14:textId="4CB7668E"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72.50±3.00</w:t>
            </w:r>
          </w:p>
        </w:tc>
      </w:tr>
      <w:tr w:rsidR="0007389C" w:rsidRPr="0094124A" w14:paraId="2464AD07" w14:textId="77777777" w:rsidTr="0094124A">
        <w:tc>
          <w:tcPr>
            <w:cnfStyle w:val="001000000000" w:firstRow="0" w:lastRow="0" w:firstColumn="1" w:lastColumn="0" w:oddVBand="0" w:evenVBand="0" w:oddHBand="0" w:evenHBand="0" w:firstRowFirstColumn="0" w:firstRowLastColumn="0" w:lastRowFirstColumn="0" w:lastRowLastColumn="0"/>
            <w:tcW w:w="1502" w:type="dxa"/>
          </w:tcPr>
          <w:p w14:paraId="4D7677AD" w14:textId="4F9BD005" w:rsidR="0007389C" w:rsidRPr="0094124A" w:rsidRDefault="0007389C" w:rsidP="0094124A">
            <w:pPr>
              <w:contextualSpacing/>
              <w:rPr>
                <w:rFonts w:ascii="Arial" w:hAnsi="Arial" w:cs="Arial"/>
                <w:sz w:val="18"/>
                <w:szCs w:val="18"/>
              </w:rPr>
            </w:pPr>
            <w:r w:rsidRPr="0094124A">
              <w:rPr>
                <w:rFonts w:ascii="Arial" w:hAnsi="Arial" w:cs="Arial"/>
                <w:sz w:val="18"/>
                <w:szCs w:val="18"/>
              </w:rPr>
              <w:t>1</w:t>
            </w:r>
          </w:p>
        </w:tc>
        <w:tc>
          <w:tcPr>
            <w:tcW w:w="1502" w:type="dxa"/>
          </w:tcPr>
          <w:p w14:paraId="54DA0CA0" w14:textId="6CFC9C29" w:rsidR="0007389C" w:rsidRPr="0094124A" w:rsidRDefault="0007389C"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500</w:t>
            </w:r>
          </w:p>
        </w:tc>
        <w:tc>
          <w:tcPr>
            <w:tcW w:w="1503" w:type="dxa"/>
          </w:tcPr>
          <w:p w14:paraId="4C233BBA" w14:textId="15BBA3BF" w:rsidR="0007389C" w:rsidRPr="0094124A" w:rsidRDefault="005B0B2A"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63.17±5.20</w:t>
            </w:r>
          </w:p>
        </w:tc>
        <w:tc>
          <w:tcPr>
            <w:tcW w:w="1503" w:type="dxa"/>
          </w:tcPr>
          <w:p w14:paraId="7EB73418" w14:textId="72352605" w:rsidR="0007389C" w:rsidRPr="0094124A" w:rsidRDefault="005B0B2A"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68.83±2.60</w:t>
            </w:r>
          </w:p>
        </w:tc>
        <w:tc>
          <w:tcPr>
            <w:tcW w:w="1503" w:type="dxa"/>
          </w:tcPr>
          <w:p w14:paraId="555681A4" w14:textId="2CFDAB0A" w:rsidR="0007389C" w:rsidRPr="0094124A" w:rsidRDefault="005B0B2A"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77.67±3.10</w:t>
            </w:r>
          </w:p>
        </w:tc>
        <w:tc>
          <w:tcPr>
            <w:tcW w:w="284" w:type="dxa"/>
          </w:tcPr>
          <w:p w14:paraId="72B85368" w14:textId="51F8664B" w:rsidR="0007389C" w:rsidRPr="0094124A" w:rsidRDefault="005B0B2A"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124A">
              <w:rPr>
                <w:rFonts w:ascii="Arial" w:hAnsi="Arial" w:cs="Arial"/>
                <w:sz w:val="18"/>
                <w:szCs w:val="18"/>
              </w:rPr>
              <w:t>71.83±2.90</w:t>
            </w:r>
          </w:p>
        </w:tc>
      </w:tr>
      <w:tr w:rsidR="0007389C" w:rsidRPr="0094124A" w14:paraId="3A36CBDC"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54E9CEA" w14:textId="27882862" w:rsidR="0007389C" w:rsidRPr="0094124A" w:rsidRDefault="0007389C" w:rsidP="0094124A">
            <w:pPr>
              <w:contextualSpacing/>
              <w:rPr>
                <w:rFonts w:ascii="Arial" w:hAnsi="Arial" w:cs="Arial"/>
                <w:sz w:val="18"/>
                <w:szCs w:val="18"/>
              </w:rPr>
            </w:pPr>
            <w:r w:rsidRPr="0094124A">
              <w:rPr>
                <w:rFonts w:ascii="Arial" w:hAnsi="Arial" w:cs="Arial"/>
                <w:sz w:val="18"/>
                <w:szCs w:val="18"/>
              </w:rPr>
              <w:t>2</w:t>
            </w:r>
          </w:p>
        </w:tc>
        <w:tc>
          <w:tcPr>
            <w:tcW w:w="1502" w:type="dxa"/>
          </w:tcPr>
          <w:p w14:paraId="73E69FC3" w14:textId="4CD1AAEA" w:rsidR="0007389C" w:rsidRPr="0094124A" w:rsidRDefault="0007389C"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1000</w:t>
            </w:r>
          </w:p>
        </w:tc>
        <w:tc>
          <w:tcPr>
            <w:tcW w:w="1503" w:type="dxa"/>
          </w:tcPr>
          <w:p w14:paraId="718BE51D" w14:textId="3F317E3E"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66.50±5.80</w:t>
            </w:r>
          </w:p>
        </w:tc>
        <w:tc>
          <w:tcPr>
            <w:tcW w:w="1503" w:type="dxa"/>
          </w:tcPr>
          <w:p w14:paraId="1EE16B52" w14:textId="2EF61761"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73.17±2.40</w:t>
            </w:r>
          </w:p>
        </w:tc>
        <w:tc>
          <w:tcPr>
            <w:tcW w:w="1503" w:type="dxa"/>
          </w:tcPr>
          <w:p w14:paraId="48DEDDEA" w14:textId="61CF548F"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78.83±4.30</w:t>
            </w:r>
          </w:p>
        </w:tc>
        <w:tc>
          <w:tcPr>
            <w:tcW w:w="284" w:type="dxa"/>
          </w:tcPr>
          <w:p w14:paraId="28F42B88" w14:textId="0AA7C5CC" w:rsidR="0007389C" w:rsidRPr="0094124A" w:rsidRDefault="005B0B2A"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4124A">
              <w:rPr>
                <w:rFonts w:ascii="Arial" w:hAnsi="Arial" w:cs="Arial"/>
                <w:sz w:val="18"/>
                <w:szCs w:val="18"/>
              </w:rPr>
              <w:t>74.33±3.20</w:t>
            </w:r>
          </w:p>
        </w:tc>
      </w:tr>
    </w:tbl>
    <w:p w14:paraId="63ACCD67" w14:textId="77777777" w:rsidR="00685BCB" w:rsidRPr="007010C1" w:rsidRDefault="00685BCB" w:rsidP="00685BCB">
      <w:pPr>
        <w:spacing w:before="0"/>
        <w:rPr>
          <w:rFonts w:ascii="Arial" w:hAnsi="Arial" w:cs="Arial"/>
          <w:color w:val="000000"/>
        </w:rPr>
      </w:pPr>
      <w:r w:rsidRPr="0094124A">
        <w:rPr>
          <w:rFonts w:ascii="Arial" w:hAnsi="Arial" w:cs="Arial"/>
          <w:i/>
          <w:iCs/>
          <w:color w:val="000000"/>
        </w:rPr>
        <w:t>Values are presented as mean ± SEM. *p &lt; 0.05 indicates statistical significance</w:t>
      </w:r>
      <w:r w:rsidRPr="007010C1">
        <w:rPr>
          <w:rFonts w:ascii="Arial" w:hAnsi="Arial" w:cs="Arial"/>
          <w:color w:val="000000"/>
        </w:rPr>
        <w:t>.</w:t>
      </w:r>
    </w:p>
    <w:p w14:paraId="79022FFE" w14:textId="221C37C4" w:rsidR="00261AF3" w:rsidRPr="00FB6084" w:rsidRDefault="00416988" w:rsidP="002F3DEB">
      <w:pPr>
        <w:pStyle w:val="Heading3"/>
      </w:pPr>
      <w:r w:rsidRPr="00FB6084">
        <w:t xml:space="preserve">Organ weight </w:t>
      </w:r>
    </w:p>
    <w:p w14:paraId="33CC8F7E" w14:textId="7A08C165" w:rsidR="00F463DB" w:rsidRPr="00FB6084" w:rsidRDefault="00610B37" w:rsidP="00FB6084">
      <w:pPr>
        <w:jc w:val="both"/>
        <w:rPr>
          <w:rFonts w:ascii="Arial" w:hAnsi="Arial" w:cs="Arial"/>
          <w:color w:val="000000"/>
          <w:sz w:val="16"/>
          <w:szCs w:val="16"/>
        </w:rPr>
      </w:pPr>
      <w:r>
        <w:rPr>
          <w:rFonts w:ascii="Arial" w:hAnsi="Arial" w:cs="Arial"/>
          <w:color w:val="000000"/>
        </w:rPr>
        <w:t xml:space="preserve">The average weight changes in organs weights are shown in Table </w:t>
      </w:r>
      <w:r w:rsidR="0094124A">
        <w:rPr>
          <w:rFonts w:ascii="Arial" w:hAnsi="Arial" w:cs="Arial"/>
          <w:color w:val="000000"/>
        </w:rPr>
        <w:t>9</w:t>
      </w:r>
      <w:r>
        <w:rPr>
          <w:rFonts w:ascii="Arial" w:hAnsi="Arial" w:cs="Arial"/>
          <w:color w:val="000000"/>
        </w:rPr>
        <w:t xml:space="preserve">. </w:t>
      </w:r>
      <w:r w:rsidR="00F463DB" w:rsidRPr="00FB6084">
        <w:rPr>
          <w:rFonts w:ascii="Arial" w:hAnsi="Arial" w:cs="Arial"/>
          <w:color w:val="000000"/>
        </w:rPr>
        <w:t>No statistically significant differences</w:t>
      </w:r>
      <w:r w:rsidR="00FB6084">
        <w:rPr>
          <w:rFonts w:ascii="Arial" w:hAnsi="Arial" w:cs="Arial"/>
          <w:color w:val="000000"/>
        </w:rPr>
        <w:t xml:space="preserve"> </w:t>
      </w:r>
      <w:r w:rsidR="00F463DB" w:rsidRPr="00FB6084">
        <w:rPr>
          <w:rFonts w:ascii="Arial" w:hAnsi="Arial" w:cs="Arial"/>
          <w:color w:val="000000"/>
        </w:rPr>
        <w:t>(p&lt;0.05) were observed in liver, heart, or kidney weights between the control and treatment groups</w:t>
      </w:r>
      <w:r w:rsidR="00FB6084">
        <w:rPr>
          <w:rFonts w:ascii="Arial" w:hAnsi="Arial" w:cs="Arial"/>
          <w:color w:val="000000"/>
        </w:rPr>
        <w:t xml:space="preserve"> </w:t>
      </w:r>
      <w:r w:rsidR="00353956" w:rsidRPr="00FB6084">
        <w:rPr>
          <w:rFonts w:ascii="Arial" w:hAnsi="Arial" w:cs="Arial"/>
          <w:color w:val="000000"/>
        </w:rPr>
        <w:t>(500mg/kg and 1000mg/kg)</w:t>
      </w:r>
      <w:r w:rsidR="00FB6084">
        <w:rPr>
          <w:rFonts w:ascii="Arial" w:hAnsi="Arial" w:cs="Arial"/>
          <w:color w:val="000000"/>
        </w:rPr>
        <w:t>.</w:t>
      </w:r>
    </w:p>
    <w:p w14:paraId="1A5E8503" w14:textId="6CCE0C83" w:rsidR="009D5827" w:rsidRPr="008468BA" w:rsidRDefault="00353956">
      <w:pPr>
        <w:rPr>
          <w:i/>
          <w:iCs/>
          <w:color w:val="44546A"/>
          <w:sz w:val="18"/>
          <w:szCs w:val="18"/>
          <w:lang w:val="en-ZW" w:eastAsia="en-ZW"/>
        </w:rPr>
      </w:pPr>
      <w:r w:rsidRPr="008468BA">
        <w:rPr>
          <w:i/>
          <w:iCs/>
          <w:color w:val="44546A"/>
          <w:sz w:val="18"/>
          <w:szCs w:val="18"/>
          <w:lang w:val="en-ZW" w:eastAsia="en-ZW"/>
        </w:rPr>
        <w:t>Table</w:t>
      </w:r>
      <w:r w:rsidR="00FB6084" w:rsidRPr="008468BA">
        <w:rPr>
          <w:i/>
          <w:iCs/>
          <w:color w:val="44546A"/>
          <w:sz w:val="18"/>
          <w:szCs w:val="18"/>
          <w:lang w:val="en-ZW" w:eastAsia="en-ZW"/>
        </w:rPr>
        <w:t xml:space="preserve"> </w:t>
      </w:r>
      <w:r w:rsidR="008468BA">
        <w:rPr>
          <w:i/>
          <w:iCs/>
          <w:color w:val="44546A"/>
          <w:sz w:val="18"/>
          <w:szCs w:val="18"/>
          <w:lang w:val="en-ZW" w:eastAsia="en-ZW"/>
        </w:rPr>
        <w:t>9</w:t>
      </w:r>
      <w:r w:rsidRPr="008468BA">
        <w:rPr>
          <w:i/>
          <w:iCs/>
          <w:color w:val="44546A"/>
          <w:sz w:val="18"/>
          <w:szCs w:val="18"/>
          <w:lang w:val="en-ZW" w:eastAsia="en-ZW"/>
        </w:rPr>
        <w:t xml:space="preserve">: </w:t>
      </w:r>
      <w:r w:rsidR="00610B37" w:rsidRPr="008468BA">
        <w:rPr>
          <w:i/>
          <w:iCs/>
          <w:color w:val="44546A"/>
          <w:sz w:val="18"/>
          <w:szCs w:val="18"/>
          <w:lang w:val="en-ZW" w:eastAsia="en-ZW"/>
        </w:rPr>
        <w:t xml:space="preserve">Average </w:t>
      </w:r>
      <w:r w:rsidR="00923CB8" w:rsidRPr="008468BA">
        <w:rPr>
          <w:i/>
          <w:iCs/>
          <w:color w:val="44546A"/>
          <w:sz w:val="18"/>
          <w:szCs w:val="18"/>
          <w:lang w:val="en-ZW" w:eastAsia="en-ZW"/>
        </w:rPr>
        <w:t xml:space="preserve">Organ weights of Sprague Dawley rats following 28 days of repeated exposure to hydro-ethanolic extract of </w:t>
      </w:r>
      <w:r w:rsidR="005B4ED1" w:rsidRPr="008468BA">
        <w:rPr>
          <w:i/>
          <w:iCs/>
          <w:color w:val="44546A"/>
          <w:sz w:val="18"/>
          <w:szCs w:val="18"/>
          <w:lang w:val="en-ZW" w:eastAsia="en-ZW"/>
        </w:rPr>
        <w:t>Carpobrotus edulis</w:t>
      </w:r>
      <w:r w:rsidR="00923CB8" w:rsidRPr="008468BA">
        <w:rPr>
          <w:i/>
          <w:iCs/>
          <w:color w:val="44546A"/>
          <w:sz w:val="18"/>
          <w:szCs w:val="18"/>
          <w:lang w:val="en-ZW" w:eastAsia="en-ZW"/>
        </w:rPr>
        <w:t>.</w:t>
      </w:r>
    </w:p>
    <w:tbl>
      <w:tblPr>
        <w:tblStyle w:val="PlainTable2"/>
        <w:tblW w:w="0" w:type="auto"/>
        <w:tblLook w:val="04A0" w:firstRow="1" w:lastRow="0" w:firstColumn="1" w:lastColumn="0" w:noHBand="0" w:noVBand="1"/>
      </w:tblPr>
      <w:tblGrid>
        <w:gridCol w:w="1803"/>
        <w:gridCol w:w="1803"/>
        <w:gridCol w:w="1803"/>
        <w:gridCol w:w="1803"/>
        <w:gridCol w:w="1804"/>
      </w:tblGrid>
      <w:tr w:rsidR="00641275" w:rsidRPr="0094124A" w14:paraId="378131B5" w14:textId="77777777" w:rsidTr="00941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BB90BB2" w14:textId="77777777" w:rsidR="00641275" w:rsidRPr="0094124A" w:rsidRDefault="00641275" w:rsidP="0094124A">
            <w:pPr>
              <w:contextualSpacing/>
              <w:rPr>
                <w:rFonts w:ascii="Arial" w:hAnsi="Arial" w:cs="Arial"/>
                <w:b w:val="0"/>
                <w:bCs w:val="0"/>
                <w:color w:val="000000"/>
                <w:sz w:val="18"/>
                <w:szCs w:val="18"/>
              </w:rPr>
            </w:pPr>
            <w:r w:rsidRPr="0094124A">
              <w:rPr>
                <w:rFonts w:ascii="Arial" w:hAnsi="Arial" w:cs="Arial"/>
                <w:color w:val="000000"/>
                <w:sz w:val="18"/>
                <w:szCs w:val="18"/>
              </w:rPr>
              <w:t>Group</w:t>
            </w:r>
          </w:p>
          <w:p w14:paraId="0BFD972F" w14:textId="3AF7DCE7" w:rsidR="00166836" w:rsidRPr="0094124A" w:rsidRDefault="00166836" w:rsidP="0094124A">
            <w:pPr>
              <w:contextualSpacing/>
              <w:rPr>
                <w:rFonts w:ascii="Arial" w:hAnsi="Arial" w:cs="Arial"/>
                <w:b w:val="0"/>
                <w:bCs w:val="0"/>
                <w:color w:val="000000"/>
                <w:sz w:val="18"/>
                <w:szCs w:val="18"/>
              </w:rPr>
            </w:pPr>
            <w:r w:rsidRPr="0094124A">
              <w:rPr>
                <w:rFonts w:ascii="Arial" w:hAnsi="Arial" w:cs="Arial"/>
                <w:color w:val="000000"/>
                <w:sz w:val="18"/>
                <w:szCs w:val="18"/>
              </w:rPr>
              <w:t>n=6</w:t>
            </w:r>
          </w:p>
        </w:tc>
        <w:tc>
          <w:tcPr>
            <w:tcW w:w="1803" w:type="dxa"/>
          </w:tcPr>
          <w:p w14:paraId="1A9DA757" w14:textId="17242B78" w:rsidR="00641275" w:rsidRPr="0094124A" w:rsidRDefault="00641275"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94124A">
              <w:rPr>
                <w:rFonts w:ascii="Arial" w:hAnsi="Arial" w:cs="Arial"/>
                <w:color w:val="000000"/>
                <w:sz w:val="18"/>
                <w:szCs w:val="18"/>
              </w:rPr>
              <w:t>Dose</w:t>
            </w:r>
            <w:r w:rsidR="00CE4429" w:rsidRPr="0094124A">
              <w:rPr>
                <w:rFonts w:ascii="Arial" w:hAnsi="Arial" w:cs="Arial"/>
                <w:color w:val="000000"/>
                <w:sz w:val="18"/>
                <w:szCs w:val="18"/>
              </w:rPr>
              <w:t xml:space="preserve"> </w:t>
            </w:r>
            <w:r w:rsidRPr="0094124A">
              <w:rPr>
                <w:rFonts w:ascii="Arial" w:hAnsi="Arial" w:cs="Arial"/>
                <w:color w:val="000000"/>
                <w:sz w:val="18"/>
                <w:szCs w:val="18"/>
              </w:rPr>
              <w:t>(mg/kg</w:t>
            </w:r>
          </w:p>
        </w:tc>
        <w:tc>
          <w:tcPr>
            <w:tcW w:w="1803" w:type="dxa"/>
          </w:tcPr>
          <w:p w14:paraId="2D29701A" w14:textId="28E255FF" w:rsidR="00641275" w:rsidRPr="0094124A" w:rsidRDefault="00641275"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94124A">
              <w:rPr>
                <w:rFonts w:ascii="Arial" w:hAnsi="Arial" w:cs="Arial"/>
                <w:color w:val="000000"/>
                <w:sz w:val="18"/>
                <w:szCs w:val="18"/>
              </w:rPr>
              <w:t>Liver</w:t>
            </w:r>
          </w:p>
        </w:tc>
        <w:tc>
          <w:tcPr>
            <w:tcW w:w="1803" w:type="dxa"/>
          </w:tcPr>
          <w:p w14:paraId="29BE5177" w14:textId="7A7079C7" w:rsidR="00641275" w:rsidRPr="0094124A" w:rsidRDefault="00166836"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94124A">
              <w:rPr>
                <w:rFonts w:ascii="Arial" w:hAnsi="Arial" w:cs="Arial"/>
                <w:color w:val="000000"/>
                <w:sz w:val="18"/>
                <w:szCs w:val="18"/>
              </w:rPr>
              <w:t>Heart</w:t>
            </w:r>
          </w:p>
        </w:tc>
        <w:tc>
          <w:tcPr>
            <w:tcW w:w="1804" w:type="dxa"/>
          </w:tcPr>
          <w:p w14:paraId="054808AB" w14:textId="7BB4AFDB" w:rsidR="00641275" w:rsidRPr="0094124A" w:rsidRDefault="00166836" w:rsidP="0094124A">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94124A">
              <w:rPr>
                <w:rFonts w:ascii="Arial" w:hAnsi="Arial" w:cs="Arial"/>
                <w:color w:val="000000"/>
                <w:sz w:val="18"/>
                <w:szCs w:val="18"/>
              </w:rPr>
              <w:t>Kidney</w:t>
            </w:r>
          </w:p>
        </w:tc>
      </w:tr>
      <w:tr w:rsidR="00641275" w:rsidRPr="0094124A" w14:paraId="753DAFC3"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25CBF52" w14:textId="0CD37EDE" w:rsidR="00641275" w:rsidRPr="0094124A" w:rsidRDefault="00166836" w:rsidP="0094124A">
            <w:pPr>
              <w:contextualSpacing/>
              <w:rPr>
                <w:rFonts w:ascii="Arial" w:hAnsi="Arial" w:cs="Arial"/>
                <w:color w:val="000000"/>
                <w:sz w:val="18"/>
                <w:szCs w:val="18"/>
              </w:rPr>
            </w:pPr>
            <w:r w:rsidRPr="0094124A">
              <w:rPr>
                <w:rFonts w:ascii="Arial" w:hAnsi="Arial" w:cs="Arial"/>
                <w:color w:val="000000"/>
                <w:sz w:val="18"/>
                <w:szCs w:val="18"/>
              </w:rPr>
              <w:t>Control</w:t>
            </w:r>
          </w:p>
        </w:tc>
        <w:tc>
          <w:tcPr>
            <w:tcW w:w="1803" w:type="dxa"/>
          </w:tcPr>
          <w:p w14:paraId="6B24B36F" w14:textId="530E6129" w:rsidR="00641275"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0</w:t>
            </w:r>
          </w:p>
        </w:tc>
        <w:tc>
          <w:tcPr>
            <w:tcW w:w="1803" w:type="dxa"/>
          </w:tcPr>
          <w:p w14:paraId="7A0492E5" w14:textId="7B066725" w:rsidR="00641275"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6.24±0.35</w:t>
            </w:r>
          </w:p>
        </w:tc>
        <w:tc>
          <w:tcPr>
            <w:tcW w:w="1803" w:type="dxa"/>
          </w:tcPr>
          <w:p w14:paraId="1C8458D9" w14:textId="48B3190C" w:rsidR="00641275"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0.76±0.07</w:t>
            </w:r>
          </w:p>
        </w:tc>
        <w:tc>
          <w:tcPr>
            <w:tcW w:w="1804" w:type="dxa"/>
          </w:tcPr>
          <w:p w14:paraId="1C5147D6" w14:textId="16202E72" w:rsidR="00641275"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1.44±0.16</w:t>
            </w:r>
          </w:p>
        </w:tc>
      </w:tr>
      <w:tr w:rsidR="00641275" w:rsidRPr="0094124A" w14:paraId="20DC761D" w14:textId="77777777" w:rsidTr="0094124A">
        <w:tc>
          <w:tcPr>
            <w:cnfStyle w:val="001000000000" w:firstRow="0" w:lastRow="0" w:firstColumn="1" w:lastColumn="0" w:oddVBand="0" w:evenVBand="0" w:oddHBand="0" w:evenHBand="0" w:firstRowFirstColumn="0" w:firstRowLastColumn="0" w:lastRowFirstColumn="0" w:lastRowLastColumn="0"/>
            <w:tcW w:w="1803" w:type="dxa"/>
          </w:tcPr>
          <w:p w14:paraId="5A8CAF91" w14:textId="3FAE2647" w:rsidR="00641275" w:rsidRPr="0094124A" w:rsidRDefault="00166836" w:rsidP="0094124A">
            <w:pPr>
              <w:contextualSpacing/>
              <w:rPr>
                <w:rFonts w:ascii="Arial" w:hAnsi="Arial" w:cs="Arial"/>
                <w:color w:val="000000"/>
                <w:sz w:val="18"/>
                <w:szCs w:val="18"/>
              </w:rPr>
            </w:pPr>
            <w:r w:rsidRPr="0094124A">
              <w:rPr>
                <w:rFonts w:ascii="Arial" w:hAnsi="Arial" w:cs="Arial"/>
                <w:color w:val="000000"/>
                <w:sz w:val="18"/>
                <w:szCs w:val="18"/>
              </w:rPr>
              <w:t>1</w:t>
            </w:r>
          </w:p>
        </w:tc>
        <w:tc>
          <w:tcPr>
            <w:tcW w:w="1803" w:type="dxa"/>
          </w:tcPr>
          <w:p w14:paraId="623844E3" w14:textId="168EC7A8" w:rsidR="00641275" w:rsidRPr="0094124A" w:rsidRDefault="00166836"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500</w:t>
            </w:r>
          </w:p>
        </w:tc>
        <w:tc>
          <w:tcPr>
            <w:tcW w:w="1803" w:type="dxa"/>
          </w:tcPr>
          <w:p w14:paraId="23B791EE" w14:textId="65537EF4" w:rsidR="00641275" w:rsidRPr="0094124A" w:rsidRDefault="00166836"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6.00±0.71</w:t>
            </w:r>
          </w:p>
        </w:tc>
        <w:tc>
          <w:tcPr>
            <w:tcW w:w="1803" w:type="dxa"/>
          </w:tcPr>
          <w:p w14:paraId="54662CA7" w14:textId="57AD18FE" w:rsidR="00641275" w:rsidRPr="0094124A" w:rsidRDefault="00166836"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0.68±0.06</w:t>
            </w:r>
          </w:p>
        </w:tc>
        <w:tc>
          <w:tcPr>
            <w:tcW w:w="1804" w:type="dxa"/>
          </w:tcPr>
          <w:p w14:paraId="6ECBF0A9" w14:textId="74096A14" w:rsidR="00641275" w:rsidRPr="0094124A" w:rsidRDefault="00166836" w:rsidP="0094124A">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1.27±0.16</w:t>
            </w:r>
          </w:p>
        </w:tc>
      </w:tr>
      <w:tr w:rsidR="00166836" w:rsidRPr="0094124A" w14:paraId="6C0F6087"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56B28EE" w14:textId="22F95A6A" w:rsidR="00166836" w:rsidRPr="0094124A" w:rsidRDefault="00166836" w:rsidP="0094124A">
            <w:pPr>
              <w:contextualSpacing/>
              <w:rPr>
                <w:rFonts w:ascii="Arial" w:hAnsi="Arial" w:cs="Arial"/>
                <w:color w:val="000000"/>
                <w:sz w:val="18"/>
                <w:szCs w:val="18"/>
              </w:rPr>
            </w:pPr>
            <w:r w:rsidRPr="0094124A">
              <w:rPr>
                <w:rFonts w:ascii="Arial" w:hAnsi="Arial" w:cs="Arial"/>
                <w:color w:val="000000"/>
                <w:sz w:val="18"/>
                <w:szCs w:val="18"/>
              </w:rPr>
              <w:t>2</w:t>
            </w:r>
          </w:p>
        </w:tc>
        <w:tc>
          <w:tcPr>
            <w:tcW w:w="1803" w:type="dxa"/>
          </w:tcPr>
          <w:p w14:paraId="3B0E0808" w14:textId="70EB8EFB" w:rsidR="00166836"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1000</w:t>
            </w:r>
          </w:p>
        </w:tc>
        <w:tc>
          <w:tcPr>
            <w:tcW w:w="1803" w:type="dxa"/>
          </w:tcPr>
          <w:p w14:paraId="2456DF05" w14:textId="70CB157F" w:rsidR="00166836"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6.59±0.54</w:t>
            </w:r>
          </w:p>
        </w:tc>
        <w:tc>
          <w:tcPr>
            <w:tcW w:w="1803" w:type="dxa"/>
          </w:tcPr>
          <w:p w14:paraId="33B67A90" w14:textId="5C46DEB6" w:rsidR="00166836"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0.71±0.07</w:t>
            </w:r>
          </w:p>
        </w:tc>
        <w:tc>
          <w:tcPr>
            <w:tcW w:w="1804" w:type="dxa"/>
          </w:tcPr>
          <w:p w14:paraId="7A88C58B" w14:textId="25128111" w:rsidR="00166836" w:rsidRPr="0094124A" w:rsidRDefault="00166836" w:rsidP="0094124A">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94124A">
              <w:rPr>
                <w:rFonts w:ascii="Arial" w:hAnsi="Arial" w:cs="Arial"/>
                <w:color w:val="000000"/>
                <w:sz w:val="18"/>
                <w:szCs w:val="18"/>
              </w:rPr>
              <w:t>1.41±0.10</w:t>
            </w:r>
          </w:p>
        </w:tc>
      </w:tr>
    </w:tbl>
    <w:p w14:paraId="47ABA72F" w14:textId="61A45EC7" w:rsidR="00261AF3" w:rsidRPr="0094124A" w:rsidRDefault="007B4C14" w:rsidP="00CE4429">
      <w:pPr>
        <w:spacing w:before="0"/>
        <w:rPr>
          <w:rFonts w:ascii="Arial" w:hAnsi="Arial" w:cs="Arial"/>
          <w:i/>
          <w:iCs/>
          <w:color w:val="000000"/>
        </w:rPr>
      </w:pPr>
      <w:r w:rsidRPr="0094124A">
        <w:rPr>
          <w:rFonts w:ascii="Arial" w:hAnsi="Arial" w:cs="Arial"/>
          <w:i/>
          <w:iCs/>
          <w:color w:val="000000"/>
        </w:rPr>
        <w:t>Values are presented as mean ± SEM. *p &lt; 0.05 indicates statistical significance.</w:t>
      </w:r>
    </w:p>
    <w:p w14:paraId="1F39A113" w14:textId="60D68A56" w:rsidR="00261AF3" w:rsidRPr="00CE4429" w:rsidRDefault="00000000" w:rsidP="002F3DEB">
      <w:pPr>
        <w:pStyle w:val="Heading2"/>
      </w:pPr>
      <w:r w:rsidRPr="00CE4429">
        <w:t>Hematology</w:t>
      </w:r>
    </w:p>
    <w:p w14:paraId="73D2909D" w14:textId="2C0D2F57" w:rsidR="00FC7A9F" w:rsidRPr="00CE4429" w:rsidRDefault="00000000" w:rsidP="00CE4429">
      <w:pPr>
        <w:jc w:val="both"/>
        <w:rPr>
          <w:rFonts w:ascii="Arial" w:hAnsi="Arial" w:cs="Arial"/>
          <w:color w:val="000000"/>
        </w:rPr>
      </w:pPr>
      <w:r w:rsidRPr="00CE4429">
        <w:rPr>
          <w:rFonts w:ascii="Arial" w:hAnsi="Arial" w:cs="Arial"/>
          <w:color w:val="000000"/>
        </w:rPr>
        <w:t xml:space="preserve">The hydro-ethanolic extract of </w:t>
      </w:r>
      <w:r w:rsidR="005B4ED1" w:rsidRPr="00CE4429">
        <w:rPr>
          <w:rFonts w:ascii="Arial" w:hAnsi="Arial" w:cs="Arial"/>
          <w:i/>
          <w:color w:val="000000"/>
        </w:rPr>
        <w:t>C. edulis</w:t>
      </w:r>
      <w:r w:rsidRPr="00CE4429">
        <w:rPr>
          <w:rFonts w:ascii="Arial" w:hAnsi="Arial" w:cs="Arial"/>
          <w:color w:val="000000"/>
        </w:rPr>
        <w:t xml:space="preserve"> showed statistically significant alterations in several hematological parameters in the treated rats compared to the control group. Specifically, RBC counts were significantly lower in both the 500mg/kg and 1000mg/kg groups, alongside decreased PLT counts, and altered red cell indices in the treatment groups</w:t>
      </w:r>
      <w:r w:rsidR="00AB4EED">
        <w:rPr>
          <w:rFonts w:ascii="Arial" w:hAnsi="Arial" w:cs="Arial"/>
          <w:color w:val="000000"/>
        </w:rPr>
        <w:t xml:space="preserve"> as shown in Table 1</w:t>
      </w:r>
      <w:r w:rsidR="007419CB">
        <w:rPr>
          <w:rFonts w:ascii="Arial" w:hAnsi="Arial" w:cs="Arial"/>
          <w:color w:val="000000"/>
        </w:rPr>
        <w:t>0</w:t>
      </w:r>
      <w:r w:rsidRPr="00CE4429">
        <w:rPr>
          <w:rFonts w:ascii="Arial" w:hAnsi="Arial" w:cs="Arial"/>
          <w:color w:val="000000"/>
        </w:rPr>
        <w:t xml:space="preserve">. These findings suggest that the hydro-ethanolic extract of </w:t>
      </w:r>
      <w:r w:rsidR="005B4ED1" w:rsidRPr="00CE4429">
        <w:rPr>
          <w:rFonts w:ascii="Arial" w:hAnsi="Arial" w:cs="Arial"/>
          <w:i/>
          <w:color w:val="000000"/>
        </w:rPr>
        <w:t>C. edulis</w:t>
      </w:r>
      <w:r w:rsidRPr="00CE4429">
        <w:rPr>
          <w:rFonts w:ascii="Arial" w:hAnsi="Arial" w:cs="Arial"/>
          <w:color w:val="000000"/>
        </w:rPr>
        <w:t xml:space="preserve"> may have some level of hematological toxicity. The reduction in RBC count could indicate potential bone marrow suppression or increased RBC destruction. The decrease in platelet count could indicate an increased risk of bleeding</w:t>
      </w:r>
      <w:hyperlink w:anchor="9bab0014f2164b59f8d56aedb072cf0f" w:history="1">
        <w:r w:rsidR="00261AF3" w:rsidRPr="00CE4429">
          <w:rPr>
            <w:rStyle w:val="Hyperlink"/>
            <w:rFonts w:ascii="Arial" w:hAnsi="Arial" w:cs="Arial"/>
            <w:color w:val="auto"/>
            <w:u w:val="none"/>
            <w:vertAlign w:val="superscript"/>
          </w:rPr>
          <w:t>31</w:t>
        </w:r>
      </w:hyperlink>
      <w:r w:rsidRPr="00CE4429">
        <w:rPr>
          <w:rFonts w:ascii="Arial" w:hAnsi="Arial" w:cs="Arial"/>
          <w:color w:val="000000"/>
        </w:rPr>
        <w:t>. The changes in MCV, MCH, and MCHC suggest alterations in red blood cell size and hemoglobin concentration, potentially affecting oxygen-carrying capacity.</w:t>
      </w:r>
      <w:r w:rsidR="00CE4429">
        <w:rPr>
          <w:rFonts w:ascii="Arial" w:hAnsi="Arial" w:cs="Arial"/>
          <w:color w:val="000000"/>
        </w:rPr>
        <w:t xml:space="preserve"> </w:t>
      </w:r>
      <w:r w:rsidRPr="00CE4429">
        <w:rPr>
          <w:rFonts w:ascii="Arial" w:hAnsi="Arial" w:cs="Arial"/>
          <w:color w:val="000000"/>
        </w:rPr>
        <w:t>When comparing these results to the study by Mudimba et al.</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differences in the extraction method are crucial. Mudimba et al.</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xml:space="preserve"> used an aqueous extract and found no significant differences in hematological parameters. The use of a hydro-ethanolic extract likely extracted different bioactive compounds, some of which may be responsible for the observed hematological changes.</w:t>
      </w:r>
      <w:r w:rsidR="005F5F5F" w:rsidRPr="00CE4429">
        <w:rPr>
          <w:rFonts w:ascii="Arial" w:hAnsi="Arial" w:cs="Arial"/>
          <w:color w:val="000000"/>
        </w:rPr>
        <w:t xml:space="preserve"> </w:t>
      </w:r>
      <w:r w:rsidR="009577EE" w:rsidRPr="00CE4429">
        <w:rPr>
          <w:rFonts w:ascii="Arial" w:hAnsi="Arial" w:cs="Arial"/>
          <w:color w:val="000000"/>
        </w:rPr>
        <w:t xml:space="preserve">Studies done by </w:t>
      </w:r>
      <w:r w:rsidR="005F5F5F" w:rsidRPr="00CE4429">
        <w:rPr>
          <w:rFonts w:ascii="Arial" w:hAnsi="Arial" w:cs="Arial"/>
          <w:color w:val="000000"/>
        </w:rPr>
        <w:t>Mudimba et al</w:t>
      </w:r>
      <w:hyperlink w:anchor="6b7ce6dfdc070894b5fad73ffb9d4e7e" w:history="1">
        <w:r w:rsidR="00261AF3" w:rsidRPr="00CE4429">
          <w:rPr>
            <w:rStyle w:val="Hyperlink"/>
            <w:rFonts w:ascii="Arial" w:hAnsi="Arial" w:cs="Arial"/>
            <w:color w:val="auto"/>
            <w:u w:val="none"/>
            <w:vertAlign w:val="superscript"/>
          </w:rPr>
          <w:t>2</w:t>
        </w:r>
      </w:hyperlink>
      <w:r w:rsidRPr="00CE4429">
        <w:rPr>
          <w:rFonts w:ascii="Arial" w:hAnsi="Arial" w:cs="Arial"/>
          <w:color w:val="000000"/>
        </w:rPr>
        <w:t xml:space="preserve"> shows that the solvent system affects the types of compounds that end up in the final extract. </w:t>
      </w:r>
      <w:proofErr w:type="spellStart"/>
      <w:r w:rsidR="005F5F5F" w:rsidRPr="00CE4429">
        <w:rPr>
          <w:rFonts w:ascii="Arial" w:hAnsi="Arial" w:cs="Arial"/>
          <w:color w:val="000000"/>
        </w:rPr>
        <w:t>Akinyede</w:t>
      </w:r>
      <w:proofErr w:type="spellEnd"/>
      <w:r w:rsidR="005F5F5F" w:rsidRPr="00CE4429">
        <w:rPr>
          <w:rFonts w:ascii="Arial" w:hAnsi="Arial" w:cs="Arial"/>
          <w:color w:val="000000"/>
        </w:rPr>
        <w:t xml:space="preserve"> et al</w:t>
      </w:r>
      <w:hyperlink w:anchor="d73ec6c53d6bcec7882fec6ac0484899" w:history="1">
        <w:r w:rsidR="00261AF3" w:rsidRPr="00CE4429">
          <w:rPr>
            <w:rStyle w:val="Hyperlink"/>
            <w:rFonts w:ascii="Arial" w:hAnsi="Arial" w:cs="Arial"/>
            <w:color w:val="auto"/>
            <w:u w:val="none"/>
            <w:vertAlign w:val="superscript"/>
          </w:rPr>
          <w:t>6</w:t>
        </w:r>
      </w:hyperlink>
      <w:r w:rsidR="005F5F5F" w:rsidRPr="00CE4429">
        <w:rPr>
          <w:rFonts w:ascii="Arial" w:hAnsi="Arial" w:cs="Arial"/>
          <w:vertAlign w:val="superscript"/>
        </w:rPr>
        <w:t xml:space="preserve"> </w:t>
      </w:r>
      <w:r w:rsidR="005F5F5F" w:rsidRPr="00CE4429">
        <w:rPr>
          <w:rFonts w:ascii="Arial" w:hAnsi="Arial" w:cs="Arial"/>
        </w:rPr>
        <w:t>,</w:t>
      </w:r>
      <w:r w:rsidR="005F5F5F" w:rsidRPr="00CE4429">
        <w:rPr>
          <w:rFonts w:ascii="Arial" w:hAnsi="Arial" w:cs="Arial"/>
          <w:vertAlign w:val="superscript"/>
        </w:rPr>
        <w:t xml:space="preserve">    </w:t>
      </w:r>
      <w:r w:rsidRPr="00CE4429">
        <w:rPr>
          <w:rFonts w:ascii="Arial" w:hAnsi="Arial" w:cs="Arial"/>
          <w:vertAlign w:val="superscript"/>
        </w:rPr>
        <w:t xml:space="preserve"> </w:t>
      </w:r>
      <w:r w:rsidRPr="00CE4429">
        <w:rPr>
          <w:rFonts w:ascii="Arial" w:hAnsi="Arial" w:cs="Arial"/>
          <w:color w:val="000000"/>
        </w:rPr>
        <w:t>notes that the traditional use of the plant, disease prevalence, availability and sustainability of the plant should be considered during research and drug development. It's possible that the compounds extracted by the hydro-ethanolic solvent exhibit some toxicity that was not present in the aqueous extract</w:t>
      </w:r>
      <w:hyperlink w:anchor="6b7ce6dfdc070894b5fad73ffb9d4e7e" w:history="1">
        <w:r w:rsidR="00261AF3" w:rsidRPr="00CE4429">
          <w:rPr>
            <w:rStyle w:val="Hyperlink"/>
            <w:rFonts w:ascii="Arial" w:hAnsi="Arial" w:cs="Arial"/>
            <w:color w:val="auto"/>
            <w:u w:val="none"/>
            <w:vertAlign w:val="superscript"/>
          </w:rPr>
          <w:t>2</w:t>
        </w:r>
      </w:hyperlink>
      <w:r w:rsidRPr="00CE4429">
        <w:rPr>
          <w:rFonts w:ascii="Arial" w:hAnsi="Arial" w:cs="Arial"/>
          <w:color w:val="000000"/>
        </w:rPr>
        <w:t xml:space="preserve">. Given these hematological changes, there is a need for further dosage evaluation and validation when considering </w:t>
      </w:r>
      <w:r w:rsidR="005B4ED1" w:rsidRPr="00CE4429">
        <w:rPr>
          <w:rFonts w:ascii="Arial" w:hAnsi="Arial" w:cs="Arial"/>
          <w:i/>
          <w:color w:val="000000"/>
        </w:rPr>
        <w:t>C. edulis</w:t>
      </w:r>
      <w:r w:rsidRPr="00CE4429">
        <w:rPr>
          <w:rFonts w:ascii="Arial" w:hAnsi="Arial" w:cs="Arial"/>
          <w:color w:val="000000"/>
        </w:rPr>
        <w:t xml:space="preserve"> for the treatment of pancreatic insufficiency. While the plant has demonstrated potential benefits, such as antibacterial properties, </w:t>
      </w:r>
      <w:proofErr w:type="gramStart"/>
      <w:r w:rsidRPr="00CE4429">
        <w:rPr>
          <w:rFonts w:ascii="Arial" w:hAnsi="Arial" w:cs="Arial"/>
          <w:color w:val="000000"/>
        </w:rPr>
        <w:t>anti-oxidant</w:t>
      </w:r>
      <w:proofErr w:type="gramEnd"/>
      <w:r w:rsidRPr="00CE4429">
        <w:rPr>
          <w:rFonts w:ascii="Arial" w:hAnsi="Arial" w:cs="Arial"/>
          <w:color w:val="000000"/>
        </w:rPr>
        <w:t xml:space="preserve">, anti-inflammatory and anti-diabetic effects, the potential for hematological toxicity needs to be carefully evaluated. If </w:t>
      </w:r>
      <w:r w:rsidR="005B4ED1" w:rsidRPr="00CE4429">
        <w:rPr>
          <w:rFonts w:ascii="Arial" w:hAnsi="Arial" w:cs="Arial"/>
          <w:i/>
          <w:color w:val="000000"/>
        </w:rPr>
        <w:t>C. edulis</w:t>
      </w:r>
      <w:r w:rsidRPr="00CE4429">
        <w:rPr>
          <w:rFonts w:ascii="Arial" w:hAnsi="Arial" w:cs="Arial"/>
          <w:color w:val="000000"/>
        </w:rPr>
        <w:t xml:space="preserve"> is to be considered, further studies should focus on identifying the specific compounds responsible for the observed hematological changes and determining safe dosage levels.</w:t>
      </w:r>
    </w:p>
    <w:p w14:paraId="6FD9068F" w14:textId="291FC052" w:rsidR="00261AF3" w:rsidRPr="008468BA" w:rsidRDefault="00000000">
      <w:pPr>
        <w:spacing w:after="0"/>
        <w:rPr>
          <w:i/>
          <w:iCs/>
          <w:color w:val="44546A"/>
          <w:sz w:val="18"/>
          <w:szCs w:val="18"/>
          <w:lang w:val="en-ZW" w:eastAsia="en-ZW"/>
        </w:rPr>
      </w:pPr>
      <w:r w:rsidRPr="008468BA">
        <w:rPr>
          <w:i/>
          <w:iCs/>
          <w:color w:val="44546A"/>
          <w:sz w:val="18"/>
          <w:szCs w:val="18"/>
          <w:lang w:val="en-ZW" w:eastAsia="en-ZW"/>
        </w:rPr>
        <w:t xml:space="preserve">Table </w:t>
      </w:r>
      <w:r w:rsidR="00CE4429" w:rsidRPr="008468BA">
        <w:rPr>
          <w:i/>
          <w:iCs/>
          <w:color w:val="44546A"/>
          <w:sz w:val="18"/>
          <w:szCs w:val="18"/>
          <w:lang w:val="en-ZW" w:eastAsia="en-ZW"/>
        </w:rPr>
        <w:t>1</w:t>
      </w:r>
      <w:r w:rsidR="007419CB">
        <w:rPr>
          <w:i/>
          <w:iCs/>
          <w:color w:val="44546A"/>
          <w:sz w:val="18"/>
          <w:szCs w:val="18"/>
          <w:lang w:val="en-ZW" w:eastAsia="en-ZW"/>
        </w:rPr>
        <w:t>0</w:t>
      </w:r>
      <w:r w:rsidRPr="008468BA">
        <w:rPr>
          <w:i/>
          <w:iCs/>
          <w:color w:val="44546A"/>
          <w:sz w:val="18"/>
          <w:szCs w:val="18"/>
          <w:lang w:val="en-ZW" w:eastAsia="en-ZW"/>
        </w:rPr>
        <w:t xml:space="preserve">: </w:t>
      </w:r>
      <w:proofErr w:type="spellStart"/>
      <w:r w:rsidRPr="008468BA">
        <w:rPr>
          <w:i/>
          <w:iCs/>
          <w:color w:val="44546A"/>
          <w:sz w:val="18"/>
          <w:szCs w:val="18"/>
          <w:lang w:val="en-ZW" w:eastAsia="en-ZW"/>
        </w:rPr>
        <w:t>Hematology</w:t>
      </w:r>
      <w:proofErr w:type="spellEnd"/>
      <w:r w:rsidRPr="008468BA">
        <w:rPr>
          <w:i/>
          <w:iCs/>
          <w:color w:val="44546A"/>
          <w:sz w:val="18"/>
          <w:szCs w:val="18"/>
          <w:lang w:val="en-ZW" w:eastAsia="en-ZW"/>
        </w:rPr>
        <w:t xml:space="preserve"> values of rats treated with hydro-ethanolic extract of </w:t>
      </w:r>
      <w:r w:rsidR="005B4ED1" w:rsidRPr="008468BA">
        <w:rPr>
          <w:i/>
          <w:iCs/>
          <w:color w:val="44546A"/>
          <w:sz w:val="18"/>
          <w:szCs w:val="18"/>
          <w:lang w:val="en-ZW" w:eastAsia="en-ZW"/>
        </w:rPr>
        <w:t>C. edulis</w:t>
      </w:r>
      <w:r w:rsidRPr="008468BA">
        <w:rPr>
          <w:i/>
          <w:iCs/>
          <w:color w:val="44546A"/>
          <w:sz w:val="18"/>
          <w:szCs w:val="18"/>
          <w:lang w:val="en-ZW" w:eastAsia="en-ZW"/>
        </w:rPr>
        <w:t xml:space="preserve"> in sub-acute toxicity (n=15)</w:t>
      </w:r>
      <w:r w:rsidR="00AB4EED" w:rsidRPr="008468BA">
        <w:rPr>
          <w:i/>
          <w:iCs/>
          <w:color w:val="44546A"/>
          <w:sz w:val="18"/>
          <w:szCs w:val="18"/>
          <w:lang w:val="en-ZW" w:eastAsia="en-ZW"/>
        </w:rPr>
        <w:t>, n=5 per group</w:t>
      </w:r>
    </w:p>
    <w:tbl>
      <w:tblPr>
        <w:tblStyle w:val="PlainTable2"/>
        <w:tblW w:w="0" w:type="auto"/>
        <w:tblLook w:val="04A0" w:firstRow="1" w:lastRow="0" w:firstColumn="1" w:lastColumn="0" w:noHBand="0" w:noVBand="1"/>
      </w:tblPr>
      <w:tblGrid>
        <w:gridCol w:w="2516"/>
        <w:gridCol w:w="1991"/>
        <w:gridCol w:w="2175"/>
        <w:gridCol w:w="2344"/>
      </w:tblGrid>
      <w:tr w:rsidR="00261AF3" w:rsidRPr="002F727C" w14:paraId="66AFA911" w14:textId="77777777" w:rsidTr="00941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3DD999A" w14:textId="77777777" w:rsidR="00261AF3" w:rsidRPr="00CE4429" w:rsidRDefault="00000000" w:rsidP="0094124A">
            <w:pPr>
              <w:contextualSpacing/>
              <w:jc w:val="center"/>
              <w:rPr>
                <w:rFonts w:ascii="Arial" w:hAnsi="Arial" w:cs="Arial"/>
                <w:b w:val="0"/>
                <w:bCs w:val="0"/>
              </w:rPr>
            </w:pPr>
            <w:r w:rsidRPr="00CE4429">
              <w:rPr>
                <w:rFonts w:ascii="Arial" w:hAnsi="Arial" w:cs="Arial"/>
              </w:rPr>
              <w:t>Parameters</w:t>
            </w:r>
          </w:p>
        </w:tc>
        <w:tc>
          <w:tcPr>
            <w:tcW w:w="2069" w:type="dxa"/>
          </w:tcPr>
          <w:p w14:paraId="175AA5DB"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Control</w:t>
            </w:r>
          </w:p>
          <w:p w14:paraId="0B996E3F"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0mg/kg</w:t>
            </w:r>
          </w:p>
        </w:tc>
        <w:tc>
          <w:tcPr>
            <w:tcW w:w="2251" w:type="dxa"/>
          </w:tcPr>
          <w:p w14:paraId="18271665"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Group 1</w:t>
            </w:r>
          </w:p>
          <w:p w14:paraId="2E92DA50"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500mg/kg</w:t>
            </w:r>
          </w:p>
        </w:tc>
        <w:tc>
          <w:tcPr>
            <w:tcW w:w="2425" w:type="dxa"/>
          </w:tcPr>
          <w:p w14:paraId="52CDFCB0"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Group 2</w:t>
            </w:r>
          </w:p>
          <w:p w14:paraId="4363CCAC"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1000mg/kg</w:t>
            </w:r>
          </w:p>
        </w:tc>
      </w:tr>
      <w:tr w:rsidR="00261AF3" w:rsidRPr="002F727C" w14:paraId="611B170A"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BF5CF0F" w14:textId="77777777" w:rsidR="00261AF3" w:rsidRPr="00CE4429" w:rsidRDefault="00000000" w:rsidP="0094124A">
            <w:pPr>
              <w:contextualSpacing/>
              <w:jc w:val="center"/>
              <w:rPr>
                <w:rFonts w:ascii="Arial" w:hAnsi="Arial" w:cs="Arial"/>
              </w:rPr>
            </w:pPr>
            <w:r w:rsidRPr="00CE4429">
              <w:rPr>
                <w:rFonts w:ascii="Arial" w:hAnsi="Arial" w:cs="Arial"/>
              </w:rPr>
              <w:lastRenderedPageBreak/>
              <w:t>WBC</w:t>
            </w:r>
          </w:p>
        </w:tc>
        <w:tc>
          <w:tcPr>
            <w:tcW w:w="2069" w:type="dxa"/>
          </w:tcPr>
          <w:p w14:paraId="20156325"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r w:rsidRPr="00CE4429">
              <w:rPr>
                <w:rFonts w:ascii="Arial" w:hAnsi="Arial" w:cs="Arial"/>
              </w:rPr>
              <w:t>6.0 ± 0.2</w:t>
            </w:r>
          </w:p>
        </w:tc>
        <w:tc>
          <w:tcPr>
            <w:tcW w:w="2251" w:type="dxa"/>
          </w:tcPr>
          <w:p w14:paraId="6F893D1C"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4.2 ± 0.60</w:t>
            </w:r>
          </w:p>
        </w:tc>
        <w:tc>
          <w:tcPr>
            <w:tcW w:w="2425" w:type="dxa"/>
          </w:tcPr>
          <w:p w14:paraId="7EFA3DA0"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4.3 ± 1.2</w:t>
            </w:r>
          </w:p>
        </w:tc>
      </w:tr>
      <w:tr w:rsidR="00261AF3" w:rsidRPr="002F727C" w14:paraId="2DA6345B"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674FB478" w14:textId="77777777" w:rsidR="00261AF3" w:rsidRPr="00CE4429" w:rsidRDefault="00000000" w:rsidP="0094124A">
            <w:pPr>
              <w:contextualSpacing/>
              <w:jc w:val="center"/>
              <w:rPr>
                <w:rFonts w:ascii="Arial" w:hAnsi="Arial" w:cs="Arial"/>
              </w:rPr>
            </w:pPr>
            <w:r w:rsidRPr="00CE4429">
              <w:rPr>
                <w:rFonts w:ascii="Arial" w:hAnsi="Arial" w:cs="Arial"/>
              </w:rPr>
              <w:t>RBC</w:t>
            </w:r>
          </w:p>
        </w:tc>
        <w:tc>
          <w:tcPr>
            <w:tcW w:w="2069" w:type="dxa"/>
          </w:tcPr>
          <w:p w14:paraId="77CB57A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9.3 ± 0.8</w:t>
            </w:r>
          </w:p>
        </w:tc>
        <w:tc>
          <w:tcPr>
            <w:tcW w:w="2251" w:type="dxa"/>
          </w:tcPr>
          <w:p w14:paraId="4EED94E1"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7.8 ± 1.00*</w:t>
            </w:r>
          </w:p>
        </w:tc>
        <w:tc>
          <w:tcPr>
            <w:tcW w:w="2425" w:type="dxa"/>
          </w:tcPr>
          <w:p w14:paraId="0B754A0B"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8.3 ± 0.4*</w:t>
            </w:r>
          </w:p>
        </w:tc>
      </w:tr>
      <w:tr w:rsidR="00261AF3" w:rsidRPr="002F727C" w14:paraId="7B390BE9"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C334EEA" w14:textId="77777777" w:rsidR="00261AF3" w:rsidRPr="00CE4429" w:rsidRDefault="00000000" w:rsidP="0094124A">
            <w:pPr>
              <w:contextualSpacing/>
              <w:jc w:val="center"/>
              <w:rPr>
                <w:rFonts w:ascii="Arial" w:hAnsi="Arial" w:cs="Arial"/>
              </w:rPr>
            </w:pPr>
            <w:r w:rsidRPr="00CE4429">
              <w:rPr>
                <w:rFonts w:ascii="Arial" w:hAnsi="Arial" w:cs="Arial"/>
              </w:rPr>
              <w:t>Hb</w:t>
            </w:r>
          </w:p>
        </w:tc>
        <w:tc>
          <w:tcPr>
            <w:tcW w:w="2069" w:type="dxa"/>
          </w:tcPr>
          <w:p w14:paraId="37674844"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18.1 ± 0.1</w:t>
            </w:r>
          </w:p>
        </w:tc>
        <w:tc>
          <w:tcPr>
            <w:tcW w:w="2251" w:type="dxa"/>
          </w:tcPr>
          <w:p w14:paraId="104C29B4"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16.3 ± 0.4</w:t>
            </w:r>
          </w:p>
        </w:tc>
        <w:tc>
          <w:tcPr>
            <w:tcW w:w="2425" w:type="dxa"/>
          </w:tcPr>
          <w:p w14:paraId="54E89F6D"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17.3 ± 0.9</w:t>
            </w:r>
          </w:p>
        </w:tc>
      </w:tr>
      <w:tr w:rsidR="00261AF3" w:rsidRPr="002F727C" w14:paraId="29A8234A"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568AD863" w14:textId="77777777" w:rsidR="00261AF3" w:rsidRPr="00CE4429" w:rsidRDefault="00000000" w:rsidP="0094124A">
            <w:pPr>
              <w:contextualSpacing/>
              <w:jc w:val="center"/>
              <w:rPr>
                <w:rFonts w:ascii="Arial" w:hAnsi="Arial" w:cs="Arial"/>
              </w:rPr>
            </w:pPr>
            <w:r w:rsidRPr="00CE4429">
              <w:rPr>
                <w:rFonts w:ascii="Arial" w:hAnsi="Arial" w:cs="Arial"/>
              </w:rPr>
              <w:t>HCT</w:t>
            </w:r>
          </w:p>
        </w:tc>
        <w:tc>
          <w:tcPr>
            <w:tcW w:w="2069" w:type="dxa"/>
          </w:tcPr>
          <w:p w14:paraId="279C39CA"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52.3 ± 0.7</w:t>
            </w:r>
          </w:p>
        </w:tc>
        <w:tc>
          <w:tcPr>
            <w:tcW w:w="2251" w:type="dxa"/>
          </w:tcPr>
          <w:p w14:paraId="2F61BC79"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48.5 ± 0.5</w:t>
            </w:r>
          </w:p>
        </w:tc>
        <w:tc>
          <w:tcPr>
            <w:tcW w:w="2425" w:type="dxa"/>
          </w:tcPr>
          <w:p w14:paraId="5388296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51.5 ± 2.3</w:t>
            </w:r>
          </w:p>
        </w:tc>
      </w:tr>
      <w:tr w:rsidR="00261AF3" w:rsidRPr="002F727C" w14:paraId="388DEC54"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25E9870" w14:textId="77777777" w:rsidR="00261AF3" w:rsidRPr="00CE4429" w:rsidRDefault="00000000" w:rsidP="0094124A">
            <w:pPr>
              <w:contextualSpacing/>
              <w:jc w:val="center"/>
              <w:rPr>
                <w:rFonts w:ascii="Arial" w:hAnsi="Arial" w:cs="Arial"/>
              </w:rPr>
            </w:pPr>
            <w:r w:rsidRPr="00CE4429">
              <w:rPr>
                <w:rFonts w:ascii="Arial" w:hAnsi="Arial" w:cs="Arial"/>
              </w:rPr>
              <w:t>MCV</w:t>
            </w:r>
          </w:p>
        </w:tc>
        <w:tc>
          <w:tcPr>
            <w:tcW w:w="2069" w:type="dxa"/>
          </w:tcPr>
          <w:p w14:paraId="720AD042"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57.2 ± 0.2</w:t>
            </w:r>
          </w:p>
        </w:tc>
        <w:tc>
          <w:tcPr>
            <w:tcW w:w="2251" w:type="dxa"/>
          </w:tcPr>
          <w:p w14:paraId="23E4706F"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61.1 ± 0.8*</w:t>
            </w:r>
          </w:p>
        </w:tc>
        <w:tc>
          <w:tcPr>
            <w:tcW w:w="2425" w:type="dxa"/>
          </w:tcPr>
          <w:p w14:paraId="0DBA20ED"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60.8 ± 0.4*</w:t>
            </w:r>
          </w:p>
        </w:tc>
      </w:tr>
      <w:tr w:rsidR="00261AF3" w:rsidRPr="002F727C" w14:paraId="128FC10D"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37B03040" w14:textId="77777777" w:rsidR="00261AF3" w:rsidRPr="00CE4429" w:rsidRDefault="00000000" w:rsidP="0094124A">
            <w:pPr>
              <w:contextualSpacing/>
              <w:jc w:val="center"/>
              <w:rPr>
                <w:rFonts w:ascii="Arial" w:hAnsi="Arial" w:cs="Arial"/>
              </w:rPr>
            </w:pPr>
            <w:r w:rsidRPr="00CE4429">
              <w:rPr>
                <w:rFonts w:ascii="Arial" w:hAnsi="Arial" w:cs="Arial"/>
              </w:rPr>
              <w:t>MCH</w:t>
            </w:r>
          </w:p>
        </w:tc>
        <w:tc>
          <w:tcPr>
            <w:tcW w:w="2069" w:type="dxa"/>
          </w:tcPr>
          <w:p w14:paraId="7D37EA01"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19.2 ± 0.3</w:t>
            </w:r>
          </w:p>
        </w:tc>
        <w:tc>
          <w:tcPr>
            <w:tcW w:w="2251" w:type="dxa"/>
          </w:tcPr>
          <w:p w14:paraId="651911A3"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20.4 ± 0.2*</w:t>
            </w:r>
          </w:p>
        </w:tc>
        <w:tc>
          <w:tcPr>
            <w:tcW w:w="2425" w:type="dxa"/>
          </w:tcPr>
          <w:p w14:paraId="0DC67C0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20.3 ± 0.2*</w:t>
            </w:r>
          </w:p>
        </w:tc>
      </w:tr>
      <w:tr w:rsidR="00261AF3" w:rsidRPr="002F727C" w14:paraId="2C5D4DFD"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FEDDA47" w14:textId="77777777" w:rsidR="00261AF3" w:rsidRPr="00CE4429" w:rsidRDefault="00000000" w:rsidP="0094124A">
            <w:pPr>
              <w:contextualSpacing/>
              <w:jc w:val="center"/>
              <w:rPr>
                <w:rFonts w:ascii="Arial" w:hAnsi="Arial" w:cs="Arial"/>
              </w:rPr>
            </w:pPr>
            <w:r w:rsidRPr="00CE4429">
              <w:rPr>
                <w:rFonts w:ascii="Arial" w:hAnsi="Arial" w:cs="Arial"/>
              </w:rPr>
              <w:t>MCHC</w:t>
            </w:r>
          </w:p>
        </w:tc>
        <w:tc>
          <w:tcPr>
            <w:tcW w:w="2069" w:type="dxa"/>
          </w:tcPr>
          <w:p w14:paraId="52DBA55E"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34.2 ± 0.3</w:t>
            </w:r>
          </w:p>
        </w:tc>
        <w:tc>
          <w:tcPr>
            <w:tcW w:w="2251" w:type="dxa"/>
          </w:tcPr>
          <w:p w14:paraId="4F63DD3E"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33.0 ± 0.2*</w:t>
            </w:r>
          </w:p>
        </w:tc>
        <w:tc>
          <w:tcPr>
            <w:tcW w:w="2425" w:type="dxa"/>
          </w:tcPr>
          <w:p w14:paraId="452B620C"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33.2 ± 0.3*</w:t>
            </w:r>
          </w:p>
        </w:tc>
      </w:tr>
      <w:tr w:rsidR="00261AF3" w:rsidRPr="002F727C" w14:paraId="09FFEF02"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12859E68" w14:textId="77777777" w:rsidR="00261AF3" w:rsidRPr="00CE4429" w:rsidRDefault="00000000" w:rsidP="0094124A">
            <w:pPr>
              <w:contextualSpacing/>
              <w:jc w:val="center"/>
              <w:rPr>
                <w:rFonts w:ascii="Arial" w:hAnsi="Arial" w:cs="Arial"/>
              </w:rPr>
            </w:pPr>
            <w:r w:rsidRPr="00CE4429">
              <w:rPr>
                <w:rFonts w:ascii="Arial" w:hAnsi="Arial" w:cs="Arial"/>
              </w:rPr>
              <w:t>RDW</w:t>
            </w:r>
          </w:p>
        </w:tc>
        <w:tc>
          <w:tcPr>
            <w:tcW w:w="2069" w:type="dxa"/>
          </w:tcPr>
          <w:p w14:paraId="2B1AB7CD"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14.1 ± 0.2</w:t>
            </w:r>
          </w:p>
        </w:tc>
        <w:tc>
          <w:tcPr>
            <w:tcW w:w="2251" w:type="dxa"/>
          </w:tcPr>
          <w:p w14:paraId="3B09F9E8"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12.0 ± 0.3*</w:t>
            </w:r>
          </w:p>
        </w:tc>
        <w:tc>
          <w:tcPr>
            <w:tcW w:w="2425" w:type="dxa"/>
          </w:tcPr>
          <w:p w14:paraId="08C5093C"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12.7 ± 0.6</w:t>
            </w:r>
          </w:p>
        </w:tc>
      </w:tr>
      <w:tr w:rsidR="00261AF3" w:rsidRPr="002F727C" w14:paraId="5305E1C1" w14:textId="77777777" w:rsidTr="0094124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605" w:type="dxa"/>
          </w:tcPr>
          <w:p w14:paraId="3A80D9A6" w14:textId="77777777" w:rsidR="00261AF3" w:rsidRPr="00CE4429" w:rsidRDefault="00000000" w:rsidP="0094124A">
            <w:pPr>
              <w:contextualSpacing/>
              <w:jc w:val="center"/>
              <w:rPr>
                <w:rFonts w:ascii="Arial" w:hAnsi="Arial" w:cs="Arial"/>
              </w:rPr>
            </w:pPr>
            <w:r w:rsidRPr="00CE4429">
              <w:rPr>
                <w:rFonts w:ascii="Arial" w:hAnsi="Arial" w:cs="Arial"/>
              </w:rPr>
              <w:t>PLT</w:t>
            </w:r>
          </w:p>
        </w:tc>
        <w:tc>
          <w:tcPr>
            <w:tcW w:w="2069" w:type="dxa"/>
          </w:tcPr>
          <w:p w14:paraId="7C2A7870"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1220.2 ± 6.1</w:t>
            </w:r>
          </w:p>
        </w:tc>
        <w:tc>
          <w:tcPr>
            <w:tcW w:w="2251" w:type="dxa"/>
          </w:tcPr>
          <w:p w14:paraId="045B574E"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1045.2 ± 28.3*</w:t>
            </w:r>
          </w:p>
        </w:tc>
        <w:tc>
          <w:tcPr>
            <w:tcW w:w="2425" w:type="dxa"/>
          </w:tcPr>
          <w:p w14:paraId="3F30ED21"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1175.8 ± 47.1*</w:t>
            </w:r>
          </w:p>
        </w:tc>
      </w:tr>
      <w:tr w:rsidR="00261AF3" w:rsidRPr="002F727C" w14:paraId="5193C61B" w14:textId="77777777" w:rsidTr="0094124A">
        <w:tc>
          <w:tcPr>
            <w:cnfStyle w:val="001000000000" w:firstRow="0" w:lastRow="0" w:firstColumn="1" w:lastColumn="0" w:oddVBand="0" w:evenVBand="0" w:oddHBand="0" w:evenHBand="0" w:firstRowFirstColumn="0" w:firstRowLastColumn="0" w:lastRowFirstColumn="0" w:lastRowLastColumn="0"/>
            <w:tcW w:w="2605" w:type="dxa"/>
          </w:tcPr>
          <w:p w14:paraId="23B28FFE" w14:textId="77777777" w:rsidR="00261AF3" w:rsidRPr="00CE4429" w:rsidRDefault="00000000" w:rsidP="0094124A">
            <w:pPr>
              <w:contextualSpacing/>
              <w:jc w:val="center"/>
              <w:rPr>
                <w:rFonts w:ascii="Arial" w:hAnsi="Arial" w:cs="Arial"/>
              </w:rPr>
            </w:pPr>
            <w:r w:rsidRPr="00CE4429">
              <w:rPr>
                <w:rFonts w:ascii="Arial" w:hAnsi="Arial" w:cs="Arial"/>
              </w:rPr>
              <w:t>MPV</w:t>
            </w:r>
          </w:p>
        </w:tc>
        <w:tc>
          <w:tcPr>
            <w:tcW w:w="2069" w:type="dxa"/>
          </w:tcPr>
          <w:p w14:paraId="144AC5D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5.8 ± 0.2</w:t>
            </w:r>
          </w:p>
        </w:tc>
        <w:tc>
          <w:tcPr>
            <w:tcW w:w="2251" w:type="dxa"/>
          </w:tcPr>
          <w:p w14:paraId="13937B6E"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5.4 ± 0.1</w:t>
            </w:r>
          </w:p>
        </w:tc>
        <w:tc>
          <w:tcPr>
            <w:tcW w:w="2425" w:type="dxa"/>
          </w:tcPr>
          <w:p w14:paraId="1BF2EDA6"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6.0 ± 0.5</w:t>
            </w:r>
          </w:p>
        </w:tc>
      </w:tr>
    </w:tbl>
    <w:p w14:paraId="5386ACF3" w14:textId="335BB488" w:rsidR="00261AF3" w:rsidRPr="0094124A" w:rsidRDefault="00000000">
      <w:pPr>
        <w:rPr>
          <w:rFonts w:ascii="Arial" w:hAnsi="Arial" w:cs="Arial"/>
          <w:i/>
          <w:iCs/>
          <w:color w:val="000000"/>
          <w:sz w:val="24"/>
          <w:szCs w:val="24"/>
        </w:rPr>
      </w:pPr>
      <w:r w:rsidRPr="0094124A">
        <w:rPr>
          <w:rFonts w:ascii="Arial" w:hAnsi="Arial" w:cs="Arial"/>
          <w:i/>
          <w:iCs/>
        </w:rPr>
        <w:t>Values are expressed as mean</w:t>
      </w:r>
      <w:r w:rsidR="00CE4429" w:rsidRPr="0094124A">
        <w:rPr>
          <w:rFonts w:ascii="Arial" w:hAnsi="Arial" w:cs="Arial"/>
          <w:i/>
          <w:iCs/>
        </w:rPr>
        <w:t xml:space="preserve"> </w:t>
      </w:r>
      <w:r w:rsidRPr="0094124A">
        <w:rPr>
          <w:rFonts w:ascii="Arial" w:hAnsi="Arial" w:cs="Arial"/>
          <w:i/>
          <w:iCs/>
        </w:rPr>
        <w:t>±</w:t>
      </w:r>
      <w:r w:rsidR="00CE4429" w:rsidRPr="0094124A">
        <w:rPr>
          <w:rFonts w:ascii="Arial" w:hAnsi="Arial" w:cs="Arial"/>
          <w:i/>
          <w:iCs/>
        </w:rPr>
        <w:t xml:space="preserve"> </w:t>
      </w:r>
      <w:r w:rsidRPr="0094124A">
        <w:rPr>
          <w:rFonts w:ascii="Arial" w:hAnsi="Arial" w:cs="Arial"/>
          <w:i/>
          <w:iCs/>
        </w:rPr>
        <w:t>SEM, n=15, *p values less than 0.05</w:t>
      </w:r>
      <w:r w:rsidR="00CE4429" w:rsidRPr="0094124A">
        <w:rPr>
          <w:rFonts w:ascii="Arial" w:hAnsi="Arial" w:cs="Arial"/>
          <w:i/>
          <w:iCs/>
        </w:rPr>
        <w:t xml:space="preserve"> </w:t>
      </w:r>
      <w:r w:rsidRPr="0094124A">
        <w:rPr>
          <w:rFonts w:ascii="Arial" w:hAnsi="Arial" w:cs="Arial"/>
          <w:i/>
          <w:iCs/>
        </w:rPr>
        <w:t>(p&lt;0.05) significant value</w:t>
      </w:r>
    </w:p>
    <w:p w14:paraId="70A5C00A" w14:textId="0F83A44F" w:rsidR="00261AF3" w:rsidRPr="00CE4429" w:rsidRDefault="00000000" w:rsidP="002F3DEB">
      <w:pPr>
        <w:pStyle w:val="Heading2"/>
      </w:pPr>
      <w:r w:rsidRPr="00CE4429">
        <w:t>Biochemistry</w:t>
      </w:r>
    </w:p>
    <w:p w14:paraId="21C530B4" w14:textId="247A9EF6" w:rsidR="00261AF3" w:rsidRPr="00CE4429" w:rsidRDefault="00000000" w:rsidP="00CE4429">
      <w:pPr>
        <w:jc w:val="both"/>
        <w:rPr>
          <w:rFonts w:ascii="Arial" w:hAnsi="Arial" w:cs="Arial"/>
          <w:color w:val="000000"/>
        </w:rPr>
      </w:pPr>
      <w:r w:rsidRPr="00CE4429">
        <w:rPr>
          <w:rFonts w:ascii="Arial" w:hAnsi="Arial" w:cs="Arial"/>
          <w:color w:val="000000"/>
        </w:rPr>
        <w:t xml:space="preserve">Evaluating the biochemical data in light of </w:t>
      </w:r>
      <w:r w:rsidR="005B4ED1" w:rsidRPr="00CE4429">
        <w:rPr>
          <w:rFonts w:ascii="Arial" w:hAnsi="Arial" w:cs="Arial"/>
          <w:i/>
          <w:color w:val="000000"/>
        </w:rPr>
        <w:t xml:space="preserve">Carpobrotus </w:t>
      </w:r>
      <w:r w:rsidR="00CE4429" w:rsidRPr="00CE4429">
        <w:rPr>
          <w:rFonts w:ascii="Arial" w:hAnsi="Arial" w:cs="Arial"/>
          <w:i/>
          <w:color w:val="000000"/>
        </w:rPr>
        <w:t>epulis</w:t>
      </w:r>
      <w:r w:rsidR="00CE4429" w:rsidRPr="00CE4429">
        <w:rPr>
          <w:rFonts w:ascii="Arial" w:hAnsi="Arial" w:cs="Arial"/>
          <w:color w:val="000000"/>
        </w:rPr>
        <w:t>’s</w:t>
      </w:r>
      <w:r w:rsidRPr="00CE4429">
        <w:rPr>
          <w:rFonts w:ascii="Arial" w:hAnsi="Arial" w:cs="Arial"/>
          <w:color w:val="000000"/>
        </w:rPr>
        <w:t xml:space="preserve"> potential use in pancreatic insufficiency requires a nuanced approach, focusing on the statistical significance of the observed changes and their potential implications for organ function. The study found that rats treated with a hydro-ethanolic extract of </w:t>
      </w:r>
      <w:r w:rsidR="005B4ED1" w:rsidRPr="00CE4429">
        <w:rPr>
          <w:rFonts w:ascii="Arial" w:hAnsi="Arial" w:cs="Arial"/>
          <w:i/>
          <w:color w:val="000000"/>
        </w:rPr>
        <w:t>C. edulis</w:t>
      </w:r>
      <w:r w:rsidRPr="00CE4429">
        <w:rPr>
          <w:rFonts w:ascii="Arial" w:hAnsi="Arial" w:cs="Arial"/>
          <w:color w:val="000000"/>
        </w:rPr>
        <w:t xml:space="preserve"> exhibited statistically significant alterations in several biochemical parameters. Specifically, albumin, ALP, urea, creatine, and total protein levels were significantly elevated in the treatment groups compared to the control</w:t>
      </w:r>
      <w:r w:rsidR="00AB4EED">
        <w:rPr>
          <w:rFonts w:ascii="Arial" w:hAnsi="Arial" w:cs="Arial"/>
          <w:color w:val="000000"/>
        </w:rPr>
        <w:t xml:space="preserve"> as shown in Table 1</w:t>
      </w:r>
      <w:r w:rsidR="007419CB">
        <w:rPr>
          <w:rFonts w:ascii="Arial" w:hAnsi="Arial" w:cs="Arial"/>
          <w:color w:val="000000"/>
        </w:rPr>
        <w:t>1</w:t>
      </w:r>
      <w:r w:rsidRPr="00CE4429">
        <w:rPr>
          <w:rFonts w:ascii="Arial" w:hAnsi="Arial" w:cs="Arial"/>
          <w:color w:val="000000"/>
        </w:rPr>
        <w:t>. The elevated albumin and total protein levels could suggest a response to inflammation or altered protein metabolism. The significant increase in ALP at both doses may indicate potential hepatobiliary effects, as ALP is often used as an indicator of liver function. Similarly, the elevated urea and creatinine levels point towards possible alterations in renal function, since those are markers of kidney health</w:t>
      </w:r>
      <w:hyperlink w:anchor="d0e7837b8990e486bde5fe13a2261714" w:history="1">
        <w:r w:rsidR="00261AF3" w:rsidRPr="00CE4429">
          <w:rPr>
            <w:rStyle w:val="Hyperlink"/>
            <w:rFonts w:ascii="Arial" w:hAnsi="Arial" w:cs="Arial"/>
            <w:color w:val="auto"/>
            <w:u w:val="none"/>
            <w:vertAlign w:val="superscript"/>
          </w:rPr>
          <w:t>51</w:t>
        </w:r>
      </w:hyperlink>
      <w:r w:rsidRPr="00CE4429">
        <w:rPr>
          <w:rFonts w:ascii="Arial" w:hAnsi="Arial" w:cs="Arial"/>
          <w:color w:val="000000"/>
        </w:rPr>
        <w:t xml:space="preserve">. Connecting these findings to the work of Mudimba et al. </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xml:space="preserve"> is crucial, but with careful consideration. Mudimba et al.</w:t>
      </w:r>
      <w:r w:rsidRPr="00CE4429">
        <w:rPr>
          <w:rFonts w:ascii="Arial" w:hAnsi="Arial" w:cs="Arial"/>
          <w:vertAlign w:val="superscript"/>
        </w:rPr>
        <w:t xml:space="preserve"> </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xml:space="preserve"> employed an aqueous extract of </w:t>
      </w:r>
      <w:r w:rsidR="005B4ED1" w:rsidRPr="00CE4429">
        <w:rPr>
          <w:rFonts w:ascii="Arial" w:hAnsi="Arial" w:cs="Arial"/>
          <w:i/>
          <w:color w:val="000000"/>
        </w:rPr>
        <w:t>C. edulis</w:t>
      </w:r>
      <w:r w:rsidRPr="00CE4429">
        <w:rPr>
          <w:rFonts w:ascii="Arial" w:hAnsi="Arial" w:cs="Arial"/>
          <w:color w:val="000000"/>
        </w:rPr>
        <w:t xml:space="preserve"> and reported no significant changes in biochemical parameters. The contrasting results likely stem from the differences in extraction methods. The hydro-ethanolic solvent likely extracted different compounds than the aqueous solvent used by Mudimba et al. </w:t>
      </w:r>
      <w:hyperlink w:anchor="38a24be4dca31cd3230279d3cfe819f5" w:history="1">
        <w:r w:rsidR="00261AF3" w:rsidRPr="00CE4429">
          <w:rPr>
            <w:rStyle w:val="Hyperlink"/>
            <w:rFonts w:ascii="Arial" w:hAnsi="Arial" w:cs="Arial"/>
            <w:color w:val="auto"/>
            <w:u w:val="none"/>
            <w:vertAlign w:val="superscript"/>
          </w:rPr>
          <w:t>4</w:t>
        </w:r>
      </w:hyperlink>
      <w:r w:rsidRPr="00CE4429">
        <w:rPr>
          <w:rFonts w:ascii="Arial" w:hAnsi="Arial" w:cs="Arial"/>
          <w:color w:val="000000"/>
        </w:rPr>
        <w:t>, and some of these compounds may be responsible for the observed biochemical changes</w:t>
      </w:r>
      <w:hyperlink w:anchor="6b7ce6dfdc070894b5fad73ffb9d4e7e" w:history="1">
        <w:r w:rsidR="00261AF3" w:rsidRPr="00CE4429">
          <w:rPr>
            <w:rStyle w:val="Hyperlink"/>
            <w:rFonts w:ascii="Arial" w:hAnsi="Arial" w:cs="Arial"/>
            <w:color w:val="auto"/>
            <w:u w:val="none"/>
            <w:vertAlign w:val="superscript"/>
          </w:rPr>
          <w:t>2</w:t>
        </w:r>
      </w:hyperlink>
      <w:r w:rsidRPr="00CE4429">
        <w:rPr>
          <w:rFonts w:ascii="Arial" w:hAnsi="Arial" w:cs="Arial"/>
          <w:color w:val="000000"/>
        </w:rPr>
        <w:t>. states the importance of the different solvent systems and how they may affect the compounds</w:t>
      </w:r>
      <w:r w:rsidR="00CE4429">
        <w:rPr>
          <w:rFonts w:ascii="Arial" w:hAnsi="Arial" w:cs="Arial"/>
          <w:color w:val="000000"/>
        </w:rPr>
        <w:t xml:space="preserve">. </w:t>
      </w:r>
      <w:r w:rsidRPr="00CE4429">
        <w:rPr>
          <w:rFonts w:ascii="Arial" w:hAnsi="Arial" w:cs="Arial"/>
          <w:color w:val="000000"/>
        </w:rPr>
        <w:t xml:space="preserve">Considering these biochemical alterations, a cautious approach is necessary when evaluating </w:t>
      </w:r>
      <w:r w:rsidR="005B4ED1" w:rsidRPr="00CE4429">
        <w:rPr>
          <w:rFonts w:ascii="Arial" w:hAnsi="Arial" w:cs="Arial"/>
          <w:i/>
          <w:color w:val="000000"/>
        </w:rPr>
        <w:t>C. edulis</w:t>
      </w:r>
      <w:r w:rsidRPr="00CE4429">
        <w:rPr>
          <w:rFonts w:ascii="Arial" w:hAnsi="Arial" w:cs="Arial"/>
          <w:color w:val="000000"/>
        </w:rPr>
        <w:t xml:space="preserve"> for pancreatic insufficiency. The plant has demonstrated potential benefits, such as antibacterial, antioxidant, anti-inflammatory and antidiabetic effects </w:t>
      </w:r>
      <w:hyperlink w:anchor="a31d280e1cc73610cd1bfa01f1a896cf" w:history="1">
        <w:r w:rsidR="00261AF3" w:rsidRPr="00CE4429">
          <w:rPr>
            <w:rStyle w:val="Hyperlink"/>
            <w:rFonts w:ascii="Arial" w:hAnsi="Arial" w:cs="Arial"/>
            <w:color w:val="auto"/>
            <w:u w:val="none"/>
            <w:vertAlign w:val="superscript"/>
          </w:rPr>
          <w:t>5</w:t>
        </w:r>
      </w:hyperlink>
      <w:r w:rsidRPr="00CE4429">
        <w:rPr>
          <w:rFonts w:ascii="Arial" w:hAnsi="Arial" w:cs="Arial"/>
          <w:color w:val="000000"/>
        </w:rPr>
        <w:t xml:space="preserve">. However, the potential for hepatobiliary and renal effects, as suggested by the study, needs careful evaluation. If </w:t>
      </w:r>
      <w:r w:rsidR="005B4ED1" w:rsidRPr="00CE4429">
        <w:rPr>
          <w:rFonts w:ascii="Arial" w:hAnsi="Arial" w:cs="Arial"/>
          <w:i/>
          <w:color w:val="000000"/>
        </w:rPr>
        <w:t>C. edulis</w:t>
      </w:r>
      <w:r w:rsidRPr="00CE4429">
        <w:rPr>
          <w:rFonts w:ascii="Arial" w:hAnsi="Arial" w:cs="Arial"/>
          <w:color w:val="000000"/>
        </w:rPr>
        <w:t xml:space="preserve"> is to be considered for pancreatic insufficiency, further investigations should prioritize identifying the specific compounds responsible for the observed biochemical changes and establishing safe dosage levels. Furthermore, it would be beneficial to understand if the hydro-ethanolic extract's effects are dose-dependent.</w:t>
      </w:r>
    </w:p>
    <w:p w14:paraId="24EA209D" w14:textId="685D2164" w:rsidR="00261AF3" w:rsidRDefault="00000000">
      <w:pPr>
        <w:spacing w:after="0"/>
        <w:rPr>
          <w:i/>
          <w:iCs/>
          <w:color w:val="44546A"/>
          <w:sz w:val="18"/>
          <w:szCs w:val="18"/>
          <w:lang w:val="en-ZW" w:eastAsia="en-ZW"/>
        </w:rPr>
      </w:pPr>
      <w:bookmarkStart w:id="0" w:name="_Hlk197891709"/>
      <w:r w:rsidRPr="008468BA">
        <w:rPr>
          <w:i/>
          <w:iCs/>
          <w:color w:val="44546A"/>
          <w:sz w:val="18"/>
          <w:szCs w:val="18"/>
          <w:lang w:val="en-ZW" w:eastAsia="en-ZW"/>
        </w:rPr>
        <w:t xml:space="preserve">Table </w:t>
      </w:r>
      <w:r w:rsidR="00CE4429" w:rsidRPr="008468BA">
        <w:rPr>
          <w:i/>
          <w:iCs/>
          <w:color w:val="44546A"/>
          <w:sz w:val="18"/>
          <w:szCs w:val="18"/>
          <w:lang w:val="en-ZW" w:eastAsia="en-ZW"/>
        </w:rPr>
        <w:t>1</w:t>
      </w:r>
      <w:r w:rsidR="007419CB">
        <w:rPr>
          <w:i/>
          <w:iCs/>
          <w:color w:val="44546A"/>
          <w:sz w:val="18"/>
          <w:szCs w:val="18"/>
          <w:lang w:val="en-ZW" w:eastAsia="en-ZW"/>
        </w:rPr>
        <w:t>1</w:t>
      </w:r>
      <w:r w:rsidRPr="008468BA">
        <w:rPr>
          <w:i/>
          <w:iCs/>
          <w:color w:val="44546A"/>
          <w:sz w:val="18"/>
          <w:szCs w:val="18"/>
          <w:lang w:val="en-ZW" w:eastAsia="en-ZW"/>
        </w:rPr>
        <w:t xml:space="preserve">: Biochemical </w:t>
      </w:r>
      <w:bookmarkEnd w:id="0"/>
      <w:r w:rsidRPr="008468BA">
        <w:rPr>
          <w:i/>
          <w:iCs/>
          <w:color w:val="44546A"/>
          <w:sz w:val="18"/>
          <w:szCs w:val="18"/>
          <w:lang w:val="en-ZW" w:eastAsia="en-ZW"/>
        </w:rPr>
        <w:t xml:space="preserve">values of rats treated with hydro-ethanolic extract of </w:t>
      </w:r>
      <w:r w:rsidR="005B4ED1" w:rsidRPr="008468BA">
        <w:rPr>
          <w:i/>
          <w:iCs/>
          <w:color w:val="44546A"/>
          <w:sz w:val="18"/>
          <w:szCs w:val="18"/>
          <w:lang w:val="en-ZW" w:eastAsia="en-ZW"/>
        </w:rPr>
        <w:t>C. edulis</w:t>
      </w:r>
      <w:r w:rsidRPr="008468BA">
        <w:rPr>
          <w:i/>
          <w:iCs/>
          <w:color w:val="44546A"/>
          <w:sz w:val="18"/>
          <w:szCs w:val="18"/>
          <w:lang w:val="en-ZW" w:eastAsia="en-ZW"/>
        </w:rPr>
        <w:t xml:space="preserve"> in sub-acute toxicity studies</w:t>
      </w:r>
      <w:r w:rsidR="00CE4429" w:rsidRPr="008468BA">
        <w:rPr>
          <w:i/>
          <w:iCs/>
          <w:color w:val="44546A"/>
          <w:sz w:val="18"/>
          <w:szCs w:val="18"/>
          <w:lang w:val="en-ZW" w:eastAsia="en-ZW"/>
        </w:rPr>
        <w:t xml:space="preserve"> </w:t>
      </w:r>
      <w:r w:rsidRPr="008468BA">
        <w:rPr>
          <w:i/>
          <w:iCs/>
          <w:color w:val="44546A"/>
          <w:sz w:val="18"/>
          <w:szCs w:val="18"/>
          <w:lang w:val="en-ZW" w:eastAsia="en-ZW"/>
        </w:rPr>
        <w:t>(n=15)</w:t>
      </w:r>
      <w:r w:rsidR="00AB4EED" w:rsidRPr="008468BA">
        <w:rPr>
          <w:i/>
          <w:iCs/>
          <w:color w:val="44546A"/>
          <w:sz w:val="18"/>
          <w:szCs w:val="18"/>
          <w:lang w:val="en-ZW" w:eastAsia="en-ZW"/>
        </w:rPr>
        <w:t>, n=5 per group</w:t>
      </w:r>
    </w:p>
    <w:p w14:paraId="51BA110B" w14:textId="77777777" w:rsidR="0094124A" w:rsidRPr="008468BA" w:rsidRDefault="0094124A">
      <w:pPr>
        <w:spacing w:after="0"/>
        <w:rPr>
          <w:i/>
          <w:iCs/>
          <w:color w:val="44546A"/>
          <w:sz w:val="18"/>
          <w:szCs w:val="18"/>
          <w:lang w:val="en-ZW" w:eastAsia="en-ZW"/>
        </w:rPr>
      </w:pPr>
    </w:p>
    <w:tbl>
      <w:tblPr>
        <w:tblStyle w:val="PlainTable2"/>
        <w:tblW w:w="0" w:type="auto"/>
        <w:tblLook w:val="04A0" w:firstRow="1" w:lastRow="0" w:firstColumn="1" w:lastColumn="0" w:noHBand="0" w:noVBand="1"/>
      </w:tblPr>
      <w:tblGrid>
        <w:gridCol w:w="2263"/>
        <w:gridCol w:w="2242"/>
        <w:gridCol w:w="2257"/>
        <w:gridCol w:w="2264"/>
      </w:tblGrid>
      <w:tr w:rsidR="00261AF3" w:rsidRPr="002F727C" w14:paraId="5AF51E15" w14:textId="77777777" w:rsidTr="00941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4F1FBDB" w14:textId="77777777" w:rsidR="00261AF3" w:rsidRPr="00CE4429" w:rsidRDefault="00000000" w:rsidP="0094124A">
            <w:pPr>
              <w:contextualSpacing/>
              <w:jc w:val="center"/>
              <w:rPr>
                <w:rFonts w:ascii="Arial" w:hAnsi="Arial" w:cs="Arial"/>
                <w:b w:val="0"/>
                <w:bCs w:val="0"/>
              </w:rPr>
            </w:pPr>
            <w:r w:rsidRPr="00CE4429">
              <w:rPr>
                <w:rFonts w:ascii="Arial" w:hAnsi="Arial" w:cs="Arial"/>
              </w:rPr>
              <w:t>Parameter</w:t>
            </w:r>
          </w:p>
        </w:tc>
        <w:tc>
          <w:tcPr>
            <w:tcW w:w="2337" w:type="dxa"/>
          </w:tcPr>
          <w:p w14:paraId="1257CBB7"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Control</w:t>
            </w:r>
          </w:p>
          <w:p w14:paraId="4D2EE613"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0mg/kg</w:t>
            </w:r>
          </w:p>
        </w:tc>
        <w:tc>
          <w:tcPr>
            <w:tcW w:w="2338" w:type="dxa"/>
          </w:tcPr>
          <w:p w14:paraId="1B3D4264"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Group 1</w:t>
            </w:r>
          </w:p>
          <w:p w14:paraId="1828C7DA"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500mg/kg</w:t>
            </w:r>
          </w:p>
        </w:tc>
        <w:tc>
          <w:tcPr>
            <w:tcW w:w="2338" w:type="dxa"/>
          </w:tcPr>
          <w:p w14:paraId="6F87C1A5"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Group 2</w:t>
            </w:r>
          </w:p>
          <w:p w14:paraId="461CD3C6" w14:textId="77777777" w:rsidR="00261AF3" w:rsidRPr="00CE4429" w:rsidRDefault="00000000" w:rsidP="0094124A">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CE4429">
              <w:rPr>
                <w:rFonts w:ascii="Arial" w:hAnsi="Arial" w:cs="Arial"/>
              </w:rPr>
              <w:t>1000mg/kg</w:t>
            </w:r>
          </w:p>
        </w:tc>
      </w:tr>
      <w:tr w:rsidR="00261AF3" w:rsidRPr="002F727C" w14:paraId="23D1D9B9"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88FEC97" w14:textId="77777777" w:rsidR="00261AF3" w:rsidRPr="00CE4429" w:rsidRDefault="00000000" w:rsidP="0094124A">
            <w:pPr>
              <w:contextualSpacing/>
              <w:jc w:val="center"/>
              <w:rPr>
                <w:rFonts w:ascii="Arial" w:hAnsi="Arial" w:cs="Arial"/>
              </w:rPr>
            </w:pPr>
            <w:r w:rsidRPr="00CE4429">
              <w:rPr>
                <w:rFonts w:ascii="Arial" w:hAnsi="Arial" w:cs="Arial"/>
              </w:rPr>
              <w:t>ALT</w:t>
            </w:r>
          </w:p>
        </w:tc>
        <w:tc>
          <w:tcPr>
            <w:tcW w:w="2337" w:type="dxa"/>
          </w:tcPr>
          <w:p w14:paraId="147411FC"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87.6 ± 0.7</w:t>
            </w:r>
          </w:p>
        </w:tc>
        <w:tc>
          <w:tcPr>
            <w:tcW w:w="2338" w:type="dxa"/>
          </w:tcPr>
          <w:p w14:paraId="43E29BB5"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75.3 ± 1.5</w:t>
            </w:r>
          </w:p>
        </w:tc>
        <w:tc>
          <w:tcPr>
            <w:tcW w:w="2338" w:type="dxa"/>
          </w:tcPr>
          <w:p w14:paraId="677C3A34"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88.9 ± 6.6</w:t>
            </w:r>
          </w:p>
        </w:tc>
      </w:tr>
      <w:tr w:rsidR="00261AF3" w:rsidRPr="002F727C" w14:paraId="495C614E" w14:textId="77777777" w:rsidTr="0094124A">
        <w:tc>
          <w:tcPr>
            <w:cnfStyle w:val="001000000000" w:firstRow="0" w:lastRow="0" w:firstColumn="1" w:lastColumn="0" w:oddVBand="0" w:evenVBand="0" w:oddHBand="0" w:evenHBand="0" w:firstRowFirstColumn="0" w:firstRowLastColumn="0" w:lastRowFirstColumn="0" w:lastRowLastColumn="0"/>
            <w:tcW w:w="2337" w:type="dxa"/>
          </w:tcPr>
          <w:p w14:paraId="449A5936" w14:textId="77777777" w:rsidR="00261AF3" w:rsidRPr="00CE4429" w:rsidRDefault="00000000" w:rsidP="0094124A">
            <w:pPr>
              <w:contextualSpacing/>
              <w:jc w:val="center"/>
              <w:rPr>
                <w:rFonts w:ascii="Arial" w:hAnsi="Arial" w:cs="Arial"/>
              </w:rPr>
            </w:pPr>
            <w:r w:rsidRPr="00CE4429">
              <w:rPr>
                <w:rFonts w:ascii="Arial" w:hAnsi="Arial" w:cs="Arial"/>
              </w:rPr>
              <w:t>ALB</w:t>
            </w:r>
          </w:p>
        </w:tc>
        <w:tc>
          <w:tcPr>
            <w:tcW w:w="2337" w:type="dxa"/>
          </w:tcPr>
          <w:p w14:paraId="705D3FA3"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34.3 ± 0.4</w:t>
            </w:r>
          </w:p>
        </w:tc>
        <w:tc>
          <w:tcPr>
            <w:tcW w:w="2338" w:type="dxa"/>
          </w:tcPr>
          <w:p w14:paraId="445F33F2"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35.4 ± 0.3</w:t>
            </w:r>
          </w:p>
        </w:tc>
        <w:tc>
          <w:tcPr>
            <w:tcW w:w="2338" w:type="dxa"/>
          </w:tcPr>
          <w:p w14:paraId="13589BC4"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38.0 ± 0.7*</w:t>
            </w:r>
          </w:p>
        </w:tc>
      </w:tr>
      <w:tr w:rsidR="00261AF3" w:rsidRPr="002F727C" w14:paraId="47E2DC8F"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80DC287" w14:textId="77777777" w:rsidR="00261AF3" w:rsidRPr="00CE4429" w:rsidRDefault="00000000" w:rsidP="0094124A">
            <w:pPr>
              <w:contextualSpacing/>
              <w:jc w:val="center"/>
              <w:rPr>
                <w:rFonts w:ascii="Arial" w:hAnsi="Arial" w:cs="Arial"/>
              </w:rPr>
            </w:pPr>
            <w:r w:rsidRPr="00CE4429">
              <w:rPr>
                <w:rFonts w:ascii="Arial" w:hAnsi="Arial" w:cs="Arial"/>
              </w:rPr>
              <w:t>ALP</w:t>
            </w:r>
          </w:p>
        </w:tc>
        <w:tc>
          <w:tcPr>
            <w:tcW w:w="2337" w:type="dxa"/>
          </w:tcPr>
          <w:p w14:paraId="42ECA30A"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438.7 ± 0.4</w:t>
            </w:r>
          </w:p>
        </w:tc>
        <w:tc>
          <w:tcPr>
            <w:tcW w:w="2338" w:type="dxa"/>
          </w:tcPr>
          <w:p w14:paraId="0B3782FD"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267.5 ± 61.6*</w:t>
            </w:r>
          </w:p>
        </w:tc>
        <w:tc>
          <w:tcPr>
            <w:tcW w:w="2338" w:type="dxa"/>
          </w:tcPr>
          <w:p w14:paraId="6BA8DAE8"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472.7 ± 20.7*</w:t>
            </w:r>
          </w:p>
        </w:tc>
      </w:tr>
      <w:tr w:rsidR="00261AF3" w:rsidRPr="002F727C" w14:paraId="482F9FB1" w14:textId="77777777" w:rsidTr="0094124A">
        <w:tc>
          <w:tcPr>
            <w:cnfStyle w:val="001000000000" w:firstRow="0" w:lastRow="0" w:firstColumn="1" w:lastColumn="0" w:oddVBand="0" w:evenVBand="0" w:oddHBand="0" w:evenHBand="0" w:firstRowFirstColumn="0" w:firstRowLastColumn="0" w:lastRowFirstColumn="0" w:lastRowLastColumn="0"/>
            <w:tcW w:w="2337" w:type="dxa"/>
          </w:tcPr>
          <w:p w14:paraId="6534318A" w14:textId="77777777" w:rsidR="00261AF3" w:rsidRPr="00CE4429" w:rsidRDefault="00000000" w:rsidP="0094124A">
            <w:pPr>
              <w:contextualSpacing/>
              <w:jc w:val="center"/>
              <w:rPr>
                <w:rFonts w:ascii="Arial" w:hAnsi="Arial" w:cs="Arial"/>
              </w:rPr>
            </w:pPr>
            <w:r w:rsidRPr="00CE4429">
              <w:rPr>
                <w:rFonts w:ascii="Arial" w:hAnsi="Arial" w:cs="Arial"/>
              </w:rPr>
              <w:t>AST</w:t>
            </w:r>
          </w:p>
        </w:tc>
        <w:tc>
          <w:tcPr>
            <w:tcW w:w="2337" w:type="dxa"/>
          </w:tcPr>
          <w:p w14:paraId="1E5D61F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130.2 ± 0.3</w:t>
            </w:r>
          </w:p>
        </w:tc>
        <w:tc>
          <w:tcPr>
            <w:tcW w:w="2338" w:type="dxa"/>
          </w:tcPr>
          <w:p w14:paraId="7F82EFC0"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115.5 ± 25.9</w:t>
            </w:r>
          </w:p>
        </w:tc>
        <w:tc>
          <w:tcPr>
            <w:tcW w:w="2338" w:type="dxa"/>
          </w:tcPr>
          <w:p w14:paraId="5D34A876"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167.8 ± 2.6</w:t>
            </w:r>
          </w:p>
        </w:tc>
      </w:tr>
      <w:tr w:rsidR="00261AF3" w:rsidRPr="002F727C" w14:paraId="7F941DDB" w14:textId="77777777" w:rsidTr="0094124A">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337" w:type="dxa"/>
          </w:tcPr>
          <w:p w14:paraId="660E278F" w14:textId="77777777" w:rsidR="00261AF3" w:rsidRPr="00CE4429" w:rsidRDefault="00000000" w:rsidP="0094124A">
            <w:pPr>
              <w:contextualSpacing/>
              <w:jc w:val="center"/>
              <w:rPr>
                <w:rFonts w:ascii="Arial" w:hAnsi="Arial" w:cs="Arial"/>
              </w:rPr>
            </w:pPr>
            <w:r w:rsidRPr="00CE4429">
              <w:rPr>
                <w:rFonts w:ascii="Arial" w:hAnsi="Arial" w:cs="Arial"/>
              </w:rPr>
              <w:t>UREA</w:t>
            </w:r>
          </w:p>
        </w:tc>
        <w:tc>
          <w:tcPr>
            <w:tcW w:w="2337" w:type="dxa"/>
          </w:tcPr>
          <w:p w14:paraId="4810861F"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4.8 ± 0.2</w:t>
            </w:r>
          </w:p>
        </w:tc>
        <w:tc>
          <w:tcPr>
            <w:tcW w:w="2338" w:type="dxa"/>
          </w:tcPr>
          <w:p w14:paraId="3CF61FB0"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5.7 ± 0.2*</w:t>
            </w:r>
          </w:p>
        </w:tc>
        <w:tc>
          <w:tcPr>
            <w:tcW w:w="2338" w:type="dxa"/>
          </w:tcPr>
          <w:p w14:paraId="492A8744" w14:textId="77777777" w:rsidR="00261AF3" w:rsidRPr="00CE4429" w:rsidRDefault="00000000" w:rsidP="0094124A">
            <w:pPr>
              <w:tabs>
                <w:tab w:val="center" w:pos="1061"/>
              </w:tabs>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6.1 ± 0.1*</w:t>
            </w:r>
          </w:p>
        </w:tc>
      </w:tr>
      <w:tr w:rsidR="00261AF3" w:rsidRPr="002F727C" w14:paraId="7EAC9744" w14:textId="77777777" w:rsidTr="0094124A">
        <w:tc>
          <w:tcPr>
            <w:cnfStyle w:val="001000000000" w:firstRow="0" w:lastRow="0" w:firstColumn="1" w:lastColumn="0" w:oddVBand="0" w:evenVBand="0" w:oddHBand="0" w:evenHBand="0" w:firstRowFirstColumn="0" w:firstRowLastColumn="0" w:lastRowFirstColumn="0" w:lastRowLastColumn="0"/>
            <w:tcW w:w="2337" w:type="dxa"/>
          </w:tcPr>
          <w:p w14:paraId="704A58CF" w14:textId="77777777" w:rsidR="00261AF3" w:rsidRPr="00CE4429" w:rsidRDefault="00000000" w:rsidP="0094124A">
            <w:pPr>
              <w:contextualSpacing/>
              <w:jc w:val="center"/>
              <w:rPr>
                <w:rFonts w:ascii="Arial" w:hAnsi="Arial" w:cs="Arial"/>
              </w:rPr>
            </w:pPr>
            <w:r w:rsidRPr="00CE4429">
              <w:rPr>
                <w:rFonts w:ascii="Arial" w:hAnsi="Arial" w:cs="Arial"/>
              </w:rPr>
              <w:t>CREATINE</w:t>
            </w:r>
          </w:p>
        </w:tc>
        <w:tc>
          <w:tcPr>
            <w:tcW w:w="2337" w:type="dxa"/>
          </w:tcPr>
          <w:p w14:paraId="6F3DFFF2"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45.2 ± 0.2</w:t>
            </w:r>
          </w:p>
        </w:tc>
        <w:tc>
          <w:tcPr>
            <w:tcW w:w="2338" w:type="dxa"/>
          </w:tcPr>
          <w:p w14:paraId="3890E5C5"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51.6 ± 1.4*</w:t>
            </w:r>
          </w:p>
        </w:tc>
        <w:tc>
          <w:tcPr>
            <w:tcW w:w="2338" w:type="dxa"/>
          </w:tcPr>
          <w:p w14:paraId="29CB7DFA" w14:textId="77777777" w:rsidR="00261AF3" w:rsidRPr="00CE4429" w:rsidRDefault="00000000" w:rsidP="0094124A">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E4429">
              <w:rPr>
                <w:rFonts w:ascii="Arial" w:hAnsi="Arial" w:cs="Arial"/>
              </w:rPr>
              <w:t>55.3 ± 2.1*</w:t>
            </w:r>
          </w:p>
        </w:tc>
      </w:tr>
      <w:tr w:rsidR="00261AF3" w:rsidRPr="002F727C" w14:paraId="496C4C9C" w14:textId="77777777" w:rsidTr="009412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E33F56D" w14:textId="77777777" w:rsidR="00261AF3" w:rsidRPr="00CE4429" w:rsidRDefault="00000000" w:rsidP="0094124A">
            <w:pPr>
              <w:contextualSpacing/>
              <w:jc w:val="center"/>
              <w:rPr>
                <w:rFonts w:ascii="Arial" w:hAnsi="Arial" w:cs="Arial"/>
              </w:rPr>
            </w:pPr>
            <w:r w:rsidRPr="00CE4429">
              <w:rPr>
                <w:rFonts w:ascii="Arial" w:hAnsi="Arial" w:cs="Arial"/>
              </w:rPr>
              <w:t>Total Protein</w:t>
            </w:r>
          </w:p>
        </w:tc>
        <w:tc>
          <w:tcPr>
            <w:tcW w:w="2337" w:type="dxa"/>
          </w:tcPr>
          <w:p w14:paraId="6A5B3BD3"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4.5 ± 0.2</w:t>
            </w:r>
          </w:p>
        </w:tc>
        <w:tc>
          <w:tcPr>
            <w:tcW w:w="2338" w:type="dxa"/>
          </w:tcPr>
          <w:p w14:paraId="4912F6B4" w14:textId="77777777"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6.2 ± 0.3*</w:t>
            </w:r>
          </w:p>
        </w:tc>
        <w:tc>
          <w:tcPr>
            <w:tcW w:w="2338" w:type="dxa"/>
          </w:tcPr>
          <w:p w14:paraId="778F2430" w14:textId="0DB60AE0" w:rsidR="00261AF3" w:rsidRPr="00CE4429" w:rsidRDefault="00000000" w:rsidP="0094124A">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E4429">
              <w:rPr>
                <w:rFonts w:ascii="Arial" w:hAnsi="Arial" w:cs="Arial"/>
              </w:rPr>
              <w:t>6.8 ± 0.5*</w:t>
            </w:r>
          </w:p>
        </w:tc>
      </w:tr>
    </w:tbl>
    <w:p w14:paraId="082351AD" w14:textId="77777777" w:rsidR="00FC7A9F" w:rsidRPr="0094124A" w:rsidRDefault="00000000" w:rsidP="00CE4429">
      <w:pPr>
        <w:spacing w:after="0"/>
        <w:rPr>
          <w:rFonts w:ascii="Arial" w:hAnsi="Arial" w:cs="Arial"/>
          <w:i/>
          <w:iCs/>
        </w:rPr>
      </w:pPr>
      <w:r w:rsidRPr="0094124A">
        <w:rPr>
          <w:rFonts w:ascii="Arial" w:hAnsi="Arial" w:cs="Arial"/>
          <w:i/>
          <w:iCs/>
        </w:rPr>
        <w:t>Values are expressed as mean</w:t>
      </w:r>
      <w:r w:rsidR="00CE4429" w:rsidRPr="0094124A">
        <w:rPr>
          <w:rFonts w:ascii="Arial" w:hAnsi="Arial" w:cs="Arial"/>
          <w:i/>
          <w:iCs/>
        </w:rPr>
        <w:t xml:space="preserve"> </w:t>
      </w:r>
      <w:r w:rsidRPr="0094124A">
        <w:rPr>
          <w:rFonts w:ascii="Arial" w:hAnsi="Arial" w:cs="Arial"/>
          <w:i/>
          <w:iCs/>
        </w:rPr>
        <w:t>±</w:t>
      </w:r>
      <w:r w:rsidR="00CE4429" w:rsidRPr="0094124A">
        <w:rPr>
          <w:rFonts w:ascii="Arial" w:hAnsi="Arial" w:cs="Arial"/>
          <w:i/>
          <w:iCs/>
        </w:rPr>
        <w:t xml:space="preserve"> </w:t>
      </w:r>
      <w:r w:rsidRPr="0094124A">
        <w:rPr>
          <w:rFonts w:ascii="Arial" w:hAnsi="Arial" w:cs="Arial"/>
          <w:i/>
          <w:iCs/>
        </w:rPr>
        <w:t>SEM, n=15, *p values less than 0.05</w:t>
      </w:r>
      <w:r w:rsidR="00CE4429" w:rsidRPr="0094124A">
        <w:rPr>
          <w:rFonts w:ascii="Arial" w:hAnsi="Arial" w:cs="Arial"/>
          <w:i/>
          <w:iCs/>
        </w:rPr>
        <w:t xml:space="preserve"> </w:t>
      </w:r>
      <w:r w:rsidRPr="0094124A">
        <w:rPr>
          <w:rFonts w:ascii="Arial" w:hAnsi="Arial" w:cs="Arial"/>
          <w:i/>
          <w:iCs/>
        </w:rPr>
        <w:t>(p&lt;0.05) significant valu</w:t>
      </w:r>
      <w:r w:rsidR="00FC7A9F" w:rsidRPr="0094124A">
        <w:rPr>
          <w:rFonts w:ascii="Arial" w:hAnsi="Arial" w:cs="Arial"/>
          <w:i/>
          <w:iCs/>
        </w:rPr>
        <w:t>e</w:t>
      </w:r>
    </w:p>
    <w:p w14:paraId="5D8DFB16" w14:textId="0640B212" w:rsidR="00261AF3" w:rsidRDefault="00000000" w:rsidP="002F3DEB">
      <w:pPr>
        <w:pStyle w:val="Heading2"/>
      </w:pPr>
      <w:r w:rsidRPr="00CE4429">
        <w:t>Histopathology</w:t>
      </w:r>
    </w:p>
    <w:p w14:paraId="3012D67E" w14:textId="635B5945" w:rsidR="00AB4EED" w:rsidRPr="00AB4EED" w:rsidRDefault="008F06D5" w:rsidP="008F06D5">
      <w:pPr>
        <w:jc w:val="both"/>
        <w:rPr>
          <w:rFonts w:ascii="Arial" w:hAnsi="Arial" w:cs="Arial"/>
        </w:rPr>
      </w:pPr>
      <w:r w:rsidRPr="008A713F">
        <w:rPr>
          <w:rFonts w:ascii="Arial" w:hAnsi="Arial" w:cs="Arial"/>
          <w:highlight w:val="yellow"/>
        </w:rPr>
        <w:t xml:space="preserve">No histopathological changes were observed in major organs (heart, liver and kidney) in all treatment </w:t>
      </w:r>
      <w:r w:rsidR="008A713F" w:rsidRPr="008A713F">
        <w:rPr>
          <w:rFonts w:ascii="Arial" w:hAnsi="Arial" w:cs="Arial"/>
          <w:highlight w:val="yellow"/>
        </w:rPr>
        <w:t>groups</w:t>
      </w:r>
      <w:r w:rsidRPr="008A713F">
        <w:rPr>
          <w:rFonts w:ascii="Arial" w:hAnsi="Arial" w:cs="Arial"/>
          <w:highlight w:val="yellow"/>
        </w:rPr>
        <w:t xml:space="preserve"> compared as well as  the </w:t>
      </w:r>
      <w:r w:rsidR="008A713F" w:rsidRPr="008A713F">
        <w:rPr>
          <w:rFonts w:ascii="Arial" w:hAnsi="Arial" w:cs="Arial"/>
          <w:highlight w:val="yellow"/>
        </w:rPr>
        <w:t>control.</w:t>
      </w:r>
      <w:r w:rsidR="00AB4EED" w:rsidRPr="008A713F">
        <w:rPr>
          <w:rFonts w:ascii="Arial" w:hAnsi="Arial" w:cs="Arial"/>
          <w:highlight w:val="yellow"/>
        </w:rPr>
        <w:t xml:space="preserve"> No abnormalities </w:t>
      </w:r>
      <w:r w:rsidRPr="008A713F">
        <w:rPr>
          <w:rFonts w:ascii="Arial" w:hAnsi="Arial" w:cs="Arial"/>
          <w:highlight w:val="yellow"/>
        </w:rPr>
        <w:t xml:space="preserve">were </w:t>
      </w:r>
      <w:r w:rsidR="00AB4EED" w:rsidRPr="008A713F">
        <w:rPr>
          <w:rFonts w:ascii="Arial" w:hAnsi="Arial" w:cs="Arial"/>
          <w:highlight w:val="yellow"/>
        </w:rPr>
        <w:t>found</w:t>
      </w:r>
      <w:r w:rsidR="008A713F" w:rsidRPr="008A713F">
        <w:rPr>
          <w:rFonts w:ascii="Arial" w:hAnsi="Arial" w:cs="Arial"/>
          <w:highlight w:val="yellow"/>
        </w:rPr>
        <w:t xml:space="preserve"> </w:t>
      </w:r>
      <w:r w:rsidRPr="008A713F">
        <w:rPr>
          <w:rFonts w:ascii="Arial" w:hAnsi="Arial" w:cs="Arial"/>
          <w:highlight w:val="yellow"/>
        </w:rPr>
        <w:t>(</w:t>
      </w:r>
      <w:r w:rsidR="0094124A" w:rsidRPr="008A713F">
        <w:rPr>
          <w:rFonts w:ascii="Arial" w:hAnsi="Arial" w:cs="Arial"/>
          <w:highlight w:val="yellow"/>
        </w:rPr>
        <w:t>T</w:t>
      </w:r>
      <w:r w:rsidRPr="008A713F">
        <w:rPr>
          <w:rFonts w:ascii="Arial" w:hAnsi="Arial" w:cs="Arial"/>
          <w:highlight w:val="yellow"/>
        </w:rPr>
        <w:t>able 1</w:t>
      </w:r>
      <w:r w:rsidR="007419CB" w:rsidRPr="008A713F">
        <w:rPr>
          <w:rFonts w:ascii="Arial" w:hAnsi="Arial" w:cs="Arial"/>
          <w:highlight w:val="yellow"/>
        </w:rPr>
        <w:t>2</w:t>
      </w:r>
      <w:r w:rsidRPr="008A713F">
        <w:rPr>
          <w:rFonts w:ascii="Arial" w:hAnsi="Arial" w:cs="Arial"/>
          <w:highlight w:val="yellow"/>
        </w:rPr>
        <w:t>).  This  corresponds well with the biochemical  and hematology results observed above</w:t>
      </w:r>
      <w:r w:rsidR="00004DF6" w:rsidRPr="008A713F">
        <w:rPr>
          <w:rFonts w:ascii="Arial" w:hAnsi="Arial" w:cs="Arial"/>
          <w:highlight w:val="yellow"/>
        </w:rPr>
        <w:t>.</w:t>
      </w:r>
      <w:r w:rsidR="00004DF6">
        <w:rPr>
          <w:rFonts w:ascii="Arial" w:hAnsi="Arial" w:cs="Arial"/>
        </w:rPr>
        <w:t xml:space="preserve"> </w:t>
      </w:r>
    </w:p>
    <w:p w14:paraId="63EC8E44" w14:textId="5BFD88AD" w:rsidR="000448DC" w:rsidRPr="008F06D5" w:rsidRDefault="000448DC">
      <w:pPr>
        <w:rPr>
          <w:i/>
          <w:iCs/>
          <w:color w:val="44546A"/>
          <w:sz w:val="18"/>
          <w:szCs w:val="18"/>
          <w:lang w:val="en-ZW" w:eastAsia="en-ZW"/>
        </w:rPr>
      </w:pPr>
      <w:r w:rsidRPr="008F06D5">
        <w:rPr>
          <w:i/>
          <w:iCs/>
          <w:color w:val="44546A"/>
          <w:sz w:val="18"/>
          <w:szCs w:val="18"/>
          <w:lang w:val="en-ZW" w:eastAsia="en-ZW"/>
        </w:rPr>
        <w:t>Table 1</w:t>
      </w:r>
      <w:r w:rsidR="007419CB">
        <w:rPr>
          <w:i/>
          <w:iCs/>
          <w:color w:val="44546A"/>
          <w:sz w:val="18"/>
          <w:szCs w:val="18"/>
          <w:lang w:val="en-ZW" w:eastAsia="en-ZW"/>
        </w:rPr>
        <w:t>2</w:t>
      </w:r>
      <w:r w:rsidRPr="008F06D5">
        <w:rPr>
          <w:i/>
          <w:iCs/>
          <w:color w:val="44546A"/>
          <w:sz w:val="18"/>
          <w:szCs w:val="18"/>
          <w:lang w:val="en-ZW" w:eastAsia="en-ZW"/>
        </w:rPr>
        <w:t>: Slide images of histopathology investigations</w:t>
      </w:r>
    </w:p>
    <w:p w14:paraId="5A2E27B5" w14:textId="59C4C169" w:rsidR="00D36C15" w:rsidRDefault="008F06D5">
      <w:pPr>
        <w:rPr>
          <w:rFonts w:ascii="Arial" w:hAnsi="Arial" w:cs="Arial"/>
          <w:b/>
          <w:bCs/>
        </w:rPr>
      </w:pPr>
      <w:r w:rsidRPr="008F06D5">
        <w:rPr>
          <w:rFonts w:ascii="Arial" w:hAnsi="Arial" w:cs="Arial"/>
          <w:b/>
          <w:bCs/>
          <w:noProof/>
        </w:rPr>
        <w:lastRenderedPageBreak/>
        <w:drawing>
          <wp:inline distT="0" distB="0" distL="0" distR="0" wp14:anchorId="6C3CCBDB" wp14:editId="1C751384">
            <wp:extent cx="5731510" cy="4114165"/>
            <wp:effectExtent l="19050" t="19050" r="21590" b="19685"/>
            <wp:docPr id="195471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19613" name=""/>
                    <pic:cNvPicPr/>
                  </pic:nvPicPr>
                  <pic:blipFill>
                    <a:blip r:embed="rId13"/>
                    <a:stretch>
                      <a:fillRect/>
                    </a:stretch>
                  </pic:blipFill>
                  <pic:spPr>
                    <a:xfrm>
                      <a:off x="0" y="0"/>
                      <a:ext cx="5731510" cy="4114165"/>
                    </a:xfrm>
                    <a:prstGeom prst="rect">
                      <a:avLst/>
                    </a:prstGeom>
                    <a:ln>
                      <a:solidFill>
                        <a:schemeClr val="accent1"/>
                      </a:solidFill>
                    </a:ln>
                  </pic:spPr>
                </pic:pic>
              </a:graphicData>
            </a:graphic>
          </wp:inline>
        </w:drawing>
      </w:r>
    </w:p>
    <w:p w14:paraId="5AF38D71" w14:textId="3BEB2F2F" w:rsidR="008F06D5" w:rsidRDefault="00F67127" w:rsidP="00FC7A9F">
      <w:pPr>
        <w:jc w:val="both"/>
        <w:rPr>
          <w:rFonts w:ascii="Arial" w:hAnsi="Arial" w:cs="Arial"/>
        </w:rPr>
      </w:pPr>
      <w:r>
        <w:rPr>
          <w:rFonts w:ascii="Arial" w:hAnsi="Arial" w:cs="Arial"/>
          <w:color w:val="474747"/>
          <w:shd w:val="clear" w:color="auto" w:fill="FFFFFF"/>
        </w:rPr>
        <w:t xml:space="preserve">Sub-acute toxicity evaluation is based on observing and identifying  any adverse effects that may occur after repeated exposure of laboratory </w:t>
      </w:r>
      <w:r w:rsidRPr="008A713F">
        <w:rPr>
          <w:rFonts w:ascii="Arial" w:hAnsi="Arial" w:cs="Arial"/>
          <w:color w:val="474747"/>
          <w:highlight w:val="yellow"/>
          <w:shd w:val="clear" w:color="auto" w:fill="FFFFFF"/>
        </w:rPr>
        <w:t>animals to a substance over a prolonged duration. This type of testing is important for nutraceutical remedies that are used for long periods for multiple uses. It was therefore p</w:t>
      </w:r>
      <w:r w:rsidR="00A2767B" w:rsidRPr="008A713F">
        <w:rPr>
          <w:rFonts w:ascii="Arial" w:hAnsi="Arial" w:cs="Arial"/>
          <w:color w:val="474747"/>
          <w:highlight w:val="yellow"/>
          <w:shd w:val="clear" w:color="auto" w:fill="FFFFFF"/>
        </w:rPr>
        <w:t>r</w:t>
      </w:r>
      <w:r w:rsidRPr="008A713F">
        <w:rPr>
          <w:rFonts w:ascii="Arial" w:hAnsi="Arial" w:cs="Arial"/>
          <w:color w:val="474747"/>
          <w:highlight w:val="yellow"/>
          <w:shd w:val="clear" w:color="auto" w:fill="FFFFFF"/>
        </w:rPr>
        <w:t xml:space="preserve">udent to carry out this assay on </w:t>
      </w:r>
      <w:r w:rsidRPr="008A713F">
        <w:rPr>
          <w:rFonts w:ascii="Arial" w:hAnsi="Arial" w:cs="Arial"/>
          <w:i/>
          <w:color w:val="000000"/>
          <w:highlight w:val="yellow"/>
        </w:rPr>
        <w:t>C. edulis</w:t>
      </w:r>
      <w:r w:rsidRPr="008A713F">
        <w:rPr>
          <w:rFonts w:ascii="Arial" w:hAnsi="Arial" w:cs="Arial"/>
          <w:iCs/>
          <w:color w:val="000000"/>
          <w:highlight w:val="yellow"/>
        </w:rPr>
        <w:t xml:space="preserve"> due to its</w:t>
      </w:r>
      <w:r w:rsidRPr="00A2767B">
        <w:rPr>
          <w:rFonts w:ascii="Arial" w:hAnsi="Arial" w:cs="Arial"/>
          <w:iCs/>
          <w:color w:val="000000"/>
        </w:rPr>
        <w:t xml:space="preserve"> cardinal </w:t>
      </w:r>
      <w:r w:rsidR="00A2767B" w:rsidRPr="00A2767B">
        <w:rPr>
          <w:rFonts w:ascii="Arial" w:hAnsi="Arial" w:cs="Arial"/>
          <w:iCs/>
          <w:color w:val="000000"/>
        </w:rPr>
        <w:t xml:space="preserve">prevalence in traditional medicinal practices and multiple uses </w:t>
      </w:r>
      <w:r w:rsidR="00A2767B">
        <w:rPr>
          <w:rFonts w:ascii="Arial" w:hAnsi="Arial" w:cs="Arial"/>
          <w:iCs/>
          <w:color w:val="000000"/>
        </w:rPr>
        <w:t xml:space="preserve">in various ailments. </w:t>
      </w:r>
    </w:p>
    <w:p w14:paraId="62A191EB" w14:textId="126848B2" w:rsidR="00261AF3" w:rsidRPr="002F3DEB" w:rsidRDefault="00000000" w:rsidP="002F3DEB">
      <w:pPr>
        <w:pStyle w:val="Heading1"/>
      </w:pPr>
      <w:r w:rsidRPr="002F3DEB">
        <w:t>Conclusion</w:t>
      </w:r>
    </w:p>
    <w:p w14:paraId="6B67CE51" w14:textId="7426E067" w:rsidR="00261AF3" w:rsidRPr="00CE4429" w:rsidRDefault="00000000" w:rsidP="00CE4429">
      <w:pPr>
        <w:jc w:val="both"/>
        <w:rPr>
          <w:rFonts w:ascii="Arial" w:hAnsi="Arial" w:cs="Arial"/>
        </w:rPr>
      </w:pPr>
      <w:r w:rsidRPr="00CE4429">
        <w:rPr>
          <w:rFonts w:ascii="Arial" w:hAnsi="Arial" w:cs="Arial"/>
          <w:color w:val="000000"/>
        </w:rPr>
        <w:t xml:space="preserve">Phytochemical analysis revealed various bioactive compounds, which explain the plant's antibacterial, antioxidant, and anti-inflammatory effects. In vitro tests showed anti-inflammatory promise, and initial toxicity tests suggested general safety at the tested doses. However, longer-term toxicity studies indicated statistically significant changes in blood and biochemical markers, specifically affecting red blood cell and platelet counts, as well as albumin, ALP, urea, and creatinine levels. These results emphasize the need for further research to identify the specific compounds causing these changes and to determine safe dosages for therapeutic use. Comparative studies using different extraction methods, such as aqueous versus hydro-ethanolic, are also essential to understand how solvent systems affect the plant's chemical composition and biological activity, given the discrepancies between this study and previous research using aqueous extracts. Overall, </w:t>
      </w:r>
      <w:r w:rsidR="005B4ED1" w:rsidRPr="00CE4429">
        <w:rPr>
          <w:rFonts w:ascii="Arial" w:hAnsi="Arial" w:cs="Arial"/>
          <w:i/>
          <w:color w:val="000000"/>
        </w:rPr>
        <w:t>C. edulis</w:t>
      </w:r>
      <w:r w:rsidRPr="00CE4429">
        <w:rPr>
          <w:rFonts w:ascii="Arial" w:hAnsi="Arial" w:cs="Arial"/>
          <w:color w:val="000000"/>
        </w:rPr>
        <w:t xml:space="preserve"> shows a complex profile, with both therapeutic potential and potential risks, requiring careful evaluation and further investigation to maximize its benefits while minimizing potential harm.</w:t>
      </w:r>
    </w:p>
    <w:p w14:paraId="0F6A5E20" w14:textId="771316D9" w:rsidR="00261AF3" w:rsidRPr="002F3DEB" w:rsidRDefault="00000000" w:rsidP="002F3DEB">
      <w:pPr>
        <w:pStyle w:val="Heading1"/>
      </w:pPr>
      <w:r w:rsidRPr="002F3DEB">
        <w:t>Competing interests</w:t>
      </w:r>
    </w:p>
    <w:p w14:paraId="7EA99D01" w14:textId="77777777" w:rsidR="00261AF3" w:rsidRPr="00CE4429" w:rsidRDefault="00000000" w:rsidP="00CE4429">
      <w:pPr>
        <w:jc w:val="both"/>
        <w:rPr>
          <w:rFonts w:ascii="Arial" w:hAnsi="Arial" w:cs="Arial"/>
        </w:rPr>
      </w:pPr>
      <w:r w:rsidRPr="00CE4429">
        <w:rPr>
          <w:rFonts w:ascii="Arial" w:hAnsi="Arial" w:cs="Arial"/>
          <w:color w:val="000000"/>
        </w:rPr>
        <w:t>The authors declare that there are no conflicts of interest. The content of this research and the preparation of this report are the sole responsibility of the authors.</w:t>
      </w:r>
    </w:p>
    <w:p w14:paraId="2C7E1A55" w14:textId="77777777" w:rsidR="002F4F9C" w:rsidRPr="002F3DEB" w:rsidRDefault="002F4F9C" w:rsidP="002F3DEB">
      <w:pPr>
        <w:pStyle w:val="Heading1"/>
      </w:pPr>
      <w:bookmarkStart w:id="1" w:name="_Hlk180402183"/>
      <w:r w:rsidRPr="002F3DEB">
        <w:t>Disclaimer (Artificial intelligence)</w:t>
      </w:r>
    </w:p>
    <w:p w14:paraId="7CC508F0" w14:textId="77777777" w:rsidR="002F4F9C" w:rsidRDefault="002F4F9C" w:rsidP="002F4F9C">
      <w:pPr>
        <w:spacing w:after="200" w:line="276" w:lineRule="auto"/>
        <w:rPr>
          <w:rFonts w:ascii="Arial" w:hAnsi="Arial" w:cs="Arial"/>
        </w:rPr>
      </w:pPr>
      <w:r w:rsidRPr="00451232">
        <w:rPr>
          <w:rFonts w:ascii="Arial" w:hAnsi="Arial" w:cs="Arial"/>
        </w:rPr>
        <w:t xml:space="preserve">The Authors hereby declare that NO generative AI technologies such as Large Language Models (ChatGPT, COPILOT, etc.) and text-to-image generators have been used during the writing or editing of this manuscript. </w:t>
      </w:r>
    </w:p>
    <w:p w14:paraId="16136117" w14:textId="77777777" w:rsidR="001D05D3" w:rsidRPr="003A29C6" w:rsidRDefault="001D05D3" w:rsidP="001D05D3">
      <w:pPr>
        <w:jc w:val="both"/>
        <w:outlineLvl w:val="0"/>
        <w:rPr>
          <w:rFonts w:ascii="Arial" w:hAnsi="Arial" w:cs="Arial"/>
        </w:rPr>
      </w:pPr>
      <w:r w:rsidRPr="003A29C6">
        <w:rPr>
          <w:rFonts w:ascii="Arial" w:hAnsi="Arial" w:cs="Arial"/>
          <w:b/>
          <w:bCs/>
        </w:rPr>
        <w:lastRenderedPageBreak/>
        <w:t>COMPETING INTERESTS DISCLAIMER:</w:t>
      </w:r>
    </w:p>
    <w:p w14:paraId="0080647C" w14:textId="77777777" w:rsidR="001D05D3" w:rsidRDefault="001D05D3" w:rsidP="001D05D3">
      <w:r w:rsidRPr="00A10EDE">
        <w:t>Authors have declared that they have no known competing financial interests OR non-financial interests OR personal relationships that could have appeared to influence the work reported in this paper.</w:t>
      </w:r>
    </w:p>
    <w:p w14:paraId="5475AF46" w14:textId="77777777" w:rsidR="001D05D3" w:rsidRPr="00451232" w:rsidRDefault="001D05D3" w:rsidP="002F4F9C">
      <w:pPr>
        <w:spacing w:after="200" w:line="276" w:lineRule="auto"/>
        <w:rPr>
          <w:rFonts w:ascii="Arial" w:hAnsi="Arial" w:cs="Arial"/>
        </w:rPr>
      </w:pPr>
    </w:p>
    <w:bookmarkEnd w:id="1"/>
    <w:p w14:paraId="6126E723" w14:textId="77777777" w:rsidR="002F4F9C" w:rsidRPr="00CE4429" w:rsidRDefault="002F4F9C" w:rsidP="00CE4429">
      <w:pPr>
        <w:jc w:val="both"/>
        <w:rPr>
          <w:rFonts w:ascii="Arial" w:hAnsi="Arial" w:cs="Arial"/>
          <w:color w:val="000000"/>
        </w:rPr>
      </w:pPr>
    </w:p>
    <w:p w14:paraId="7B3386DA" w14:textId="2F156635" w:rsidR="00261AF3" w:rsidRPr="002F727C" w:rsidRDefault="00000000" w:rsidP="002F3DEB">
      <w:pPr>
        <w:pStyle w:val="Heading1"/>
      </w:pPr>
      <w:r w:rsidRPr="002F727C">
        <w:t>References</w:t>
      </w:r>
    </w:p>
    <w:p w14:paraId="02C94C97" w14:textId="177F5667" w:rsidR="00261AF3" w:rsidRPr="00BD2EFB" w:rsidRDefault="005B4ED1" w:rsidP="00BD2EFB">
      <w:pPr>
        <w:pStyle w:val="ListParagraph"/>
        <w:numPr>
          <w:ilvl w:val="0"/>
          <w:numId w:val="8"/>
        </w:numPr>
        <w:ind w:left="765"/>
        <w:jc w:val="both"/>
        <w:rPr>
          <w:rFonts w:ascii="Arial" w:hAnsi="Arial" w:cs="Arial"/>
        </w:rPr>
      </w:pPr>
      <w:bookmarkStart w:id="2" w:name="5f4d4ddb046c2541465cc79e558e78d0"/>
      <w:r w:rsidRPr="00BD2EFB">
        <w:rPr>
          <w:rFonts w:ascii="Arial" w:hAnsi="Arial" w:cs="Arial"/>
          <w:i/>
        </w:rPr>
        <w:t>Carpobrotus edulis</w:t>
      </w:r>
      <w:r w:rsidRPr="00BD2EFB">
        <w:rPr>
          <w:rFonts w:ascii="Arial" w:hAnsi="Arial" w:cs="Arial"/>
        </w:rPr>
        <w:t xml:space="preserve">. 2006 [cited 2025 May 9]. Available from: https://pza.sanbi.org/carpobrotus-edulis </w:t>
      </w:r>
      <w:bookmarkEnd w:id="2"/>
    </w:p>
    <w:p w14:paraId="7F8BE5D6" w14:textId="402C72BA" w:rsidR="00261AF3" w:rsidRPr="00BD2EFB" w:rsidRDefault="00000000" w:rsidP="00BD2EFB">
      <w:pPr>
        <w:pStyle w:val="ListParagraph"/>
        <w:numPr>
          <w:ilvl w:val="0"/>
          <w:numId w:val="8"/>
        </w:numPr>
        <w:ind w:left="765"/>
        <w:jc w:val="both"/>
        <w:rPr>
          <w:rFonts w:ascii="Arial" w:hAnsi="Arial" w:cs="Arial"/>
        </w:rPr>
      </w:pPr>
      <w:bookmarkStart w:id="3" w:name="6b7ce6dfdc070894b5fad73ffb9d4e7e"/>
      <w:r w:rsidRPr="00BD2EFB">
        <w:rPr>
          <w:rFonts w:ascii="Arial" w:hAnsi="Arial" w:cs="Arial"/>
        </w:rPr>
        <w:t xml:space="preserve">Mudimba TN, </w:t>
      </w:r>
      <w:proofErr w:type="spellStart"/>
      <w:r w:rsidRPr="00BD2EFB">
        <w:rPr>
          <w:rFonts w:ascii="Arial" w:hAnsi="Arial" w:cs="Arial"/>
        </w:rPr>
        <w:t>Nguta</w:t>
      </w:r>
      <w:proofErr w:type="spellEnd"/>
      <w:r w:rsidRPr="00BD2EFB">
        <w:rPr>
          <w:rFonts w:ascii="Arial" w:hAnsi="Arial" w:cs="Arial"/>
        </w:rPr>
        <w:t xml:space="preserve"> JM. Traditional uses, phytochemistry and pharmacological activity of </w:t>
      </w:r>
      <w:r w:rsidR="005B4ED1" w:rsidRPr="00BD2EFB">
        <w:rPr>
          <w:rFonts w:ascii="Arial" w:hAnsi="Arial" w:cs="Arial"/>
          <w:i/>
        </w:rPr>
        <w:t>Carpobrotus edulis</w:t>
      </w:r>
      <w:r w:rsidRPr="00BD2EFB">
        <w:rPr>
          <w:rFonts w:ascii="Arial" w:hAnsi="Arial" w:cs="Arial"/>
        </w:rPr>
        <w:t xml:space="preserve">: A global perspective. </w:t>
      </w:r>
      <w:r w:rsidRPr="00BD2EFB">
        <w:rPr>
          <w:rFonts w:ascii="Arial" w:hAnsi="Arial" w:cs="Arial"/>
          <w:i/>
          <w:iCs/>
        </w:rPr>
        <w:t>The Journal of Phytopharmacology</w:t>
      </w:r>
      <w:r w:rsidRPr="00BD2EFB">
        <w:rPr>
          <w:rFonts w:ascii="Arial" w:hAnsi="Arial" w:cs="Arial"/>
        </w:rPr>
        <w:t xml:space="preserve">. 2019 Jun 1 [cited 2025 Apr];8(3):111. Available from: https://doi.org/10.31254/phyto.2019.8305 </w:t>
      </w:r>
      <w:bookmarkEnd w:id="3"/>
    </w:p>
    <w:p w14:paraId="34FD50A9" w14:textId="6AF89F31" w:rsidR="00261AF3" w:rsidRPr="00BD2EFB" w:rsidRDefault="00000000" w:rsidP="00BD2EFB">
      <w:pPr>
        <w:pStyle w:val="ListParagraph"/>
        <w:numPr>
          <w:ilvl w:val="0"/>
          <w:numId w:val="8"/>
        </w:numPr>
        <w:ind w:left="765"/>
        <w:jc w:val="both"/>
        <w:rPr>
          <w:rFonts w:ascii="Arial" w:hAnsi="Arial" w:cs="Arial"/>
        </w:rPr>
      </w:pPr>
      <w:bookmarkStart w:id="4" w:name="53fca0c717deb18ac139628c1fcdd05a"/>
      <w:r w:rsidRPr="00BD2EFB">
        <w:rPr>
          <w:rFonts w:ascii="Arial" w:hAnsi="Arial" w:cs="Arial"/>
        </w:rPr>
        <w:t xml:space="preserve">Sabiu S, Balogun FO, Amoo SO. Phenolics Profiling of </w:t>
      </w:r>
      <w:r w:rsidR="005B4ED1" w:rsidRPr="00BD2EFB">
        <w:rPr>
          <w:rFonts w:ascii="Arial" w:hAnsi="Arial" w:cs="Arial"/>
          <w:i/>
        </w:rPr>
        <w:t>Carpobrotus edulis</w:t>
      </w:r>
      <w:r w:rsidRPr="00BD2EFB">
        <w:rPr>
          <w:rFonts w:ascii="Arial" w:hAnsi="Arial" w:cs="Arial"/>
        </w:rPr>
        <w:t xml:space="preserve"> (L.) N.E.Br. and Insights into Molecular Dynamics of Their Significance in Type 2 Diabetes Therapy and Its Retinopathy Complication. 2021.  </w:t>
      </w:r>
      <w:bookmarkEnd w:id="4"/>
    </w:p>
    <w:p w14:paraId="750C2EFF" w14:textId="555E446D" w:rsidR="00261AF3" w:rsidRPr="00BD2EFB" w:rsidRDefault="00000000" w:rsidP="00BD2EFB">
      <w:pPr>
        <w:pStyle w:val="ListParagraph"/>
        <w:numPr>
          <w:ilvl w:val="0"/>
          <w:numId w:val="8"/>
        </w:numPr>
        <w:ind w:left="765"/>
        <w:jc w:val="both"/>
        <w:rPr>
          <w:rFonts w:ascii="Arial" w:hAnsi="Arial" w:cs="Arial"/>
        </w:rPr>
      </w:pPr>
      <w:bookmarkStart w:id="5" w:name="38a24be4dca31cd3230279d3cfe819f5"/>
      <w:r w:rsidRPr="00BD2EFB">
        <w:rPr>
          <w:rFonts w:ascii="Arial" w:hAnsi="Arial" w:cs="Arial"/>
        </w:rPr>
        <w:t xml:space="preserve">Mudimba TN, </w:t>
      </w:r>
      <w:proofErr w:type="spellStart"/>
      <w:r w:rsidRPr="00BD2EFB">
        <w:rPr>
          <w:rFonts w:ascii="Arial" w:hAnsi="Arial" w:cs="Arial"/>
        </w:rPr>
        <w:t>Mbaria</w:t>
      </w:r>
      <w:proofErr w:type="spellEnd"/>
      <w:r w:rsidRPr="00BD2EFB">
        <w:rPr>
          <w:rFonts w:ascii="Arial" w:hAnsi="Arial" w:cs="Arial"/>
        </w:rPr>
        <w:t xml:space="preserve"> JM, </w:t>
      </w:r>
      <w:proofErr w:type="spellStart"/>
      <w:r w:rsidRPr="00BD2EFB">
        <w:rPr>
          <w:rFonts w:ascii="Arial" w:hAnsi="Arial" w:cs="Arial"/>
        </w:rPr>
        <w:t>Maitho</w:t>
      </w:r>
      <w:proofErr w:type="spellEnd"/>
      <w:r w:rsidRPr="00BD2EFB">
        <w:rPr>
          <w:rFonts w:ascii="Arial" w:hAnsi="Arial" w:cs="Arial"/>
        </w:rPr>
        <w:t xml:space="preserve"> T, Taderera T. Acute and subacute toxicity evaluation of aqueous extracts of </w:t>
      </w:r>
      <w:r w:rsidR="005B4ED1" w:rsidRPr="00BD2EFB">
        <w:rPr>
          <w:rFonts w:ascii="Arial" w:hAnsi="Arial" w:cs="Arial"/>
          <w:i/>
        </w:rPr>
        <w:t>Carpobrotus edulis</w:t>
      </w:r>
      <w:r w:rsidRPr="00BD2EFB">
        <w:rPr>
          <w:rFonts w:ascii="Arial" w:hAnsi="Arial" w:cs="Arial"/>
        </w:rPr>
        <w:t xml:space="preserve"> in Sprague Dawley rats. </w:t>
      </w:r>
      <w:r w:rsidRPr="00BD2EFB">
        <w:rPr>
          <w:rFonts w:ascii="Arial" w:hAnsi="Arial" w:cs="Arial"/>
          <w:i/>
          <w:iCs/>
        </w:rPr>
        <w:t>The Journal of Phytopharmacolog</w:t>
      </w:r>
      <w:r w:rsidR="00BD2EFB">
        <w:rPr>
          <w:rFonts w:ascii="Arial" w:hAnsi="Arial" w:cs="Arial"/>
          <w:i/>
          <w:iCs/>
        </w:rPr>
        <w:t>y.</w:t>
      </w:r>
      <w:r w:rsidRPr="00BD2EFB">
        <w:rPr>
          <w:rFonts w:ascii="Arial" w:hAnsi="Arial" w:cs="Arial"/>
        </w:rPr>
        <w:t xml:space="preserve"> 2020 Aug 12 [cited 2025 Apr];9(4):265. Available from: https://doi.org/10.31254/phyto.2020.9409 </w:t>
      </w:r>
      <w:bookmarkEnd w:id="5"/>
    </w:p>
    <w:p w14:paraId="6F73D10A" w14:textId="1C73F832" w:rsidR="00261AF3" w:rsidRPr="00BD2EFB" w:rsidRDefault="00000000" w:rsidP="00BD2EFB">
      <w:pPr>
        <w:pStyle w:val="ListParagraph"/>
        <w:numPr>
          <w:ilvl w:val="0"/>
          <w:numId w:val="8"/>
        </w:numPr>
        <w:ind w:left="765"/>
        <w:jc w:val="both"/>
        <w:rPr>
          <w:rFonts w:ascii="Arial" w:hAnsi="Arial" w:cs="Arial"/>
        </w:rPr>
      </w:pPr>
      <w:bookmarkStart w:id="6" w:name="a31d280e1cc73610cd1bfa01f1a896cf"/>
      <w:r w:rsidRPr="00BD2EFB">
        <w:rPr>
          <w:rFonts w:ascii="Arial" w:hAnsi="Arial" w:cs="Arial"/>
        </w:rPr>
        <w:t xml:space="preserve">Mulaudzi RB, Aremu AO, </w:t>
      </w:r>
      <w:proofErr w:type="spellStart"/>
      <w:r w:rsidRPr="00BD2EFB">
        <w:rPr>
          <w:rFonts w:ascii="Arial" w:hAnsi="Arial" w:cs="Arial"/>
        </w:rPr>
        <w:t>Rengasamy</w:t>
      </w:r>
      <w:proofErr w:type="spellEnd"/>
      <w:r w:rsidRPr="00BD2EFB">
        <w:rPr>
          <w:rFonts w:ascii="Arial" w:hAnsi="Arial" w:cs="Arial"/>
        </w:rPr>
        <w:t xml:space="preserve"> KRR, Adebayo SA, McGaw LJ, Amoo SO, et al. Antidiabetic, anti-inflammatory, anticholinesterase and cytotoxicity determination of two Carpobrotus species. </w:t>
      </w:r>
      <w:r w:rsidRPr="00BD2EFB">
        <w:rPr>
          <w:rFonts w:ascii="Arial" w:hAnsi="Arial" w:cs="Arial"/>
          <w:i/>
          <w:iCs/>
        </w:rPr>
        <w:t>South African Journal of Botany</w:t>
      </w:r>
      <w:r w:rsidRPr="00BD2EFB">
        <w:rPr>
          <w:rFonts w:ascii="Arial" w:hAnsi="Arial" w:cs="Arial"/>
        </w:rPr>
        <w:t xml:space="preserve">. 2019 Jul 24 [cited 2025 Apr];125:142. Available from: https://doi.org/10.1016/j.sajb.2019.07.007 </w:t>
      </w:r>
      <w:bookmarkEnd w:id="6"/>
    </w:p>
    <w:p w14:paraId="492755C2" w14:textId="28054D8A" w:rsidR="00261AF3" w:rsidRPr="00BD2EFB" w:rsidRDefault="00000000" w:rsidP="00BD2EFB">
      <w:pPr>
        <w:pStyle w:val="ListParagraph"/>
        <w:numPr>
          <w:ilvl w:val="0"/>
          <w:numId w:val="8"/>
        </w:numPr>
        <w:ind w:left="765"/>
        <w:jc w:val="both"/>
        <w:rPr>
          <w:rFonts w:ascii="Arial" w:hAnsi="Arial" w:cs="Arial"/>
        </w:rPr>
      </w:pPr>
      <w:bookmarkStart w:id="7" w:name="d73ec6c53d6bcec7882fec6ac0484899"/>
      <w:proofErr w:type="spellStart"/>
      <w:r w:rsidRPr="00BD2EFB">
        <w:rPr>
          <w:rFonts w:ascii="Arial" w:hAnsi="Arial" w:cs="Arial"/>
        </w:rPr>
        <w:t>Akinyede</w:t>
      </w:r>
      <w:proofErr w:type="spellEnd"/>
      <w:r w:rsidRPr="00BD2EFB">
        <w:rPr>
          <w:rFonts w:ascii="Arial" w:hAnsi="Arial" w:cs="Arial"/>
        </w:rPr>
        <w:t xml:space="preserve"> KA, Ekpo OE, </w:t>
      </w:r>
      <w:proofErr w:type="spellStart"/>
      <w:r w:rsidRPr="00BD2EFB">
        <w:rPr>
          <w:rFonts w:ascii="Arial" w:hAnsi="Arial" w:cs="Arial"/>
        </w:rPr>
        <w:t>Oguntibeju</w:t>
      </w:r>
      <w:proofErr w:type="spellEnd"/>
      <w:r w:rsidRPr="00BD2EFB">
        <w:rPr>
          <w:rFonts w:ascii="Arial" w:hAnsi="Arial" w:cs="Arial"/>
        </w:rPr>
        <w:t xml:space="preserve"> OO. Ethnopharmacology, Therapeutic Properties and Nutritional Potentials of </w:t>
      </w:r>
      <w:r w:rsidR="005B4ED1" w:rsidRPr="00BD2EFB">
        <w:rPr>
          <w:rFonts w:ascii="Arial" w:hAnsi="Arial" w:cs="Arial"/>
          <w:i/>
        </w:rPr>
        <w:t>Carpobrotus edulis</w:t>
      </w:r>
      <w:r w:rsidRPr="00BD2EFB">
        <w:rPr>
          <w:rFonts w:ascii="Arial" w:hAnsi="Arial" w:cs="Arial"/>
        </w:rPr>
        <w:t xml:space="preserve">: A Comprehensive </w:t>
      </w:r>
      <w:r w:rsidRPr="00BD2EFB">
        <w:rPr>
          <w:rFonts w:ascii="Arial" w:hAnsi="Arial" w:cs="Arial"/>
          <w:i/>
          <w:iCs/>
        </w:rPr>
        <w:t xml:space="preserve">Review. Scientia Pharmaceutica. </w:t>
      </w:r>
      <w:proofErr w:type="spellStart"/>
      <w:r w:rsidRPr="00BD2EFB">
        <w:rPr>
          <w:rFonts w:ascii="Arial" w:hAnsi="Arial" w:cs="Arial"/>
          <w:i/>
          <w:iCs/>
        </w:rPr>
        <w:t>Österreichische</w:t>
      </w:r>
      <w:proofErr w:type="spellEnd"/>
      <w:r w:rsidRPr="00BD2EFB">
        <w:rPr>
          <w:rFonts w:ascii="Arial" w:hAnsi="Arial" w:cs="Arial"/>
          <w:i/>
          <w:iCs/>
        </w:rPr>
        <w:t xml:space="preserve"> Apotheker-</w:t>
      </w:r>
      <w:proofErr w:type="spellStart"/>
      <w:r w:rsidRPr="00BD2EFB">
        <w:rPr>
          <w:rFonts w:ascii="Arial" w:hAnsi="Arial" w:cs="Arial"/>
          <w:i/>
          <w:iCs/>
        </w:rPr>
        <w:t>Verlagsgesellschaft</w:t>
      </w:r>
      <w:proofErr w:type="spellEnd"/>
      <w:r w:rsidRPr="00BD2EFB">
        <w:rPr>
          <w:rFonts w:ascii="Arial" w:hAnsi="Arial" w:cs="Arial"/>
          <w:i/>
          <w:iCs/>
        </w:rPr>
        <w:t xml:space="preserve"> m. b. H</w:t>
      </w:r>
      <w:r w:rsidRPr="00BD2EFB">
        <w:rPr>
          <w:rFonts w:ascii="Arial" w:hAnsi="Arial" w:cs="Arial"/>
        </w:rPr>
        <w:t xml:space="preserve">.; 2020 Sep 16 [cited 2025 Apr];88(3):39. Available from: https://doi.org/10.3390/scipharm88030039 </w:t>
      </w:r>
      <w:bookmarkEnd w:id="7"/>
    </w:p>
    <w:p w14:paraId="0511C753" w14:textId="6E7C6386" w:rsidR="00261AF3" w:rsidRPr="00BD2EFB" w:rsidRDefault="00000000" w:rsidP="00BD2EFB">
      <w:pPr>
        <w:pStyle w:val="ListParagraph"/>
        <w:numPr>
          <w:ilvl w:val="0"/>
          <w:numId w:val="8"/>
        </w:numPr>
        <w:ind w:left="765"/>
        <w:jc w:val="both"/>
        <w:rPr>
          <w:rFonts w:ascii="Arial" w:hAnsi="Arial" w:cs="Arial"/>
        </w:rPr>
      </w:pPr>
      <w:bookmarkStart w:id="8" w:name="643e5cf70494850d7232a4de9c6d0cfe"/>
      <w:r w:rsidRPr="00BD2EFB">
        <w:rPr>
          <w:rFonts w:ascii="Arial" w:hAnsi="Arial" w:cs="Arial"/>
        </w:rPr>
        <w:t xml:space="preserve">Tang CSM, Zhou J, Song Y, Liu S. Etiologies of exocrine pancreatic insufficiency. </w:t>
      </w:r>
      <w:r w:rsidRPr="00BD2EFB">
        <w:rPr>
          <w:rFonts w:ascii="Arial" w:hAnsi="Arial" w:cs="Arial"/>
          <w:i/>
          <w:iCs/>
        </w:rPr>
        <w:t>Gastroenterology report</w:t>
      </w:r>
      <w:r w:rsidRPr="00BD2EFB">
        <w:rPr>
          <w:rFonts w:ascii="Arial" w:hAnsi="Arial" w:cs="Arial"/>
        </w:rPr>
        <w:t xml:space="preserve">. 2025 Jan 1 [cited 2025 Apr];13. Available from: https://doi.org/10.1093/gastro/goaf019 </w:t>
      </w:r>
      <w:bookmarkEnd w:id="8"/>
    </w:p>
    <w:p w14:paraId="16187872" w14:textId="1C431141" w:rsidR="00261AF3" w:rsidRPr="00BD2EFB" w:rsidRDefault="00000000" w:rsidP="00BD2EFB">
      <w:pPr>
        <w:pStyle w:val="ListParagraph"/>
        <w:numPr>
          <w:ilvl w:val="0"/>
          <w:numId w:val="8"/>
        </w:numPr>
        <w:ind w:left="765"/>
        <w:jc w:val="both"/>
        <w:rPr>
          <w:rFonts w:ascii="Arial" w:hAnsi="Arial" w:cs="Arial"/>
        </w:rPr>
      </w:pPr>
      <w:bookmarkStart w:id="9" w:name="8b9e10a6f5021e844c93138e75f12926"/>
      <w:r w:rsidRPr="00BD2EFB">
        <w:rPr>
          <w:rFonts w:ascii="Arial" w:hAnsi="Arial" w:cs="Arial"/>
        </w:rPr>
        <w:t xml:space="preserve">Capurso G, Traini M, </w:t>
      </w:r>
      <w:proofErr w:type="spellStart"/>
      <w:r w:rsidRPr="00BD2EFB">
        <w:rPr>
          <w:rFonts w:ascii="Arial" w:hAnsi="Arial" w:cs="Arial"/>
        </w:rPr>
        <w:t>Piciucchi</w:t>
      </w:r>
      <w:proofErr w:type="spellEnd"/>
      <w:r w:rsidRPr="00BD2EFB">
        <w:rPr>
          <w:rFonts w:ascii="Arial" w:hAnsi="Arial" w:cs="Arial"/>
        </w:rPr>
        <w:t xml:space="preserve"> M, Signoretti M, Arcidiacono PG. Exocrine pancreatic insufficiency: prevalence, diagnosis, and management. 2019.  </w:t>
      </w:r>
      <w:bookmarkEnd w:id="9"/>
    </w:p>
    <w:p w14:paraId="43D17738" w14:textId="3502F4F4" w:rsidR="00261AF3" w:rsidRPr="00BD2EFB" w:rsidRDefault="00000000" w:rsidP="00BD2EFB">
      <w:pPr>
        <w:pStyle w:val="ListParagraph"/>
        <w:numPr>
          <w:ilvl w:val="0"/>
          <w:numId w:val="8"/>
        </w:numPr>
        <w:ind w:left="765"/>
        <w:jc w:val="both"/>
        <w:rPr>
          <w:rFonts w:ascii="Arial" w:hAnsi="Arial" w:cs="Arial"/>
        </w:rPr>
      </w:pPr>
      <w:bookmarkStart w:id="10" w:name="58e8142166c565a51818244318830753"/>
      <w:r w:rsidRPr="00BD2EFB">
        <w:rPr>
          <w:rFonts w:ascii="Arial" w:hAnsi="Arial" w:cs="Arial"/>
        </w:rPr>
        <w:t xml:space="preserve">Lindkvist B. Diagnosis and treatment of pancreatic exocrine insufficiency. </w:t>
      </w:r>
      <w:r w:rsidRPr="00BD2EFB">
        <w:rPr>
          <w:rFonts w:ascii="Arial" w:hAnsi="Arial" w:cs="Arial"/>
          <w:i/>
          <w:iCs/>
        </w:rPr>
        <w:t>World Journal of Gastroenterology</w:t>
      </w:r>
      <w:r w:rsidRPr="00BD2EFB">
        <w:rPr>
          <w:rFonts w:ascii="Arial" w:hAnsi="Arial" w:cs="Arial"/>
        </w:rPr>
        <w:t xml:space="preserve">. </w:t>
      </w:r>
      <w:proofErr w:type="spellStart"/>
      <w:r w:rsidRPr="00BD2EFB">
        <w:rPr>
          <w:rFonts w:ascii="Arial" w:hAnsi="Arial" w:cs="Arial"/>
        </w:rPr>
        <w:t>Baishideng</w:t>
      </w:r>
      <w:proofErr w:type="spellEnd"/>
      <w:r w:rsidRPr="00BD2EFB">
        <w:rPr>
          <w:rFonts w:ascii="Arial" w:hAnsi="Arial" w:cs="Arial"/>
        </w:rPr>
        <w:t xml:space="preserve"> Publishing Group; 2013 Jan 1 [cited 2025 Apr];19(42):7258. Available from: https://doi.org/10.3748/wjg.v19.i42.7258 </w:t>
      </w:r>
      <w:bookmarkEnd w:id="10"/>
    </w:p>
    <w:p w14:paraId="55D775F6" w14:textId="4D7C166C" w:rsidR="00261AF3" w:rsidRPr="00BD2EFB" w:rsidRDefault="00000000" w:rsidP="00BD2EFB">
      <w:pPr>
        <w:pStyle w:val="ListParagraph"/>
        <w:numPr>
          <w:ilvl w:val="0"/>
          <w:numId w:val="8"/>
        </w:numPr>
        <w:ind w:left="765"/>
        <w:jc w:val="both"/>
        <w:rPr>
          <w:rFonts w:ascii="Arial" w:hAnsi="Arial" w:cs="Arial"/>
        </w:rPr>
      </w:pPr>
      <w:bookmarkStart w:id="11" w:name="3a3fb76bb96582580d78be7092e5a020"/>
      <w:proofErr w:type="spellStart"/>
      <w:r w:rsidRPr="00BD2EFB">
        <w:rPr>
          <w:rFonts w:ascii="Arial" w:hAnsi="Arial" w:cs="Arial"/>
        </w:rPr>
        <w:t>Perbtani</w:t>
      </w:r>
      <w:proofErr w:type="spellEnd"/>
      <w:r w:rsidRPr="00BD2EFB">
        <w:rPr>
          <w:rFonts w:ascii="Arial" w:hAnsi="Arial" w:cs="Arial"/>
        </w:rPr>
        <w:t xml:space="preserve"> YB, Forsmark CE. Update on the diagnosis and management of exocrine pancreatic insufficiency. </w:t>
      </w:r>
      <w:r w:rsidRPr="00BD2EFB">
        <w:rPr>
          <w:rFonts w:ascii="Arial" w:hAnsi="Arial" w:cs="Arial"/>
          <w:i/>
          <w:iCs/>
        </w:rPr>
        <w:t>F1000Research</w:t>
      </w:r>
      <w:r w:rsidRPr="00BD2EFB">
        <w:rPr>
          <w:rFonts w:ascii="Arial" w:hAnsi="Arial" w:cs="Arial"/>
        </w:rPr>
        <w:t xml:space="preserve">. 2019 Nov 26 [cited 2025 Mar];8:1991. Available from: https://doi.org/10.12688/f1000research.20779.1 </w:t>
      </w:r>
      <w:bookmarkEnd w:id="11"/>
    </w:p>
    <w:p w14:paraId="45D5374F" w14:textId="2C7508A6" w:rsidR="00261AF3" w:rsidRPr="00BD2EFB" w:rsidRDefault="00000000" w:rsidP="00BD2EFB">
      <w:pPr>
        <w:pStyle w:val="ListParagraph"/>
        <w:numPr>
          <w:ilvl w:val="0"/>
          <w:numId w:val="8"/>
        </w:numPr>
        <w:ind w:left="765"/>
        <w:jc w:val="both"/>
        <w:rPr>
          <w:rFonts w:ascii="Arial" w:hAnsi="Arial" w:cs="Arial"/>
        </w:rPr>
      </w:pPr>
      <w:bookmarkStart w:id="12" w:name="4258108f16ce9ef16c63bf6f93c97bfa"/>
      <w:r w:rsidRPr="00BD2EFB">
        <w:rPr>
          <w:rFonts w:ascii="Arial" w:hAnsi="Arial" w:cs="Arial"/>
        </w:rPr>
        <w:t xml:space="preserve">Singh VK, Haupt M, Geller DE, Hall JA, Diez PMQ. Less common etiologies of exocrine pancreatic insufficiency. </w:t>
      </w:r>
      <w:r w:rsidRPr="00BD2EFB">
        <w:rPr>
          <w:rFonts w:ascii="Arial" w:hAnsi="Arial" w:cs="Arial"/>
          <w:i/>
          <w:iCs/>
        </w:rPr>
        <w:t>World Journal of Gastroenterology</w:t>
      </w:r>
      <w:r w:rsidRPr="00BD2EFB">
        <w:rPr>
          <w:rFonts w:ascii="Arial" w:hAnsi="Arial" w:cs="Arial"/>
        </w:rPr>
        <w:t xml:space="preserve">. </w:t>
      </w:r>
      <w:proofErr w:type="spellStart"/>
      <w:r w:rsidRPr="00BD2EFB">
        <w:rPr>
          <w:rFonts w:ascii="Arial" w:hAnsi="Arial" w:cs="Arial"/>
        </w:rPr>
        <w:t>Baishideng</w:t>
      </w:r>
      <w:proofErr w:type="spellEnd"/>
      <w:r w:rsidRPr="00BD2EFB">
        <w:rPr>
          <w:rFonts w:ascii="Arial" w:hAnsi="Arial" w:cs="Arial"/>
        </w:rPr>
        <w:t xml:space="preserve"> Publishing Group; 2017 Oct 21 [cited 2025 Apr];23(39):7059. Available from: https://doi.org/10.3748/wjg.v23.i39.7059 </w:t>
      </w:r>
      <w:bookmarkEnd w:id="12"/>
    </w:p>
    <w:p w14:paraId="1FB79C7B" w14:textId="20D992DC" w:rsidR="00261AF3" w:rsidRPr="00BD2EFB" w:rsidRDefault="00000000" w:rsidP="00BD2EFB">
      <w:pPr>
        <w:pStyle w:val="ListParagraph"/>
        <w:numPr>
          <w:ilvl w:val="0"/>
          <w:numId w:val="8"/>
        </w:numPr>
        <w:ind w:left="765"/>
        <w:jc w:val="both"/>
        <w:rPr>
          <w:rFonts w:ascii="Arial" w:hAnsi="Arial" w:cs="Arial"/>
        </w:rPr>
      </w:pPr>
      <w:bookmarkStart w:id="13" w:name="b6e5090a1d2cc8fc57d427da43358c22"/>
      <w:proofErr w:type="spellStart"/>
      <w:r w:rsidRPr="00BD2EFB">
        <w:rPr>
          <w:rFonts w:ascii="Arial" w:hAnsi="Arial" w:cs="Arial"/>
        </w:rPr>
        <w:t>Swentek</w:t>
      </w:r>
      <w:proofErr w:type="spellEnd"/>
      <w:r w:rsidRPr="00BD2EFB">
        <w:rPr>
          <w:rFonts w:ascii="Arial" w:hAnsi="Arial" w:cs="Arial"/>
        </w:rPr>
        <w:t xml:space="preserve"> L, Chung D, </w:t>
      </w:r>
      <w:proofErr w:type="spellStart"/>
      <w:r w:rsidRPr="00BD2EFB">
        <w:rPr>
          <w:rFonts w:ascii="Arial" w:hAnsi="Arial" w:cs="Arial"/>
        </w:rPr>
        <w:t>Ichii</w:t>
      </w:r>
      <w:proofErr w:type="spellEnd"/>
      <w:r w:rsidRPr="00BD2EFB">
        <w:rPr>
          <w:rFonts w:ascii="Arial" w:hAnsi="Arial" w:cs="Arial"/>
        </w:rPr>
        <w:t xml:space="preserve"> H. Antioxidant Therapy in Pancreatitis. </w:t>
      </w:r>
      <w:r w:rsidRPr="00BD2EFB">
        <w:rPr>
          <w:rFonts w:ascii="Arial" w:hAnsi="Arial" w:cs="Arial"/>
          <w:i/>
          <w:iCs/>
        </w:rPr>
        <w:t>Antioxidants</w:t>
      </w:r>
      <w:r w:rsidRPr="00BD2EFB">
        <w:rPr>
          <w:rFonts w:ascii="Arial" w:hAnsi="Arial" w:cs="Arial"/>
        </w:rPr>
        <w:t xml:space="preserve">. Multidisciplinary Digital Publishing Institute; 2021 Apr 23 [cited 2025 Apr];10(5):657. Available from: https://doi.org/10.3390/antiox10050657 </w:t>
      </w:r>
      <w:bookmarkEnd w:id="13"/>
    </w:p>
    <w:p w14:paraId="61FAD8CC" w14:textId="55E3D17F" w:rsidR="00261AF3" w:rsidRPr="00BD2EFB" w:rsidRDefault="00000000" w:rsidP="00BD2EFB">
      <w:pPr>
        <w:pStyle w:val="ListParagraph"/>
        <w:numPr>
          <w:ilvl w:val="0"/>
          <w:numId w:val="8"/>
        </w:numPr>
        <w:ind w:left="765"/>
        <w:jc w:val="both"/>
        <w:rPr>
          <w:rFonts w:ascii="Arial" w:hAnsi="Arial" w:cs="Arial"/>
        </w:rPr>
      </w:pPr>
      <w:bookmarkStart w:id="14" w:name="945694f7e4b7bffb49ccbb8c3bf50cf6"/>
      <w:proofErr w:type="spellStart"/>
      <w:r w:rsidRPr="00BD2EFB">
        <w:rPr>
          <w:rFonts w:ascii="Arial" w:hAnsi="Arial" w:cs="Arial"/>
        </w:rPr>
        <w:t>Gubergrits</w:t>
      </w:r>
      <w:proofErr w:type="spellEnd"/>
      <w:r w:rsidRPr="00BD2EFB">
        <w:rPr>
          <w:rFonts w:ascii="Arial" w:hAnsi="Arial" w:cs="Arial"/>
        </w:rPr>
        <w:t xml:space="preserve"> NB, </w:t>
      </w:r>
      <w:proofErr w:type="spellStart"/>
      <w:r w:rsidRPr="00BD2EFB">
        <w:rPr>
          <w:rFonts w:ascii="Arial" w:hAnsi="Arial" w:cs="Arial"/>
        </w:rPr>
        <w:t>Byelyayeva</w:t>
      </w:r>
      <w:proofErr w:type="spellEnd"/>
      <w:r w:rsidRPr="00BD2EFB">
        <w:rPr>
          <w:rFonts w:ascii="Arial" w:hAnsi="Arial" w:cs="Arial"/>
        </w:rPr>
        <w:t xml:space="preserve"> NV, </w:t>
      </w:r>
      <w:proofErr w:type="spellStart"/>
      <w:r w:rsidRPr="00BD2EFB">
        <w:rPr>
          <w:rFonts w:ascii="Arial" w:hAnsi="Arial" w:cs="Arial"/>
        </w:rPr>
        <w:t>Klochkov</w:t>
      </w:r>
      <w:proofErr w:type="spellEnd"/>
      <w:r w:rsidRPr="00BD2EFB">
        <w:rPr>
          <w:rFonts w:ascii="Arial" w:hAnsi="Arial" w:cs="Arial"/>
        </w:rPr>
        <w:t xml:space="preserve"> </w:t>
      </w:r>
      <w:proofErr w:type="spellStart"/>
      <w:r w:rsidRPr="00BD2EFB">
        <w:rPr>
          <w:rFonts w:ascii="Arial" w:hAnsi="Arial" w:cs="Arial"/>
        </w:rPr>
        <w:t>AYe</w:t>
      </w:r>
      <w:proofErr w:type="spellEnd"/>
      <w:r w:rsidRPr="00BD2EFB">
        <w:rPr>
          <w:rFonts w:ascii="Arial" w:hAnsi="Arial" w:cs="Arial"/>
        </w:rPr>
        <w:t xml:space="preserve">, </w:t>
      </w:r>
      <w:proofErr w:type="spellStart"/>
      <w:r w:rsidRPr="00BD2EFB">
        <w:rPr>
          <w:rFonts w:ascii="Arial" w:hAnsi="Arial" w:cs="Arial"/>
        </w:rPr>
        <w:t>Лукашевич</w:t>
      </w:r>
      <w:proofErr w:type="spellEnd"/>
      <w:r w:rsidRPr="00BD2EFB">
        <w:rPr>
          <w:rFonts w:ascii="Arial" w:hAnsi="Arial" w:cs="Arial"/>
        </w:rPr>
        <w:t xml:space="preserve"> ГМ, </w:t>
      </w:r>
      <w:proofErr w:type="spellStart"/>
      <w:r w:rsidRPr="00BD2EFB">
        <w:rPr>
          <w:rFonts w:ascii="Arial" w:hAnsi="Arial" w:cs="Arial"/>
        </w:rPr>
        <w:t>Rakhmetova</w:t>
      </w:r>
      <w:proofErr w:type="spellEnd"/>
      <w:r w:rsidRPr="00BD2EFB">
        <w:rPr>
          <w:rFonts w:ascii="Arial" w:hAnsi="Arial" w:cs="Arial"/>
        </w:rPr>
        <w:t xml:space="preserve"> V, </w:t>
      </w:r>
      <w:proofErr w:type="spellStart"/>
      <w:r w:rsidRPr="00BD2EFB">
        <w:rPr>
          <w:rFonts w:ascii="Arial" w:hAnsi="Arial" w:cs="Arial"/>
        </w:rPr>
        <w:t>Фоменко</w:t>
      </w:r>
      <w:proofErr w:type="spellEnd"/>
      <w:r w:rsidRPr="00BD2EFB">
        <w:rPr>
          <w:rFonts w:ascii="Arial" w:hAnsi="Arial" w:cs="Arial"/>
        </w:rPr>
        <w:t xml:space="preserve"> ПГ, et al. Intestinal microbiota and pancreatic diseases. </w:t>
      </w:r>
      <w:r w:rsidRPr="00BD2EFB">
        <w:rPr>
          <w:rFonts w:ascii="Arial" w:hAnsi="Arial" w:cs="Arial"/>
          <w:i/>
          <w:iCs/>
        </w:rPr>
        <w:t>Herald of Pancreatic Club</w:t>
      </w:r>
      <w:r w:rsidRPr="00BD2EFB">
        <w:rPr>
          <w:rFonts w:ascii="Arial" w:hAnsi="Arial" w:cs="Arial"/>
        </w:rPr>
        <w:t xml:space="preserve">. 2019 Oct 30 [cited 2025 Apr];45(4):17. Available from: https://doi.org/10.33149/vkp.2019.04.02 </w:t>
      </w:r>
      <w:bookmarkEnd w:id="14"/>
    </w:p>
    <w:p w14:paraId="6F5BFA33" w14:textId="1FE8CB3B" w:rsidR="00261AF3" w:rsidRPr="00BD2EFB" w:rsidRDefault="00000000" w:rsidP="00BD2EFB">
      <w:pPr>
        <w:pStyle w:val="ListParagraph"/>
        <w:numPr>
          <w:ilvl w:val="0"/>
          <w:numId w:val="8"/>
        </w:numPr>
        <w:ind w:left="765"/>
        <w:jc w:val="both"/>
        <w:rPr>
          <w:rFonts w:ascii="Arial" w:hAnsi="Arial" w:cs="Arial"/>
        </w:rPr>
      </w:pPr>
      <w:bookmarkStart w:id="15" w:name="fec646e022f77747d338b4a1fea58b09"/>
      <w:r w:rsidRPr="00BD2EFB">
        <w:rPr>
          <w:rFonts w:ascii="Arial" w:hAnsi="Arial" w:cs="Arial"/>
        </w:rPr>
        <w:lastRenderedPageBreak/>
        <w:t xml:space="preserve">Ritz S, Hahn D, Wami H, </w:t>
      </w:r>
      <w:proofErr w:type="spellStart"/>
      <w:r w:rsidRPr="00BD2EFB">
        <w:rPr>
          <w:rFonts w:ascii="Arial" w:hAnsi="Arial" w:cs="Arial"/>
        </w:rPr>
        <w:t>Tegelkamp</w:t>
      </w:r>
      <w:proofErr w:type="spellEnd"/>
      <w:r w:rsidRPr="00BD2EFB">
        <w:rPr>
          <w:rFonts w:ascii="Arial" w:hAnsi="Arial" w:cs="Arial"/>
        </w:rPr>
        <w:t xml:space="preserve"> K, Dobrindt U, </w:t>
      </w:r>
      <w:proofErr w:type="spellStart"/>
      <w:r w:rsidRPr="00BD2EFB">
        <w:rPr>
          <w:rFonts w:ascii="Arial" w:hAnsi="Arial" w:cs="Arial"/>
        </w:rPr>
        <w:t>Schnekenburger</w:t>
      </w:r>
      <w:proofErr w:type="spellEnd"/>
      <w:r w:rsidRPr="00BD2EFB">
        <w:rPr>
          <w:rFonts w:ascii="Arial" w:hAnsi="Arial" w:cs="Arial"/>
        </w:rPr>
        <w:t xml:space="preserve"> J. Gut microbiome as a response marker for pancreatic enzyme replacement therapy in a porcine model of exocrine pancreas insufficiency. </w:t>
      </w:r>
      <w:r w:rsidRPr="00BD2EFB">
        <w:rPr>
          <w:rFonts w:ascii="Arial" w:hAnsi="Arial" w:cs="Arial"/>
          <w:i/>
          <w:iCs/>
        </w:rPr>
        <w:t>Microbial Cell Factories.</w:t>
      </w:r>
      <w:r w:rsidRPr="00BD2EFB">
        <w:rPr>
          <w:rFonts w:ascii="Arial" w:hAnsi="Arial" w:cs="Arial"/>
        </w:rPr>
        <w:t xml:space="preserve"> 2020 Dec 1 [cited 2025 Apr];19(1). Available from: https://doi.org/10.1186/s12934-020-01482-2 </w:t>
      </w:r>
      <w:bookmarkEnd w:id="15"/>
    </w:p>
    <w:p w14:paraId="369A6C8A" w14:textId="40C964F5" w:rsidR="00261AF3" w:rsidRPr="00BD2EFB" w:rsidRDefault="00000000" w:rsidP="00BD2EFB">
      <w:pPr>
        <w:pStyle w:val="ListParagraph"/>
        <w:numPr>
          <w:ilvl w:val="0"/>
          <w:numId w:val="8"/>
        </w:numPr>
        <w:ind w:left="765"/>
        <w:jc w:val="both"/>
        <w:rPr>
          <w:rFonts w:ascii="Arial" w:hAnsi="Arial" w:cs="Arial"/>
        </w:rPr>
      </w:pPr>
      <w:bookmarkStart w:id="16" w:name="f283cd552c6ea7a715a81dc6903491b9"/>
      <w:r w:rsidRPr="00BD2EFB">
        <w:rPr>
          <w:rFonts w:ascii="Arial" w:hAnsi="Arial" w:cs="Arial"/>
        </w:rPr>
        <w:t>Halle</w:t>
      </w:r>
      <w:r w:rsidRPr="00BD2EFB">
        <w:rPr>
          <w:rFonts w:ascii="Cambria Math" w:hAnsi="Cambria Math" w:cs="Cambria Math"/>
        </w:rPr>
        <w:t>‐</w:t>
      </w:r>
      <w:r w:rsidRPr="00BD2EFB">
        <w:rPr>
          <w:rFonts w:ascii="Arial" w:hAnsi="Arial" w:cs="Arial"/>
        </w:rPr>
        <w:t>Smith J, Hall L, Powell</w:t>
      </w:r>
      <w:r w:rsidRPr="00BD2EFB">
        <w:rPr>
          <w:rFonts w:ascii="Cambria Math" w:hAnsi="Cambria Math" w:cs="Cambria Math"/>
        </w:rPr>
        <w:t>‐</w:t>
      </w:r>
      <w:r w:rsidRPr="00BD2EFB">
        <w:rPr>
          <w:rFonts w:ascii="Arial" w:hAnsi="Arial" w:cs="Arial"/>
        </w:rPr>
        <w:t>Brett S, Merali N, Frampton AE, Beggs AD, et al. Pancreatic Exocrine Insufficiency and the Gut Microbiome in Pancreatic Cancer: A Target for Future Diagnostic Tests and Therapies</w:t>
      </w:r>
      <w:r w:rsidRPr="00BD2EFB">
        <w:rPr>
          <w:rFonts w:ascii="Arial" w:hAnsi="Arial" w:cs="Arial"/>
          <w:i/>
          <w:iCs/>
        </w:rPr>
        <w:t>? Cancers. Multidisciplinary Digital Publishing Institute</w:t>
      </w:r>
      <w:r w:rsidRPr="00BD2EFB">
        <w:rPr>
          <w:rFonts w:ascii="Arial" w:hAnsi="Arial" w:cs="Arial"/>
        </w:rPr>
        <w:t xml:space="preserve">; 2023 Oct 25 [cited 2025 May];15(21):5140. Available from: https://doi.org/10.3390/cancers15215140 </w:t>
      </w:r>
      <w:bookmarkEnd w:id="16"/>
    </w:p>
    <w:p w14:paraId="5D42C744" w14:textId="0932F2A2" w:rsidR="00261AF3" w:rsidRPr="00BD2EFB" w:rsidRDefault="00000000" w:rsidP="00BD2EFB">
      <w:pPr>
        <w:pStyle w:val="ListParagraph"/>
        <w:numPr>
          <w:ilvl w:val="0"/>
          <w:numId w:val="8"/>
        </w:numPr>
        <w:ind w:left="765"/>
        <w:jc w:val="both"/>
        <w:rPr>
          <w:rFonts w:ascii="Arial" w:hAnsi="Arial" w:cs="Arial"/>
        </w:rPr>
      </w:pPr>
      <w:bookmarkStart w:id="17" w:name="0807bda57c23b9f05f2701abe18fac89"/>
      <w:proofErr w:type="spellStart"/>
      <w:r w:rsidRPr="00BD2EFB">
        <w:rPr>
          <w:rFonts w:ascii="Arial" w:hAnsi="Arial" w:cs="Arial"/>
        </w:rPr>
        <w:t>Isaji</w:t>
      </w:r>
      <w:proofErr w:type="spellEnd"/>
      <w:r w:rsidRPr="00BD2EFB">
        <w:rPr>
          <w:rFonts w:ascii="Arial" w:hAnsi="Arial" w:cs="Arial"/>
        </w:rPr>
        <w:t xml:space="preserve"> S, Mizuno S, Tabata M, </w:t>
      </w:r>
      <w:proofErr w:type="spellStart"/>
      <w:r w:rsidRPr="00BD2EFB">
        <w:rPr>
          <w:rFonts w:ascii="Arial" w:hAnsi="Arial" w:cs="Arial"/>
        </w:rPr>
        <w:t>Yamagiwa</w:t>
      </w:r>
      <w:proofErr w:type="spellEnd"/>
      <w:r w:rsidRPr="00BD2EFB">
        <w:rPr>
          <w:rFonts w:ascii="Arial" w:hAnsi="Arial" w:cs="Arial"/>
        </w:rPr>
        <w:t xml:space="preserve"> K, Yokoi H, </w:t>
      </w:r>
      <w:proofErr w:type="spellStart"/>
      <w:r w:rsidRPr="00BD2EFB">
        <w:rPr>
          <w:rFonts w:ascii="Arial" w:hAnsi="Arial" w:cs="Arial"/>
        </w:rPr>
        <w:t>Üemoto</w:t>
      </w:r>
      <w:proofErr w:type="spellEnd"/>
      <w:r w:rsidRPr="00BD2EFB">
        <w:rPr>
          <w:rFonts w:ascii="Arial" w:hAnsi="Arial" w:cs="Arial"/>
        </w:rPr>
        <w:t xml:space="preserve"> S. Bacterial analysis of infected pancreatic necrosis and its prevention (Symposium 8: </w:t>
      </w:r>
      <w:proofErr w:type="spellStart"/>
      <w:r w:rsidRPr="00BD2EFB">
        <w:rPr>
          <w:rFonts w:ascii="Arial" w:hAnsi="Arial" w:cs="Arial"/>
        </w:rPr>
        <w:t>Pancreatobiliary</w:t>
      </w:r>
      <w:proofErr w:type="spellEnd"/>
      <w:r w:rsidRPr="00BD2EFB">
        <w:rPr>
          <w:rFonts w:ascii="Arial" w:hAnsi="Arial" w:cs="Arial"/>
        </w:rPr>
        <w:t xml:space="preserve"> infection (IHPBA)). </w:t>
      </w:r>
      <w:r w:rsidRPr="00BD2EFB">
        <w:rPr>
          <w:rFonts w:ascii="Arial" w:hAnsi="Arial" w:cs="Arial"/>
          <w:i/>
          <w:iCs/>
        </w:rPr>
        <w:t xml:space="preserve">Journal of Hepato-Biliary-Pancreatic Surgery. Springer </w:t>
      </w:r>
      <w:proofErr w:type="spellStart"/>
      <w:r w:rsidRPr="00BD2EFB">
        <w:rPr>
          <w:rFonts w:ascii="Arial" w:hAnsi="Arial" w:cs="Arial"/>
          <w:i/>
          <w:iCs/>
        </w:rPr>
        <w:t>Science+Business</w:t>
      </w:r>
      <w:proofErr w:type="spellEnd"/>
      <w:r w:rsidRPr="00BD2EFB">
        <w:rPr>
          <w:rFonts w:ascii="Arial" w:hAnsi="Arial" w:cs="Arial"/>
          <w:i/>
          <w:iCs/>
        </w:rPr>
        <w:t xml:space="preserve"> Media</w:t>
      </w:r>
      <w:r w:rsidRPr="00BD2EFB">
        <w:rPr>
          <w:rFonts w:ascii="Arial" w:hAnsi="Arial" w:cs="Arial"/>
        </w:rPr>
        <w:t xml:space="preserve">; 2003 Dec 1 [cited 2025 Apr];10(6):419. Available from: https://doi.org/10.1007/s00534-002-0811-x </w:t>
      </w:r>
      <w:bookmarkEnd w:id="17"/>
    </w:p>
    <w:p w14:paraId="65E37370" w14:textId="59CE205F" w:rsidR="00261AF3" w:rsidRPr="00BD2EFB" w:rsidRDefault="00000000" w:rsidP="00BD2EFB">
      <w:pPr>
        <w:pStyle w:val="ListParagraph"/>
        <w:numPr>
          <w:ilvl w:val="0"/>
          <w:numId w:val="8"/>
        </w:numPr>
        <w:ind w:left="765"/>
        <w:rPr>
          <w:rFonts w:ascii="Arial" w:hAnsi="Arial" w:cs="Arial"/>
        </w:rPr>
      </w:pPr>
      <w:bookmarkStart w:id="18" w:name="e82fe2ceedcee9f55240e736e494c602"/>
      <w:r w:rsidRPr="00BD2EFB">
        <w:rPr>
          <w:rFonts w:ascii="Arial" w:hAnsi="Arial" w:cs="Arial"/>
        </w:rPr>
        <w:t>Smith J, Doe J. Small Intestinal Bacterial Overgrowth in Patients With</w:t>
      </w:r>
      <w:r w:rsidR="00BD2EFB">
        <w:rPr>
          <w:rFonts w:ascii="Arial" w:hAnsi="Arial" w:cs="Arial"/>
        </w:rPr>
        <w:t>…</w:t>
      </w:r>
      <w:r w:rsidRPr="00BD2EFB">
        <w:rPr>
          <w:rFonts w:ascii="Arial" w:hAnsi="Arial" w:cs="Arial"/>
        </w:rPr>
        <w:t xml:space="preserve"> . 2024 [cited 2025 May 9].</w:t>
      </w:r>
      <w:r w:rsidR="00BD2EFB">
        <w:rPr>
          <w:rFonts w:ascii="Arial" w:hAnsi="Arial" w:cs="Arial"/>
        </w:rPr>
        <w:t xml:space="preserve"> </w:t>
      </w:r>
      <w:r w:rsidRPr="00BD2EFB">
        <w:rPr>
          <w:rFonts w:ascii="Arial" w:hAnsi="Arial" w:cs="Arial"/>
        </w:rPr>
        <w:t>Available</w:t>
      </w:r>
      <w:r w:rsidR="00BD2EFB">
        <w:rPr>
          <w:rFonts w:ascii="Arial" w:hAnsi="Arial" w:cs="Arial"/>
        </w:rPr>
        <w:t xml:space="preserve"> </w:t>
      </w:r>
      <w:r w:rsidRPr="00BD2EFB">
        <w:rPr>
          <w:rFonts w:ascii="Arial" w:hAnsi="Arial" w:cs="Arial"/>
        </w:rPr>
        <w:t>from: https://journals.lww.com/jcge/fulltext/2014/11001/small_intestinal_bacterial_overgrowth_in_patients.16.aspx</w:t>
      </w:r>
      <w:bookmarkEnd w:id="18"/>
      <w:r w:rsidR="00BD2EFB">
        <w:rPr>
          <w:rFonts w:ascii="Arial" w:hAnsi="Arial" w:cs="Arial"/>
        </w:rPr>
        <w:t>.</w:t>
      </w:r>
    </w:p>
    <w:p w14:paraId="61D07391" w14:textId="53BCCEDA" w:rsidR="00261AF3" w:rsidRPr="00BD2EFB" w:rsidRDefault="00000000" w:rsidP="00BD2EFB">
      <w:pPr>
        <w:pStyle w:val="ListParagraph"/>
        <w:numPr>
          <w:ilvl w:val="0"/>
          <w:numId w:val="8"/>
        </w:numPr>
        <w:ind w:left="765"/>
        <w:jc w:val="both"/>
        <w:rPr>
          <w:rFonts w:ascii="Arial" w:hAnsi="Arial" w:cs="Arial"/>
        </w:rPr>
      </w:pPr>
      <w:bookmarkStart w:id="19" w:name="7121cc97b25c93128e0c07e102ffda97"/>
      <w:r w:rsidRPr="00BD2EFB">
        <w:rPr>
          <w:rFonts w:ascii="Arial" w:hAnsi="Arial" w:cs="Arial"/>
        </w:rPr>
        <w:t xml:space="preserve">Valente R, Coppola A, </w:t>
      </w:r>
      <w:proofErr w:type="spellStart"/>
      <w:r w:rsidRPr="00BD2EFB">
        <w:rPr>
          <w:rFonts w:ascii="Arial" w:hAnsi="Arial" w:cs="Arial"/>
        </w:rPr>
        <w:t>Scandavini</w:t>
      </w:r>
      <w:proofErr w:type="spellEnd"/>
      <w:r w:rsidRPr="00BD2EFB">
        <w:rPr>
          <w:rFonts w:ascii="Arial" w:hAnsi="Arial" w:cs="Arial"/>
        </w:rPr>
        <w:t xml:space="preserve"> CM, Halimi A, Magnusson A, Lauro A, et al. Interactions between the Exocrine and the Endocrine Pancreas. </w:t>
      </w:r>
      <w:r w:rsidRPr="00BD2EFB">
        <w:rPr>
          <w:rFonts w:ascii="Arial" w:hAnsi="Arial" w:cs="Arial"/>
          <w:i/>
          <w:iCs/>
        </w:rPr>
        <w:t>Journal of Clinical Medicine</w:t>
      </w:r>
      <w:r w:rsidRPr="00BD2EFB">
        <w:rPr>
          <w:rFonts w:ascii="Arial" w:hAnsi="Arial" w:cs="Arial"/>
        </w:rPr>
        <w:t xml:space="preserve">. 2024 Feb 19 [cited 2025 Apr];13(4):1179. Available from: https://doi.org/10.3390/jcm13041179 </w:t>
      </w:r>
      <w:bookmarkEnd w:id="19"/>
    </w:p>
    <w:p w14:paraId="14EE6063" w14:textId="21FB8DAA" w:rsidR="00261AF3" w:rsidRPr="00BD2EFB" w:rsidRDefault="00000000" w:rsidP="00BD2EFB">
      <w:pPr>
        <w:pStyle w:val="ListParagraph"/>
        <w:numPr>
          <w:ilvl w:val="0"/>
          <w:numId w:val="8"/>
        </w:numPr>
        <w:ind w:left="765"/>
        <w:jc w:val="both"/>
        <w:rPr>
          <w:rFonts w:ascii="Arial" w:hAnsi="Arial" w:cs="Arial"/>
        </w:rPr>
      </w:pPr>
      <w:bookmarkStart w:id="20" w:name="8edd07e47a5e51acfca296db7516fc97"/>
      <w:r w:rsidRPr="00BD2EFB">
        <w:rPr>
          <w:rFonts w:ascii="Arial" w:hAnsi="Arial" w:cs="Arial"/>
        </w:rPr>
        <w:t xml:space="preserve">Rogers LK. Cellular targets of oxidative stress. </w:t>
      </w:r>
      <w:r w:rsidRPr="00BD2EFB">
        <w:rPr>
          <w:rFonts w:ascii="Arial" w:hAnsi="Arial" w:cs="Arial"/>
          <w:i/>
          <w:iCs/>
        </w:rPr>
        <w:t>Current Opinion in Toxicology</w:t>
      </w:r>
      <w:r w:rsidRPr="00BD2EFB">
        <w:rPr>
          <w:rFonts w:ascii="Arial" w:hAnsi="Arial" w:cs="Arial"/>
        </w:rPr>
        <w:t>. 2020 Apr 1 [cited 2025 Feb];48. Available from: https://doi.org/10.1016/j.cotox.2020.05.002</w:t>
      </w:r>
      <w:bookmarkEnd w:id="20"/>
      <w:r w:rsidR="00BD2EFB">
        <w:rPr>
          <w:rFonts w:ascii="Arial" w:hAnsi="Arial" w:cs="Arial"/>
        </w:rPr>
        <w:t>.</w:t>
      </w:r>
    </w:p>
    <w:p w14:paraId="17F48039" w14:textId="4A767DD6" w:rsidR="00261AF3" w:rsidRPr="00BD2EFB" w:rsidRDefault="00000000" w:rsidP="00BD2EFB">
      <w:pPr>
        <w:pStyle w:val="ListParagraph"/>
        <w:numPr>
          <w:ilvl w:val="0"/>
          <w:numId w:val="8"/>
        </w:numPr>
        <w:ind w:left="765"/>
        <w:jc w:val="both"/>
        <w:rPr>
          <w:rFonts w:ascii="Arial" w:hAnsi="Arial" w:cs="Arial"/>
        </w:rPr>
      </w:pPr>
      <w:bookmarkStart w:id="21" w:name="aed863f2615521988e5d262139db0018"/>
      <w:r w:rsidRPr="00BD2EFB">
        <w:rPr>
          <w:rFonts w:ascii="Arial" w:hAnsi="Arial" w:cs="Arial"/>
        </w:rPr>
        <w:t xml:space="preserve">Bhardwaj P, Yadav R. Chronic pancreatitis: role of oxidative stress and antioxidants. </w:t>
      </w:r>
      <w:r w:rsidRPr="00BD2EFB">
        <w:rPr>
          <w:rFonts w:ascii="Arial" w:hAnsi="Arial" w:cs="Arial"/>
          <w:i/>
          <w:iCs/>
        </w:rPr>
        <w:t>Free Radical Research.</w:t>
      </w:r>
      <w:r w:rsidRPr="00BD2EFB">
        <w:rPr>
          <w:rFonts w:ascii="Arial" w:hAnsi="Arial" w:cs="Arial"/>
        </w:rPr>
        <w:t xml:space="preserve"> Taylor &amp; Francis; 2013 May 14 [cited 2025 Apr];47(11):941. Available from: https://doi.org/10.3109/10715762.2013.804624 </w:t>
      </w:r>
      <w:bookmarkEnd w:id="21"/>
    </w:p>
    <w:p w14:paraId="19E7BE69" w14:textId="3EC654BB" w:rsidR="00261AF3" w:rsidRPr="00BD2EFB" w:rsidRDefault="00000000" w:rsidP="00BD2EFB">
      <w:pPr>
        <w:pStyle w:val="ListParagraph"/>
        <w:numPr>
          <w:ilvl w:val="0"/>
          <w:numId w:val="8"/>
        </w:numPr>
        <w:ind w:left="765"/>
        <w:jc w:val="both"/>
        <w:rPr>
          <w:rFonts w:ascii="Arial" w:hAnsi="Arial" w:cs="Arial"/>
        </w:rPr>
      </w:pPr>
      <w:bookmarkStart w:id="22" w:name="08f6e7d1c69a2bbf9d5a59f61485e376"/>
      <w:r w:rsidRPr="00BD2EFB">
        <w:rPr>
          <w:rFonts w:ascii="Arial" w:hAnsi="Arial" w:cs="Arial"/>
        </w:rPr>
        <w:t xml:space="preserve">Patel MB, Fine D. Fibrogenesis in the Pancreas after Acinar Cell Injury. </w:t>
      </w:r>
      <w:r w:rsidRPr="00BD2EFB">
        <w:rPr>
          <w:rFonts w:ascii="Arial" w:hAnsi="Arial" w:cs="Arial"/>
          <w:i/>
          <w:iCs/>
        </w:rPr>
        <w:t>Scandinavian Journal of Surgery. SAGE Publishing;</w:t>
      </w:r>
      <w:r w:rsidRPr="00BD2EFB">
        <w:rPr>
          <w:rFonts w:ascii="Arial" w:hAnsi="Arial" w:cs="Arial"/>
        </w:rPr>
        <w:t xml:space="preserve"> 2005 Jun 1 [cited 2025 Apr];94(2):108. Available from: https://doi.org/10.1177/145749690509400205 </w:t>
      </w:r>
      <w:bookmarkEnd w:id="22"/>
    </w:p>
    <w:p w14:paraId="6A80825B" w14:textId="70EC2876" w:rsidR="00261AF3" w:rsidRPr="00BD2EFB" w:rsidRDefault="00000000" w:rsidP="00BD2EFB">
      <w:pPr>
        <w:pStyle w:val="ListParagraph"/>
        <w:numPr>
          <w:ilvl w:val="0"/>
          <w:numId w:val="8"/>
        </w:numPr>
        <w:ind w:left="765"/>
        <w:jc w:val="both"/>
        <w:rPr>
          <w:rFonts w:ascii="Arial" w:hAnsi="Arial" w:cs="Arial"/>
        </w:rPr>
      </w:pPr>
      <w:bookmarkStart w:id="23" w:name="0eba8692fdfa4a9b68bb3589286858a0"/>
      <w:proofErr w:type="spellStart"/>
      <w:r w:rsidRPr="00BD2EFB">
        <w:rPr>
          <w:rFonts w:ascii="Arial" w:hAnsi="Arial" w:cs="Arial"/>
        </w:rPr>
        <w:t>Bašković</w:t>
      </w:r>
      <w:proofErr w:type="spellEnd"/>
      <w:r w:rsidRPr="00BD2EFB">
        <w:rPr>
          <w:rFonts w:ascii="Arial" w:hAnsi="Arial" w:cs="Arial"/>
        </w:rPr>
        <w:t xml:space="preserve"> M, Krsnik D, </w:t>
      </w:r>
      <w:proofErr w:type="spellStart"/>
      <w:r w:rsidRPr="00BD2EFB">
        <w:rPr>
          <w:rFonts w:ascii="Arial" w:hAnsi="Arial" w:cs="Arial"/>
        </w:rPr>
        <w:t>Himelreich-Perić</w:t>
      </w:r>
      <w:proofErr w:type="spellEnd"/>
      <w:r w:rsidRPr="00BD2EFB">
        <w:rPr>
          <w:rFonts w:ascii="Arial" w:hAnsi="Arial" w:cs="Arial"/>
        </w:rPr>
        <w:t xml:space="preserve"> M, </w:t>
      </w:r>
      <w:proofErr w:type="spellStart"/>
      <w:r w:rsidRPr="00BD2EFB">
        <w:rPr>
          <w:rFonts w:ascii="Arial" w:hAnsi="Arial" w:cs="Arial"/>
        </w:rPr>
        <w:t>Bojanac</w:t>
      </w:r>
      <w:proofErr w:type="spellEnd"/>
      <w:r w:rsidRPr="00BD2EFB">
        <w:rPr>
          <w:rFonts w:ascii="Arial" w:hAnsi="Arial" w:cs="Arial"/>
        </w:rPr>
        <w:t xml:space="preserve"> AK, </w:t>
      </w:r>
      <w:proofErr w:type="spellStart"/>
      <w:r w:rsidRPr="00BD2EFB">
        <w:rPr>
          <w:rFonts w:ascii="Arial" w:hAnsi="Arial" w:cs="Arial"/>
        </w:rPr>
        <w:t>Sinčić</w:t>
      </w:r>
      <w:proofErr w:type="spellEnd"/>
      <w:r w:rsidRPr="00BD2EFB">
        <w:rPr>
          <w:rFonts w:ascii="Arial" w:hAnsi="Arial" w:cs="Arial"/>
        </w:rPr>
        <w:t xml:space="preserve"> N, </w:t>
      </w:r>
      <w:proofErr w:type="spellStart"/>
      <w:r w:rsidRPr="00BD2EFB">
        <w:rPr>
          <w:rFonts w:ascii="Arial" w:hAnsi="Arial" w:cs="Arial"/>
        </w:rPr>
        <w:t>Sonicki</w:t>
      </w:r>
      <w:proofErr w:type="spellEnd"/>
      <w:r w:rsidRPr="00BD2EFB">
        <w:rPr>
          <w:rFonts w:ascii="Arial" w:hAnsi="Arial" w:cs="Arial"/>
        </w:rPr>
        <w:t xml:space="preserve"> Z, et al. Astaxanthin Relieves Testicular Ischemia-Reperfusion Injury—Immunohistochemical and Biochemical Analyses. </w:t>
      </w:r>
      <w:r w:rsidRPr="00BD2EFB">
        <w:rPr>
          <w:rFonts w:ascii="Arial" w:hAnsi="Arial" w:cs="Arial"/>
          <w:i/>
          <w:iCs/>
        </w:rPr>
        <w:t>Journal of Clinical Medicine</w:t>
      </w:r>
      <w:r w:rsidRPr="00BD2EFB">
        <w:rPr>
          <w:rFonts w:ascii="Arial" w:hAnsi="Arial" w:cs="Arial"/>
        </w:rPr>
        <w:t>. 2022 Feb 26 [cited 2025 May];11(5):1284. Available from: https://doi.org/10.3390/jcm11051284</w:t>
      </w:r>
      <w:bookmarkEnd w:id="23"/>
      <w:r w:rsidR="00BD2EFB">
        <w:rPr>
          <w:rFonts w:ascii="Arial" w:hAnsi="Arial" w:cs="Arial"/>
        </w:rPr>
        <w:t>.</w:t>
      </w:r>
    </w:p>
    <w:p w14:paraId="5F15D072" w14:textId="2ED93845" w:rsidR="00261AF3" w:rsidRPr="00BD2EFB" w:rsidRDefault="00000000" w:rsidP="00BD2EFB">
      <w:pPr>
        <w:pStyle w:val="ListParagraph"/>
        <w:numPr>
          <w:ilvl w:val="0"/>
          <w:numId w:val="8"/>
        </w:numPr>
        <w:ind w:left="765"/>
        <w:jc w:val="both"/>
        <w:rPr>
          <w:rFonts w:ascii="Arial" w:hAnsi="Arial" w:cs="Arial"/>
        </w:rPr>
      </w:pPr>
      <w:bookmarkStart w:id="24" w:name="2e726ed0d2219705a2a45371cf825f49"/>
      <w:r w:rsidRPr="00BD2EFB">
        <w:rPr>
          <w:rFonts w:ascii="Arial" w:hAnsi="Arial" w:cs="Arial"/>
        </w:rPr>
        <w:t xml:space="preserve">Robles L, Vaziri ND, </w:t>
      </w:r>
      <w:proofErr w:type="spellStart"/>
      <w:r w:rsidRPr="00BD2EFB">
        <w:rPr>
          <w:rFonts w:ascii="Arial" w:hAnsi="Arial" w:cs="Arial"/>
        </w:rPr>
        <w:t>Ichii</w:t>
      </w:r>
      <w:proofErr w:type="spellEnd"/>
      <w:r w:rsidRPr="00BD2EFB">
        <w:rPr>
          <w:rFonts w:ascii="Arial" w:hAnsi="Arial" w:cs="Arial"/>
        </w:rPr>
        <w:t xml:space="preserve"> H. Role of Oxidative Stress in the Pathogenesis of Pancreatitis: Effect of Antioxidant Therapy. </w:t>
      </w:r>
      <w:r w:rsidRPr="00BD2EFB">
        <w:rPr>
          <w:rFonts w:ascii="Arial" w:hAnsi="Arial" w:cs="Arial"/>
          <w:i/>
          <w:iCs/>
        </w:rPr>
        <w:t>Pancreatic Disorders and Therapy</w:t>
      </w:r>
      <w:r w:rsidRPr="00BD2EFB">
        <w:rPr>
          <w:rFonts w:ascii="Arial" w:hAnsi="Arial" w:cs="Arial"/>
        </w:rPr>
        <w:t xml:space="preserve">. 2013 Jan 1 [cited 2025 Apr];3(1). Available from: https://doi.org/10.4172/2165-7092.1000112 </w:t>
      </w:r>
      <w:bookmarkEnd w:id="24"/>
    </w:p>
    <w:p w14:paraId="62EA9B20" w14:textId="5E507D37" w:rsidR="00261AF3" w:rsidRPr="00BD2EFB" w:rsidRDefault="00000000" w:rsidP="00BD2EFB">
      <w:pPr>
        <w:pStyle w:val="ListParagraph"/>
        <w:numPr>
          <w:ilvl w:val="0"/>
          <w:numId w:val="8"/>
        </w:numPr>
        <w:ind w:left="765"/>
        <w:jc w:val="both"/>
        <w:rPr>
          <w:rFonts w:ascii="Arial" w:hAnsi="Arial" w:cs="Arial"/>
        </w:rPr>
      </w:pPr>
      <w:bookmarkStart w:id="25" w:name="c7d510b17d326d59957c121f5681452f"/>
      <w:proofErr w:type="spellStart"/>
      <w:r w:rsidRPr="00BD2EFB">
        <w:rPr>
          <w:rFonts w:ascii="Arial" w:hAnsi="Arial" w:cs="Arial"/>
        </w:rPr>
        <w:t>Pădureanu</w:t>
      </w:r>
      <w:proofErr w:type="spellEnd"/>
      <w:r w:rsidRPr="00BD2EFB">
        <w:rPr>
          <w:rFonts w:ascii="Arial" w:hAnsi="Arial" w:cs="Arial"/>
        </w:rPr>
        <w:t xml:space="preserve"> V, Florescu DN, </w:t>
      </w:r>
      <w:proofErr w:type="spellStart"/>
      <w:r w:rsidRPr="00BD2EFB">
        <w:rPr>
          <w:rFonts w:ascii="Arial" w:hAnsi="Arial" w:cs="Arial"/>
        </w:rPr>
        <w:t>Pădureanu</w:t>
      </w:r>
      <w:proofErr w:type="spellEnd"/>
      <w:r w:rsidRPr="00BD2EFB">
        <w:rPr>
          <w:rFonts w:ascii="Arial" w:hAnsi="Arial" w:cs="Arial"/>
        </w:rPr>
        <w:t xml:space="preserve"> R, Ghenea AE, </w:t>
      </w:r>
      <w:proofErr w:type="spellStart"/>
      <w:r w:rsidRPr="00BD2EFB">
        <w:rPr>
          <w:rFonts w:ascii="Arial" w:hAnsi="Arial" w:cs="Arial"/>
        </w:rPr>
        <w:t>Gheonea</w:t>
      </w:r>
      <w:proofErr w:type="spellEnd"/>
      <w:r w:rsidRPr="00BD2EFB">
        <w:rPr>
          <w:rFonts w:ascii="Arial" w:hAnsi="Arial" w:cs="Arial"/>
        </w:rPr>
        <w:t xml:space="preserve"> DI, Oancea CN. Role of antioxidants and oxidative stress in the evolution of acute pancreatitis (Review). </w:t>
      </w:r>
      <w:r w:rsidRPr="00BD2EFB">
        <w:rPr>
          <w:rFonts w:ascii="Arial" w:hAnsi="Arial" w:cs="Arial"/>
          <w:i/>
          <w:iCs/>
        </w:rPr>
        <w:t xml:space="preserve">Experimental and Therapeutic Medicine. </w:t>
      </w:r>
      <w:proofErr w:type="spellStart"/>
      <w:r w:rsidRPr="00BD2EFB">
        <w:rPr>
          <w:rFonts w:ascii="Arial" w:hAnsi="Arial" w:cs="Arial"/>
          <w:i/>
          <w:iCs/>
        </w:rPr>
        <w:t>Spandidos</w:t>
      </w:r>
      <w:proofErr w:type="spellEnd"/>
      <w:r w:rsidRPr="00BD2EFB">
        <w:rPr>
          <w:rFonts w:ascii="Arial" w:hAnsi="Arial" w:cs="Arial"/>
          <w:i/>
          <w:iCs/>
        </w:rPr>
        <w:t xml:space="preserve"> Publishing</w:t>
      </w:r>
      <w:r w:rsidRPr="00BD2EFB">
        <w:rPr>
          <w:rFonts w:ascii="Arial" w:hAnsi="Arial" w:cs="Arial"/>
        </w:rPr>
        <w:t xml:space="preserve">; 2022 Jan 5 [cited 2025 May];23(3). Available from: https://doi.org/10.3892/etm.2022.11120 </w:t>
      </w:r>
      <w:bookmarkEnd w:id="25"/>
    </w:p>
    <w:p w14:paraId="5D4E022D" w14:textId="4D6C4880" w:rsidR="00261AF3" w:rsidRPr="00BD2EFB" w:rsidRDefault="00000000" w:rsidP="00BD2EFB">
      <w:pPr>
        <w:pStyle w:val="ListParagraph"/>
        <w:numPr>
          <w:ilvl w:val="0"/>
          <w:numId w:val="8"/>
        </w:numPr>
        <w:ind w:left="765"/>
        <w:jc w:val="both"/>
        <w:rPr>
          <w:rFonts w:ascii="Arial" w:hAnsi="Arial" w:cs="Arial"/>
        </w:rPr>
      </w:pPr>
      <w:bookmarkStart w:id="26" w:name="a8dee824510325daf850f8ca564586f0"/>
      <w:r w:rsidRPr="00BD2EFB">
        <w:rPr>
          <w:rFonts w:ascii="Arial" w:hAnsi="Arial" w:cs="Arial"/>
        </w:rPr>
        <w:t>Park KS, Lim JW, Kim H. Inhibitory Mechanism of Omega</w:t>
      </w:r>
      <w:r w:rsidRPr="00BD2EFB">
        <w:rPr>
          <w:rFonts w:ascii="Cambria Math" w:hAnsi="Cambria Math" w:cs="Cambria Math"/>
        </w:rPr>
        <w:t>‐</w:t>
      </w:r>
      <w:r w:rsidRPr="00BD2EFB">
        <w:rPr>
          <w:rFonts w:ascii="Arial" w:hAnsi="Arial" w:cs="Arial"/>
        </w:rPr>
        <w:t xml:space="preserve">3 Fatty Acids in Pancreatic Inflammation and Apoptosis. </w:t>
      </w:r>
      <w:r w:rsidRPr="00BD2EFB">
        <w:rPr>
          <w:rFonts w:ascii="Arial" w:hAnsi="Arial" w:cs="Arial"/>
          <w:i/>
          <w:iCs/>
        </w:rPr>
        <w:t>Annals of the New York Academy of Sciences</w:t>
      </w:r>
      <w:r w:rsidR="00BD2EFB">
        <w:rPr>
          <w:rFonts w:ascii="Arial" w:hAnsi="Arial" w:cs="Arial"/>
        </w:rPr>
        <w:t>.</w:t>
      </w:r>
      <w:r w:rsidRPr="00BD2EFB">
        <w:rPr>
          <w:rFonts w:ascii="Arial" w:hAnsi="Arial" w:cs="Arial"/>
        </w:rPr>
        <w:t xml:space="preserve"> 2009 Aug 1 [cited 2025 Feb];1171(1):421. Available from: https://doi.org/10.1111/j.1749-6632.2009.04887.x </w:t>
      </w:r>
      <w:bookmarkEnd w:id="26"/>
    </w:p>
    <w:p w14:paraId="14B6533D" w14:textId="7EE1CA33" w:rsidR="00261AF3" w:rsidRPr="00BD2EFB" w:rsidRDefault="00000000" w:rsidP="00BD2EFB">
      <w:pPr>
        <w:pStyle w:val="ListParagraph"/>
        <w:numPr>
          <w:ilvl w:val="0"/>
          <w:numId w:val="8"/>
        </w:numPr>
        <w:ind w:left="765"/>
        <w:jc w:val="both"/>
        <w:rPr>
          <w:rFonts w:ascii="Arial" w:hAnsi="Arial" w:cs="Arial"/>
        </w:rPr>
      </w:pPr>
      <w:bookmarkStart w:id="27" w:name="cf7916ea87edd49b45d8c77d229e2b77"/>
      <w:r w:rsidRPr="00BD2EFB">
        <w:rPr>
          <w:rFonts w:ascii="Arial" w:hAnsi="Arial" w:cs="Arial"/>
        </w:rPr>
        <w:t xml:space="preserve">Bikle DD. Vitamin D Insufficiency/Deficiency in Gastrointestinal Disorders. Journal of Bone and Mineral Research . Oxford University Press; 2007 Dec 1 [cited 2025 Feb];22. Available from: https://doi.org/10.1359/jbmr.07s208 </w:t>
      </w:r>
      <w:bookmarkEnd w:id="27"/>
    </w:p>
    <w:p w14:paraId="31A40B4D" w14:textId="4E262E8A" w:rsidR="00261AF3" w:rsidRPr="00BD2EFB" w:rsidRDefault="00000000" w:rsidP="00BD2EFB">
      <w:pPr>
        <w:pStyle w:val="ListParagraph"/>
        <w:numPr>
          <w:ilvl w:val="0"/>
          <w:numId w:val="8"/>
        </w:numPr>
        <w:ind w:left="765"/>
        <w:jc w:val="both"/>
        <w:rPr>
          <w:rFonts w:ascii="Arial" w:hAnsi="Arial" w:cs="Arial"/>
        </w:rPr>
      </w:pPr>
      <w:bookmarkStart w:id="28" w:name="85be994bd204022052d1c7559c7e4f56"/>
      <w:r w:rsidRPr="00BD2EFB">
        <w:rPr>
          <w:rFonts w:ascii="Arial" w:hAnsi="Arial" w:cs="Arial"/>
        </w:rPr>
        <w:t xml:space="preserve">Olesen SS. Chronic pancreatitis and exocrine pancreatic insufficiency. 2019 [cited 2025 Apr 30]. Available from: https://medicinejournal.co.uk/retrieve/pii/S1357303919301070 </w:t>
      </w:r>
      <w:bookmarkEnd w:id="28"/>
    </w:p>
    <w:p w14:paraId="7D524F07" w14:textId="1F780AD7" w:rsidR="00261AF3" w:rsidRPr="00BD2EFB" w:rsidRDefault="00000000" w:rsidP="00BD2EFB">
      <w:pPr>
        <w:pStyle w:val="ListParagraph"/>
        <w:numPr>
          <w:ilvl w:val="0"/>
          <w:numId w:val="8"/>
        </w:numPr>
        <w:ind w:left="765"/>
        <w:jc w:val="both"/>
        <w:rPr>
          <w:rFonts w:ascii="Arial" w:hAnsi="Arial" w:cs="Arial"/>
        </w:rPr>
      </w:pPr>
      <w:bookmarkStart w:id="29" w:name="e3ca879b08683bf16ed90ac24d38a680"/>
      <w:proofErr w:type="spellStart"/>
      <w:r w:rsidRPr="00BD2EFB">
        <w:rPr>
          <w:rFonts w:ascii="Arial" w:hAnsi="Arial" w:cs="Arial"/>
        </w:rPr>
        <w:t>Foitzik</w:t>
      </w:r>
      <w:proofErr w:type="spellEnd"/>
      <w:r w:rsidRPr="00BD2EFB">
        <w:rPr>
          <w:rFonts w:ascii="Arial" w:hAnsi="Arial" w:cs="Arial"/>
        </w:rPr>
        <w:t xml:space="preserve"> T, Eibl G, Schneider P, Wenger FA, Jacobi CA, Buhr HJ. -3 Fatty Acid Supplementation Increases Anti-Inflammatory Cytokines and Attenuates Systemic Disease Sequelae in Experimental Pancreatitis. 2002.  </w:t>
      </w:r>
      <w:bookmarkEnd w:id="29"/>
    </w:p>
    <w:p w14:paraId="59AEB960" w14:textId="29D44E62" w:rsidR="00261AF3" w:rsidRPr="00BD2EFB" w:rsidRDefault="00000000" w:rsidP="00BD2EFB">
      <w:pPr>
        <w:pStyle w:val="ListParagraph"/>
        <w:numPr>
          <w:ilvl w:val="0"/>
          <w:numId w:val="8"/>
        </w:numPr>
        <w:ind w:left="765"/>
        <w:jc w:val="both"/>
        <w:rPr>
          <w:rFonts w:ascii="Arial" w:hAnsi="Arial" w:cs="Arial"/>
        </w:rPr>
      </w:pPr>
      <w:bookmarkStart w:id="30" w:name="3670ddb58ef0ad6a5806fba30f88dbc7"/>
      <w:r w:rsidRPr="00BD2EFB">
        <w:rPr>
          <w:rFonts w:ascii="Arial" w:hAnsi="Arial" w:cs="Arial"/>
        </w:rPr>
        <w:lastRenderedPageBreak/>
        <w:t>Jiang W, Li X, Zhang Y, Zhou W. Natural Compounds for the Treatment of Acute Pancreatitis: Novel Anti-Inflammatory Therapies. Biomolecules</w:t>
      </w:r>
      <w:r w:rsidRPr="00BD2EFB">
        <w:rPr>
          <w:rFonts w:ascii="Arial" w:hAnsi="Arial" w:cs="Arial"/>
          <w:i/>
          <w:iCs/>
        </w:rPr>
        <w:t>. Multidisciplinary Digital Publishing Institute</w:t>
      </w:r>
      <w:r w:rsidRPr="00BD2EFB">
        <w:rPr>
          <w:rFonts w:ascii="Arial" w:hAnsi="Arial" w:cs="Arial"/>
        </w:rPr>
        <w:t xml:space="preserve">; 2024 Sep 2 [cited 2025 Feb];14(9):1101. Available from: https://doi.org/10.3390/biom14091101 </w:t>
      </w:r>
      <w:bookmarkEnd w:id="30"/>
    </w:p>
    <w:p w14:paraId="1F0A7F34" w14:textId="50CFCECE" w:rsidR="00261AF3" w:rsidRPr="00BD2EFB" w:rsidRDefault="00000000" w:rsidP="00BD2EFB">
      <w:pPr>
        <w:pStyle w:val="ListParagraph"/>
        <w:numPr>
          <w:ilvl w:val="0"/>
          <w:numId w:val="8"/>
        </w:numPr>
        <w:ind w:left="765"/>
        <w:jc w:val="both"/>
        <w:rPr>
          <w:rFonts w:ascii="Arial" w:hAnsi="Arial" w:cs="Arial"/>
        </w:rPr>
      </w:pPr>
      <w:bookmarkStart w:id="31" w:name="478c248fe30b0cb8fcde76cc6893fd43"/>
      <w:r w:rsidRPr="00BD2EFB">
        <w:rPr>
          <w:rFonts w:ascii="Arial" w:hAnsi="Arial" w:cs="Arial"/>
        </w:rPr>
        <w:t xml:space="preserve">Yehia RS, Ali AM. Biosynthesis and characterization of iron nanoparticles produced by Thymus vulgaris L. and their antimicrobial activity. </w:t>
      </w:r>
      <w:r w:rsidRPr="00BD2EFB">
        <w:rPr>
          <w:rFonts w:ascii="Arial" w:hAnsi="Arial" w:cs="Arial"/>
          <w:i/>
          <w:iCs/>
        </w:rPr>
        <w:t xml:space="preserve">Acta Botanica </w:t>
      </w:r>
      <w:proofErr w:type="spellStart"/>
      <w:r w:rsidRPr="00BD2EFB">
        <w:rPr>
          <w:rFonts w:ascii="Arial" w:hAnsi="Arial" w:cs="Arial"/>
          <w:i/>
          <w:iCs/>
        </w:rPr>
        <w:t>Croatica</w:t>
      </w:r>
      <w:proofErr w:type="spellEnd"/>
      <w:r w:rsidRPr="00BD2EFB">
        <w:rPr>
          <w:rFonts w:ascii="Arial" w:hAnsi="Arial" w:cs="Arial"/>
        </w:rPr>
        <w:t xml:space="preserve">. 2020 Jul 13 [cited 2025 Apr];79(2):114. Available from: https://doi.org/10.37427/botcro-2020-032 </w:t>
      </w:r>
      <w:bookmarkEnd w:id="31"/>
    </w:p>
    <w:p w14:paraId="70BEB3DF" w14:textId="4F3DA06F" w:rsidR="00261AF3" w:rsidRPr="00BD2EFB" w:rsidRDefault="00000000" w:rsidP="00BD2EFB">
      <w:pPr>
        <w:pStyle w:val="ListParagraph"/>
        <w:numPr>
          <w:ilvl w:val="0"/>
          <w:numId w:val="8"/>
        </w:numPr>
        <w:ind w:left="765"/>
        <w:jc w:val="both"/>
        <w:rPr>
          <w:rFonts w:ascii="Arial" w:hAnsi="Arial" w:cs="Arial"/>
        </w:rPr>
      </w:pPr>
      <w:bookmarkStart w:id="32" w:name="9bab0014f2164b59f8d56aedb072cf0f"/>
      <w:r w:rsidRPr="00BD2EFB">
        <w:rPr>
          <w:rFonts w:ascii="Arial" w:hAnsi="Arial" w:cs="Arial"/>
        </w:rPr>
        <w:t xml:space="preserve">Mudimba TN, </w:t>
      </w:r>
      <w:proofErr w:type="spellStart"/>
      <w:r w:rsidRPr="00BD2EFB">
        <w:rPr>
          <w:rFonts w:ascii="Arial" w:hAnsi="Arial" w:cs="Arial"/>
        </w:rPr>
        <w:t>Maitho</w:t>
      </w:r>
      <w:proofErr w:type="spellEnd"/>
      <w:r w:rsidRPr="00BD2EFB">
        <w:rPr>
          <w:rFonts w:ascii="Arial" w:hAnsi="Arial" w:cs="Arial"/>
        </w:rPr>
        <w:t xml:space="preserve"> T, </w:t>
      </w:r>
      <w:proofErr w:type="spellStart"/>
      <w:r w:rsidRPr="00BD2EFB">
        <w:rPr>
          <w:rFonts w:ascii="Arial" w:hAnsi="Arial" w:cs="Arial"/>
        </w:rPr>
        <w:t>Mbaria</w:t>
      </w:r>
      <w:proofErr w:type="spellEnd"/>
      <w:r w:rsidRPr="00BD2EFB">
        <w:rPr>
          <w:rFonts w:ascii="Arial" w:hAnsi="Arial" w:cs="Arial"/>
        </w:rPr>
        <w:t xml:space="preserve"> JM, Taderera T. </w:t>
      </w:r>
      <w:proofErr w:type="spellStart"/>
      <w:r w:rsidRPr="00BD2EFB">
        <w:rPr>
          <w:rFonts w:ascii="Arial" w:hAnsi="Arial" w:cs="Arial"/>
        </w:rPr>
        <w:t>Hematotoxicity</w:t>
      </w:r>
      <w:proofErr w:type="spellEnd"/>
      <w:r w:rsidRPr="00BD2EFB">
        <w:rPr>
          <w:rFonts w:ascii="Arial" w:hAnsi="Arial" w:cs="Arial"/>
        </w:rPr>
        <w:t xml:space="preserve"> assessment of phytochemicals from aqueous leaf extracts of </w:t>
      </w:r>
      <w:r w:rsidR="005B4ED1" w:rsidRPr="00BD2EFB">
        <w:rPr>
          <w:rFonts w:ascii="Arial" w:hAnsi="Arial" w:cs="Arial"/>
          <w:i/>
        </w:rPr>
        <w:t>Carpobrotus edulis</w:t>
      </w:r>
      <w:r w:rsidRPr="00BD2EFB">
        <w:rPr>
          <w:rFonts w:ascii="Arial" w:hAnsi="Arial" w:cs="Arial"/>
        </w:rPr>
        <w:t xml:space="preserve">. </w:t>
      </w:r>
      <w:r w:rsidRPr="00BD2EFB">
        <w:rPr>
          <w:rFonts w:ascii="Arial" w:hAnsi="Arial" w:cs="Arial"/>
          <w:i/>
          <w:iCs/>
        </w:rPr>
        <w:t>The Journal of Phytopharmacology</w:t>
      </w:r>
      <w:r w:rsidRPr="00BD2EFB">
        <w:rPr>
          <w:rFonts w:ascii="Arial" w:hAnsi="Arial" w:cs="Arial"/>
        </w:rPr>
        <w:t xml:space="preserve">. 2019 Aug 30 [cited 2025 Apr];8(4):173. Available from: https://doi.org/10.31254/phyto.2019.8405 </w:t>
      </w:r>
      <w:bookmarkEnd w:id="32"/>
    </w:p>
    <w:p w14:paraId="5F0764E0" w14:textId="3C156D09" w:rsidR="00261AF3" w:rsidRPr="00BD2EFB" w:rsidRDefault="00000000" w:rsidP="00BD2EFB">
      <w:pPr>
        <w:pStyle w:val="ListParagraph"/>
        <w:numPr>
          <w:ilvl w:val="0"/>
          <w:numId w:val="8"/>
        </w:numPr>
        <w:ind w:left="765"/>
        <w:jc w:val="both"/>
        <w:rPr>
          <w:rFonts w:ascii="Arial" w:hAnsi="Arial" w:cs="Arial"/>
        </w:rPr>
      </w:pPr>
      <w:bookmarkStart w:id="33" w:name="16157d3833c9e1fd37d0f726e4e4fcd8"/>
      <w:r w:rsidRPr="00BD2EFB">
        <w:rPr>
          <w:rFonts w:ascii="Arial" w:hAnsi="Arial" w:cs="Arial"/>
        </w:rPr>
        <w:t xml:space="preserve">Gwaze LN, Chipato WE, Zengeni S, Chifamba J. Bioactivity and Safety of </w:t>
      </w:r>
      <w:proofErr w:type="spellStart"/>
      <w:r w:rsidRPr="00BD2EFB">
        <w:rPr>
          <w:rFonts w:ascii="Arial" w:hAnsi="Arial" w:cs="Arial"/>
        </w:rPr>
        <w:t>Lyophilised</w:t>
      </w:r>
      <w:proofErr w:type="spellEnd"/>
      <w:r w:rsidRPr="00BD2EFB">
        <w:rPr>
          <w:rFonts w:ascii="Arial" w:hAnsi="Arial" w:cs="Arial"/>
        </w:rPr>
        <w:t xml:space="preserve"> Carrisa edulis. </w:t>
      </w:r>
      <w:r w:rsidRPr="00BD2EFB">
        <w:rPr>
          <w:rFonts w:ascii="Arial" w:hAnsi="Arial" w:cs="Arial"/>
          <w:i/>
          <w:iCs/>
        </w:rPr>
        <w:t>Journal of Materials Science Research and Reviews</w:t>
      </w:r>
      <w:r w:rsidR="00BD2EFB" w:rsidRPr="00BD2EFB">
        <w:rPr>
          <w:rFonts w:ascii="Arial" w:hAnsi="Arial" w:cs="Arial"/>
          <w:i/>
          <w:iCs/>
        </w:rPr>
        <w:t>.</w:t>
      </w:r>
      <w:r w:rsidRPr="00BD2EFB">
        <w:rPr>
          <w:rFonts w:ascii="Arial" w:hAnsi="Arial" w:cs="Arial"/>
        </w:rPr>
        <w:t xml:space="preserve"> 2025 Jan 31 [cited 2025 Mar];8(1):94. Available from: https://doi.org/10.9734/jmsrr/2025/v8i1382 </w:t>
      </w:r>
      <w:bookmarkEnd w:id="33"/>
    </w:p>
    <w:p w14:paraId="39B5D0BF" w14:textId="1D04C764" w:rsidR="00261AF3" w:rsidRPr="00BD2EFB" w:rsidRDefault="00000000" w:rsidP="00BD2EFB">
      <w:pPr>
        <w:pStyle w:val="ListParagraph"/>
        <w:numPr>
          <w:ilvl w:val="0"/>
          <w:numId w:val="8"/>
        </w:numPr>
        <w:ind w:left="765"/>
        <w:jc w:val="both"/>
        <w:rPr>
          <w:rFonts w:ascii="Arial" w:hAnsi="Arial" w:cs="Arial"/>
        </w:rPr>
      </w:pPr>
      <w:bookmarkStart w:id="34" w:name="d5c2466646bce2022c8e3f4056d0084f"/>
      <w:r w:rsidRPr="00BD2EFB">
        <w:rPr>
          <w:rFonts w:ascii="Arial" w:hAnsi="Arial" w:cs="Arial"/>
        </w:rPr>
        <w:t xml:space="preserve">Zengeni S, Chifamba J. Cannabis </w:t>
      </w:r>
      <w:proofErr w:type="gramStart"/>
      <w:r w:rsidRPr="00BD2EFB">
        <w:rPr>
          <w:rFonts w:ascii="Arial" w:hAnsi="Arial" w:cs="Arial"/>
        </w:rPr>
        <w:t>sativa</w:t>
      </w:r>
      <w:proofErr w:type="gramEnd"/>
      <w:r w:rsidRPr="00BD2EFB">
        <w:rPr>
          <w:rFonts w:ascii="Arial" w:hAnsi="Arial" w:cs="Arial"/>
        </w:rPr>
        <w:t xml:space="preserve">-Mediated Synthesis of Copper-Doped Zinc Oxide Nanoparticles (Cu2O-ZnONPs), </w:t>
      </w:r>
      <w:proofErr w:type="spellStart"/>
      <w:r w:rsidRPr="00BD2EFB">
        <w:rPr>
          <w:rFonts w:ascii="Arial" w:hAnsi="Arial" w:cs="Arial"/>
        </w:rPr>
        <w:t>Characterisation</w:t>
      </w:r>
      <w:proofErr w:type="spellEnd"/>
      <w:r w:rsidRPr="00BD2EFB">
        <w:rPr>
          <w:rFonts w:ascii="Arial" w:hAnsi="Arial" w:cs="Arial"/>
        </w:rPr>
        <w:t xml:space="preserve"> and Biomedical Activity Assessment. </w:t>
      </w:r>
      <w:r w:rsidRPr="00BD2EFB">
        <w:rPr>
          <w:rFonts w:ascii="Arial" w:hAnsi="Arial" w:cs="Arial"/>
          <w:i/>
          <w:iCs/>
        </w:rPr>
        <w:t>Journal of Materials Science Research and Reviews</w:t>
      </w:r>
      <w:r w:rsidRPr="00BD2EFB">
        <w:rPr>
          <w:rFonts w:ascii="Arial" w:hAnsi="Arial" w:cs="Arial"/>
        </w:rPr>
        <w:t xml:space="preserve">. 2024 Oct 9 [cited 2025 Apr];7(4):623. Available from: https://doi.org/10.9734/jmsrr/2024/v7i4355 </w:t>
      </w:r>
      <w:bookmarkEnd w:id="34"/>
    </w:p>
    <w:p w14:paraId="0F161465" w14:textId="5B6207FD" w:rsidR="00261AF3" w:rsidRPr="00BD2EFB" w:rsidRDefault="00000000" w:rsidP="00BD2EFB">
      <w:pPr>
        <w:pStyle w:val="ListParagraph"/>
        <w:numPr>
          <w:ilvl w:val="0"/>
          <w:numId w:val="8"/>
        </w:numPr>
        <w:ind w:left="765"/>
        <w:jc w:val="both"/>
        <w:rPr>
          <w:rFonts w:ascii="Arial" w:hAnsi="Arial" w:cs="Arial"/>
        </w:rPr>
      </w:pPr>
      <w:bookmarkStart w:id="35" w:name="7a539ac1efdad75488aacbfca9d6f9fd"/>
      <w:r w:rsidRPr="00BD2EFB">
        <w:rPr>
          <w:rFonts w:ascii="Arial" w:hAnsi="Arial" w:cs="Arial"/>
        </w:rPr>
        <w:t xml:space="preserve">Report 17. 2025 [cited 2025 May 7]. Available from: https://www.scribd.com/document/442235775/244261869-Report-17-Biochem-Cholesterol </w:t>
      </w:r>
      <w:bookmarkEnd w:id="35"/>
    </w:p>
    <w:p w14:paraId="5D191479" w14:textId="17A88803" w:rsidR="00261AF3" w:rsidRPr="00BD2EFB" w:rsidRDefault="00000000" w:rsidP="00BD2EFB">
      <w:pPr>
        <w:pStyle w:val="ListParagraph"/>
        <w:numPr>
          <w:ilvl w:val="0"/>
          <w:numId w:val="8"/>
        </w:numPr>
        <w:ind w:left="765"/>
        <w:jc w:val="both"/>
        <w:rPr>
          <w:rFonts w:ascii="Arial" w:hAnsi="Arial" w:cs="Arial"/>
        </w:rPr>
      </w:pPr>
      <w:bookmarkStart w:id="36" w:name="4c57850881afa4e90555f6c333226247"/>
      <w:r w:rsidRPr="00BD2EFB">
        <w:rPr>
          <w:rFonts w:ascii="Arial" w:hAnsi="Arial" w:cs="Arial"/>
        </w:rPr>
        <w:t xml:space="preserve">Chipato WE, Chifamba J. Eco-friendly Biosynthesis of Silver Nanoparticles Using Elephantorrhiza elephantina: Characterization and Antimicrobial Activity against Mycobacterium tuberculosis Surrogate Models. </w:t>
      </w:r>
      <w:r w:rsidRPr="00CD30C7">
        <w:rPr>
          <w:rFonts w:ascii="Arial" w:hAnsi="Arial" w:cs="Arial"/>
          <w:i/>
          <w:iCs/>
        </w:rPr>
        <w:t>International Journal of Biochemistry Research &amp; Review</w:t>
      </w:r>
      <w:r w:rsidR="00CD30C7">
        <w:rPr>
          <w:rFonts w:ascii="Arial" w:hAnsi="Arial" w:cs="Arial"/>
        </w:rPr>
        <w:t>.</w:t>
      </w:r>
      <w:r w:rsidRPr="00BD2EFB">
        <w:rPr>
          <w:rFonts w:ascii="Arial" w:hAnsi="Arial" w:cs="Arial"/>
        </w:rPr>
        <w:t xml:space="preserve"> 2024 Oct 7 [cited 2025 Mar];33(6):290. Available from: https://doi.org/10.9734/ijbcrr/2024/v33i6912 </w:t>
      </w:r>
      <w:bookmarkEnd w:id="36"/>
    </w:p>
    <w:p w14:paraId="26333F20" w14:textId="3776A4E5" w:rsidR="00261AF3" w:rsidRPr="00BD2EFB" w:rsidRDefault="00000000" w:rsidP="00BD2EFB">
      <w:pPr>
        <w:pStyle w:val="ListParagraph"/>
        <w:numPr>
          <w:ilvl w:val="0"/>
          <w:numId w:val="8"/>
        </w:numPr>
        <w:ind w:left="765"/>
        <w:jc w:val="both"/>
        <w:rPr>
          <w:rFonts w:ascii="Arial" w:hAnsi="Arial" w:cs="Arial"/>
        </w:rPr>
      </w:pPr>
      <w:bookmarkStart w:id="37" w:name="80ab07f963222ed2a00a33921c7138d8"/>
      <w:r w:rsidRPr="00BD2EFB">
        <w:rPr>
          <w:rFonts w:ascii="Arial" w:hAnsi="Arial" w:cs="Arial"/>
        </w:rPr>
        <w:t xml:space="preserve">Ramzi Dr. Recent </w:t>
      </w:r>
      <w:proofErr w:type="spellStart"/>
      <w:r w:rsidRPr="00BD2EFB">
        <w:rPr>
          <w:rFonts w:ascii="Arial" w:hAnsi="Arial" w:cs="Arial"/>
        </w:rPr>
        <w:t>Approches</w:t>
      </w:r>
      <w:proofErr w:type="spellEnd"/>
      <w:r w:rsidRPr="00BD2EFB">
        <w:rPr>
          <w:rFonts w:ascii="Arial" w:hAnsi="Arial" w:cs="Arial"/>
        </w:rPr>
        <w:t xml:space="preserve"> in medicinal Plants Analyses. [cited 2025 May 8]. Available from: https://faculty.ksu.edu.sa/sites/default/files/phg220_glycosides2_lecture_5_0.pdf </w:t>
      </w:r>
      <w:bookmarkEnd w:id="37"/>
    </w:p>
    <w:p w14:paraId="170967F3" w14:textId="5DA0BBCF" w:rsidR="00261AF3" w:rsidRPr="00BD2EFB" w:rsidRDefault="00000000" w:rsidP="00BD2EFB">
      <w:pPr>
        <w:pStyle w:val="ListParagraph"/>
        <w:numPr>
          <w:ilvl w:val="0"/>
          <w:numId w:val="8"/>
        </w:numPr>
        <w:ind w:left="765"/>
        <w:jc w:val="both"/>
        <w:rPr>
          <w:rFonts w:ascii="Arial" w:hAnsi="Arial" w:cs="Arial"/>
        </w:rPr>
      </w:pPr>
      <w:bookmarkStart w:id="38" w:name="84eeb59ec734e0aedeab6908bd06b043"/>
      <w:proofErr w:type="spellStart"/>
      <w:r w:rsidRPr="00BD2EFB">
        <w:rPr>
          <w:rFonts w:ascii="Arial" w:hAnsi="Arial" w:cs="Arial"/>
        </w:rPr>
        <w:t>Gonelimali</w:t>
      </w:r>
      <w:proofErr w:type="spellEnd"/>
      <w:r w:rsidRPr="00BD2EFB">
        <w:rPr>
          <w:rFonts w:ascii="Arial" w:hAnsi="Arial" w:cs="Arial"/>
        </w:rPr>
        <w:t xml:space="preserve"> F, Lin J, Miao W, Xuan J, Charles F, Chen M, et al. Antimicrobial Properties and Mechanism of Action of Some Plant Extracts Against Food Pathogens and Spoilage Microorganisms. </w:t>
      </w:r>
      <w:r w:rsidRPr="00CD30C7">
        <w:rPr>
          <w:rFonts w:ascii="Arial" w:hAnsi="Arial" w:cs="Arial"/>
          <w:i/>
          <w:iCs/>
        </w:rPr>
        <w:t>Frontiers in Microbiology.</w:t>
      </w:r>
      <w:r w:rsidRPr="00BD2EFB">
        <w:rPr>
          <w:rFonts w:ascii="Arial" w:hAnsi="Arial" w:cs="Arial"/>
        </w:rPr>
        <w:t xml:space="preserve"> 2018 Jul 24 [cited 2025 Apr];9. Available from: https://doi.org/10.3389/fmicb.2018.01639 </w:t>
      </w:r>
      <w:bookmarkEnd w:id="38"/>
    </w:p>
    <w:p w14:paraId="5EE58707" w14:textId="456E0F1B" w:rsidR="00261AF3" w:rsidRPr="00BD2EFB" w:rsidRDefault="00000000" w:rsidP="00BD2EFB">
      <w:pPr>
        <w:pStyle w:val="ListParagraph"/>
        <w:numPr>
          <w:ilvl w:val="0"/>
          <w:numId w:val="8"/>
        </w:numPr>
        <w:ind w:left="765"/>
        <w:jc w:val="both"/>
        <w:rPr>
          <w:rFonts w:ascii="Arial" w:hAnsi="Arial" w:cs="Arial"/>
        </w:rPr>
      </w:pPr>
      <w:bookmarkStart w:id="39" w:name="718026e4ea4f884f868c88800e98e529"/>
      <w:r w:rsidRPr="00BD2EFB">
        <w:rPr>
          <w:rFonts w:ascii="Arial" w:hAnsi="Arial" w:cs="Arial"/>
        </w:rPr>
        <w:t xml:space="preserve">Yaqoob S, Waheed F, Ali Q, Malik A. Phytochemical Activities of </w:t>
      </w:r>
      <w:proofErr w:type="spellStart"/>
      <w:r w:rsidRPr="00BD2EFB">
        <w:rPr>
          <w:rFonts w:ascii="Arial" w:hAnsi="Arial" w:cs="Arial"/>
        </w:rPr>
        <w:t>Artemissia</w:t>
      </w:r>
      <w:proofErr w:type="spellEnd"/>
      <w:r w:rsidRPr="00BD2EFB">
        <w:rPr>
          <w:rFonts w:ascii="Arial" w:hAnsi="Arial" w:cs="Arial"/>
        </w:rPr>
        <w:t xml:space="preserve"> vulgaris and Acacia nilotica Plant Extracts. </w:t>
      </w:r>
      <w:r w:rsidRPr="00CD30C7">
        <w:rPr>
          <w:rFonts w:ascii="Arial" w:hAnsi="Arial" w:cs="Arial"/>
          <w:i/>
          <w:iCs/>
        </w:rPr>
        <w:t>Journal of Pharmaceutical Research International</w:t>
      </w:r>
      <w:r w:rsidRPr="00BD2EFB">
        <w:rPr>
          <w:rFonts w:ascii="Arial" w:hAnsi="Arial" w:cs="Arial"/>
        </w:rPr>
        <w:t xml:space="preserve">. 2021 Feb 5 [cited 2025 Mar];66. Available from: https://doi.org/10.9734/jpri/2020/v32i4631103 </w:t>
      </w:r>
      <w:bookmarkEnd w:id="39"/>
    </w:p>
    <w:p w14:paraId="267A08C3" w14:textId="7A51CD23" w:rsidR="00261AF3" w:rsidRPr="00BD2EFB" w:rsidRDefault="00000000" w:rsidP="00BD2EFB">
      <w:pPr>
        <w:pStyle w:val="ListParagraph"/>
        <w:numPr>
          <w:ilvl w:val="0"/>
          <w:numId w:val="8"/>
        </w:numPr>
        <w:ind w:left="765"/>
        <w:jc w:val="both"/>
        <w:rPr>
          <w:rFonts w:ascii="Arial" w:hAnsi="Arial" w:cs="Arial"/>
        </w:rPr>
      </w:pPr>
      <w:bookmarkStart w:id="40" w:name="d5f0284449732ad8585b082239644490"/>
      <w:r w:rsidRPr="00BD2EFB">
        <w:rPr>
          <w:rFonts w:ascii="Arial" w:hAnsi="Arial" w:cs="Arial"/>
        </w:rPr>
        <w:t xml:space="preserve">Omoruyi BE, Bradley G, Afolayan AJ. Antioxidant and phytochemical properties of </w:t>
      </w:r>
      <w:r w:rsidR="005B4ED1" w:rsidRPr="00BD2EFB">
        <w:rPr>
          <w:rFonts w:ascii="Arial" w:hAnsi="Arial" w:cs="Arial"/>
          <w:i/>
        </w:rPr>
        <w:t>Carpobrotus edulis</w:t>
      </w:r>
      <w:r w:rsidRPr="00BD2EFB">
        <w:rPr>
          <w:rFonts w:ascii="Arial" w:hAnsi="Arial" w:cs="Arial"/>
        </w:rPr>
        <w:t xml:space="preserve"> (L.) bolus leaf used for the management of common infections in HIV/AIDS patients in Eastern Cape Province. </w:t>
      </w:r>
      <w:r w:rsidRPr="00CD30C7">
        <w:rPr>
          <w:rFonts w:ascii="Arial" w:hAnsi="Arial" w:cs="Arial"/>
          <w:i/>
          <w:iCs/>
        </w:rPr>
        <w:t>BMC Complementary and Alternative Medicine</w:t>
      </w:r>
      <w:r w:rsidRPr="00BD2EFB">
        <w:rPr>
          <w:rFonts w:ascii="Arial" w:hAnsi="Arial" w:cs="Arial"/>
        </w:rPr>
        <w:t xml:space="preserve">. 2012 Nov 9 [cited 2025 Mar];12(1). Available from: https://doi.org/10.1186/1472-6882-12-215 </w:t>
      </w:r>
      <w:bookmarkEnd w:id="40"/>
    </w:p>
    <w:p w14:paraId="32AEE5ED" w14:textId="2F37A8DC" w:rsidR="00261AF3" w:rsidRPr="00BD2EFB" w:rsidRDefault="00000000" w:rsidP="00BD2EFB">
      <w:pPr>
        <w:pStyle w:val="ListParagraph"/>
        <w:numPr>
          <w:ilvl w:val="0"/>
          <w:numId w:val="8"/>
        </w:numPr>
        <w:ind w:left="765"/>
        <w:jc w:val="both"/>
        <w:rPr>
          <w:rFonts w:ascii="Arial" w:hAnsi="Arial" w:cs="Arial"/>
        </w:rPr>
      </w:pPr>
      <w:bookmarkStart w:id="41" w:name="cde51eadea3f697ca26f432978068565"/>
      <w:proofErr w:type="spellStart"/>
      <w:r w:rsidRPr="00BD2EFB">
        <w:rPr>
          <w:rFonts w:ascii="Arial" w:hAnsi="Arial" w:cs="Arial"/>
        </w:rPr>
        <w:t>Nguemfo</w:t>
      </w:r>
      <w:proofErr w:type="spellEnd"/>
      <w:r w:rsidRPr="00BD2EFB">
        <w:rPr>
          <w:rFonts w:ascii="Arial" w:hAnsi="Arial" w:cs="Arial"/>
        </w:rPr>
        <w:t xml:space="preserve"> EL, Mbock AJ, </w:t>
      </w:r>
      <w:proofErr w:type="spellStart"/>
      <w:r w:rsidRPr="00BD2EFB">
        <w:rPr>
          <w:rFonts w:ascii="Arial" w:hAnsi="Arial" w:cs="Arial"/>
        </w:rPr>
        <w:t>Bogning</w:t>
      </w:r>
      <w:proofErr w:type="spellEnd"/>
      <w:r w:rsidRPr="00BD2EFB">
        <w:rPr>
          <w:rFonts w:ascii="Arial" w:hAnsi="Arial" w:cs="Arial"/>
        </w:rPr>
        <w:t xml:space="preserve"> CZ, Fongang ALM, Kedi PBE, Dongmo AB. Acute and sub-acute toxicity assessment of aqueous leaves extract of </w:t>
      </w:r>
      <w:proofErr w:type="spellStart"/>
      <w:r w:rsidRPr="00BD2EFB">
        <w:rPr>
          <w:rFonts w:ascii="Arial" w:hAnsi="Arial" w:cs="Arial"/>
        </w:rPr>
        <w:t>Crassocephalum</w:t>
      </w:r>
      <w:proofErr w:type="spellEnd"/>
      <w:r w:rsidRPr="00BD2EFB">
        <w:rPr>
          <w:rFonts w:ascii="Arial" w:hAnsi="Arial" w:cs="Arial"/>
        </w:rPr>
        <w:t xml:space="preserve"> </w:t>
      </w:r>
      <w:proofErr w:type="spellStart"/>
      <w:r w:rsidRPr="00BD2EFB">
        <w:rPr>
          <w:rFonts w:ascii="Arial" w:hAnsi="Arial" w:cs="Arial"/>
        </w:rPr>
        <w:t>crepidioides</w:t>
      </w:r>
      <w:proofErr w:type="spellEnd"/>
      <w:r w:rsidRPr="00BD2EFB">
        <w:rPr>
          <w:rFonts w:ascii="Arial" w:hAnsi="Arial" w:cs="Arial"/>
        </w:rPr>
        <w:t xml:space="preserve"> (Asteraceae) in Wistar rats. </w:t>
      </w:r>
      <w:r w:rsidRPr="00CD30C7">
        <w:rPr>
          <w:rFonts w:ascii="Arial" w:hAnsi="Arial" w:cs="Arial"/>
          <w:i/>
          <w:iCs/>
        </w:rPr>
        <w:t>Journal of Complementary and Integrative Medicine</w:t>
      </w:r>
      <w:r w:rsidRPr="00BD2EFB">
        <w:rPr>
          <w:rFonts w:ascii="Arial" w:hAnsi="Arial" w:cs="Arial"/>
        </w:rPr>
        <w:t xml:space="preserve">. 2020 Dec 29 [cited 2025 May];18(2):295. Available from: https://doi.org/10.1515/jcim-2020-0018 </w:t>
      </w:r>
      <w:bookmarkEnd w:id="41"/>
    </w:p>
    <w:p w14:paraId="7AB77AB4" w14:textId="0555BE31" w:rsidR="00261AF3" w:rsidRPr="00BD2EFB" w:rsidRDefault="00000000" w:rsidP="00BD2EFB">
      <w:pPr>
        <w:pStyle w:val="ListParagraph"/>
        <w:numPr>
          <w:ilvl w:val="0"/>
          <w:numId w:val="8"/>
        </w:numPr>
        <w:ind w:left="765"/>
        <w:jc w:val="both"/>
        <w:rPr>
          <w:rFonts w:ascii="Arial" w:hAnsi="Arial" w:cs="Arial"/>
        </w:rPr>
      </w:pPr>
      <w:bookmarkStart w:id="42" w:name="a0fb1eb1cd426dc287511545c9347fb3"/>
      <w:r w:rsidRPr="00BD2EFB">
        <w:rPr>
          <w:rFonts w:ascii="Arial" w:hAnsi="Arial" w:cs="Arial"/>
        </w:rPr>
        <w:t xml:space="preserve">Test No. 407: Repeated Dose 28-day Oral Toxicity Study in Rodents. OECD guidelines for the testing of chemicals. Section 4: Health effects. Organization for Economic Cooperation and Development; 2008 [cited 2025 Apr]. Available from: https://doi.org/10.1787/9789264070684-en </w:t>
      </w:r>
      <w:bookmarkEnd w:id="42"/>
    </w:p>
    <w:p w14:paraId="6BEB41C6" w14:textId="2A464638" w:rsidR="00261AF3" w:rsidRPr="00BD2EFB" w:rsidRDefault="00000000" w:rsidP="00BD2EFB">
      <w:pPr>
        <w:pStyle w:val="ListParagraph"/>
        <w:numPr>
          <w:ilvl w:val="0"/>
          <w:numId w:val="8"/>
        </w:numPr>
        <w:ind w:left="765"/>
        <w:jc w:val="both"/>
        <w:rPr>
          <w:rFonts w:ascii="Arial" w:hAnsi="Arial" w:cs="Arial"/>
        </w:rPr>
      </w:pPr>
      <w:bookmarkStart w:id="43" w:name="bf7f4f4d63068aaf9f62cd197c2a5a4a"/>
      <w:r w:rsidRPr="00BD2EFB">
        <w:rPr>
          <w:rFonts w:ascii="Arial" w:hAnsi="Arial" w:cs="Arial"/>
        </w:rPr>
        <w:t xml:space="preserve">Jenkins JR. Rodent Diagnostic Testing. </w:t>
      </w:r>
      <w:r w:rsidRPr="00CD30C7">
        <w:rPr>
          <w:rFonts w:ascii="Arial" w:hAnsi="Arial" w:cs="Arial"/>
          <w:i/>
          <w:iCs/>
        </w:rPr>
        <w:t>Journal of Exotic Pet Medicine</w:t>
      </w:r>
      <w:r w:rsidRPr="00BD2EFB">
        <w:rPr>
          <w:rFonts w:ascii="Arial" w:hAnsi="Arial" w:cs="Arial"/>
        </w:rPr>
        <w:t xml:space="preserve">. 2008 Jan 1 [cited 2025 Apr];17(1):16. Available </w:t>
      </w:r>
      <w:proofErr w:type="gramStart"/>
      <w:r w:rsidRPr="00BD2EFB">
        <w:rPr>
          <w:rFonts w:ascii="Arial" w:hAnsi="Arial" w:cs="Arial"/>
        </w:rPr>
        <w:t>from</w:t>
      </w:r>
      <w:proofErr w:type="gramEnd"/>
      <w:r w:rsidRPr="00BD2EFB">
        <w:rPr>
          <w:rFonts w:ascii="Arial" w:hAnsi="Arial" w:cs="Arial"/>
        </w:rPr>
        <w:t xml:space="preserve">: https://doi.org/10.1053/j.jepm.2007.12.004 </w:t>
      </w:r>
      <w:bookmarkEnd w:id="43"/>
    </w:p>
    <w:p w14:paraId="3B4748D5" w14:textId="650089CA" w:rsidR="00261AF3" w:rsidRPr="00BD2EFB" w:rsidRDefault="00000000" w:rsidP="00BD2EFB">
      <w:pPr>
        <w:pStyle w:val="ListParagraph"/>
        <w:numPr>
          <w:ilvl w:val="0"/>
          <w:numId w:val="8"/>
        </w:numPr>
        <w:ind w:left="765"/>
        <w:jc w:val="both"/>
        <w:rPr>
          <w:rFonts w:ascii="Arial" w:hAnsi="Arial" w:cs="Arial"/>
        </w:rPr>
      </w:pPr>
      <w:bookmarkStart w:id="44" w:name="f3db3fd0449dfe59664264467054ef58"/>
      <w:r w:rsidRPr="00BD2EFB">
        <w:rPr>
          <w:rFonts w:ascii="Arial" w:hAnsi="Arial" w:cs="Arial"/>
        </w:rPr>
        <w:t xml:space="preserve">Ou Y, Kuan Y, Li J, </w:t>
      </w:r>
      <w:proofErr w:type="spellStart"/>
      <w:r w:rsidRPr="00BD2EFB">
        <w:rPr>
          <w:rFonts w:ascii="Arial" w:hAnsi="Arial" w:cs="Arial"/>
        </w:rPr>
        <w:t>Raung</w:t>
      </w:r>
      <w:proofErr w:type="spellEnd"/>
      <w:r w:rsidRPr="00BD2EFB">
        <w:rPr>
          <w:rFonts w:ascii="Arial" w:hAnsi="Arial" w:cs="Arial"/>
        </w:rPr>
        <w:t xml:space="preserve"> S, Wang CC, Hung YY, et al. Induction of Apoptosis by Luteolin Involving Akt Inactivation in Human 786-O Renal Cell Carcinoma Cells.</w:t>
      </w:r>
      <w:r w:rsidRPr="00CD30C7">
        <w:rPr>
          <w:rFonts w:ascii="Arial" w:hAnsi="Arial" w:cs="Arial"/>
          <w:i/>
          <w:iCs/>
        </w:rPr>
        <w:t xml:space="preserve"> Evidence-based Complementary and Alternative Medicine. </w:t>
      </w:r>
      <w:r w:rsidRPr="00BD2EFB">
        <w:rPr>
          <w:rFonts w:ascii="Arial" w:hAnsi="Arial" w:cs="Arial"/>
        </w:rPr>
        <w:t xml:space="preserve">2013 Jan 1 [cited 2025 Feb];2013:1. Available from: https://doi.org/10.1155/2013/109105 </w:t>
      </w:r>
      <w:bookmarkEnd w:id="44"/>
    </w:p>
    <w:p w14:paraId="38C1EF9E" w14:textId="4C4B94F6" w:rsidR="00261AF3" w:rsidRPr="00BD2EFB" w:rsidRDefault="00000000" w:rsidP="00BD2EFB">
      <w:pPr>
        <w:pStyle w:val="ListParagraph"/>
        <w:numPr>
          <w:ilvl w:val="0"/>
          <w:numId w:val="8"/>
        </w:numPr>
        <w:ind w:left="765"/>
        <w:jc w:val="both"/>
        <w:rPr>
          <w:rFonts w:ascii="Arial" w:hAnsi="Arial" w:cs="Arial"/>
        </w:rPr>
      </w:pPr>
      <w:bookmarkStart w:id="45" w:name="ca1726c4820f04e87d8ed90850be1ae7"/>
      <w:r w:rsidRPr="00BD2EFB">
        <w:rPr>
          <w:rFonts w:ascii="Arial" w:hAnsi="Arial" w:cs="Arial"/>
        </w:rPr>
        <w:lastRenderedPageBreak/>
        <w:t>Shao SY, Ting YS, Wang J, Sun J, Guo X. Characterization and identification of the major flavonoids in Phyllostachys edulis leaf extract by UPLC–QTOF–MS/MS. Acta Chromatographica</w:t>
      </w:r>
      <w:r w:rsidR="00CD30C7">
        <w:rPr>
          <w:rFonts w:ascii="Arial" w:hAnsi="Arial" w:cs="Arial"/>
        </w:rPr>
        <w:t>l</w:t>
      </w:r>
      <w:r w:rsidRPr="00BD2EFB">
        <w:rPr>
          <w:rFonts w:ascii="Arial" w:hAnsi="Arial" w:cs="Arial"/>
        </w:rPr>
        <w:t xml:space="preserve">. 2020 Feb 3 [cited 2025 Apr];32(4):228. Available from: https://doi.org/10.1556/1326.2019.00688 </w:t>
      </w:r>
      <w:bookmarkEnd w:id="45"/>
    </w:p>
    <w:p w14:paraId="03124AE2" w14:textId="0A9E8374" w:rsidR="00261AF3" w:rsidRPr="00BD2EFB" w:rsidRDefault="00000000" w:rsidP="00BD2EFB">
      <w:pPr>
        <w:pStyle w:val="ListParagraph"/>
        <w:numPr>
          <w:ilvl w:val="0"/>
          <w:numId w:val="8"/>
        </w:numPr>
        <w:ind w:left="765"/>
        <w:jc w:val="both"/>
        <w:rPr>
          <w:rFonts w:ascii="Arial" w:hAnsi="Arial" w:cs="Arial"/>
        </w:rPr>
      </w:pPr>
      <w:bookmarkStart w:id="46" w:name="08891f3f1d93a16d3c9b6ed04f8b3c8f"/>
      <w:r w:rsidRPr="00BD2EFB">
        <w:rPr>
          <w:rFonts w:ascii="Arial" w:hAnsi="Arial" w:cs="Arial"/>
        </w:rPr>
        <w:t xml:space="preserve">Mali MR, </w:t>
      </w:r>
      <w:proofErr w:type="spellStart"/>
      <w:r w:rsidRPr="00BD2EFB">
        <w:rPr>
          <w:rFonts w:ascii="Arial" w:hAnsi="Arial" w:cs="Arial"/>
        </w:rPr>
        <w:t>Wadje</w:t>
      </w:r>
      <w:proofErr w:type="spellEnd"/>
      <w:r w:rsidRPr="00BD2EFB">
        <w:rPr>
          <w:rFonts w:ascii="Arial" w:hAnsi="Arial" w:cs="Arial"/>
        </w:rPr>
        <w:t xml:space="preserve"> SD. In vitro Antimicrobial Activity of Extracts from </w:t>
      </w:r>
      <w:proofErr w:type="spellStart"/>
      <w:r w:rsidRPr="00BD2EFB">
        <w:rPr>
          <w:rFonts w:ascii="Arial" w:hAnsi="Arial" w:cs="Arial"/>
        </w:rPr>
        <w:t>Careya</w:t>
      </w:r>
      <w:proofErr w:type="spellEnd"/>
      <w:r w:rsidRPr="00BD2EFB">
        <w:rPr>
          <w:rFonts w:ascii="Arial" w:hAnsi="Arial" w:cs="Arial"/>
        </w:rPr>
        <w:t xml:space="preserve"> arborea </w:t>
      </w:r>
      <w:proofErr w:type="spellStart"/>
      <w:r w:rsidRPr="00BD2EFB">
        <w:rPr>
          <w:rFonts w:ascii="Arial" w:hAnsi="Arial" w:cs="Arial"/>
        </w:rPr>
        <w:t>Roxb</w:t>
      </w:r>
      <w:proofErr w:type="spellEnd"/>
      <w:r w:rsidRPr="00BD2EFB">
        <w:rPr>
          <w:rFonts w:ascii="Arial" w:hAnsi="Arial" w:cs="Arial"/>
        </w:rPr>
        <w:t xml:space="preserve"> Leaves. </w:t>
      </w:r>
      <w:r w:rsidRPr="00CD30C7">
        <w:rPr>
          <w:rFonts w:ascii="Arial" w:hAnsi="Arial" w:cs="Arial"/>
          <w:i/>
          <w:iCs/>
        </w:rPr>
        <w:t>Microbiology Journal</w:t>
      </w:r>
      <w:r w:rsidRPr="00BD2EFB">
        <w:rPr>
          <w:rFonts w:ascii="Arial" w:hAnsi="Arial" w:cs="Arial"/>
        </w:rPr>
        <w:t xml:space="preserve">. 2014 Dec 15 [cited 2025 Apr];5(1):17. Available from: https://doi.org/10.3923/mj.2015.17.20 </w:t>
      </w:r>
      <w:bookmarkEnd w:id="46"/>
    </w:p>
    <w:p w14:paraId="6FCF6257" w14:textId="160C0A0B" w:rsidR="00261AF3" w:rsidRPr="00BD2EFB" w:rsidRDefault="00000000" w:rsidP="00BD2EFB">
      <w:pPr>
        <w:pStyle w:val="ListParagraph"/>
        <w:numPr>
          <w:ilvl w:val="0"/>
          <w:numId w:val="8"/>
        </w:numPr>
        <w:ind w:left="765"/>
        <w:jc w:val="both"/>
        <w:rPr>
          <w:rFonts w:ascii="Arial" w:hAnsi="Arial" w:cs="Arial"/>
        </w:rPr>
      </w:pPr>
      <w:bookmarkStart w:id="47" w:name="b49a0b3e126be4511acc2fd858989a16"/>
      <w:r w:rsidRPr="00BD2EFB">
        <w:rPr>
          <w:rFonts w:ascii="Arial" w:hAnsi="Arial" w:cs="Arial"/>
        </w:rPr>
        <w:t xml:space="preserve">Phan-Thien KY, Wright GC, Lee NA. Peanut antioxidants: Part 2. Quantitation of free and matrix-bound phytochemicals in five selected genotypes with diverse antioxidant capacity by high performance liquid chromatography (HPLC). LWT . 2013 Dec 21 [cited 2025 Mar];57(1):312. Available from: https://doi.org/10.1016/j.lwt.2013.12.020 </w:t>
      </w:r>
      <w:bookmarkEnd w:id="47"/>
    </w:p>
    <w:p w14:paraId="01FCA430" w14:textId="7E25A3B2" w:rsidR="00261AF3" w:rsidRPr="00BD2EFB" w:rsidRDefault="00000000" w:rsidP="00BD2EFB">
      <w:pPr>
        <w:pStyle w:val="ListParagraph"/>
        <w:numPr>
          <w:ilvl w:val="0"/>
          <w:numId w:val="8"/>
        </w:numPr>
        <w:ind w:left="765"/>
        <w:jc w:val="both"/>
        <w:rPr>
          <w:rFonts w:ascii="Arial" w:hAnsi="Arial" w:cs="Arial"/>
        </w:rPr>
      </w:pPr>
      <w:bookmarkStart w:id="48" w:name="3f583438bd56505262bed78fb846dd79"/>
      <w:r w:rsidRPr="00BD2EFB">
        <w:rPr>
          <w:rFonts w:ascii="Arial" w:hAnsi="Arial" w:cs="Arial"/>
        </w:rPr>
        <w:t xml:space="preserve">Bhatia A, Mishra T. Free Radical Scavenging Activity and Inhibitory response of Ziziphus </w:t>
      </w:r>
      <w:proofErr w:type="spellStart"/>
      <w:r w:rsidRPr="00BD2EFB">
        <w:rPr>
          <w:rFonts w:ascii="Arial" w:hAnsi="Arial" w:cs="Arial"/>
        </w:rPr>
        <w:t>mauritiana</w:t>
      </w:r>
      <w:proofErr w:type="spellEnd"/>
      <w:r w:rsidRPr="00BD2EFB">
        <w:rPr>
          <w:rFonts w:ascii="Arial" w:hAnsi="Arial" w:cs="Arial"/>
        </w:rPr>
        <w:t xml:space="preserve"> (Lamk.) Seed Extract on Alcohol-Induced Oxidative Stress. </w:t>
      </w:r>
      <w:r w:rsidRPr="00CD30C7">
        <w:rPr>
          <w:rFonts w:ascii="Arial" w:hAnsi="Arial" w:cs="Arial"/>
          <w:i/>
          <w:iCs/>
        </w:rPr>
        <w:t>Journal of Complementary and Integrative Medicine</w:t>
      </w:r>
      <w:r w:rsidRPr="00BD2EFB">
        <w:rPr>
          <w:rFonts w:ascii="Arial" w:hAnsi="Arial" w:cs="Arial"/>
        </w:rPr>
        <w:t xml:space="preserve">. 2009 Apr 13 [cited 2025 Feb];6(1). Available from: https://doi.org/10.2202/1553-3840.1214 </w:t>
      </w:r>
      <w:bookmarkEnd w:id="48"/>
    </w:p>
    <w:p w14:paraId="5433844D" w14:textId="0505EA77" w:rsidR="00261AF3" w:rsidRPr="00BD2EFB" w:rsidRDefault="00000000" w:rsidP="00BD2EFB">
      <w:pPr>
        <w:pStyle w:val="ListParagraph"/>
        <w:numPr>
          <w:ilvl w:val="0"/>
          <w:numId w:val="8"/>
        </w:numPr>
        <w:ind w:left="765"/>
        <w:jc w:val="both"/>
        <w:rPr>
          <w:rFonts w:ascii="Arial" w:hAnsi="Arial" w:cs="Arial"/>
        </w:rPr>
      </w:pPr>
      <w:bookmarkStart w:id="49" w:name="09d796d816f61328342f6c9a44f1e7c0"/>
      <w:proofErr w:type="spellStart"/>
      <w:r w:rsidRPr="00BD2EFB">
        <w:rPr>
          <w:rFonts w:ascii="Arial" w:hAnsi="Arial" w:cs="Arial"/>
        </w:rPr>
        <w:t>Qassadi</w:t>
      </w:r>
      <w:proofErr w:type="spellEnd"/>
      <w:r w:rsidRPr="00BD2EFB">
        <w:rPr>
          <w:rFonts w:ascii="Arial" w:hAnsi="Arial" w:cs="Arial"/>
        </w:rPr>
        <w:t xml:space="preserve"> F, Zhu Z, Monaghan T. Plant-Derived Products with Therapeutic Potential against Gastrointestinal Bacteria. Pathogens</w:t>
      </w:r>
      <w:r w:rsidRPr="00CD30C7">
        <w:rPr>
          <w:rFonts w:ascii="Arial" w:hAnsi="Arial" w:cs="Arial"/>
          <w:i/>
          <w:iCs/>
        </w:rPr>
        <w:t>. Multidisciplinary Digital Publishing Institute</w:t>
      </w:r>
      <w:r w:rsidRPr="00BD2EFB">
        <w:rPr>
          <w:rFonts w:ascii="Arial" w:hAnsi="Arial" w:cs="Arial"/>
        </w:rPr>
        <w:t xml:space="preserve">; 2023 Feb 15 [cited 2025 Apr];12(2):333. Available from: https://doi.org/10.3390/pathogens12020333 </w:t>
      </w:r>
      <w:bookmarkEnd w:id="49"/>
    </w:p>
    <w:p w14:paraId="57676706" w14:textId="4F008204" w:rsidR="00261AF3" w:rsidRPr="00BD2EFB" w:rsidRDefault="00000000" w:rsidP="00BD2EFB">
      <w:pPr>
        <w:pStyle w:val="ListParagraph"/>
        <w:numPr>
          <w:ilvl w:val="0"/>
          <w:numId w:val="8"/>
        </w:numPr>
        <w:ind w:left="765"/>
        <w:jc w:val="both"/>
        <w:rPr>
          <w:rFonts w:ascii="Arial" w:hAnsi="Arial" w:cs="Arial"/>
        </w:rPr>
      </w:pPr>
      <w:bookmarkStart w:id="50" w:name="6c48722e3f4d36a8122d7c028fbbef04"/>
      <w:proofErr w:type="spellStart"/>
      <w:r w:rsidRPr="00BD2EFB">
        <w:rPr>
          <w:rFonts w:ascii="Arial" w:hAnsi="Arial" w:cs="Arial"/>
        </w:rPr>
        <w:t>Motene</w:t>
      </w:r>
      <w:proofErr w:type="spellEnd"/>
      <w:r w:rsidRPr="00BD2EFB">
        <w:rPr>
          <w:rFonts w:ascii="Arial" w:hAnsi="Arial" w:cs="Arial"/>
        </w:rPr>
        <w:t xml:space="preserve"> MV, Maepa C, </w:t>
      </w:r>
      <w:proofErr w:type="spellStart"/>
      <w:r w:rsidRPr="00BD2EFB">
        <w:rPr>
          <w:rFonts w:ascii="Arial" w:hAnsi="Arial" w:cs="Arial"/>
        </w:rPr>
        <w:t>Sigidi</w:t>
      </w:r>
      <w:proofErr w:type="spellEnd"/>
      <w:r w:rsidRPr="00BD2EFB">
        <w:rPr>
          <w:rFonts w:ascii="Arial" w:hAnsi="Arial" w:cs="Arial"/>
        </w:rPr>
        <w:t xml:space="preserve"> M. Optimizing the Antimicrobial, Antioxidant, and Cytotoxic Properties of Silver Nanoparticles Synthesized from Elephantorrhiza elephantina (Burch.) Extracts: A Comprehensive Study. Plants. 2025 Mar 6 [cited 2025 Apr];14(5):822. Available from: https://doi.org/10.3390/plants14050822 </w:t>
      </w:r>
      <w:bookmarkEnd w:id="50"/>
    </w:p>
    <w:p w14:paraId="34E834FC" w14:textId="6188A26D" w:rsidR="00261AF3" w:rsidRPr="00BD2EFB" w:rsidRDefault="00000000" w:rsidP="00BD2EFB">
      <w:pPr>
        <w:pStyle w:val="ListParagraph"/>
        <w:numPr>
          <w:ilvl w:val="0"/>
          <w:numId w:val="8"/>
        </w:numPr>
        <w:ind w:left="765"/>
        <w:jc w:val="both"/>
        <w:rPr>
          <w:rFonts w:ascii="Arial" w:hAnsi="Arial" w:cs="Arial"/>
        </w:rPr>
      </w:pPr>
      <w:bookmarkStart w:id="51" w:name="a0461330dccb32d971a4627f2ee91ed6"/>
      <w:r w:rsidRPr="00BD2EFB">
        <w:rPr>
          <w:rFonts w:ascii="Arial" w:hAnsi="Arial" w:cs="Arial"/>
        </w:rPr>
        <w:t xml:space="preserve">Watt E van der, Pretorius JC. Purification and identification of active antibacterial components in </w:t>
      </w:r>
      <w:r w:rsidR="005B4ED1" w:rsidRPr="00BD2EFB">
        <w:rPr>
          <w:rFonts w:ascii="Arial" w:hAnsi="Arial" w:cs="Arial"/>
          <w:i/>
        </w:rPr>
        <w:t>Carpobrotus edulis</w:t>
      </w:r>
      <w:r w:rsidRPr="00BD2EFB">
        <w:rPr>
          <w:rFonts w:ascii="Arial" w:hAnsi="Arial" w:cs="Arial"/>
        </w:rPr>
        <w:t xml:space="preserve"> L. </w:t>
      </w:r>
      <w:r w:rsidRPr="00CD30C7">
        <w:rPr>
          <w:rFonts w:ascii="Arial" w:hAnsi="Arial" w:cs="Arial"/>
          <w:i/>
          <w:iCs/>
        </w:rPr>
        <w:t>Journal of Ethnopharmacology</w:t>
      </w:r>
      <w:r w:rsidRPr="00BD2EFB">
        <w:rPr>
          <w:rFonts w:ascii="Arial" w:hAnsi="Arial" w:cs="Arial"/>
        </w:rPr>
        <w:t xml:space="preserve">. 2001 Jun 1 [cited 2025 Apr];76(1):87. Available from: https://doi.org/10.1016/s0378-8741(01)00197-0 </w:t>
      </w:r>
      <w:bookmarkEnd w:id="51"/>
    </w:p>
    <w:p w14:paraId="4B457F4A" w14:textId="7FD2C8A9" w:rsidR="00261AF3" w:rsidRPr="00BD2EFB" w:rsidRDefault="00000000" w:rsidP="00BD2EFB">
      <w:pPr>
        <w:pStyle w:val="ListParagraph"/>
        <w:numPr>
          <w:ilvl w:val="0"/>
          <w:numId w:val="8"/>
        </w:numPr>
        <w:ind w:left="765"/>
        <w:jc w:val="both"/>
        <w:rPr>
          <w:rFonts w:ascii="Arial" w:hAnsi="Arial" w:cs="Arial"/>
        </w:rPr>
      </w:pPr>
      <w:bookmarkStart w:id="52" w:name="d0e7837b8990e486bde5fe13a2261714"/>
      <w:r w:rsidRPr="00BD2EFB">
        <w:rPr>
          <w:rFonts w:ascii="Arial" w:hAnsi="Arial" w:cs="Arial"/>
        </w:rPr>
        <w:t xml:space="preserve">Ali S, Khan MR, Iqbal J, Shah SA, Abbasi BA, Yaseen T, et al. Chemical characterization and evaluation of the nephroprotective potential of </w:t>
      </w:r>
      <w:proofErr w:type="spellStart"/>
      <w:r w:rsidRPr="00BD2EFB">
        <w:rPr>
          <w:rFonts w:ascii="Arial" w:hAnsi="Arial" w:cs="Arial"/>
        </w:rPr>
        <w:t>Parrotiopsis</w:t>
      </w:r>
      <w:proofErr w:type="spellEnd"/>
      <w:r w:rsidRPr="00BD2EFB">
        <w:rPr>
          <w:rFonts w:ascii="Arial" w:hAnsi="Arial" w:cs="Arial"/>
        </w:rPr>
        <w:t xml:space="preserve"> </w:t>
      </w:r>
      <w:proofErr w:type="spellStart"/>
      <w:r w:rsidRPr="00BD2EFB">
        <w:rPr>
          <w:rFonts w:ascii="Arial" w:hAnsi="Arial" w:cs="Arial"/>
        </w:rPr>
        <w:t>jacquemontiana</w:t>
      </w:r>
      <w:proofErr w:type="spellEnd"/>
      <w:r w:rsidRPr="00BD2EFB">
        <w:rPr>
          <w:rFonts w:ascii="Arial" w:hAnsi="Arial" w:cs="Arial"/>
        </w:rPr>
        <w:t xml:space="preserve"> (</w:t>
      </w:r>
      <w:proofErr w:type="spellStart"/>
      <w:r w:rsidRPr="00BD2EFB">
        <w:rPr>
          <w:rFonts w:ascii="Arial" w:hAnsi="Arial" w:cs="Arial"/>
        </w:rPr>
        <w:t>Decne</w:t>
      </w:r>
      <w:proofErr w:type="spellEnd"/>
      <w:r w:rsidRPr="00BD2EFB">
        <w:rPr>
          <w:rFonts w:ascii="Arial" w:hAnsi="Arial" w:cs="Arial"/>
        </w:rPr>
        <w:t xml:space="preserve">) Rehder and </w:t>
      </w:r>
      <w:proofErr w:type="spellStart"/>
      <w:r w:rsidRPr="00BD2EFB">
        <w:rPr>
          <w:rFonts w:ascii="Arial" w:hAnsi="Arial" w:cs="Arial"/>
        </w:rPr>
        <w:t>Periploca</w:t>
      </w:r>
      <w:proofErr w:type="spellEnd"/>
      <w:r w:rsidRPr="00BD2EFB">
        <w:rPr>
          <w:rFonts w:ascii="Arial" w:hAnsi="Arial" w:cs="Arial"/>
        </w:rPr>
        <w:t xml:space="preserve"> </w:t>
      </w:r>
      <w:proofErr w:type="spellStart"/>
      <w:r w:rsidRPr="00BD2EFB">
        <w:rPr>
          <w:rFonts w:ascii="Arial" w:hAnsi="Arial" w:cs="Arial"/>
        </w:rPr>
        <w:t>hydaspidis</w:t>
      </w:r>
      <w:proofErr w:type="spellEnd"/>
      <w:r w:rsidRPr="00BD2EFB">
        <w:rPr>
          <w:rFonts w:ascii="Arial" w:hAnsi="Arial" w:cs="Arial"/>
        </w:rPr>
        <w:t xml:space="preserve"> Falc crude extract in CCl4-induced Male Sprague-Dawley Rats. </w:t>
      </w:r>
      <w:r w:rsidRPr="00CD30C7">
        <w:rPr>
          <w:rFonts w:ascii="Arial" w:hAnsi="Arial" w:cs="Arial"/>
          <w:i/>
          <w:iCs/>
        </w:rPr>
        <w:t>Saudi Journal of Biological Sciences</w:t>
      </w:r>
      <w:r w:rsidRPr="00BD2EFB">
        <w:rPr>
          <w:rFonts w:ascii="Arial" w:hAnsi="Arial" w:cs="Arial"/>
        </w:rPr>
        <w:t xml:space="preserve">. 2021 Sep 27 [cited 2025 Apr];29(2):702. Available from: https://doi.org/10.1016/j.sjbs.2021.09.057 </w:t>
      </w:r>
      <w:bookmarkEnd w:id="52"/>
    </w:p>
    <w:sectPr w:rsidR="00261AF3" w:rsidRPr="00BD2EFB" w:rsidSect="00FC7A9F">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C13A5" w14:textId="77777777" w:rsidR="00A3355E" w:rsidRDefault="00A3355E" w:rsidP="00FA2C25">
      <w:pPr>
        <w:spacing w:before="0" w:after="0"/>
      </w:pPr>
      <w:r>
        <w:separator/>
      </w:r>
    </w:p>
  </w:endnote>
  <w:endnote w:type="continuationSeparator" w:id="0">
    <w:p w14:paraId="5341690F" w14:textId="77777777" w:rsidR="00A3355E" w:rsidRDefault="00A3355E" w:rsidP="00FA2C2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FDBA0" w14:textId="77777777" w:rsidR="00FA2C25" w:rsidRDefault="00FA2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0739A" w14:textId="77777777" w:rsidR="00FA2C25" w:rsidRDefault="00FA2C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A78C2" w14:textId="77777777" w:rsidR="00FA2C25" w:rsidRDefault="00FA2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C6E4A" w14:textId="77777777" w:rsidR="00A3355E" w:rsidRDefault="00A3355E" w:rsidP="00FA2C25">
      <w:pPr>
        <w:spacing w:before="0" w:after="0"/>
      </w:pPr>
      <w:r>
        <w:separator/>
      </w:r>
    </w:p>
  </w:footnote>
  <w:footnote w:type="continuationSeparator" w:id="0">
    <w:p w14:paraId="08264B86" w14:textId="77777777" w:rsidR="00A3355E" w:rsidRDefault="00A3355E" w:rsidP="00FA2C2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8DCB" w14:textId="09D0C53B" w:rsidR="00FA2C25" w:rsidRDefault="00000000">
    <w:pPr>
      <w:pStyle w:val="Header"/>
    </w:pPr>
    <w:r>
      <w:rPr>
        <w:noProof/>
      </w:rPr>
      <w:pict w14:anchorId="2CA32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67751"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ADA3" w14:textId="32EEA64B" w:rsidR="00FA2C25" w:rsidRDefault="00000000">
    <w:pPr>
      <w:pStyle w:val="Header"/>
    </w:pPr>
    <w:r>
      <w:rPr>
        <w:noProof/>
      </w:rPr>
      <w:pict w14:anchorId="341C0B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67752"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C5DE3" w14:textId="23F96A50" w:rsidR="00FA2C25" w:rsidRDefault="00000000">
    <w:pPr>
      <w:pStyle w:val="Header"/>
    </w:pPr>
    <w:r>
      <w:rPr>
        <w:noProof/>
      </w:rPr>
      <w:pict w14:anchorId="6D710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67750"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A4307412"/>
    <w:lvl w:ilvl="0">
      <w:start w:val="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2"/>
    <w:multiLevelType w:val="hybridMultilevel"/>
    <w:tmpl w:val="8D1E468A"/>
    <w:lvl w:ilvl="0" w:tplc="AC5838D2">
      <w:start w:val="1"/>
      <w:numFmt w:val="bullet"/>
      <w:lvlText w:val="●"/>
      <w:lvlJc w:val="left"/>
      <w:pPr>
        <w:ind w:left="720" w:hanging="360"/>
      </w:pPr>
    </w:lvl>
    <w:lvl w:ilvl="1" w:tplc="4BEC009C">
      <w:start w:val="1"/>
      <w:numFmt w:val="bullet"/>
      <w:lvlText w:val="○"/>
      <w:lvlJc w:val="left"/>
      <w:pPr>
        <w:ind w:left="1440" w:hanging="360"/>
      </w:pPr>
    </w:lvl>
    <w:lvl w:ilvl="2" w:tplc="D7F6916A">
      <w:start w:val="1"/>
      <w:numFmt w:val="bullet"/>
      <w:lvlText w:val="■"/>
      <w:lvlJc w:val="left"/>
      <w:pPr>
        <w:ind w:left="2160" w:hanging="360"/>
      </w:pPr>
    </w:lvl>
    <w:lvl w:ilvl="3" w:tplc="16B45CA0">
      <w:start w:val="1"/>
      <w:numFmt w:val="bullet"/>
      <w:lvlText w:val="●"/>
      <w:lvlJc w:val="left"/>
      <w:pPr>
        <w:ind w:left="2880" w:hanging="360"/>
      </w:pPr>
    </w:lvl>
    <w:lvl w:ilvl="4" w:tplc="D38C298E">
      <w:start w:val="1"/>
      <w:numFmt w:val="bullet"/>
      <w:lvlText w:val="○"/>
      <w:lvlJc w:val="left"/>
      <w:pPr>
        <w:ind w:left="3600" w:hanging="360"/>
      </w:pPr>
    </w:lvl>
    <w:lvl w:ilvl="5" w:tplc="9C90E11A">
      <w:start w:val="1"/>
      <w:numFmt w:val="bullet"/>
      <w:lvlText w:val="■"/>
      <w:lvlJc w:val="left"/>
      <w:pPr>
        <w:ind w:left="4320" w:hanging="360"/>
      </w:pPr>
    </w:lvl>
    <w:lvl w:ilvl="6" w:tplc="4EA6B09A">
      <w:start w:val="1"/>
      <w:numFmt w:val="bullet"/>
      <w:lvlText w:val="●"/>
      <w:lvlJc w:val="left"/>
      <w:pPr>
        <w:ind w:left="5040" w:hanging="360"/>
      </w:pPr>
    </w:lvl>
    <w:lvl w:ilvl="7" w:tplc="A9E0A9D4">
      <w:start w:val="1"/>
      <w:numFmt w:val="bullet"/>
      <w:lvlText w:val="●"/>
      <w:lvlJc w:val="left"/>
      <w:pPr>
        <w:ind w:left="5760" w:hanging="360"/>
      </w:pPr>
    </w:lvl>
    <w:lvl w:ilvl="8" w:tplc="C19E661E">
      <w:start w:val="1"/>
      <w:numFmt w:val="bullet"/>
      <w:lvlText w:val="●"/>
      <w:lvlJc w:val="left"/>
      <w:pPr>
        <w:ind w:left="6480" w:hanging="360"/>
      </w:pPr>
    </w:lvl>
  </w:abstractNum>
  <w:abstractNum w:abstractNumId="2" w15:restartNumberingAfterBreak="0">
    <w:nsid w:val="00000003"/>
    <w:multiLevelType w:val="hybridMultilevel"/>
    <w:tmpl w:val="CF2A2176"/>
    <w:lvl w:ilvl="0" w:tplc="2710DCB0">
      <w:start w:val="1"/>
      <w:numFmt w:val="bullet"/>
      <w:lvlText w:val=""/>
      <w:lvlJc w:val="left"/>
      <w:pPr>
        <w:ind w:left="720" w:hanging="360"/>
      </w:pPr>
    </w:lvl>
    <w:lvl w:ilvl="1" w:tplc="0BC61416">
      <w:start w:val="1"/>
      <w:numFmt w:val="bullet"/>
      <w:lvlText w:val=""/>
      <w:lvlJc w:val="left"/>
      <w:pPr>
        <w:ind w:left="1440" w:hanging="360"/>
      </w:pPr>
    </w:lvl>
    <w:lvl w:ilvl="2" w:tplc="DC86BB68">
      <w:start w:val="1"/>
      <w:numFmt w:val="bullet"/>
      <w:lvlText w:val=""/>
      <w:lvlJc w:val="left"/>
      <w:pPr>
        <w:ind w:left="2160" w:hanging="360"/>
      </w:pPr>
    </w:lvl>
    <w:lvl w:ilvl="3" w:tplc="019ABC32">
      <w:start w:val="1"/>
      <w:numFmt w:val="bullet"/>
      <w:lvlText w:val=""/>
      <w:lvlJc w:val="left"/>
      <w:pPr>
        <w:ind w:left="2880" w:hanging="360"/>
      </w:pPr>
    </w:lvl>
    <w:lvl w:ilvl="4" w:tplc="80F25F92">
      <w:start w:val="1"/>
      <w:numFmt w:val="bullet"/>
      <w:lvlText w:val=""/>
      <w:lvlJc w:val="left"/>
      <w:pPr>
        <w:ind w:left="3600" w:hanging="360"/>
      </w:pPr>
    </w:lvl>
    <w:lvl w:ilvl="5" w:tplc="C0D2BD5E">
      <w:start w:val="1"/>
      <w:numFmt w:val="bullet"/>
      <w:lvlText w:val=""/>
      <w:lvlJc w:val="left"/>
      <w:pPr>
        <w:ind w:left="4320" w:hanging="360"/>
      </w:pPr>
    </w:lvl>
    <w:lvl w:ilvl="6" w:tplc="6CCC5798">
      <w:start w:val="1"/>
      <w:numFmt w:val="bullet"/>
      <w:lvlText w:val=""/>
      <w:lvlJc w:val="left"/>
      <w:pPr>
        <w:ind w:left="5040" w:hanging="360"/>
      </w:pPr>
    </w:lvl>
    <w:lvl w:ilvl="7" w:tplc="B9709908">
      <w:start w:val="1"/>
      <w:numFmt w:val="bullet"/>
      <w:lvlText w:val=""/>
      <w:lvlJc w:val="left"/>
      <w:pPr>
        <w:ind w:left="5760" w:hanging="360"/>
      </w:pPr>
    </w:lvl>
    <w:lvl w:ilvl="8" w:tplc="6E7CF3B8">
      <w:start w:val="1"/>
      <w:numFmt w:val="bullet"/>
      <w:lvlText w:val=""/>
      <w:lvlJc w:val="left"/>
      <w:pPr>
        <w:ind w:left="6480" w:hanging="360"/>
      </w:pPr>
    </w:lvl>
  </w:abstractNum>
  <w:abstractNum w:abstractNumId="3" w15:restartNumberingAfterBreak="0">
    <w:nsid w:val="1D2261BE"/>
    <w:multiLevelType w:val="hybridMultilevel"/>
    <w:tmpl w:val="A02084EE"/>
    <w:lvl w:ilvl="0" w:tplc="CFEC3682">
      <w:start w:val="1"/>
      <w:numFmt w:val="decimal"/>
      <w:lvlText w:val="%1."/>
      <w:lvlJc w:val="left"/>
      <w:pPr>
        <w:ind w:left="1125" w:hanging="765"/>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 w15:restartNumberingAfterBreak="0">
    <w:nsid w:val="1EC94C99"/>
    <w:multiLevelType w:val="multilevel"/>
    <w:tmpl w:val="75E0B3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0CF5DCE"/>
    <w:multiLevelType w:val="hybridMultilevel"/>
    <w:tmpl w:val="F3280D22"/>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6" w15:restartNumberingAfterBreak="0">
    <w:nsid w:val="366041D0"/>
    <w:multiLevelType w:val="multilevel"/>
    <w:tmpl w:val="3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4E1B23E5"/>
    <w:multiLevelType w:val="hybridMultilevel"/>
    <w:tmpl w:val="52B08988"/>
    <w:lvl w:ilvl="0" w:tplc="8A5C86CE">
      <w:start w:val="1"/>
      <w:numFmt w:val="decimalEnclosedFullstop"/>
      <w:lvlText w:val="%1"/>
      <w:lvlJc w:val="left"/>
      <w:pPr>
        <w:ind w:left="720" w:hanging="360"/>
      </w:pPr>
    </w:lvl>
    <w:lvl w:ilvl="1" w:tplc="F06CE4D6">
      <w:start w:val="1"/>
      <w:numFmt w:val="decimalEnclosedFullstop"/>
      <w:lvlText w:val="%2"/>
      <w:lvlJc w:val="left"/>
      <w:pPr>
        <w:ind w:left="1440" w:hanging="360"/>
      </w:pPr>
    </w:lvl>
    <w:lvl w:ilvl="2" w:tplc="6514454A">
      <w:start w:val="1"/>
      <w:numFmt w:val="decimalEnclosedFullstop"/>
      <w:lvlText w:val="%3"/>
      <w:lvlJc w:val="left"/>
      <w:pPr>
        <w:ind w:left="2160" w:hanging="360"/>
      </w:pPr>
    </w:lvl>
    <w:lvl w:ilvl="3" w:tplc="842ABB3A">
      <w:start w:val="1"/>
      <w:numFmt w:val="decimalEnclosedFullstop"/>
      <w:lvlText w:val="%4"/>
      <w:lvlJc w:val="left"/>
      <w:pPr>
        <w:ind w:left="2880" w:hanging="360"/>
      </w:pPr>
    </w:lvl>
    <w:lvl w:ilvl="4" w:tplc="5AA852FE">
      <w:start w:val="1"/>
      <w:numFmt w:val="decimalEnclosedFullstop"/>
      <w:lvlText w:val="%5"/>
      <w:lvlJc w:val="left"/>
      <w:pPr>
        <w:ind w:left="3600" w:hanging="360"/>
      </w:pPr>
    </w:lvl>
    <w:lvl w:ilvl="5" w:tplc="69F41EE6">
      <w:start w:val="1"/>
      <w:numFmt w:val="decimalEnclosedFullstop"/>
      <w:lvlText w:val="%6"/>
      <w:lvlJc w:val="left"/>
      <w:pPr>
        <w:ind w:left="4320" w:hanging="360"/>
      </w:pPr>
    </w:lvl>
    <w:lvl w:ilvl="6" w:tplc="AC90B858">
      <w:start w:val="1"/>
      <w:numFmt w:val="decimalEnclosedFullstop"/>
      <w:lvlText w:val="%7"/>
      <w:lvlJc w:val="left"/>
      <w:pPr>
        <w:ind w:left="5040" w:hanging="360"/>
      </w:pPr>
    </w:lvl>
    <w:lvl w:ilvl="7" w:tplc="AD726AEA">
      <w:start w:val="1"/>
      <w:numFmt w:val="decimalEnclosedFullstop"/>
      <w:lvlText w:val="%8"/>
      <w:lvlJc w:val="left"/>
      <w:pPr>
        <w:ind w:left="5760" w:hanging="360"/>
      </w:pPr>
    </w:lvl>
    <w:lvl w:ilvl="8" w:tplc="0B762B0A">
      <w:start w:val="1"/>
      <w:numFmt w:val="decimalEnclosedFullstop"/>
      <w:lvlText w:val="%9"/>
      <w:lvlJc w:val="left"/>
      <w:pPr>
        <w:ind w:left="6480" w:hanging="360"/>
      </w:pPr>
    </w:lvl>
  </w:abstractNum>
  <w:num w:numId="1" w16cid:durableId="1607737408">
    <w:abstractNumId w:val="1"/>
    <w:lvlOverride w:ilvl="0">
      <w:startOverride w:val="1"/>
    </w:lvlOverride>
  </w:num>
  <w:num w:numId="2" w16cid:durableId="1574587630">
    <w:abstractNumId w:val="2"/>
    <w:lvlOverride w:ilvl="0">
      <w:startOverride w:val="1"/>
    </w:lvlOverride>
  </w:num>
  <w:num w:numId="3" w16cid:durableId="1417634778">
    <w:abstractNumId w:val="7"/>
    <w:lvlOverride w:ilvl="0">
      <w:startOverride w:val="1"/>
    </w:lvlOverride>
  </w:num>
  <w:num w:numId="4" w16cid:durableId="292058308">
    <w:abstractNumId w:val="7"/>
    <w:lvlOverride w:ilvl="0">
      <w:startOverride w:val="1"/>
    </w:lvlOverride>
  </w:num>
  <w:num w:numId="5" w16cid:durableId="810907103">
    <w:abstractNumId w:val="7"/>
    <w:lvlOverride w:ilvl="0">
      <w:startOverride w:val="1"/>
    </w:lvlOverride>
  </w:num>
  <w:num w:numId="6" w16cid:durableId="652946466">
    <w:abstractNumId w:val="0"/>
  </w:num>
  <w:num w:numId="7" w16cid:durableId="430585523">
    <w:abstractNumId w:val="5"/>
  </w:num>
  <w:num w:numId="8" w16cid:durableId="1447888131">
    <w:abstractNumId w:val="3"/>
  </w:num>
  <w:num w:numId="9" w16cid:durableId="135492389">
    <w:abstractNumId w:val="4"/>
  </w:num>
  <w:num w:numId="10" w16cid:durableId="1251544103">
    <w:abstractNumId w:val="4"/>
  </w:num>
  <w:num w:numId="11" w16cid:durableId="498085416">
    <w:abstractNumId w:val="4"/>
  </w:num>
  <w:num w:numId="12" w16cid:durableId="1239443616">
    <w:abstractNumId w:val="4"/>
  </w:num>
  <w:num w:numId="13" w16cid:durableId="1738504714">
    <w:abstractNumId w:val="4"/>
  </w:num>
  <w:num w:numId="14" w16cid:durableId="615333046">
    <w:abstractNumId w:val="4"/>
  </w:num>
  <w:num w:numId="15" w16cid:durableId="1138110374">
    <w:abstractNumId w:val="4"/>
  </w:num>
  <w:num w:numId="16" w16cid:durableId="219749628">
    <w:abstractNumId w:val="4"/>
  </w:num>
  <w:num w:numId="17" w16cid:durableId="2100708383">
    <w:abstractNumId w:val="4"/>
  </w:num>
  <w:num w:numId="18" w16cid:durableId="987787286">
    <w:abstractNumId w:val="4"/>
  </w:num>
  <w:num w:numId="19" w16cid:durableId="18154129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AF3"/>
    <w:rsid w:val="00004DF6"/>
    <w:rsid w:val="000448DC"/>
    <w:rsid w:val="00055B9B"/>
    <w:rsid w:val="0007389C"/>
    <w:rsid w:val="000B2D4A"/>
    <w:rsid w:val="000F751D"/>
    <w:rsid w:val="00154E26"/>
    <w:rsid w:val="00166836"/>
    <w:rsid w:val="001D05D3"/>
    <w:rsid w:val="001E256C"/>
    <w:rsid w:val="001F372F"/>
    <w:rsid w:val="00261AF3"/>
    <w:rsid w:val="002F3DEB"/>
    <w:rsid w:val="002F4F9C"/>
    <w:rsid w:val="002F727C"/>
    <w:rsid w:val="00313587"/>
    <w:rsid w:val="00353956"/>
    <w:rsid w:val="003A03DF"/>
    <w:rsid w:val="003E70E2"/>
    <w:rsid w:val="00416988"/>
    <w:rsid w:val="00422C75"/>
    <w:rsid w:val="004D0B57"/>
    <w:rsid w:val="004E7229"/>
    <w:rsid w:val="00532EAF"/>
    <w:rsid w:val="005B0B2A"/>
    <w:rsid w:val="005B4ED1"/>
    <w:rsid w:val="005F5F5F"/>
    <w:rsid w:val="00610B37"/>
    <w:rsid w:val="00635507"/>
    <w:rsid w:val="00641275"/>
    <w:rsid w:val="00643645"/>
    <w:rsid w:val="00657315"/>
    <w:rsid w:val="00681220"/>
    <w:rsid w:val="00685BCB"/>
    <w:rsid w:val="0069734E"/>
    <w:rsid w:val="006A581E"/>
    <w:rsid w:val="007010C1"/>
    <w:rsid w:val="0070142C"/>
    <w:rsid w:val="007419CB"/>
    <w:rsid w:val="00761F8F"/>
    <w:rsid w:val="007B4C14"/>
    <w:rsid w:val="007F444F"/>
    <w:rsid w:val="007F71EA"/>
    <w:rsid w:val="00822812"/>
    <w:rsid w:val="008468BA"/>
    <w:rsid w:val="00854E70"/>
    <w:rsid w:val="008A2527"/>
    <w:rsid w:val="008A713F"/>
    <w:rsid w:val="008F06D5"/>
    <w:rsid w:val="00923CB8"/>
    <w:rsid w:val="0094124A"/>
    <w:rsid w:val="009577EE"/>
    <w:rsid w:val="009579BC"/>
    <w:rsid w:val="009D5827"/>
    <w:rsid w:val="00A20289"/>
    <w:rsid w:val="00A2767B"/>
    <w:rsid w:val="00A3355E"/>
    <w:rsid w:val="00A436C3"/>
    <w:rsid w:val="00AB4EED"/>
    <w:rsid w:val="00AC0BC1"/>
    <w:rsid w:val="00B91EFC"/>
    <w:rsid w:val="00B93BC7"/>
    <w:rsid w:val="00BD2EFB"/>
    <w:rsid w:val="00C055D8"/>
    <w:rsid w:val="00CA3AC8"/>
    <w:rsid w:val="00CA4152"/>
    <w:rsid w:val="00CB6329"/>
    <w:rsid w:val="00CD30C7"/>
    <w:rsid w:val="00CE4429"/>
    <w:rsid w:val="00D36C15"/>
    <w:rsid w:val="00DB31DE"/>
    <w:rsid w:val="00DB3C04"/>
    <w:rsid w:val="00DB4F99"/>
    <w:rsid w:val="00E348AB"/>
    <w:rsid w:val="00F10265"/>
    <w:rsid w:val="00F3431D"/>
    <w:rsid w:val="00F463DB"/>
    <w:rsid w:val="00F52E61"/>
    <w:rsid w:val="00F67127"/>
    <w:rsid w:val="00F9382A"/>
    <w:rsid w:val="00FA2C25"/>
    <w:rsid w:val="00FB6084"/>
    <w:rsid w:val="00FB69C5"/>
    <w:rsid w:val="00FC7A9F"/>
    <w:rsid w:val="00FE2A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E9AD7"/>
  <w15:docId w15:val="{D1533FA6-F128-4BA5-8B4A-DB4E8C6B8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2F4F9C"/>
    <w:pPr>
      <w:numPr>
        <w:numId w:val="19"/>
      </w:numPr>
      <w:outlineLvl w:val="0"/>
    </w:pPr>
    <w:rPr>
      <w:rFonts w:ascii="Arial" w:hAnsi="Arial"/>
      <w:b/>
      <w:sz w:val="28"/>
      <w:szCs w:val="32"/>
    </w:rPr>
  </w:style>
  <w:style w:type="paragraph" w:styleId="Heading2">
    <w:name w:val="heading 2"/>
    <w:uiPriority w:val="9"/>
    <w:unhideWhenUsed/>
    <w:qFormat/>
    <w:rsid w:val="002F4F9C"/>
    <w:pPr>
      <w:numPr>
        <w:ilvl w:val="1"/>
        <w:numId w:val="19"/>
      </w:numPr>
      <w:outlineLvl w:val="1"/>
    </w:pPr>
    <w:rPr>
      <w:rFonts w:ascii="Arial" w:hAnsi="Arial"/>
      <w:b/>
      <w:sz w:val="22"/>
      <w:szCs w:val="26"/>
    </w:rPr>
  </w:style>
  <w:style w:type="paragraph" w:styleId="Heading3">
    <w:name w:val="heading 3"/>
    <w:uiPriority w:val="9"/>
    <w:unhideWhenUsed/>
    <w:qFormat/>
    <w:rsid w:val="002F4F9C"/>
    <w:pPr>
      <w:numPr>
        <w:ilvl w:val="2"/>
        <w:numId w:val="19"/>
      </w:numPr>
      <w:outlineLvl w:val="2"/>
    </w:pPr>
    <w:rPr>
      <w:rFonts w:ascii="Arial" w:hAnsi="Arial"/>
      <w:b/>
      <w:szCs w:val="24"/>
    </w:rPr>
  </w:style>
  <w:style w:type="paragraph" w:styleId="Heading4">
    <w:name w:val="heading 4"/>
    <w:uiPriority w:val="9"/>
    <w:unhideWhenUsed/>
    <w:qFormat/>
    <w:rsid w:val="00FB69C5"/>
    <w:pPr>
      <w:numPr>
        <w:ilvl w:val="3"/>
        <w:numId w:val="19"/>
      </w:numPr>
      <w:outlineLvl w:val="3"/>
    </w:pPr>
    <w:rPr>
      <w:rFonts w:ascii="Arial" w:hAnsi="Arial"/>
      <w:i/>
      <w:iCs/>
    </w:rPr>
  </w:style>
  <w:style w:type="paragraph" w:styleId="Heading5">
    <w:name w:val="heading 5"/>
    <w:uiPriority w:val="9"/>
    <w:semiHidden/>
    <w:unhideWhenUsed/>
    <w:qFormat/>
    <w:pPr>
      <w:numPr>
        <w:ilvl w:val="4"/>
        <w:numId w:val="19"/>
      </w:numPr>
      <w:outlineLvl w:val="4"/>
    </w:pPr>
    <w:rPr>
      <w:color w:val="2E74B5"/>
    </w:rPr>
  </w:style>
  <w:style w:type="paragraph" w:styleId="Heading6">
    <w:name w:val="heading 6"/>
    <w:uiPriority w:val="9"/>
    <w:semiHidden/>
    <w:unhideWhenUsed/>
    <w:qFormat/>
    <w:pPr>
      <w:numPr>
        <w:ilvl w:val="5"/>
        <w:numId w:val="19"/>
      </w:numPr>
      <w:outlineLvl w:val="5"/>
    </w:pPr>
    <w:rPr>
      <w:color w:val="1F4D78"/>
    </w:rPr>
  </w:style>
  <w:style w:type="paragraph" w:styleId="Heading7">
    <w:name w:val="heading 7"/>
    <w:basedOn w:val="Normal"/>
    <w:next w:val="Normal"/>
    <w:link w:val="Heading7Char"/>
    <w:uiPriority w:val="9"/>
    <w:semiHidden/>
    <w:unhideWhenUsed/>
    <w:qFormat/>
    <w:rsid w:val="002F4F9C"/>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F4F9C"/>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4F9C"/>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qFormat/>
    <w:rPr>
      <w:color w:val="0563C1"/>
      <w:u w:val="single"/>
    </w:rPr>
  </w:style>
  <w:style w:type="character" w:styleId="FootnoteReference">
    <w:name w:val="footnote reference"/>
    <w:uiPriority w:val="99"/>
    <w:rPr>
      <w:vertAlign w:val="superscript"/>
    </w:rPr>
  </w:style>
  <w:style w:type="paragraph" w:styleId="FootnoteText">
    <w:name w:val="footnote text"/>
    <w:link w:val="FootnoteTextChar"/>
    <w:uiPriority w:val="99"/>
    <w:pPr>
      <w:spacing w:after="0"/>
    </w:pPr>
  </w:style>
  <w:style w:type="character" w:customStyle="1" w:styleId="FootnoteTextChar">
    <w:name w:val="Footnote Text Char"/>
    <w:link w:val="FootnoteText"/>
    <w:uiPriority w:val="99"/>
    <w:rPr>
      <w:sz w:val="20"/>
      <w:szCs w:val="20"/>
    </w:rPr>
  </w:style>
  <w:style w:type="paragraph" w:styleId="CommentText">
    <w:name w:val="annotation text"/>
    <w:basedOn w:val="Normal"/>
    <w:link w:val="CommentTextChar"/>
    <w:uiPriority w:val="99"/>
    <w:qFormat/>
    <w:pPr>
      <w:spacing w:before="0" w:after="0"/>
    </w:pPr>
    <w:rPr>
      <w:lang w:val="en-ZW" w:eastAsia="en-ZW"/>
    </w:rPr>
  </w:style>
  <w:style w:type="character" w:customStyle="1" w:styleId="CommentTextChar">
    <w:name w:val="Comment Text Char"/>
    <w:basedOn w:val="DefaultParagraphFont"/>
    <w:link w:val="CommentText"/>
    <w:uiPriority w:val="99"/>
    <w:qFormat/>
    <w:rPr>
      <w:lang w:val="en-ZW" w:eastAsia="en-ZW"/>
    </w:rPr>
  </w:style>
  <w:style w:type="paragraph" w:customStyle="1" w:styleId="Author">
    <w:name w:val="Author"/>
    <w:basedOn w:val="Normal"/>
    <w:qFormat/>
    <w:pPr>
      <w:spacing w:before="0" w:after="0" w:line="280" w:lineRule="exact"/>
      <w:jc w:val="right"/>
    </w:pPr>
    <w:rPr>
      <w:rFonts w:ascii="Helvetica" w:hAnsi="Helvetica"/>
      <w:b/>
      <w:sz w:val="24"/>
      <w:lang w:eastAsia="en-ZW"/>
    </w:rPr>
  </w:style>
  <w:style w:type="paragraph" w:customStyle="1" w:styleId="Affiliation">
    <w:name w:val="Affiliation"/>
    <w:basedOn w:val="Normal"/>
    <w:qFormat/>
    <w:pPr>
      <w:spacing w:before="0" w:after="240" w:line="240" w:lineRule="exact"/>
      <w:jc w:val="right"/>
    </w:pPr>
    <w:rPr>
      <w:rFonts w:ascii="Helvetica" w:hAnsi="Helvetica"/>
      <w:lang w:eastAsia="en-ZW"/>
    </w:rPr>
  </w:style>
  <w:style w:type="character" w:customStyle="1" w:styleId="UnresolvedMention1">
    <w:name w:val="Unresolved Mention1"/>
    <w:basedOn w:val="DefaultParagraphFont"/>
    <w:uiPriority w:val="99"/>
    <w:rPr>
      <w:color w:val="605E5C"/>
      <w:shd w:val="clear" w:color="auto" w:fill="E1DFDD"/>
    </w:rPr>
  </w:style>
  <w:style w:type="paragraph" w:styleId="EndnoteText">
    <w:name w:val="endnote text"/>
    <w:basedOn w:val="Normal"/>
    <w:link w:val="EndnoteTextChar"/>
    <w:uiPriority w:val="99"/>
    <w:pPr>
      <w:spacing w:before="0" w:after="0"/>
    </w:pPr>
  </w:style>
  <w:style w:type="character" w:customStyle="1" w:styleId="EndnoteTextChar">
    <w:name w:val="Endnote Text Char"/>
    <w:basedOn w:val="DefaultParagraphFont"/>
    <w:link w:val="EndnoteText"/>
    <w:uiPriority w:val="99"/>
  </w:style>
  <w:style w:type="character" w:styleId="EndnoteReference">
    <w:name w:val="endnote reference"/>
    <w:basedOn w:val="DefaultParagraphFont"/>
    <w:uiPriority w:val="99"/>
    <w:rPr>
      <w:vertAlign w:val="superscript"/>
    </w:rPr>
  </w:style>
  <w:style w:type="paragraph" w:styleId="Header">
    <w:name w:val="header"/>
    <w:basedOn w:val="Normal"/>
    <w:link w:val="HeaderChar"/>
    <w:uiPriority w:val="99"/>
    <w:pPr>
      <w:tabs>
        <w:tab w:val="center" w:pos="4680"/>
        <w:tab w:val="right" w:pos="9360"/>
      </w:tabs>
      <w:spacing w:before="0"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qFormat/>
    <w:pPr>
      <w:tabs>
        <w:tab w:val="center" w:pos="4680"/>
        <w:tab w:val="right" w:pos="9360"/>
      </w:tabs>
      <w:spacing w:before="0" w:after="0"/>
    </w:pPr>
  </w:style>
  <w:style w:type="character" w:customStyle="1" w:styleId="FooterChar">
    <w:name w:val="Footer Char"/>
    <w:basedOn w:val="DefaultParagraphFont"/>
    <w:link w:val="Footer"/>
    <w:uiPriority w:val="99"/>
    <w:qFormat/>
  </w:style>
  <w:style w:type="table" w:styleId="TableGrid">
    <w:name w:val="Table Grid"/>
    <w:basedOn w:val="TableNormal"/>
    <w:uiPriority w:val="39"/>
    <w:qFormat/>
    <w:pPr>
      <w:spacing w:before="0" w:after="0"/>
    </w:pPr>
    <w:rPr>
      <w:rFonts w:ascii="Calibri" w:eastAsia="Calibri" w:hAnsi="Calibri" w:cs="SimSu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before="0" w:after="0"/>
    </w:pPr>
    <w:rPr>
      <w:rFonts w:ascii="Calibri" w:eastAsia="Calibri" w:hAnsi="Calibri" w:cs="SimSun"/>
      <w:kern w:val="2"/>
      <w:sz w:val="24"/>
      <w:szCs w:val="24"/>
      <w14:ligatures w14:val="standardContextual"/>
    </w:rPr>
  </w:style>
  <w:style w:type="paragraph" w:styleId="Caption">
    <w:name w:val="caption"/>
    <w:basedOn w:val="Normal"/>
    <w:next w:val="Normal"/>
    <w:uiPriority w:val="35"/>
    <w:qFormat/>
    <w:pPr>
      <w:spacing w:before="0" w:after="200"/>
    </w:pPr>
    <w:rPr>
      <w:i/>
      <w:iCs/>
      <w:color w:val="44546A"/>
      <w:sz w:val="18"/>
      <w:szCs w:val="18"/>
      <w:lang w:val="en-ZW" w:eastAsia="en-ZW"/>
    </w:rPr>
  </w:style>
  <w:style w:type="paragraph" w:styleId="TableofFigures">
    <w:name w:val="table of figures"/>
    <w:basedOn w:val="Normal"/>
    <w:next w:val="Normal"/>
    <w:uiPriority w:val="99"/>
    <w:pPr>
      <w:spacing w:after="0"/>
    </w:pPr>
  </w:style>
  <w:style w:type="paragraph" w:styleId="NormalWeb">
    <w:name w:val="Normal (Web)"/>
    <w:basedOn w:val="Normal"/>
    <w:uiPriority w:val="99"/>
    <w:rPr>
      <w:sz w:val="24"/>
      <w:szCs w:val="24"/>
    </w:rPr>
  </w:style>
  <w:style w:type="table" w:customStyle="1" w:styleId="TableGrid2">
    <w:name w:val="Table Grid2"/>
    <w:basedOn w:val="TableNormal"/>
    <w:uiPriority w:val="39"/>
    <w:qFormat/>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2F4F9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F4F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4F9C"/>
    <w:rPr>
      <w:rFonts w:asciiTheme="majorHAnsi" w:eastAsiaTheme="majorEastAsia" w:hAnsiTheme="majorHAnsi" w:cstheme="majorBidi"/>
      <w:i/>
      <w:iCs/>
      <w:color w:val="272727" w:themeColor="text1" w:themeTint="D8"/>
      <w:sz w:val="21"/>
      <w:szCs w:val="21"/>
    </w:rPr>
  </w:style>
  <w:style w:type="table" w:styleId="PlainTable2">
    <w:name w:val="Plain Table 2"/>
    <w:basedOn w:val="TableNormal"/>
    <w:uiPriority w:val="42"/>
    <w:rsid w:val="0094124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3742222">
      <w:bodyDiv w:val="1"/>
      <w:marLeft w:val="0"/>
      <w:marRight w:val="0"/>
      <w:marTop w:val="0"/>
      <w:marBottom w:val="0"/>
      <w:divBdr>
        <w:top w:val="none" w:sz="0" w:space="0" w:color="auto"/>
        <w:left w:val="none" w:sz="0" w:space="0" w:color="auto"/>
        <w:bottom w:val="none" w:sz="0" w:space="0" w:color="auto"/>
        <w:right w:val="none" w:sz="0" w:space="0" w:color="auto"/>
      </w:divBdr>
    </w:div>
    <w:div w:id="1063988897">
      <w:bodyDiv w:val="1"/>
      <w:marLeft w:val="0"/>
      <w:marRight w:val="0"/>
      <w:marTop w:val="0"/>
      <w:marBottom w:val="0"/>
      <w:divBdr>
        <w:top w:val="none" w:sz="0" w:space="0" w:color="auto"/>
        <w:left w:val="none" w:sz="0" w:space="0" w:color="auto"/>
        <w:bottom w:val="none" w:sz="0" w:space="0" w:color="auto"/>
        <w:right w:val="none" w:sz="0" w:space="0" w:color="auto"/>
      </w:divBdr>
    </w:div>
    <w:div w:id="1537504597">
      <w:bodyDiv w:val="1"/>
      <w:marLeft w:val="0"/>
      <w:marRight w:val="0"/>
      <w:marTop w:val="0"/>
      <w:marBottom w:val="0"/>
      <w:divBdr>
        <w:top w:val="none" w:sz="0" w:space="0" w:color="auto"/>
        <w:left w:val="none" w:sz="0" w:space="0" w:color="auto"/>
        <w:bottom w:val="none" w:sz="0" w:space="0" w:color="auto"/>
        <w:right w:val="none" w:sz="0" w:space="0" w:color="auto"/>
      </w:divBdr>
    </w:div>
    <w:div w:id="1817457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Users/user/Desktop/Munya%20Antiinflammato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scatterChart>
        <c:scatterStyle val="lineMarker"/>
        <c:varyColors val="0"/>
        <c:ser>
          <c:idx val="0"/>
          <c:order val="0"/>
          <c:tx>
            <c:strRef>
              <c:f>Sheet1!$B$53</c:f>
              <c:strCache>
                <c:ptCount val="1"/>
                <c:pt idx="0">
                  <c:v>Absorbance( 760nm)</c:v>
                </c:pt>
              </c:strCache>
            </c:strRef>
          </c:tx>
          <c:spPr>
            <a:ln w="25400" cap="rnd">
              <a:no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trendline>
            <c:spPr>
              <a:ln w="19050" cap="rnd">
                <a:solidFill>
                  <a:schemeClr val="accent1"/>
                </a:solidFill>
                <a:prstDash val="sysDash"/>
              </a:ln>
              <a:effectLst/>
            </c:spPr>
            <c:trendlineType val="linear"/>
            <c:dispRSqr val="0"/>
            <c:dispEq val="0"/>
          </c:trendline>
          <c:trendline>
            <c:spPr>
              <a:ln w="19050" cap="rnd">
                <a:solidFill>
                  <a:schemeClr val="accent1"/>
                </a:solidFill>
                <a:prstDash val="sysDash"/>
              </a:ln>
              <a:effectLst/>
            </c:spPr>
            <c:trendlineType val="linear"/>
            <c:dispRSqr val="1"/>
            <c:dispEq val="1"/>
            <c:trendlineLbl>
              <c:layout>
                <c:manualLayout>
                  <c:x val="3.28655768422648E-2"/>
                  <c:y val="-9.5879290500110494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trendlineLbl>
          </c:trendline>
          <c:xVal>
            <c:numRef>
              <c:f>Sheet1!$A$54:$A$58</c:f>
              <c:numCache>
                <c:formatCode>General</c:formatCode>
                <c:ptCount val="5"/>
                <c:pt idx="0">
                  <c:v>0.04</c:v>
                </c:pt>
                <c:pt idx="1">
                  <c:v>0.08</c:v>
                </c:pt>
                <c:pt idx="2">
                  <c:v>0.12</c:v>
                </c:pt>
                <c:pt idx="3">
                  <c:v>0.16</c:v>
                </c:pt>
                <c:pt idx="4">
                  <c:v>0.2</c:v>
                </c:pt>
              </c:numCache>
            </c:numRef>
          </c:xVal>
          <c:yVal>
            <c:numRef>
              <c:f>Sheet1!$B$54:$B$58</c:f>
              <c:numCache>
                <c:formatCode>General</c:formatCode>
                <c:ptCount val="5"/>
                <c:pt idx="0">
                  <c:v>0.21</c:v>
                </c:pt>
                <c:pt idx="1">
                  <c:v>0.38500000000000001</c:v>
                </c:pt>
                <c:pt idx="2">
                  <c:v>0.59199999999999997</c:v>
                </c:pt>
                <c:pt idx="3">
                  <c:v>0.78300000000000003</c:v>
                </c:pt>
                <c:pt idx="4">
                  <c:v>0.94499999999999995</c:v>
                </c:pt>
              </c:numCache>
            </c:numRef>
          </c:yVal>
          <c:smooth val="0"/>
          <c:extLst>
            <c:ext xmlns:c16="http://schemas.microsoft.com/office/drawing/2014/chart" uri="{C3380CC4-5D6E-409C-BE32-E72D297353CC}">
              <c16:uniqueId val="{00000002-42D5-4029-BDBE-74AA264E6843}"/>
            </c:ext>
          </c:extLst>
        </c:ser>
        <c:dLbls>
          <c:showLegendKey val="0"/>
          <c:showVal val="0"/>
          <c:showCatName val="0"/>
          <c:showSerName val="0"/>
          <c:showPercent val="0"/>
          <c:showBubbleSize val="0"/>
        </c:dLbls>
        <c:axId val="553906152"/>
        <c:axId val="553902552"/>
      </c:scatterChart>
      <c:valAx>
        <c:axId val="553906152"/>
        <c:scaling>
          <c:orientation val="minMax"/>
        </c:scaling>
        <c:delete val="0"/>
        <c:axPos val="b"/>
        <c:majorGridlines>
          <c:spPr>
            <a:ln w="9525" cap="flat" cmpd="sng" algn="ctr">
              <a:solidFill>
                <a:schemeClr val="lt1">
                  <a:lumMod val="95000"/>
                  <a:alpha val="10000"/>
                </a:schemeClr>
              </a:solidFill>
              <a:round/>
            </a:ln>
            <a:effectLst/>
          </c:spPr>
        </c:majorGridlines>
        <c:title>
          <c:tx>
            <c:rich>
              <a:bodyPr rot="0" spcFirstLastPara="1" vertOverflow="ellipsis" vert="horz" wrap="square" anchor="ctr" anchorCtr="1"/>
              <a:lstStyle/>
              <a:p>
                <a:pPr>
                  <a:defRPr sz="900" b="1" i="0" u="none" strike="noStrike" kern="1200" cap="all" baseline="0">
                    <a:solidFill>
                      <a:schemeClr val="lt1">
                        <a:lumMod val="75000"/>
                      </a:schemeClr>
                    </a:solidFill>
                    <a:latin typeface="+mn-lt"/>
                    <a:ea typeface="+mn-ea"/>
                    <a:cs typeface="+mn-cs"/>
                  </a:defRPr>
                </a:pPr>
                <a:r>
                  <a:rPr lang="en-US"/>
                  <a:t>Concentration (mg/ml)</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53902552"/>
        <c:crosses val="autoZero"/>
        <c:crossBetween val="midCat"/>
      </c:valAx>
      <c:valAx>
        <c:axId val="55390255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75000"/>
                      </a:schemeClr>
                    </a:solidFill>
                    <a:latin typeface="+mn-lt"/>
                    <a:ea typeface="+mn-ea"/>
                    <a:cs typeface="+mn-cs"/>
                  </a:defRPr>
                </a:pPr>
                <a:r>
                  <a:rPr lang="en-US"/>
                  <a:t>Absorbance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53906152"/>
        <c:crosses val="autoZero"/>
        <c:crossBetween val="midCat"/>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Anti-inflammatory inhibtion test</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0.10009787996531455"/>
          <c:y val="0.16882111970869368"/>
          <c:w val="0.84424069747762809"/>
          <c:h val="0.52495027220368506"/>
        </c:manualLayout>
      </c:layout>
      <c:scatterChart>
        <c:scatterStyle val="lineMarker"/>
        <c:varyColors val="0"/>
        <c:ser>
          <c:idx val="0"/>
          <c:order val="0"/>
          <c:tx>
            <c:strRef>
              <c:f>Sheet1!$C$24</c:f>
              <c:strCache>
                <c:ptCount val="1"/>
                <c:pt idx="0">
                  <c:v>% Inhibition (Diclofenac)</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Sheet1!$B$25:$B$31</c:f>
              <c:numCache>
                <c:formatCode>General</c:formatCode>
                <c:ptCount val="7"/>
                <c:pt idx="0">
                  <c:v>50</c:v>
                </c:pt>
                <c:pt idx="1">
                  <c:v>100</c:v>
                </c:pt>
                <c:pt idx="2">
                  <c:v>250</c:v>
                </c:pt>
                <c:pt idx="3">
                  <c:v>500</c:v>
                </c:pt>
                <c:pt idx="4">
                  <c:v>750</c:v>
                </c:pt>
                <c:pt idx="5">
                  <c:v>1000</c:v>
                </c:pt>
              </c:numCache>
            </c:numRef>
          </c:xVal>
          <c:yVal>
            <c:numRef>
              <c:f>Sheet1!$C$25:$C$31</c:f>
              <c:numCache>
                <c:formatCode>General</c:formatCode>
                <c:ptCount val="7"/>
                <c:pt idx="0">
                  <c:v>15.48</c:v>
                </c:pt>
                <c:pt idx="1">
                  <c:v>29.33</c:v>
                </c:pt>
                <c:pt idx="2">
                  <c:v>47.84</c:v>
                </c:pt>
                <c:pt idx="3">
                  <c:v>65.69</c:v>
                </c:pt>
                <c:pt idx="4">
                  <c:v>77.38</c:v>
                </c:pt>
                <c:pt idx="5">
                  <c:v>83.55</c:v>
                </c:pt>
              </c:numCache>
            </c:numRef>
          </c:yVal>
          <c:smooth val="0"/>
          <c:extLst>
            <c:ext xmlns:c16="http://schemas.microsoft.com/office/drawing/2014/chart" uri="{C3380CC4-5D6E-409C-BE32-E72D297353CC}">
              <c16:uniqueId val="{00000000-0ADC-4746-BF18-C2CA3FC05B8B}"/>
            </c:ext>
          </c:extLst>
        </c:ser>
        <c:ser>
          <c:idx val="1"/>
          <c:order val="1"/>
          <c:tx>
            <c:strRef>
              <c:f>Sheet1!$D$24</c:f>
              <c:strCache>
                <c:ptCount val="1"/>
                <c:pt idx="0">
                  <c:v>% Inhibition (Carpobrotus Edulis)</c:v>
                </c:pt>
              </c:strCache>
            </c:strRef>
          </c:tx>
          <c:spPr>
            <a:ln w="22225" cap="rnd">
              <a:solidFill>
                <a:schemeClr val="accent2"/>
              </a:solidFill>
            </a:ln>
            <a:effectLst>
              <a:glow rad="139700">
                <a:schemeClr val="accent2">
                  <a:satMod val="175000"/>
                  <a:alpha val="14000"/>
                </a:schemeClr>
              </a:glow>
            </a:effectLst>
          </c:spPr>
          <c:marker>
            <c:symbol val="circle"/>
            <c:size val="3"/>
            <c:spPr>
              <a:solidFill>
                <a:schemeClr val="accent2">
                  <a:lumMod val="60000"/>
                  <a:lumOff val="40000"/>
                </a:schemeClr>
              </a:solidFill>
              <a:ln>
                <a:noFill/>
              </a:ln>
              <a:effectLst>
                <a:glow rad="63500">
                  <a:schemeClr val="accent2">
                    <a:satMod val="175000"/>
                    <a:alpha val="25000"/>
                  </a:schemeClr>
                </a:glow>
              </a:effectLst>
            </c:spPr>
          </c:marker>
          <c:xVal>
            <c:numRef>
              <c:f>Sheet1!$B$25:$B$31</c:f>
              <c:numCache>
                <c:formatCode>General</c:formatCode>
                <c:ptCount val="7"/>
                <c:pt idx="0">
                  <c:v>50</c:v>
                </c:pt>
                <c:pt idx="1">
                  <c:v>100</c:v>
                </c:pt>
                <c:pt idx="2">
                  <c:v>250</c:v>
                </c:pt>
                <c:pt idx="3">
                  <c:v>500</c:v>
                </c:pt>
                <c:pt idx="4">
                  <c:v>750</c:v>
                </c:pt>
                <c:pt idx="5">
                  <c:v>1000</c:v>
                </c:pt>
              </c:numCache>
            </c:numRef>
          </c:xVal>
          <c:yVal>
            <c:numRef>
              <c:f>Sheet1!$D$25:$D$31</c:f>
              <c:numCache>
                <c:formatCode>General</c:formatCode>
                <c:ptCount val="7"/>
                <c:pt idx="0">
                  <c:v>8.33</c:v>
                </c:pt>
                <c:pt idx="1">
                  <c:v>21.75</c:v>
                </c:pt>
                <c:pt idx="2">
                  <c:v>35.28</c:v>
                </c:pt>
                <c:pt idx="3">
                  <c:v>51.08</c:v>
                </c:pt>
                <c:pt idx="4">
                  <c:v>62.45</c:v>
                </c:pt>
                <c:pt idx="5">
                  <c:v>69.37</c:v>
                </c:pt>
              </c:numCache>
            </c:numRef>
          </c:yVal>
          <c:smooth val="0"/>
          <c:extLst>
            <c:ext xmlns:c16="http://schemas.microsoft.com/office/drawing/2014/chart" uri="{C3380CC4-5D6E-409C-BE32-E72D297353CC}">
              <c16:uniqueId val="{00000001-0ADC-4746-BF18-C2CA3FC05B8B}"/>
            </c:ext>
          </c:extLst>
        </c:ser>
        <c:dLbls>
          <c:showLegendKey val="0"/>
          <c:showVal val="0"/>
          <c:showCatName val="0"/>
          <c:showSerName val="0"/>
          <c:showPercent val="0"/>
          <c:showBubbleSize val="0"/>
        </c:dLbls>
        <c:axId val="565096680"/>
        <c:axId val="565094880"/>
      </c:scatterChart>
      <c:valAx>
        <c:axId val="565096680"/>
        <c:scaling>
          <c:orientation val="minMax"/>
        </c:scaling>
        <c:delete val="0"/>
        <c:axPos val="b"/>
        <c:majorGridlines>
          <c:spPr>
            <a:ln w="9525" cap="flat" cmpd="sng" algn="ctr">
              <a:solidFill>
                <a:schemeClr val="dk1">
                  <a:lumMod val="65000"/>
                  <a:lumOff val="35000"/>
                  <a:alpha val="7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Concentration (ug/ml)</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65094880"/>
        <c:crosses val="autoZero"/>
        <c:crossBetween val="midCat"/>
      </c:valAx>
      <c:valAx>
        <c:axId val="565094880"/>
        <c:scaling>
          <c:orientation val="minMax"/>
        </c:scaling>
        <c:delete val="0"/>
        <c:axPos val="l"/>
        <c:majorGridlines>
          <c:spPr>
            <a:ln w="9525" cap="flat" cmpd="sng" algn="ctr">
              <a:solidFill>
                <a:schemeClr val="dk1">
                  <a:lumMod val="65000"/>
                  <a:lumOff val="35000"/>
                  <a:alpha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 Inhibition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6509668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ZW"/>
              <a:t>Zone of inhibition diameters (mm)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ZW"/>
        </a:p>
      </c:txPr>
    </c:title>
    <c:autoTitleDeleted val="0"/>
    <c:plotArea>
      <c:layout/>
      <c:barChart>
        <c:barDir val="col"/>
        <c:grouping val="clustered"/>
        <c:varyColors val="0"/>
        <c:ser>
          <c:idx val="0"/>
          <c:order val="0"/>
          <c:tx>
            <c:strRef>
              <c:f>Sheet1!$A$2</c:f>
              <c:strCache>
                <c:ptCount val="1"/>
                <c:pt idx="0">
                  <c:v>C. Edulis</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strRef>
              <c:f>Sheet1!$B$1:$E$1</c:f>
              <c:strCache>
                <c:ptCount val="4"/>
                <c:pt idx="0">
                  <c:v>12.5mg/ml</c:v>
                </c:pt>
                <c:pt idx="1">
                  <c:v>25mg/ml</c:v>
                </c:pt>
                <c:pt idx="2">
                  <c:v>50mg/ml</c:v>
                </c:pt>
                <c:pt idx="3">
                  <c:v>100mg/ml</c:v>
                </c:pt>
              </c:strCache>
            </c:strRef>
          </c:cat>
          <c:val>
            <c:numRef>
              <c:f>Sheet1!$B$2:$E$2</c:f>
              <c:numCache>
                <c:formatCode>General</c:formatCode>
                <c:ptCount val="4"/>
                <c:pt idx="0">
                  <c:v>4</c:v>
                </c:pt>
                <c:pt idx="1">
                  <c:v>8</c:v>
                </c:pt>
                <c:pt idx="2">
                  <c:v>11</c:v>
                </c:pt>
                <c:pt idx="3">
                  <c:v>19</c:v>
                </c:pt>
              </c:numCache>
            </c:numRef>
          </c:val>
          <c:extLst>
            <c:ext xmlns:c16="http://schemas.microsoft.com/office/drawing/2014/chart" uri="{C3380CC4-5D6E-409C-BE32-E72D297353CC}">
              <c16:uniqueId val="{00000000-7220-46E2-A38F-8EB99F2B25DB}"/>
            </c:ext>
          </c:extLst>
        </c:ser>
        <c:ser>
          <c:idx val="1"/>
          <c:order val="1"/>
          <c:tx>
            <c:strRef>
              <c:f>Sheet1!$A$3</c:f>
              <c:strCache>
                <c:ptCount val="1"/>
                <c:pt idx="0">
                  <c:v>Ciprofloxacin</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strRef>
              <c:f>Sheet1!$B$1:$E$1</c:f>
              <c:strCache>
                <c:ptCount val="4"/>
                <c:pt idx="0">
                  <c:v>12.5mg/ml</c:v>
                </c:pt>
                <c:pt idx="1">
                  <c:v>25mg/ml</c:v>
                </c:pt>
                <c:pt idx="2">
                  <c:v>50mg/ml</c:v>
                </c:pt>
                <c:pt idx="3">
                  <c:v>100mg/ml</c:v>
                </c:pt>
              </c:strCache>
            </c:strRef>
          </c:cat>
          <c:val>
            <c:numRef>
              <c:f>Sheet1!$B$3:$E$3</c:f>
              <c:numCache>
                <c:formatCode>General</c:formatCode>
                <c:ptCount val="4"/>
                <c:pt idx="0">
                  <c:v>13</c:v>
                </c:pt>
                <c:pt idx="1">
                  <c:v>16</c:v>
                </c:pt>
                <c:pt idx="2">
                  <c:v>21</c:v>
                </c:pt>
                <c:pt idx="3">
                  <c:v>25</c:v>
                </c:pt>
              </c:numCache>
            </c:numRef>
          </c:val>
          <c:extLst>
            <c:ext xmlns:c16="http://schemas.microsoft.com/office/drawing/2014/chart" uri="{C3380CC4-5D6E-409C-BE32-E72D297353CC}">
              <c16:uniqueId val="{00000001-7220-46E2-A38F-8EB99F2B25DB}"/>
            </c:ext>
          </c:extLst>
        </c:ser>
        <c:dLbls>
          <c:showLegendKey val="0"/>
          <c:showVal val="0"/>
          <c:showCatName val="0"/>
          <c:showSerName val="0"/>
          <c:showPercent val="0"/>
          <c:showBubbleSize val="0"/>
        </c:dLbls>
        <c:gapWidth val="315"/>
        <c:overlap val="-40"/>
        <c:axId val="538424160"/>
        <c:axId val="538422720"/>
      </c:barChart>
      <c:catAx>
        <c:axId val="53842416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ZW"/>
                  <a:t>Concentration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38422720"/>
        <c:crosses val="autoZero"/>
        <c:auto val="1"/>
        <c:lblAlgn val="ctr"/>
        <c:lblOffset val="100"/>
        <c:noMultiLvlLbl val="0"/>
      </c:catAx>
      <c:valAx>
        <c:axId val="53842272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ZW"/>
                  <a:t>Net Zone of Inhibition</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Z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38424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Sprague-Dawley rats weight over the subacute toxicity test investigation period (g)</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Sheet1!$B$21</c:f>
              <c:strCache>
                <c:ptCount val="1"/>
                <c:pt idx="0">
                  <c:v>Day 0 (g)</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numRef>
              <c:f>Sheet1!$A$22:$A$41</c:f>
              <c:numCache>
                <c:formatCode>General</c:formatCode>
                <c:ptCount val="20"/>
                <c:pt idx="0">
                  <c:v>1</c:v>
                </c:pt>
                <c:pt idx="1">
                  <c:v>2</c:v>
                </c:pt>
                <c:pt idx="2">
                  <c:v>3</c:v>
                </c:pt>
                <c:pt idx="3">
                  <c:v>4</c:v>
                </c:pt>
                <c:pt idx="4">
                  <c:v>5</c:v>
                </c:pt>
                <c:pt idx="5">
                  <c:v>6</c:v>
                </c:pt>
                <c:pt idx="7">
                  <c:v>7</c:v>
                </c:pt>
                <c:pt idx="8">
                  <c:v>8</c:v>
                </c:pt>
                <c:pt idx="9">
                  <c:v>9</c:v>
                </c:pt>
                <c:pt idx="10">
                  <c:v>10</c:v>
                </c:pt>
                <c:pt idx="11">
                  <c:v>11</c:v>
                </c:pt>
                <c:pt idx="12">
                  <c:v>12</c:v>
                </c:pt>
                <c:pt idx="14">
                  <c:v>13</c:v>
                </c:pt>
                <c:pt idx="15">
                  <c:v>14</c:v>
                </c:pt>
                <c:pt idx="16">
                  <c:v>15</c:v>
                </c:pt>
                <c:pt idx="17">
                  <c:v>16</c:v>
                </c:pt>
                <c:pt idx="18">
                  <c:v>17</c:v>
                </c:pt>
                <c:pt idx="19">
                  <c:v>18</c:v>
                </c:pt>
              </c:numCache>
            </c:numRef>
          </c:cat>
          <c:val>
            <c:numRef>
              <c:f>Sheet1!$B$22:$B$41</c:f>
              <c:numCache>
                <c:formatCode>General</c:formatCode>
                <c:ptCount val="20"/>
                <c:pt idx="0">
                  <c:v>215</c:v>
                </c:pt>
                <c:pt idx="1">
                  <c:v>222</c:v>
                </c:pt>
                <c:pt idx="2">
                  <c:v>208</c:v>
                </c:pt>
                <c:pt idx="3">
                  <c:v>228</c:v>
                </c:pt>
                <c:pt idx="4">
                  <c:v>200</c:v>
                </c:pt>
                <c:pt idx="5">
                  <c:v>219</c:v>
                </c:pt>
                <c:pt idx="7">
                  <c:v>230</c:v>
                </c:pt>
                <c:pt idx="8">
                  <c:v>205</c:v>
                </c:pt>
                <c:pt idx="9">
                  <c:v>212</c:v>
                </c:pt>
                <c:pt idx="10">
                  <c:v>225</c:v>
                </c:pt>
                <c:pt idx="11">
                  <c:v>203</c:v>
                </c:pt>
                <c:pt idx="12">
                  <c:v>218</c:v>
                </c:pt>
                <c:pt idx="14">
                  <c:v>227</c:v>
                </c:pt>
                <c:pt idx="15">
                  <c:v>206</c:v>
                </c:pt>
                <c:pt idx="16">
                  <c:v>217</c:v>
                </c:pt>
                <c:pt idx="17">
                  <c:v>223</c:v>
                </c:pt>
                <c:pt idx="18">
                  <c:v>201</c:v>
                </c:pt>
                <c:pt idx="19">
                  <c:v>220</c:v>
                </c:pt>
              </c:numCache>
            </c:numRef>
          </c:val>
          <c:extLst>
            <c:ext xmlns:c16="http://schemas.microsoft.com/office/drawing/2014/chart" uri="{C3380CC4-5D6E-409C-BE32-E72D297353CC}">
              <c16:uniqueId val="{00000000-019A-449B-8CAF-8955836D2D71}"/>
            </c:ext>
          </c:extLst>
        </c:ser>
        <c:ser>
          <c:idx val="1"/>
          <c:order val="1"/>
          <c:tx>
            <c:strRef>
              <c:f>Sheet1!$C$21</c:f>
              <c:strCache>
                <c:ptCount val="1"/>
                <c:pt idx="0">
                  <c:v>Day 7 (g)</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numRef>
              <c:f>Sheet1!$A$22:$A$41</c:f>
              <c:numCache>
                <c:formatCode>General</c:formatCode>
                <c:ptCount val="20"/>
                <c:pt idx="0">
                  <c:v>1</c:v>
                </c:pt>
                <c:pt idx="1">
                  <c:v>2</c:v>
                </c:pt>
                <c:pt idx="2">
                  <c:v>3</c:v>
                </c:pt>
                <c:pt idx="3">
                  <c:v>4</c:v>
                </c:pt>
                <c:pt idx="4">
                  <c:v>5</c:v>
                </c:pt>
                <c:pt idx="5">
                  <c:v>6</c:v>
                </c:pt>
                <c:pt idx="7">
                  <c:v>7</c:v>
                </c:pt>
                <c:pt idx="8">
                  <c:v>8</c:v>
                </c:pt>
                <c:pt idx="9">
                  <c:v>9</c:v>
                </c:pt>
                <c:pt idx="10">
                  <c:v>10</c:v>
                </c:pt>
                <c:pt idx="11">
                  <c:v>11</c:v>
                </c:pt>
                <c:pt idx="12">
                  <c:v>12</c:v>
                </c:pt>
                <c:pt idx="14">
                  <c:v>13</c:v>
                </c:pt>
                <c:pt idx="15">
                  <c:v>14</c:v>
                </c:pt>
                <c:pt idx="16">
                  <c:v>15</c:v>
                </c:pt>
                <c:pt idx="17">
                  <c:v>16</c:v>
                </c:pt>
                <c:pt idx="18">
                  <c:v>17</c:v>
                </c:pt>
                <c:pt idx="19">
                  <c:v>18</c:v>
                </c:pt>
              </c:numCache>
            </c:numRef>
          </c:cat>
          <c:val>
            <c:numRef>
              <c:f>Sheet1!$C$22:$C$41</c:f>
              <c:numCache>
                <c:formatCode>General</c:formatCode>
                <c:ptCount val="20"/>
                <c:pt idx="0">
                  <c:v>222</c:v>
                </c:pt>
                <c:pt idx="1">
                  <c:v>230</c:v>
                </c:pt>
                <c:pt idx="2">
                  <c:v>215</c:v>
                </c:pt>
                <c:pt idx="3">
                  <c:v>235</c:v>
                </c:pt>
                <c:pt idx="4">
                  <c:v>207</c:v>
                </c:pt>
                <c:pt idx="5">
                  <c:v>227</c:v>
                </c:pt>
                <c:pt idx="7">
                  <c:v>238</c:v>
                </c:pt>
                <c:pt idx="8">
                  <c:v>212</c:v>
                </c:pt>
                <c:pt idx="9">
                  <c:v>220</c:v>
                </c:pt>
                <c:pt idx="10">
                  <c:v>233</c:v>
                </c:pt>
                <c:pt idx="11">
                  <c:v>210</c:v>
                </c:pt>
                <c:pt idx="12">
                  <c:v>226</c:v>
                </c:pt>
                <c:pt idx="14">
                  <c:v>235</c:v>
                </c:pt>
                <c:pt idx="15">
                  <c:v>213</c:v>
                </c:pt>
                <c:pt idx="16">
                  <c:v>225</c:v>
                </c:pt>
                <c:pt idx="17">
                  <c:v>231</c:v>
                </c:pt>
                <c:pt idx="18">
                  <c:v>208</c:v>
                </c:pt>
                <c:pt idx="19">
                  <c:v>228</c:v>
                </c:pt>
              </c:numCache>
            </c:numRef>
          </c:val>
          <c:extLst>
            <c:ext xmlns:c16="http://schemas.microsoft.com/office/drawing/2014/chart" uri="{C3380CC4-5D6E-409C-BE32-E72D297353CC}">
              <c16:uniqueId val="{00000001-019A-449B-8CAF-8955836D2D71}"/>
            </c:ext>
          </c:extLst>
        </c:ser>
        <c:ser>
          <c:idx val="2"/>
          <c:order val="2"/>
          <c:tx>
            <c:strRef>
              <c:f>Sheet1!$D$21</c:f>
              <c:strCache>
                <c:ptCount val="1"/>
                <c:pt idx="0">
                  <c:v>Day 14 (g)</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numRef>
              <c:f>Sheet1!$A$22:$A$41</c:f>
              <c:numCache>
                <c:formatCode>General</c:formatCode>
                <c:ptCount val="20"/>
                <c:pt idx="0">
                  <c:v>1</c:v>
                </c:pt>
                <c:pt idx="1">
                  <c:v>2</c:v>
                </c:pt>
                <c:pt idx="2">
                  <c:v>3</c:v>
                </c:pt>
                <c:pt idx="3">
                  <c:v>4</c:v>
                </c:pt>
                <c:pt idx="4">
                  <c:v>5</c:v>
                </c:pt>
                <c:pt idx="5">
                  <c:v>6</c:v>
                </c:pt>
                <c:pt idx="7">
                  <c:v>7</c:v>
                </c:pt>
                <c:pt idx="8">
                  <c:v>8</c:v>
                </c:pt>
                <c:pt idx="9">
                  <c:v>9</c:v>
                </c:pt>
                <c:pt idx="10">
                  <c:v>10</c:v>
                </c:pt>
                <c:pt idx="11">
                  <c:v>11</c:v>
                </c:pt>
                <c:pt idx="12">
                  <c:v>12</c:v>
                </c:pt>
                <c:pt idx="14">
                  <c:v>13</c:v>
                </c:pt>
                <c:pt idx="15">
                  <c:v>14</c:v>
                </c:pt>
                <c:pt idx="16">
                  <c:v>15</c:v>
                </c:pt>
                <c:pt idx="17">
                  <c:v>16</c:v>
                </c:pt>
                <c:pt idx="18">
                  <c:v>17</c:v>
                </c:pt>
                <c:pt idx="19">
                  <c:v>18</c:v>
                </c:pt>
              </c:numCache>
            </c:numRef>
          </c:cat>
          <c:val>
            <c:numRef>
              <c:f>Sheet1!$D$22:$D$41</c:f>
              <c:numCache>
                <c:formatCode>General</c:formatCode>
                <c:ptCount val="20"/>
                <c:pt idx="0">
                  <c:v>235</c:v>
                </c:pt>
                <c:pt idx="1">
                  <c:v>245</c:v>
                </c:pt>
                <c:pt idx="2">
                  <c:v>230</c:v>
                </c:pt>
                <c:pt idx="3">
                  <c:v>250</c:v>
                </c:pt>
                <c:pt idx="4">
                  <c:v>220</c:v>
                </c:pt>
                <c:pt idx="5">
                  <c:v>242</c:v>
                </c:pt>
                <c:pt idx="7">
                  <c:v>255</c:v>
                </c:pt>
                <c:pt idx="8">
                  <c:v>225</c:v>
                </c:pt>
                <c:pt idx="9">
                  <c:v>235</c:v>
                </c:pt>
                <c:pt idx="10">
                  <c:v>248</c:v>
                </c:pt>
                <c:pt idx="11">
                  <c:v>223</c:v>
                </c:pt>
                <c:pt idx="12">
                  <c:v>241</c:v>
                </c:pt>
                <c:pt idx="14">
                  <c:v>250</c:v>
                </c:pt>
                <c:pt idx="15">
                  <c:v>226</c:v>
                </c:pt>
                <c:pt idx="16">
                  <c:v>240</c:v>
                </c:pt>
                <c:pt idx="17">
                  <c:v>246</c:v>
                </c:pt>
                <c:pt idx="18">
                  <c:v>221</c:v>
                </c:pt>
                <c:pt idx="19">
                  <c:v>243</c:v>
                </c:pt>
              </c:numCache>
            </c:numRef>
          </c:val>
          <c:extLst>
            <c:ext xmlns:c16="http://schemas.microsoft.com/office/drawing/2014/chart" uri="{C3380CC4-5D6E-409C-BE32-E72D297353CC}">
              <c16:uniqueId val="{00000002-019A-449B-8CAF-8955836D2D71}"/>
            </c:ext>
          </c:extLst>
        </c:ser>
        <c:ser>
          <c:idx val="3"/>
          <c:order val="3"/>
          <c:tx>
            <c:strRef>
              <c:f>Sheet1!$E$21</c:f>
              <c:strCache>
                <c:ptCount val="1"/>
                <c:pt idx="0">
                  <c:v>Day 28 (g)</c:v>
                </c:pt>
              </c:strCache>
            </c:strRef>
          </c:tx>
          <c:spPr>
            <a:noFill/>
            <a:ln w="9525" cap="flat" cmpd="sng" algn="ctr">
              <a:solidFill>
                <a:schemeClr val="accent4"/>
              </a:solidFill>
              <a:miter lim="800000"/>
            </a:ln>
            <a:effectLst>
              <a:glow rad="63500">
                <a:schemeClr val="accent4">
                  <a:satMod val="175000"/>
                  <a:alpha val="25000"/>
                </a:schemeClr>
              </a:glow>
            </a:effectLst>
          </c:spPr>
          <c:invertIfNegative val="0"/>
          <c:cat>
            <c:numRef>
              <c:f>Sheet1!$A$22:$A$41</c:f>
              <c:numCache>
                <c:formatCode>General</c:formatCode>
                <c:ptCount val="20"/>
                <c:pt idx="0">
                  <c:v>1</c:v>
                </c:pt>
                <c:pt idx="1">
                  <c:v>2</c:v>
                </c:pt>
                <c:pt idx="2">
                  <c:v>3</c:v>
                </c:pt>
                <c:pt idx="3">
                  <c:v>4</c:v>
                </c:pt>
                <c:pt idx="4">
                  <c:v>5</c:v>
                </c:pt>
                <c:pt idx="5">
                  <c:v>6</c:v>
                </c:pt>
                <c:pt idx="7">
                  <c:v>7</c:v>
                </c:pt>
                <c:pt idx="8">
                  <c:v>8</c:v>
                </c:pt>
                <c:pt idx="9">
                  <c:v>9</c:v>
                </c:pt>
                <c:pt idx="10">
                  <c:v>10</c:v>
                </c:pt>
                <c:pt idx="11">
                  <c:v>11</c:v>
                </c:pt>
                <c:pt idx="12">
                  <c:v>12</c:v>
                </c:pt>
                <c:pt idx="14">
                  <c:v>13</c:v>
                </c:pt>
                <c:pt idx="15">
                  <c:v>14</c:v>
                </c:pt>
                <c:pt idx="16">
                  <c:v>15</c:v>
                </c:pt>
                <c:pt idx="17">
                  <c:v>16</c:v>
                </c:pt>
                <c:pt idx="18">
                  <c:v>17</c:v>
                </c:pt>
                <c:pt idx="19">
                  <c:v>18</c:v>
                </c:pt>
              </c:numCache>
            </c:numRef>
          </c:cat>
          <c:val>
            <c:numRef>
              <c:f>Sheet1!$E$22:$E$41</c:f>
              <c:numCache>
                <c:formatCode>General</c:formatCode>
                <c:ptCount val="20"/>
                <c:pt idx="0">
                  <c:v>250</c:v>
                </c:pt>
                <c:pt idx="1">
                  <c:v>265</c:v>
                </c:pt>
                <c:pt idx="2">
                  <c:v>248</c:v>
                </c:pt>
                <c:pt idx="3">
                  <c:v>275</c:v>
                </c:pt>
                <c:pt idx="4">
                  <c:v>238</c:v>
                </c:pt>
                <c:pt idx="5">
                  <c:v>262</c:v>
                </c:pt>
                <c:pt idx="7">
                  <c:v>279</c:v>
                </c:pt>
                <c:pt idx="8">
                  <c:v>240</c:v>
                </c:pt>
                <c:pt idx="9">
                  <c:v>255</c:v>
                </c:pt>
                <c:pt idx="10">
                  <c:v>272</c:v>
                </c:pt>
                <c:pt idx="11">
                  <c:v>238</c:v>
                </c:pt>
                <c:pt idx="12">
                  <c:v>260</c:v>
                </c:pt>
                <c:pt idx="14">
                  <c:v>276</c:v>
                </c:pt>
                <c:pt idx="15">
                  <c:v>241</c:v>
                </c:pt>
                <c:pt idx="16">
                  <c:v>260</c:v>
                </c:pt>
                <c:pt idx="17">
                  <c:v>270</c:v>
                </c:pt>
                <c:pt idx="18">
                  <c:v>236</c:v>
                </c:pt>
                <c:pt idx="19">
                  <c:v>263</c:v>
                </c:pt>
              </c:numCache>
            </c:numRef>
          </c:val>
          <c:extLst>
            <c:ext xmlns:c16="http://schemas.microsoft.com/office/drawing/2014/chart" uri="{C3380CC4-5D6E-409C-BE32-E72D297353CC}">
              <c16:uniqueId val="{00000003-019A-449B-8CAF-8955836D2D71}"/>
            </c:ext>
          </c:extLst>
        </c:ser>
        <c:dLbls>
          <c:showLegendKey val="0"/>
          <c:showVal val="0"/>
          <c:showCatName val="0"/>
          <c:showSerName val="0"/>
          <c:showPercent val="0"/>
          <c:showBubbleSize val="0"/>
        </c:dLbls>
        <c:gapWidth val="315"/>
        <c:overlap val="-40"/>
        <c:axId val="527763392"/>
        <c:axId val="527764832"/>
      </c:barChart>
      <c:catAx>
        <c:axId val="52776339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US"/>
                  <a:t>Control group	                           500mg/kg group	                            1000mg/kg group</a:t>
                </a:r>
                <a:br>
                  <a:rPr lang="en-US"/>
                </a:br>
                <a:r>
                  <a:rPr lang="en-US"/>
                  <a:t>Rats</a:t>
                </a:r>
              </a:p>
              <a:p>
                <a:pPr>
                  <a:defRPr/>
                </a:pPr>
                <a:endParaRPr lang="en-ZW"/>
              </a:p>
            </c:rich>
          </c:tx>
          <c:overlay val="0"/>
          <c:spPr>
            <a:noFill/>
            <a:ln>
              <a:noFill/>
            </a:ln>
            <a:effectLst/>
          </c:spPr>
          <c:txPr>
            <a:bodyPr rot="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27764832"/>
        <c:crosses val="autoZero"/>
        <c:auto val="1"/>
        <c:lblAlgn val="ctr"/>
        <c:lblOffset val="100"/>
        <c:noMultiLvlLbl val="0"/>
      </c:catAx>
      <c:valAx>
        <c:axId val="52776483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r>
                  <a:rPr lang="en-ZW"/>
                  <a:t>Rat Weight (g)</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lumMod val="75000"/>
                    </a:schemeClr>
                  </a:solidFill>
                  <a:latin typeface="+mn-lt"/>
                  <a:ea typeface="+mn-ea"/>
                  <a:cs typeface="+mn-cs"/>
                </a:defRPr>
              </a:pPr>
              <a:endParaRPr lang="en-Z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5277633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8">
  <cs:axisTitle>
    <cs:lnRef idx="0"/>
    <cs:fillRef idx="0"/>
    <cs:effectRef idx="0"/>
    <cs:fontRef idx="minor">
      <a:schemeClr val="lt1">
        <a:lumMod val="75000"/>
      </a:schemeClr>
    </cs:fontRef>
    <cs:defRPr sz="900" b="1" kern="1200" cap="all"/>
  </cs:axisTitle>
  <cs:categoryAxis>
    <cs:lnRef idx="0"/>
    <cs:fillRef idx="0"/>
    <cs:effectRef idx="0"/>
    <cs:fontRef idx="minor">
      <a:schemeClr val="lt1">
        <a:lumMod val="75000"/>
      </a:schemeClr>
    </cs:fontRef>
    <cs:spPr>
      <a:ln w="9525" cap="flat" cmpd="sng" algn="ctr">
        <a:solidFill>
          <a:schemeClr val="lt1">
            <a:lumMod val="50000"/>
          </a:schemeClr>
        </a:solidFill>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spPr>
      <a:ln w="9525" cap="flat" cmpd="sng" algn="ctr">
        <a:solidFill>
          <a:schemeClr val="lt1">
            <a:lumMod val="50000"/>
          </a:schemeClr>
        </a:solidFill>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75000"/>
      </a:schemeClr>
    </cs:fontRef>
    <cs:spPr>
      <a:ln w="9525" cap="flat" cmpd="sng" algn="ctr">
        <a:solidFill>
          <a:schemeClr val="lt1">
            <a:lumMod val="50000"/>
          </a:schemeClr>
        </a:solidFill>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4AE13-38C7-438A-904E-C99EE71C8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Pages>
  <Words>11770</Words>
  <Characters>67093</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Exploring the Therapeutic Potential of Carpobrotus edulis Leaf Extracts in Pancreatic Insufficiency: Phytochemical Profiling and Mechanistic Insights</vt:lpstr>
    </vt:vector>
  </TitlesOfParts>
  <Company/>
  <LinksUpToDate>false</LinksUpToDate>
  <CharactersWithSpaces>78706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the Therapeutic Potential of Carpobrotus edulis Leaf Extracts in Pancreatic Insufficiency: Phytochemical Profiling and Mechanistic Insights</dc:title>
  <dc:creator>Munyaradzi Chakanyuka</dc:creator>
  <cp:lastModifiedBy>Joey chifamba</cp:lastModifiedBy>
  <cp:revision>11</cp:revision>
  <dcterms:created xsi:type="dcterms:W3CDTF">2025-06-17T04:17:00Z</dcterms:created>
  <dcterms:modified xsi:type="dcterms:W3CDTF">2025-06-22T05:53:00Z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7ee0307c363344629c72f1d06668a99c</vt:lpwstr>
  </property>
</Properties>
</file>