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6D1" w14:textId="3453A481" w:rsidR="002610DA" w:rsidRPr="0018545F" w:rsidRDefault="009E05E3" w:rsidP="0018545F">
      <w:pPr>
        <w:spacing w:line="480" w:lineRule="auto"/>
        <w:jc w:val="both"/>
        <w:rPr>
          <w:rFonts w:cs="Times New Roman"/>
          <w:b/>
          <w:bCs/>
          <w:szCs w:val="24"/>
        </w:rPr>
      </w:pPr>
      <w:r w:rsidRPr="00AF27D7">
        <w:rPr>
          <w:rFonts w:cs="Times New Roman"/>
          <w:b/>
          <w:bCs/>
          <w:i/>
          <w:iCs/>
          <w:szCs w:val="24"/>
        </w:rPr>
        <w:t>Centella lujica</w:t>
      </w:r>
      <w:r w:rsidR="00492FDF">
        <w:rPr>
          <w:rFonts w:cs="Times New Roman"/>
          <w:b/>
          <w:bCs/>
          <w:i/>
          <w:iCs/>
          <w:szCs w:val="24"/>
        </w:rPr>
        <w:t>®</w:t>
      </w:r>
      <w:r w:rsidRPr="00AF27D7">
        <w:rPr>
          <w:rFonts w:cs="Times New Roman"/>
          <w:b/>
          <w:bCs/>
          <w:szCs w:val="24"/>
        </w:rPr>
        <w:t xml:space="preserve"> supplement ameliorates depressive and anxiety-like </w:t>
      </w:r>
      <w:proofErr w:type="spellStart"/>
      <w:r w:rsidRPr="00AF27D7">
        <w:rPr>
          <w:rFonts w:cs="Times New Roman"/>
          <w:b/>
          <w:bCs/>
          <w:szCs w:val="24"/>
        </w:rPr>
        <w:t>behaviour</w:t>
      </w:r>
      <w:proofErr w:type="spellEnd"/>
      <w:r w:rsidRPr="00AF27D7">
        <w:rPr>
          <w:rFonts w:cs="Times New Roman"/>
          <w:b/>
          <w:bCs/>
          <w:szCs w:val="24"/>
        </w:rPr>
        <w:t xml:space="preserve"> in stressed mice</w:t>
      </w:r>
      <w:r w:rsidR="009313B9" w:rsidRPr="00AF27D7">
        <w:rPr>
          <w:rFonts w:cs="Times New Roman"/>
          <w:b/>
          <w:bCs/>
          <w:szCs w:val="24"/>
        </w:rPr>
        <w:t>.</w:t>
      </w:r>
    </w:p>
    <w:p w14:paraId="5B9A9BBC" w14:textId="77777777" w:rsidR="003470B5" w:rsidRDefault="009313B9" w:rsidP="003470B5">
      <w:pPr>
        <w:spacing w:line="480" w:lineRule="auto"/>
        <w:rPr>
          <w:rFonts w:cs="Times New Roman"/>
          <w:b/>
          <w:bCs/>
          <w:szCs w:val="24"/>
        </w:rPr>
      </w:pPr>
      <w:r w:rsidRPr="00AF27D7">
        <w:rPr>
          <w:rFonts w:cs="Times New Roman"/>
          <w:b/>
          <w:bCs/>
          <w:szCs w:val="24"/>
        </w:rPr>
        <w:t>Abstract</w:t>
      </w:r>
    </w:p>
    <w:p w14:paraId="39293BDC" w14:textId="1A2ACE62" w:rsidR="00D059D5" w:rsidRPr="0018545F" w:rsidRDefault="00D059D5" w:rsidP="003470B5">
      <w:pPr>
        <w:spacing w:line="480" w:lineRule="auto"/>
        <w:rPr>
          <w:rFonts w:cs="Times New Roman"/>
          <w:b/>
          <w:bCs/>
          <w:szCs w:val="24"/>
        </w:rPr>
      </w:pPr>
      <w:r w:rsidRPr="00AF27D7">
        <w:rPr>
          <w:rFonts w:eastAsia="Times New Roman" w:cs="Times New Roman"/>
          <w:szCs w:val="24"/>
        </w:rPr>
        <w:t xml:space="preserve">Depression and anxiety are prevalent neuropsychiatric disorders often exacerbated by chronic stress, necessitating the exploration of effective, natural therapeutic alternatives. </w:t>
      </w:r>
      <w:r w:rsidRPr="00AF27D7">
        <w:rPr>
          <w:rFonts w:eastAsia="Times New Roman" w:cs="Times New Roman"/>
          <w:i/>
          <w:iCs/>
          <w:szCs w:val="24"/>
        </w:rPr>
        <w:t>Centella lujica</w:t>
      </w:r>
      <w:r w:rsidRPr="00AF27D7">
        <w:rPr>
          <w:rFonts w:eastAsia="Times New Roman" w:cs="Times New Roman"/>
          <w:szCs w:val="24"/>
        </w:rPr>
        <w:t xml:space="preserve">, a known species within the </w:t>
      </w:r>
      <w:r w:rsidRPr="00AF27D7">
        <w:rPr>
          <w:rFonts w:eastAsia="Times New Roman" w:cs="Times New Roman"/>
          <w:i/>
          <w:iCs/>
          <w:szCs w:val="24"/>
        </w:rPr>
        <w:t>Centella</w:t>
      </w:r>
      <w:r w:rsidRPr="00AF27D7">
        <w:rPr>
          <w:rFonts w:eastAsia="Times New Roman" w:cs="Times New Roman"/>
          <w:szCs w:val="24"/>
        </w:rPr>
        <w:t xml:space="preserve"> genus, has shown potential neuroprotective properties due to its antioxidant and anxiolytic compounds. This study investigated the effects of </w:t>
      </w:r>
      <w:r w:rsidRPr="00AF27D7">
        <w:rPr>
          <w:rFonts w:eastAsia="Times New Roman" w:cs="Times New Roman"/>
          <w:i/>
          <w:iCs/>
          <w:szCs w:val="24"/>
        </w:rPr>
        <w:t>Centella lujica</w:t>
      </w:r>
      <w:r w:rsidRPr="00AF27D7">
        <w:rPr>
          <w:rFonts w:eastAsia="Times New Roman" w:cs="Times New Roman"/>
          <w:szCs w:val="24"/>
        </w:rPr>
        <w:t xml:space="preserve"> supplementation on depressive- and anxiety-like </w:t>
      </w:r>
      <w:proofErr w:type="spellStart"/>
      <w:r w:rsidRPr="00AF27D7">
        <w:rPr>
          <w:rFonts w:eastAsia="Times New Roman" w:cs="Times New Roman"/>
          <w:szCs w:val="24"/>
        </w:rPr>
        <w:t>behavio</w:t>
      </w:r>
      <w:r w:rsidR="00A5403D" w:rsidRPr="00AF27D7">
        <w:rPr>
          <w:rFonts w:eastAsia="Times New Roman" w:cs="Times New Roman"/>
          <w:szCs w:val="24"/>
        </w:rPr>
        <w:t>u</w:t>
      </w:r>
      <w:r w:rsidRPr="00AF27D7">
        <w:rPr>
          <w:rFonts w:eastAsia="Times New Roman" w:cs="Times New Roman"/>
          <w:szCs w:val="24"/>
        </w:rPr>
        <w:t>rs</w:t>
      </w:r>
      <w:proofErr w:type="spellEnd"/>
      <w:r w:rsidRPr="00AF27D7">
        <w:rPr>
          <w:rFonts w:eastAsia="Times New Roman" w:cs="Times New Roman"/>
          <w:szCs w:val="24"/>
        </w:rPr>
        <w:t xml:space="preserve"> in mice subjected to </w:t>
      </w:r>
      <w:r w:rsidR="0018545F" w:rsidRPr="0018545F">
        <w:rPr>
          <w:rFonts w:eastAsia="Times New Roman" w:cs="Times New Roman"/>
          <w:szCs w:val="24"/>
          <w:highlight w:val="yellow"/>
        </w:rPr>
        <w:t>14 days</w:t>
      </w:r>
      <w:r w:rsidR="0018545F">
        <w:rPr>
          <w:rFonts w:eastAsia="Times New Roman" w:cs="Times New Roman"/>
          <w:szCs w:val="24"/>
        </w:rPr>
        <w:t xml:space="preserve"> </w:t>
      </w:r>
      <w:r w:rsidRPr="00AF27D7">
        <w:rPr>
          <w:rFonts w:eastAsia="Times New Roman" w:cs="Times New Roman"/>
          <w:szCs w:val="24"/>
        </w:rPr>
        <w:t xml:space="preserve">chronic unpredictable mild stress (CUMS), a validated model of stress-induced mood disorders. </w:t>
      </w:r>
      <w:r w:rsidR="003A653E" w:rsidRPr="00AF27D7">
        <w:rPr>
          <w:rFonts w:eastAsia="Times New Roman" w:cs="Times New Roman"/>
          <w:szCs w:val="24"/>
        </w:rPr>
        <w:t>Sixty a</w:t>
      </w:r>
      <w:r w:rsidRPr="00AF27D7">
        <w:rPr>
          <w:rFonts w:eastAsia="Times New Roman" w:cs="Times New Roman"/>
          <w:szCs w:val="24"/>
        </w:rPr>
        <w:t>dult male mice were divided into f</w:t>
      </w:r>
      <w:r w:rsidR="00A5403D" w:rsidRPr="00AF27D7">
        <w:rPr>
          <w:rFonts w:eastAsia="Times New Roman" w:cs="Times New Roman"/>
          <w:szCs w:val="24"/>
        </w:rPr>
        <w:t>ive</w:t>
      </w:r>
      <w:r w:rsidRPr="00AF27D7">
        <w:rPr>
          <w:rFonts w:eastAsia="Times New Roman" w:cs="Times New Roman"/>
          <w:szCs w:val="24"/>
        </w:rPr>
        <w:t xml:space="preserve"> groups:</w:t>
      </w:r>
      <w:r w:rsidR="00A5403D" w:rsidRPr="00AF27D7">
        <w:rPr>
          <w:rFonts w:eastAsia="Times New Roman" w:cs="Times New Roman"/>
          <w:szCs w:val="24"/>
        </w:rPr>
        <w:t xml:space="preserve"> group 1 served as control, group 2 CUMS</w:t>
      </w:r>
      <w:r w:rsidRPr="00AF27D7">
        <w:rPr>
          <w:rFonts w:eastAsia="Times New Roman" w:cs="Times New Roman"/>
          <w:szCs w:val="24"/>
        </w:rPr>
        <w:t xml:space="preserve"> </w:t>
      </w:r>
      <w:r w:rsidR="00A5403D" w:rsidRPr="00AF27D7">
        <w:rPr>
          <w:rFonts w:eastAsia="Times New Roman" w:cs="Times New Roman"/>
          <w:szCs w:val="24"/>
        </w:rPr>
        <w:t xml:space="preserve">group, </w:t>
      </w:r>
      <w:r w:rsidR="0018545F" w:rsidRPr="0018545F">
        <w:rPr>
          <w:i/>
          <w:iCs/>
          <w:szCs w:val="24"/>
          <w:highlight w:val="yellow"/>
          <w:lang w:val="en-IN"/>
        </w:rPr>
        <w:t xml:space="preserve">Groups 3 and 4 received 50 mg/kg and 100 mg/kg of </w:t>
      </w:r>
      <w:proofErr w:type="spellStart"/>
      <w:r w:rsidR="0018545F" w:rsidRPr="0018545F">
        <w:rPr>
          <w:i/>
          <w:iCs/>
          <w:szCs w:val="24"/>
          <w:highlight w:val="yellow"/>
          <w:lang w:val="en-IN"/>
        </w:rPr>
        <w:t>Centella</w:t>
      </w:r>
      <w:proofErr w:type="spellEnd"/>
      <w:r w:rsidR="0018545F" w:rsidRPr="0018545F">
        <w:rPr>
          <w:i/>
          <w:iCs/>
          <w:szCs w:val="24"/>
          <w:highlight w:val="yellow"/>
          <w:lang w:val="en-IN"/>
        </w:rPr>
        <w:t xml:space="preserve"> </w:t>
      </w:r>
      <w:proofErr w:type="spellStart"/>
      <w:r w:rsidR="0018545F" w:rsidRPr="0018545F">
        <w:rPr>
          <w:i/>
          <w:iCs/>
          <w:szCs w:val="24"/>
          <w:highlight w:val="yellow"/>
          <w:lang w:val="en-IN"/>
        </w:rPr>
        <w:t>lujica</w:t>
      </w:r>
      <w:proofErr w:type="spellEnd"/>
      <w:r w:rsidR="0018545F" w:rsidRPr="0018545F">
        <w:rPr>
          <w:i/>
          <w:iCs/>
          <w:szCs w:val="24"/>
          <w:highlight w:val="yellow"/>
          <w:lang w:val="en-IN"/>
        </w:rPr>
        <w:t>, respectively, while group 5 received 10 mg/kg of imipramine</w:t>
      </w:r>
      <w:r w:rsidR="00A5403D" w:rsidRPr="0018545F">
        <w:rPr>
          <w:rFonts w:eastAsia="Times New Roman" w:cs="Times New Roman"/>
          <w:szCs w:val="24"/>
        </w:rPr>
        <w:t>.</w:t>
      </w:r>
      <w:r w:rsidR="003A653E" w:rsidRPr="00AF27D7">
        <w:rPr>
          <w:rFonts w:eastAsia="Times New Roman" w:cs="Times New Roman"/>
          <w:szCs w:val="24"/>
        </w:rPr>
        <w:t xml:space="preserve"> </w:t>
      </w:r>
      <w:proofErr w:type="spellStart"/>
      <w:r w:rsidRPr="00AF27D7">
        <w:rPr>
          <w:rFonts w:eastAsia="Times New Roman" w:cs="Times New Roman"/>
          <w:szCs w:val="24"/>
        </w:rPr>
        <w:t>Behavio</w:t>
      </w:r>
      <w:r w:rsidR="00A5403D" w:rsidRPr="00AF27D7">
        <w:rPr>
          <w:rFonts w:eastAsia="Times New Roman" w:cs="Times New Roman"/>
          <w:szCs w:val="24"/>
        </w:rPr>
        <w:t>u</w:t>
      </w:r>
      <w:r w:rsidRPr="00AF27D7">
        <w:rPr>
          <w:rFonts w:eastAsia="Times New Roman" w:cs="Times New Roman"/>
          <w:szCs w:val="24"/>
        </w:rPr>
        <w:t>ral</w:t>
      </w:r>
      <w:proofErr w:type="spellEnd"/>
      <w:r w:rsidRPr="00AF27D7">
        <w:rPr>
          <w:rFonts w:eastAsia="Times New Roman" w:cs="Times New Roman"/>
          <w:szCs w:val="24"/>
        </w:rPr>
        <w:t xml:space="preserve"> assessments</w:t>
      </w:r>
      <w:r w:rsidR="003A653E" w:rsidRPr="00AF27D7">
        <w:rPr>
          <w:rFonts w:eastAsia="Times New Roman" w:cs="Times New Roman"/>
          <w:szCs w:val="24"/>
        </w:rPr>
        <w:t xml:space="preserve"> predictive of depression and anxiety </w:t>
      </w:r>
      <w:r w:rsidRPr="00AF27D7">
        <w:rPr>
          <w:rFonts w:eastAsia="Times New Roman" w:cs="Times New Roman"/>
          <w:szCs w:val="24"/>
        </w:rPr>
        <w:t xml:space="preserve">were conducted using the </w:t>
      </w:r>
      <w:r w:rsidR="003A653E" w:rsidRPr="00AF27D7">
        <w:rPr>
          <w:rFonts w:eastAsia="Times New Roman" w:cs="Times New Roman"/>
          <w:szCs w:val="24"/>
        </w:rPr>
        <w:t>social interaction test</w:t>
      </w:r>
      <w:r w:rsidRPr="00AF27D7">
        <w:rPr>
          <w:rFonts w:eastAsia="Times New Roman" w:cs="Times New Roman"/>
          <w:szCs w:val="24"/>
        </w:rPr>
        <w:t xml:space="preserve"> (</w:t>
      </w:r>
      <w:r w:rsidR="003A653E" w:rsidRPr="00AF27D7">
        <w:rPr>
          <w:rFonts w:eastAsia="Times New Roman" w:cs="Times New Roman"/>
          <w:szCs w:val="24"/>
        </w:rPr>
        <w:t>SI</w:t>
      </w:r>
      <w:r w:rsidRPr="00AF27D7">
        <w:rPr>
          <w:rFonts w:eastAsia="Times New Roman" w:cs="Times New Roman"/>
          <w:szCs w:val="24"/>
        </w:rPr>
        <w:t xml:space="preserve">T), elevated plus maze (EPM), </w:t>
      </w:r>
      <w:r w:rsidR="003A653E" w:rsidRPr="00AF27D7">
        <w:rPr>
          <w:rFonts w:eastAsia="Times New Roman" w:cs="Times New Roman"/>
          <w:szCs w:val="24"/>
        </w:rPr>
        <w:t>light and dark transition test (L</w:t>
      </w:r>
      <w:r w:rsidR="001F1942" w:rsidRPr="00AF27D7">
        <w:rPr>
          <w:rFonts w:eastAsia="Times New Roman" w:cs="Times New Roman"/>
          <w:szCs w:val="24"/>
        </w:rPr>
        <w:t>D</w:t>
      </w:r>
      <w:r w:rsidR="003A653E" w:rsidRPr="00AF27D7">
        <w:rPr>
          <w:rFonts w:eastAsia="Times New Roman" w:cs="Times New Roman"/>
          <w:szCs w:val="24"/>
        </w:rPr>
        <w:t xml:space="preserve">T), </w:t>
      </w:r>
      <w:r w:rsidRPr="00AF27D7">
        <w:rPr>
          <w:rFonts w:eastAsia="Times New Roman" w:cs="Times New Roman"/>
          <w:szCs w:val="24"/>
        </w:rPr>
        <w:t xml:space="preserve">and </w:t>
      </w:r>
      <w:r w:rsidR="003A653E" w:rsidRPr="00AF27D7">
        <w:rPr>
          <w:rFonts w:eastAsia="Times New Roman" w:cs="Times New Roman"/>
          <w:szCs w:val="24"/>
        </w:rPr>
        <w:t>hole board test</w:t>
      </w:r>
      <w:r w:rsidRPr="00AF27D7">
        <w:rPr>
          <w:rFonts w:eastAsia="Times New Roman" w:cs="Times New Roman"/>
          <w:szCs w:val="24"/>
        </w:rPr>
        <w:t xml:space="preserve"> (</w:t>
      </w:r>
      <w:r w:rsidR="003A653E" w:rsidRPr="00AF27D7">
        <w:rPr>
          <w:rFonts w:eastAsia="Times New Roman" w:cs="Times New Roman"/>
          <w:szCs w:val="24"/>
        </w:rPr>
        <w:t>HB</w:t>
      </w:r>
      <w:r w:rsidRPr="00AF27D7">
        <w:rPr>
          <w:rFonts w:eastAsia="Times New Roman" w:cs="Times New Roman"/>
          <w:szCs w:val="24"/>
        </w:rPr>
        <w:t>T)</w:t>
      </w:r>
      <w:r w:rsidR="003A653E" w:rsidRPr="00AF27D7">
        <w:rPr>
          <w:rFonts w:eastAsia="Times New Roman" w:cs="Times New Roman"/>
          <w:szCs w:val="24"/>
        </w:rPr>
        <w:t xml:space="preserve"> as well as histological examination of the prefrontal cortex and hippocampus were carried out.</w:t>
      </w:r>
      <w:r w:rsidR="00AF4AAC" w:rsidRPr="00AF27D7">
        <w:rPr>
          <w:rFonts w:eastAsia="Times New Roman" w:cs="Times New Roman"/>
          <w:szCs w:val="24"/>
        </w:rPr>
        <w:t xml:space="preserve"> </w:t>
      </w:r>
      <w:r w:rsidR="0018545F" w:rsidRPr="0018545F">
        <w:rPr>
          <w:i/>
          <w:iCs/>
          <w:szCs w:val="24"/>
          <w:highlight w:val="yellow"/>
          <w:lang w:val="en-IN"/>
        </w:rPr>
        <w:t xml:space="preserve">Mice treated with C. </w:t>
      </w:r>
      <w:proofErr w:type="spellStart"/>
      <w:r w:rsidR="0018545F" w:rsidRPr="0018545F">
        <w:rPr>
          <w:i/>
          <w:iCs/>
          <w:szCs w:val="24"/>
          <w:highlight w:val="yellow"/>
          <w:lang w:val="en-IN"/>
        </w:rPr>
        <w:t>lujica</w:t>
      </w:r>
      <w:proofErr w:type="spellEnd"/>
      <w:r w:rsidR="0018545F" w:rsidRPr="0018545F">
        <w:rPr>
          <w:i/>
          <w:iCs/>
          <w:szCs w:val="24"/>
          <w:highlight w:val="yellow"/>
          <w:lang w:val="en-IN"/>
        </w:rPr>
        <w:t xml:space="preserve"> showed improved social interaction, reduced anxiety-like </w:t>
      </w:r>
      <w:proofErr w:type="spellStart"/>
      <w:r w:rsidR="0018545F" w:rsidRPr="0018545F">
        <w:rPr>
          <w:i/>
          <w:iCs/>
          <w:szCs w:val="24"/>
          <w:highlight w:val="yellow"/>
          <w:lang w:val="en-IN"/>
        </w:rPr>
        <w:t>behavior</w:t>
      </w:r>
      <w:proofErr w:type="spellEnd"/>
      <w:r w:rsidR="0018545F" w:rsidRPr="0018545F">
        <w:rPr>
          <w:i/>
          <w:iCs/>
          <w:szCs w:val="24"/>
          <w:highlight w:val="yellow"/>
          <w:lang w:val="en-IN"/>
        </w:rPr>
        <w:t xml:space="preserve"> in the EPM and LDT, and increased exploratory </w:t>
      </w:r>
      <w:proofErr w:type="spellStart"/>
      <w:r w:rsidR="0018545F" w:rsidRPr="0018545F">
        <w:rPr>
          <w:i/>
          <w:iCs/>
          <w:szCs w:val="24"/>
          <w:highlight w:val="yellow"/>
          <w:lang w:val="en-IN"/>
        </w:rPr>
        <w:t>behavior</w:t>
      </w:r>
      <w:proofErr w:type="spellEnd"/>
      <w:r w:rsidR="0018545F" w:rsidRPr="0018545F">
        <w:rPr>
          <w:i/>
          <w:iCs/>
          <w:szCs w:val="24"/>
          <w:highlight w:val="yellow"/>
          <w:lang w:val="en-IN"/>
        </w:rPr>
        <w:t xml:space="preserve"> in the HBT</w:t>
      </w:r>
      <w:r w:rsidR="0018545F" w:rsidRPr="00AF27D7">
        <w:rPr>
          <w:rFonts w:eastAsia="Times New Roman" w:cs="Times New Roman"/>
          <w:szCs w:val="24"/>
        </w:rPr>
        <w:t xml:space="preserve"> </w:t>
      </w:r>
      <w:r w:rsidRPr="00AF27D7">
        <w:rPr>
          <w:rFonts w:eastAsia="Times New Roman" w:cs="Times New Roman"/>
          <w:szCs w:val="24"/>
        </w:rPr>
        <w:t xml:space="preserve">indicating reduced depressive- and anxiety-like </w:t>
      </w:r>
      <w:proofErr w:type="spellStart"/>
      <w:r w:rsidRPr="00AF27D7">
        <w:rPr>
          <w:rFonts w:eastAsia="Times New Roman" w:cs="Times New Roman"/>
          <w:szCs w:val="24"/>
        </w:rPr>
        <w:t>behavio</w:t>
      </w:r>
      <w:r w:rsidR="001F1942" w:rsidRPr="00AF27D7">
        <w:rPr>
          <w:rFonts w:eastAsia="Times New Roman" w:cs="Times New Roman"/>
          <w:szCs w:val="24"/>
        </w:rPr>
        <w:t>u</w:t>
      </w:r>
      <w:r w:rsidRPr="00AF27D7">
        <w:rPr>
          <w:rFonts w:eastAsia="Times New Roman" w:cs="Times New Roman"/>
          <w:szCs w:val="24"/>
        </w:rPr>
        <w:t>rs</w:t>
      </w:r>
      <w:proofErr w:type="spellEnd"/>
      <w:r w:rsidRPr="00AF27D7">
        <w:rPr>
          <w:rFonts w:eastAsia="Times New Roman" w:cs="Times New Roman"/>
          <w:szCs w:val="24"/>
        </w:rPr>
        <w:t xml:space="preserve">. Histological analysis of the hippocampus </w:t>
      </w:r>
      <w:r w:rsidR="001F1942" w:rsidRPr="00AF27D7">
        <w:rPr>
          <w:rFonts w:eastAsia="Times New Roman" w:cs="Times New Roman"/>
          <w:szCs w:val="24"/>
        </w:rPr>
        <w:t xml:space="preserve">and prefrontal cortex </w:t>
      </w:r>
      <w:r w:rsidRPr="00AF27D7">
        <w:rPr>
          <w:rFonts w:eastAsia="Times New Roman" w:cs="Times New Roman"/>
          <w:szCs w:val="24"/>
        </w:rPr>
        <w:t xml:space="preserve">revealed improved neuronal integrity in the treatment groups. These findings suggest that </w:t>
      </w:r>
      <w:r w:rsidRPr="00AF27D7">
        <w:rPr>
          <w:rFonts w:eastAsia="Times New Roman" w:cs="Times New Roman"/>
          <w:i/>
          <w:iCs/>
          <w:szCs w:val="24"/>
        </w:rPr>
        <w:t>Centella lujica</w:t>
      </w:r>
      <w:r w:rsidRPr="00AF27D7">
        <w:rPr>
          <w:rFonts w:eastAsia="Times New Roman" w:cs="Times New Roman"/>
          <w:szCs w:val="24"/>
        </w:rPr>
        <w:t xml:space="preserve"> possesses promising antidepressant and anxiolytic properties, likely mediated through its antioxidant and neuroprotective mechanisms, and may serve as a potential adjunct in the management of stress-related mood disorders.</w:t>
      </w:r>
      <w:r w:rsidR="0018545F">
        <w:rPr>
          <w:rFonts w:eastAsia="Times New Roman" w:cs="Times New Roman"/>
          <w:szCs w:val="24"/>
        </w:rPr>
        <w:t xml:space="preserve"> </w:t>
      </w:r>
      <w:r w:rsidR="0018545F" w:rsidRPr="0018545F">
        <w:rPr>
          <w:i/>
          <w:iCs/>
          <w:szCs w:val="24"/>
          <w:highlight w:val="yellow"/>
          <w:lang w:val="en-IN"/>
        </w:rPr>
        <w:t xml:space="preserve">These changes were statistically significant (p &lt; 0.05), indicating robust </w:t>
      </w:r>
      <w:proofErr w:type="spellStart"/>
      <w:r w:rsidR="0018545F" w:rsidRPr="0018545F">
        <w:rPr>
          <w:i/>
          <w:iCs/>
          <w:szCs w:val="24"/>
          <w:highlight w:val="yellow"/>
          <w:lang w:val="en-IN"/>
        </w:rPr>
        <w:t>behavioral</w:t>
      </w:r>
      <w:proofErr w:type="spellEnd"/>
      <w:r w:rsidR="0018545F" w:rsidRPr="0018545F">
        <w:rPr>
          <w:i/>
          <w:iCs/>
          <w:szCs w:val="24"/>
          <w:highlight w:val="yellow"/>
          <w:lang w:val="en-IN"/>
        </w:rPr>
        <w:t xml:space="preserve"> effects</w:t>
      </w:r>
    </w:p>
    <w:p w14:paraId="78348C5E" w14:textId="55555E34" w:rsidR="00AF4AAC" w:rsidRDefault="00AF4AAC" w:rsidP="007B52D0">
      <w:pPr>
        <w:spacing w:line="480" w:lineRule="auto"/>
        <w:rPr>
          <w:rFonts w:cs="Times New Roman"/>
          <w:b/>
          <w:bCs/>
          <w:szCs w:val="24"/>
        </w:rPr>
      </w:pPr>
      <w:r w:rsidRPr="00AF27D7">
        <w:rPr>
          <w:rFonts w:cs="Times New Roman"/>
          <w:b/>
          <w:bCs/>
          <w:szCs w:val="24"/>
        </w:rPr>
        <w:lastRenderedPageBreak/>
        <w:t xml:space="preserve">Keywords: </w:t>
      </w:r>
      <w:r w:rsidRPr="00AF27D7">
        <w:rPr>
          <w:rFonts w:cs="Times New Roman"/>
          <w:szCs w:val="24"/>
        </w:rPr>
        <w:t>Depression</w:t>
      </w:r>
      <w:r w:rsidR="007B52D0" w:rsidRPr="00AF27D7">
        <w:rPr>
          <w:rFonts w:cs="Times New Roman"/>
          <w:szCs w:val="24"/>
        </w:rPr>
        <w:t>;</w:t>
      </w:r>
      <w:r w:rsidRPr="00AF27D7">
        <w:rPr>
          <w:rFonts w:cs="Times New Roman"/>
          <w:szCs w:val="24"/>
        </w:rPr>
        <w:t xml:space="preserve"> Anxiety</w:t>
      </w:r>
      <w:r w:rsidR="007B52D0" w:rsidRPr="00AF27D7">
        <w:rPr>
          <w:rFonts w:cs="Times New Roman"/>
          <w:szCs w:val="24"/>
        </w:rPr>
        <w:t>;</w:t>
      </w:r>
      <w:r w:rsidRPr="00AF27D7">
        <w:rPr>
          <w:rFonts w:cs="Times New Roman"/>
          <w:szCs w:val="24"/>
        </w:rPr>
        <w:t xml:space="preserve"> Stress</w:t>
      </w:r>
      <w:r w:rsidR="007B52D0" w:rsidRPr="00AF27D7">
        <w:rPr>
          <w:rFonts w:cs="Times New Roman"/>
          <w:szCs w:val="24"/>
        </w:rPr>
        <w:t>;</w:t>
      </w:r>
      <w:r w:rsidRPr="00AF27D7">
        <w:rPr>
          <w:rFonts w:cs="Times New Roman"/>
          <w:szCs w:val="24"/>
        </w:rPr>
        <w:t xml:space="preserve"> Chronic</w:t>
      </w:r>
      <w:r w:rsidR="007B52D0" w:rsidRPr="00AF27D7">
        <w:rPr>
          <w:rFonts w:cs="Times New Roman"/>
          <w:szCs w:val="24"/>
        </w:rPr>
        <w:t>;</w:t>
      </w:r>
      <w:r w:rsidRPr="00AF27D7">
        <w:rPr>
          <w:rFonts w:cs="Times New Roman"/>
          <w:szCs w:val="24"/>
        </w:rPr>
        <w:t xml:space="preserve"> </w:t>
      </w:r>
      <w:proofErr w:type="spellStart"/>
      <w:r w:rsidRPr="00AF27D7">
        <w:rPr>
          <w:rFonts w:cs="Times New Roman"/>
          <w:szCs w:val="24"/>
        </w:rPr>
        <w:t>Behaviour</w:t>
      </w:r>
      <w:proofErr w:type="spellEnd"/>
      <w:r w:rsidR="007B52D0" w:rsidRPr="00AF27D7">
        <w:rPr>
          <w:rFonts w:cs="Times New Roman"/>
          <w:szCs w:val="24"/>
        </w:rPr>
        <w:t>;</w:t>
      </w:r>
      <w:r w:rsidRPr="00AF27D7">
        <w:rPr>
          <w:rFonts w:cs="Times New Roman"/>
          <w:szCs w:val="24"/>
        </w:rPr>
        <w:t xml:space="preserve"> </w:t>
      </w:r>
      <w:r w:rsidRPr="00AF27D7">
        <w:rPr>
          <w:rFonts w:eastAsia="Times New Roman" w:cs="Times New Roman"/>
          <w:szCs w:val="24"/>
        </w:rPr>
        <w:t>Unpredictable</w:t>
      </w:r>
    </w:p>
    <w:p w14:paraId="29144920" w14:textId="77777777" w:rsidR="003470B5" w:rsidRPr="00AF27D7" w:rsidRDefault="003470B5" w:rsidP="007B52D0">
      <w:pPr>
        <w:spacing w:line="480" w:lineRule="auto"/>
        <w:rPr>
          <w:rFonts w:cs="Times New Roman"/>
          <w:b/>
          <w:bCs/>
          <w:szCs w:val="24"/>
        </w:rPr>
      </w:pPr>
    </w:p>
    <w:p w14:paraId="2A6BDDE7" w14:textId="153C5141" w:rsidR="009313B9" w:rsidRPr="007245F2" w:rsidRDefault="002C2CCA" w:rsidP="007245F2">
      <w:pPr>
        <w:pStyle w:val="ListParagraph"/>
        <w:numPr>
          <w:ilvl w:val="0"/>
          <w:numId w:val="4"/>
        </w:numPr>
        <w:spacing w:line="480" w:lineRule="auto"/>
        <w:rPr>
          <w:rFonts w:cs="Times New Roman"/>
          <w:b/>
          <w:bCs/>
          <w:szCs w:val="24"/>
        </w:rPr>
      </w:pPr>
      <w:r w:rsidRPr="007245F2">
        <w:rPr>
          <w:rFonts w:cs="Times New Roman"/>
          <w:b/>
          <w:bCs/>
          <w:szCs w:val="24"/>
        </w:rPr>
        <w:t>INTRODUCTION</w:t>
      </w:r>
    </w:p>
    <w:p w14:paraId="4B263ACE" w14:textId="770E0C60" w:rsidR="009313B9" w:rsidRPr="00AF27D7" w:rsidRDefault="009313B9" w:rsidP="007B52D0">
      <w:pPr>
        <w:spacing w:line="480" w:lineRule="auto"/>
        <w:jc w:val="both"/>
        <w:rPr>
          <w:rFonts w:cs="Times New Roman"/>
          <w:szCs w:val="24"/>
        </w:rPr>
      </w:pPr>
      <w:r w:rsidRPr="00AF27D7">
        <w:rPr>
          <w:rFonts w:cs="Times New Roman"/>
          <w:szCs w:val="24"/>
        </w:rPr>
        <w:t>Depression and anxiety are among the most prevalent neuropsychiatric disorders worldwide, contributing significantly to the global burden of disease and disability</w:t>
      </w:r>
      <w:r w:rsidR="00D446D9" w:rsidRPr="00AF27D7">
        <w:rPr>
          <w:rFonts w:cs="Times New Roman"/>
          <w:szCs w:val="24"/>
        </w:rPr>
        <w:t xml:space="preserve"> (</w:t>
      </w:r>
      <w:r w:rsidR="00D446D9" w:rsidRPr="00AF27D7">
        <w:rPr>
          <w:rFonts w:cs="Times New Roman"/>
          <w:color w:val="222222"/>
          <w:szCs w:val="24"/>
          <w:shd w:val="clear" w:color="auto" w:fill="FFFFFF"/>
        </w:rPr>
        <w:t>Anthony et al., 2025</w:t>
      </w:r>
      <w:r w:rsidR="0040756E" w:rsidRPr="00AF27D7">
        <w:rPr>
          <w:rFonts w:cs="Times New Roman"/>
          <w:color w:val="222222"/>
          <w:szCs w:val="24"/>
          <w:shd w:val="clear" w:color="auto" w:fill="FFFFFF"/>
        </w:rPr>
        <w:t>; Dong et al., 2025</w:t>
      </w:r>
      <w:r w:rsidR="00D446D9" w:rsidRPr="00AF27D7">
        <w:rPr>
          <w:rFonts w:cs="Times New Roman"/>
          <w:color w:val="222222"/>
          <w:szCs w:val="24"/>
          <w:shd w:val="clear" w:color="auto" w:fill="FFFFFF"/>
        </w:rPr>
        <w:t>)</w:t>
      </w:r>
      <w:r w:rsidRPr="00AF27D7">
        <w:rPr>
          <w:rFonts w:cs="Times New Roman"/>
          <w:szCs w:val="24"/>
        </w:rPr>
        <w:t>. These disorders are often precipitated or exacerbated by chronic stress</w:t>
      </w:r>
      <w:r w:rsidR="00B276AD" w:rsidRPr="00AF27D7">
        <w:rPr>
          <w:rFonts w:cs="Times New Roman"/>
          <w:szCs w:val="24"/>
        </w:rPr>
        <w:t xml:space="preserve"> (</w:t>
      </w:r>
      <w:r w:rsidR="00B276AD" w:rsidRPr="00AF27D7">
        <w:rPr>
          <w:rFonts w:cs="Times New Roman"/>
          <w:color w:val="222222"/>
          <w:szCs w:val="24"/>
          <w:shd w:val="clear" w:color="auto" w:fill="FFFFFF"/>
        </w:rPr>
        <w:t>Olayinka et al., 2025)</w:t>
      </w:r>
      <w:r w:rsidRPr="00AF27D7">
        <w:rPr>
          <w:rFonts w:cs="Times New Roman"/>
          <w:szCs w:val="24"/>
        </w:rPr>
        <w:t>, which triggers maladaptive neurobiological responses including dysregulation of the hypothalamic-pituitary-adrenal (HPA) axis, oxidative stress, neuroinflammation, and impaired neurogenesis (</w:t>
      </w:r>
      <w:r w:rsidR="0040756E" w:rsidRPr="00AF27D7">
        <w:rPr>
          <w:rFonts w:cs="Times New Roman"/>
          <w:color w:val="222222"/>
          <w:szCs w:val="24"/>
          <w:shd w:val="clear" w:color="auto" w:fill="FFFFFF"/>
        </w:rPr>
        <w:t>Eduviere et al., 2022</w:t>
      </w:r>
      <w:r w:rsidR="00197E9A" w:rsidRPr="00AF27D7">
        <w:rPr>
          <w:rFonts w:cs="Times New Roman"/>
          <w:color w:val="222222"/>
          <w:szCs w:val="24"/>
          <w:shd w:val="clear" w:color="auto" w:fill="FFFFFF"/>
        </w:rPr>
        <w:t>; Nady et al., 2024</w:t>
      </w:r>
      <w:r w:rsidRPr="00AF27D7">
        <w:rPr>
          <w:rFonts w:cs="Times New Roman"/>
          <w:szCs w:val="24"/>
        </w:rPr>
        <w:t>). Rodent models of chronic stress, such as restraint stress or chronic unpredictable mild stress (CUMS), have become pivotal tools for studying the pathophysiology of these disorders and testing the efficacy of novel therapeutic agents</w:t>
      </w:r>
      <w:r w:rsidR="0040756E" w:rsidRPr="00AF27D7">
        <w:rPr>
          <w:rFonts w:cs="Times New Roman"/>
          <w:szCs w:val="24"/>
        </w:rPr>
        <w:t xml:space="preserve"> (</w:t>
      </w:r>
      <w:r w:rsidR="00197E9A" w:rsidRPr="00AF27D7">
        <w:rPr>
          <w:rFonts w:cs="Times New Roman"/>
          <w:color w:val="222222"/>
          <w:szCs w:val="24"/>
          <w:shd w:val="clear" w:color="auto" w:fill="FFFFFF"/>
        </w:rPr>
        <w:t xml:space="preserve">Gyles et al., 2024; </w:t>
      </w:r>
      <w:proofErr w:type="spellStart"/>
      <w:r w:rsidR="0040756E" w:rsidRPr="00AF27D7">
        <w:rPr>
          <w:rFonts w:cs="Times New Roman"/>
          <w:color w:val="222222"/>
          <w:szCs w:val="24"/>
          <w:shd w:val="clear" w:color="auto" w:fill="FFFFFF"/>
        </w:rPr>
        <w:t>Otomewo</w:t>
      </w:r>
      <w:proofErr w:type="spellEnd"/>
      <w:r w:rsidR="0040756E" w:rsidRPr="00AF27D7">
        <w:rPr>
          <w:rFonts w:cs="Times New Roman"/>
          <w:color w:val="222222"/>
          <w:szCs w:val="24"/>
          <w:shd w:val="clear" w:color="auto" w:fill="FFFFFF"/>
        </w:rPr>
        <w:t xml:space="preserve"> et al., 2024)</w:t>
      </w:r>
      <w:r w:rsidRPr="00AF27D7">
        <w:rPr>
          <w:rFonts w:cs="Times New Roman"/>
          <w:szCs w:val="24"/>
        </w:rPr>
        <w:t>.</w:t>
      </w:r>
    </w:p>
    <w:p w14:paraId="0F75F6AE" w14:textId="0A4625D2" w:rsidR="00475D06" w:rsidRPr="003470B5" w:rsidRDefault="009313B9" w:rsidP="003470B5">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Traditional medicinal plants have gained increasing attention for their neuroprotective and mood-regulating properties. Among these, </w:t>
      </w:r>
      <w:r w:rsidRPr="00AF27D7">
        <w:rPr>
          <w:rFonts w:eastAsia="Times New Roman" w:cs="Times New Roman"/>
          <w:i/>
          <w:iCs/>
          <w:szCs w:val="24"/>
        </w:rPr>
        <w:t>Centella</w:t>
      </w:r>
      <w:r w:rsidRPr="00AF27D7">
        <w:rPr>
          <w:rFonts w:eastAsia="Times New Roman" w:cs="Times New Roman"/>
          <w:szCs w:val="24"/>
        </w:rPr>
        <w:t xml:space="preserve"> species—particularly </w:t>
      </w:r>
      <w:r w:rsidRPr="00AF27D7">
        <w:rPr>
          <w:rFonts w:eastAsia="Times New Roman" w:cs="Times New Roman"/>
          <w:i/>
          <w:iCs/>
          <w:szCs w:val="24"/>
        </w:rPr>
        <w:t>Centella asiatica</w:t>
      </w:r>
      <w:r w:rsidRPr="00AF27D7">
        <w:rPr>
          <w:rFonts w:eastAsia="Times New Roman" w:cs="Times New Roman"/>
          <w:szCs w:val="24"/>
        </w:rPr>
        <w:t xml:space="preserve">—have been well documented for their adaptogenic, anxiolytic, and antidepressant-like effects (Ren et al., 2024). These effects have been primarily attributed to triterpenoid compounds such as </w:t>
      </w:r>
      <w:proofErr w:type="spellStart"/>
      <w:r w:rsidRPr="00AF27D7">
        <w:rPr>
          <w:rFonts w:eastAsia="Times New Roman" w:cs="Times New Roman"/>
          <w:szCs w:val="24"/>
        </w:rPr>
        <w:t>asiaticoside</w:t>
      </w:r>
      <w:proofErr w:type="spellEnd"/>
      <w:r w:rsidRPr="00AF27D7">
        <w:rPr>
          <w:rFonts w:eastAsia="Times New Roman" w:cs="Times New Roman"/>
          <w:szCs w:val="24"/>
        </w:rPr>
        <w:t xml:space="preserve"> and madecassoside, which have been shown to enhance synaptic plasticity, modulate monoaminergic neurotransmission, and upregulate brain-derived neurotrophic factor (BDNF) expression (</w:t>
      </w:r>
      <w:r w:rsidR="00197E9A" w:rsidRPr="00AF27D7">
        <w:rPr>
          <w:rFonts w:cs="Times New Roman"/>
          <w:color w:val="222222"/>
          <w:szCs w:val="24"/>
          <w:shd w:val="clear" w:color="auto" w:fill="FFFFFF"/>
        </w:rPr>
        <w:t>Mando et al., 2024</w:t>
      </w:r>
      <w:r w:rsidRPr="00AF27D7">
        <w:rPr>
          <w:rFonts w:eastAsia="Times New Roman" w:cs="Times New Roman"/>
          <w:szCs w:val="24"/>
        </w:rPr>
        <w:t xml:space="preserve">; </w:t>
      </w:r>
      <w:r w:rsidR="00475D06" w:rsidRPr="00AF27D7">
        <w:rPr>
          <w:rFonts w:cs="Times New Roman"/>
          <w:color w:val="222222"/>
          <w:szCs w:val="24"/>
          <w:shd w:val="clear" w:color="auto" w:fill="FFFFFF"/>
        </w:rPr>
        <w:t>Zakaria et al., 2023</w:t>
      </w:r>
      <w:r w:rsidRPr="00AF27D7">
        <w:rPr>
          <w:rFonts w:eastAsia="Times New Roman" w:cs="Times New Roman"/>
          <w:szCs w:val="24"/>
        </w:rPr>
        <w:t xml:space="preserve">). Recently, the congener </w:t>
      </w:r>
      <w:r w:rsidRPr="00AF27D7">
        <w:rPr>
          <w:rFonts w:eastAsia="Times New Roman" w:cs="Times New Roman"/>
          <w:i/>
          <w:iCs/>
          <w:szCs w:val="24"/>
        </w:rPr>
        <w:t>Centella lujica</w:t>
      </w:r>
      <w:r w:rsidRPr="00AF27D7">
        <w:rPr>
          <w:rFonts w:eastAsia="Times New Roman" w:cs="Times New Roman"/>
          <w:szCs w:val="24"/>
        </w:rPr>
        <w:t xml:space="preserve">, native to certain parts of Africa, has drawn scientific interest due to its similar phytochemical profile and traditional usage in local ethnomedicine for calming and restorative purposes. Though relatively underexplored in comparison to </w:t>
      </w:r>
      <w:r w:rsidRPr="00AF27D7">
        <w:rPr>
          <w:rFonts w:eastAsia="Times New Roman" w:cs="Times New Roman"/>
          <w:i/>
          <w:iCs/>
          <w:szCs w:val="24"/>
        </w:rPr>
        <w:t>C. asiatica</w:t>
      </w:r>
      <w:r w:rsidRPr="00AF27D7">
        <w:rPr>
          <w:rFonts w:eastAsia="Times New Roman" w:cs="Times New Roman"/>
          <w:szCs w:val="24"/>
        </w:rPr>
        <w:t xml:space="preserve">, preliminary phytochemical screenings suggest that </w:t>
      </w:r>
      <w:r w:rsidRPr="00AF27D7">
        <w:rPr>
          <w:rFonts w:eastAsia="Times New Roman" w:cs="Times New Roman"/>
          <w:i/>
          <w:iCs/>
          <w:szCs w:val="24"/>
        </w:rPr>
        <w:t xml:space="preserve">C. </w:t>
      </w:r>
      <w:r w:rsidRPr="00AF27D7">
        <w:rPr>
          <w:rFonts w:eastAsia="Times New Roman" w:cs="Times New Roman"/>
          <w:i/>
          <w:iCs/>
          <w:szCs w:val="24"/>
        </w:rPr>
        <w:lastRenderedPageBreak/>
        <w:t>lujica</w:t>
      </w:r>
      <w:r w:rsidRPr="00AF27D7">
        <w:rPr>
          <w:rFonts w:eastAsia="Times New Roman" w:cs="Times New Roman"/>
          <w:szCs w:val="24"/>
        </w:rPr>
        <w:t xml:space="preserve"> contains bioactive flavonoids, saponins, and triterpenoids that may confer neuroprotective and mood-stabilizing effects (</w:t>
      </w:r>
      <w:r w:rsidR="00475D06" w:rsidRPr="00AF27D7">
        <w:rPr>
          <w:rFonts w:cs="Times New Roman"/>
          <w:color w:val="222222"/>
          <w:szCs w:val="24"/>
          <w:shd w:val="clear" w:color="auto" w:fill="FFFFFF"/>
        </w:rPr>
        <w:t>Anthony et al., 2025; Eduviere et al., 2022</w:t>
      </w:r>
      <w:r w:rsidRPr="00AF27D7">
        <w:rPr>
          <w:rFonts w:eastAsia="Times New Roman" w:cs="Times New Roman"/>
          <w:szCs w:val="24"/>
        </w:rPr>
        <w:t xml:space="preserve">). However, empirical data on its neurobehavioral impact, particularly under stress conditions, remains limited. This study investigates the potential of </w:t>
      </w:r>
      <w:r w:rsidRPr="00AF27D7">
        <w:rPr>
          <w:rFonts w:eastAsia="Times New Roman" w:cs="Times New Roman"/>
          <w:i/>
          <w:iCs/>
          <w:szCs w:val="24"/>
        </w:rPr>
        <w:t>Centella lujica</w:t>
      </w:r>
      <w:r w:rsidRPr="00AF27D7">
        <w:rPr>
          <w:rFonts w:eastAsia="Times New Roman" w:cs="Times New Roman"/>
          <w:szCs w:val="24"/>
        </w:rPr>
        <w:t xml:space="preserve"> supplementation in ameliorating depressive and anxiety-like behaviors in mice subjected to chronic unpredictable mild stress CUMS. We hypothesize that chronic administration of </w:t>
      </w:r>
      <w:r w:rsidRPr="00AF27D7">
        <w:rPr>
          <w:rFonts w:eastAsia="Times New Roman" w:cs="Times New Roman"/>
          <w:i/>
          <w:iCs/>
          <w:szCs w:val="24"/>
        </w:rPr>
        <w:t>C. lujica</w:t>
      </w:r>
      <w:r w:rsidRPr="00AF27D7">
        <w:rPr>
          <w:rFonts w:eastAsia="Times New Roman" w:cs="Times New Roman"/>
          <w:szCs w:val="24"/>
        </w:rPr>
        <w:t xml:space="preserve"> extract will attenuate behavioral indices of depression and anxiety in stressed mice. This research not only contributes to the scientific validation of traditional herbal medicine but also opens a new avenue for the development of plant-based adjunct therapies for mood disorders.</w:t>
      </w:r>
    </w:p>
    <w:p w14:paraId="38DC14A2" w14:textId="2F72A9AD" w:rsidR="009313B9" w:rsidRPr="007245F2" w:rsidRDefault="009313B9" w:rsidP="007245F2">
      <w:pPr>
        <w:pStyle w:val="ListParagraph"/>
        <w:numPr>
          <w:ilvl w:val="0"/>
          <w:numId w:val="4"/>
        </w:numPr>
        <w:spacing w:line="480" w:lineRule="auto"/>
        <w:jc w:val="both"/>
        <w:rPr>
          <w:rFonts w:cs="Times New Roman"/>
          <w:b/>
          <w:bCs/>
          <w:color w:val="000000" w:themeColor="text1"/>
          <w:szCs w:val="24"/>
        </w:rPr>
      </w:pPr>
      <w:r w:rsidRPr="007245F2">
        <w:rPr>
          <w:rFonts w:cs="Times New Roman"/>
          <w:b/>
          <w:bCs/>
          <w:color w:val="000000" w:themeColor="text1"/>
          <w:szCs w:val="24"/>
        </w:rPr>
        <w:t>MATERIALS AND METHODS</w:t>
      </w:r>
    </w:p>
    <w:p w14:paraId="6E105DF2" w14:textId="77777777" w:rsidR="009313B9" w:rsidRPr="00AF27D7" w:rsidRDefault="009313B9" w:rsidP="007B52D0">
      <w:pPr>
        <w:spacing w:after="0" w:line="480" w:lineRule="auto"/>
        <w:jc w:val="both"/>
        <w:rPr>
          <w:rFonts w:cs="Times New Roman"/>
          <w:color w:val="000000" w:themeColor="text1"/>
          <w:szCs w:val="24"/>
        </w:rPr>
      </w:pPr>
      <w:r w:rsidRPr="00AF27D7">
        <w:rPr>
          <w:rFonts w:cs="Times New Roman"/>
          <w:b/>
          <w:color w:val="000000" w:themeColor="text1"/>
          <w:szCs w:val="24"/>
        </w:rPr>
        <w:t>Experimental Animals</w:t>
      </w:r>
    </w:p>
    <w:p w14:paraId="2B580EB0" w14:textId="4025B0EC" w:rsidR="009313B9" w:rsidRPr="003470B5" w:rsidRDefault="009313B9" w:rsidP="007B52D0">
      <w:pPr>
        <w:spacing w:after="0" w:line="480" w:lineRule="auto"/>
        <w:jc w:val="both"/>
        <w:rPr>
          <w:rFonts w:cs="Times New Roman"/>
          <w:szCs w:val="24"/>
        </w:rPr>
      </w:pPr>
      <w:r w:rsidRPr="00AF27D7">
        <w:rPr>
          <w:rFonts w:cs="Times New Roman"/>
          <w:szCs w:val="24"/>
        </w:rPr>
        <w:t xml:space="preserve">Sixty (60) adult albino Swiss mice weighing 25-28 g used in the study were obtained from the Central Animal House, Delta State University, Abraka and were housed in plastic cages at room temperature. They were fed with balanced rodent pellet diet and water </w:t>
      </w:r>
      <w:r w:rsidRPr="00AF27D7">
        <w:rPr>
          <w:rFonts w:cs="Times New Roman"/>
          <w:i/>
          <w:iCs/>
          <w:szCs w:val="24"/>
        </w:rPr>
        <w:t>ad</w:t>
      </w:r>
      <w:r w:rsidRPr="00AF27D7">
        <w:rPr>
          <w:rFonts w:cs="Times New Roman"/>
          <w:szCs w:val="24"/>
        </w:rPr>
        <w:t xml:space="preserve"> libitum. Mice were acclimatized for at least one week before commencement of experiments. All experimental procedures were performed in accordance with the Guide for Care and Use of Laboratory Animal (NIH guidelines), and approval was </w:t>
      </w:r>
      <w:r w:rsidR="0059255C" w:rsidRPr="00AF27D7">
        <w:rPr>
          <w:rFonts w:cs="Times New Roman"/>
          <w:szCs w:val="24"/>
        </w:rPr>
        <w:t>gotten</w:t>
      </w:r>
      <w:r w:rsidRPr="00AF27D7">
        <w:rPr>
          <w:rFonts w:cs="Times New Roman"/>
          <w:szCs w:val="24"/>
        </w:rPr>
        <w:t xml:space="preserve"> from the Faculty of Basic Medical Sciences ethical committee (RBC/FBMC/DELSU/25/660).</w:t>
      </w:r>
    </w:p>
    <w:p w14:paraId="14B78F5F" w14:textId="77777777" w:rsidR="003470B5" w:rsidRDefault="003470B5" w:rsidP="007B52D0">
      <w:pPr>
        <w:spacing w:after="0" w:line="480" w:lineRule="auto"/>
        <w:jc w:val="both"/>
        <w:rPr>
          <w:rFonts w:cs="Times New Roman"/>
          <w:b/>
          <w:color w:val="000000" w:themeColor="text1"/>
          <w:szCs w:val="24"/>
        </w:rPr>
      </w:pPr>
    </w:p>
    <w:p w14:paraId="6C3848CE" w14:textId="45B39067" w:rsidR="009313B9" w:rsidRPr="00AF27D7" w:rsidRDefault="009313B9" w:rsidP="007B52D0">
      <w:pPr>
        <w:spacing w:after="0" w:line="480" w:lineRule="auto"/>
        <w:jc w:val="both"/>
        <w:rPr>
          <w:rFonts w:cs="Times New Roman"/>
          <w:b/>
          <w:color w:val="000000" w:themeColor="text1"/>
          <w:szCs w:val="24"/>
        </w:rPr>
      </w:pPr>
      <w:r w:rsidRPr="00AF27D7">
        <w:rPr>
          <w:rFonts w:cs="Times New Roman"/>
          <w:b/>
          <w:color w:val="000000" w:themeColor="text1"/>
          <w:szCs w:val="24"/>
        </w:rPr>
        <w:t>Equipment and Apparatus</w:t>
      </w:r>
    </w:p>
    <w:p w14:paraId="39D5A35D" w14:textId="5E9D551C" w:rsidR="009313B9" w:rsidRPr="00AF27D7" w:rsidRDefault="002C14D6" w:rsidP="007B52D0">
      <w:pPr>
        <w:spacing w:after="100" w:afterAutospacing="1" w:line="480" w:lineRule="auto"/>
        <w:jc w:val="both"/>
        <w:outlineLvl w:val="2"/>
        <w:rPr>
          <w:rFonts w:cs="Times New Roman"/>
          <w:szCs w:val="24"/>
        </w:rPr>
      </w:pPr>
      <w:r w:rsidRPr="00AF27D7">
        <w:rPr>
          <w:rFonts w:cs="Times New Roman"/>
          <w:szCs w:val="24"/>
        </w:rPr>
        <w:t xml:space="preserve">ATKE Centrifuge model C-250 (2023), </w:t>
      </w:r>
      <w:proofErr w:type="spellStart"/>
      <w:r w:rsidRPr="00AF27D7">
        <w:rPr>
          <w:rFonts w:cs="Times New Roman"/>
          <w:szCs w:val="24"/>
        </w:rPr>
        <w:t>Equitron</w:t>
      </w:r>
      <w:proofErr w:type="spellEnd"/>
      <w:r w:rsidRPr="00AF27D7">
        <w:rPr>
          <w:rFonts w:cs="Times New Roman"/>
          <w:szCs w:val="24"/>
        </w:rPr>
        <w:t xml:space="preserve"> Water Bath EWB-30 (2023), Spectrophotometer Inesa 752N Pro (2023), pH meter EDT 3000 (2023), </w:t>
      </w:r>
      <w:proofErr w:type="spellStart"/>
      <w:r w:rsidRPr="00AF27D7">
        <w:rPr>
          <w:rFonts w:cs="Times New Roman"/>
          <w:szCs w:val="24"/>
        </w:rPr>
        <w:t>BioTrack</w:t>
      </w:r>
      <w:proofErr w:type="spellEnd"/>
      <w:r w:rsidRPr="00AF27D7">
        <w:rPr>
          <w:rFonts w:cs="Times New Roman"/>
          <w:szCs w:val="24"/>
        </w:rPr>
        <w:t xml:space="preserve"> Social interaction Chamber (2023), Behavioral Light and dark transition (2023), Behavioral Elevated plus Maze (2023), Behavioral </w:t>
      </w:r>
      <w:r w:rsidRPr="00AF27D7">
        <w:rPr>
          <w:rFonts w:cs="Times New Roman"/>
          <w:szCs w:val="24"/>
        </w:rPr>
        <w:lastRenderedPageBreak/>
        <w:t xml:space="preserve">Hole board apparatus (2023), weighing balance Ohaus Scout SPX (2023), test tubes Pyrex Test Tubes (2023), Eppendorf tubes Eppendorf Safe-Lock Tubes (2023), tube racks </w:t>
      </w:r>
      <w:proofErr w:type="spellStart"/>
      <w:r w:rsidRPr="00AF27D7">
        <w:rPr>
          <w:rFonts w:cs="Times New Roman"/>
          <w:szCs w:val="24"/>
        </w:rPr>
        <w:t>Labcon</w:t>
      </w:r>
      <w:proofErr w:type="spellEnd"/>
      <w:r w:rsidRPr="00AF27D7">
        <w:rPr>
          <w:rFonts w:cs="Times New Roman"/>
          <w:szCs w:val="24"/>
        </w:rPr>
        <w:t xml:space="preserve"> Tube Rack (2023), plastic cylinders Corning 50-mL Conical Centrifuge Tubes (2023), </w:t>
      </w:r>
      <w:r w:rsidRPr="00AF27D7">
        <w:rPr>
          <w:rFonts w:eastAsia="Times New Roman" w:cs="Times New Roman"/>
          <w:szCs w:val="24"/>
        </w:rPr>
        <w:t>R. Michael Dissection Kit (2023)</w:t>
      </w:r>
      <w:r w:rsidRPr="00AF27D7">
        <w:rPr>
          <w:rFonts w:eastAsia="Times New Roman" w:cs="Times New Roman"/>
          <w:b/>
          <w:bCs/>
          <w:color w:val="175057"/>
          <w:szCs w:val="24"/>
        </w:rPr>
        <w:t xml:space="preserve"> </w:t>
      </w:r>
      <w:r w:rsidRPr="00AF27D7">
        <w:rPr>
          <w:rFonts w:cs="Times New Roman"/>
          <w:szCs w:val="24"/>
        </w:rPr>
        <w:t xml:space="preserve">and boards. </w:t>
      </w:r>
    </w:p>
    <w:p w14:paraId="53E8FF80" w14:textId="77777777" w:rsidR="009313B9" w:rsidRPr="00AF27D7" w:rsidRDefault="009313B9" w:rsidP="007B52D0">
      <w:pPr>
        <w:autoSpaceDE w:val="0"/>
        <w:autoSpaceDN w:val="0"/>
        <w:adjustRightInd w:val="0"/>
        <w:spacing w:after="0" w:line="480" w:lineRule="auto"/>
        <w:jc w:val="both"/>
        <w:rPr>
          <w:rFonts w:cs="Times New Roman"/>
          <w:b/>
          <w:color w:val="000000" w:themeColor="text1"/>
          <w:szCs w:val="24"/>
        </w:rPr>
      </w:pPr>
      <w:r w:rsidRPr="00AF27D7">
        <w:rPr>
          <w:rFonts w:cs="Times New Roman"/>
          <w:b/>
          <w:color w:val="000000" w:themeColor="text1"/>
          <w:szCs w:val="24"/>
        </w:rPr>
        <w:t>Drugs and Chemicals.</w:t>
      </w:r>
    </w:p>
    <w:p w14:paraId="2C9EADBD" w14:textId="423F14C7" w:rsidR="009313B9" w:rsidRPr="00AF27D7" w:rsidRDefault="009313B9" w:rsidP="007B52D0">
      <w:pPr>
        <w:autoSpaceDE w:val="0"/>
        <w:autoSpaceDN w:val="0"/>
        <w:adjustRightInd w:val="0"/>
        <w:spacing w:after="0" w:line="480" w:lineRule="auto"/>
        <w:jc w:val="both"/>
        <w:rPr>
          <w:rFonts w:cs="Times New Roman"/>
          <w:b/>
          <w:color w:val="000000" w:themeColor="text1"/>
          <w:szCs w:val="24"/>
        </w:rPr>
      </w:pPr>
      <w:r w:rsidRPr="00AF27D7">
        <w:rPr>
          <w:rFonts w:cs="Times New Roman"/>
          <w:i/>
          <w:color w:val="000000" w:themeColor="text1"/>
          <w:szCs w:val="24"/>
        </w:rPr>
        <w:t>Centella lujica</w:t>
      </w:r>
      <w:r w:rsidRPr="00AF27D7">
        <w:rPr>
          <w:rFonts w:cs="Times New Roman"/>
          <w:color w:val="000000" w:themeColor="text1"/>
          <w:szCs w:val="24"/>
        </w:rPr>
        <w:t xml:space="preserve">, </w:t>
      </w:r>
      <w:r w:rsidR="0059255C" w:rsidRPr="00AF27D7">
        <w:rPr>
          <w:rFonts w:cs="Times New Roman"/>
          <w:color w:val="000000" w:themeColor="text1"/>
          <w:szCs w:val="24"/>
        </w:rPr>
        <w:t>I</w:t>
      </w:r>
      <w:r w:rsidRPr="00AF27D7">
        <w:rPr>
          <w:rFonts w:cs="Times New Roman"/>
          <w:color w:val="000000" w:themeColor="text1"/>
          <w:szCs w:val="24"/>
        </w:rPr>
        <w:t xml:space="preserve">mipramine, trichloroacetic acid—TCA (Burgoyne </w:t>
      </w:r>
      <w:proofErr w:type="spellStart"/>
      <w:r w:rsidRPr="00AF27D7">
        <w:rPr>
          <w:rFonts w:cs="Times New Roman"/>
          <w:color w:val="000000" w:themeColor="text1"/>
          <w:szCs w:val="24"/>
        </w:rPr>
        <w:t>Burbidges</w:t>
      </w:r>
      <w:proofErr w:type="spellEnd"/>
      <w:r w:rsidRPr="00AF27D7">
        <w:rPr>
          <w:rFonts w:cs="Times New Roman"/>
          <w:color w:val="000000" w:themeColor="text1"/>
          <w:szCs w:val="24"/>
        </w:rPr>
        <w:t xml:space="preserve"> &amp; Co., Mumbai, India), </w:t>
      </w:r>
      <w:proofErr w:type="spellStart"/>
      <w:r w:rsidRPr="00AF27D7">
        <w:rPr>
          <w:rFonts w:cs="Times New Roman"/>
          <w:color w:val="000000" w:themeColor="text1"/>
          <w:szCs w:val="24"/>
        </w:rPr>
        <w:t>thiobarbituric</w:t>
      </w:r>
      <w:proofErr w:type="spellEnd"/>
      <w:r w:rsidRPr="00AF27D7">
        <w:rPr>
          <w:rFonts w:cs="Times New Roman"/>
          <w:color w:val="000000" w:themeColor="text1"/>
          <w:szCs w:val="24"/>
        </w:rPr>
        <w:t xml:space="preserve"> acid—TBA (Guangdong Guanghua Chemical Factory Co., Ltd.) 5,5′- </w:t>
      </w:r>
      <w:proofErr w:type="spellStart"/>
      <w:r w:rsidRPr="00AF27D7">
        <w:rPr>
          <w:rFonts w:cs="Times New Roman"/>
          <w:color w:val="000000" w:themeColor="text1"/>
          <w:szCs w:val="24"/>
        </w:rPr>
        <w:t>dithio</w:t>
      </w:r>
      <w:proofErr w:type="spellEnd"/>
      <w:r w:rsidRPr="00AF27D7">
        <w:rPr>
          <w:rFonts w:cs="Times New Roman"/>
          <w:color w:val="000000" w:themeColor="text1"/>
          <w:szCs w:val="24"/>
        </w:rPr>
        <w:t xml:space="preserve">-bis (2-nitrobenzoic acid)—DTNB (Aldrich, Germany) and Tris (hydroxymethyl)-amino-methane (Tris-buffer) (Hopkin &amp; Williams Company, USA) </w:t>
      </w:r>
      <w:r w:rsidR="002C14D6" w:rsidRPr="00AF27D7">
        <w:rPr>
          <w:rFonts w:cs="Times New Roman"/>
          <w:color w:val="000000" w:themeColor="text1"/>
          <w:szCs w:val="24"/>
        </w:rPr>
        <w:t>were</w:t>
      </w:r>
      <w:r w:rsidRPr="00AF27D7">
        <w:rPr>
          <w:rFonts w:cs="Times New Roman"/>
          <w:color w:val="000000" w:themeColor="text1"/>
          <w:szCs w:val="24"/>
        </w:rPr>
        <w:t xml:space="preserve"> used in the study.</w:t>
      </w:r>
    </w:p>
    <w:p w14:paraId="589C4C3B" w14:textId="77777777" w:rsidR="002C14D6" w:rsidRPr="00AF27D7" w:rsidRDefault="002C14D6" w:rsidP="007B52D0">
      <w:pPr>
        <w:autoSpaceDE w:val="0"/>
        <w:autoSpaceDN w:val="0"/>
        <w:adjustRightInd w:val="0"/>
        <w:spacing w:after="0" w:line="480" w:lineRule="auto"/>
        <w:jc w:val="both"/>
        <w:rPr>
          <w:rFonts w:cs="Times New Roman"/>
          <w:b/>
          <w:color w:val="000000" w:themeColor="text1"/>
          <w:szCs w:val="24"/>
        </w:rPr>
      </w:pPr>
    </w:p>
    <w:p w14:paraId="549E8BAF" w14:textId="77777777" w:rsidR="009313B9" w:rsidRPr="00AF27D7" w:rsidRDefault="009313B9" w:rsidP="007B52D0">
      <w:pPr>
        <w:spacing w:after="0" w:line="480" w:lineRule="auto"/>
        <w:jc w:val="both"/>
        <w:rPr>
          <w:rFonts w:cs="Times New Roman"/>
          <w:b/>
          <w:color w:val="000000" w:themeColor="text1"/>
          <w:szCs w:val="24"/>
        </w:rPr>
      </w:pPr>
      <w:r w:rsidRPr="00AF27D7">
        <w:rPr>
          <w:rFonts w:cs="Times New Roman"/>
          <w:b/>
          <w:color w:val="000000" w:themeColor="text1"/>
          <w:szCs w:val="24"/>
        </w:rPr>
        <w:t>Chronic Unpredictable Mild Stress (CUMS) Protocol</w:t>
      </w:r>
    </w:p>
    <w:p w14:paraId="2711856D" w14:textId="01011A17" w:rsidR="000B0881" w:rsidRPr="00AF27D7" w:rsidRDefault="009313B9" w:rsidP="003470B5">
      <w:pPr>
        <w:spacing w:after="0" w:line="480" w:lineRule="auto"/>
        <w:jc w:val="both"/>
        <w:rPr>
          <w:rFonts w:cs="Times New Roman"/>
          <w:color w:val="000000" w:themeColor="text1"/>
          <w:szCs w:val="24"/>
        </w:rPr>
      </w:pPr>
      <w:r w:rsidRPr="00AF27D7">
        <w:rPr>
          <w:rFonts w:cs="Times New Roman"/>
          <w:color w:val="000000" w:themeColor="text1"/>
          <w:szCs w:val="24"/>
        </w:rPr>
        <w:t>The procedure for CUMS was performed as previously described by</w:t>
      </w:r>
      <w:r w:rsidRPr="00AF27D7">
        <w:rPr>
          <w:rFonts w:cs="Times New Roman"/>
          <w:szCs w:val="24"/>
        </w:rPr>
        <w:t xml:space="preserve"> </w:t>
      </w:r>
      <w:r w:rsidRPr="00AF27D7">
        <w:rPr>
          <w:rFonts w:cs="Times New Roman"/>
          <w:color w:val="000000" w:themeColor="text1"/>
          <w:szCs w:val="24"/>
        </w:rPr>
        <w:t xml:space="preserve">Katz </w:t>
      </w:r>
      <w:r w:rsidRPr="00AF27D7">
        <w:rPr>
          <w:rFonts w:cs="Times New Roman"/>
          <w:i/>
          <w:iCs/>
          <w:color w:val="000000" w:themeColor="text1"/>
          <w:szCs w:val="24"/>
        </w:rPr>
        <w:t>et al</w:t>
      </w:r>
      <w:r w:rsidRPr="00AF27D7">
        <w:rPr>
          <w:rFonts w:cs="Times New Roman"/>
          <w:color w:val="000000" w:themeColor="text1"/>
          <w:szCs w:val="24"/>
        </w:rPr>
        <w:t xml:space="preserve">., 1981; Willner </w:t>
      </w:r>
      <w:r w:rsidRPr="00AF27D7">
        <w:rPr>
          <w:rFonts w:cs="Times New Roman"/>
          <w:i/>
          <w:iCs/>
          <w:color w:val="000000" w:themeColor="text1"/>
          <w:szCs w:val="24"/>
        </w:rPr>
        <w:t>et al</w:t>
      </w:r>
      <w:r w:rsidRPr="00AF27D7">
        <w:rPr>
          <w:rFonts w:cs="Times New Roman"/>
          <w:color w:val="000000" w:themeColor="text1"/>
          <w:szCs w:val="24"/>
        </w:rPr>
        <w:t xml:space="preserve">., 1987, with some modifications as stated by Olayinka </w:t>
      </w:r>
      <w:r w:rsidRPr="00AF27D7">
        <w:rPr>
          <w:rFonts w:cs="Times New Roman"/>
          <w:i/>
          <w:iCs/>
          <w:color w:val="000000" w:themeColor="text1"/>
          <w:szCs w:val="24"/>
        </w:rPr>
        <w:t>et al</w:t>
      </w:r>
      <w:r w:rsidRPr="00AF27D7">
        <w:rPr>
          <w:rFonts w:cs="Times New Roman"/>
          <w:color w:val="000000" w:themeColor="text1"/>
          <w:szCs w:val="24"/>
        </w:rPr>
        <w:t>., 2023. Mice were subjected to CUMS for two weeks and were subjected to different stressors daily in a randomized manner. Experimental animals were exposed to two different types of stressors each day in a manner unpredictable to them. These stressors were randomly scheduled in the first week and alternated in the second week. All the stressors were applied individually and regularly during the day and at night. The control animals were not disturbed in their home cages except during regular cage cleaning and weighing of animals.</w:t>
      </w:r>
    </w:p>
    <w:p w14:paraId="6C110220" w14:textId="77777777" w:rsidR="003470B5" w:rsidRDefault="003470B5" w:rsidP="007B52D0">
      <w:pPr>
        <w:spacing w:line="480" w:lineRule="auto"/>
        <w:jc w:val="both"/>
        <w:rPr>
          <w:rFonts w:cs="Times New Roman"/>
          <w:b/>
          <w:bCs/>
          <w:color w:val="000000" w:themeColor="text1"/>
          <w:szCs w:val="24"/>
        </w:rPr>
      </w:pPr>
    </w:p>
    <w:p w14:paraId="4AFED58E" w14:textId="02E6BDA1" w:rsidR="009313B9" w:rsidRPr="00AF27D7" w:rsidRDefault="00F566BB" w:rsidP="007B52D0">
      <w:pPr>
        <w:spacing w:line="480" w:lineRule="auto"/>
        <w:jc w:val="both"/>
        <w:rPr>
          <w:rFonts w:cs="Times New Roman"/>
          <w:b/>
          <w:bCs/>
          <w:color w:val="000000" w:themeColor="text1"/>
          <w:szCs w:val="24"/>
        </w:rPr>
      </w:pPr>
      <w:r>
        <w:rPr>
          <w:rFonts w:cs="Times New Roman"/>
          <w:b/>
          <w:bCs/>
          <w:color w:val="000000" w:themeColor="text1"/>
          <w:szCs w:val="24"/>
        </w:rPr>
        <w:t xml:space="preserve">List </w:t>
      </w:r>
      <w:proofErr w:type="gramStart"/>
      <w:r>
        <w:rPr>
          <w:rFonts w:cs="Times New Roman"/>
          <w:b/>
          <w:bCs/>
          <w:color w:val="000000" w:themeColor="text1"/>
          <w:szCs w:val="24"/>
        </w:rPr>
        <w:t>1 :</w:t>
      </w:r>
      <w:proofErr w:type="gramEnd"/>
      <w:r>
        <w:rPr>
          <w:rFonts w:cs="Times New Roman"/>
          <w:b/>
          <w:bCs/>
          <w:color w:val="000000" w:themeColor="text1"/>
          <w:szCs w:val="24"/>
        </w:rPr>
        <w:t xml:space="preserve"> </w:t>
      </w:r>
      <w:r w:rsidR="009313B9" w:rsidRPr="00AF27D7">
        <w:rPr>
          <w:rFonts w:cs="Times New Roman"/>
          <w:b/>
          <w:bCs/>
          <w:color w:val="000000" w:themeColor="text1"/>
          <w:szCs w:val="24"/>
        </w:rPr>
        <w:t xml:space="preserve">Stressors Applied for Chronic Unpredictable Mild Stress Paradigm </w:t>
      </w:r>
    </w:p>
    <w:tbl>
      <w:tblPr>
        <w:tblStyle w:val="TableGrid"/>
        <w:tblW w:w="0" w:type="auto"/>
        <w:tblInd w:w="5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380"/>
      </w:tblGrid>
      <w:tr w:rsidR="009313B9" w:rsidRPr="00AF27D7" w14:paraId="60CE7B73" w14:textId="77777777" w:rsidTr="008C0946">
        <w:tc>
          <w:tcPr>
            <w:tcW w:w="805" w:type="dxa"/>
            <w:tcBorders>
              <w:bottom w:val="single" w:sz="4" w:space="0" w:color="auto"/>
            </w:tcBorders>
          </w:tcPr>
          <w:p w14:paraId="2D5378D6" w14:textId="77777777" w:rsidR="009313B9" w:rsidRPr="00AF27D7" w:rsidRDefault="009313B9" w:rsidP="007B52D0">
            <w:pPr>
              <w:tabs>
                <w:tab w:val="left" w:pos="1943"/>
              </w:tabs>
              <w:spacing w:line="480" w:lineRule="auto"/>
              <w:jc w:val="both"/>
              <w:rPr>
                <w:rFonts w:cs="Times New Roman"/>
                <w:b/>
                <w:bCs/>
                <w:color w:val="000000" w:themeColor="text1"/>
                <w:szCs w:val="24"/>
              </w:rPr>
            </w:pPr>
            <w:r w:rsidRPr="00AF27D7">
              <w:rPr>
                <w:rFonts w:cs="Times New Roman"/>
                <w:b/>
                <w:bCs/>
                <w:color w:val="000000" w:themeColor="text1"/>
                <w:szCs w:val="24"/>
              </w:rPr>
              <w:lastRenderedPageBreak/>
              <w:t>Days</w:t>
            </w:r>
          </w:p>
        </w:tc>
        <w:tc>
          <w:tcPr>
            <w:tcW w:w="7380" w:type="dxa"/>
            <w:tcBorders>
              <w:bottom w:val="single" w:sz="4" w:space="0" w:color="auto"/>
            </w:tcBorders>
          </w:tcPr>
          <w:p w14:paraId="764F71D2" w14:textId="77777777" w:rsidR="009313B9" w:rsidRPr="00AF27D7" w:rsidRDefault="009313B9" w:rsidP="007B52D0">
            <w:pPr>
              <w:spacing w:line="480" w:lineRule="auto"/>
              <w:jc w:val="both"/>
              <w:rPr>
                <w:rFonts w:cs="Times New Roman"/>
                <w:b/>
                <w:bCs/>
                <w:color w:val="000000" w:themeColor="text1"/>
                <w:szCs w:val="24"/>
              </w:rPr>
            </w:pPr>
            <w:r w:rsidRPr="00AF27D7">
              <w:rPr>
                <w:rFonts w:cs="Times New Roman"/>
                <w:b/>
                <w:bCs/>
                <w:color w:val="000000" w:themeColor="text1"/>
                <w:szCs w:val="24"/>
              </w:rPr>
              <w:t>Stressors and Duration</w:t>
            </w:r>
          </w:p>
        </w:tc>
      </w:tr>
      <w:tr w:rsidR="009313B9" w:rsidRPr="00AF27D7" w14:paraId="35AEB5C8" w14:textId="77777777" w:rsidTr="008C0946">
        <w:tc>
          <w:tcPr>
            <w:tcW w:w="805" w:type="dxa"/>
            <w:tcBorders>
              <w:top w:val="single" w:sz="4" w:space="0" w:color="auto"/>
            </w:tcBorders>
          </w:tcPr>
          <w:p w14:paraId="6C62D5D9"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w:t>
            </w:r>
          </w:p>
        </w:tc>
        <w:tc>
          <w:tcPr>
            <w:tcW w:w="7380" w:type="dxa"/>
            <w:tcBorders>
              <w:top w:val="single" w:sz="4" w:space="0" w:color="auto"/>
            </w:tcBorders>
          </w:tcPr>
          <w:p w14:paraId="26B2D554"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Damp bedding (2 h); shaking the cages vigorously (1.5 h)</w:t>
            </w:r>
          </w:p>
        </w:tc>
      </w:tr>
      <w:tr w:rsidR="009313B9" w:rsidRPr="00AF27D7" w14:paraId="0A741FC3" w14:textId="77777777" w:rsidTr="008C0946">
        <w:tc>
          <w:tcPr>
            <w:tcW w:w="805" w:type="dxa"/>
          </w:tcPr>
          <w:p w14:paraId="0A809153"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2.</w:t>
            </w:r>
          </w:p>
        </w:tc>
        <w:tc>
          <w:tcPr>
            <w:tcW w:w="7380" w:type="dxa"/>
          </w:tcPr>
          <w:p w14:paraId="0153E490"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Food deprivation (12 h); tail pinch (5 min)</w:t>
            </w:r>
          </w:p>
        </w:tc>
      </w:tr>
      <w:tr w:rsidR="009313B9" w:rsidRPr="00AF27D7" w14:paraId="502B6D71" w14:textId="77777777" w:rsidTr="008C0946">
        <w:tc>
          <w:tcPr>
            <w:tcW w:w="805" w:type="dxa"/>
          </w:tcPr>
          <w:p w14:paraId="23F33F34"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3</w:t>
            </w:r>
          </w:p>
        </w:tc>
        <w:tc>
          <w:tcPr>
            <w:tcW w:w="7380" w:type="dxa"/>
          </w:tcPr>
          <w:p w14:paraId="45CC782F"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45◦C cage tilting (2 h); cat noise (1 h)</w:t>
            </w:r>
          </w:p>
        </w:tc>
      </w:tr>
      <w:tr w:rsidR="009313B9" w:rsidRPr="00AF27D7" w14:paraId="1B8FFF3F" w14:textId="77777777" w:rsidTr="008C0946">
        <w:tc>
          <w:tcPr>
            <w:tcW w:w="805" w:type="dxa"/>
          </w:tcPr>
          <w:p w14:paraId="2D12596D"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4</w:t>
            </w:r>
          </w:p>
        </w:tc>
        <w:tc>
          <w:tcPr>
            <w:tcW w:w="7380" w:type="dxa"/>
          </w:tcPr>
          <w:p w14:paraId="33FD681D"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Overnight illumination (12 h); sawdust-free cage (1 h)</w:t>
            </w:r>
          </w:p>
        </w:tc>
      </w:tr>
      <w:tr w:rsidR="009313B9" w:rsidRPr="00AF27D7" w14:paraId="0F187CCF" w14:textId="77777777" w:rsidTr="008C0946">
        <w:tc>
          <w:tcPr>
            <w:tcW w:w="805" w:type="dxa"/>
          </w:tcPr>
          <w:p w14:paraId="7E3FDE23"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5</w:t>
            </w:r>
          </w:p>
        </w:tc>
        <w:tc>
          <w:tcPr>
            <w:tcW w:w="7380" w:type="dxa"/>
          </w:tcPr>
          <w:p w14:paraId="7339E524"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Food and water deprivation (12 h); change of cage mates (30 min)</w:t>
            </w:r>
          </w:p>
        </w:tc>
      </w:tr>
      <w:tr w:rsidR="009313B9" w:rsidRPr="00AF27D7" w14:paraId="21544FF5" w14:textId="77777777" w:rsidTr="008C0946">
        <w:tc>
          <w:tcPr>
            <w:tcW w:w="805" w:type="dxa"/>
          </w:tcPr>
          <w:p w14:paraId="3978C5E0"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6</w:t>
            </w:r>
          </w:p>
        </w:tc>
        <w:tc>
          <w:tcPr>
            <w:tcW w:w="7380" w:type="dxa"/>
          </w:tcPr>
          <w:p w14:paraId="694BF073"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Water deprivation (12 h); exposure to predator </w:t>
            </w:r>
            <w:proofErr w:type="spellStart"/>
            <w:r w:rsidRPr="00AF27D7">
              <w:rPr>
                <w:rFonts w:cs="Times New Roman"/>
                <w:color w:val="000000" w:themeColor="text1"/>
                <w:szCs w:val="24"/>
              </w:rPr>
              <w:t>odour</w:t>
            </w:r>
            <w:proofErr w:type="spellEnd"/>
            <w:r w:rsidRPr="00AF27D7">
              <w:rPr>
                <w:rFonts w:cs="Times New Roman"/>
                <w:color w:val="000000" w:themeColor="text1"/>
                <w:szCs w:val="24"/>
              </w:rPr>
              <w:t xml:space="preserve"> (30 min)</w:t>
            </w:r>
          </w:p>
        </w:tc>
      </w:tr>
      <w:tr w:rsidR="009313B9" w:rsidRPr="00AF27D7" w14:paraId="639343AA" w14:textId="77777777" w:rsidTr="008C0946">
        <w:tc>
          <w:tcPr>
            <w:tcW w:w="805" w:type="dxa"/>
          </w:tcPr>
          <w:p w14:paraId="3A8C3E39"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7</w:t>
            </w:r>
          </w:p>
        </w:tc>
        <w:tc>
          <w:tcPr>
            <w:tcW w:w="7380" w:type="dxa"/>
          </w:tcPr>
          <w:p w14:paraId="313BF0D7"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Sawdust free cage + 120 ml of water (2 h); background noise (30 min)</w:t>
            </w:r>
          </w:p>
        </w:tc>
      </w:tr>
      <w:tr w:rsidR="009313B9" w:rsidRPr="00AF27D7" w14:paraId="51E3C9FD" w14:textId="77777777" w:rsidTr="008C0946">
        <w:tc>
          <w:tcPr>
            <w:tcW w:w="805" w:type="dxa"/>
          </w:tcPr>
          <w:p w14:paraId="2397CF9D"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8</w:t>
            </w:r>
          </w:p>
        </w:tc>
        <w:tc>
          <w:tcPr>
            <w:tcW w:w="7380" w:type="dxa"/>
          </w:tcPr>
          <w:p w14:paraId="1204815F"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Tail pinch (5 min); food deprivation (12 h)</w:t>
            </w:r>
          </w:p>
        </w:tc>
      </w:tr>
      <w:tr w:rsidR="009313B9" w:rsidRPr="00AF27D7" w14:paraId="34605C6F" w14:textId="77777777" w:rsidTr="008C0946">
        <w:tc>
          <w:tcPr>
            <w:tcW w:w="805" w:type="dxa"/>
          </w:tcPr>
          <w:p w14:paraId="2AC8DCC2"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9</w:t>
            </w:r>
          </w:p>
        </w:tc>
        <w:tc>
          <w:tcPr>
            <w:tcW w:w="7380" w:type="dxa"/>
          </w:tcPr>
          <w:p w14:paraId="76C9BCE4"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Shaking the cages vigorously (1.5 h); damp bedding (2 h)</w:t>
            </w:r>
          </w:p>
        </w:tc>
      </w:tr>
      <w:tr w:rsidR="009313B9" w:rsidRPr="00AF27D7" w14:paraId="21D296ED" w14:textId="77777777" w:rsidTr="008C0946">
        <w:tc>
          <w:tcPr>
            <w:tcW w:w="805" w:type="dxa"/>
          </w:tcPr>
          <w:p w14:paraId="6FC6CD7C"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10</w:t>
            </w:r>
          </w:p>
        </w:tc>
        <w:tc>
          <w:tcPr>
            <w:tcW w:w="7380" w:type="dxa"/>
          </w:tcPr>
          <w:p w14:paraId="38C612F8"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Cat noise (1 h); 45◦C cage tilting (2 h)</w:t>
            </w:r>
          </w:p>
        </w:tc>
      </w:tr>
      <w:tr w:rsidR="009313B9" w:rsidRPr="00AF27D7" w14:paraId="39EF519A" w14:textId="77777777" w:rsidTr="008C0946">
        <w:tc>
          <w:tcPr>
            <w:tcW w:w="805" w:type="dxa"/>
          </w:tcPr>
          <w:p w14:paraId="26F4CBFB"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11</w:t>
            </w:r>
          </w:p>
        </w:tc>
        <w:tc>
          <w:tcPr>
            <w:tcW w:w="7380" w:type="dxa"/>
          </w:tcPr>
          <w:p w14:paraId="18421369"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Sawdust-free cage (1 h); overnight illumination (12 h)</w:t>
            </w:r>
          </w:p>
        </w:tc>
      </w:tr>
      <w:tr w:rsidR="009313B9" w:rsidRPr="00AF27D7" w14:paraId="6F9A271E" w14:textId="77777777" w:rsidTr="008C0946">
        <w:tc>
          <w:tcPr>
            <w:tcW w:w="805" w:type="dxa"/>
          </w:tcPr>
          <w:p w14:paraId="2D1A4C1A"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12</w:t>
            </w:r>
          </w:p>
        </w:tc>
        <w:tc>
          <w:tcPr>
            <w:tcW w:w="7380" w:type="dxa"/>
          </w:tcPr>
          <w:p w14:paraId="64E63C0A"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Change of cage mates (30 min); food and water deprivation (12 h)</w:t>
            </w:r>
          </w:p>
        </w:tc>
      </w:tr>
      <w:tr w:rsidR="009313B9" w:rsidRPr="00AF27D7" w14:paraId="48C0636D" w14:textId="77777777" w:rsidTr="008C0946">
        <w:tc>
          <w:tcPr>
            <w:tcW w:w="805" w:type="dxa"/>
          </w:tcPr>
          <w:p w14:paraId="07DBA1CA"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13</w:t>
            </w:r>
          </w:p>
        </w:tc>
        <w:tc>
          <w:tcPr>
            <w:tcW w:w="7380" w:type="dxa"/>
          </w:tcPr>
          <w:p w14:paraId="0FDA677A"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Exposure to predator </w:t>
            </w:r>
            <w:proofErr w:type="spellStart"/>
            <w:r w:rsidRPr="00AF27D7">
              <w:rPr>
                <w:rFonts w:cs="Times New Roman"/>
                <w:color w:val="000000" w:themeColor="text1"/>
                <w:szCs w:val="24"/>
              </w:rPr>
              <w:t>odour</w:t>
            </w:r>
            <w:proofErr w:type="spellEnd"/>
            <w:r w:rsidRPr="00AF27D7">
              <w:rPr>
                <w:rFonts w:cs="Times New Roman"/>
                <w:color w:val="000000" w:themeColor="text1"/>
                <w:szCs w:val="24"/>
              </w:rPr>
              <w:t xml:space="preserve"> (30 min); water deprivation (12 h) </w:t>
            </w:r>
          </w:p>
        </w:tc>
      </w:tr>
      <w:tr w:rsidR="009313B9" w:rsidRPr="00AF27D7" w14:paraId="47F88476" w14:textId="77777777" w:rsidTr="008C0946">
        <w:tc>
          <w:tcPr>
            <w:tcW w:w="805" w:type="dxa"/>
          </w:tcPr>
          <w:p w14:paraId="17B3179B"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14</w:t>
            </w:r>
          </w:p>
        </w:tc>
        <w:tc>
          <w:tcPr>
            <w:tcW w:w="7380" w:type="dxa"/>
          </w:tcPr>
          <w:p w14:paraId="4C9D41F7" w14:textId="77777777" w:rsidR="009313B9" w:rsidRPr="00AF27D7" w:rsidRDefault="009313B9" w:rsidP="007B52D0">
            <w:pPr>
              <w:spacing w:line="480" w:lineRule="auto"/>
              <w:jc w:val="both"/>
              <w:rPr>
                <w:rFonts w:cs="Times New Roman"/>
                <w:color w:val="000000" w:themeColor="text1"/>
                <w:szCs w:val="24"/>
              </w:rPr>
            </w:pPr>
            <w:r w:rsidRPr="00AF27D7">
              <w:rPr>
                <w:rFonts w:cs="Times New Roman"/>
                <w:color w:val="000000" w:themeColor="text1"/>
                <w:szCs w:val="24"/>
              </w:rPr>
              <w:t xml:space="preserve"> Background noise (30 min); sawdust-free cage + 120 ml of water (2 h).</w:t>
            </w:r>
          </w:p>
        </w:tc>
      </w:tr>
    </w:tbl>
    <w:p w14:paraId="23FE73A4" w14:textId="77777777" w:rsidR="009313B9" w:rsidRPr="00AF27D7" w:rsidRDefault="009313B9" w:rsidP="007B52D0">
      <w:pPr>
        <w:tabs>
          <w:tab w:val="left" w:pos="1943"/>
        </w:tabs>
        <w:spacing w:line="480" w:lineRule="auto"/>
        <w:jc w:val="both"/>
        <w:rPr>
          <w:rFonts w:cs="Times New Roman"/>
          <w:color w:val="000000" w:themeColor="text1"/>
          <w:szCs w:val="24"/>
        </w:rPr>
      </w:pPr>
      <w:r w:rsidRPr="00AF27D7">
        <w:rPr>
          <w:rFonts w:cs="Times New Roman"/>
          <w:color w:val="000000" w:themeColor="text1"/>
          <w:szCs w:val="24"/>
        </w:rPr>
        <w:tab/>
      </w:r>
    </w:p>
    <w:p w14:paraId="73A72D12" w14:textId="77777777" w:rsidR="009313B9" w:rsidRPr="00AF27D7" w:rsidRDefault="009313B9" w:rsidP="007B52D0">
      <w:pPr>
        <w:spacing w:after="0" w:line="480" w:lineRule="auto"/>
        <w:jc w:val="both"/>
        <w:rPr>
          <w:rFonts w:cs="Times New Roman"/>
          <w:b/>
          <w:color w:val="000000" w:themeColor="text1"/>
          <w:szCs w:val="24"/>
        </w:rPr>
      </w:pPr>
      <w:r w:rsidRPr="00AF27D7">
        <w:rPr>
          <w:rFonts w:cs="Times New Roman"/>
          <w:b/>
          <w:color w:val="000000" w:themeColor="text1"/>
          <w:szCs w:val="24"/>
        </w:rPr>
        <w:t>Drug Preparation</w:t>
      </w:r>
    </w:p>
    <w:p w14:paraId="11B02A9B" w14:textId="22529B5B" w:rsidR="009313B9" w:rsidRDefault="009313B9" w:rsidP="007B52D0">
      <w:pPr>
        <w:spacing w:after="0" w:line="480" w:lineRule="auto"/>
        <w:jc w:val="both"/>
        <w:rPr>
          <w:rFonts w:cs="Times New Roman"/>
          <w:color w:val="000000" w:themeColor="text1"/>
          <w:szCs w:val="24"/>
        </w:rPr>
      </w:pPr>
      <w:r w:rsidRPr="00AF27D7">
        <w:rPr>
          <w:rFonts w:cs="Times New Roman"/>
          <w:i/>
          <w:iCs/>
          <w:szCs w:val="24"/>
        </w:rPr>
        <w:lastRenderedPageBreak/>
        <w:t xml:space="preserve">Centella lujica </w:t>
      </w:r>
      <w:r w:rsidRPr="00AF27D7">
        <w:rPr>
          <w:rFonts w:cs="Times New Roman"/>
          <w:szCs w:val="24"/>
        </w:rPr>
        <w:t xml:space="preserve">capsules were obtained from New Era </w:t>
      </w:r>
      <w:proofErr w:type="spellStart"/>
      <w:r w:rsidRPr="00AF27D7">
        <w:rPr>
          <w:rFonts w:cs="Times New Roman"/>
          <w:szCs w:val="24"/>
        </w:rPr>
        <w:t>Oluji</w:t>
      </w:r>
      <w:proofErr w:type="spellEnd"/>
      <w:r w:rsidRPr="00AF27D7">
        <w:rPr>
          <w:rFonts w:cs="Times New Roman"/>
          <w:szCs w:val="24"/>
        </w:rPr>
        <w:t xml:space="preserve"> Nig. Ltd©, Ondo State, Nigeria. One capsule (100 mg) was dissolved in 20 mL of distilled water to obtain a stock solution of 5 mg/mL, which was further diluted in distilled water to obtain the concentrations used in the study conducted by </w:t>
      </w:r>
      <w:r w:rsidRPr="00AF27D7">
        <w:rPr>
          <w:rFonts w:cs="Times New Roman"/>
          <w:color w:val="222222"/>
          <w:szCs w:val="24"/>
          <w:shd w:val="clear" w:color="auto" w:fill="FFFFFF"/>
        </w:rPr>
        <w:t>Eduviere et al., (2022)</w:t>
      </w:r>
      <w:r w:rsidRPr="00AF27D7">
        <w:rPr>
          <w:rFonts w:cs="Times New Roman"/>
          <w:color w:val="000000" w:themeColor="text1"/>
          <w:szCs w:val="24"/>
        </w:rPr>
        <w:t xml:space="preserve">. Other drugs that were used in the study was dissolved in distilled water immediately before use. The doses of </w:t>
      </w:r>
      <w:r w:rsidRPr="00AF27D7">
        <w:rPr>
          <w:rFonts w:cs="Times New Roman"/>
          <w:i/>
          <w:color w:val="000000" w:themeColor="text1"/>
          <w:szCs w:val="24"/>
        </w:rPr>
        <w:t>CL</w:t>
      </w:r>
      <w:r w:rsidRPr="00AF27D7">
        <w:rPr>
          <w:rFonts w:cs="Times New Roman"/>
          <w:color w:val="000000" w:themeColor="text1"/>
          <w:szCs w:val="24"/>
        </w:rPr>
        <w:t xml:space="preserve"> used in the study were selected based on the results obtained from preliminary investigations.</w:t>
      </w:r>
    </w:p>
    <w:p w14:paraId="729E8079" w14:textId="77777777" w:rsidR="003470B5" w:rsidRPr="00AF27D7" w:rsidRDefault="003470B5" w:rsidP="007B52D0">
      <w:pPr>
        <w:spacing w:after="0" w:line="480" w:lineRule="auto"/>
        <w:jc w:val="both"/>
        <w:rPr>
          <w:rFonts w:cs="Times New Roman"/>
          <w:color w:val="000000" w:themeColor="text1"/>
          <w:szCs w:val="24"/>
        </w:rPr>
      </w:pPr>
    </w:p>
    <w:p w14:paraId="2E5F25E5" w14:textId="77777777" w:rsidR="009313B9" w:rsidRPr="00AF27D7" w:rsidRDefault="009313B9" w:rsidP="007B52D0">
      <w:pPr>
        <w:spacing w:after="0" w:line="480" w:lineRule="auto"/>
        <w:jc w:val="both"/>
        <w:rPr>
          <w:rFonts w:cs="Times New Roman"/>
          <w:b/>
          <w:color w:val="000000" w:themeColor="text1"/>
          <w:szCs w:val="24"/>
        </w:rPr>
      </w:pPr>
      <w:r w:rsidRPr="00AF27D7">
        <w:rPr>
          <w:rFonts w:cs="Times New Roman"/>
          <w:b/>
          <w:color w:val="000000" w:themeColor="text1"/>
          <w:szCs w:val="24"/>
        </w:rPr>
        <w:t>Experimental Design.</w:t>
      </w:r>
    </w:p>
    <w:p w14:paraId="133D94C4" w14:textId="77777777" w:rsidR="009313B9" w:rsidRPr="00AF27D7" w:rsidRDefault="009313B9" w:rsidP="007B52D0">
      <w:pPr>
        <w:spacing w:after="0" w:line="480" w:lineRule="auto"/>
        <w:jc w:val="both"/>
        <w:rPr>
          <w:rFonts w:cs="Times New Roman"/>
          <w:color w:val="000000" w:themeColor="text1"/>
          <w:szCs w:val="24"/>
        </w:rPr>
      </w:pPr>
      <w:r w:rsidRPr="00AF27D7">
        <w:rPr>
          <w:rFonts w:cs="Times New Roman"/>
          <w:color w:val="000000" w:themeColor="text1"/>
          <w:szCs w:val="24"/>
        </w:rPr>
        <w:t xml:space="preserve">Mice were randomly assigned to 5 groups (where n = 10 animals per cage or group). </w:t>
      </w:r>
    </w:p>
    <w:p w14:paraId="3C80DD20" w14:textId="77777777" w:rsidR="009313B9" w:rsidRPr="00AF27D7" w:rsidRDefault="009313B9" w:rsidP="007B52D0">
      <w:pPr>
        <w:pStyle w:val="ListParagraph"/>
        <w:numPr>
          <w:ilvl w:val="0"/>
          <w:numId w:val="2"/>
        </w:numPr>
        <w:spacing w:line="480" w:lineRule="auto"/>
        <w:jc w:val="both"/>
        <w:rPr>
          <w:rFonts w:cs="Times New Roman"/>
          <w:color w:val="000000" w:themeColor="text1"/>
          <w:szCs w:val="24"/>
        </w:rPr>
      </w:pPr>
      <w:r w:rsidRPr="00AF27D7">
        <w:rPr>
          <w:rFonts w:cs="Times New Roman"/>
          <w:color w:val="000000" w:themeColor="text1"/>
          <w:szCs w:val="24"/>
        </w:rPr>
        <w:t xml:space="preserve">Group 1 received distilled water and served as the normal control group. </w:t>
      </w:r>
    </w:p>
    <w:p w14:paraId="36AFD7C3" w14:textId="77777777" w:rsidR="009313B9" w:rsidRPr="00AF27D7" w:rsidRDefault="009313B9" w:rsidP="007B52D0">
      <w:pPr>
        <w:pStyle w:val="ListParagraph"/>
        <w:numPr>
          <w:ilvl w:val="0"/>
          <w:numId w:val="2"/>
        </w:numPr>
        <w:spacing w:line="480" w:lineRule="auto"/>
        <w:jc w:val="both"/>
        <w:rPr>
          <w:rFonts w:cs="Times New Roman"/>
          <w:color w:val="000000" w:themeColor="text1"/>
          <w:szCs w:val="24"/>
        </w:rPr>
      </w:pPr>
      <w:r w:rsidRPr="00AF27D7">
        <w:rPr>
          <w:rFonts w:cs="Times New Roman"/>
          <w:color w:val="000000" w:themeColor="text1"/>
          <w:szCs w:val="24"/>
        </w:rPr>
        <w:t xml:space="preserve">Group 2 received distilled water and was exposed to CUMS. </w:t>
      </w:r>
    </w:p>
    <w:p w14:paraId="12F52417" w14:textId="77777777" w:rsidR="009313B9" w:rsidRPr="00AF27D7" w:rsidRDefault="009313B9" w:rsidP="007B52D0">
      <w:pPr>
        <w:pStyle w:val="ListParagraph"/>
        <w:numPr>
          <w:ilvl w:val="0"/>
          <w:numId w:val="2"/>
        </w:numPr>
        <w:spacing w:line="480" w:lineRule="auto"/>
        <w:jc w:val="both"/>
        <w:rPr>
          <w:rFonts w:cs="Times New Roman"/>
          <w:color w:val="000000" w:themeColor="text1"/>
          <w:szCs w:val="24"/>
        </w:rPr>
      </w:pPr>
      <w:r w:rsidRPr="00AF27D7">
        <w:rPr>
          <w:rFonts w:cs="Times New Roman"/>
          <w:color w:val="000000" w:themeColor="text1"/>
          <w:szCs w:val="24"/>
        </w:rPr>
        <w:t xml:space="preserve">Group 3 received </w:t>
      </w:r>
      <w:r w:rsidRPr="00AF27D7">
        <w:rPr>
          <w:rFonts w:cs="Times New Roman"/>
          <w:i/>
          <w:iCs/>
          <w:color w:val="000000" w:themeColor="text1"/>
          <w:szCs w:val="24"/>
        </w:rPr>
        <w:t xml:space="preserve">CL </w:t>
      </w:r>
      <w:r w:rsidRPr="00AF27D7">
        <w:rPr>
          <w:rFonts w:cs="Times New Roman"/>
          <w:color w:val="000000" w:themeColor="text1"/>
          <w:szCs w:val="24"/>
        </w:rPr>
        <w:t xml:space="preserve">50 mg/kg (p o) + CUMS. </w:t>
      </w:r>
    </w:p>
    <w:p w14:paraId="61764E6F" w14:textId="77777777" w:rsidR="009313B9" w:rsidRPr="00AF27D7" w:rsidRDefault="009313B9" w:rsidP="007B52D0">
      <w:pPr>
        <w:pStyle w:val="ListParagraph"/>
        <w:numPr>
          <w:ilvl w:val="0"/>
          <w:numId w:val="2"/>
        </w:numPr>
        <w:spacing w:line="480" w:lineRule="auto"/>
        <w:jc w:val="both"/>
        <w:rPr>
          <w:rFonts w:cs="Times New Roman"/>
          <w:color w:val="000000" w:themeColor="text1"/>
          <w:szCs w:val="24"/>
        </w:rPr>
      </w:pPr>
      <w:r w:rsidRPr="00AF27D7">
        <w:rPr>
          <w:rFonts w:cs="Times New Roman"/>
          <w:color w:val="000000" w:themeColor="text1"/>
          <w:szCs w:val="24"/>
        </w:rPr>
        <w:t xml:space="preserve">Group 4 received CLS 100 mg/kg/day (p o.) + CUMS while </w:t>
      </w:r>
    </w:p>
    <w:p w14:paraId="3A374286" w14:textId="29AEE71D" w:rsidR="007B52D0" w:rsidRDefault="009313B9" w:rsidP="007B52D0">
      <w:pPr>
        <w:pStyle w:val="ListParagraph"/>
        <w:numPr>
          <w:ilvl w:val="0"/>
          <w:numId w:val="2"/>
        </w:numPr>
        <w:spacing w:line="480" w:lineRule="auto"/>
        <w:jc w:val="both"/>
        <w:rPr>
          <w:rFonts w:cs="Times New Roman"/>
          <w:color w:val="000000" w:themeColor="text1"/>
          <w:szCs w:val="24"/>
        </w:rPr>
      </w:pPr>
      <w:r w:rsidRPr="00AF27D7">
        <w:rPr>
          <w:rFonts w:cs="Times New Roman"/>
          <w:color w:val="000000" w:themeColor="text1"/>
          <w:szCs w:val="24"/>
        </w:rPr>
        <w:t>Group 5 was administered to imipramine 10 mg/kg (</w:t>
      </w:r>
      <w:proofErr w:type="spellStart"/>
      <w:r w:rsidRPr="00AF27D7">
        <w:rPr>
          <w:rFonts w:cs="Times New Roman"/>
          <w:color w:val="000000" w:themeColor="text1"/>
          <w:szCs w:val="24"/>
        </w:rPr>
        <w:t>p.o</w:t>
      </w:r>
      <w:proofErr w:type="spellEnd"/>
      <w:r w:rsidRPr="00AF27D7">
        <w:rPr>
          <w:rFonts w:cs="Times New Roman"/>
          <w:color w:val="000000" w:themeColor="text1"/>
          <w:szCs w:val="24"/>
        </w:rPr>
        <w:t>) + CUMS.</w:t>
      </w:r>
    </w:p>
    <w:p w14:paraId="2F82961F" w14:textId="77777777" w:rsidR="003470B5" w:rsidRDefault="003470B5" w:rsidP="003470B5">
      <w:pPr>
        <w:spacing w:line="480" w:lineRule="auto"/>
        <w:jc w:val="both"/>
        <w:rPr>
          <w:rFonts w:cs="Times New Roman"/>
          <w:color w:val="000000" w:themeColor="text1"/>
          <w:szCs w:val="24"/>
        </w:rPr>
      </w:pPr>
    </w:p>
    <w:p w14:paraId="6D1A3441" w14:textId="77777777" w:rsidR="003470B5" w:rsidRPr="003470B5" w:rsidRDefault="003470B5" w:rsidP="003470B5">
      <w:pPr>
        <w:spacing w:line="480" w:lineRule="auto"/>
        <w:jc w:val="both"/>
        <w:rPr>
          <w:rFonts w:cs="Times New Roman"/>
          <w:color w:val="000000" w:themeColor="text1"/>
          <w:szCs w:val="24"/>
        </w:rPr>
      </w:pPr>
    </w:p>
    <w:p w14:paraId="058ED4E3" w14:textId="504D22A7" w:rsidR="002C14D6" w:rsidRPr="00AF27D7" w:rsidRDefault="002C2CCA" w:rsidP="007B52D0">
      <w:pPr>
        <w:spacing w:line="480" w:lineRule="auto"/>
        <w:rPr>
          <w:rFonts w:cs="Times New Roman"/>
          <w:b/>
          <w:bCs/>
          <w:szCs w:val="24"/>
        </w:rPr>
      </w:pPr>
      <w:r w:rsidRPr="00AF27D7">
        <w:rPr>
          <w:rFonts w:cs="Times New Roman"/>
          <w:b/>
          <w:bCs/>
          <w:szCs w:val="24"/>
        </w:rPr>
        <w:t>BEHAVIOURAL TEST</w:t>
      </w:r>
    </w:p>
    <w:p w14:paraId="51E5520E" w14:textId="1279BB3B" w:rsidR="0090401B" w:rsidRPr="00AF27D7" w:rsidRDefault="003F2985" w:rsidP="007B52D0">
      <w:pPr>
        <w:autoSpaceDE w:val="0"/>
        <w:autoSpaceDN w:val="0"/>
        <w:adjustRightInd w:val="0"/>
        <w:spacing w:after="0" w:line="480" w:lineRule="auto"/>
        <w:jc w:val="both"/>
        <w:rPr>
          <w:rFonts w:cs="Times New Roman"/>
          <w:b/>
          <w:szCs w:val="24"/>
        </w:rPr>
      </w:pPr>
      <w:r w:rsidRPr="00AF27D7">
        <w:rPr>
          <w:rFonts w:cs="Times New Roman"/>
          <w:b/>
          <w:bCs/>
          <w:szCs w:val="24"/>
        </w:rPr>
        <w:t>Assessment of Depression</w:t>
      </w:r>
      <w:r w:rsidR="0090401B" w:rsidRPr="00AF27D7">
        <w:rPr>
          <w:rFonts w:cs="Times New Roman"/>
          <w:b/>
          <w:szCs w:val="24"/>
        </w:rPr>
        <w:t xml:space="preserve"> using the social interaction chamber</w:t>
      </w:r>
    </w:p>
    <w:p w14:paraId="6589B608" w14:textId="0D1FB3BE" w:rsidR="003F2985"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xml:space="preserve">The social interaction test (SIT) was used to determine possible depressive-like symptoms </w:t>
      </w:r>
    </w:p>
    <w:p w14:paraId="116141A7" w14:textId="5F757790"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xml:space="preserve">in the experimental mice using the method described by Morin </w:t>
      </w:r>
      <w:r w:rsidRPr="00AF27D7">
        <w:rPr>
          <w:rFonts w:cs="Times New Roman"/>
          <w:i/>
          <w:iCs/>
          <w:szCs w:val="24"/>
        </w:rPr>
        <w:t>et al</w:t>
      </w:r>
      <w:r w:rsidRPr="00AF27D7">
        <w:rPr>
          <w:rFonts w:cs="Times New Roman"/>
          <w:szCs w:val="24"/>
        </w:rPr>
        <w:t>. (2021) with slight</w:t>
      </w:r>
      <w:r w:rsidR="003F2985" w:rsidRPr="00AF27D7">
        <w:rPr>
          <w:rFonts w:cs="Times New Roman"/>
          <w:szCs w:val="24"/>
        </w:rPr>
        <w:t xml:space="preserve"> </w:t>
      </w:r>
      <w:r w:rsidRPr="00AF27D7">
        <w:rPr>
          <w:rFonts w:cs="Times New Roman"/>
          <w:szCs w:val="24"/>
        </w:rPr>
        <w:t>modification. Briefly, the setup is made up of a gray Plexiglas open arena (LWH: 75 × 75 × 30cm), an opaque gray floor and two identical wire cups, one of them was used as empty and the</w:t>
      </w:r>
    </w:p>
    <w:p w14:paraId="4ABF4D62" w14:textId="6FCDD4A0"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lastRenderedPageBreak/>
        <w:t>other as a cover for the stranger animal. The apparatus is divided into three-rectangular</w:t>
      </w:r>
      <w:r w:rsidR="003F2985" w:rsidRPr="00AF27D7">
        <w:rPr>
          <w:rFonts w:cs="Times New Roman"/>
          <w:szCs w:val="24"/>
        </w:rPr>
        <w:t xml:space="preserve"> </w:t>
      </w:r>
      <w:r w:rsidRPr="00AF27D7">
        <w:rPr>
          <w:rFonts w:cs="Times New Roman"/>
          <w:szCs w:val="24"/>
        </w:rPr>
        <w:t>boxes (LW: 75 × 25 cm) with a displaceable door on each of them which allows access to any of the chambers, and cardboard was used to demarcate the test from the experimenter’s recording area. The social interaction test was conducted in three phases:</w:t>
      </w:r>
    </w:p>
    <w:p w14:paraId="5D8D3C3A" w14:textId="77777777" w:rsidR="00AF4AAC" w:rsidRPr="00AF27D7" w:rsidRDefault="00AF4AAC" w:rsidP="007B52D0">
      <w:pPr>
        <w:autoSpaceDE w:val="0"/>
        <w:autoSpaceDN w:val="0"/>
        <w:adjustRightInd w:val="0"/>
        <w:spacing w:after="0" w:line="480" w:lineRule="auto"/>
        <w:jc w:val="both"/>
        <w:rPr>
          <w:rFonts w:cs="Times New Roman"/>
          <w:szCs w:val="24"/>
        </w:rPr>
      </w:pPr>
    </w:p>
    <w:p w14:paraId="2808824B" w14:textId="77777777"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Habituation: the test animal was placed in the middle chamber of the experiment and allow</w:t>
      </w:r>
    </w:p>
    <w:p w14:paraId="697B3AFB" w14:textId="77777777"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to explore the two outer chambers containing similar empty wire cups for 5 min.</w:t>
      </w:r>
    </w:p>
    <w:p w14:paraId="379290D1" w14:textId="77777777" w:rsidR="0090401B" w:rsidRPr="00AF27D7" w:rsidRDefault="0090401B" w:rsidP="007B52D0">
      <w:pPr>
        <w:autoSpaceDE w:val="0"/>
        <w:autoSpaceDN w:val="0"/>
        <w:adjustRightInd w:val="0"/>
        <w:spacing w:after="0" w:line="480" w:lineRule="auto"/>
        <w:jc w:val="both"/>
        <w:rPr>
          <w:rFonts w:cs="Times New Roman"/>
          <w:szCs w:val="24"/>
        </w:rPr>
      </w:pPr>
    </w:p>
    <w:p w14:paraId="4D209537" w14:textId="3BAED514"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Social interaction: this phase lasted for 10 min. SIT session in which the experimental mice were presented with choosing between initiating direct interaction with a stranger mouse (S1) under the wire cup in the first box or spending time with the empty cup (EC) in the second box. The time spent with S1 vs the time spent in the empty cup indicates the level of sociability</w:t>
      </w:r>
    </w:p>
    <w:p w14:paraId="24F66AD4" w14:textId="77777777" w:rsidR="0090401B" w:rsidRPr="00AF27D7" w:rsidRDefault="0090401B" w:rsidP="007B52D0">
      <w:pPr>
        <w:autoSpaceDE w:val="0"/>
        <w:autoSpaceDN w:val="0"/>
        <w:adjustRightInd w:val="0"/>
        <w:spacing w:after="0" w:line="480" w:lineRule="auto"/>
        <w:jc w:val="both"/>
        <w:rPr>
          <w:rFonts w:cs="Times New Roman"/>
          <w:szCs w:val="24"/>
        </w:rPr>
      </w:pPr>
    </w:p>
    <w:p w14:paraId="76092DCD" w14:textId="77777777"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Social preference: this phase commenced immediately after the social interaction phase and</w:t>
      </w:r>
    </w:p>
    <w:p w14:paraId="592F14F8" w14:textId="30FC2CFD" w:rsidR="0090401B" w:rsidRPr="00AF27D7" w:rsidRDefault="0022403C" w:rsidP="007B52D0">
      <w:pPr>
        <w:autoSpaceDE w:val="0"/>
        <w:autoSpaceDN w:val="0"/>
        <w:adjustRightInd w:val="0"/>
        <w:spacing w:after="0" w:line="480" w:lineRule="auto"/>
        <w:jc w:val="both"/>
        <w:rPr>
          <w:rFonts w:cs="Times New Roman"/>
          <w:szCs w:val="24"/>
        </w:rPr>
      </w:pPr>
      <w:r w:rsidRPr="00AF27D7">
        <w:rPr>
          <w:rFonts w:cs="Times New Roman"/>
          <w:szCs w:val="24"/>
        </w:rPr>
        <w:t>it</w:t>
      </w:r>
      <w:r w:rsidR="0090401B" w:rsidRPr="00AF27D7">
        <w:rPr>
          <w:rFonts w:cs="Times New Roman"/>
          <w:szCs w:val="24"/>
        </w:rPr>
        <w:t xml:space="preserve"> lasted another 10-minute session (SP). In this phase, a novel conspecific mouse (S2) was</w:t>
      </w:r>
    </w:p>
    <w:p w14:paraId="30128782" w14:textId="2153A138" w:rsidR="0090401B" w:rsidRDefault="0090401B" w:rsidP="003470B5">
      <w:pPr>
        <w:autoSpaceDE w:val="0"/>
        <w:autoSpaceDN w:val="0"/>
        <w:adjustRightInd w:val="0"/>
        <w:spacing w:after="0" w:line="480" w:lineRule="auto"/>
        <w:jc w:val="both"/>
        <w:rPr>
          <w:rFonts w:cs="Times New Roman"/>
          <w:szCs w:val="24"/>
        </w:rPr>
      </w:pPr>
      <w:r w:rsidRPr="00AF27D7">
        <w:rPr>
          <w:rFonts w:cs="Times New Roman"/>
          <w:szCs w:val="24"/>
        </w:rPr>
        <w:t xml:space="preserve">placed under the empty cup in the second box, and the experimental mice were allowed to freely interact directly or indirectly with the mice in either chamber. Stranger mice placement was counterbalanced between trials. At the end of the session, all </w:t>
      </w:r>
      <w:r w:rsidR="003F2985" w:rsidRPr="00AF27D7">
        <w:rPr>
          <w:rFonts w:cs="Times New Roman"/>
          <w:szCs w:val="24"/>
        </w:rPr>
        <w:t>the animals</w:t>
      </w:r>
      <w:r w:rsidRPr="00AF27D7">
        <w:rPr>
          <w:rFonts w:cs="Times New Roman"/>
          <w:szCs w:val="24"/>
        </w:rPr>
        <w:t xml:space="preserve"> were returned to their home cage.</w:t>
      </w:r>
    </w:p>
    <w:p w14:paraId="1CB477B8" w14:textId="77777777" w:rsidR="003470B5" w:rsidRPr="003470B5" w:rsidRDefault="003470B5" w:rsidP="003470B5">
      <w:pPr>
        <w:autoSpaceDE w:val="0"/>
        <w:autoSpaceDN w:val="0"/>
        <w:adjustRightInd w:val="0"/>
        <w:spacing w:after="0" w:line="480" w:lineRule="auto"/>
        <w:jc w:val="both"/>
        <w:rPr>
          <w:rFonts w:cs="Times New Roman"/>
          <w:szCs w:val="24"/>
        </w:rPr>
      </w:pPr>
    </w:p>
    <w:p w14:paraId="229D6CC1" w14:textId="77777777" w:rsidR="0090401B" w:rsidRPr="00AF27D7" w:rsidRDefault="0090401B" w:rsidP="007B52D0">
      <w:pPr>
        <w:autoSpaceDE w:val="0"/>
        <w:autoSpaceDN w:val="0"/>
        <w:adjustRightInd w:val="0"/>
        <w:spacing w:after="0" w:line="480" w:lineRule="auto"/>
        <w:jc w:val="both"/>
        <w:rPr>
          <w:rFonts w:cs="Times New Roman"/>
          <w:b/>
          <w:bCs/>
          <w:szCs w:val="24"/>
        </w:rPr>
      </w:pPr>
      <w:r w:rsidRPr="00AF27D7">
        <w:rPr>
          <w:rFonts w:cs="Times New Roman"/>
          <w:b/>
          <w:bCs/>
          <w:szCs w:val="24"/>
        </w:rPr>
        <w:t>Assessment of anxiety levels using elevated plus maze test</w:t>
      </w:r>
    </w:p>
    <w:p w14:paraId="0C61DC57" w14:textId="2EC497E0"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 xml:space="preserve">Elevated plus maze (EPM); an accepted test for anxiolytic and anxiogenic effects of a drug was utilized to measure possible anxiety levels altercation effects of </w:t>
      </w:r>
      <w:r w:rsidR="003F2985" w:rsidRPr="00AF27D7">
        <w:rPr>
          <w:rFonts w:cs="Times New Roman"/>
          <w:i/>
          <w:iCs/>
          <w:szCs w:val="24"/>
        </w:rPr>
        <w:t>Centella lujica</w:t>
      </w:r>
      <w:r w:rsidRPr="00AF27D7">
        <w:rPr>
          <w:rFonts w:cs="Times New Roman"/>
          <w:szCs w:val="24"/>
        </w:rPr>
        <w:t xml:space="preserve"> of the experimental </w:t>
      </w:r>
      <w:r w:rsidRPr="00AF27D7">
        <w:rPr>
          <w:rFonts w:cs="Times New Roman"/>
          <w:szCs w:val="24"/>
        </w:rPr>
        <w:lastRenderedPageBreak/>
        <w:t xml:space="preserve">mice using the procedure described by Eduviere </w:t>
      </w:r>
      <w:r w:rsidRPr="00AF27D7">
        <w:rPr>
          <w:rFonts w:cs="Times New Roman"/>
          <w:i/>
          <w:iCs/>
          <w:szCs w:val="24"/>
        </w:rPr>
        <w:t>et al</w:t>
      </w:r>
      <w:r w:rsidRPr="00AF27D7">
        <w:rPr>
          <w:rFonts w:cs="Times New Roman"/>
          <w:szCs w:val="24"/>
        </w:rPr>
        <w:t>. (2022) with little modifications. Briefly, the plus maze apparatus consists of two open arms and two closed arms and an elevation to a height of 25 cm above the floor level. Each mouse was placed at the tip or end of an open arm, with the head facing pointing towards the center of the apparatus. The experimental animal was allowed to explore the maze for a duration of 5 min, in which the number of arm entries (either open or closed) and the time spent in open and closed arms will be noted and recorded.</w:t>
      </w:r>
    </w:p>
    <w:p w14:paraId="5741876F" w14:textId="77777777" w:rsidR="003F2985" w:rsidRPr="00AF27D7" w:rsidRDefault="003F2985" w:rsidP="007B52D0">
      <w:pPr>
        <w:autoSpaceDE w:val="0"/>
        <w:autoSpaceDN w:val="0"/>
        <w:adjustRightInd w:val="0"/>
        <w:spacing w:after="0" w:line="480" w:lineRule="auto"/>
        <w:jc w:val="both"/>
        <w:rPr>
          <w:rFonts w:cs="Times New Roman"/>
          <w:b/>
          <w:bCs/>
          <w:szCs w:val="24"/>
        </w:rPr>
      </w:pPr>
    </w:p>
    <w:p w14:paraId="65319456" w14:textId="309B776E" w:rsidR="0090401B" w:rsidRPr="00AF27D7" w:rsidRDefault="0090401B" w:rsidP="007B52D0">
      <w:pPr>
        <w:autoSpaceDE w:val="0"/>
        <w:autoSpaceDN w:val="0"/>
        <w:adjustRightInd w:val="0"/>
        <w:spacing w:after="0" w:line="480" w:lineRule="auto"/>
        <w:jc w:val="both"/>
        <w:rPr>
          <w:rFonts w:cs="Times New Roman"/>
          <w:b/>
          <w:bCs/>
          <w:szCs w:val="24"/>
        </w:rPr>
      </w:pPr>
      <w:r w:rsidRPr="00AF27D7">
        <w:rPr>
          <w:rFonts w:cs="Times New Roman"/>
          <w:b/>
          <w:bCs/>
          <w:szCs w:val="24"/>
        </w:rPr>
        <w:t>Assessment of anxiety levels using light /dark box</w:t>
      </w:r>
    </w:p>
    <w:p w14:paraId="3A149F94" w14:textId="77777777"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The light/dark transition test will be utilized to further justify the possible anxiolytic property of</w:t>
      </w:r>
    </w:p>
    <w:p w14:paraId="443ABFAA" w14:textId="71C7E27F" w:rsidR="0090401B" w:rsidRPr="00AF27D7" w:rsidRDefault="003F2985" w:rsidP="007B52D0">
      <w:pPr>
        <w:autoSpaceDE w:val="0"/>
        <w:autoSpaceDN w:val="0"/>
        <w:adjustRightInd w:val="0"/>
        <w:spacing w:after="0" w:line="480" w:lineRule="auto"/>
        <w:jc w:val="both"/>
        <w:rPr>
          <w:rFonts w:cs="Times New Roman"/>
          <w:szCs w:val="24"/>
        </w:rPr>
      </w:pPr>
      <w:r w:rsidRPr="00AF27D7">
        <w:rPr>
          <w:rFonts w:cs="Times New Roman"/>
          <w:i/>
          <w:iCs/>
          <w:szCs w:val="24"/>
        </w:rPr>
        <w:t>Centella lujica</w:t>
      </w:r>
      <w:r w:rsidR="0090401B" w:rsidRPr="00AF27D7">
        <w:rPr>
          <w:rFonts w:cs="Times New Roman"/>
          <w:szCs w:val="24"/>
        </w:rPr>
        <w:t xml:space="preserve"> using the method of Eduviere </w:t>
      </w:r>
      <w:r w:rsidR="0090401B" w:rsidRPr="00AF27D7">
        <w:rPr>
          <w:rFonts w:cs="Times New Roman"/>
          <w:i/>
          <w:iCs/>
          <w:szCs w:val="24"/>
        </w:rPr>
        <w:t>et al</w:t>
      </w:r>
      <w:r w:rsidR="0090401B" w:rsidRPr="00AF27D7">
        <w:rPr>
          <w:rFonts w:cs="Times New Roman"/>
          <w:szCs w:val="24"/>
        </w:rPr>
        <w:t>., (2022). Shortly, the apparatus consisted of a</w:t>
      </w:r>
    </w:p>
    <w:p w14:paraId="1CD7C0DD" w14:textId="77777777" w:rsidR="0090401B" w:rsidRPr="00AF27D7" w:rsidRDefault="0090401B" w:rsidP="007B52D0">
      <w:pPr>
        <w:autoSpaceDE w:val="0"/>
        <w:autoSpaceDN w:val="0"/>
        <w:adjustRightInd w:val="0"/>
        <w:spacing w:after="0" w:line="480" w:lineRule="auto"/>
        <w:jc w:val="both"/>
        <w:rPr>
          <w:rFonts w:cs="Times New Roman"/>
          <w:szCs w:val="24"/>
        </w:rPr>
      </w:pPr>
      <w:r w:rsidRPr="00AF27D7">
        <w:rPr>
          <w:rFonts w:cs="Times New Roman"/>
          <w:szCs w:val="24"/>
        </w:rPr>
        <w:t>rectangular box (45 × 27 × 27 cm), partitioned into two compartments connected by a 7.5 × 7.5 cm opening in the wall between the two compartments. The mouse was dropped in the illuminated compartment of the box and the number of entries and time spent in the light and dark compartments of the box will be taken and recorded within the period of 5 min session.</w:t>
      </w:r>
    </w:p>
    <w:p w14:paraId="049C1695" w14:textId="77777777" w:rsidR="003470B5" w:rsidRDefault="003470B5" w:rsidP="007B52D0">
      <w:pPr>
        <w:autoSpaceDE w:val="0"/>
        <w:autoSpaceDN w:val="0"/>
        <w:adjustRightInd w:val="0"/>
        <w:spacing w:after="0" w:line="480" w:lineRule="auto"/>
        <w:jc w:val="both"/>
        <w:rPr>
          <w:rFonts w:cs="Times New Roman"/>
          <w:b/>
          <w:bCs/>
          <w:szCs w:val="24"/>
        </w:rPr>
      </w:pPr>
    </w:p>
    <w:p w14:paraId="6DCCE753" w14:textId="77777777" w:rsidR="003470B5" w:rsidRDefault="003470B5" w:rsidP="007B52D0">
      <w:pPr>
        <w:autoSpaceDE w:val="0"/>
        <w:autoSpaceDN w:val="0"/>
        <w:adjustRightInd w:val="0"/>
        <w:spacing w:after="0" w:line="480" w:lineRule="auto"/>
        <w:jc w:val="both"/>
        <w:rPr>
          <w:rFonts w:cs="Times New Roman"/>
          <w:b/>
          <w:bCs/>
          <w:szCs w:val="24"/>
        </w:rPr>
      </w:pPr>
    </w:p>
    <w:p w14:paraId="0D031F3A" w14:textId="77777777" w:rsidR="003470B5" w:rsidRDefault="003470B5" w:rsidP="007B52D0">
      <w:pPr>
        <w:autoSpaceDE w:val="0"/>
        <w:autoSpaceDN w:val="0"/>
        <w:adjustRightInd w:val="0"/>
        <w:spacing w:after="0" w:line="480" w:lineRule="auto"/>
        <w:jc w:val="both"/>
        <w:rPr>
          <w:rFonts w:cs="Times New Roman"/>
          <w:b/>
          <w:bCs/>
          <w:szCs w:val="24"/>
        </w:rPr>
      </w:pPr>
    </w:p>
    <w:p w14:paraId="1C0EAB8A" w14:textId="68D34B78" w:rsidR="0090401B" w:rsidRPr="00AF27D7" w:rsidRDefault="003F2985" w:rsidP="007B52D0">
      <w:pPr>
        <w:autoSpaceDE w:val="0"/>
        <w:autoSpaceDN w:val="0"/>
        <w:adjustRightInd w:val="0"/>
        <w:spacing w:after="0" w:line="480" w:lineRule="auto"/>
        <w:jc w:val="both"/>
        <w:rPr>
          <w:rFonts w:cs="Times New Roman"/>
          <w:b/>
          <w:bCs/>
          <w:szCs w:val="24"/>
        </w:rPr>
      </w:pPr>
      <w:r w:rsidRPr="00AF27D7">
        <w:rPr>
          <w:rFonts w:cs="Times New Roman"/>
          <w:b/>
          <w:bCs/>
          <w:szCs w:val="24"/>
        </w:rPr>
        <w:t xml:space="preserve">Assessment of anxiety </w:t>
      </w:r>
      <w:proofErr w:type="spellStart"/>
      <w:r w:rsidR="0090401B" w:rsidRPr="00AF27D7">
        <w:rPr>
          <w:rFonts w:cs="Times New Roman"/>
          <w:b/>
          <w:bCs/>
          <w:szCs w:val="24"/>
        </w:rPr>
        <w:t>behaviour</w:t>
      </w:r>
      <w:proofErr w:type="spellEnd"/>
      <w:r w:rsidR="0090401B" w:rsidRPr="00AF27D7">
        <w:rPr>
          <w:rFonts w:cs="Times New Roman"/>
          <w:b/>
          <w:bCs/>
          <w:szCs w:val="24"/>
        </w:rPr>
        <w:t xml:space="preserve"> using the hole board test</w:t>
      </w:r>
    </w:p>
    <w:p w14:paraId="79D78B05" w14:textId="69761DBB" w:rsidR="0090401B" w:rsidRPr="00AF27D7" w:rsidRDefault="0090401B" w:rsidP="007B52D0">
      <w:pPr>
        <w:autoSpaceDE w:val="0"/>
        <w:autoSpaceDN w:val="0"/>
        <w:adjustRightInd w:val="0"/>
        <w:spacing w:after="0" w:line="480" w:lineRule="auto"/>
        <w:jc w:val="both"/>
        <w:rPr>
          <w:rFonts w:cs="Times New Roman"/>
          <w:b/>
          <w:bCs/>
          <w:szCs w:val="24"/>
        </w:rPr>
      </w:pPr>
      <w:r w:rsidRPr="00AF27D7">
        <w:rPr>
          <w:rFonts w:cs="Times New Roman"/>
          <w:szCs w:val="24"/>
        </w:rPr>
        <w:t>The Hole Board Test was used to assess anxiety, exploration, and general activity in rodents accordi</w:t>
      </w:r>
      <w:r w:rsidR="003F2985" w:rsidRPr="00AF27D7">
        <w:rPr>
          <w:rFonts w:cs="Times New Roman"/>
          <w:szCs w:val="24"/>
        </w:rPr>
        <w:t>ng</w:t>
      </w:r>
      <w:r w:rsidRPr="00AF27D7">
        <w:rPr>
          <w:rFonts w:cs="Times New Roman"/>
          <w:szCs w:val="24"/>
        </w:rPr>
        <w:t xml:space="preserve"> to the method of </w:t>
      </w:r>
      <w:r w:rsidRPr="00AF27D7">
        <w:rPr>
          <w:rStyle w:val="Emphasis"/>
          <w:rFonts w:cs="Times New Roman"/>
          <w:i w:val="0"/>
          <w:iCs w:val="0"/>
          <w:szCs w:val="24"/>
        </w:rPr>
        <w:t>Brown</w:t>
      </w:r>
      <w:r w:rsidRPr="00AF27D7">
        <w:rPr>
          <w:rFonts w:cs="Times New Roman"/>
          <w:i/>
          <w:iCs/>
          <w:szCs w:val="24"/>
        </w:rPr>
        <w:t xml:space="preserve"> </w:t>
      </w:r>
      <w:r w:rsidRPr="00AF27D7">
        <w:rPr>
          <w:rFonts w:cs="Times New Roman"/>
          <w:szCs w:val="24"/>
        </w:rPr>
        <w:t>and</w:t>
      </w:r>
      <w:r w:rsidRPr="00AF27D7">
        <w:rPr>
          <w:rFonts w:cs="Times New Roman"/>
          <w:i/>
          <w:iCs/>
          <w:szCs w:val="24"/>
        </w:rPr>
        <w:t xml:space="preserve"> </w:t>
      </w:r>
      <w:r w:rsidRPr="00AF27D7">
        <w:rPr>
          <w:rStyle w:val="Emphasis"/>
          <w:rFonts w:cs="Times New Roman"/>
          <w:i w:val="0"/>
          <w:iCs w:val="0"/>
          <w:szCs w:val="24"/>
        </w:rPr>
        <w:t>Nemes</w:t>
      </w:r>
      <w:r w:rsidRPr="00AF27D7">
        <w:rPr>
          <w:rStyle w:val="Emphasis"/>
          <w:rFonts w:cs="Times New Roman"/>
          <w:szCs w:val="24"/>
        </w:rPr>
        <w:t xml:space="preserve">, </w:t>
      </w:r>
      <w:r w:rsidRPr="00AF27D7">
        <w:rPr>
          <w:rStyle w:val="Emphasis"/>
          <w:rFonts w:cs="Times New Roman"/>
          <w:i w:val="0"/>
          <w:iCs w:val="0"/>
          <w:szCs w:val="24"/>
        </w:rPr>
        <w:t>(2008).</w:t>
      </w:r>
      <w:r w:rsidRPr="00AF27D7">
        <w:rPr>
          <w:rFonts w:cs="Times New Roman"/>
          <w:szCs w:val="24"/>
        </w:rPr>
        <w:t xml:space="preserve"> The test involves placing a rodent on an elevated board with evenly spaced holes and observing its behavior for 5 minutes. Key behaviors measured include head dips (indicating exploration), latency to the first head dip, quadrant crossings (general activity), rearing, and grooming (often linked to anxiety) were observed and </w:t>
      </w:r>
      <w:r w:rsidR="003F2985" w:rsidRPr="00AF27D7">
        <w:rPr>
          <w:rFonts w:cs="Times New Roman"/>
          <w:szCs w:val="24"/>
        </w:rPr>
        <w:lastRenderedPageBreak/>
        <w:t>analyzed</w:t>
      </w:r>
      <w:r w:rsidRPr="00AF27D7">
        <w:rPr>
          <w:rFonts w:cs="Times New Roman"/>
          <w:szCs w:val="24"/>
        </w:rPr>
        <w:t>. Ethical guidelines were followed to ensure the well-being of the animals during the experiment.</w:t>
      </w:r>
    </w:p>
    <w:p w14:paraId="261E673C" w14:textId="77777777" w:rsidR="00AF4AAC" w:rsidRPr="00AF27D7" w:rsidRDefault="00AF4AAC" w:rsidP="007B52D0">
      <w:pPr>
        <w:pStyle w:val="ftext"/>
        <w:spacing w:before="0" w:beforeAutospacing="0" w:after="0" w:afterAutospacing="0" w:line="480" w:lineRule="auto"/>
        <w:jc w:val="both"/>
        <w:rPr>
          <w:b/>
          <w:color w:val="000000" w:themeColor="text1"/>
        </w:rPr>
      </w:pPr>
    </w:p>
    <w:p w14:paraId="1164CCE4" w14:textId="0E4C7482" w:rsidR="00E86971" w:rsidRPr="00AF27D7" w:rsidRDefault="00E86971" w:rsidP="007B52D0">
      <w:pPr>
        <w:pStyle w:val="ftext"/>
        <w:spacing w:before="0" w:beforeAutospacing="0" w:after="0" w:afterAutospacing="0" w:line="480" w:lineRule="auto"/>
        <w:jc w:val="both"/>
        <w:rPr>
          <w:color w:val="000000" w:themeColor="text1"/>
        </w:rPr>
      </w:pPr>
      <w:r w:rsidRPr="00AF27D7">
        <w:rPr>
          <w:b/>
          <w:color w:val="000000" w:themeColor="text1"/>
        </w:rPr>
        <w:t>Preparation of Brain Tissues for Histology</w:t>
      </w:r>
    </w:p>
    <w:p w14:paraId="3A4E6BEB" w14:textId="23178599" w:rsidR="00E86971" w:rsidRPr="003470B5" w:rsidRDefault="00E86971" w:rsidP="003470B5">
      <w:pPr>
        <w:spacing w:line="480" w:lineRule="auto"/>
        <w:jc w:val="both"/>
        <w:rPr>
          <w:rFonts w:cs="Times New Roman"/>
          <w:bCs/>
          <w:color w:val="000000" w:themeColor="text1"/>
          <w:szCs w:val="24"/>
        </w:rPr>
      </w:pPr>
      <w:r w:rsidRPr="00AF27D7">
        <w:rPr>
          <w:rFonts w:cs="Times New Roman"/>
          <w:bCs/>
          <w:color w:val="000000" w:themeColor="text1"/>
          <w:szCs w:val="24"/>
        </w:rPr>
        <w:t xml:space="preserve">After the </w:t>
      </w:r>
      <w:proofErr w:type="spellStart"/>
      <w:r w:rsidRPr="00AF27D7">
        <w:rPr>
          <w:rFonts w:cs="Times New Roman"/>
          <w:bCs/>
          <w:color w:val="000000" w:themeColor="text1"/>
          <w:szCs w:val="24"/>
        </w:rPr>
        <w:t>behavioural</w:t>
      </w:r>
      <w:proofErr w:type="spellEnd"/>
      <w:r w:rsidRPr="00AF27D7">
        <w:rPr>
          <w:rFonts w:cs="Times New Roman"/>
          <w:bCs/>
          <w:color w:val="000000" w:themeColor="text1"/>
          <w:szCs w:val="24"/>
        </w:rPr>
        <w:t xml:space="preserve"> tests, mice in the respective groups were euthanized. Thereafter, mice were perfused, and their brains were harvested, and fixed with 10% phosphate buffered formaldehyde. Paraffin-wax embedded tissue blocks were obtained for each extracted mouse brain. About 5–6 µm thick transverse sections of the brains were obtained using a microtome (Leica, Germany) and the sections were fixed on glass slides. Histology and approximation of neuronal density Representative brain tissue sections of each treatment group were stained with Hematoxylin and Eosin (H&amp;E) to evaluate general histology of the prefrontal cortex and hippocampus (CA1) region </w:t>
      </w:r>
      <w:r w:rsidRPr="00AF27D7">
        <w:rPr>
          <w:rFonts w:cs="Times New Roman"/>
          <w:szCs w:val="24"/>
        </w:rPr>
        <w:t>(</w:t>
      </w:r>
      <w:proofErr w:type="spellStart"/>
      <w:r w:rsidRPr="00AF27D7">
        <w:rPr>
          <w:rFonts w:cs="Times New Roman"/>
          <w:szCs w:val="24"/>
        </w:rPr>
        <w:t>Eltony</w:t>
      </w:r>
      <w:proofErr w:type="spellEnd"/>
      <w:r w:rsidRPr="00AF27D7">
        <w:rPr>
          <w:rFonts w:cs="Times New Roman"/>
          <w:szCs w:val="24"/>
        </w:rPr>
        <w:t xml:space="preserve"> and </w:t>
      </w:r>
      <w:proofErr w:type="spellStart"/>
      <w:r w:rsidRPr="00AF27D7">
        <w:rPr>
          <w:rFonts w:cs="Times New Roman"/>
          <w:szCs w:val="24"/>
        </w:rPr>
        <w:t>Elgayar</w:t>
      </w:r>
      <w:proofErr w:type="spellEnd"/>
      <w:r w:rsidRPr="00AF27D7">
        <w:rPr>
          <w:rFonts w:cs="Times New Roman"/>
          <w:szCs w:val="24"/>
        </w:rPr>
        <w:t xml:space="preserve">, 2014). </w:t>
      </w:r>
      <w:r w:rsidRPr="00AF27D7">
        <w:rPr>
          <w:rFonts w:cs="Times New Roman"/>
          <w:bCs/>
          <w:color w:val="000000" w:themeColor="text1"/>
          <w:szCs w:val="24"/>
        </w:rPr>
        <w:t xml:space="preserve"> Thereafter, the stained sections were viewed under a microscope (Olympus BX-51 binocular) at 400X magnification for evaluating the Pfc and CA1 region of the hippocampus and photographed using a digital camera (Optronics) connected to a computer (</w:t>
      </w:r>
      <w:proofErr w:type="spellStart"/>
      <w:r w:rsidRPr="00AF27D7">
        <w:rPr>
          <w:rFonts w:cs="Times New Roman"/>
          <w:bCs/>
          <w:color w:val="000000" w:themeColor="text1"/>
          <w:szCs w:val="24"/>
        </w:rPr>
        <w:t>MagnaFire</w:t>
      </w:r>
      <w:proofErr w:type="spellEnd"/>
      <w:r w:rsidRPr="00AF27D7">
        <w:rPr>
          <w:rFonts w:cs="Times New Roman"/>
          <w:bCs/>
          <w:color w:val="000000" w:themeColor="text1"/>
          <w:szCs w:val="24"/>
        </w:rPr>
        <w:t xml:space="preserve"> interface) to obtain photomicrographs. The slides were analyzed for morphological changes. The number of viable neuronal cells was analyzed using computer-based image analysis (Image J at 400X or 250X) at different microscopic fields. Viable neuronal cells were designated as round-shaped with cytoplasmic membrane-intact cells and without any nuclear condensation. Neuronal density was then estimated as a ratio of viable neuronal cell counts to square (sq) area of the view in a section.</w:t>
      </w:r>
    </w:p>
    <w:p w14:paraId="6D8EE438" w14:textId="77777777" w:rsidR="00E86971" w:rsidRPr="00AF27D7" w:rsidRDefault="00E86971" w:rsidP="007B52D0">
      <w:pPr>
        <w:pStyle w:val="ftext"/>
        <w:spacing w:before="0" w:beforeAutospacing="0" w:after="0" w:afterAutospacing="0" w:line="480" w:lineRule="auto"/>
        <w:jc w:val="both"/>
        <w:rPr>
          <w:b/>
          <w:color w:val="000000" w:themeColor="text1"/>
        </w:rPr>
      </w:pPr>
      <w:r w:rsidRPr="00AF27D7">
        <w:rPr>
          <w:b/>
          <w:color w:val="000000" w:themeColor="text1"/>
        </w:rPr>
        <w:t>Statistical Analysis</w:t>
      </w:r>
    </w:p>
    <w:p w14:paraId="71930F7E" w14:textId="204FDBAA" w:rsidR="000B0881" w:rsidRPr="00AF27D7" w:rsidRDefault="00E86971" w:rsidP="007B52D0">
      <w:pPr>
        <w:spacing w:line="480" w:lineRule="auto"/>
        <w:jc w:val="both"/>
        <w:rPr>
          <w:rFonts w:cs="Times New Roman"/>
          <w:color w:val="000000" w:themeColor="text1"/>
          <w:szCs w:val="24"/>
        </w:rPr>
      </w:pPr>
      <w:r w:rsidRPr="00AF27D7">
        <w:rPr>
          <w:rFonts w:cs="Times New Roman"/>
          <w:color w:val="000000" w:themeColor="text1"/>
          <w:szCs w:val="24"/>
        </w:rPr>
        <w:t>All data were presented as Mean ± SEM. The result was analyzed using one way analysis of variance (ANOVA) and post hoc tests (</w:t>
      </w:r>
      <w:r w:rsidR="00AB2A79" w:rsidRPr="00AF27D7">
        <w:rPr>
          <w:rFonts w:cs="Times New Roman"/>
          <w:color w:val="000000" w:themeColor="text1"/>
          <w:szCs w:val="24"/>
        </w:rPr>
        <w:t>Tukey test</w:t>
      </w:r>
      <w:r w:rsidRPr="00AF27D7">
        <w:rPr>
          <w:rFonts w:cs="Times New Roman"/>
          <w:color w:val="000000" w:themeColor="text1"/>
          <w:szCs w:val="24"/>
        </w:rPr>
        <w:t xml:space="preserve">) to determine the source of significant main </w:t>
      </w:r>
      <w:r w:rsidRPr="00AF27D7">
        <w:rPr>
          <w:rFonts w:cs="Times New Roman"/>
          <w:color w:val="000000" w:themeColor="text1"/>
          <w:szCs w:val="24"/>
        </w:rPr>
        <w:lastRenderedPageBreak/>
        <w:t xml:space="preserve">effect using Graph Pad </w:t>
      </w:r>
      <w:proofErr w:type="spellStart"/>
      <w:r w:rsidRPr="00AF27D7">
        <w:rPr>
          <w:rFonts w:cs="Times New Roman"/>
          <w:color w:val="000000" w:themeColor="text1"/>
          <w:szCs w:val="24"/>
        </w:rPr>
        <w:t>InStat</w:t>
      </w:r>
      <w:proofErr w:type="spellEnd"/>
      <w:r w:rsidRPr="00AF27D7">
        <w:rPr>
          <w:rFonts w:cs="Times New Roman"/>
          <w:color w:val="000000" w:themeColor="text1"/>
          <w:szCs w:val="24"/>
          <w:vertAlign w:val="superscript"/>
        </w:rPr>
        <w:t>®</w:t>
      </w:r>
      <w:r w:rsidRPr="00AF27D7">
        <w:rPr>
          <w:rFonts w:cs="Times New Roman"/>
          <w:color w:val="000000" w:themeColor="text1"/>
          <w:szCs w:val="24"/>
        </w:rPr>
        <w:t xml:space="preserve"> Biostatistics software version 8. The level of significance for all tests </w:t>
      </w:r>
      <w:r w:rsidR="00B74E56" w:rsidRPr="00B74E56">
        <w:rPr>
          <w:rFonts w:cs="Times New Roman"/>
          <w:color w:val="000000" w:themeColor="text1"/>
          <w:szCs w:val="24"/>
          <w:highlight w:val="yellow"/>
        </w:rPr>
        <w:t>was</w:t>
      </w:r>
      <w:r w:rsidRPr="00B74E56">
        <w:rPr>
          <w:rFonts w:cs="Times New Roman"/>
          <w:color w:val="000000" w:themeColor="text1"/>
          <w:szCs w:val="24"/>
          <w:highlight w:val="yellow"/>
        </w:rPr>
        <w:t xml:space="preserve"> set at</w:t>
      </w:r>
      <w:r w:rsidRPr="00AF27D7">
        <w:rPr>
          <w:rFonts w:cs="Times New Roman"/>
          <w:color w:val="000000" w:themeColor="text1"/>
          <w:szCs w:val="24"/>
        </w:rPr>
        <w:t xml:space="preserve"> p˂0.05.</w:t>
      </w:r>
    </w:p>
    <w:p w14:paraId="0D9D0244" w14:textId="27350A95" w:rsidR="002C2CCA" w:rsidRPr="007245F2" w:rsidRDefault="002C2CCA" w:rsidP="007245F2">
      <w:pPr>
        <w:pStyle w:val="ListParagraph"/>
        <w:numPr>
          <w:ilvl w:val="0"/>
          <w:numId w:val="4"/>
        </w:numPr>
        <w:spacing w:after="160" w:line="480" w:lineRule="auto"/>
        <w:rPr>
          <w:rFonts w:cs="Times New Roman"/>
          <w:b/>
          <w:bCs/>
          <w:szCs w:val="24"/>
        </w:rPr>
      </w:pPr>
      <w:r w:rsidRPr="007245F2">
        <w:rPr>
          <w:rFonts w:cs="Times New Roman"/>
          <w:b/>
          <w:bCs/>
          <w:szCs w:val="24"/>
        </w:rPr>
        <w:t>RESULTS</w:t>
      </w:r>
    </w:p>
    <w:p w14:paraId="1414D78C" w14:textId="4DA64E59" w:rsidR="00D41BE7" w:rsidRPr="00AF27D7" w:rsidRDefault="002C2CCA" w:rsidP="007B52D0">
      <w:pPr>
        <w:spacing w:line="480" w:lineRule="auto"/>
        <w:jc w:val="both"/>
        <w:rPr>
          <w:rFonts w:cs="Times New Roman"/>
          <w:b/>
          <w:color w:val="000000" w:themeColor="text1"/>
          <w:szCs w:val="24"/>
        </w:rPr>
      </w:pPr>
      <w:r w:rsidRPr="00AF27D7">
        <w:rPr>
          <w:rFonts w:cs="Times New Roman"/>
          <w:b/>
          <w:color w:val="000000" w:themeColor="text1"/>
          <w:szCs w:val="24"/>
        </w:rPr>
        <w:t xml:space="preserve">Effect of </w:t>
      </w:r>
      <w:r w:rsidRPr="00AF27D7">
        <w:rPr>
          <w:rFonts w:cs="Times New Roman"/>
          <w:b/>
          <w:i/>
          <w:iCs/>
          <w:color w:val="000000" w:themeColor="text1"/>
          <w:szCs w:val="24"/>
        </w:rPr>
        <w:t>Centella lujica</w:t>
      </w:r>
      <w:r w:rsidRPr="00AF27D7">
        <w:rPr>
          <w:rFonts w:cs="Times New Roman"/>
          <w:b/>
          <w:color w:val="000000" w:themeColor="text1"/>
          <w:szCs w:val="24"/>
        </w:rPr>
        <w:t xml:space="preserve"> on depressive-like behavior, in mice exposed to chronic unpredictable mild stress.</w:t>
      </w:r>
    </w:p>
    <w:p w14:paraId="51FD4DCE" w14:textId="7EB4111D" w:rsidR="00D41BE7" w:rsidRPr="00AF27D7" w:rsidRDefault="00D41BE7" w:rsidP="007B52D0">
      <w:pPr>
        <w:spacing w:line="480" w:lineRule="auto"/>
        <w:jc w:val="both"/>
        <w:rPr>
          <w:rFonts w:cs="Times New Roman"/>
          <w:b/>
          <w:szCs w:val="24"/>
        </w:rPr>
      </w:pPr>
      <w:r w:rsidRPr="00AF27D7">
        <w:rPr>
          <w:rFonts w:cs="Times New Roman"/>
          <w:szCs w:val="24"/>
        </w:rPr>
        <w:t xml:space="preserve">The effect of </w:t>
      </w:r>
      <w:r w:rsidRPr="00AF27D7">
        <w:rPr>
          <w:rFonts w:cs="Times New Roman"/>
          <w:bCs/>
          <w:i/>
          <w:iCs/>
          <w:color w:val="000000" w:themeColor="text1"/>
          <w:szCs w:val="24"/>
        </w:rPr>
        <w:t>Centella lujica</w:t>
      </w:r>
      <w:r w:rsidRPr="00AF27D7">
        <w:rPr>
          <w:rFonts w:cs="Times New Roman"/>
          <w:b/>
          <w:color w:val="000000" w:themeColor="text1"/>
          <w:szCs w:val="24"/>
        </w:rPr>
        <w:t xml:space="preserve"> </w:t>
      </w:r>
      <w:r w:rsidRPr="00AF27D7">
        <w:rPr>
          <w:rFonts w:cs="Times New Roman"/>
          <w:szCs w:val="24"/>
        </w:rPr>
        <w:t>(</w:t>
      </w:r>
      <w:r w:rsidRPr="00AF27D7">
        <w:rPr>
          <w:rFonts w:cs="Times New Roman"/>
          <w:i/>
          <w:iCs/>
          <w:szCs w:val="24"/>
        </w:rPr>
        <w:t>CL</w:t>
      </w:r>
      <w:r w:rsidRPr="00AF27D7">
        <w:rPr>
          <w:rFonts w:cs="Times New Roman"/>
          <w:szCs w:val="24"/>
        </w:rPr>
        <w:t xml:space="preserve">) given daily for 14 days on depressive-like </w:t>
      </w:r>
      <w:proofErr w:type="spellStart"/>
      <w:r w:rsidRPr="00AF27D7">
        <w:rPr>
          <w:rFonts w:cs="Times New Roman"/>
          <w:szCs w:val="24"/>
        </w:rPr>
        <w:t>behaviour</w:t>
      </w:r>
      <w:proofErr w:type="spellEnd"/>
      <w:r w:rsidRPr="00AF27D7">
        <w:rPr>
          <w:rFonts w:cs="Times New Roman"/>
          <w:szCs w:val="24"/>
        </w:rPr>
        <w:t xml:space="preserve">, as measured by the percentage social preference in the social interaction test (SIT), as shown in </w:t>
      </w:r>
      <w:r w:rsidRPr="00AF27D7">
        <w:rPr>
          <w:rStyle w:val="Strong"/>
          <w:rFonts w:cs="Times New Roman"/>
          <w:b w:val="0"/>
          <w:bCs w:val="0"/>
          <w:szCs w:val="24"/>
        </w:rPr>
        <w:t>Figure 1</w:t>
      </w:r>
      <w:r w:rsidRPr="00AF27D7">
        <w:rPr>
          <w:rFonts w:cs="Times New Roman"/>
          <w:b/>
          <w:bCs/>
          <w:szCs w:val="24"/>
        </w:rPr>
        <w:t>.</w:t>
      </w:r>
      <w:r w:rsidRPr="00AF27D7">
        <w:rPr>
          <w:rFonts w:cs="Times New Roman"/>
          <w:szCs w:val="24"/>
        </w:rPr>
        <w:t xml:space="preserve"> One-way ANOVA showed that there was significant difference between treatment groups. Post hoc analysis using Tukey’s post hoc test revealed that the CUMS group showed a significant (p&lt;0.05) reduction in sociability as depicted by a reduced social preference when compared to the control group, while </w:t>
      </w:r>
      <w:r w:rsidRPr="00AF27D7">
        <w:rPr>
          <w:rFonts w:cs="Times New Roman"/>
          <w:i/>
          <w:iCs/>
          <w:szCs w:val="24"/>
        </w:rPr>
        <w:t>CL</w:t>
      </w:r>
      <w:r w:rsidRPr="00AF27D7">
        <w:rPr>
          <w:rFonts w:cs="Times New Roman"/>
          <w:szCs w:val="24"/>
        </w:rPr>
        <w:t xml:space="preserve"> (50mg/kg, 100 mg/kg) given daily for 14 days produced a significant (p&lt;0.05) increase in sociability, as evidenced by an increased in social preference when compared with the </w:t>
      </w:r>
      <w:r w:rsidR="00300BF6" w:rsidRPr="00AF27D7">
        <w:rPr>
          <w:rFonts w:cs="Times New Roman"/>
          <w:szCs w:val="24"/>
        </w:rPr>
        <w:t>CUMS</w:t>
      </w:r>
      <w:r w:rsidRPr="00AF27D7">
        <w:rPr>
          <w:rFonts w:cs="Times New Roman"/>
          <w:szCs w:val="24"/>
        </w:rPr>
        <w:t xml:space="preserve"> group alone. </w:t>
      </w:r>
    </w:p>
    <w:p w14:paraId="7E9DCB48" w14:textId="490985D1" w:rsidR="00D41BE7" w:rsidRPr="00AF27D7" w:rsidRDefault="00047E5C" w:rsidP="007B52D0">
      <w:pPr>
        <w:spacing w:after="0" w:line="480" w:lineRule="auto"/>
        <w:jc w:val="both"/>
        <w:rPr>
          <w:rFonts w:cs="Times New Roman"/>
          <w:szCs w:val="24"/>
        </w:rPr>
      </w:pPr>
      <w:r w:rsidRPr="00AF27D7">
        <w:rPr>
          <w:rFonts w:cs="Times New Roman"/>
          <w:noProof/>
          <w:szCs w:val="24"/>
        </w:rPr>
        <w:object w:dxaOrig="6233" w:dyaOrig="3898" w14:anchorId="79D24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95.75pt" o:ole="">
            <v:imagedata r:id="rId7" o:title=""/>
          </v:shape>
          <o:OLEObject Type="Embed" ProgID="Prism10.Document" ShapeID="_x0000_i1025" DrawAspect="Content" ObjectID="_1811760594" r:id="rId8"/>
        </w:object>
      </w:r>
    </w:p>
    <w:p w14:paraId="068C768E" w14:textId="62892D02" w:rsidR="00D41BE7" w:rsidRPr="00AF27D7" w:rsidRDefault="00D41BE7" w:rsidP="007B52D0">
      <w:pPr>
        <w:spacing w:after="0" w:line="480" w:lineRule="auto"/>
        <w:jc w:val="both"/>
        <w:rPr>
          <w:rFonts w:cs="Times New Roman"/>
          <w:b/>
          <w:bCs/>
          <w:color w:val="000000" w:themeColor="text1"/>
          <w:szCs w:val="24"/>
        </w:rPr>
      </w:pPr>
      <w:bookmarkStart w:id="0" w:name="_Hlk191234284"/>
      <w:r w:rsidRPr="00AF27D7">
        <w:rPr>
          <w:rFonts w:cs="Times New Roman"/>
          <w:b/>
          <w:bCs/>
          <w:szCs w:val="24"/>
        </w:rPr>
        <w:t xml:space="preserve">Figure 1: The effect of </w:t>
      </w:r>
      <w:r w:rsidRPr="00AF27D7">
        <w:rPr>
          <w:rFonts w:cs="Times New Roman"/>
          <w:b/>
          <w:bCs/>
          <w:i/>
          <w:iCs/>
          <w:color w:val="000000" w:themeColor="text1"/>
          <w:szCs w:val="24"/>
        </w:rPr>
        <w:t>Centella lujica</w:t>
      </w:r>
      <w:r w:rsidRPr="00AF27D7">
        <w:rPr>
          <w:rFonts w:cs="Times New Roman"/>
          <w:b/>
          <w:bCs/>
          <w:color w:val="000000" w:themeColor="text1"/>
          <w:szCs w:val="24"/>
        </w:rPr>
        <w:t xml:space="preserve"> on depressive-like behavior, using the social interaction test in mice exposed to CUMS.</w:t>
      </w:r>
    </w:p>
    <w:bookmarkEnd w:id="0"/>
    <w:p w14:paraId="715C2FE3" w14:textId="3EB3C3E2" w:rsidR="00D41BE7" w:rsidRPr="00AF27D7" w:rsidRDefault="00D41BE7" w:rsidP="007B52D0">
      <w:pPr>
        <w:spacing w:line="480" w:lineRule="auto"/>
        <w:jc w:val="both"/>
        <w:rPr>
          <w:rFonts w:cs="Times New Roman"/>
          <w:szCs w:val="24"/>
        </w:rPr>
      </w:pPr>
      <w:r w:rsidRPr="00AF27D7">
        <w:rPr>
          <w:rFonts w:cs="Times New Roman"/>
          <w:szCs w:val="24"/>
        </w:rPr>
        <w:lastRenderedPageBreak/>
        <w:t>Values represent the mean ± S.E.M for 10 animals per group</w:t>
      </w:r>
    </w:p>
    <w:p w14:paraId="78A5FB1E" w14:textId="77777777" w:rsidR="00D41BE7" w:rsidRPr="00AF27D7" w:rsidRDefault="00D41BE7"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129F9E38" w14:textId="77777777" w:rsidR="00D41BE7" w:rsidRPr="00AF27D7" w:rsidRDefault="00D41BE7" w:rsidP="007B52D0">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p>
    <w:p w14:paraId="25C940EB" w14:textId="28072E98" w:rsidR="00300BF6" w:rsidRPr="00AF27D7" w:rsidRDefault="00300BF6" w:rsidP="007B52D0">
      <w:pPr>
        <w:spacing w:line="480" w:lineRule="auto"/>
        <w:jc w:val="both"/>
        <w:rPr>
          <w:rFonts w:cs="Times New Roman"/>
          <w:b/>
          <w:color w:val="000000" w:themeColor="text1"/>
          <w:szCs w:val="24"/>
        </w:rPr>
      </w:pPr>
      <w:r w:rsidRPr="00AF27D7">
        <w:rPr>
          <w:rFonts w:cs="Times New Roman"/>
          <w:b/>
          <w:color w:val="000000" w:themeColor="text1"/>
          <w:szCs w:val="24"/>
        </w:rPr>
        <w:t xml:space="preserve">Effect of </w:t>
      </w:r>
      <w:r w:rsidRPr="00AF27D7">
        <w:rPr>
          <w:rFonts w:cs="Times New Roman"/>
          <w:b/>
          <w:i/>
          <w:iCs/>
          <w:color w:val="000000" w:themeColor="text1"/>
          <w:szCs w:val="24"/>
        </w:rPr>
        <w:t>Centella lujica</w:t>
      </w:r>
      <w:r w:rsidRPr="00AF27D7">
        <w:rPr>
          <w:rFonts w:cs="Times New Roman"/>
          <w:b/>
          <w:color w:val="000000" w:themeColor="text1"/>
          <w:szCs w:val="24"/>
        </w:rPr>
        <w:t xml:space="preserve"> on anxiety-like behavior, in mice exposed to chronic unpredictable mild stress.</w:t>
      </w:r>
    </w:p>
    <w:p w14:paraId="648C462C" w14:textId="71410FEB" w:rsidR="00BC2740" w:rsidRPr="00AF27D7" w:rsidRDefault="00BC2740" w:rsidP="007B52D0">
      <w:pPr>
        <w:spacing w:line="480" w:lineRule="auto"/>
        <w:jc w:val="both"/>
        <w:rPr>
          <w:rFonts w:cs="Times New Roman"/>
          <w:b/>
          <w:szCs w:val="24"/>
        </w:rPr>
      </w:pPr>
      <w:r w:rsidRPr="00AF27D7">
        <w:rPr>
          <w:rFonts w:cs="Times New Roman"/>
          <w:szCs w:val="24"/>
        </w:rPr>
        <w:t xml:space="preserve">The effect of </w:t>
      </w:r>
      <w:r w:rsidRPr="00AF27D7">
        <w:rPr>
          <w:rFonts w:cs="Times New Roman"/>
          <w:bCs/>
          <w:i/>
          <w:iCs/>
          <w:color w:val="000000" w:themeColor="text1"/>
          <w:szCs w:val="24"/>
        </w:rPr>
        <w:t>Centella lujica</w:t>
      </w:r>
      <w:r w:rsidRPr="00AF27D7">
        <w:rPr>
          <w:rFonts w:cs="Times New Roman"/>
          <w:b/>
          <w:color w:val="000000" w:themeColor="text1"/>
          <w:szCs w:val="24"/>
        </w:rPr>
        <w:t xml:space="preserve"> </w:t>
      </w:r>
      <w:r w:rsidRPr="00AF27D7">
        <w:rPr>
          <w:rFonts w:cs="Times New Roman"/>
          <w:szCs w:val="24"/>
        </w:rPr>
        <w:t>(</w:t>
      </w:r>
      <w:r w:rsidRPr="00AF27D7">
        <w:rPr>
          <w:rFonts w:cs="Times New Roman"/>
          <w:i/>
          <w:iCs/>
          <w:szCs w:val="24"/>
        </w:rPr>
        <w:t>CL</w:t>
      </w:r>
      <w:r w:rsidRPr="00AF27D7">
        <w:rPr>
          <w:rFonts w:cs="Times New Roman"/>
          <w:szCs w:val="24"/>
        </w:rPr>
        <w:t xml:space="preserve">) given daily for 14 days on anxiety-like </w:t>
      </w:r>
      <w:proofErr w:type="spellStart"/>
      <w:r w:rsidRPr="00AF27D7">
        <w:rPr>
          <w:rFonts w:cs="Times New Roman"/>
          <w:szCs w:val="24"/>
        </w:rPr>
        <w:t>behaviour</w:t>
      </w:r>
      <w:proofErr w:type="spellEnd"/>
      <w:r w:rsidRPr="00AF27D7">
        <w:rPr>
          <w:rFonts w:cs="Times New Roman"/>
          <w:szCs w:val="24"/>
        </w:rPr>
        <w:t xml:space="preserve">, as measured by the time spent in the closed arm as seen in the elevated plus maze (EPM), as shown in </w:t>
      </w:r>
      <w:r w:rsidRPr="00AF27D7">
        <w:rPr>
          <w:rStyle w:val="Strong"/>
          <w:rFonts w:cs="Times New Roman"/>
          <w:b w:val="0"/>
          <w:bCs w:val="0"/>
          <w:szCs w:val="24"/>
        </w:rPr>
        <w:t>Figure 2</w:t>
      </w:r>
      <w:r w:rsidRPr="00AF27D7">
        <w:rPr>
          <w:rFonts w:cs="Times New Roman"/>
          <w:b/>
          <w:bCs/>
          <w:szCs w:val="24"/>
        </w:rPr>
        <w:t>.</w:t>
      </w:r>
      <w:r w:rsidRPr="00AF27D7">
        <w:rPr>
          <w:rFonts w:cs="Times New Roman"/>
          <w:szCs w:val="24"/>
        </w:rPr>
        <w:t xml:space="preserve"> One-way ANOVA showed that there was significant difference between treatment groups. Post hoc analysis using Tukey’s post hoc test revealed that the CUMS group showed a significant (p&lt;0.05) increase in anxiety-like </w:t>
      </w:r>
      <w:proofErr w:type="spellStart"/>
      <w:r w:rsidRPr="00AF27D7">
        <w:rPr>
          <w:rFonts w:cs="Times New Roman"/>
          <w:szCs w:val="24"/>
        </w:rPr>
        <w:t>behaviour</w:t>
      </w:r>
      <w:proofErr w:type="spellEnd"/>
      <w:r w:rsidRPr="00AF27D7">
        <w:rPr>
          <w:rFonts w:cs="Times New Roman"/>
          <w:szCs w:val="24"/>
        </w:rPr>
        <w:t xml:space="preserve"> as depicted by </w:t>
      </w:r>
      <w:r w:rsidRPr="00B74E56">
        <w:rPr>
          <w:rFonts w:cs="Times New Roman"/>
          <w:szCs w:val="24"/>
          <w:highlight w:val="yellow"/>
        </w:rPr>
        <w:t>an increased in time</w:t>
      </w:r>
      <w:r w:rsidRPr="00AF27D7">
        <w:rPr>
          <w:rFonts w:cs="Times New Roman"/>
          <w:szCs w:val="24"/>
        </w:rPr>
        <w:t xml:space="preserve"> spent in the closed arm when compared to the control group, while </w:t>
      </w:r>
      <w:r w:rsidRPr="00AF27D7">
        <w:rPr>
          <w:rFonts w:cs="Times New Roman"/>
          <w:i/>
          <w:iCs/>
          <w:szCs w:val="24"/>
        </w:rPr>
        <w:t>CL</w:t>
      </w:r>
      <w:r w:rsidRPr="00AF27D7">
        <w:rPr>
          <w:rFonts w:cs="Times New Roman"/>
          <w:szCs w:val="24"/>
        </w:rPr>
        <w:t xml:space="preserve"> (</w:t>
      </w:r>
      <w:r w:rsidR="003A30F3" w:rsidRPr="00AF27D7">
        <w:rPr>
          <w:rFonts w:cs="Times New Roman"/>
          <w:szCs w:val="24"/>
        </w:rPr>
        <w:t>10</w:t>
      </w:r>
      <w:r w:rsidRPr="00AF27D7">
        <w:rPr>
          <w:rFonts w:cs="Times New Roman"/>
          <w:szCs w:val="24"/>
        </w:rPr>
        <w:t xml:space="preserve">0mg/kg) given daily for 14 days produced a significant (p&lt;0.05) decrease in anxiety-like </w:t>
      </w:r>
      <w:proofErr w:type="spellStart"/>
      <w:r w:rsidRPr="00AF27D7">
        <w:rPr>
          <w:rFonts w:cs="Times New Roman"/>
          <w:szCs w:val="24"/>
        </w:rPr>
        <w:t>behaviour</w:t>
      </w:r>
      <w:proofErr w:type="spellEnd"/>
      <w:r w:rsidRPr="00AF27D7">
        <w:rPr>
          <w:rFonts w:cs="Times New Roman"/>
          <w:szCs w:val="24"/>
        </w:rPr>
        <w:t xml:space="preserve">, as evidenced by an decreased in time </w:t>
      </w:r>
      <w:r w:rsidRPr="00B74E56">
        <w:rPr>
          <w:rFonts w:cs="Times New Roman"/>
          <w:szCs w:val="24"/>
          <w:highlight w:val="yellow"/>
        </w:rPr>
        <w:t>spent in closed arm</w:t>
      </w:r>
      <w:r w:rsidRPr="00AF27D7">
        <w:rPr>
          <w:rFonts w:cs="Times New Roman"/>
          <w:szCs w:val="24"/>
        </w:rPr>
        <w:t xml:space="preserve"> when compared with the CUMS group alone. </w:t>
      </w:r>
    </w:p>
    <w:p w14:paraId="00A1DA0D" w14:textId="77777777" w:rsidR="00F85D87" w:rsidRPr="00AF27D7" w:rsidRDefault="00F85D87" w:rsidP="007B52D0">
      <w:pPr>
        <w:spacing w:line="480" w:lineRule="auto"/>
        <w:jc w:val="both"/>
        <w:rPr>
          <w:rFonts w:cs="Times New Roman"/>
          <w:b/>
          <w:szCs w:val="24"/>
        </w:rPr>
      </w:pPr>
      <w:r w:rsidRPr="00AF27D7">
        <w:rPr>
          <w:rFonts w:cs="Times New Roman"/>
          <w:szCs w:val="24"/>
        </w:rPr>
        <w:t xml:space="preserve">The effect of </w:t>
      </w:r>
      <w:r w:rsidRPr="00AF27D7">
        <w:rPr>
          <w:rFonts w:cs="Times New Roman"/>
          <w:bCs/>
          <w:i/>
          <w:iCs/>
          <w:color w:val="000000" w:themeColor="text1"/>
          <w:szCs w:val="24"/>
        </w:rPr>
        <w:t>Centella lujica</w:t>
      </w:r>
      <w:r w:rsidRPr="00AF27D7">
        <w:rPr>
          <w:rFonts w:cs="Times New Roman"/>
          <w:b/>
          <w:color w:val="000000" w:themeColor="text1"/>
          <w:szCs w:val="24"/>
        </w:rPr>
        <w:t xml:space="preserve"> </w:t>
      </w:r>
      <w:r w:rsidRPr="00AF27D7">
        <w:rPr>
          <w:rFonts w:cs="Times New Roman"/>
          <w:szCs w:val="24"/>
        </w:rPr>
        <w:t>(</w:t>
      </w:r>
      <w:r w:rsidRPr="00AF27D7">
        <w:rPr>
          <w:rFonts w:cs="Times New Roman"/>
          <w:i/>
          <w:iCs/>
          <w:szCs w:val="24"/>
        </w:rPr>
        <w:t>CL</w:t>
      </w:r>
      <w:r w:rsidRPr="00AF27D7">
        <w:rPr>
          <w:rFonts w:cs="Times New Roman"/>
          <w:szCs w:val="24"/>
        </w:rPr>
        <w:t xml:space="preserve">) given daily for 14 days on anxiety-like </w:t>
      </w:r>
      <w:proofErr w:type="spellStart"/>
      <w:r w:rsidRPr="00AF27D7">
        <w:rPr>
          <w:rFonts w:cs="Times New Roman"/>
          <w:szCs w:val="24"/>
        </w:rPr>
        <w:t>behaviour</w:t>
      </w:r>
      <w:proofErr w:type="spellEnd"/>
      <w:r w:rsidRPr="00AF27D7">
        <w:rPr>
          <w:rFonts w:cs="Times New Roman"/>
          <w:szCs w:val="24"/>
        </w:rPr>
        <w:t xml:space="preserve">, as measured by the time spent in the dark box as seen in the light and dark transition box (LDT), as shown in </w:t>
      </w:r>
      <w:r w:rsidRPr="00AF27D7">
        <w:rPr>
          <w:rStyle w:val="Strong"/>
          <w:rFonts w:cs="Times New Roman"/>
          <w:b w:val="0"/>
          <w:bCs w:val="0"/>
          <w:szCs w:val="24"/>
        </w:rPr>
        <w:t>Figure 3</w:t>
      </w:r>
      <w:r w:rsidRPr="00AF27D7">
        <w:rPr>
          <w:rFonts w:cs="Times New Roman"/>
          <w:b/>
          <w:bCs/>
          <w:szCs w:val="24"/>
        </w:rPr>
        <w:t>.</w:t>
      </w:r>
      <w:r w:rsidRPr="00AF27D7">
        <w:rPr>
          <w:rFonts w:cs="Times New Roman"/>
          <w:szCs w:val="24"/>
        </w:rPr>
        <w:t xml:space="preserve"> One-way ANOVA showed that there was significant difference between treatment groups. Post hoc analysis using Tukey’s post hoc test revealed that the CUMS group showed a significant (p&lt;0.05) increase in anxiety-like </w:t>
      </w:r>
      <w:proofErr w:type="spellStart"/>
      <w:r w:rsidRPr="00AF27D7">
        <w:rPr>
          <w:rFonts w:cs="Times New Roman"/>
          <w:szCs w:val="24"/>
        </w:rPr>
        <w:t>behaviour</w:t>
      </w:r>
      <w:proofErr w:type="spellEnd"/>
      <w:r w:rsidRPr="00AF27D7">
        <w:rPr>
          <w:rFonts w:cs="Times New Roman"/>
          <w:szCs w:val="24"/>
        </w:rPr>
        <w:t xml:space="preserve"> as depicted by an increased in the time spent in the dark box when compared to the control group, while </w:t>
      </w:r>
      <w:r w:rsidRPr="00AF27D7">
        <w:rPr>
          <w:rFonts w:cs="Times New Roman"/>
          <w:i/>
          <w:iCs/>
          <w:szCs w:val="24"/>
        </w:rPr>
        <w:t>CL</w:t>
      </w:r>
      <w:r w:rsidRPr="00AF27D7">
        <w:rPr>
          <w:rFonts w:cs="Times New Roman"/>
          <w:szCs w:val="24"/>
        </w:rPr>
        <w:t xml:space="preserve"> (100mg/kg) given daily for 14 days produced a significant (p&lt;0.05) decrease in anxiety-like </w:t>
      </w:r>
      <w:proofErr w:type="spellStart"/>
      <w:r w:rsidRPr="00AF27D7">
        <w:rPr>
          <w:rFonts w:cs="Times New Roman"/>
          <w:szCs w:val="24"/>
        </w:rPr>
        <w:t>behaviour</w:t>
      </w:r>
      <w:proofErr w:type="spellEnd"/>
      <w:r w:rsidRPr="00AF27D7">
        <w:rPr>
          <w:rFonts w:cs="Times New Roman"/>
          <w:szCs w:val="24"/>
        </w:rPr>
        <w:t xml:space="preserve">, as evidenced by an decreased in time spent in the dark box when compared with the CUMS group alone. </w:t>
      </w:r>
    </w:p>
    <w:p w14:paraId="5CC62B89" w14:textId="3DE67472" w:rsidR="00347AC2" w:rsidRPr="00AF27D7" w:rsidRDefault="00347AC2" w:rsidP="007B52D0">
      <w:pPr>
        <w:spacing w:line="480" w:lineRule="auto"/>
        <w:jc w:val="both"/>
        <w:rPr>
          <w:rFonts w:cs="Times New Roman"/>
          <w:b/>
          <w:szCs w:val="24"/>
        </w:rPr>
      </w:pPr>
      <w:r w:rsidRPr="00AF27D7">
        <w:rPr>
          <w:rFonts w:cs="Times New Roman"/>
          <w:szCs w:val="24"/>
        </w:rPr>
        <w:lastRenderedPageBreak/>
        <w:t xml:space="preserve">The effect of </w:t>
      </w:r>
      <w:r w:rsidRPr="00AF27D7">
        <w:rPr>
          <w:rFonts w:cs="Times New Roman"/>
          <w:bCs/>
          <w:i/>
          <w:iCs/>
          <w:color w:val="000000" w:themeColor="text1"/>
          <w:szCs w:val="24"/>
        </w:rPr>
        <w:t>Centella lujica</w:t>
      </w:r>
      <w:r w:rsidRPr="00AF27D7">
        <w:rPr>
          <w:rFonts w:cs="Times New Roman"/>
          <w:b/>
          <w:color w:val="000000" w:themeColor="text1"/>
          <w:szCs w:val="24"/>
        </w:rPr>
        <w:t xml:space="preserve"> </w:t>
      </w:r>
      <w:r w:rsidRPr="00AF27D7">
        <w:rPr>
          <w:rFonts w:cs="Times New Roman"/>
          <w:szCs w:val="24"/>
        </w:rPr>
        <w:t>(</w:t>
      </w:r>
      <w:r w:rsidRPr="00AF27D7">
        <w:rPr>
          <w:rFonts w:cs="Times New Roman"/>
          <w:i/>
          <w:iCs/>
          <w:szCs w:val="24"/>
        </w:rPr>
        <w:t>CL</w:t>
      </w:r>
      <w:r w:rsidRPr="00AF27D7">
        <w:rPr>
          <w:rFonts w:cs="Times New Roman"/>
          <w:szCs w:val="24"/>
        </w:rPr>
        <w:t xml:space="preserve">) given daily for 14 days on anxiety-like </w:t>
      </w:r>
      <w:proofErr w:type="spellStart"/>
      <w:r w:rsidRPr="00AF27D7">
        <w:rPr>
          <w:rFonts w:cs="Times New Roman"/>
          <w:szCs w:val="24"/>
        </w:rPr>
        <w:t>behaviour</w:t>
      </w:r>
      <w:proofErr w:type="spellEnd"/>
      <w:r w:rsidRPr="00AF27D7">
        <w:rPr>
          <w:rFonts w:cs="Times New Roman"/>
          <w:szCs w:val="24"/>
        </w:rPr>
        <w:t xml:space="preserve">, as measured by the number of head dips as seen in the hole board test, as shown in </w:t>
      </w:r>
      <w:r w:rsidRPr="00AF27D7">
        <w:rPr>
          <w:rStyle w:val="Strong"/>
          <w:rFonts w:cs="Times New Roman"/>
          <w:b w:val="0"/>
          <w:bCs w:val="0"/>
          <w:szCs w:val="24"/>
        </w:rPr>
        <w:t>Figure 4</w:t>
      </w:r>
      <w:r w:rsidRPr="00AF27D7">
        <w:rPr>
          <w:rFonts w:cs="Times New Roman"/>
          <w:b/>
          <w:bCs/>
          <w:szCs w:val="24"/>
        </w:rPr>
        <w:t>.</w:t>
      </w:r>
      <w:r w:rsidRPr="00AF27D7">
        <w:rPr>
          <w:rFonts w:cs="Times New Roman"/>
          <w:szCs w:val="24"/>
        </w:rPr>
        <w:t xml:space="preserve"> One-way ANOVA showed that there was significant difference between treatment groups. Post hoc analysis using Tukey’s post hoc test revealed that the CUMS group showed a significant (p&lt;0.05) increase in anxiety-like </w:t>
      </w:r>
      <w:proofErr w:type="spellStart"/>
      <w:r w:rsidRPr="00AF27D7">
        <w:rPr>
          <w:rFonts w:cs="Times New Roman"/>
          <w:szCs w:val="24"/>
        </w:rPr>
        <w:t>behaviour</w:t>
      </w:r>
      <w:proofErr w:type="spellEnd"/>
      <w:r w:rsidRPr="00AF27D7">
        <w:rPr>
          <w:rFonts w:cs="Times New Roman"/>
          <w:szCs w:val="24"/>
        </w:rPr>
        <w:t xml:space="preserve"> as depicted by an decreased in the number of head dips when compared to the control group, while </w:t>
      </w:r>
      <w:r w:rsidRPr="00AF27D7">
        <w:rPr>
          <w:rFonts w:cs="Times New Roman"/>
          <w:i/>
          <w:iCs/>
          <w:szCs w:val="24"/>
        </w:rPr>
        <w:t>CL</w:t>
      </w:r>
      <w:r w:rsidRPr="00AF27D7">
        <w:rPr>
          <w:rFonts w:cs="Times New Roman"/>
          <w:szCs w:val="24"/>
        </w:rPr>
        <w:t xml:space="preserve"> (100mg/kg and imipramine 10mg/kg) given daily for 14 days produced a significant (p&lt;0.05) decrease in anxiety-like </w:t>
      </w:r>
      <w:proofErr w:type="spellStart"/>
      <w:r w:rsidRPr="00AF27D7">
        <w:rPr>
          <w:rFonts w:cs="Times New Roman"/>
          <w:szCs w:val="24"/>
        </w:rPr>
        <w:t>behaviour</w:t>
      </w:r>
      <w:proofErr w:type="spellEnd"/>
      <w:r w:rsidRPr="00AF27D7">
        <w:rPr>
          <w:rFonts w:cs="Times New Roman"/>
          <w:szCs w:val="24"/>
        </w:rPr>
        <w:t xml:space="preserve">, as evidenced by an increased in number of head dips when compared with the CUMS group alone. </w:t>
      </w:r>
    </w:p>
    <w:p w14:paraId="0D1BFD38" w14:textId="77777777" w:rsidR="00BC2740" w:rsidRPr="00AF27D7" w:rsidRDefault="00BC2740" w:rsidP="007B52D0">
      <w:pPr>
        <w:spacing w:after="0" w:line="480" w:lineRule="auto"/>
        <w:jc w:val="both"/>
        <w:rPr>
          <w:rFonts w:cs="Times New Roman"/>
          <w:szCs w:val="24"/>
        </w:rPr>
      </w:pPr>
    </w:p>
    <w:p w14:paraId="4F3FFAFB" w14:textId="06026BCE" w:rsidR="00BC2740" w:rsidRPr="00AF27D7" w:rsidRDefault="00047E5C" w:rsidP="007B52D0">
      <w:pPr>
        <w:spacing w:after="0" w:line="480" w:lineRule="auto"/>
        <w:jc w:val="both"/>
        <w:rPr>
          <w:rFonts w:cs="Times New Roman"/>
          <w:szCs w:val="24"/>
        </w:rPr>
      </w:pPr>
      <w:r w:rsidRPr="00AF27D7">
        <w:rPr>
          <w:rFonts w:cs="Times New Roman"/>
          <w:noProof/>
          <w:szCs w:val="24"/>
        </w:rPr>
        <w:object w:dxaOrig="6206" w:dyaOrig="3915" w14:anchorId="04D57CA8">
          <v:shape id="_x0000_i1026" type="#_x0000_t75" style="width:311.25pt;height:196.5pt" o:ole="">
            <v:imagedata r:id="rId9" o:title=""/>
          </v:shape>
          <o:OLEObject Type="Embed" ProgID="Prism9.Document" ShapeID="_x0000_i1026" DrawAspect="Content" ObjectID="_1811760595" r:id="rId10"/>
        </w:object>
      </w:r>
    </w:p>
    <w:p w14:paraId="2CBD1958" w14:textId="0A2847B2" w:rsidR="00BC2740" w:rsidRPr="00AF27D7" w:rsidRDefault="00BC2740" w:rsidP="007B52D0">
      <w:pPr>
        <w:spacing w:after="0" w:line="480" w:lineRule="auto"/>
        <w:jc w:val="both"/>
        <w:rPr>
          <w:rFonts w:cs="Times New Roman"/>
          <w:b/>
          <w:bCs/>
          <w:color w:val="000000" w:themeColor="text1"/>
          <w:szCs w:val="24"/>
        </w:rPr>
      </w:pPr>
      <w:r w:rsidRPr="00AF27D7">
        <w:rPr>
          <w:rFonts w:cs="Times New Roman"/>
          <w:b/>
          <w:bCs/>
          <w:szCs w:val="24"/>
        </w:rPr>
        <w:t xml:space="preserve">Figure 2: The effect of </w:t>
      </w:r>
      <w:r w:rsidRPr="00AF27D7">
        <w:rPr>
          <w:rFonts w:cs="Times New Roman"/>
          <w:b/>
          <w:bCs/>
          <w:i/>
          <w:iCs/>
          <w:color w:val="000000" w:themeColor="text1"/>
          <w:szCs w:val="24"/>
        </w:rPr>
        <w:t>Centella lujica</w:t>
      </w:r>
      <w:r w:rsidRPr="00AF27D7">
        <w:rPr>
          <w:rFonts w:cs="Times New Roman"/>
          <w:b/>
          <w:bCs/>
          <w:color w:val="000000" w:themeColor="text1"/>
          <w:szCs w:val="24"/>
        </w:rPr>
        <w:t xml:space="preserve"> on anxiety-like behavior, using the Elevated plus maze in mice exposed to CUMS.</w:t>
      </w:r>
    </w:p>
    <w:p w14:paraId="6D8210F2" w14:textId="77777777" w:rsidR="00BC2740" w:rsidRPr="00AF27D7" w:rsidRDefault="00BC2740" w:rsidP="007B52D0">
      <w:pPr>
        <w:spacing w:line="480" w:lineRule="auto"/>
        <w:jc w:val="both"/>
        <w:rPr>
          <w:rFonts w:cs="Times New Roman"/>
          <w:szCs w:val="24"/>
        </w:rPr>
      </w:pPr>
      <w:r w:rsidRPr="00AF27D7">
        <w:rPr>
          <w:rFonts w:cs="Times New Roman"/>
          <w:szCs w:val="24"/>
        </w:rPr>
        <w:t>Values represent the mean ± S.E.M for 10 animals per group</w:t>
      </w:r>
    </w:p>
    <w:p w14:paraId="31D0F4CC" w14:textId="77777777" w:rsidR="00BC2740" w:rsidRPr="00AF27D7" w:rsidRDefault="00BC2740"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678C38CE" w14:textId="0EDAF2D0" w:rsidR="00F85D87" w:rsidRPr="00AF27D7" w:rsidRDefault="00BC2740" w:rsidP="007B52D0">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p>
    <w:p w14:paraId="0A3F0393" w14:textId="77777777" w:rsidR="00347AC2" w:rsidRPr="00AF27D7" w:rsidRDefault="00347AC2" w:rsidP="007B52D0">
      <w:pPr>
        <w:spacing w:line="480" w:lineRule="auto"/>
        <w:jc w:val="both"/>
        <w:rPr>
          <w:rFonts w:cs="Times New Roman"/>
          <w:szCs w:val="24"/>
        </w:rPr>
      </w:pPr>
    </w:p>
    <w:p w14:paraId="758F70C0" w14:textId="61D19865" w:rsidR="00F85D87" w:rsidRPr="00AF27D7" w:rsidRDefault="00047E5C" w:rsidP="007B52D0">
      <w:pPr>
        <w:spacing w:after="0" w:line="480" w:lineRule="auto"/>
        <w:jc w:val="both"/>
        <w:rPr>
          <w:rFonts w:cs="Times New Roman"/>
          <w:b/>
          <w:bCs/>
          <w:color w:val="000000" w:themeColor="text1"/>
          <w:szCs w:val="24"/>
        </w:rPr>
      </w:pPr>
      <w:r w:rsidRPr="00AF27D7">
        <w:rPr>
          <w:rFonts w:cs="Times New Roman"/>
          <w:noProof/>
          <w:szCs w:val="24"/>
        </w:rPr>
        <w:object w:dxaOrig="6228" w:dyaOrig="3859" w14:anchorId="019772F4">
          <v:shape id="_x0000_i1027" type="#_x0000_t75" style="width:312pt;height:193.5pt" o:ole="">
            <v:imagedata r:id="rId11" o:title=""/>
          </v:shape>
          <o:OLEObject Type="Embed" ProgID="Prism9.Document" ShapeID="_x0000_i1027" DrawAspect="Content" ObjectID="_1811760596" r:id="rId12"/>
        </w:object>
      </w:r>
      <w:r w:rsidR="00A955EB" w:rsidRPr="00AF27D7">
        <w:rPr>
          <w:rFonts w:cs="Times New Roman"/>
          <w:szCs w:val="24"/>
        </w:rPr>
        <w:br w:type="textWrapping" w:clear="all"/>
      </w:r>
      <w:r w:rsidR="00F85D87" w:rsidRPr="00AF27D7">
        <w:rPr>
          <w:rFonts w:cs="Times New Roman"/>
          <w:b/>
          <w:bCs/>
          <w:szCs w:val="24"/>
        </w:rPr>
        <w:t xml:space="preserve">Figure 3: The effect of </w:t>
      </w:r>
      <w:r w:rsidR="00F85D87" w:rsidRPr="00AF27D7">
        <w:rPr>
          <w:rFonts w:cs="Times New Roman"/>
          <w:b/>
          <w:bCs/>
          <w:i/>
          <w:iCs/>
          <w:color w:val="000000" w:themeColor="text1"/>
          <w:szCs w:val="24"/>
        </w:rPr>
        <w:t>Centella lujica</w:t>
      </w:r>
      <w:r w:rsidR="00F85D87" w:rsidRPr="00AF27D7">
        <w:rPr>
          <w:rFonts w:cs="Times New Roman"/>
          <w:b/>
          <w:bCs/>
          <w:color w:val="000000" w:themeColor="text1"/>
          <w:szCs w:val="24"/>
        </w:rPr>
        <w:t xml:space="preserve"> on anxiety-like behavior, using the Light and Dark Transition box in mice exposed to CUMS.</w:t>
      </w:r>
    </w:p>
    <w:p w14:paraId="1AE55E34" w14:textId="77777777" w:rsidR="00F85D87" w:rsidRPr="00AF27D7" w:rsidRDefault="00F85D87" w:rsidP="007B52D0">
      <w:pPr>
        <w:spacing w:line="480" w:lineRule="auto"/>
        <w:jc w:val="both"/>
        <w:rPr>
          <w:rFonts w:cs="Times New Roman"/>
          <w:szCs w:val="24"/>
        </w:rPr>
      </w:pPr>
      <w:r w:rsidRPr="00AF27D7">
        <w:rPr>
          <w:rFonts w:cs="Times New Roman"/>
          <w:szCs w:val="24"/>
        </w:rPr>
        <w:t>Values represent the mean ± S.E.M for 10 animals per group</w:t>
      </w:r>
    </w:p>
    <w:p w14:paraId="6C5BAC75" w14:textId="77777777" w:rsidR="00F85D87" w:rsidRPr="00AF27D7" w:rsidRDefault="00F85D87"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7A510D32" w14:textId="622A95F3" w:rsidR="00A955EB" w:rsidRPr="00AF27D7" w:rsidRDefault="00F85D87" w:rsidP="007B52D0">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p>
    <w:p w14:paraId="476C9C83" w14:textId="77777777" w:rsidR="00BC2740" w:rsidRPr="00AF27D7" w:rsidRDefault="00BC2740" w:rsidP="007B52D0">
      <w:pPr>
        <w:spacing w:after="0" w:line="480" w:lineRule="auto"/>
        <w:jc w:val="both"/>
        <w:rPr>
          <w:rFonts w:cs="Times New Roman"/>
          <w:szCs w:val="24"/>
        </w:rPr>
      </w:pPr>
    </w:p>
    <w:p w14:paraId="7A8778CC" w14:textId="77777777" w:rsidR="00300BF6" w:rsidRPr="00AF27D7" w:rsidRDefault="00047E5C" w:rsidP="007B52D0">
      <w:pPr>
        <w:spacing w:after="0" w:line="480" w:lineRule="auto"/>
        <w:jc w:val="both"/>
        <w:rPr>
          <w:rFonts w:cs="Times New Roman"/>
          <w:szCs w:val="24"/>
        </w:rPr>
      </w:pPr>
      <w:r w:rsidRPr="00AF27D7">
        <w:rPr>
          <w:rFonts w:cs="Times New Roman"/>
          <w:noProof/>
          <w:szCs w:val="24"/>
        </w:rPr>
        <w:object w:dxaOrig="6012" w:dyaOrig="3921" w14:anchorId="735AF519">
          <v:shape id="_x0000_i1028" type="#_x0000_t75" style="width:300pt;height:195.75pt" o:ole="">
            <v:imagedata r:id="rId13" o:title=""/>
          </v:shape>
          <o:OLEObject Type="Embed" ProgID="Prism9.Document" ShapeID="_x0000_i1028" DrawAspect="Content" ObjectID="_1811760597" r:id="rId14"/>
        </w:object>
      </w:r>
    </w:p>
    <w:p w14:paraId="47298011" w14:textId="47E9FB44" w:rsidR="00347AC2" w:rsidRPr="00AF27D7" w:rsidRDefault="00347AC2" w:rsidP="007B52D0">
      <w:pPr>
        <w:spacing w:after="0" w:line="480" w:lineRule="auto"/>
        <w:jc w:val="both"/>
        <w:rPr>
          <w:rFonts w:cs="Times New Roman"/>
          <w:b/>
          <w:bCs/>
          <w:color w:val="000000" w:themeColor="text1"/>
          <w:szCs w:val="24"/>
        </w:rPr>
      </w:pPr>
      <w:r w:rsidRPr="00AF27D7">
        <w:rPr>
          <w:rFonts w:cs="Times New Roman"/>
          <w:b/>
          <w:bCs/>
          <w:szCs w:val="24"/>
        </w:rPr>
        <w:lastRenderedPageBreak/>
        <w:t xml:space="preserve">Figure 4: The effect of </w:t>
      </w:r>
      <w:r w:rsidRPr="00AF27D7">
        <w:rPr>
          <w:rFonts w:cs="Times New Roman"/>
          <w:b/>
          <w:bCs/>
          <w:i/>
          <w:iCs/>
          <w:color w:val="000000" w:themeColor="text1"/>
          <w:szCs w:val="24"/>
        </w:rPr>
        <w:t>Centella lujica</w:t>
      </w:r>
      <w:r w:rsidRPr="00AF27D7">
        <w:rPr>
          <w:rFonts w:cs="Times New Roman"/>
          <w:b/>
          <w:bCs/>
          <w:color w:val="000000" w:themeColor="text1"/>
          <w:szCs w:val="24"/>
        </w:rPr>
        <w:t xml:space="preserve"> on anxiety-like behavior, using the Hole board test in mice exposed to CUMS.</w:t>
      </w:r>
    </w:p>
    <w:p w14:paraId="1E22DC0D" w14:textId="77777777" w:rsidR="00347AC2" w:rsidRPr="00AF27D7" w:rsidRDefault="00347AC2" w:rsidP="007B52D0">
      <w:pPr>
        <w:spacing w:line="480" w:lineRule="auto"/>
        <w:jc w:val="both"/>
        <w:rPr>
          <w:rFonts w:cs="Times New Roman"/>
          <w:szCs w:val="24"/>
        </w:rPr>
      </w:pPr>
      <w:r w:rsidRPr="00AF27D7">
        <w:rPr>
          <w:rFonts w:cs="Times New Roman"/>
          <w:szCs w:val="24"/>
        </w:rPr>
        <w:t>Values represent the mean ± S.E.M for 10 animals per group</w:t>
      </w:r>
    </w:p>
    <w:p w14:paraId="3A60AA53" w14:textId="77777777" w:rsidR="00347AC2" w:rsidRPr="00AF27D7" w:rsidRDefault="00347AC2"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2D67BA33" w14:textId="59007CB2" w:rsidR="00300BF6" w:rsidRPr="00AF27D7" w:rsidRDefault="00347AC2" w:rsidP="007B52D0">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p>
    <w:p w14:paraId="7F5F0E7D" w14:textId="77777777" w:rsidR="00300BF6" w:rsidRPr="00AF27D7" w:rsidRDefault="00300BF6" w:rsidP="007B52D0">
      <w:pPr>
        <w:spacing w:after="0" w:line="480" w:lineRule="auto"/>
        <w:jc w:val="both"/>
        <w:rPr>
          <w:rFonts w:cs="Times New Roman"/>
          <w:szCs w:val="24"/>
        </w:rPr>
      </w:pPr>
    </w:p>
    <w:p w14:paraId="61489243" w14:textId="59A22CB7" w:rsidR="00AF25A1" w:rsidRPr="00AF27D7" w:rsidRDefault="00F566BB" w:rsidP="007B52D0">
      <w:pPr>
        <w:spacing w:line="480" w:lineRule="auto"/>
        <w:rPr>
          <w:rFonts w:cs="Times New Roman"/>
          <w:b/>
          <w:bCs/>
          <w:szCs w:val="24"/>
        </w:rPr>
      </w:pPr>
      <w:bookmarkStart w:id="1" w:name="_Hlk194567788"/>
      <w:r>
        <w:rPr>
          <w:rFonts w:cs="Times New Roman"/>
          <w:b/>
          <w:bCs/>
          <w:szCs w:val="24"/>
        </w:rPr>
        <w:t xml:space="preserve">Plate </w:t>
      </w:r>
      <w:proofErr w:type="gramStart"/>
      <w:r>
        <w:rPr>
          <w:rFonts w:cs="Times New Roman"/>
          <w:b/>
          <w:bCs/>
          <w:szCs w:val="24"/>
        </w:rPr>
        <w:t>1 :</w:t>
      </w:r>
      <w:proofErr w:type="gramEnd"/>
      <w:r>
        <w:rPr>
          <w:rFonts w:cs="Times New Roman"/>
          <w:b/>
          <w:bCs/>
          <w:szCs w:val="24"/>
        </w:rPr>
        <w:t xml:space="preserve"> </w:t>
      </w:r>
      <w:r w:rsidR="00AF25A1" w:rsidRPr="00AF27D7">
        <w:rPr>
          <w:rFonts w:cs="Times New Roman"/>
          <w:b/>
          <w:bCs/>
          <w:szCs w:val="24"/>
        </w:rPr>
        <w:t xml:space="preserve">Photomicrograph on the effect of </w:t>
      </w:r>
      <w:r w:rsidR="00AF25A1" w:rsidRPr="00AF27D7">
        <w:rPr>
          <w:rFonts w:cs="Times New Roman"/>
          <w:b/>
          <w:bCs/>
          <w:i/>
          <w:iCs/>
          <w:szCs w:val="24"/>
        </w:rPr>
        <w:t xml:space="preserve">Centella lujica </w:t>
      </w:r>
      <w:r w:rsidR="00AF25A1" w:rsidRPr="00AF27D7">
        <w:rPr>
          <w:rFonts w:cs="Times New Roman"/>
          <w:b/>
          <w:bCs/>
          <w:szCs w:val="24"/>
        </w:rPr>
        <w:t>(</w:t>
      </w:r>
      <w:r w:rsidR="00AF25A1" w:rsidRPr="00AF27D7">
        <w:rPr>
          <w:rFonts w:cs="Times New Roman"/>
          <w:b/>
          <w:bCs/>
          <w:i/>
          <w:iCs/>
          <w:szCs w:val="24"/>
        </w:rPr>
        <w:t>CL</w:t>
      </w:r>
      <w:r w:rsidR="00AF25A1" w:rsidRPr="00AF27D7">
        <w:rPr>
          <w:rFonts w:cs="Times New Roman"/>
          <w:b/>
          <w:bCs/>
          <w:szCs w:val="24"/>
        </w:rPr>
        <w:t>)</w:t>
      </w:r>
      <w:r w:rsidR="00AF25A1" w:rsidRPr="00AF27D7">
        <w:rPr>
          <w:rFonts w:cs="Times New Roman"/>
          <w:szCs w:val="24"/>
        </w:rPr>
        <w:t xml:space="preserve"> </w:t>
      </w:r>
      <w:r w:rsidR="00AF25A1" w:rsidRPr="00AF27D7">
        <w:rPr>
          <w:rFonts w:cs="Times New Roman"/>
          <w:b/>
          <w:bCs/>
          <w:szCs w:val="24"/>
        </w:rPr>
        <w:t xml:space="preserve">on neuronal density count of the </w:t>
      </w:r>
      <w:bookmarkStart w:id="2" w:name="_Hlk179288555"/>
      <w:r w:rsidR="00AF25A1" w:rsidRPr="00AF27D7">
        <w:rPr>
          <w:rFonts w:cs="Times New Roman"/>
          <w:b/>
          <w:bCs/>
          <w:szCs w:val="24"/>
        </w:rPr>
        <w:t xml:space="preserve">cornu </w:t>
      </w:r>
      <w:proofErr w:type="spellStart"/>
      <w:r w:rsidR="00AF25A1" w:rsidRPr="00AF27D7">
        <w:rPr>
          <w:rFonts w:cs="Times New Roman"/>
          <w:b/>
          <w:bCs/>
          <w:szCs w:val="24"/>
        </w:rPr>
        <w:t>ammonis</w:t>
      </w:r>
      <w:bookmarkEnd w:id="2"/>
      <w:proofErr w:type="spellEnd"/>
      <w:r w:rsidR="00AF25A1" w:rsidRPr="00AF27D7">
        <w:rPr>
          <w:rFonts w:cs="Times New Roman"/>
          <w:b/>
          <w:bCs/>
          <w:szCs w:val="24"/>
        </w:rPr>
        <w:t xml:space="preserve"> (CA2) of the hippocampi in mice exposed to chronic unpredictable mild stress (CUMS).</w:t>
      </w:r>
    </w:p>
    <w:p w14:paraId="330EB90E" w14:textId="17054699" w:rsidR="00AF25A1" w:rsidRPr="00AF27D7" w:rsidRDefault="00AF25A1" w:rsidP="007B52D0">
      <w:pPr>
        <w:spacing w:after="0" w:line="480" w:lineRule="auto"/>
        <w:jc w:val="both"/>
        <w:rPr>
          <w:rFonts w:cs="Times New Roman"/>
          <w:b/>
          <w:bCs/>
          <w:szCs w:val="24"/>
        </w:rPr>
      </w:pPr>
      <w:r w:rsidRPr="00AF27D7">
        <w:rPr>
          <w:rFonts w:cs="Times New Roman"/>
          <w:noProof/>
          <w:szCs w:val="24"/>
        </w:rPr>
        <w:drawing>
          <wp:inline distT="0" distB="0" distL="0" distR="0" wp14:anchorId="536DE735" wp14:editId="150C7846">
            <wp:extent cx="5020408" cy="2788220"/>
            <wp:effectExtent l="0" t="0" r="0" b="0"/>
            <wp:docPr id="1120191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91157" name="Picture 1"/>
                    <pic:cNvPicPr>
                      <a:picLocks noChangeAspect="1"/>
                    </pic:cNvPicPr>
                  </pic:nvPicPr>
                  <pic:blipFill>
                    <a:blip r:embed="rId15"/>
                    <a:stretch>
                      <a:fillRect/>
                    </a:stretch>
                  </pic:blipFill>
                  <pic:spPr>
                    <a:xfrm>
                      <a:off x="0" y="0"/>
                      <a:ext cx="5038952" cy="2798519"/>
                    </a:xfrm>
                    <a:prstGeom prst="rect">
                      <a:avLst/>
                    </a:prstGeom>
                  </pic:spPr>
                </pic:pic>
              </a:graphicData>
            </a:graphic>
          </wp:inline>
        </w:drawing>
      </w:r>
    </w:p>
    <w:p w14:paraId="56DE2B12" w14:textId="06F1E6CC" w:rsidR="00AF25A1" w:rsidRPr="00AF27D7" w:rsidRDefault="00AF25A1" w:rsidP="007B52D0">
      <w:pPr>
        <w:spacing w:after="0" w:line="480" w:lineRule="auto"/>
        <w:jc w:val="both"/>
        <w:rPr>
          <w:rFonts w:cs="Times New Roman"/>
          <w:szCs w:val="24"/>
        </w:rPr>
      </w:pPr>
      <w:r w:rsidRPr="00AF27D7">
        <w:rPr>
          <w:rFonts w:cs="Times New Roman"/>
          <w:szCs w:val="24"/>
        </w:rPr>
        <w:t>Representative photomicrograph (</w:t>
      </w:r>
      <w:r w:rsidR="00733211">
        <w:rPr>
          <w:rFonts w:cs="Times New Roman"/>
          <w:szCs w:val="24"/>
        </w:rPr>
        <w:t>H</w:t>
      </w:r>
      <w:r w:rsidRPr="00AF27D7">
        <w:rPr>
          <w:rFonts w:cs="Times New Roman"/>
          <w:szCs w:val="24"/>
        </w:rPr>
        <w:t xml:space="preserve"> and </w:t>
      </w:r>
      <w:r w:rsidR="00733211">
        <w:rPr>
          <w:rFonts w:cs="Times New Roman"/>
          <w:szCs w:val="24"/>
        </w:rPr>
        <w:t>E</w:t>
      </w:r>
      <w:r w:rsidRPr="00AF27D7">
        <w:rPr>
          <w:rFonts w:cs="Times New Roman"/>
          <w:szCs w:val="24"/>
        </w:rPr>
        <w:t xml:space="preserve">- stained section) of the effect of </w:t>
      </w:r>
      <w:r w:rsidRPr="00AF27D7">
        <w:rPr>
          <w:rFonts w:cs="Times New Roman"/>
          <w:i/>
          <w:iCs/>
          <w:szCs w:val="24"/>
        </w:rPr>
        <w:t xml:space="preserve">Centella lujica </w:t>
      </w:r>
      <w:r w:rsidRPr="00AF27D7">
        <w:rPr>
          <w:rFonts w:cs="Times New Roman"/>
          <w:szCs w:val="24"/>
        </w:rPr>
        <w:t>(</w:t>
      </w:r>
      <w:r w:rsidRPr="00AF27D7">
        <w:rPr>
          <w:rFonts w:cs="Times New Roman"/>
          <w:i/>
          <w:iCs/>
          <w:szCs w:val="24"/>
        </w:rPr>
        <w:t>CL</w:t>
      </w:r>
      <w:r w:rsidRPr="00AF27D7">
        <w:rPr>
          <w:rFonts w:cs="Times New Roman"/>
          <w:szCs w:val="24"/>
        </w:rPr>
        <w:t>) on the histology of the hippocampus in mice exposed to chronic unpredictable mild stress (CUMS).</w:t>
      </w:r>
    </w:p>
    <w:p w14:paraId="24273B57" w14:textId="7E0A394E" w:rsidR="00AF25A1" w:rsidRPr="00AF27D7" w:rsidRDefault="00AF25A1" w:rsidP="007B52D0">
      <w:pPr>
        <w:spacing w:after="0" w:line="480" w:lineRule="auto"/>
        <w:jc w:val="both"/>
        <w:rPr>
          <w:rFonts w:cs="Times New Roman"/>
          <w:szCs w:val="24"/>
        </w:rPr>
      </w:pPr>
      <w:r w:rsidRPr="00AF27D7">
        <w:rPr>
          <w:rFonts w:cs="Times New Roman"/>
          <w:szCs w:val="24"/>
        </w:rPr>
        <w:t xml:space="preserve">Magnification= </w:t>
      </w:r>
      <w:r w:rsidR="00DD7A54">
        <w:rPr>
          <w:rFonts w:cs="Times New Roman"/>
          <w:szCs w:val="24"/>
        </w:rPr>
        <w:t>HE</w:t>
      </w:r>
      <w:r w:rsidRPr="00AF27D7">
        <w:rPr>
          <w:rFonts w:cs="Times New Roman"/>
          <w:szCs w:val="24"/>
        </w:rPr>
        <w:t xml:space="preserve"> × 40. A= control, B=CUMS, C=CUMS+50mg/kg, D=CUMS+100mg/kg, E=CUMS+IMP 10mg/kg.</w:t>
      </w:r>
    </w:p>
    <w:p w14:paraId="423A6B54" w14:textId="77777777" w:rsidR="00AF25A1" w:rsidRPr="00AF27D7" w:rsidRDefault="00AF25A1" w:rsidP="007B52D0">
      <w:pPr>
        <w:spacing w:after="0" w:line="480" w:lineRule="auto"/>
        <w:jc w:val="both"/>
        <w:rPr>
          <w:rFonts w:cs="Times New Roman"/>
          <w:szCs w:val="24"/>
        </w:rPr>
      </w:pPr>
    </w:p>
    <w:p w14:paraId="101C3E5E" w14:textId="77777777" w:rsidR="00AF25A1" w:rsidRPr="00AF27D7" w:rsidRDefault="00AF25A1" w:rsidP="007B52D0">
      <w:pPr>
        <w:spacing w:after="0" w:line="480" w:lineRule="auto"/>
        <w:jc w:val="both"/>
        <w:rPr>
          <w:rFonts w:cs="Times New Roman"/>
          <w:szCs w:val="24"/>
        </w:rPr>
      </w:pPr>
      <w:r w:rsidRPr="00AF27D7">
        <w:rPr>
          <w:rFonts w:cs="Times New Roman"/>
          <w:szCs w:val="24"/>
        </w:rPr>
        <w:lastRenderedPageBreak/>
        <w:t>Slide A appeared normal (black arrow) and are well structurally organized with multiple lamina arrangement, slide B few neurons appeared degenerated(atrophic) with viable basophilia (red arrow), slide C few neurons appeared degenerated(atrophic) with viable basophilia (red arrow), slide D few neurons appeared degenerated(atrophic) with viable basophilia (red arrow), slide E few neurons appeared degenerated(atrophic) with viable basophilia (red arrow).</w:t>
      </w:r>
    </w:p>
    <w:p w14:paraId="48591015" w14:textId="77777777" w:rsidR="00AF25A1" w:rsidRPr="00AF27D7" w:rsidRDefault="00AF25A1" w:rsidP="007B52D0">
      <w:pPr>
        <w:spacing w:after="0" w:line="480" w:lineRule="auto"/>
        <w:jc w:val="both"/>
        <w:rPr>
          <w:rFonts w:cs="Times New Roman"/>
          <w:b/>
          <w:bCs/>
          <w:szCs w:val="24"/>
        </w:rPr>
      </w:pPr>
      <w:bookmarkStart w:id="3" w:name="_Hlk194567383"/>
      <w:bookmarkEnd w:id="1"/>
    </w:p>
    <w:p w14:paraId="1BCAD757" w14:textId="77777777" w:rsidR="00AF25A1" w:rsidRPr="00AF27D7" w:rsidRDefault="00AF25A1" w:rsidP="007B52D0">
      <w:pPr>
        <w:spacing w:after="0" w:line="480" w:lineRule="auto"/>
        <w:jc w:val="both"/>
        <w:rPr>
          <w:rFonts w:cs="Times New Roman"/>
          <w:szCs w:val="24"/>
        </w:rPr>
      </w:pPr>
    </w:p>
    <w:p w14:paraId="40A6789D" w14:textId="4BE0C841" w:rsidR="00AF25A1" w:rsidRPr="00AF27D7" w:rsidRDefault="00AF25A1" w:rsidP="007B52D0">
      <w:pPr>
        <w:spacing w:after="0" w:line="480" w:lineRule="auto"/>
        <w:jc w:val="both"/>
        <w:rPr>
          <w:rFonts w:cs="Times New Roman"/>
          <w:szCs w:val="24"/>
        </w:rPr>
      </w:pPr>
      <w:bookmarkStart w:id="4" w:name="_Hlk194567921"/>
      <w:bookmarkEnd w:id="3"/>
      <w:r w:rsidRPr="00AF27D7">
        <w:rPr>
          <w:rFonts w:cs="Times New Roman"/>
          <w:noProof/>
          <w:szCs w:val="24"/>
        </w:rPr>
        <w:drawing>
          <wp:inline distT="0" distB="0" distL="0" distR="0" wp14:anchorId="5EE987FF" wp14:editId="6F222614">
            <wp:extent cx="4124325" cy="2790825"/>
            <wp:effectExtent l="0" t="0" r="9525" b="9525"/>
            <wp:docPr id="51139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91257" name=""/>
                    <pic:cNvPicPr/>
                  </pic:nvPicPr>
                  <pic:blipFill>
                    <a:blip r:embed="rId16"/>
                    <a:stretch>
                      <a:fillRect/>
                    </a:stretch>
                  </pic:blipFill>
                  <pic:spPr>
                    <a:xfrm>
                      <a:off x="0" y="0"/>
                      <a:ext cx="4135361" cy="2798293"/>
                    </a:xfrm>
                    <a:prstGeom prst="rect">
                      <a:avLst/>
                    </a:prstGeom>
                  </pic:spPr>
                </pic:pic>
              </a:graphicData>
            </a:graphic>
          </wp:inline>
        </w:drawing>
      </w:r>
    </w:p>
    <w:p w14:paraId="71896047" w14:textId="79AB3581" w:rsidR="00AF25A1" w:rsidRPr="00AF27D7" w:rsidRDefault="00AF25A1" w:rsidP="007B52D0">
      <w:pPr>
        <w:spacing w:after="0" w:line="480" w:lineRule="auto"/>
        <w:jc w:val="both"/>
        <w:rPr>
          <w:rFonts w:cs="Times New Roman"/>
          <w:b/>
          <w:bCs/>
          <w:color w:val="000000" w:themeColor="text1"/>
          <w:szCs w:val="24"/>
        </w:rPr>
      </w:pPr>
      <w:r w:rsidRPr="00AF27D7">
        <w:rPr>
          <w:rFonts w:cs="Times New Roman"/>
          <w:b/>
          <w:bCs/>
          <w:szCs w:val="24"/>
        </w:rPr>
        <w:t xml:space="preserve">Figure 5: The effect of </w:t>
      </w:r>
      <w:r w:rsidRPr="00AF27D7">
        <w:rPr>
          <w:rFonts w:cs="Times New Roman"/>
          <w:b/>
          <w:bCs/>
          <w:i/>
          <w:iCs/>
          <w:szCs w:val="24"/>
        </w:rPr>
        <w:t xml:space="preserve">Centella lujica </w:t>
      </w:r>
      <w:r w:rsidRPr="00AF27D7">
        <w:rPr>
          <w:rFonts w:cs="Times New Roman"/>
          <w:b/>
          <w:bCs/>
          <w:szCs w:val="24"/>
        </w:rPr>
        <w:t>(</w:t>
      </w:r>
      <w:r w:rsidRPr="00AF27D7">
        <w:rPr>
          <w:rFonts w:cs="Times New Roman"/>
          <w:b/>
          <w:bCs/>
          <w:i/>
          <w:iCs/>
          <w:szCs w:val="24"/>
        </w:rPr>
        <w:t>CL</w:t>
      </w:r>
      <w:r w:rsidRPr="00AF27D7">
        <w:rPr>
          <w:rFonts w:cs="Times New Roman"/>
          <w:b/>
          <w:bCs/>
          <w:szCs w:val="24"/>
        </w:rPr>
        <w:t xml:space="preserve">) on the histology and neuronal density count of the cornu </w:t>
      </w:r>
      <w:proofErr w:type="spellStart"/>
      <w:r w:rsidRPr="00AF27D7">
        <w:rPr>
          <w:rFonts w:cs="Times New Roman"/>
          <w:b/>
          <w:bCs/>
          <w:szCs w:val="24"/>
        </w:rPr>
        <w:t>ammonis</w:t>
      </w:r>
      <w:proofErr w:type="spellEnd"/>
      <w:r w:rsidRPr="00AF27D7">
        <w:rPr>
          <w:rFonts w:cs="Times New Roman"/>
          <w:b/>
          <w:bCs/>
          <w:szCs w:val="24"/>
        </w:rPr>
        <w:t xml:space="preserve"> (CA2) of the hippocampi</w:t>
      </w:r>
      <w:r w:rsidRPr="00AF27D7">
        <w:rPr>
          <w:rFonts w:cs="Times New Roman"/>
          <w:szCs w:val="24"/>
        </w:rPr>
        <w:t xml:space="preserve"> </w:t>
      </w:r>
      <w:r w:rsidRPr="00AF27D7">
        <w:rPr>
          <w:rFonts w:cs="Times New Roman"/>
          <w:b/>
          <w:bCs/>
          <w:color w:val="000000" w:themeColor="text1"/>
          <w:szCs w:val="24"/>
        </w:rPr>
        <w:t>in mice exposed to CUMS.</w:t>
      </w:r>
    </w:p>
    <w:p w14:paraId="3E3F7AA1" w14:textId="77777777" w:rsidR="00AF25A1" w:rsidRPr="00AF27D7" w:rsidRDefault="00AF25A1" w:rsidP="007B52D0">
      <w:pPr>
        <w:spacing w:line="480" w:lineRule="auto"/>
        <w:jc w:val="both"/>
        <w:rPr>
          <w:rFonts w:cs="Times New Roman"/>
          <w:szCs w:val="24"/>
        </w:rPr>
      </w:pPr>
      <w:r w:rsidRPr="00AF27D7">
        <w:rPr>
          <w:rFonts w:cs="Times New Roman"/>
          <w:szCs w:val="24"/>
        </w:rPr>
        <w:t>Values represent the mean ± S.E.M for 10 animals per group</w:t>
      </w:r>
    </w:p>
    <w:p w14:paraId="24504FA0" w14:textId="77777777" w:rsidR="00AF25A1" w:rsidRPr="00AF27D7" w:rsidRDefault="00AF25A1"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2C00B205" w14:textId="7979C1B0" w:rsidR="00AF25A1" w:rsidRPr="00AF27D7" w:rsidRDefault="00AF25A1" w:rsidP="007B52D0">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p>
    <w:p w14:paraId="55844829" w14:textId="77777777" w:rsidR="00AF25A1" w:rsidRPr="00AF27D7" w:rsidRDefault="00AF25A1" w:rsidP="007B52D0">
      <w:pPr>
        <w:spacing w:line="480" w:lineRule="auto"/>
        <w:jc w:val="both"/>
        <w:rPr>
          <w:rFonts w:cs="Times New Roman"/>
          <w:szCs w:val="24"/>
        </w:rPr>
      </w:pPr>
    </w:p>
    <w:p w14:paraId="4323D0AC" w14:textId="155B9457" w:rsidR="00AF25A1" w:rsidRPr="00AF27D7" w:rsidRDefault="00F566BB" w:rsidP="007B52D0">
      <w:pPr>
        <w:spacing w:line="480" w:lineRule="auto"/>
        <w:rPr>
          <w:rFonts w:cs="Times New Roman"/>
          <w:b/>
          <w:bCs/>
          <w:szCs w:val="24"/>
        </w:rPr>
      </w:pPr>
      <w:r>
        <w:rPr>
          <w:rFonts w:cs="Times New Roman"/>
          <w:b/>
          <w:bCs/>
          <w:szCs w:val="24"/>
        </w:rPr>
        <w:lastRenderedPageBreak/>
        <w:t xml:space="preserve">Plate </w:t>
      </w:r>
      <w:proofErr w:type="gramStart"/>
      <w:r>
        <w:rPr>
          <w:rFonts w:cs="Times New Roman"/>
          <w:b/>
          <w:bCs/>
          <w:szCs w:val="24"/>
        </w:rPr>
        <w:t>2 :</w:t>
      </w:r>
      <w:proofErr w:type="gramEnd"/>
      <w:r>
        <w:rPr>
          <w:rFonts w:cs="Times New Roman"/>
          <w:b/>
          <w:bCs/>
          <w:szCs w:val="24"/>
        </w:rPr>
        <w:t xml:space="preserve"> </w:t>
      </w:r>
      <w:r w:rsidR="00AF25A1" w:rsidRPr="00AF27D7">
        <w:rPr>
          <w:rFonts w:cs="Times New Roman"/>
          <w:b/>
          <w:bCs/>
          <w:szCs w:val="24"/>
        </w:rPr>
        <w:t xml:space="preserve">Photomicrograph on the effect of </w:t>
      </w:r>
      <w:r w:rsidR="00AF25A1" w:rsidRPr="00AF27D7">
        <w:rPr>
          <w:rFonts w:cs="Times New Roman"/>
          <w:b/>
          <w:bCs/>
          <w:i/>
          <w:iCs/>
          <w:szCs w:val="24"/>
        </w:rPr>
        <w:t xml:space="preserve">Centella lujica </w:t>
      </w:r>
      <w:r w:rsidR="00AF25A1" w:rsidRPr="00AF27D7">
        <w:rPr>
          <w:rFonts w:cs="Times New Roman"/>
          <w:b/>
          <w:bCs/>
          <w:szCs w:val="24"/>
        </w:rPr>
        <w:t>(</w:t>
      </w:r>
      <w:r w:rsidR="00AF25A1" w:rsidRPr="00AF27D7">
        <w:rPr>
          <w:rFonts w:cs="Times New Roman"/>
          <w:b/>
          <w:bCs/>
          <w:i/>
          <w:iCs/>
          <w:szCs w:val="24"/>
        </w:rPr>
        <w:t>CL</w:t>
      </w:r>
      <w:r w:rsidR="00AF25A1" w:rsidRPr="00AF27D7">
        <w:rPr>
          <w:rFonts w:cs="Times New Roman"/>
          <w:b/>
          <w:bCs/>
          <w:szCs w:val="24"/>
        </w:rPr>
        <w:t>)</w:t>
      </w:r>
      <w:r w:rsidR="00AF25A1" w:rsidRPr="00AF27D7">
        <w:rPr>
          <w:rFonts w:cs="Times New Roman"/>
          <w:szCs w:val="24"/>
        </w:rPr>
        <w:t xml:space="preserve"> </w:t>
      </w:r>
      <w:r w:rsidR="00AF25A1" w:rsidRPr="00AF27D7">
        <w:rPr>
          <w:rFonts w:cs="Times New Roman"/>
          <w:b/>
          <w:bCs/>
          <w:szCs w:val="24"/>
        </w:rPr>
        <w:t>on neuronal density count of the Prefrontal cortex PFC in mice exposed to chronic unpredictable mild stress (CUMS).</w:t>
      </w:r>
      <w:bookmarkStart w:id="5" w:name="_Hlk194567499"/>
      <w:bookmarkEnd w:id="4"/>
    </w:p>
    <w:p w14:paraId="500940F5" w14:textId="77777777" w:rsidR="00AF25A1" w:rsidRPr="00AF27D7" w:rsidRDefault="00AF25A1" w:rsidP="007B52D0">
      <w:pPr>
        <w:spacing w:after="0" w:line="480" w:lineRule="auto"/>
        <w:jc w:val="both"/>
        <w:rPr>
          <w:rFonts w:cs="Times New Roman"/>
          <w:b/>
          <w:bCs/>
          <w:szCs w:val="24"/>
        </w:rPr>
      </w:pPr>
      <w:r w:rsidRPr="00AF27D7">
        <w:rPr>
          <w:rFonts w:cs="Times New Roman"/>
          <w:noProof/>
          <w:szCs w:val="24"/>
        </w:rPr>
        <w:drawing>
          <wp:inline distT="0" distB="0" distL="0" distR="0" wp14:anchorId="1019847D" wp14:editId="1659435B">
            <wp:extent cx="5238750" cy="2933022"/>
            <wp:effectExtent l="0" t="0" r="0" b="1270"/>
            <wp:docPr id="181389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92334" name="Picture 1"/>
                    <pic:cNvPicPr>
                      <a:picLocks noChangeAspect="1"/>
                    </pic:cNvPicPr>
                  </pic:nvPicPr>
                  <pic:blipFill>
                    <a:blip r:embed="rId17"/>
                    <a:stretch>
                      <a:fillRect/>
                    </a:stretch>
                  </pic:blipFill>
                  <pic:spPr>
                    <a:xfrm>
                      <a:off x="0" y="0"/>
                      <a:ext cx="5313284" cy="2974751"/>
                    </a:xfrm>
                    <a:prstGeom prst="rect">
                      <a:avLst/>
                    </a:prstGeom>
                  </pic:spPr>
                </pic:pic>
              </a:graphicData>
            </a:graphic>
          </wp:inline>
        </w:drawing>
      </w:r>
    </w:p>
    <w:p w14:paraId="0E0DD51E" w14:textId="77777777" w:rsidR="00AF25A1" w:rsidRPr="00AF27D7" w:rsidRDefault="00AF25A1" w:rsidP="007B52D0">
      <w:pPr>
        <w:spacing w:after="0" w:line="480" w:lineRule="auto"/>
        <w:jc w:val="both"/>
        <w:rPr>
          <w:rFonts w:cs="Times New Roman"/>
          <w:b/>
          <w:bCs/>
          <w:szCs w:val="24"/>
        </w:rPr>
      </w:pPr>
    </w:p>
    <w:p w14:paraId="43B598C5" w14:textId="7F0F4153" w:rsidR="00AF25A1" w:rsidRPr="00AF27D7" w:rsidRDefault="00AF25A1" w:rsidP="007B52D0">
      <w:pPr>
        <w:spacing w:after="0" w:line="480" w:lineRule="auto"/>
        <w:jc w:val="both"/>
        <w:rPr>
          <w:rFonts w:cs="Times New Roman"/>
          <w:szCs w:val="24"/>
        </w:rPr>
      </w:pPr>
      <w:r w:rsidRPr="00AF27D7">
        <w:rPr>
          <w:rFonts w:cs="Times New Roman"/>
          <w:szCs w:val="24"/>
        </w:rPr>
        <w:t>Representative photomicrograph (</w:t>
      </w:r>
      <w:r w:rsidR="00733211">
        <w:rPr>
          <w:rFonts w:cs="Times New Roman"/>
          <w:szCs w:val="24"/>
        </w:rPr>
        <w:t>H</w:t>
      </w:r>
      <w:r w:rsidRPr="00AF27D7">
        <w:rPr>
          <w:rFonts w:cs="Times New Roman"/>
          <w:szCs w:val="24"/>
        </w:rPr>
        <w:t xml:space="preserve"> and </w:t>
      </w:r>
      <w:r w:rsidR="00733211">
        <w:rPr>
          <w:rFonts w:cs="Times New Roman"/>
          <w:szCs w:val="24"/>
        </w:rPr>
        <w:t>E</w:t>
      </w:r>
      <w:r w:rsidRPr="00AF27D7">
        <w:rPr>
          <w:rFonts w:cs="Times New Roman"/>
          <w:szCs w:val="24"/>
        </w:rPr>
        <w:t xml:space="preserve">- stained section) of the effect of </w:t>
      </w:r>
      <w:r w:rsidRPr="00AF27D7">
        <w:rPr>
          <w:rFonts w:cs="Times New Roman"/>
          <w:i/>
          <w:iCs/>
          <w:szCs w:val="24"/>
        </w:rPr>
        <w:t>Centella lujica</w:t>
      </w:r>
      <w:r w:rsidRPr="00AF27D7">
        <w:rPr>
          <w:rFonts w:cs="Times New Roman"/>
          <w:szCs w:val="24"/>
        </w:rPr>
        <w:t xml:space="preserve"> on the histology of the prefrontal cortex in mice exposed to chronic unpredictable mild stress (CUMS).</w:t>
      </w:r>
    </w:p>
    <w:p w14:paraId="28B2923D" w14:textId="4A6A03AD" w:rsidR="00AF25A1" w:rsidRPr="00AF27D7" w:rsidRDefault="00AF25A1" w:rsidP="007B52D0">
      <w:pPr>
        <w:spacing w:after="0" w:line="480" w:lineRule="auto"/>
        <w:jc w:val="both"/>
        <w:rPr>
          <w:rFonts w:cs="Times New Roman"/>
          <w:szCs w:val="24"/>
        </w:rPr>
      </w:pPr>
      <w:r w:rsidRPr="00AF27D7">
        <w:rPr>
          <w:rFonts w:cs="Times New Roman"/>
          <w:szCs w:val="24"/>
        </w:rPr>
        <w:t xml:space="preserve">Magnification= </w:t>
      </w:r>
      <w:r w:rsidR="00DD7A54">
        <w:rPr>
          <w:rFonts w:cs="Times New Roman"/>
          <w:szCs w:val="24"/>
        </w:rPr>
        <w:t>HE</w:t>
      </w:r>
      <w:r w:rsidRPr="00AF27D7">
        <w:rPr>
          <w:rFonts w:cs="Times New Roman"/>
          <w:szCs w:val="24"/>
        </w:rPr>
        <w:t xml:space="preserve"> × 40. A= control, B=CUMS, C=CUMS+50mg/kg, D=CUMS+100mg/kg, E=CUMS+IMP 10mg/kg.</w:t>
      </w:r>
    </w:p>
    <w:p w14:paraId="15DF5A8B" w14:textId="77777777" w:rsidR="00AF25A1" w:rsidRPr="00AF27D7" w:rsidRDefault="00AF25A1" w:rsidP="007B52D0">
      <w:pPr>
        <w:spacing w:after="0" w:line="480" w:lineRule="auto"/>
        <w:jc w:val="both"/>
        <w:rPr>
          <w:rFonts w:cs="Times New Roman"/>
          <w:szCs w:val="24"/>
        </w:rPr>
      </w:pPr>
    </w:p>
    <w:p w14:paraId="65A0EB60" w14:textId="3DC6FCDC" w:rsidR="00AF25A1" w:rsidRPr="00AF27D7" w:rsidRDefault="00AF25A1" w:rsidP="007B52D0">
      <w:pPr>
        <w:spacing w:after="0" w:line="480" w:lineRule="auto"/>
        <w:jc w:val="both"/>
        <w:rPr>
          <w:rFonts w:cs="Times New Roman"/>
          <w:szCs w:val="24"/>
        </w:rPr>
      </w:pPr>
      <w:r w:rsidRPr="00AF27D7">
        <w:rPr>
          <w:rFonts w:cs="Times New Roman"/>
          <w:szCs w:val="24"/>
        </w:rPr>
        <w:t>Slide A appeared normal (black arrow) and are well structurally organized with multiple lamina arrangement, slide B few neurons appeared degenerated(atrophic) with viable basophilia (red arrow), slide C few neurons appeared degenerated(atrophic) with viable basophilia (red arrow), slide D few neurons appeared degenerated(atrophic) with viable basophilia (red arrow), slide E few neurons appeared degenerated(atrophic) with viable basophilia (red arrow).</w:t>
      </w:r>
    </w:p>
    <w:bookmarkEnd w:id="5"/>
    <w:p w14:paraId="6F19D2A3" w14:textId="77777777" w:rsidR="00AF25A1" w:rsidRPr="00AF27D7" w:rsidRDefault="00AF25A1" w:rsidP="007B52D0">
      <w:pPr>
        <w:spacing w:after="0" w:line="480" w:lineRule="auto"/>
        <w:jc w:val="both"/>
        <w:rPr>
          <w:rFonts w:cs="Times New Roman"/>
          <w:szCs w:val="24"/>
        </w:rPr>
      </w:pPr>
    </w:p>
    <w:p w14:paraId="1CBE467D" w14:textId="77777777" w:rsidR="00AF25A1" w:rsidRPr="00AF27D7" w:rsidRDefault="00AF25A1" w:rsidP="007B52D0">
      <w:pPr>
        <w:spacing w:after="0" w:line="480" w:lineRule="auto"/>
        <w:jc w:val="both"/>
        <w:rPr>
          <w:rFonts w:cs="Times New Roman"/>
          <w:szCs w:val="24"/>
        </w:rPr>
      </w:pPr>
      <w:bookmarkStart w:id="6" w:name="_Hlk194567650"/>
      <w:r w:rsidRPr="00AF27D7">
        <w:rPr>
          <w:rFonts w:cs="Times New Roman"/>
          <w:noProof/>
          <w:szCs w:val="24"/>
        </w:rPr>
        <w:lastRenderedPageBreak/>
        <w:drawing>
          <wp:inline distT="0" distB="0" distL="0" distR="0" wp14:anchorId="1619F3C3" wp14:editId="04F26966">
            <wp:extent cx="3581399" cy="2362200"/>
            <wp:effectExtent l="0" t="0" r="635" b="0"/>
            <wp:docPr id="160283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35703" name=""/>
                    <pic:cNvPicPr/>
                  </pic:nvPicPr>
                  <pic:blipFill>
                    <a:blip r:embed="rId18"/>
                    <a:stretch>
                      <a:fillRect/>
                    </a:stretch>
                  </pic:blipFill>
                  <pic:spPr>
                    <a:xfrm>
                      <a:off x="0" y="0"/>
                      <a:ext cx="3645832" cy="2404699"/>
                    </a:xfrm>
                    <a:prstGeom prst="rect">
                      <a:avLst/>
                    </a:prstGeom>
                  </pic:spPr>
                </pic:pic>
              </a:graphicData>
            </a:graphic>
          </wp:inline>
        </w:drawing>
      </w:r>
    </w:p>
    <w:p w14:paraId="4AA2E92C" w14:textId="77777777" w:rsidR="00AF25A1" w:rsidRPr="00AF27D7" w:rsidRDefault="00AF25A1" w:rsidP="007B52D0">
      <w:pPr>
        <w:spacing w:after="0" w:line="480" w:lineRule="auto"/>
        <w:jc w:val="both"/>
        <w:rPr>
          <w:rFonts w:cs="Times New Roman"/>
          <w:szCs w:val="24"/>
        </w:rPr>
      </w:pPr>
    </w:p>
    <w:p w14:paraId="2F79022A" w14:textId="47682CFC" w:rsidR="00AF25A1" w:rsidRPr="00AF27D7" w:rsidRDefault="00AF25A1" w:rsidP="007B52D0">
      <w:pPr>
        <w:spacing w:after="0" w:line="480" w:lineRule="auto"/>
        <w:jc w:val="both"/>
        <w:rPr>
          <w:rFonts w:cs="Times New Roman"/>
          <w:b/>
          <w:bCs/>
          <w:color w:val="000000" w:themeColor="text1"/>
          <w:szCs w:val="24"/>
        </w:rPr>
      </w:pPr>
      <w:r w:rsidRPr="00AF27D7">
        <w:rPr>
          <w:rFonts w:cs="Times New Roman"/>
          <w:b/>
          <w:bCs/>
          <w:szCs w:val="24"/>
        </w:rPr>
        <w:t xml:space="preserve">Figure 6: The effect of </w:t>
      </w:r>
      <w:r w:rsidRPr="00AF27D7">
        <w:rPr>
          <w:rFonts w:cs="Times New Roman"/>
          <w:b/>
          <w:bCs/>
          <w:i/>
          <w:iCs/>
          <w:szCs w:val="24"/>
        </w:rPr>
        <w:t xml:space="preserve">Centella lujica </w:t>
      </w:r>
      <w:r w:rsidRPr="00AF27D7">
        <w:rPr>
          <w:rFonts w:cs="Times New Roman"/>
          <w:b/>
          <w:bCs/>
          <w:szCs w:val="24"/>
        </w:rPr>
        <w:t>(</w:t>
      </w:r>
      <w:r w:rsidRPr="00AF27D7">
        <w:rPr>
          <w:rFonts w:cs="Times New Roman"/>
          <w:b/>
          <w:bCs/>
          <w:i/>
          <w:iCs/>
          <w:szCs w:val="24"/>
        </w:rPr>
        <w:t>CL</w:t>
      </w:r>
      <w:r w:rsidRPr="00AF27D7">
        <w:rPr>
          <w:rFonts w:cs="Times New Roman"/>
          <w:b/>
          <w:bCs/>
          <w:szCs w:val="24"/>
        </w:rPr>
        <w:t>) on the histology and neuronal density count of the Prefrontal cortex PFC</w:t>
      </w:r>
      <w:r w:rsidRPr="00AF27D7">
        <w:rPr>
          <w:rFonts w:cs="Times New Roman"/>
          <w:szCs w:val="24"/>
        </w:rPr>
        <w:t xml:space="preserve"> </w:t>
      </w:r>
      <w:r w:rsidRPr="00AF27D7">
        <w:rPr>
          <w:rFonts w:cs="Times New Roman"/>
          <w:b/>
          <w:bCs/>
          <w:color w:val="000000" w:themeColor="text1"/>
          <w:szCs w:val="24"/>
        </w:rPr>
        <w:t>in mice exposed to CUMS.</w:t>
      </w:r>
    </w:p>
    <w:p w14:paraId="5054DF65" w14:textId="77777777" w:rsidR="00AF25A1" w:rsidRPr="00AF27D7" w:rsidRDefault="00AF25A1" w:rsidP="007B52D0">
      <w:pPr>
        <w:spacing w:line="480" w:lineRule="auto"/>
        <w:jc w:val="both"/>
        <w:rPr>
          <w:rFonts w:cs="Times New Roman"/>
          <w:szCs w:val="24"/>
        </w:rPr>
      </w:pPr>
      <w:r w:rsidRPr="00AF27D7">
        <w:rPr>
          <w:rFonts w:cs="Times New Roman"/>
          <w:szCs w:val="24"/>
        </w:rPr>
        <w:t>Values represent the mean ± S.E.M for 10 animals per group</w:t>
      </w:r>
    </w:p>
    <w:p w14:paraId="630B133C" w14:textId="77777777" w:rsidR="00AF25A1" w:rsidRPr="00AF27D7" w:rsidRDefault="00AF25A1" w:rsidP="007B52D0">
      <w:pPr>
        <w:spacing w:line="480" w:lineRule="auto"/>
        <w:jc w:val="both"/>
        <w:rPr>
          <w:rFonts w:cs="Times New Roman"/>
          <w:szCs w:val="24"/>
        </w:rPr>
      </w:pPr>
      <w:r w:rsidRPr="00AF27D7">
        <w:rPr>
          <w:rFonts w:cs="Times New Roman"/>
          <w:szCs w:val="24"/>
        </w:rPr>
        <w:t xml:space="preserve"># p&lt;0.05 compared to the control group (ANOVA followed by Tukey’s </w:t>
      </w:r>
      <w:r w:rsidRPr="00AF27D7">
        <w:rPr>
          <w:rFonts w:cs="Times New Roman"/>
          <w:i/>
          <w:iCs/>
          <w:szCs w:val="24"/>
        </w:rPr>
        <w:t>post hoc</w:t>
      </w:r>
      <w:r w:rsidRPr="00AF27D7">
        <w:rPr>
          <w:rFonts w:cs="Times New Roman"/>
          <w:szCs w:val="24"/>
        </w:rPr>
        <w:t xml:space="preserve"> test).  </w:t>
      </w:r>
    </w:p>
    <w:p w14:paraId="2A999368" w14:textId="3D742699" w:rsidR="009203D0" w:rsidRPr="00AF27D7" w:rsidRDefault="00AF25A1" w:rsidP="00AF27D7">
      <w:pPr>
        <w:spacing w:line="480" w:lineRule="auto"/>
        <w:jc w:val="both"/>
        <w:rPr>
          <w:rFonts w:cs="Times New Roman"/>
          <w:szCs w:val="24"/>
        </w:rPr>
      </w:pPr>
      <w:r w:rsidRPr="00AF27D7">
        <w:rPr>
          <w:rFonts w:cs="Times New Roman"/>
          <w:szCs w:val="24"/>
        </w:rPr>
        <w:t xml:space="preserve">* p&lt;0.05 compared to the pathologic group (ANOVA followed by Tukey’s </w:t>
      </w:r>
      <w:r w:rsidRPr="00AF27D7">
        <w:rPr>
          <w:rFonts w:cs="Times New Roman"/>
          <w:i/>
          <w:iCs/>
          <w:szCs w:val="24"/>
        </w:rPr>
        <w:t>post hoc</w:t>
      </w:r>
      <w:r w:rsidRPr="00AF27D7">
        <w:rPr>
          <w:rFonts w:cs="Times New Roman"/>
          <w:szCs w:val="24"/>
        </w:rPr>
        <w:t xml:space="preserve"> test).</w:t>
      </w:r>
      <w:bookmarkEnd w:id="6"/>
    </w:p>
    <w:p w14:paraId="70C65274" w14:textId="77777777" w:rsidR="00AF27D7" w:rsidRPr="00AF27D7" w:rsidRDefault="00AF27D7" w:rsidP="00AF27D7">
      <w:pPr>
        <w:spacing w:line="480" w:lineRule="auto"/>
        <w:jc w:val="both"/>
        <w:rPr>
          <w:rFonts w:cs="Times New Roman"/>
          <w:szCs w:val="24"/>
        </w:rPr>
      </w:pPr>
    </w:p>
    <w:p w14:paraId="4E04B1C6" w14:textId="36DCE2F2" w:rsidR="00AF25A1" w:rsidRPr="007245F2" w:rsidRDefault="00E13F5A" w:rsidP="007245F2">
      <w:pPr>
        <w:pStyle w:val="ListParagraph"/>
        <w:numPr>
          <w:ilvl w:val="0"/>
          <w:numId w:val="4"/>
        </w:numPr>
        <w:spacing w:line="480" w:lineRule="auto"/>
        <w:rPr>
          <w:rFonts w:cs="Times New Roman"/>
          <w:b/>
          <w:bCs/>
          <w:szCs w:val="24"/>
        </w:rPr>
      </w:pPr>
      <w:r w:rsidRPr="007245F2">
        <w:rPr>
          <w:rFonts w:cs="Times New Roman"/>
          <w:b/>
          <w:bCs/>
          <w:szCs w:val="24"/>
        </w:rPr>
        <w:t>DISCUSSIONS</w:t>
      </w:r>
    </w:p>
    <w:p w14:paraId="7F761681" w14:textId="3D751331" w:rsidR="009203D0" w:rsidRPr="00AF27D7" w:rsidRDefault="009203D0" w:rsidP="007B52D0">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The present study investigated the antidepressant- and anxiolytic-like effects of </w:t>
      </w:r>
      <w:r w:rsidRPr="00AF27D7">
        <w:rPr>
          <w:rFonts w:eastAsia="Times New Roman" w:cs="Times New Roman"/>
          <w:i/>
          <w:iCs/>
          <w:szCs w:val="24"/>
        </w:rPr>
        <w:t>Centella lujica</w:t>
      </w:r>
      <w:r w:rsidRPr="00AF27D7">
        <w:rPr>
          <w:rFonts w:eastAsia="Times New Roman" w:cs="Times New Roman"/>
          <w:szCs w:val="24"/>
        </w:rPr>
        <w:t xml:space="preserve"> (</w:t>
      </w:r>
      <w:r w:rsidRPr="00AF27D7">
        <w:rPr>
          <w:rFonts w:eastAsia="Times New Roman" w:cs="Times New Roman"/>
          <w:i/>
          <w:iCs/>
          <w:szCs w:val="24"/>
        </w:rPr>
        <w:t>CL</w:t>
      </w:r>
      <w:r w:rsidRPr="00AF27D7">
        <w:rPr>
          <w:rFonts w:eastAsia="Times New Roman" w:cs="Times New Roman"/>
          <w:szCs w:val="24"/>
        </w:rPr>
        <w:t>) in mice subjected to chronic unpredictable mild stress (CUMS), a well-validated model of depression and anxiety in rodents</w:t>
      </w:r>
      <w:r w:rsidR="002C208F" w:rsidRPr="00AF27D7">
        <w:rPr>
          <w:rFonts w:eastAsia="Times New Roman" w:cs="Times New Roman"/>
          <w:szCs w:val="24"/>
        </w:rPr>
        <w:t xml:space="preserve"> (Anthony et al., 2025; Eduviere et al., 2022)</w:t>
      </w:r>
      <w:r w:rsidRPr="00AF27D7">
        <w:rPr>
          <w:rFonts w:eastAsia="Times New Roman" w:cs="Times New Roman"/>
          <w:szCs w:val="24"/>
        </w:rPr>
        <w:t xml:space="preserve">. Findings from behavioral paradigms—such as the social interaction test (SIT), elevated plus maze (EPM), light-dark transition test (LDT), and hole board test (HBT)—revealed that </w:t>
      </w:r>
      <w:r w:rsidRPr="00AF27D7">
        <w:rPr>
          <w:rFonts w:eastAsia="Times New Roman" w:cs="Times New Roman"/>
          <w:i/>
          <w:iCs/>
          <w:szCs w:val="24"/>
        </w:rPr>
        <w:t>CL</w:t>
      </w:r>
      <w:r w:rsidRPr="00AF27D7">
        <w:rPr>
          <w:rFonts w:eastAsia="Times New Roman" w:cs="Times New Roman"/>
          <w:szCs w:val="24"/>
        </w:rPr>
        <w:t xml:space="preserve"> mitigated CUMS-induced </w:t>
      </w:r>
      <w:proofErr w:type="spellStart"/>
      <w:r w:rsidRPr="00AF27D7">
        <w:rPr>
          <w:rFonts w:eastAsia="Times New Roman" w:cs="Times New Roman"/>
          <w:szCs w:val="24"/>
        </w:rPr>
        <w:t>behavio</w:t>
      </w:r>
      <w:r w:rsidR="002C208F" w:rsidRPr="00AF27D7">
        <w:rPr>
          <w:rFonts w:eastAsia="Times New Roman" w:cs="Times New Roman"/>
          <w:szCs w:val="24"/>
        </w:rPr>
        <w:t>u</w:t>
      </w:r>
      <w:r w:rsidRPr="00AF27D7">
        <w:rPr>
          <w:rFonts w:eastAsia="Times New Roman" w:cs="Times New Roman"/>
          <w:szCs w:val="24"/>
        </w:rPr>
        <w:t>ral</w:t>
      </w:r>
      <w:proofErr w:type="spellEnd"/>
      <w:r w:rsidRPr="00AF27D7">
        <w:rPr>
          <w:rFonts w:eastAsia="Times New Roman" w:cs="Times New Roman"/>
          <w:szCs w:val="24"/>
        </w:rPr>
        <w:t xml:space="preserve"> deficits. Histological analyses further showed that </w:t>
      </w:r>
      <w:r w:rsidRPr="00AF27D7">
        <w:rPr>
          <w:rFonts w:eastAsia="Times New Roman" w:cs="Times New Roman"/>
          <w:i/>
          <w:iCs/>
          <w:szCs w:val="24"/>
        </w:rPr>
        <w:t>CL</w:t>
      </w:r>
      <w:r w:rsidRPr="00AF27D7">
        <w:rPr>
          <w:rFonts w:eastAsia="Times New Roman" w:cs="Times New Roman"/>
          <w:szCs w:val="24"/>
        </w:rPr>
        <w:t xml:space="preserve"> preserved neuronal architecture </w:t>
      </w:r>
      <w:r w:rsidRPr="00AF27D7">
        <w:rPr>
          <w:rFonts w:eastAsia="Times New Roman" w:cs="Times New Roman"/>
          <w:szCs w:val="24"/>
        </w:rPr>
        <w:lastRenderedPageBreak/>
        <w:t>and density in the hippocampal CA2 region and prefrontal cortex (PFC), brain regions heavily implicated in mood regulation.</w:t>
      </w:r>
      <w:r w:rsidR="002C208F" w:rsidRPr="00AF27D7">
        <w:rPr>
          <w:rFonts w:eastAsia="Times New Roman" w:cs="Times New Roman"/>
          <w:szCs w:val="24"/>
        </w:rPr>
        <w:t xml:space="preserve"> </w:t>
      </w:r>
      <w:r w:rsidRPr="00AF27D7">
        <w:rPr>
          <w:rFonts w:eastAsia="Times New Roman" w:cs="Times New Roman"/>
          <w:szCs w:val="24"/>
        </w:rPr>
        <w:t xml:space="preserve">Mice exposed to CUMS exhibited a significant reduction in social preference, indicative of depressive-like </w:t>
      </w:r>
      <w:proofErr w:type="spellStart"/>
      <w:r w:rsidRPr="00AF27D7">
        <w:rPr>
          <w:rFonts w:eastAsia="Times New Roman" w:cs="Times New Roman"/>
          <w:szCs w:val="24"/>
        </w:rPr>
        <w:t>behavio</w:t>
      </w:r>
      <w:r w:rsidR="002C208F" w:rsidRPr="00AF27D7">
        <w:rPr>
          <w:rFonts w:eastAsia="Times New Roman" w:cs="Times New Roman"/>
          <w:szCs w:val="24"/>
        </w:rPr>
        <w:t>u</w:t>
      </w:r>
      <w:r w:rsidRPr="00AF27D7">
        <w:rPr>
          <w:rFonts w:eastAsia="Times New Roman" w:cs="Times New Roman"/>
          <w:szCs w:val="24"/>
        </w:rPr>
        <w:t>r</w:t>
      </w:r>
      <w:proofErr w:type="spellEnd"/>
      <w:r w:rsidRPr="00AF27D7">
        <w:rPr>
          <w:rFonts w:eastAsia="Times New Roman" w:cs="Times New Roman"/>
          <w:szCs w:val="24"/>
        </w:rPr>
        <w:t>, consistent with earlier studies showing social withdrawal and anhedonia in stressed animals (</w:t>
      </w:r>
      <w:proofErr w:type="spellStart"/>
      <w:r w:rsidR="002C208F" w:rsidRPr="00AF27D7">
        <w:rPr>
          <w:rFonts w:cs="Times New Roman"/>
          <w:color w:val="222222"/>
          <w:szCs w:val="24"/>
          <w:shd w:val="clear" w:color="auto" w:fill="FFFFFF"/>
        </w:rPr>
        <w:t>Otomewo</w:t>
      </w:r>
      <w:proofErr w:type="spellEnd"/>
      <w:r w:rsidR="002C208F" w:rsidRPr="00AF27D7">
        <w:rPr>
          <w:rFonts w:cs="Times New Roman"/>
          <w:color w:val="222222"/>
          <w:szCs w:val="24"/>
          <w:shd w:val="clear" w:color="auto" w:fill="FFFFFF"/>
        </w:rPr>
        <w:t xml:space="preserve"> et al., 2024; Zhang</w:t>
      </w:r>
      <w:r w:rsidR="002C208F" w:rsidRPr="00AF27D7">
        <w:rPr>
          <w:rFonts w:eastAsia="Times New Roman" w:cs="Times New Roman"/>
          <w:szCs w:val="24"/>
        </w:rPr>
        <w:t xml:space="preserve"> et al., </w:t>
      </w:r>
      <w:r w:rsidRPr="00AF27D7">
        <w:rPr>
          <w:rFonts w:eastAsia="Times New Roman" w:cs="Times New Roman"/>
          <w:szCs w:val="24"/>
        </w:rPr>
        <w:t>20</w:t>
      </w:r>
      <w:r w:rsidR="002C208F" w:rsidRPr="00AF27D7">
        <w:rPr>
          <w:rFonts w:eastAsia="Times New Roman" w:cs="Times New Roman"/>
          <w:szCs w:val="24"/>
        </w:rPr>
        <w:t>25</w:t>
      </w:r>
      <w:r w:rsidRPr="00AF27D7">
        <w:rPr>
          <w:rFonts w:eastAsia="Times New Roman" w:cs="Times New Roman"/>
          <w:szCs w:val="24"/>
        </w:rPr>
        <w:t xml:space="preserve">). Daily administration of </w:t>
      </w:r>
      <w:r w:rsidRPr="00AF27D7">
        <w:rPr>
          <w:rFonts w:eastAsia="Times New Roman" w:cs="Times New Roman"/>
          <w:i/>
          <w:iCs/>
          <w:szCs w:val="24"/>
        </w:rPr>
        <w:t>Centella lujica</w:t>
      </w:r>
      <w:r w:rsidRPr="00AF27D7">
        <w:rPr>
          <w:rFonts w:eastAsia="Times New Roman" w:cs="Times New Roman"/>
          <w:szCs w:val="24"/>
        </w:rPr>
        <w:t xml:space="preserve"> at 50 and 100 mg/kg significantly reversed this deficit, suggesting its potential antidepressant properties.</w:t>
      </w:r>
      <w:r w:rsidR="007B7A6B" w:rsidRPr="00AF27D7">
        <w:rPr>
          <w:rFonts w:eastAsia="Times New Roman" w:cs="Times New Roman"/>
          <w:szCs w:val="24"/>
        </w:rPr>
        <w:t xml:space="preserve"> </w:t>
      </w:r>
      <w:r w:rsidRPr="00AF27D7">
        <w:rPr>
          <w:rFonts w:eastAsia="Times New Roman" w:cs="Times New Roman"/>
          <w:szCs w:val="24"/>
        </w:rPr>
        <w:t xml:space="preserve">This aligns with findings on </w:t>
      </w:r>
      <w:r w:rsidRPr="00AF27D7">
        <w:rPr>
          <w:rFonts w:eastAsia="Times New Roman" w:cs="Times New Roman"/>
          <w:i/>
          <w:iCs/>
          <w:szCs w:val="24"/>
        </w:rPr>
        <w:t>Centella asiatica</w:t>
      </w:r>
      <w:r w:rsidRPr="00AF27D7">
        <w:rPr>
          <w:rFonts w:eastAsia="Times New Roman" w:cs="Times New Roman"/>
          <w:szCs w:val="24"/>
        </w:rPr>
        <w:t xml:space="preserve">, a related species, which has been shown to alleviate social avoidance </w:t>
      </w:r>
      <w:proofErr w:type="spellStart"/>
      <w:r w:rsidRPr="00AF27D7">
        <w:rPr>
          <w:rFonts w:eastAsia="Times New Roman" w:cs="Times New Roman"/>
          <w:szCs w:val="24"/>
        </w:rPr>
        <w:t>behavio</w:t>
      </w:r>
      <w:r w:rsidR="0095607C" w:rsidRPr="00AF27D7">
        <w:rPr>
          <w:rFonts w:eastAsia="Times New Roman" w:cs="Times New Roman"/>
          <w:szCs w:val="24"/>
        </w:rPr>
        <w:t>u</w:t>
      </w:r>
      <w:r w:rsidRPr="00AF27D7">
        <w:rPr>
          <w:rFonts w:eastAsia="Times New Roman" w:cs="Times New Roman"/>
          <w:szCs w:val="24"/>
        </w:rPr>
        <w:t>r</w:t>
      </w:r>
      <w:proofErr w:type="spellEnd"/>
      <w:r w:rsidRPr="00AF27D7">
        <w:rPr>
          <w:rFonts w:eastAsia="Times New Roman" w:cs="Times New Roman"/>
          <w:szCs w:val="24"/>
        </w:rPr>
        <w:t xml:space="preserve"> and increase sociability in rodent models of chronic stress and neurodevelopmental disorders (</w:t>
      </w:r>
      <w:r w:rsidR="0095607C" w:rsidRPr="00AF27D7">
        <w:rPr>
          <w:rFonts w:cs="Times New Roman"/>
          <w:color w:val="222222"/>
          <w:szCs w:val="24"/>
          <w:shd w:val="clear" w:color="auto" w:fill="FFFFFF"/>
        </w:rPr>
        <w:t>Anamika and Muralidharan, 2024; Costa et al., 2024</w:t>
      </w:r>
      <w:r w:rsidRPr="00AF27D7">
        <w:rPr>
          <w:rFonts w:eastAsia="Times New Roman" w:cs="Times New Roman"/>
          <w:szCs w:val="24"/>
        </w:rPr>
        <w:t xml:space="preserve">). The improvement in social </w:t>
      </w:r>
      <w:proofErr w:type="spellStart"/>
      <w:r w:rsidRPr="00AF27D7">
        <w:rPr>
          <w:rFonts w:eastAsia="Times New Roman" w:cs="Times New Roman"/>
          <w:szCs w:val="24"/>
        </w:rPr>
        <w:t>behavio</w:t>
      </w:r>
      <w:r w:rsidR="0095607C" w:rsidRPr="00AF27D7">
        <w:rPr>
          <w:rFonts w:eastAsia="Times New Roman" w:cs="Times New Roman"/>
          <w:szCs w:val="24"/>
        </w:rPr>
        <w:t>u</w:t>
      </w:r>
      <w:r w:rsidRPr="00AF27D7">
        <w:rPr>
          <w:rFonts w:eastAsia="Times New Roman" w:cs="Times New Roman"/>
          <w:szCs w:val="24"/>
        </w:rPr>
        <w:t>r</w:t>
      </w:r>
      <w:proofErr w:type="spellEnd"/>
      <w:r w:rsidRPr="00AF27D7">
        <w:rPr>
          <w:rFonts w:eastAsia="Times New Roman" w:cs="Times New Roman"/>
          <w:szCs w:val="24"/>
        </w:rPr>
        <w:t xml:space="preserve"> may be attributed to </w:t>
      </w:r>
      <w:r w:rsidRPr="00AF27D7">
        <w:rPr>
          <w:rFonts w:eastAsia="Times New Roman" w:cs="Times New Roman"/>
          <w:i/>
          <w:iCs/>
          <w:szCs w:val="24"/>
        </w:rPr>
        <w:t>CL’</w:t>
      </w:r>
      <w:r w:rsidRPr="00AF27D7">
        <w:rPr>
          <w:rFonts w:eastAsia="Times New Roman" w:cs="Times New Roman"/>
          <w:szCs w:val="24"/>
        </w:rPr>
        <w:t>s potential modulation of monoaminergic systems and neurotrophic factors such as brain-derived neurotrophic factor (BDNF), known to be reduced in depression (</w:t>
      </w:r>
      <w:r w:rsidR="007B7A6B" w:rsidRPr="00AF27D7">
        <w:rPr>
          <w:rFonts w:cs="Times New Roman"/>
          <w:color w:val="222222"/>
          <w:szCs w:val="24"/>
          <w:shd w:val="clear" w:color="auto" w:fill="FFFFFF"/>
        </w:rPr>
        <w:t>Kandemir, 2023.</w:t>
      </w:r>
      <w:r w:rsidRPr="00AF27D7">
        <w:rPr>
          <w:rFonts w:eastAsia="Times New Roman" w:cs="Times New Roman"/>
          <w:szCs w:val="24"/>
        </w:rPr>
        <w:t>).</w:t>
      </w:r>
    </w:p>
    <w:p w14:paraId="0732780A" w14:textId="0B94C5D6" w:rsidR="009203D0" w:rsidRPr="00AF27D7" w:rsidRDefault="009203D0" w:rsidP="007B52D0">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In the EPM test, CUMS-exposed mice spent significantly more time in the closed arm, indicating heightened anxiety levels. </w:t>
      </w:r>
      <w:r w:rsidRPr="00AF27D7">
        <w:rPr>
          <w:rFonts w:eastAsia="Times New Roman" w:cs="Times New Roman"/>
          <w:i/>
          <w:iCs/>
          <w:szCs w:val="24"/>
        </w:rPr>
        <w:t>CL</w:t>
      </w:r>
      <w:r w:rsidRPr="00AF27D7">
        <w:rPr>
          <w:rFonts w:eastAsia="Times New Roman" w:cs="Times New Roman"/>
          <w:szCs w:val="24"/>
        </w:rPr>
        <w:t xml:space="preserve"> at 100 mg/kg significantly reduced this </w:t>
      </w:r>
      <w:proofErr w:type="spellStart"/>
      <w:r w:rsidRPr="00AF27D7">
        <w:rPr>
          <w:rFonts w:eastAsia="Times New Roman" w:cs="Times New Roman"/>
          <w:szCs w:val="24"/>
        </w:rPr>
        <w:t>behavio</w:t>
      </w:r>
      <w:r w:rsidR="00DC02A2" w:rsidRPr="00AF27D7">
        <w:rPr>
          <w:rFonts w:eastAsia="Times New Roman" w:cs="Times New Roman"/>
          <w:szCs w:val="24"/>
        </w:rPr>
        <w:t>u</w:t>
      </w:r>
      <w:r w:rsidRPr="00AF27D7">
        <w:rPr>
          <w:rFonts w:eastAsia="Times New Roman" w:cs="Times New Roman"/>
          <w:szCs w:val="24"/>
        </w:rPr>
        <w:t>r</w:t>
      </w:r>
      <w:proofErr w:type="spellEnd"/>
      <w:r w:rsidRPr="00AF27D7">
        <w:rPr>
          <w:rFonts w:eastAsia="Times New Roman" w:cs="Times New Roman"/>
          <w:szCs w:val="24"/>
        </w:rPr>
        <w:t xml:space="preserve">, similar to the effects observed with standard antidepressants such as imipramine. Likewise, in the LDT test, </w:t>
      </w:r>
      <w:r w:rsidRPr="00AF27D7">
        <w:rPr>
          <w:rFonts w:eastAsia="Times New Roman" w:cs="Times New Roman"/>
          <w:i/>
          <w:iCs/>
          <w:szCs w:val="24"/>
        </w:rPr>
        <w:t>CL</w:t>
      </w:r>
      <w:r w:rsidRPr="00AF27D7">
        <w:rPr>
          <w:rFonts w:eastAsia="Times New Roman" w:cs="Times New Roman"/>
          <w:szCs w:val="24"/>
        </w:rPr>
        <w:t xml:space="preserve"> significantly decreased the time spent in the dark compartment, reflecting reduced anxiety. In the HBT, </w:t>
      </w:r>
      <w:r w:rsidRPr="00AF27D7">
        <w:rPr>
          <w:rFonts w:eastAsia="Times New Roman" w:cs="Times New Roman"/>
          <w:i/>
          <w:iCs/>
          <w:szCs w:val="24"/>
        </w:rPr>
        <w:t>CL</w:t>
      </w:r>
      <w:r w:rsidRPr="00AF27D7">
        <w:rPr>
          <w:rFonts w:eastAsia="Times New Roman" w:cs="Times New Roman"/>
          <w:szCs w:val="24"/>
        </w:rPr>
        <w:t xml:space="preserve"> increased the number of head dips, a </w:t>
      </w:r>
      <w:proofErr w:type="spellStart"/>
      <w:r w:rsidRPr="00AF27D7">
        <w:rPr>
          <w:rFonts w:eastAsia="Times New Roman" w:cs="Times New Roman"/>
          <w:szCs w:val="24"/>
        </w:rPr>
        <w:t>behavio</w:t>
      </w:r>
      <w:r w:rsidR="00DC02A2" w:rsidRPr="00AF27D7">
        <w:rPr>
          <w:rFonts w:eastAsia="Times New Roman" w:cs="Times New Roman"/>
          <w:szCs w:val="24"/>
        </w:rPr>
        <w:t>u</w:t>
      </w:r>
      <w:r w:rsidRPr="00AF27D7">
        <w:rPr>
          <w:rFonts w:eastAsia="Times New Roman" w:cs="Times New Roman"/>
          <w:szCs w:val="24"/>
        </w:rPr>
        <w:t>r</w:t>
      </w:r>
      <w:proofErr w:type="spellEnd"/>
      <w:r w:rsidRPr="00AF27D7">
        <w:rPr>
          <w:rFonts w:eastAsia="Times New Roman" w:cs="Times New Roman"/>
          <w:szCs w:val="24"/>
        </w:rPr>
        <w:t xml:space="preserve"> inversely related to anxiety (</w:t>
      </w:r>
      <w:proofErr w:type="spellStart"/>
      <w:r w:rsidRPr="00AF27D7">
        <w:rPr>
          <w:rFonts w:eastAsia="Times New Roman" w:cs="Times New Roman"/>
          <w:szCs w:val="24"/>
        </w:rPr>
        <w:t>Bourin</w:t>
      </w:r>
      <w:proofErr w:type="spellEnd"/>
      <w:r w:rsidRPr="00AF27D7">
        <w:rPr>
          <w:rFonts w:eastAsia="Times New Roman" w:cs="Times New Roman"/>
          <w:szCs w:val="24"/>
        </w:rPr>
        <w:t xml:space="preserve"> &amp; Hascoët, 2003).</w:t>
      </w:r>
    </w:p>
    <w:p w14:paraId="3633C437" w14:textId="32ED70C0" w:rsidR="009203D0" w:rsidRPr="00AF27D7" w:rsidRDefault="00B74E56" w:rsidP="007B52D0">
      <w:pPr>
        <w:spacing w:before="100" w:beforeAutospacing="1" w:after="100" w:afterAutospacing="1" w:line="480" w:lineRule="auto"/>
        <w:jc w:val="both"/>
        <w:rPr>
          <w:rFonts w:eastAsia="Times New Roman" w:cs="Times New Roman"/>
          <w:szCs w:val="24"/>
        </w:rPr>
      </w:pPr>
      <w:r w:rsidRPr="00B74E56">
        <w:rPr>
          <w:bCs/>
          <w:szCs w:val="24"/>
          <w:highlight w:val="yellow"/>
          <w:lang w:val="en-IN"/>
        </w:rPr>
        <w:t xml:space="preserve">These results collectively indicate that </w:t>
      </w:r>
      <w:proofErr w:type="spellStart"/>
      <w:r w:rsidRPr="00B74E56">
        <w:rPr>
          <w:bCs/>
          <w:i/>
          <w:iCs/>
          <w:szCs w:val="24"/>
          <w:highlight w:val="yellow"/>
          <w:lang w:val="en-IN"/>
        </w:rPr>
        <w:t>Centella</w:t>
      </w:r>
      <w:proofErr w:type="spellEnd"/>
      <w:r w:rsidRPr="00B74E56">
        <w:rPr>
          <w:bCs/>
          <w:i/>
          <w:iCs/>
          <w:szCs w:val="24"/>
          <w:highlight w:val="yellow"/>
          <w:lang w:val="en-IN"/>
        </w:rPr>
        <w:t xml:space="preserve"> </w:t>
      </w:r>
      <w:proofErr w:type="spellStart"/>
      <w:r w:rsidRPr="00B74E56">
        <w:rPr>
          <w:bCs/>
          <w:i/>
          <w:iCs/>
          <w:szCs w:val="24"/>
          <w:highlight w:val="yellow"/>
          <w:lang w:val="en-IN"/>
        </w:rPr>
        <w:t>lujica</w:t>
      </w:r>
      <w:proofErr w:type="spellEnd"/>
      <w:r w:rsidRPr="00B74E56">
        <w:rPr>
          <w:bCs/>
          <w:szCs w:val="24"/>
          <w:highlight w:val="yellow"/>
          <w:lang w:val="en-IN"/>
        </w:rPr>
        <w:t xml:space="preserve"> may exert anxiolytic effects, potentially through</w:t>
      </w:r>
      <w:r w:rsidRPr="00AF27D7">
        <w:rPr>
          <w:rFonts w:eastAsia="Times New Roman" w:cs="Times New Roman"/>
          <w:szCs w:val="24"/>
        </w:rPr>
        <w:t xml:space="preserve"> </w:t>
      </w:r>
      <w:r w:rsidR="009203D0" w:rsidRPr="00AF27D7">
        <w:rPr>
          <w:rFonts w:eastAsia="Times New Roman" w:cs="Times New Roman"/>
          <w:szCs w:val="24"/>
        </w:rPr>
        <w:t xml:space="preserve">its antioxidative, anti-inflammatory, and neuroprotective properties. Research on </w:t>
      </w:r>
      <w:r w:rsidR="009203D0" w:rsidRPr="00AF27D7">
        <w:rPr>
          <w:rFonts w:eastAsia="Times New Roman" w:cs="Times New Roman"/>
          <w:i/>
          <w:iCs/>
          <w:szCs w:val="24"/>
        </w:rPr>
        <w:t>Centella asiatica</w:t>
      </w:r>
      <w:r w:rsidR="009203D0" w:rsidRPr="00AF27D7">
        <w:rPr>
          <w:rFonts w:eastAsia="Times New Roman" w:cs="Times New Roman"/>
          <w:szCs w:val="24"/>
        </w:rPr>
        <w:t xml:space="preserve"> has shown it modulates GABAergic transmission and elevates antioxidant enzyme activities (</w:t>
      </w:r>
      <w:r w:rsidR="00EF54DF" w:rsidRPr="00AF27D7">
        <w:rPr>
          <w:rFonts w:cs="Times New Roman"/>
          <w:color w:val="222222"/>
          <w:szCs w:val="24"/>
          <w:shd w:val="clear" w:color="auto" w:fill="FFFFFF"/>
        </w:rPr>
        <w:t>Firdaus</w:t>
      </w:r>
      <w:r w:rsidR="009203D0" w:rsidRPr="00AF27D7">
        <w:rPr>
          <w:rFonts w:eastAsia="Times New Roman" w:cs="Times New Roman"/>
          <w:szCs w:val="24"/>
        </w:rPr>
        <w:t xml:space="preserve"> et al., 202</w:t>
      </w:r>
      <w:r w:rsidR="00EF54DF" w:rsidRPr="00AF27D7">
        <w:rPr>
          <w:rFonts w:eastAsia="Times New Roman" w:cs="Times New Roman"/>
          <w:szCs w:val="24"/>
        </w:rPr>
        <w:t>4</w:t>
      </w:r>
      <w:r w:rsidR="009203D0" w:rsidRPr="00AF27D7">
        <w:rPr>
          <w:rFonts w:eastAsia="Times New Roman" w:cs="Times New Roman"/>
          <w:szCs w:val="24"/>
        </w:rPr>
        <w:t xml:space="preserve">), which may similarly apply to </w:t>
      </w:r>
      <w:r w:rsidR="009203D0" w:rsidRPr="00AF27D7">
        <w:rPr>
          <w:rFonts w:eastAsia="Times New Roman" w:cs="Times New Roman"/>
          <w:i/>
          <w:iCs/>
          <w:szCs w:val="24"/>
        </w:rPr>
        <w:t>Centella lujica</w:t>
      </w:r>
      <w:r w:rsidR="009203D0" w:rsidRPr="00AF27D7">
        <w:rPr>
          <w:rFonts w:eastAsia="Times New Roman" w:cs="Times New Roman"/>
          <w:szCs w:val="24"/>
        </w:rPr>
        <w:t xml:space="preserve">. The observed </w:t>
      </w:r>
      <w:r w:rsidR="009203D0" w:rsidRPr="00AF27D7">
        <w:rPr>
          <w:rFonts w:eastAsia="Times New Roman" w:cs="Times New Roman"/>
          <w:szCs w:val="24"/>
        </w:rPr>
        <w:lastRenderedPageBreak/>
        <w:t>anxiolytic effects could also involve normalization of the hypothalamic-pituitary-adrenal (HPA) axis, often dysregulated in CUMS-exposed animals (</w:t>
      </w:r>
      <w:r w:rsidR="00523A58">
        <w:rPr>
          <w:rFonts w:eastAsia="Times New Roman" w:cs="Times New Roman"/>
          <w:szCs w:val="24"/>
        </w:rPr>
        <w:t xml:space="preserve">Eduviere et al., 2022; </w:t>
      </w:r>
      <w:proofErr w:type="spellStart"/>
      <w:r w:rsidR="009203D0" w:rsidRPr="00AF27D7">
        <w:rPr>
          <w:rFonts w:eastAsia="Times New Roman" w:cs="Times New Roman"/>
          <w:szCs w:val="24"/>
        </w:rPr>
        <w:t>Holsboer</w:t>
      </w:r>
      <w:proofErr w:type="spellEnd"/>
      <w:r w:rsidR="009203D0" w:rsidRPr="00AF27D7">
        <w:rPr>
          <w:rFonts w:eastAsia="Times New Roman" w:cs="Times New Roman"/>
          <w:szCs w:val="24"/>
        </w:rPr>
        <w:t>, 2000).</w:t>
      </w:r>
    </w:p>
    <w:p w14:paraId="2F015659" w14:textId="35DAEB60" w:rsidR="00AF4AAC" w:rsidRPr="00AF27D7" w:rsidRDefault="009203D0" w:rsidP="007B52D0">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Histological analyses of the CA2 region of the hippocampus and PFC revealed that CUMS caused neuronal degeneration, as evidenced by atrophic neurons and loss of laminar structure. However, treatment with </w:t>
      </w:r>
      <w:r w:rsidRPr="00AF27D7">
        <w:rPr>
          <w:rFonts w:eastAsia="Times New Roman" w:cs="Times New Roman"/>
          <w:i/>
          <w:iCs/>
          <w:szCs w:val="24"/>
        </w:rPr>
        <w:t>CL</w:t>
      </w:r>
      <w:r w:rsidRPr="00AF27D7">
        <w:rPr>
          <w:rFonts w:eastAsia="Times New Roman" w:cs="Times New Roman"/>
          <w:szCs w:val="24"/>
        </w:rPr>
        <w:t xml:space="preserve"> preserved the structural integrity and increased neuronal density in these regions</w:t>
      </w:r>
      <w:r w:rsidR="00EF54DF" w:rsidRPr="00AF27D7">
        <w:rPr>
          <w:rFonts w:eastAsia="Times New Roman" w:cs="Times New Roman"/>
          <w:szCs w:val="24"/>
        </w:rPr>
        <w:t xml:space="preserve">. </w:t>
      </w:r>
      <w:r w:rsidRPr="00AF27D7">
        <w:rPr>
          <w:rFonts w:eastAsia="Times New Roman" w:cs="Times New Roman"/>
          <w:szCs w:val="24"/>
        </w:rPr>
        <w:t>Chronic stress has long been associated with structural atrophy and neuronal loss in the hippocampus and PFC, brain regions central to emotion regulation and cognitive function (</w:t>
      </w:r>
      <w:r w:rsidR="00523A58">
        <w:rPr>
          <w:rFonts w:eastAsia="Times New Roman" w:cs="Times New Roman"/>
          <w:szCs w:val="24"/>
        </w:rPr>
        <w:t xml:space="preserve">Eduviere et al., 2022; </w:t>
      </w:r>
      <w:r w:rsidRPr="00AF27D7">
        <w:rPr>
          <w:rFonts w:eastAsia="Times New Roman" w:cs="Times New Roman"/>
          <w:szCs w:val="24"/>
        </w:rPr>
        <w:t xml:space="preserve">McEwen et al., 2015). Restoration of neuronal integrity by </w:t>
      </w:r>
      <w:r w:rsidRPr="00AF27D7">
        <w:rPr>
          <w:rFonts w:eastAsia="Times New Roman" w:cs="Times New Roman"/>
          <w:i/>
          <w:iCs/>
          <w:szCs w:val="24"/>
        </w:rPr>
        <w:t>CL</w:t>
      </w:r>
      <w:r w:rsidRPr="00AF27D7">
        <w:rPr>
          <w:rFonts w:eastAsia="Times New Roman" w:cs="Times New Roman"/>
          <w:szCs w:val="24"/>
        </w:rPr>
        <w:t xml:space="preserve"> may be due to its ability to attenuate oxidative stress and enhance neurogenesis. Several flavonoid-rich plants, including species within the </w:t>
      </w:r>
      <w:r w:rsidRPr="00AF27D7">
        <w:rPr>
          <w:rFonts w:eastAsia="Times New Roman" w:cs="Times New Roman"/>
          <w:i/>
          <w:iCs/>
          <w:szCs w:val="24"/>
        </w:rPr>
        <w:t>Centella</w:t>
      </w:r>
      <w:r w:rsidRPr="00AF27D7">
        <w:rPr>
          <w:rFonts w:eastAsia="Times New Roman" w:cs="Times New Roman"/>
          <w:szCs w:val="24"/>
        </w:rPr>
        <w:t xml:space="preserve"> genus, have been reported to enhance dendritic arborization and synaptogenesis (</w:t>
      </w:r>
      <w:r w:rsidR="00EF54DF" w:rsidRPr="00AF27D7">
        <w:rPr>
          <w:rFonts w:cs="Times New Roman"/>
          <w:color w:val="222222"/>
          <w:szCs w:val="24"/>
          <w:shd w:val="clear" w:color="auto" w:fill="FFFFFF"/>
        </w:rPr>
        <w:t>Cichon</w:t>
      </w:r>
      <w:r w:rsidR="00EF54DF" w:rsidRPr="00AF27D7">
        <w:rPr>
          <w:rFonts w:eastAsia="Times New Roman" w:cs="Times New Roman"/>
          <w:szCs w:val="24"/>
        </w:rPr>
        <w:t xml:space="preserve"> </w:t>
      </w:r>
      <w:r w:rsidRPr="00AF27D7">
        <w:rPr>
          <w:rFonts w:eastAsia="Times New Roman" w:cs="Times New Roman"/>
          <w:szCs w:val="24"/>
        </w:rPr>
        <w:t>et al., 202</w:t>
      </w:r>
      <w:r w:rsidR="00EF54DF" w:rsidRPr="00AF27D7">
        <w:rPr>
          <w:rFonts w:eastAsia="Times New Roman" w:cs="Times New Roman"/>
          <w:szCs w:val="24"/>
        </w:rPr>
        <w:t>0</w:t>
      </w:r>
      <w:r w:rsidRPr="00AF27D7">
        <w:rPr>
          <w:rFonts w:eastAsia="Times New Roman" w:cs="Times New Roman"/>
          <w:szCs w:val="24"/>
        </w:rPr>
        <w:t>).</w:t>
      </w:r>
      <w:r w:rsidR="00EF54DF" w:rsidRPr="00AF27D7">
        <w:rPr>
          <w:rFonts w:eastAsia="Times New Roman" w:cs="Times New Roman"/>
          <w:szCs w:val="24"/>
        </w:rPr>
        <w:t xml:space="preserve"> </w:t>
      </w:r>
      <w:r w:rsidRPr="00AF27D7">
        <w:rPr>
          <w:rFonts w:eastAsia="Times New Roman" w:cs="Times New Roman"/>
          <w:szCs w:val="24"/>
        </w:rPr>
        <w:t xml:space="preserve">The observed neuroprotection mirrors findings by </w:t>
      </w:r>
      <w:r w:rsidR="00EF54DF" w:rsidRPr="00AF27D7">
        <w:rPr>
          <w:rFonts w:cs="Times New Roman"/>
          <w:color w:val="222222"/>
          <w:szCs w:val="24"/>
          <w:shd w:val="clear" w:color="auto" w:fill="FFFFFF"/>
        </w:rPr>
        <w:t xml:space="preserve">El </w:t>
      </w:r>
      <w:proofErr w:type="spellStart"/>
      <w:r w:rsidR="00EF54DF" w:rsidRPr="00AF27D7">
        <w:rPr>
          <w:rFonts w:cs="Times New Roman"/>
          <w:color w:val="222222"/>
          <w:szCs w:val="24"/>
          <w:shd w:val="clear" w:color="auto" w:fill="FFFFFF"/>
        </w:rPr>
        <w:t>Kabbaoui</w:t>
      </w:r>
      <w:proofErr w:type="spellEnd"/>
      <w:r w:rsidRPr="00AF27D7">
        <w:rPr>
          <w:rFonts w:eastAsia="Times New Roman" w:cs="Times New Roman"/>
          <w:szCs w:val="24"/>
        </w:rPr>
        <w:t xml:space="preserve"> et al. (2017), who demonstrated that </w:t>
      </w:r>
      <w:r w:rsidRPr="00AF27D7">
        <w:rPr>
          <w:rFonts w:eastAsia="Times New Roman" w:cs="Times New Roman"/>
          <w:i/>
          <w:iCs/>
          <w:szCs w:val="24"/>
        </w:rPr>
        <w:t>Centella asiatica</w:t>
      </w:r>
      <w:r w:rsidRPr="00AF27D7">
        <w:rPr>
          <w:rFonts w:eastAsia="Times New Roman" w:cs="Times New Roman"/>
          <w:szCs w:val="24"/>
        </w:rPr>
        <w:t xml:space="preserve"> promoted hippocampal neurogenesis and improved learning and memory in a mouse model of stress-induced cognitive impairment.</w:t>
      </w:r>
    </w:p>
    <w:p w14:paraId="45B63ACF" w14:textId="00816B8A" w:rsidR="00310FD6" w:rsidRPr="003E5479" w:rsidRDefault="007245F2" w:rsidP="003E5479">
      <w:pPr>
        <w:pStyle w:val="ListParagraph"/>
        <w:numPr>
          <w:ilvl w:val="0"/>
          <w:numId w:val="5"/>
        </w:numPr>
        <w:spacing w:before="100" w:beforeAutospacing="1" w:after="100" w:afterAutospacing="1" w:line="480" w:lineRule="auto"/>
        <w:jc w:val="both"/>
        <w:rPr>
          <w:rFonts w:eastAsia="Times New Roman" w:cs="Times New Roman"/>
          <w:szCs w:val="24"/>
        </w:rPr>
      </w:pPr>
      <w:r w:rsidRPr="003E5479">
        <w:rPr>
          <w:rFonts w:eastAsia="Times New Roman" w:cs="Times New Roman"/>
          <w:b/>
          <w:bCs/>
          <w:szCs w:val="24"/>
        </w:rPr>
        <w:t>CONCLUSION</w:t>
      </w:r>
    </w:p>
    <w:p w14:paraId="4AC9CC2A" w14:textId="4BD1A55F" w:rsidR="00EF54DF" w:rsidRPr="003470B5" w:rsidRDefault="00310FD6" w:rsidP="003470B5">
      <w:pPr>
        <w:spacing w:before="100" w:beforeAutospacing="1" w:after="100" w:afterAutospacing="1" w:line="480" w:lineRule="auto"/>
        <w:jc w:val="both"/>
        <w:rPr>
          <w:rFonts w:eastAsia="Times New Roman" w:cs="Times New Roman"/>
          <w:szCs w:val="24"/>
        </w:rPr>
      </w:pPr>
      <w:r w:rsidRPr="00AF27D7">
        <w:rPr>
          <w:rFonts w:eastAsia="Times New Roman" w:cs="Times New Roman"/>
          <w:szCs w:val="24"/>
        </w:rPr>
        <w:t xml:space="preserve">This study demonstrates that </w:t>
      </w:r>
      <w:r w:rsidRPr="00AF27D7">
        <w:rPr>
          <w:rFonts w:eastAsia="Times New Roman" w:cs="Times New Roman"/>
          <w:i/>
          <w:iCs/>
          <w:szCs w:val="24"/>
        </w:rPr>
        <w:t>Centella lujica</w:t>
      </w:r>
      <w:r w:rsidRPr="00AF27D7">
        <w:rPr>
          <w:rFonts w:eastAsia="Times New Roman" w:cs="Times New Roman"/>
          <w:szCs w:val="24"/>
        </w:rPr>
        <w:t xml:space="preserve"> significantly ameliorates both depressive- and anxiety-like behaviors in CUMS-exposed mice. It also protects against stress-induced neuronal degeneration in the hippocampus and prefrontal cortex. These findings are supported by existing literature on related </w:t>
      </w:r>
      <w:r w:rsidRPr="00AF27D7">
        <w:rPr>
          <w:rFonts w:eastAsia="Times New Roman" w:cs="Times New Roman"/>
          <w:i/>
          <w:iCs/>
          <w:szCs w:val="24"/>
        </w:rPr>
        <w:t>Centella</w:t>
      </w:r>
      <w:r w:rsidRPr="00AF27D7">
        <w:rPr>
          <w:rFonts w:eastAsia="Times New Roman" w:cs="Times New Roman"/>
          <w:szCs w:val="24"/>
        </w:rPr>
        <w:t xml:space="preserve"> species and phytochemicals with neuroprotective properties, highlighting the potential of </w:t>
      </w:r>
      <w:r w:rsidRPr="00AF27D7">
        <w:rPr>
          <w:rFonts w:eastAsia="Times New Roman" w:cs="Times New Roman"/>
          <w:i/>
          <w:iCs/>
          <w:szCs w:val="24"/>
        </w:rPr>
        <w:t>Centella lujica</w:t>
      </w:r>
      <w:r w:rsidRPr="00AF27D7">
        <w:rPr>
          <w:rFonts w:eastAsia="Times New Roman" w:cs="Times New Roman"/>
          <w:szCs w:val="24"/>
        </w:rPr>
        <w:t xml:space="preserve"> as a candidate for further preclinical and clinical evaluation in stress-related disorders.</w:t>
      </w:r>
    </w:p>
    <w:p w14:paraId="633304AE" w14:textId="77777777" w:rsidR="00BD4676" w:rsidRDefault="00BD4676" w:rsidP="00BD4676">
      <w:r w:rsidRPr="00BD4676">
        <w:lastRenderedPageBreak/>
        <w:t xml:space="preserve">ETHICAL APPROVAL </w:t>
      </w:r>
    </w:p>
    <w:p w14:paraId="2B21EE90" w14:textId="77777777" w:rsidR="00BD4676" w:rsidRDefault="00BD4676" w:rsidP="00BD4676">
      <w:proofErr w:type="gramStart"/>
      <w:r w:rsidRPr="00BD4676">
        <w:t>Ethical  approval</w:t>
      </w:r>
      <w:proofErr w:type="gramEnd"/>
      <w:r w:rsidRPr="00BD4676">
        <w:t xml:space="preserve">  </w:t>
      </w:r>
      <w:proofErr w:type="gramStart"/>
      <w:r w:rsidRPr="00BD4676">
        <w:t xml:space="preserve">was  </w:t>
      </w:r>
      <w:r>
        <w:t>gotten</w:t>
      </w:r>
      <w:proofErr w:type="gramEnd"/>
      <w:r w:rsidRPr="00BD4676">
        <w:t xml:space="preserve"> </w:t>
      </w:r>
      <w:proofErr w:type="gramStart"/>
      <w:r>
        <w:t>from</w:t>
      </w:r>
      <w:r w:rsidRPr="00BD4676">
        <w:t xml:space="preserve">  the</w:t>
      </w:r>
      <w:proofErr w:type="gramEnd"/>
      <w:r w:rsidRPr="00BD4676">
        <w:t xml:space="preserve">  </w:t>
      </w:r>
      <w:r>
        <w:t>research and ethics committee of the Faculty of Basic Medical Science, Delta State</w:t>
      </w:r>
      <w:r w:rsidRPr="00BD4676">
        <w:t>.</w:t>
      </w:r>
    </w:p>
    <w:p w14:paraId="42274182" w14:textId="77777777" w:rsidR="00BD4676" w:rsidRDefault="00BD4676" w:rsidP="00BD4676">
      <w:r w:rsidRPr="00BD4676">
        <w:t>DISCLAIMER (ARTIFICIAL INTELLIGENCE)</w:t>
      </w:r>
      <w:r>
        <w:t xml:space="preserve"> </w:t>
      </w:r>
    </w:p>
    <w:p w14:paraId="652C2D21" w14:textId="4E70030F" w:rsidR="00BD4676" w:rsidRDefault="00BD4676" w:rsidP="00BD4676">
      <w:r w:rsidRPr="00BD4676">
        <w:t>Author(</w:t>
      </w:r>
      <w:proofErr w:type="gramStart"/>
      <w:r w:rsidRPr="00BD4676">
        <w:t>s)  hereby</w:t>
      </w:r>
      <w:proofErr w:type="gramEnd"/>
      <w:r w:rsidRPr="00BD4676">
        <w:t xml:space="preserve">  </w:t>
      </w:r>
      <w:proofErr w:type="gramStart"/>
      <w:r w:rsidRPr="00BD4676">
        <w:t>declare  that</w:t>
      </w:r>
      <w:proofErr w:type="gramEnd"/>
      <w:r w:rsidRPr="00BD4676">
        <w:t xml:space="preserve">  </w:t>
      </w:r>
      <w:proofErr w:type="gramStart"/>
      <w:r w:rsidRPr="00BD4676">
        <w:t>NO  generative</w:t>
      </w:r>
      <w:proofErr w:type="gramEnd"/>
      <w:r w:rsidRPr="00BD4676">
        <w:t xml:space="preserve">  AI </w:t>
      </w:r>
      <w:proofErr w:type="gramStart"/>
      <w:r w:rsidRPr="00BD4676">
        <w:t>technologies  such</w:t>
      </w:r>
      <w:proofErr w:type="gramEnd"/>
      <w:r w:rsidRPr="00BD4676">
        <w:t xml:space="preserve">  </w:t>
      </w:r>
      <w:proofErr w:type="gramStart"/>
      <w:r w:rsidRPr="00BD4676">
        <w:t>as  Large</w:t>
      </w:r>
      <w:proofErr w:type="gramEnd"/>
      <w:r w:rsidRPr="00BD4676">
        <w:t xml:space="preserve">  </w:t>
      </w:r>
      <w:proofErr w:type="gramStart"/>
      <w:r w:rsidRPr="00BD4676">
        <w:t>Language  Models</w:t>
      </w:r>
      <w:proofErr w:type="gramEnd"/>
      <w:r w:rsidRPr="00BD4676">
        <w:t xml:space="preserve"> (</w:t>
      </w:r>
      <w:proofErr w:type="gramStart"/>
      <w:r w:rsidRPr="00BD4676">
        <w:t xml:space="preserve">ChatGPT,   COPILOT,   </w:t>
      </w:r>
      <w:proofErr w:type="gramEnd"/>
      <w:r w:rsidRPr="00BD4676">
        <w:t xml:space="preserve">etc.)   and   text-to-image generators have been used during </w:t>
      </w:r>
      <w:proofErr w:type="gramStart"/>
      <w:r w:rsidRPr="00BD4676">
        <w:t>the  writing</w:t>
      </w:r>
      <w:proofErr w:type="gramEnd"/>
      <w:r w:rsidRPr="00BD4676">
        <w:t xml:space="preserve"> or editing of this manuscript. </w:t>
      </w:r>
    </w:p>
    <w:p w14:paraId="7D2FBE15" w14:textId="77777777" w:rsidR="00262F61" w:rsidRPr="003A29C6" w:rsidRDefault="00262F61" w:rsidP="00262F61">
      <w:pPr>
        <w:jc w:val="both"/>
        <w:outlineLvl w:val="0"/>
        <w:rPr>
          <w:rFonts w:ascii="Arial" w:hAnsi="Arial" w:cs="Arial"/>
        </w:rPr>
      </w:pPr>
      <w:r w:rsidRPr="003A29C6">
        <w:rPr>
          <w:rFonts w:ascii="Arial" w:hAnsi="Arial" w:cs="Arial"/>
          <w:b/>
          <w:bCs/>
        </w:rPr>
        <w:t>COMPETING INTERESTS DISCLAIMER:</w:t>
      </w:r>
    </w:p>
    <w:p w14:paraId="2B9C2DEE" w14:textId="77777777" w:rsidR="00262F61" w:rsidRDefault="00262F61" w:rsidP="00262F61">
      <w:r w:rsidRPr="00A10EDE">
        <w:t>Authors have declared that they have no known competing financial interests OR non-financial interests OR personal relationships that could have appeared to influence the work reported in this paper.</w:t>
      </w:r>
    </w:p>
    <w:p w14:paraId="7593CCC2" w14:textId="77777777" w:rsidR="003A3954" w:rsidRDefault="003A3954" w:rsidP="003A3954">
      <w:pPr>
        <w:tabs>
          <w:tab w:val="left" w:pos="2696"/>
        </w:tabs>
        <w:rPr>
          <w:rFonts w:ascii="Arial" w:hAnsi="Arial" w:cs="Arial"/>
          <w:sz w:val="20"/>
          <w:szCs w:val="20"/>
        </w:rPr>
      </w:pPr>
      <w:bookmarkStart w:id="7" w:name="_Hlk183685723"/>
      <w:bookmarkStart w:id="8" w:name="_Hlk198899984"/>
      <w:bookmarkStart w:id="9" w:name="_Hlk200024137"/>
    </w:p>
    <w:bookmarkEnd w:id="7"/>
    <w:bookmarkEnd w:id="8"/>
    <w:bookmarkEnd w:id="9"/>
    <w:p w14:paraId="1E93BEED" w14:textId="7B28414C" w:rsidR="003E5479" w:rsidRDefault="003E5479" w:rsidP="003E5479">
      <w:pPr>
        <w:spacing w:line="480" w:lineRule="auto"/>
        <w:rPr>
          <w:rFonts w:cs="Times New Roman"/>
          <w:b/>
          <w:bCs/>
          <w:szCs w:val="24"/>
        </w:rPr>
      </w:pPr>
      <w:r w:rsidRPr="00AF27D7">
        <w:rPr>
          <w:rFonts w:cs="Times New Roman"/>
          <w:b/>
          <w:bCs/>
          <w:szCs w:val="24"/>
        </w:rPr>
        <w:t>REFERENCES</w:t>
      </w:r>
    </w:p>
    <w:p w14:paraId="43868588" w14:textId="46289974" w:rsidR="003218E1" w:rsidRPr="003E5479" w:rsidRDefault="003218E1" w:rsidP="003E5479">
      <w:pPr>
        <w:spacing w:line="240" w:lineRule="auto"/>
        <w:rPr>
          <w:rFonts w:cs="Times New Roman"/>
          <w:b/>
          <w:bCs/>
          <w:szCs w:val="24"/>
        </w:rPr>
      </w:pPr>
      <w:r>
        <w:t xml:space="preserve">Anamika, PK; Muralidharan, P (2021). An extensive review on intricacies of autism spectrum disorder and associated pharmacological activity of </w:t>
      </w:r>
      <w:r>
        <w:rPr>
          <w:rStyle w:val="Emphasis"/>
        </w:rPr>
        <w:t>Centella asiatica</w:t>
      </w:r>
      <w:r>
        <w:t xml:space="preserve">. </w:t>
      </w:r>
      <w:r>
        <w:rPr>
          <w:rStyle w:val="Emphasis"/>
        </w:rPr>
        <w:t>Eur. J. Mol. Clin. Med.</w:t>
      </w:r>
      <w:r>
        <w:t xml:space="preserve"> 8(2): 662–680.</w:t>
      </w:r>
    </w:p>
    <w:p w14:paraId="1ABD9730" w14:textId="3EA1FA64" w:rsidR="003218E1" w:rsidRDefault="003218E1" w:rsidP="003218E1">
      <w:pPr>
        <w:spacing w:before="100" w:beforeAutospacing="1" w:after="100" w:afterAutospacing="1"/>
      </w:pPr>
      <w:r>
        <w:t xml:space="preserve">Anthony, ON; Anozie, AJ; </w:t>
      </w:r>
      <w:proofErr w:type="spellStart"/>
      <w:r>
        <w:t>Akpovwre</w:t>
      </w:r>
      <w:proofErr w:type="spellEnd"/>
      <w:r>
        <w:t xml:space="preserve">, CO; </w:t>
      </w:r>
      <w:proofErr w:type="spellStart"/>
      <w:r>
        <w:t>Awhin</w:t>
      </w:r>
      <w:proofErr w:type="spellEnd"/>
      <w:r>
        <w:t xml:space="preserve">, EP; Oni, JO; Eduviere, AT; </w:t>
      </w:r>
      <w:proofErr w:type="spellStart"/>
      <w:r>
        <w:t>Avwotuhwaye</w:t>
      </w:r>
      <w:proofErr w:type="spellEnd"/>
      <w:r>
        <w:t xml:space="preserve">, FE (2025). Evaluation of memory enhancing potential of </w:t>
      </w:r>
      <w:r>
        <w:rPr>
          <w:rStyle w:val="Emphasis"/>
        </w:rPr>
        <w:t>Centella lujica</w:t>
      </w:r>
      <w:r>
        <w:t xml:space="preserve"> supplement and its underlying mechanisms of action in mice model of stress. </w:t>
      </w:r>
      <w:r>
        <w:rPr>
          <w:rStyle w:val="Emphasis"/>
        </w:rPr>
        <w:t xml:space="preserve">Trop. J. </w:t>
      </w:r>
      <w:proofErr w:type="spellStart"/>
      <w:r>
        <w:rPr>
          <w:rStyle w:val="Emphasis"/>
        </w:rPr>
        <w:t>Phytochem</w:t>
      </w:r>
      <w:proofErr w:type="spellEnd"/>
      <w:r>
        <w:rPr>
          <w:rStyle w:val="Emphasis"/>
        </w:rPr>
        <w:t>. Pharm. Sci.</w:t>
      </w:r>
      <w:r>
        <w:t xml:space="preserve"> 4(3): 102–110.</w:t>
      </w:r>
    </w:p>
    <w:p w14:paraId="765DCBAD" w14:textId="2D865DD5" w:rsidR="003218E1" w:rsidRDefault="003218E1" w:rsidP="003218E1">
      <w:pPr>
        <w:spacing w:before="100" w:beforeAutospacing="1" w:after="100" w:afterAutospacing="1"/>
      </w:pPr>
      <w:proofErr w:type="spellStart"/>
      <w:r>
        <w:t>Bourin</w:t>
      </w:r>
      <w:proofErr w:type="spellEnd"/>
      <w:r>
        <w:t xml:space="preserve">, M; Hascoët, M (2003). The mouse light/dark box test. </w:t>
      </w:r>
      <w:r>
        <w:rPr>
          <w:rStyle w:val="Emphasis"/>
        </w:rPr>
        <w:t xml:space="preserve">Eur. J. </w:t>
      </w:r>
      <w:proofErr w:type="spellStart"/>
      <w:r>
        <w:rPr>
          <w:rStyle w:val="Emphasis"/>
        </w:rPr>
        <w:t>Pharmacol</w:t>
      </w:r>
      <w:proofErr w:type="spellEnd"/>
      <w:r>
        <w:rPr>
          <w:rStyle w:val="Emphasis"/>
        </w:rPr>
        <w:t>.</w:t>
      </w:r>
      <w:r>
        <w:t xml:space="preserve"> 463(1–3): 55–65. DOI: </w:t>
      </w:r>
      <w:hyperlink r:id="rId19" w:tgtFrame="_new" w:history="1">
        <w:r>
          <w:rPr>
            <w:rStyle w:val="Hyperlink"/>
          </w:rPr>
          <w:t>https://doi.org/10.1016/S0014-2999(03)01274-3</w:t>
        </w:r>
      </w:hyperlink>
    </w:p>
    <w:p w14:paraId="075B9161" w14:textId="157D2ACF" w:rsidR="003218E1" w:rsidRDefault="003218E1" w:rsidP="003218E1">
      <w:pPr>
        <w:spacing w:before="100" w:beforeAutospacing="1" w:after="100" w:afterAutospacing="1"/>
      </w:pPr>
      <w:r>
        <w:t xml:space="preserve">Brown, GR; Nemes, C (2008). The exploratory </w:t>
      </w:r>
      <w:proofErr w:type="spellStart"/>
      <w:r>
        <w:t>behaviour</w:t>
      </w:r>
      <w:proofErr w:type="spellEnd"/>
      <w:r>
        <w:t xml:space="preserve"> of rats in the hole-board apparatus: is head-dipping a valid measure of neophilia? </w:t>
      </w:r>
      <w:proofErr w:type="spellStart"/>
      <w:r>
        <w:rPr>
          <w:rStyle w:val="Emphasis"/>
        </w:rPr>
        <w:t>Behav</w:t>
      </w:r>
      <w:proofErr w:type="spellEnd"/>
      <w:r>
        <w:rPr>
          <w:rStyle w:val="Emphasis"/>
        </w:rPr>
        <w:t>. Process.</w:t>
      </w:r>
      <w:r>
        <w:t xml:space="preserve"> 78(3): 442–448.</w:t>
      </w:r>
    </w:p>
    <w:p w14:paraId="5EE4EE82" w14:textId="3D57008D" w:rsidR="003218E1" w:rsidRDefault="003218E1" w:rsidP="003218E1">
      <w:pPr>
        <w:spacing w:before="100" w:beforeAutospacing="1" w:after="100" w:afterAutospacing="1"/>
      </w:pPr>
      <w:r>
        <w:t xml:space="preserve">Cichon, N; </w:t>
      </w:r>
      <w:proofErr w:type="spellStart"/>
      <w:r>
        <w:t>Saluk</w:t>
      </w:r>
      <w:proofErr w:type="spellEnd"/>
      <w:r>
        <w:t xml:space="preserve">-Bijak, J; Gorniak, L; </w:t>
      </w:r>
      <w:proofErr w:type="spellStart"/>
      <w:r>
        <w:t>Przyslo</w:t>
      </w:r>
      <w:proofErr w:type="spellEnd"/>
      <w:r>
        <w:t xml:space="preserve">, L; Bijak, M (2020). Flavonoids as a natural enhancer of neuroplasticity—An overview of the mechanism of neurorestorative action. </w:t>
      </w:r>
      <w:r>
        <w:rPr>
          <w:rStyle w:val="Emphasis"/>
        </w:rPr>
        <w:t>Antioxidants</w:t>
      </w:r>
      <w:r>
        <w:t xml:space="preserve"> 9(11): 1035.</w:t>
      </w:r>
    </w:p>
    <w:p w14:paraId="0F9EDAE1" w14:textId="4EE94A79" w:rsidR="003218E1" w:rsidRDefault="003218E1" w:rsidP="003218E1">
      <w:pPr>
        <w:spacing w:before="100" w:beforeAutospacing="1" w:after="100" w:afterAutospacing="1"/>
      </w:pPr>
      <w:r>
        <w:t xml:space="preserve">Costa, A; Micheli, L; Sordi, V; Ciampi, C; Lucci, J; </w:t>
      </w:r>
      <w:proofErr w:type="spellStart"/>
      <w:r>
        <w:t>Passani</w:t>
      </w:r>
      <w:proofErr w:type="spellEnd"/>
      <w:r>
        <w:t xml:space="preserve">, MB; </w:t>
      </w:r>
      <w:proofErr w:type="spellStart"/>
      <w:r>
        <w:t>Provensi</w:t>
      </w:r>
      <w:proofErr w:type="spellEnd"/>
      <w:r>
        <w:t xml:space="preserve">, G (2024). Preventing social defeat stress-induced </w:t>
      </w:r>
      <w:proofErr w:type="spellStart"/>
      <w:r>
        <w:t>behavioural</w:t>
      </w:r>
      <w:proofErr w:type="spellEnd"/>
      <w:r>
        <w:t xml:space="preserve"> and neurochemical alterations by repeated treatment with a mix of </w:t>
      </w:r>
      <w:r>
        <w:rPr>
          <w:rStyle w:val="Emphasis"/>
        </w:rPr>
        <w:t>Centella asiatica</w:t>
      </w:r>
      <w:r>
        <w:t xml:space="preserve">, </w:t>
      </w:r>
      <w:r>
        <w:rPr>
          <w:rStyle w:val="Emphasis"/>
        </w:rPr>
        <w:t>Echinacea purpurea</w:t>
      </w:r>
      <w:r>
        <w:t xml:space="preserve"> and </w:t>
      </w:r>
      <w:r>
        <w:rPr>
          <w:rStyle w:val="Emphasis"/>
        </w:rPr>
        <w:t>Zingiber officinale</w:t>
      </w:r>
      <w:r>
        <w:t xml:space="preserve"> standardized extracts. </w:t>
      </w:r>
      <w:r>
        <w:rPr>
          <w:rStyle w:val="Emphasis"/>
        </w:rPr>
        <w:t xml:space="preserve">Front. </w:t>
      </w:r>
      <w:proofErr w:type="spellStart"/>
      <w:r>
        <w:rPr>
          <w:rStyle w:val="Emphasis"/>
        </w:rPr>
        <w:t>Pharmacol</w:t>
      </w:r>
      <w:proofErr w:type="spellEnd"/>
      <w:r>
        <w:rPr>
          <w:rStyle w:val="Emphasis"/>
        </w:rPr>
        <w:t>.</w:t>
      </w:r>
      <w:r>
        <w:t xml:space="preserve"> 15: 1439811.</w:t>
      </w:r>
    </w:p>
    <w:p w14:paraId="5C3FA18F" w14:textId="75858F3A" w:rsidR="003218E1" w:rsidRDefault="003218E1" w:rsidP="003218E1">
      <w:pPr>
        <w:spacing w:before="100" w:beforeAutospacing="1" w:after="100" w:afterAutospacing="1"/>
      </w:pPr>
      <w:r>
        <w:lastRenderedPageBreak/>
        <w:t xml:space="preserve">Dong, W; Liu, Y; Bai, R; Zhang, L; Zhou, M (2025). The prevalence and associated disability burden of mental disorders in children and adolescents in China: a systematic analysis of data from the Global Burden of Disease Study. </w:t>
      </w:r>
      <w:r>
        <w:rPr>
          <w:rStyle w:val="Emphasis"/>
        </w:rPr>
        <w:t>Lancet Reg. Health–West. Pac.</w:t>
      </w:r>
      <w:r>
        <w:t xml:space="preserve"> 55.</w:t>
      </w:r>
    </w:p>
    <w:p w14:paraId="1025D128" w14:textId="0A40707D" w:rsidR="003218E1" w:rsidRDefault="003218E1" w:rsidP="003218E1">
      <w:pPr>
        <w:spacing w:before="100" w:beforeAutospacing="1" w:after="100" w:afterAutospacing="1"/>
      </w:pPr>
      <w:r>
        <w:t xml:space="preserve">Eduviere, AT; </w:t>
      </w:r>
      <w:proofErr w:type="spellStart"/>
      <w:r>
        <w:t>Enaohwo</w:t>
      </w:r>
      <w:proofErr w:type="spellEnd"/>
      <w:r>
        <w:t xml:space="preserve">, MT; </w:t>
      </w:r>
      <w:proofErr w:type="spellStart"/>
      <w:r>
        <w:t>Awhin</w:t>
      </w:r>
      <w:proofErr w:type="spellEnd"/>
      <w:r>
        <w:t xml:space="preserve">, PE; </w:t>
      </w:r>
      <w:proofErr w:type="spellStart"/>
      <w:r>
        <w:t>Otomewo</w:t>
      </w:r>
      <w:proofErr w:type="spellEnd"/>
      <w:r>
        <w:t xml:space="preserve">, LO; </w:t>
      </w:r>
      <w:proofErr w:type="spellStart"/>
      <w:r>
        <w:t>Iwalio</w:t>
      </w:r>
      <w:proofErr w:type="spellEnd"/>
      <w:r>
        <w:t xml:space="preserve">, O (2022). </w:t>
      </w:r>
      <w:proofErr w:type="spellStart"/>
      <w:r>
        <w:t>Gotu</w:t>
      </w:r>
      <w:proofErr w:type="spellEnd"/>
      <w:r>
        <w:t xml:space="preserve"> Kola supplement ameliorates stress-induced liver injury in mice. </w:t>
      </w:r>
      <w:r>
        <w:rPr>
          <w:rStyle w:val="Emphasis"/>
        </w:rPr>
        <w:t>Trop. J. Nat. Prod. Res.</w:t>
      </w:r>
      <w:r>
        <w:t xml:space="preserve"> 6(6).</w:t>
      </w:r>
    </w:p>
    <w:p w14:paraId="15D595B8" w14:textId="694C14FA" w:rsidR="003218E1" w:rsidRDefault="003218E1" w:rsidP="003218E1">
      <w:pPr>
        <w:spacing w:before="100" w:beforeAutospacing="1" w:after="100" w:afterAutospacing="1"/>
      </w:pPr>
      <w:r>
        <w:t xml:space="preserve">Eduviere, AT; </w:t>
      </w:r>
      <w:proofErr w:type="spellStart"/>
      <w:r>
        <w:t>Enaohwo</w:t>
      </w:r>
      <w:proofErr w:type="spellEnd"/>
      <w:r>
        <w:t xml:space="preserve">, M; </w:t>
      </w:r>
      <w:proofErr w:type="spellStart"/>
      <w:r>
        <w:t>Otomewo</w:t>
      </w:r>
      <w:proofErr w:type="spellEnd"/>
      <w:r>
        <w:t xml:space="preserve">, L (2022). Quercetin supplement modulated exploratory and anxiety-related </w:t>
      </w:r>
      <w:proofErr w:type="spellStart"/>
      <w:r>
        <w:t>behaviours</w:t>
      </w:r>
      <w:proofErr w:type="spellEnd"/>
      <w:r>
        <w:t xml:space="preserve"> in mice subjected to hypoxic stress. </w:t>
      </w:r>
      <w:r>
        <w:rPr>
          <w:rStyle w:val="Emphasis"/>
        </w:rPr>
        <w:t>Afr. J. Pharm. Res. Dev.</w:t>
      </w:r>
      <w:r>
        <w:t xml:space="preserve"> 14(1): 040–051.</w:t>
      </w:r>
    </w:p>
    <w:p w14:paraId="3DDD716F" w14:textId="584729E7" w:rsidR="003218E1" w:rsidRDefault="003218E1" w:rsidP="003218E1">
      <w:pPr>
        <w:spacing w:before="100" w:beforeAutospacing="1" w:after="100" w:afterAutospacing="1"/>
      </w:pPr>
      <w:r>
        <w:t xml:space="preserve">El </w:t>
      </w:r>
      <w:proofErr w:type="spellStart"/>
      <w:r>
        <w:t>Kabbaoui</w:t>
      </w:r>
      <w:proofErr w:type="spellEnd"/>
      <w:r>
        <w:t xml:space="preserve">, M; </w:t>
      </w:r>
      <w:proofErr w:type="spellStart"/>
      <w:r>
        <w:t>Chda</w:t>
      </w:r>
      <w:proofErr w:type="spellEnd"/>
      <w:r>
        <w:t>, A; El-</w:t>
      </w:r>
      <w:proofErr w:type="spellStart"/>
      <w:r>
        <w:t>Akhal</w:t>
      </w:r>
      <w:proofErr w:type="spellEnd"/>
      <w:r>
        <w:t xml:space="preserve">, J; </w:t>
      </w:r>
      <w:proofErr w:type="spellStart"/>
      <w:r>
        <w:t>Azdad</w:t>
      </w:r>
      <w:proofErr w:type="spellEnd"/>
      <w:r>
        <w:t xml:space="preserve">, O; </w:t>
      </w:r>
      <w:proofErr w:type="spellStart"/>
      <w:r>
        <w:t>Mejrhit</w:t>
      </w:r>
      <w:proofErr w:type="spellEnd"/>
      <w:r>
        <w:t xml:space="preserve">, N; Aarab, L; Bencheikh, R; Tazi, A (2017). Acute and sub-chronic toxicity studies of the aqueous extract from leaves of </w:t>
      </w:r>
      <w:r>
        <w:rPr>
          <w:rStyle w:val="Emphasis"/>
        </w:rPr>
        <w:t xml:space="preserve">Cistus </w:t>
      </w:r>
      <w:proofErr w:type="spellStart"/>
      <w:r>
        <w:rPr>
          <w:rStyle w:val="Emphasis"/>
        </w:rPr>
        <w:t>ladaniferus</w:t>
      </w:r>
      <w:proofErr w:type="spellEnd"/>
      <w:r>
        <w:t xml:space="preserve"> L. in mice and rats. </w:t>
      </w:r>
      <w:r>
        <w:rPr>
          <w:rStyle w:val="Emphasis"/>
        </w:rPr>
        <w:t xml:space="preserve">J. </w:t>
      </w:r>
      <w:proofErr w:type="spellStart"/>
      <w:r>
        <w:rPr>
          <w:rStyle w:val="Emphasis"/>
        </w:rPr>
        <w:t>Ethnopharmacol</w:t>
      </w:r>
      <w:proofErr w:type="spellEnd"/>
      <w:r>
        <w:rPr>
          <w:rStyle w:val="Emphasis"/>
        </w:rPr>
        <w:t>.</w:t>
      </w:r>
      <w:r>
        <w:t xml:space="preserve"> 209: 147–156.</w:t>
      </w:r>
    </w:p>
    <w:p w14:paraId="73559500" w14:textId="5D598ACD" w:rsidR="003218E1" w:rsidRDefault="003218E1" w:rsidP="003218E1">
      <w:pPr>
        <w:spacing w:before="100" w:beforeAutospacing="1" w:after="100" w:afterAutospacing="1"/>
      </w:pPr>
      <w:proofErr w:type="spellStart"/>
      <w:r>
        <w:t>Eltony</w:t>
      </w:r>
      <w:proofErr w:type="spellEnd"/>
      <w:r>
        <w:t xml:space="preserve">, SA; </w:t>
      </w:r>
      <w:proofErr w:type="spellStart"/>
      <w:r>
        <w:t>Elgayar</w:t>
      </w:r>
      <w:proofErr w:type="spellEnd"/>
      <w:r>
        <w:t xml:space="preserve">, SA (2014). Histological study on effect of </w:t>
      </w:r>
      <w:r>
        <w:rPr>
          <w:rStyle w:val="Emphasis"/>
        </w:rPr>
        <w:t>Nigella sativa</w:t>
      </w:r>
      <w:r>
        <w:t xml:space="preserve"> on aged olfactory system of female albino rat. </w:t>
      </w:r>
      <w:r>
        <w:rPr>
          <w:rStyle w:val="Emphasis"/>
        </w:rPr>
        <w:t xml:space="preserve">Rom. J. </w:t>
      </w:r>
      <w:proofErr w:type="spellStart"/>
      <w:r>
        <w:rPr>
          <w:rStyle w:val="Emphasis"/>
        </w:rPr>
        <w:t>Morphol</w:t>
      </w:r>
      <w:proofErr w:type="spellEnd"/>
      <w:r>
        <w:rPr>
          <w:rStyle w:val="Emphasis"/>
        </w:rPr>
        <w:t xml:space="preserve">. </w:t>
      </w:r>
      <w:proofErr w:type="spellStart"/>
      <w:r>
        <w:rPr>
          <w:rStyle w:val="Emphasis"/>
        </w:rPr>
        <w:t>Embryol</w:t>
      </w:r>
      <w:proofErr w:type="spellEnd"/>
      <w:r>
        <w:rPr>
          <w:rStyle w:val="Emphasis"/>
        </w:rPr>
        <w:t>.</w:t>
      </w:r>
      <w:r>
        <w:t xml:space="preserve"> 55(2): 325–334.</w:t>
      </w:r>
    </w:p>
    <w:p w14:paraId="35420D7F" w14:textId="09D3D284" w:rsidR="003218E1" w:rsidRDefault="003218E1" w:rsidP="003218E1">
      <w:pPr>
        <w:spacing w:before="100" w:beforeAutospacing="1" w:after="100" w:afterAutospacing="1"/>
      </w:pPr>
      <w:r>
        <w:t xml:space="preserve">Firdaus, Z; Gutti, G; </w:t>
      </w:r>
      <w:proofErr w:type="spellStart"/>
      <w:r>
        <w:t>Ganeshpurkar</w:t>
      </w:r>
      <w:proofErr w:type="spellEnd"/>
      <w:r>
        <w:t xml:space="preserve">, A; Kumar, A; Krishnamurthy, S; Singh, SK; Singh, TD (2024). </w:t>
      </w:r>
      <w:r>
        <w:rPr>
          <w:rStyle w:val="Emphasis"/>
        </w:rPr>
        <w:t>Centella asiatica</w:t>
      </w:r>
      <w:r>
        <w:t xml:space="preserve"> improves memory and executive function in middle-aged rats by controlling oxidative stress and cholinergic transmission. </w:t>
      </w:r>
      <w:r>
        <w:rPr>
          <w:rStyle w:val="Emphasis"/>
        </w:rPr>
        <w:t xml:space="preserve">J. </w:t>
      </w:r>
      <w:proofErr w:type="spellStart"/>
      <w:r>
        <w:rPr>
          <w:rStyle w:val="Emphasis"/>
        </w:rPr>
        <w:t>Ethnopharmacol</w:t>
      </w:r>
      <w:proofErr w:type="spellEnd"/>
      <w:r>
        <w:rPr>
          <w:rStyle w:val="Emphasis"/>
        </w:rPr>
        <w:t>.</w:t>
      </w:r>
      <w:r>
        <w:t xml:space="preserve"> 325: 117888.</w:t>
      </w:r>
    </w:p>
    <w:p w14:paraId="420C9B93" w14:textId="7E347F41" w:rsidR="003218E1" w:rsidRDefault="003218E1" w:rsidP="003218E1">
      <w:pPr>
        <w:spacing w:before="100" w:beforeAutospacing="1" w:after="100" w:afterAutospacing="1"/>
      </w:pPr>
      <w:r>
        <w:t xml:space="preserve">Gyles, TM; Nestler, EJ; Parise, EM (2024). Advancing preclinical chronic stress models to promote therapeutic discovery for human stress disorders. </w:t>
      </w:r>
      <w:r>
        <w:rPr>
          <w:rStyle w:val="Emphasis"/>
        </w:rPr>
        <w:t>Neuropsychopharmacology</w:t>
      </w:r>
      <w:r>
        <w:t xml:space="preserve"> 49(1): 215–226.</w:t>
      </w:r>
    </w:p>
    <w:p w14:paraId="78B93974" w14:textId="5DC1BDDE" w:rsidR="003218E1" w:rsidRDefault="003218E1" w:rsidP="003218E1">
      <w:pPr>
        <w:spacing w:before="100" w:beforeAutospacing="1" w:after="100" w:afterAutospacing="1"/>
      </w:pPr>
      <w:proofErr w:type="spellStart"/>
      <w:r>
        <w:t>Holsboer</w:t>
      </w:r>
      <w:proofErr w:type="spellEnd"/>
      <w:r>
        <w:t xml:space="preserve">, F (2000). The corticosteroid receptor hypothesis of depression. </w:t>
      </w:r>
      <w:r>
        <w:rPr>
          <w:rStyle w:val="Emphasis"/>
        </w:rPr>
        <w:t>Neuropsychopharmacology</w:t>
      </w:r>
      <w:r>
        <w:t xml:space="preserve"> 23(5): 477–501. DOI: </w:t>
      </w:r>
      <w:hyperlink r:id="rId20" w:tgtFrame="_new" w:history="1">
        <w:r>
          <w:rPr>
            <w:rStyle w:val="Hyperlink"/>
          </w:rPr>
          <w:t>https://doi.org/10.1016/S0893-133X(00)00159-7</w:t>
        </w:r>
      </w:hyperlink>
    </w:p>
    <w:p w14:paraId="74DE1C49" w14:textId="19DDAA4E" w:rsidR="003218E1" w:rsidRDefault="003218E1" w:rsidP="003218E1">
      <w:pPr>
        <w:spacing w:before="100" w:beforeAutospacing="1" w:after="100" w:afterAutospacing="1"/>
      </w:pPr>
      <w:r>
        <w:t xml:space="preserve">Kandemir, Ü (2023). Etiopathogenesis of depression and experimental depression models used in preclinical studies. </w:t>
      </w:r>
      <w:r>
        <w:rPr>
          <w:rStyle w:val="Emphasis"/>
        </w:rPr>
        <w:t>Eur. J. Life Sci.</w:t>
      </w:r>
      <w:r>
        <w:t xml:space="preserve"> 2(2): 78–90.</w:t>
      </w:r>
    </w:p>
    <w:p w14:paraId="07F0142F" w14:textId="3C377953" w:rsidR="003218E1" w:rsidRDefault="003218E1" w:rsidP="003218E1">
      <w:pPr>
        <w:spacing w:before="100" w:beforeAutospacing="1" w:after="100" w:afterAutospacing="1"/>
      </w:pPr>
      <w:r>
        <w:t xml:space="preserve">Katz, RJ; Roth, KA; Carroll, BJ (1981). Acute and chronic stress effects on open field activity in the rat: implications for a model of depression. </w:t>
      </w:r>
      <w:proofErr w:type="spellStart"/>
      <w:r>
        <w:rPr>
          <w:rStyle w:val="Emphasis"/>
        </w:rPr>
        <w:t>Neurosci</w:t>
      </w:r>
      <w:proofErr w:type="spellEnd"/>
      <w:r>
        <w:rPr>
          <w:rStyle w:val="Emphasis"/>
        </w:rPr>
        <w:t xml:space="preserve">. </w:t>
      </w:r>
      <w:proofErr w:type="spellStart"/>
      <w:r>
        <w:rPr>
          <w:rStyle w:val="Emphasis"/>
        </w:rPr>
        <w:t>Biobehav</w:t>
      </w:r>
      <w:proofErr w:type="spellEnd"/>
      <w:r>
        <w:rPr>
          <w:rStyle w:val="Emphasis"/>
        </w:rPr>
        <w:t>. Rev.</w:t>
      </w:r>
      <w:r>
        <w:t xml:space="preserve"> 5(2): 247–251.</w:t>
      </w:r>
    </w:p>
    <w:p w14:paraId="204305B3" w14:textId="39686FE1" w:rsidR="003218E1" w:rsidRDefault="003218E1" w:rsidP="003218E1">
      <w:pPr>
        <w:spacing w:before="100" w:beforeAutospacing="1" w:after="100" w:afterAutospacing="1"/>
      </w:pPr>
      <w:r>
        <w:t xml:space="preserve">Mando, Z; Mando, H; Afzan, A; Shaari, K; Hassan, Z; Taib, MNAM; Zakaria, F (2024). Biomarker triterpenoids of </w:t>
      </w:r>
      <w:r>
        <w:rPr>
          <w:rStyle w:val="Emphasis"/>
        </w:rPr>
        <w:t>Centella asiatica</w:t>
      </w:r>
      <w:r>
        <w:t xml:space="preserve"> as potential antidepressant agents: combining in vivo and in silico studies. </w:t>
      </w:r>
      <w:proofErr w:type="spellStart"/>
      <w:r>
        <w:rPr>
          <w:rStyle w:val="Emphasis"/>
        </w:rPr>
        <w:t>Behav</w:t>
      </w:r>
      <w:proofErr w:type="spellEnd"/>
      <w:r>
        <w:rPr>
          <w:rStyle w:val="Emphasis"/>
        </w:rPr>
        <w:t>. Brain Res.</w:t>
      </w:r>
      <w:r>
        <w:t xml:space="preserve"> 466: 114976.</w:t>
      </w:r>
    </w:p>
    <w:p w14:paraId="463E6776" w14:textId="331B79ED" w:rsidR="003218E1" w:rsidRDefault="003218E1" w:rsidP="003218E1">
      <w:pPr>
        <w:spacing w:before="100" w:beforeAutospacing="1" w:after="100" w:afterAutospacing="1"/>
      </w:pPr>
      <w:r>
        <w:lastRenderedPageBreak/>
        <w:t xml:space="preserve">McEwen, BS; Nasca, C; Gray, JD (2015). Stress effects on neuronal structure: Hippocampus, amygdala, and prefrontal cortex. </w:t>
      </w:r>
      <w:r>
        <w:rPr>
          <w:rStyle w:val="Emphasis"/>
        </w:rPr>
        <w:t>Neuropsychopharmacology</w:t>
      </w:r>
      <w:r>
        <w:t xml:space="preserve"> 41(1): 3–23. DOI: </w:t>
      </w:r>
      <w:hyperlink r:id="rId21" w:tgtFrame="_new" w:history="1">
        <w:r>
          <w:rPr>
            <w:rStyle w:val="Hyperlink"/>
          </w:rPr>
          <w:t>https://doi.org/10.1038/npp.2015.171</w:t>
        </w:r>
      </w:hyperlink>
    </w:p>
    <w:p w14:paraId="631405FD" w14:textId="3A1AEA7A" w:rsidR="003218E1" w:rsidRDefault="003218E1" w:rsidP="003218E1">
      <w:pPr>
        <w:spacing w:before="100" w:beforeAutospacing="1" w:after="100" w:afterAutospacing="1"/>
      </w:pPr>
      <w:r>
        <w:t xml:space="preserve">Morin, A; Beck, C; Rogers, C; Tremblay, J; Lefebvre, P (2021). The social interaction test for assessing depressive-like behaviors in mice: A step-by-step guide. </w:t>
      </w:r>
      <w:r>
        <w:rPr>
          <w:rStyle w:val="Emphasis"/>
        </w:rPr>
        <w:t xml:space="preserve">J. </w:t>
      </w:r>
      <w:proofErr w:type="spellStart"/>
      <w:r>
        <w:rPr>
          <w:rStyle w:val="Emphasis"/>
        </w:rPr>
        <w:t>Behav</w:t>
      </w:r>
      <w:proofErr w:type="spellEnd"/>
      <w:r>
        <w:rPr>
          <w:rStyle w:val="Emphasis"/>
        </w:rPr>
        <w:t xml:space="preserve">. </w:t>
      </w:r>
      <w:proofErr w:type="spellStart"/>
      <w:r>
        <w:rPr>
          <w:rStyle w:val="Emphasis"/>
        </w:rPr>
        <w:t>Neurosci</w:t>
      </w:r>
      <w:proofErr w:type="spellEnd"/>
      <w:r>
        <w:rPr>
          <w:rStyle w:val="Emphasis"/>
        </w:rPr>
        <w:t>.</w:t>
      </w:r>
      <w:r>
        <w:t xml:space="preserve"> 30(2): 125–138.</w:t>
      </w:r>
    </w:p>
    <w:p w14:paraId="123698E0" w14:textId="1D86F4E2" w:rsidR="003218E1" w:rsidRDefault="003218E1" w:rsidP="003218E1">
      <w:pPr>
        <w:spacing w:before="100" w:beforeAutospacing="1" w:after="100" w:afterAutospacing="1"/>
      </w:pPr>
      <w:r>
        <w:t>Nady, EM; El-</w:t>
      </w:r>
      <w:proofErr w:type="spellStart"/>
      <w:r>
        <w:t>Derany</w:t>
      </w:r>
      <w:proofErr w:type="spellEnd"/>
      <w:r>
        <w:t>, MO; Michel, HE; El-</w:t>
      </w:r>
      <w:proofErr w:type="spellStart"/>
      <w:r>
        <w:t>Demerdash</w:t>
      </w:r>
      <w:proofErr w:type="spellEnd"/>
      <w:r>
        <w:t xml:space="preserve">, E (2024). Pathophysiology of depression: inflammation and its relation with oxidative stress and the hypothalamic-pituitary-adrenal axis. </w:t>
      </w:r>
      <w:r>
        <w:rPr>
          <w:rStyle w:val="Emphasis"/>
        </w:rPr>
        <w:t>Arch. Pharm. Sci. Ain Shams Univ.</w:t>
      </w:r>
      <w:r>
        <w:t xml:space="preserve"> 8(1): 13–28.</w:t>
      </w:r>
    </w:p>
    <w:p w14:paraId="5393744F" w14:textId="55717F1A" w:rsidR="003218E1" w:rsidRDefault="003218E1" w:rsidP="003218E1">
      <w:pPr>
        <w:spacing w:before="100" w:beforeAutospacing="1" w:after="100" w:afterAutospacing="1"/>
      </w:pPr>
      <w:r>
        <w:t xml:space="preserve">Olayinka, JN; </w:t>
      </w:r>
      <w:proofErr w:type="spellStart"/>
      <w:r>
        <w:t>Akawa</w:t>
      </w:r>
      <w:proofErr w:type="spellEnd"/>
      <w:r>
        <w:t xml:space="preserve">, OB; Ogbu, EK; Eduviere, AT; </w:t>
      </w:r>
      <w:proofErr w:type="spellStart"/>
      <w:r>
        <w:t>Ozolua</w:t>
      </w:r>
      <w:proofErr w:type="spellEnd"/>
      <w:r>
        <w:t xml:space="preserve">, RI; Soliman, M (2023). Apigenin attenuates depressive-like behavior via modulating monoamine oxidase A enzyme activity in chronically stressed mice. </w:t>
      </w:r>
      <w:r>
        <w:rPr>
          <w:rStyle w:val="Emphasis"/>
        </w:rPr>
        <w:t xml:space="preserve">Curr. Res. </w:t>
      </w:r>
      <w:proofErr w:type="spellStart"/>
      <w:r>
        <w:rPr>
          <w:rStyle w:val="Emphasis"/>
        </w:rPr>
        <w:t>Pharmacol</w:t>
      </w:r>
      <w:proofErr w:type="spellEnd"/>
      <w:r>
        <w:rPr>
          <w:rStyle w:val="Emphasis"/>
        </w:rPr>
        <w:t xml:space="preserve">. Drug </w:t>
      </w:r>
      <w:proofErr w:type="spellStart"/>
      <w:r>
        <w:rPr>
          <w:rStyle w:val="Emphasis"/>
        </w:rPr>
        <w:t>Discov</w:t>
      </w:r>
      <w:proofErr w:type="spellEnd"/>
      <w:r>
        <w:rPr>
          <w:rStyle w:val="Emphasis"/>
        </w:rPr>
        <w:t>.</w:t>
      </w:r>
      <w:r>
        <w:t xml:space="preserve"> 5: 100161.</w:t>
      </w:r>
    </w:p>
    <w:p w14:paraId="5AE1D79C" w14:textId="7F428139" w:rsidR="003218E1" w:rsidRDefault="003218E1" w:rsidP="003218E1">
      <w:pPr>
        <w:spacing w:before="100" w:beforeAutospacing="1" w:after="100" w:afterAutospacing="1"/>
      </w:pPr>
      <w:r>
        <w:t xml:space="preserve">Olayinka, JN; Eduviere, AT; </w:t>
      </w:r>
      <w:proofErr w:type="spellStart"/>
      <w:r>
        <w:t>Okosun</w:t>
      </w:r>
      <w:proofErr w:type="spellEnd"/>
      <w:r>
        <w:t xml:space="preserve">, MO; Amadi, MC; </w:t>
      </w:r>
      <w:proofErr w:type="spellStart"/>
      <w:r>
        <w:t>Ikpen</w:t>
      </w:r>
      <w:proofErr w:type="spellEnd"/>
      <w:r>
        <w:t xml:space="preserve">, JO (2025). Apigenin exhibits memory enhancing activity through the restoration of </w:t>
      </w:r>
      <w:proofErr w:type="spellStart"/>
      <w:r>
        <w:t>oxido</w:t>
      </w:r>
      <w:proofErr w:type="spellEnd"/>
      <w:r>
        <w:t xml:space="preserve">-endocrine balance and upregulation of BDNF/ERK/CREB </w:t>
      </w:r>
      <w:proofErr w:type="spellStart"/>
      <w:r>
        <w:t>signalling</w:t>
      </w:r>
      <w:proofErr w:type="spellEnd"/>
      <w:r>
        <w:t xml:space="preserve"> pathways in stressed mice. </w:t>
      </w:r>
      <w:proofErr w:type="spellStart"/>
      <w:r>
        <w:rPr>
          <w:rStyle w:val="Emphasis"/>
        </w:rPr>
        <w:t>Naunyn</w:t>
      </w:r>
      <w:proofErr w:type="spellEnd"/>
      <w:r>
        <w:rPr>
          <w:rStyle w:val="Emphasis"/>
        </w:rPr>
        <w:t xml:space="preserve">-Schmiedeberg’s Arch. </w:t>
      </w:r>
      <w:proofErr w:type="spellStart"/>
      <w:r>
        <w:rPr>
          <w:rStyle w:val="Emphasis"/>
        </w:rPr>
        <w:t>Pharmacol</w:t>
      </w:r>
      <w:proofErr w:type="spellEnd"/>
      <w:r>
        <w:rPr>
          <w:rStyle w:val="Emphasis"/>
        </w:rPr>
        <w:t>.</w:t>
      </w:r>
      <w:r>
        <w:t xml:space="preserve"> 1–15.</w:t>
      </w:r>
    </w:p>
    <w:p w14:paraId="25195E81" w14:textId="1991F6AC" w:rsidR="003218E1" w:rsidRDefault="003218E1" w:rsidP="003218E1">
      <w:pPr>
        <w:spacing w:before="100" w:beforeAutospacing="1" w:after="100" w:afterAutospacing="1"/>
      </w:pPr>
      <w:proofErr w:type="spellStart"/>
      <w:r>
        <w:t>Otomewo</w:t>
      </w:r>
      <w:proofErr w:type="spellEnd"/>
      <w:r>
        <w:t xml:space="preserve">, LO; Eduviere, AT; Adeoluwa, OA; Moke, EG; Adeoluwa, GO (2024). Quercetin ameliorates depressive-like phenotypes and memory deficits in hypoxia-induced murine model of stress. </w:t>
      </w:r>
      <w:proofErr w:type="spellStart"/>
      <w:r>
        <w:rPr>
          <w:rStyle w:val="Emphasis"/>
        </w:rPr>
        <w:t>Pharmacol</w:t>
      </w:r>
      <w:proofErr w:type="spellEnd"/>
      <w:r>
        <w:rPr>
          <w:rStyle w:val="Emphasis"/>
        </w:rPr>
        <w:t>. Res.-Nat. Prod.</w:t>
      </w:r>
      <w:r>
        <w:t xml:space="preserve"> 5: 100104.</w:t>
      </w:r>
    </w:p>
    <w:p w14:paraId="594B44BE" w14:textId="2F69698F" w:rsidR="003218E1" w:rsidRDefault="003218E1" w:rsidP="003218E1">
      <w:pPr>
        <w:spacing w:before="100" w:beforeAutospacing="1" w:after="100" w:afterAutospacing="1"/>
      </w:pPr>
      <w:r>
        <w:t xml:space="preserve">Ren, Q; He, C; Sun, Y; Wang, Z; Gao, M (2024). </w:t>
      </w:r>
      <w:proofErr w:type="spellStart"/>
      <w:r>
        <w:t>Asiaticoside</w:t>
      </w:r>
      <w:proofErr w:type="spellEnd"/>
      <w:r>
        <w:t xml:space="preserve"> improves depressive-like behavior in mice with chronic unpredictable mild stress through modulation of the gut microbiota and hippocampal BDNF. </w:t>
      </w:r>
      <w:r>
        <w:rPr>
          <w:rStyle w:val="Emphasis"/>
        </w:rPr>
        <w:t xml:space="preserve">Front. </w:t>
      </w:r>
      <w:proofErr w:type="spellStart"/>
      <w:r>
        <w:rPr>
          <w:rStyle w:val="Emphasis"/>
        </w:rPr>
        <w:t>Pharmacol</w:t>
      </w:r>
      <w:proofErr w:type="spellEnd"/>
      <w:r>
        <w:rPr>
          <w:rStyle w:val="Emphasis"/>
        </w:rPr>
        <w:t>.</w:t>
      </w:r>
      <w:r>
        <w:t xml:space="preserve"> 15: 1461873. DOI: </w:t>
      </w:r>
      <w:hyperlink r:id="rId22" w:tgtFrame="_new" w:history="1">
        <w:r>
          <w:rPr>
            <w:rStyle w:val="Hyperlink"/>
          </w:rPr>
          <w:t>https://doi.org/10.3389/fphar.2024.1461873</w:t>
        </w:r>
      </w:hyperlink>
    </w:p>
    <w:p w14:paraId="37990A9C" w14:textId="25D99D25" w:rsidR="003218E1" w:rsidRDefault="003218E1" w:rsidP="003218E1">
      <w:pPr>
        <w:spacing w:before="100" w:beforeAutospacing="1" w:after="100" w:afterAutospacing="1"/>
      </w:pPr>
      <w:r>
        <w:t xml:space="preserve">Willner, P; Towell, A; Sampson, D; </w:t>
      </w:r>
      <w:proofErr w:type="spellStart"/>
      <w:r>
        <w:t>Sophokleous</w:t>
      </w:r>
      <w:proofErr w:type="spellEnd"/>
      <w:r>
        <w:t xml:space="preserve">, S; Muscat, RA (1987). Reduction of sucrose preference by chronic unpredictable mild stress, and its restoration by a tricyclic antidepressant. </w:t>
      </w:r>
      <w:r>
        <w:rPr>
          <w:rStyle w:val="Emphasis"/>
        </w:rPr>
        <w:t>Psychopharmacology</w:t>
      </w:r>
      <w:r>
        <w:t xml:space="preserve"> 93: 358–364.</w:t>
      </w:r>
    </w:p>
    <w:p w14:paraId="0538D77F" w14:textId="14B7C220" w:rsidR="003218E1" w:rsidRDefault="003218E1" w:rsidP="003218E1">
      <w:pPr>
        <w:spacing w:before="100" w:beforeAutospacing="1" w:after="100" w:afterAutospacing="1"/>
      </w:pPr>
      <w:r>
        <w:t xml:space="preserve">Zakaria, F; Akhtar, MT; </w:t>
      </w:r>
      <w:proofErr w:type="spellStart"/>
      <w:r>
        <w:t>Norhamidah</w:t>
      </w:r>
      <w:proofErr w:type="spellEnd"/>
      <w:r>
        <w:t xml:space="preserve">, WIW; Noraini, AB; Muhamad, A; </w:t>
      </w:r>
      <w:proofErr w:type="spellStart"/>
      <w:r>
        <w:t>Shohaimi</w:t>
      </w:r>
      <w:proofErr w:type="spellEnd"/>
      <w:r>
        <w:t xml:space="preserve">, S; Ahmad, H; Ismail, IS; Ismail, NH; Shaari, K (2023). </w:t>
      </w:r>
      <w:r>
        <w:rPr>
          <w:rStyle w:val="Emphasis"/>
        </w:rPr>
        <w:t>Centella asiatica</w:t>
      </w:r>
      <w:r>
        <w:t xml:space="preserve"> (L.) Urb. extract ameliorates branched-chain amino acid (BCAA) metabolism in acute reserpine-induced stress zebrafish model via 1H nuclear magnetic resonance (NMR)-based metabolomics approach. </w:t>
      </w:r>
      <w:r>
        <w:rPr>
          <w:rStyle w:val="Emphasis"/>
        </w:rPr>
        <w:t xml:space="preserve">Comp. </w:t>
      </w:r>
      <w:proofErr w:type="spellStart"/>
      <w:r>
        <w:rPr>
          <w:rStyle w:val="Emphasis"/>
        </w:rPr>
        <w:t>Biochem</w:t>
      </w:r>
      <w:proofErr w:type="spellEnd"/>
      <w:r>
        <w:rPr>
          <w:rStyle w:val="Emphasis"/>
        </w:rPr>
        <w:t xml:space="preserve">. Physiol. C </w:t>
      </w:r>
      <w:proofErr w:type="spellStart"/>
      <w:r>
        <w:rPr>
          <w:rStyle w:val="Emphasis"/>
        </w:rPr>
        <w:t>Toxicol</w:t>
      </w:r>
      <w:proofErr w:type="spellEnd"/>
      <w:r>
        <w:rPr>
          <w:rStyle w:val="Emphasis"/>
        </w:rPr>
        <w:t xml:space="preserve">. </w:t>
      </w:r>
      <w:proofErr w:type="spellStart"/>
      <w:r>
        <w:rPr>
          <w:rStyle w:val="Emphasis"/>
        </w:rPr>
        <w:t>Pharmacol</w:t>
      </w:r>
      <w:proofErr w:type="spellEnd"/>
      <w:r>
        <w:rPr>
          <w:rStyle w:val="Emphasis"/>
        </w:rPr>
        <w:t>.</w:t>
      </w:r>
      <w:r>
        <w:t xml:space="preserve"> 264: 109501.</w:t>
      </w:r>
    </w:p>
    <w:p w14:paraId="70AFC7ED" w14:textId="6A5F50D4" w:rsidR="003218E1" w:rsidRDefault="003218E1" w:rsidP="003218E1">
      <w:pPr>
        <w:spacing w:before="100" w:beforeAutospacing="1" w:after="100" w:afterAutospacing="1"/>
      </w:pPr>
      <w:r>
        <w:t xml:space="preserve">Zhang, J; Li, J; Huang, J; Xiang, X; Li, R; Zhai, Y; Lin, S; Liu, W (2025). Psychological stress disturbs bone metabolism via miR-335-3p/Fos signaling in osteoclast. </w:t>
      </w:r>
      <w:proofErr w:type="spellStart"/>
      <w:r>
        <w:rPr>
          <w:rStyle w:val="Emphasis"/>
        </w:rPr>
        <w:t>eLife</w:t>
      </w:r>
      <w:proofErr w:type="spellEnd"/>
      <w:r>
        <w:t xml:space="preserve"> 13: RP95944.</w:t>
      </w:r>
    </w:p>
    <w:p w14:paraId="6DE63F2A" w14:textId="77777777" w:rsidR="00322234" w:rsidRPr="00AF27D7" w:rsidRDefault="00322234" w:rsidP="007B52D0">
      <w:pPr>
        <w:spacing w:line="480" w:lineRule="auto"/>
        <w:jc w:val="both"/>
        <w:rPr>
          <w:rFonts w:cs="Times New Roman"/>
          <w:b/>
          <w:bCs/>
          <w:szCs w:val="24"/>
        </w:rPr>
      </w:pPr>
    </w:p>
    <w:p w14:paraId="15E9327A" w14:textId="77777777" w:rsidR="00322234" w:rsidRPr="00AF27D7" w:rsidRDefault="00322234" w:rsidP="007B52D0">
      <w:pPr>
        <w:spacing w:line="480" w:lineRule="auto"/>
        <w:jc w:val="both"/>
        <w:rPr>
          <w:rFonts w:cs="Times New Roman"/>
          <w:b/>
          <w:bCs/>
          <w:szCs w:val="24"/>
        </w:rPr>
      </w:pPr>
    </w:p>
    <w:p w14:paraId="1A4132F3" w14:textId="77777777" w:rsidR="002C14D6" w:rsidRPr="00AF27D7" w:rsidRDefault="002C14D6" w:rsidP="007B52D0">
      <w:pPr>
        <w:spacing w:line="480" w:lineRule="auto"/>
        <w:rPr>
          <w:rFonts w:cs="Times New Roman"/>
          <w:b/>
          <w:bCs/>
          <w:szCs w:val="24"/>
        </w:rPr>
      </w:pPr>
    </w:p>
    <w:sectPr w:rsidR="002C14D6" w:rsidRPr="00AF27D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15DB" w14:textId="77777777" w:rsidR="0081501C" w:rsidRDefault="0081501C" w:rsidP="002610DA">
      <w:pPr>
        <w:spacing w:after="0" w:line="240" w:lineRule="auto"/>
      </w:pPr>
      <w:r>
        <w:separator/>
      </w:r>
    </w:p>
  </w:endnote>
  <w:endnote w:type="continuationSeparator" w:id="0">
    <w:p w14:paraId="6855AC52" w14:textId="77777777" w:rsidR="0081501C" w:rsidRDefault="0081501C" w:rsidP="002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587E" w14:textId="77777777" w:rsidR="002610DA" w:rsidRDefault="00261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99B4" w14:textId="77777777" w:rsidR="002610DA" w:rsidRDefault="00261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7F6A" w14:textId="77777777" w:rsidR="002610DA" w:rsidRDefault="00261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E483" w14:textId="77777777" w:rsidR="0081501C" w:rsidRDefault="0081501C" w:rsidP="002610DA">
      <w:pPr>
        <w:spacing w:after="0" w:line="240" w:lineRule="auto"/>
      </w:pPr>
      <w:r>
        <w:separator/>
      </w:r>
    </w:p>
  </w:footnote>
  <w:footnote w:type="continuationSeparator" w:id="0">
    <w:p w14:paraId="2A0D8118" w14:textId="77777777" w:rsidR="0081501C" w:rsidRDefault="0081501C" w:rsidP="00261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0052" w14:textId="42409BE1" w:rsidR="002610DA" w:rsidRDefault="00000000">
    <w:pPr>
      <w:pStyle w:val="Header"/>
    </w:pPr>
    <w:r>
      <w:rPr>
        <w:noProof/>
      </w:rPr>
      <w:pict w14:anchorId="4D47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258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7A6F" w14:textId="25A6540C" w:rsidR="002610DA" w:rsidRDefault="00000000">
    <w:pPr>
      <w:pStyle w:val="Header"/>
    </w:pPr>
    <w:r>
      <w:rPr>
        <w:noProof/>
      </w:rPr>
      <w:pict w14:anchorId="26159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258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7869" w14:textId="26ABB8E7" w:rsidR="002610DA" w:rsidRDefault="00000000">
    <w:pPr>
      <w:pStyle w:val="Header"/>
    </w:pPr>
    <w:r>
      <w:rPr>
        <w:noProof/>
      </w:rPr>
      <w:pict w14:anchorId="2F31D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2581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4806"/>
    <w:multiLevelType w:val="hybridMultilevel"/>
    <w:tmpl w:val="0EB6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53E2A"/>
    <w:multiLevelType w:val="hybridMultilevel"/>
    <w:tmpl w:val="53C4E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05D63"/>
    <w:multiLevelType w:val="hybridMultilevel"/>
    <w:tmpl w:val="BED46EE8"/>
    <w:lvl w:ilvl="0" w:tplc="09A2F6C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13846"/>
    <w:multiLevelType w:val="hybridMultilevel"/>
    <w:tmpl w:val="4B3A727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7F72EA"/>
    <w:multiLevelType w:val="hybridMultilevel"/>
    <w:tmpl w:val="82CC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596607">
    <w:abstractNumId w:val="0"/>
  </w:num>
  <w:num w:numId="2" w16cid:durableId="1620146069">
    <w:abstractNumId w:val="4"/>
  </w:num>
  <w:num w:numId="3" w16cid:durableId="2099521099">
    <w:abstractNumId w:val="3"/>
  </w:num>
  <w:num w:numId="4" w16cid:durableId="1692533483">
    <w:abstractNumId w:val="1"/>
  </w:num>
  <w:num w:numId="5" w16cid:durableId="174109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0s7A0NjU2tTAztTRR0lEKTi0uzszPAykwrgUAUw+lNywAAAA="/>
  </w:docVars>
  <w:rsids>
    <w:rsidRoot w:val="009E05E3"/>
    <w:rsid w:val="00005F74"/>
    <w:rsid w:val="00015BA0"/>
    <w:rsid w:val="000338A7"/>
    <w:rsid w:val="000422D8"/>
    <w:rsid w:val="00047E5C"/>
    <w:rsid w:val="00072823"/>
    <w:rsid w:val="00082857"/>
    <w:rsid w:val="000844E7"/>
    <w:rsid w:val="000A7639"/>
    <w:rsid w:val="000B0881"/>
    <w:rsid w:val="000C731B"/>
    <w:rsid w:val="00135FDC"/>
    <w:rsid w:val="001369CF"/>
    <w:rsid w:val="00142819"/>
    <w:rsid w:val="00175394"/>
    <w:rsid w:val="0018545F"/>
    <w:rsid w:val="00197E9A"/>
    <w:rsid w:val="001A043E"/>
    <w:rsid w:val="001C287F"/>
    <w:rsid w:val="001F1942"/>
    <w:rsid w:val="0022403C"/>
    <w:rsid w:val="002240C2"/>
    <w:rsid w:val="00234298"/>
    <w:rsid w:val="002610DA"/>
    <w:rsid w:val="00262F61"/>
    <w:rsid w:val="0027283B"/>
    <w:rsid w:val="00272A34"/>
    <w:rsid w:val="002C14D6"/>
    <w:rsid w:val="002C208F"/>
    <w:rsid w:val="002C2CCA"/>
    <w:rsid w:val="00300BF6"/>
    <w:rsid w:val="00310FD6"/>
    <w:rsid w:val="00315AEF"/>
    <w:rsid w:val="003218E1"/>
    <w:rsid w:val="00322234"/>
    <w:rsid w:val="0033395A"/>
    <w:rsid w:val="003470B5"/>
    <w:rsid w:val="00347AC2"/>
    <w:rsid w:val="00361828"/>
    <w:rsid w:val="00371CB9"/>
    <w:rsid w:val="003A30F3"/>
    <w:rsid w:val="003A3954"/>
    <w:rsid w:val="003A653E"/>
    <w:rsid w:val="003E5479"/>
    <w:rsid w:val="003F2985"/>
    <w:rsid w:val="003F6F2E"/>
    <w:rsid w:val="00400FA4"/>
    <w:rsid w:val="004036B3"/>
    <w:rsid w:val="0040756E"/>
    <w:rsid w:val="00414722"/>
    <w:rsid w:val="004173E3"/>
    <w:rsid w:val="00475D06"/>
    <w:rsid w:val="00490586"/>
    <w:rsid w:val="00492FDF"/>
    <w:rsid w:val="004E16F8"/>
    <w:rsid w:val="0050480C"/>
    <w:rsid w:val="00523A58"/>
    <w:rsid w:val="00546CF2"/>
    <w:rsid w:val="00591038"/>
    <w:rsid w:val="0059255C"/>
    <w:rsid w:val="005D190E"/>
    <w:rsid w:val="005F6CFD"/>
    <w:rsid w:val="00623D8C"/>
    <w:rsid w:val="006942A2"/>
    <w:rsid w:val="006E7F8A"/>
    <w:rsid w:val="00713BC3"/>
    <w:rsid w:val="007245F2"/>
    <w:rsid w:val="00733211"/>
    <w:rsid w:val="00751E9B"/>
    <w:rsid w:val="007A03AC"/>
    <w:rsid w:val="007A1805"/>
    <w:rsid w:val="007B52D0"/>
    <w:rsid w:val="007B7A6B"/>
    <w:rsid w:val="007F721A"/>
    <w:rsid w:val="0081501C"/>
    <w:rsid w:val="008B7F59"/>
    <w:rsid w:val="0090401B"/>
    <w:rsid w:val="0091689E"/>
    <w:rsid w:val="009203D0"/>
    <w:rsid w:val="009313B9"/>
    <w:rsid w:val="0095607C"/>
    <w:rsid w:val="009876AF"/>
    <w:rsid w:val="009A627D"/>
    <w:rsid w:val="009D2103"/>
    <w:rsid w:val="009D7134"/>
    <w:rsid w:val="009E05E3"/>
    <w:rsid w:val="00A5403D"/>
    <w:rsid w:val="00A76B08"/>
    <w:rsid w:val="00A92AC9"/>
    <w:rsid w:val="00A9342E"/>
    <w:rsid w:val="00A955EB"/>
    <w:rsid w:val="00AA6AB8"/>
    <w:rsid w:val="00AB2A79"/>
    <w:rsid w:val="00AF14F3"/>
    <w:rsid w:val="00AF25A1"/>
    <w:rsid w:val="00AF27D7"/>
    <w:rsid w:val="00AF4AAC"/>
    <w:rsid w:val="00AF7B3C"/>
    <w:rsid w:val="00B276AD"/>
    <w:rsid w:val="00B724F8"/>
    <w:rsid w:val="00B74E56"/>
    <w:rsid w:val="00BB339F"/>
    <w:rsid w:val="00BC06D3"/>
    <w:rsid w:val="00BC2740"/>
    <w:rsid w:val="00BD4676"/>
    <w:rsid w:val="00CE1778"/>
    <w:rsid w:val="00D0135E"/>
    <w:rsid w:val="00D059D5"/>
    <w:rsid w:val="00D41BE7"/>
    <w:rsid w:val="00D446D9"/>
    <w:rsid w:val="00D66952"/>
    <w:rsid w:val="00DC02A2"/>
    <w:rsid w:val="00DD7A54"/>
    <w:rsid w:val="00E10B77"/>
    <w:rsid w:val="00E13F5A"/>
    <w:rsid w:val="00E232CA"/>
    <w:rsid w:val="00E42579"/>
    <w:rsid w:val="00E86971"/>
    <w:rsid w:val="00EF54DF"/>
    <w:rsid w:val="00F54EFA"/>
    <w:rsid w:val="00F566BB"/>
    <w:rsid w:val="00F72D47"/>
    <w:rsid w:val="00F85D87"/>
    <w:rsid w:val="00FC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A3651"/>
  <w15:chartTrackingRefBased/>
  <w15:docId w15:val="{44490C95-1DCD-423F-91FF-BC8E0039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5A1"/>
    <w:pPr>
      <w:spacing w:after="200" w:line="276"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E0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0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05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5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05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05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05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05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05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5E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9E05E3"/>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9E05E3"/>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E05E3"/>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9E05E3"/>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9E05E3"/>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E05E3"/>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E05E3"/>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E05E3"/>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9E0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5E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E05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5E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E05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05E3"/>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9E05E3"/>
    <w:pPr>
      <w:ind w:left="720"/>
      <w:contextualSpacing/>
    </w:pPr>
  </w:style>
  <w:style w:type="character" w:styleId="IntenseEmphasis">
    <w:name w:val="Intense Emphasis"/>
    <w:basedOn w:val="DefaultParagraphFont"/>
    <w:uiPriority w:val="21"/>
    <w:qFormat/>
    <w:rsid w:val="009E05E3"/>
    <w:rPr>
      <w:i/>
      <w:iCs/>
      <w:color w:val="0F4761" w:themeColor="accent1" w:themeShade="BF"/>
    </w:rPr>
  </w:style>
  <w:style w:type="paragraph" w:styleId="IntenseQuote">
    <w:name w:val="Intense Quote"/>
    <w:basedOn w:val="Normal"/>
    <w:next w:val="Normal"/>
    <w:link w:val="IntenseQuoteChar"/>
    <w:uiPriority w:val="30"/>
    <w:qFormat/>
    <w:rsid w:val="009E0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5E3"/>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9E05E3"/>
    <w:rPr>
      <w:b/>
      <w:bCs/>
      <w:smallCaps/>
      <w:color w:val="0F4761" w:themeColor="accent1" w:themeShade="BF"/>
      <w:spacing w:val="5"/>
    </w:rPr>
  </w:style>
  <w:style w:type="paragraph" w:customStyle="1" w:styleId="Default">
    <w:name w:val="Default"/>
    <w:rsid w:val="009313B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Emphasis">
    <w:name w:val="Emphasis"/>
    <w:basedOn w:val="DefaultParagraphFont"/>
    <w:uiPriority w:val="20"/>
    <w:qFormat/>
    <w:rsid w:val="009313B9"/>
    <w:rPr>
      <w:i/>
      <w:iCs/>
    </w:rPr>
  </w:style>
  <w:style w:type="table" w:styleId="TableGrid">
    <w:name w:val="Table Grid"/>
    <w:basedOn w:val="TableNormal"/>
    <w:uiPriority w:val="39"/>
    <w:rsid w:val="009313B9"/>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14D6"/>
    <w:rPr>
      <w:color w:val="0000FF"/>
      <w:u w:val="single"/>
    </w:rPr>
  </w:style>
  <w:style w:type="paragraph" w:customStyle="1" w:styleId="ftext">
    <w:name w:val="ftext"/>
    <w:basedOn w:val="Normal"/>
    <w:rsid w:val="00E8697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41BE7"/>
    <w:rPr>
      <w:b/>
      <w:bCs/>
    </w:rPr>
  </w:style>
  <w:style w:type="paragraph" w:styleId="NormalWeb">
    <w:name w:val="Normal (Web)"/>
    <w:basedOn w:val="Normal"/>
    <w:uiPriority w:val="99"/>
    <w:unhideWhenUsed/>
    <w:rsid w:val="00D41BE7"/>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262F61"/>
    <w:rPr>
      <w:color w:val="605E5C"/>
      <w:shd w:val="clear" w:color="auto" w:fill="E1DFDD"/>
    </w:rPr>
  </w:style>
  <w:style w:type="paragraph" w:styleId="Header">
    <w:name w:val="header"/>
    <w:basedOn w:val="Normal"/>
    <w:link w:val="HeaderChar"/>
    <w:uiPriority w:val="99"/>
    <w:unhideWhenUsed/>
    <w:rsid w:val="00261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DA"/>
    <w:rPr>
      <w:rFonts w:ascii="Times New Roman" w:hAnsi="Times New Roman"/>
      <w:kern w:val="0"/>
      <w:sz w:val="24"/>
      <w14:ligatures w14:val="none"/>
    </w:rPr>
  </w:style>
  <w:style w:type="paragraph" w:styleId="Footer">
    <w:name w:val="footer"/>
    <w:basedOn w:val="Normal"/>
    <w:link w:val="FooterChar"/>
    <w:uiPriority w:val="99"/>
    <w:unhideWhenUsed/>
    <w:rsid w:val="00261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0DA"/>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76940">
      <w:bodyDiv w:val="1"/>
      <w:marLeft w:val="0"/>
      <w:marRight w:val="0"/>
      <w:marTop w:val="0"/>
      <w:marBottom w:val="0"/>
      <w:divBdr>
        <w:top w:val="none" w:sz="0" w:space="0" w:color="auto"/>
        <w:left w:val="none" w:sz="0" w:space="0" w:color="auto"/>
        <w:bottom w:val="none" w:sz="0" w:space="0" w:color="auto"/>
        <w:right w:val="none" w:sz="0" w:space="0" w:color="auto"/>
      </w:divBdr>
    </w:div>
    <w:div w:id="665480658">
      <w:bodyDiv w:val="1"/>
      <w:marLeft w:val="0"/>
      <w:marRight w:val="0"/>
      <w:marTop w:val="0"/>
      <w:marBottom w:val="0"/>
      <w:divBdr>
        <w:top w:val="none" w:sz="0" w:space="0" w:color="auto"/>
        <w:left w:val="none" w:sz="0" w:space="0" w:color="auto"/>
        <w:bottom w:val="none" w:sz="0" w:space="0" w:color="auto"/>
        <w:right w:val="none" w:sz="0" w:space="0" w:color="auto"/>
      </w:divBdr>
    </w:div>
    <w:div w:id="886799204">
      <w:bodyDiv w:val="1"/>
      <w:marLeft w:val="0"/>
      <w:marRight w:val="0"/>
      <w:marTop w:val="0"/>
      <w:marBottom w:val="0"/>
      <w:divBdr>
        <w:top w:val="none" w:sz="0" w:space="0" w:color="auto"/>
        <w:left w:val="none" w:sz="0" w:space="0" w:color="auto"/>
        <w:bottom w:val="none" w:sz="0" w:space="0" w:color="auto"/>
        <w:right w:val="none" w:sz="0" w:space="0" w:color="auto"/>
      </w:divBdr>
    </w:div>
    <w:div w:id="999965734">
      <w:bodyDiv w:val="1"/>
      <w:marLeft w:val="0"/>
      <w:marRight w:val="0"/>
      <w:marTop w:val="0"/>
      <w:marBottom w:val="0"/>
      <w:divBdr>
        <w:top w:val="none" w:sz="0" w:space="0" w:color="auto"/>
        <w:left w:val="none" w:sz="0" w:space="0" w:color="auto"/>
        <w:bottom w:val="none" w:sz="0" w:space="0" w:color="auto"/>
        <w:right w:val="none" w:sz="0" w:space="0" w:color="auto"/>
      </w:divBdr>
    </w:div>
    <w:div w:id="1206062842">
      <w:bodyDiv w:val="1"/>
      <w:marLeft w:val="0"/>
      <w:marRight w:val="0"/>
      <w:marTop w:val="0"/>
      <w:marBottom w:val="0"/>
      <w:divBdr>
        <w:top w:val="none" w:sz="0" w:space="0" w:color="auto"/>
        <w:left w:val="none" w:sz="0" w:space="0" w:color="auto"/>
        <w:bottom w:val="none" w:sz="0" w:space="0" w:color="auto"/>
        <w:right w:val="none" w:sz="0" w:space="0" w:color="auto"/>
      </w:divBdr>
    </w:div>
    <w:div w:id="1823083351">
      <w:bodyDiv w:val="1"/>
      <w:marLeft w:val="0"/>
      <w:marRight w:val="0"/>
      <w:marTop w:val="0"/>
      <w:marBottom w:val="0"/>
      <w:divBdr>
        <w:top w:val="none" w:sz="0" w:space="0" w:color="auto"/>
        <w:left w:val="none" w:sz="0" w:space="0" w:color="auto"/>
        <w:bottom w:val="none" w:sz="0" w:space="0" w:color="auto"/>
        <w:right w:val="none" w:sz="0" w:space="0" w:color="auto"/>
      </w:divBdr>
      <w:divsChild>
        <w:div w:id="1462260889">
          <w:marLeft w:val="0"/>
          <w:marRight w:val="0"/>
          <w:marTop w:val="15"/>
          <w:marBottom w:val="0"/>
          <w:divBdr>
            <w:top w:val="single" w:sz="48" w:space="0" w:color="auto"/>
            <w:left w:val="single" w:sz="48" w:space="0" w:color="auto"/>
            <w:bottom w:val="single" w:sz="48" w:space="0" w:color="auto"/>
            <w:right w:val="single" w:sz="48" w:space="0" w:color="auto"/>
          </w:divBdr>
          <w:divsChild>
            <w:div w:id="8282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5735">
      <w:bodyDiv w:val="1"/>
      <w:marLeft w:val="0"/>
      <w:marRight w:val="0"/>
      <w:marTop w:val="0"/>
      <w:marBottom w:val="0"/>
      <w:divBdr>
        <w:top w:val="none" w:sz="0" w:space="0" w:color="auto"/>
        <w:left w:val="none" w:sz="0" w:space="0" w:color="auto"/>
        <w:bottom w:val="none" w:sz="0" w:space="0" w:color="auto"/>
        <w:right w:val="none" w:sz="0" w:space="0" w:color="auto"/>
      </w:divBdr>
    </w:div>
    <w:div w:id="19802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38/npp.2015.171" TargetMode="Externa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doi.org/10.1016/S0893-133X(00)00159-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hyperlink" Target="https://doi.org/10.1016/S0014-2999(03)01274-3"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hyperlink" Target="https://doi.org/10.3389/fphar.2024.146187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23</Pages>
  <Words>4933</Words>
  <Characters>28120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2025-06-09T15:39:00Z</dcterms:created>
  <dcterms:modified xsi:type="dcterms:W3CDTF">2025-06-18T13:03:00Z</dcterms:modified>
</cp:coreProperties>
</file>