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270EE">
      <w:pPr>
        <w:spacing w:line="480" w:lineRule="auto"/>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Chloroform Fraction of Methanol Extract of </w:t>
      </w:r>
      <w:r>
        <w:rPr>
          <w:rFonts w:ascii="Times New Roman" w:hAnsi="Times New Roman" w:cs="Times New Roman"/>
          <w:b/>
          <w:i/>
          <w:sz w:val="24"/>
          <w:szCs w:val="24"/>
          <w:highlight w:val="none"/>
        </w:rPr>
        <w:t>Funtumia</w:t>
      </w:r>
      <w:r>
        <w:rPr>
          <w:rFonts w:ascii="Times New Roman" w:hAnsi="Times New Roman" w:cs="Times New Roman"/>
          <w:b/>
          <w:i/>
          <w:sz w:val="24"/>
          <w:szCs w:val="24"/>
          <w:highlight w:val="none"/>
        </w:rPr>
        <w:t xml:space="preserve"> </w:t>
      </w:r>
      <w:r>
        <w:rPr>
          <w:rFonts w:hint="default" w:ascii="Times New Roman" w:hAnsi="Times New Roman" w:cs="Times New Roman"/>
          <w:b/>
          <w:i/>
          <w:sz w:val="24"/>
          <w:szCs w:val="24"/>
          <w:highlight w:val="none"/>
          <w:lang w:val="en-US"/>
        </w:rPr>
        <w:t>e</w:t>
      </w:r>
      <w:r>
        <w:rPr>
          <w:rFonts w:ascii="Times New Roman" w:hAnsi="Times New Roman" w:cs="Times New Roman"/>
          <w:b/>
          <w:i/>
          <w:sz w:val="24"/>
          <w:szCs w:val="24"/>
          <w:highlight w:val="none"/>
        </w:rPr>
        <w:t>lastica</w:t>
      </w:r>
      <w:r>
        <w:rPr>
          <w:rFonts w:ascii="Times New Roman" w:hAnsi="Times New Roman" w:cs="Times New Roman"/>
          <w:b/>
          <w:sz w:val="24"/>
          <w:szCs w:val="24"/>
          <w:highlight w:val="none"/>
        </w:rPr>
        <w:t xml:space="preserve"> (Preuss) Stem Bark Induces Mitochondrial-Mediated Cell Death Via Mitochondrial Permeability Transition Pore Opening</w:t>
      </w:r>
    </w:p>
    <w:p w14:paraId="37F3356D">
      <w:pPr>
        <w:spacing w:line="480" w:lineRule="auto"/>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Abstract</w:t>
      </w:r>
      <w:bookmarkStart w:id="0" w:name="_GoBack"/>
      <w:bookmarkEnd w:id="0"/>
    </w:p>
    <w:p w14:paraId="08555DB5">
      <w:pPr>
        <w:spacing w:line="480" w:lineRule="auto"/>
        <w:jc w:val="both"/>
        <w:rPr>
          <w:rFonts w:ascii="Times New Roman" w:hAnsi="Times New Roman" w:eastAsia="Times New Roman" w:cs="Times New Roman"/>
          <w:sz w:val="24"/>
          <w:szCs w:val="24"/>
          <w:highlight w:val="none"/>
        </w:rPr>
      </w:pPr>
      <w:r>
        <w:rPr>
          <w:rFonts w:ascii="Times New Roman" w:hAnsi="Times New Roman" w:eastAsia="Times New Roman" w:cs="Times New Roman"/>
          <w:b/>
          <w:bCs/>
          <w:color w:val="1D2228"/>
          <w:sz w:val="24"/>
          <w:szCs w:val="24"/>
          <w:highlight w:val="none"/>
          <w:shd w:val="clear" w:color="auto" w:fill="FFFFFF"/>
        </w:rPr>
        <w:t>Aims:</w:t>
      </w:r>
      <w:r>
        <w:rPr>
          <w:rFonts w:ascii="Times New Roman" w:hAnsi="Times New Roman" w:eastAsia="Times New Roman" w:cs="Times New Roman"/>
          <w:color w:val="1D2228"/>
          <w:sz w:val="24"/>
          <w:szCs w:val="24"/>
          <w:highlight w:val="none"/>
          <w:shd w:val="clear" w:color="auto" w:fill="FFFFFF"/>
        </w:rPr>
        <w:t xml:space="preserve"> </w:t>
      </w:r>
      <w:r>
        <w:rPr>
          <w:rFonts w:hint="default" w:ascii="Times New Roman" w:hAnsi="Times New Roman" w:eastAsia="Times New Roman" w:cs="Times New Roman"/>
          <w:i/>
          <w:iCs/>
          <w:color w:val="1D2228"/>
          <w:sz w:val="24"/>
          <w:szCs w:val="24"/>
          <w:highlight w:val="none"/>
          <w:shd w:val="clear" w:color="auto" w:fill="FFFFFF"/>
          <w:lang w:val="en-US"/>
        </w:rPr>
        <w:t>Funtumia elastica</w:t>
      </w:r>
      <w:r>
        <w:rPr>
          <w:rFonts w:hint="default" w:ascii="Times New Roman" w:hAnsi="Times New Roman" w:eastAsia="Times New Roman" w:cs="Times New Roman"/>
          <w:color w:val="1D2228"/>
          <w:sz w:val="24"/>
          <w:szCs w:val="24"/>
          <w:highlight w:val="none"/>
          <w:shd w:val="clear" w:color="auto" w:fill="FFFFFF"/>
          <w:lang w:val="en-US"/>
        </w:rPr>
        <w:t xml:space="preserve"> is a tropical medicinal plant traditionally used in the treatment of tumor. However, its mechanism of action via Mitochondrial Permeability Transition (mPT) Pore  is yet to be unraveled. </w:t>
      </w:r>
      <w:r>
        <w:rPr>
          <w:rFonts w:hint="default" w:ascii="Times New Roman" w:hAnsi="Times New Roman" w:eastAsia="Times New Roman" w:cs="Times New Roman"/>
          <w:color w:val="1D2228"/>
          <w:sz w:val="24"/>
          <w:szCs w:val="24"/>
          <w:highlight w:val="none"/>
          <w:shd w:val="clear" w:color="auto" w:fill="FFFFFF"/>
          <w:lang w:val="en-US"/>
        </w:rPr>
        <w:t xml:space="preserve"> </w:t>
      </w:r>
      <w:r>
        <w:rPr>
          <w:rFonts w:ascii="Times New Roman" w:hAnsi="Times New Roman" w:eastAsia="Times New Roman" w:cs="Times New Roman"/>
          <w:color w:val="1D2228"/>
          <w:sz w:val="24"/>
          <w:szCs w:val="24"/>
          <w:highlight w:val="none"/>
          <w:shd w:val="clear" w:color="auto" w:fill="FFFFFF"/>
        </w:rPr>
        <w:t xml:space="preserve">The mPT pore has become a significant target for drug development because its opening triggers cytochrome c release, ultimately leading to mitochondrial-mediated cell death. This study </w:t>
      </w:r>
      <w:r>
        <w:rPr>
          <w:rFonts w:hint="default" w:ascii="Times New Roman" w:hAnsi="Times New Roman" w:eastAsia="Times New Roman" w:cs="Times New Roman"/>
          <w:color w:val="1D2228"/>
          <w:sz w:val="24"/>
          <w:szCs w:val="24"/>
          <w:highlight w:val="none"/>
          <w:shd w:val="clear" w:color="auto" w:fill="FFFFFF"/>
          <w:lang w:val="en-US"/>
        </w:rPr>
        <w:t xml:space="preserve">therefore </w:t>
      </w:r>
      <w:r>
        <w:rPr>
          <w:rFonts w:ascii="Times New Roman" w:hAnsi="Times New Roman" w:eastAsia="Times New Roman" w:cs="Times New Roman"/>
          <w:color w:val="1D2228"/>
          <w:sz w:val="24"/>
          <w:szCs w:val="24"/>
          <w:highlight w:val="none"/>
          <w:shd w:val="clear" w:color="auto" w:fill="FFFFFF"/>
        </w:rPr>
        <w:t xml:space="preserve">aimed to explore the effects of the chloroform fraction of the methanol extract of </w:t>
      </w:r>
      <w:r>
        <w:rPr>
          <w:rFonts w:ascii="Times New Roman" w:hAnsi="Times New Roman" w:eastAsia="Times New Roman" w:cs="Times New Roman"/>
          <w:i/>
          <w:color w:val="1D2228"/>
          <w:sz w:val="24"/>
          <w:szCs w:val="24"/>
          <w:highlight w:val="none"/>
          <w:shd w:val="clear" w:color="auto" w:fill="FFFFFF"/>
        </w:rPr>
        <w:t>Funtumia elastica</w:t>
      </w:r>
      <w:r>
        <w:rPr>
          <w:rFonts w:ascii="Times New Roman" w:hAnsi="Times New Roman" w:eastAsia="Times New Roman" w:cs="Times New Roman"/>
          <w:color w:val="1D2228"/>
          <w:sz w:val="24"/>
          <w:szCs w:val="24"/>
          <w:highlight w:val="none"/>
          <w:shd w:val="clear" w:color="auto" w:fill="FFFFFF"/>
        </w:rPr>
        <w:t xml:space="preserve"> (CFFE) on mitochondrial-dependent cell death through mPT pore opening.</w:t>
      </w:r>
    </w:p>
    <w:p w14:paraId="4DF8AAB1">
      <w:pPr>
        <w:spacing w:line="48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 </w:t>
      </w:r>
      <w:r>
        <w:rPr>
          <w:rFonts w:ascii="Times New Roman" w:hAnsi="Times New Roman" w:cs="Times New Roman"/>
          <w:b/>
          <w:sz w:val="24"/>
          <w:szCs w:val="24"/>
          <w:highlight w:val="none"/>
        </w:rPr>
        <w:t>Methodology:</w:t>
      </w:r>
      <w:r>
        <w:rPr>
          <w:rFonts w:ascii="Times New Roman" w:hAnsi="Times New Roman" w:cs="Times New Roman"/>
          <w:sz w:val="24"/>
          <w:szCs w:val="24"/>
          <w:highlight w:val="none"/>
        </w:rPr>
        <w:t xml:space="preserve"> The crude methanol extract (CMFE) was partitioned successively to obtain n-hexane (HFFE), chloroform (CFFE), ethyl acetate (EAFE) and methanol (MFFE) fractions. Two sets of the animals separately and equally divided into four groups were treated as follows; First set: Group I received corn oil(10 ml/kg) while groups II, III and IV received 200 mg/kg of CMFE, CFFE and MFFE, respectively. Second set: Groups I, II, III and IV were treated with corn oil(10 ml/kg), CFFE(50 mg/kg), CFFE(100 mg/kg) and CFFE(200 mg/kg), respectively. Rat liver mitochondria were isolated by differential centrifugation. The effects of the extract and fractions were investigated on mPT pore, mitochondrial ATPase (mATPase)activity, mitochondrial membrane lipid peroxidation(mLPO), Caspases 9 and 3 activation, and, hepatic DNA fragmentation. Histological examination on the liver was assessed. Data were analyzed using ANOVA at α 0.05. </w:t>
      </w:r>
    </w:p>
    <w:p w14:paraId="57B91C25">
      <w:pPr>
        <w:spacing w:line="480" w:lineRule="auto"/>
        <w:jc w:val="both"/>
        <w:rPr>
          <w:rFonts w:ascii="Times New Roman" w:hAnsi="Times New Roman" w:cs="Times New Roman"/>
          <w:sz w:val="24"/>
          <w:szCs w:val="24"/>
          <w:highlight w:val="none"/>
        </w:rPr>
      </w:pPr>
      <w:r>
        <w:rPr>
          <w:rFonts w:ascii="Times New Roman" w:hAnsi="Times New Roman" w:cs="Times New Roman"/>
          <w:b/>
          <w:bCs/>
          <w:sz w:val="24"/>
          <w:szCs w:val="24"/>
          <w:highlight w:val="none"/>
        </w:rPr>
        <w:t>Results:</w:t>
      </w:r>
      <w:r>
        <w:rPr>
          <w:rFonts w:ascii="Times New Roman" w:hAnsi="Times New Roman" w:cs="Times New Roman"/>
          <w:sz w:val="24"/>
          <w:szCs w:val="24"/>
          <w:highlight w:val="none"/>
        </w:rPr>
        <w:t xml:space="preserve"> Oral administration of CMFE, CFFE, EAFE and MFFE at 200 mg/kg gave induction folds of 2.9, 12.3, 8.3 and 6.3, respectively, related to the control. The CFFE at 50, 100 and 200mg/kg induced pore opening by 3.7, 10.0 and 13.0 folds, respectively, related to the control. The CFFE caused significant enhancement of mATPase activity, caspases 9 and 3 activation, dose-dependent induction of hepatic DNA fragmentation, and decrease in malondialdehyde generation. Histological assessment at lower doses showed normal morphology while mild congestion was observed at the highest dose.</w:t>
      </w:r>
    </w:p>
    <w:p w14:paraId="73799B18">
      <w:pPr>
        <w:spacing w:line="480" w:lineRule="auto"/>
        <w:jc w:val="both"/>
        <w:rPr>
          <w:rFonts w:ascii="Times New Roman" w:hAnsi="Times New Roman" w:cs="Times New Roman"/>
          <w:sz w:val="24"/>
          <w:szCs w:val="24"/>
          <w:highlight w:val="none"/>
        </w:rPr>
      </w:pPr>
      <w:r>
        <w:rPr>
          <w:rFonts w:ascii="Times New Roman" w:hAnsi="Times New Roman" w:cs="Times New Roman"/>
          <w:b/>
          <w:bCs/>
          <w:sz w:val="24"/>
          <w:szCs w:val="24"/>
          <w:highlight w:val="none"/>
        </w:rPr>
        <w:t>Conclusion:</w:t>
      </w:r>
      <w:r>
        <w:rPr>
          <w:rFonts w:ascii="Times New Roman" w:hAnsi="Times New Roman" w:cs="Times New Roman"/>
          <w:sz w:val="24"/>
          <w:szCs w:val="24"/>
          <w:highlight w:val="none"/>
        </w:rPr>
        <w:t xml:space="preserve"> These results suggest the presence of phytochemicals in CFFE that can induce mitochondrial-dependent cell death via mPT pore opening. Further work is therefore necessary to characterize and isolate the active principle in CFFE that is responsible for this property.</w:t>
      </w:r>
    </w:p>
    <w:p w14:paraId="1B3FD7E4">
      <w:pPr>
        <w:spacing w:line="480" w:lineRule="auto"/>
        <w:jc w:val="both"/>
        <w:rPr>
          <w:rFonts w:ascii="Times New Roman" w:hAnsi="Times New Roman" w:cs="Times New Roman"/>
          <w:sz w:val="24"/>
          <w:szCs w:val="24"/>
          <w:highlight w:val="none"/>
        </w:rPr>
      </w:pPr>
      <w:r>
        <w:rPr>
          <w:rFonts w:ascii="Times New Roman" w:hAnsi="Times New Roman" w:cs="Times New Roman"/>
          <w:b/>
          <w:sz w:val="24"/>
          <w:szCs w:val="24"/>
          <w:highlight w:val="none"/>
        </w:rPr>
        <w:t>Keywords</w:t>
      </w:r>
      <w:r>
        <w:rPr>
          <w:rFonts w:ascii="Times New Roman" w:hAnsi="Times New Roman" w:cs="Times New Roman"/>
          <w:sz w:val="24"/>
          <w:szCs w:val="24"/>
          <w:highlight w:val="none"/>
        </w:rPr>
        <w:t xml:space="preserve">: Mitochondrial permeability transition pore, </w:t>
      </w:r>
      <w:r>
        <w:rPr>
          <w:rFonts w:ascii="Times New Roman" w:hAnsi="Times New Roman" w:cs="Times New Roman"/>
          <w:i/>
          <w:iCs/>
          <w:sz w:val="24"/>
          <w:szCs w:val="24"/>
          <w:highlight w:val="none"/>
        </w:rPr>
        <w:t>Funtumia elastica</w:t>
      </w:r>
      <w:r>
        <w:rPr>
          <w:rFonts w:ascii="Times New Roman" w:hAnsi="Times New Roman" w:cs="Times New Roman"/>
          <w:sz w:val="24"/>
          <w:szCs w:val="24"/>
          <w:highlight w:val="none"/>
        </w:rPr>
        <w:t xml:space="preserve">, cell death.  </w:t>
      </w:r>
    </w:p>
    <w:p w14:paraId="7B49F627">
      <w:pPr>
        <w:spacing w:line="480" w:lineRule="auto"/>
        <w:jc w:val="both"/>
        <w:rPr>
          <w:rFonts w:ascii="Times New Roman" w:hAnsi="Times New Roman" w:cs="Times New Roman"/>
          <w:sz w:val="24"/>
          <w:szCs w:val="24"/>
          <w:highlight w:val="none"/>
        </w:rPr>
      </w:pPr>
    </w:p>
    <w:p w14:paraId="5F753C70">
      <w:pPr>
        <w:spacing w:line="480" w:lineRule="auto"/>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Introduction</w:t>
      </w:r>
    </w:p>
    <w:p w14:paraId="2F9C81B6">
      <w:pPr>
        <w:keepNext w:val="0"/>
        <w:keepLines w:val="0"/>
        <w:widowControl/>
        <w:suppressLineNumbers w:val="0"/>
        <w:spacing w:line="480" w:lineRule="auto"/>
        <w:jc w:val="both"/>
        <w:rPr>
          <w:rFonts w:ascii="Times New Roman" w:hAnsi="Times New Roman" w:cs="Times New Roman"/>
          <w:sz w:val="24"/>
          <w:szCs w:val="24"/>
          <w:highlight w:val="none"/>
        </w:rPr>
      </w:pPr>
      <w:r>
        <w:rPr>
          <w:rFonts w:hint="default" w:ascii="Times New Roman" w:hAnsi="Times New Roman" w:cs="Times New Roman"/>
          <w:sz w:val="24"/>
          <w:szCs w:val="24"/>
          <w:highlight w:val="none"/>
        </w:rPr>
        <w:t xml:space="preserve">Mitochondrion is an intracellular organelle that is responsible for various cellular activities including ATP generation [1]. Despite its involvement in cellular energy generation, it has been implicated in programmed cell death. A key player in this event is the mitochondrial permeability transition (mPT) pore which is a protein formed under certain pathological situations such as traumatic brain injury and stroke [2]. The mPT is an increase in the permeability of inner mitochondrial membrane to ions and solutes &lt;1.5 Kda in size. This is mediated by a channel known as mPT pore. The induction of mPT pore opening can lead to impairment of cellular bioenergetics, mitochondrial swelling, release of some proapoptotic proteins such as cytochrome c, ATP hydrolysis and cell death [3,4].  </w:t>
      </w:r>
      <w:r>
        <w:rPr>
          <w:rFonts w:hint="default" w:ascii="Times New Roman" w:hAnsi="Times New Roman" w:eastAsia="Helvetica" w:cs="Times New Roman"/>
          <w:color w:val="000000"/>
          <w:kern w:val="0"/>
          <w:sz w:val="24"/>
          <w:szCs w:val="24"/>
          <w:highlight w:val="none"/>
          <w:lang w:val="en-US" w:eastAsia="zh-CN" w:bidi="ar"/>
        </w:rPr>
        <w:t>Although the structural and molecular nature of  mPT pore  is not yet fully elucidated, it has however been  established that the inner membrane of the  mitochondria is able to respond to certain stimuli  such as Ca</w:t>
      </w:r>
      <w:r>
        <w:rPr>
          <w:rFonts w:hint="default" w:ascii="Times New Roman" w:hAnsi="Times New Roman" w:eastAsia="Helvetica" w:cs="Times New Roman"/>
          <w:color w:val="000000"/>
          <w:kern w:val="0"/>
          <w:sz w:val="24"/>
          <w:szCs w:val="24"/>
          <w:highlight w:val="none"/>
          <w:vertAlign w:val="superscript"/>
          <w:lang w:val="en-US" w:eastAsia="zh-CN" w:bidi="ar"/>
        </w:rPr>
        <w:t>2+</w:t>
      </w:r>
      <w:r>
        <w:rPr>
          <w:rFonts w:hint="default" w:ascii="Times New Roman" w:hAnsi="Times New Roman" w:eastAsia="Helvetica" w:cs="Times New Roman"/>
          <w:color w:val="000000"/>
          <w:kern w:val="0"/>
          <w:sz w:val="24"/>
          <w:szCs w:val="24"/>
          <w:highlight w:val="none"/>
          <w:lang w:val="en-US" w:eastAsia="zh-CN" w:bidi="ar"/>
        </w:rPr>
        <w:t xml:space="preserve"> overload, hypoxia and oxidative  stress by opening of the mPT pore [3,4]. On  opening of the pore, the release of cytochrome c  leads to a point of no return for apoptosis to  take place as this step leads to the formation  of apoptosome, activation of caspases, the  degradation of cellular components and  eventually cell death </w:t>
      </w:r>
      <w:r>
        <w:rPr>
          <w:rFonts w:hint="default" w:ascii="Times New Roman" w:hAnsi="Times New Roman" w:cs="Times New Roman"/>
          <w:sz w:val="24"/>
          <w:szCs w:val="24"/>
          <w:highlight w:val="none"/>
        </w:rPr>
        <w:t xml:space="preserve">[5,6].  </w:t>
      </w:r>
      <w:r>
        <w:rPr>
          <w:rFonts w:hint="default" w:ascii="Times New Roman" w:hAnsi="Times New Roman"/>
          <w:sz w:val="24"/>
          <w:szCs w:val="24"/>
          <w:highlight w:val="none"/>
        </w:rPr>
        <w:t>The central signaling pathway of apoptosis includes a set of</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cysteine proteases called cysteinyl aspartate proteinases (caspases), which are activated by proteolysis and processing cascades</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triggered by proapoptotic signaling</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5</w:t>
      </w:r>
      <w:r>
        <w:rPr>
          <w:rFonts w:hint="default" w:ascii="Times New Roman" w:hAnsi="Times New Roman"/>
          <w:sz w:val="24"/>
          <w:szCs w:val="24"/>
          <w:highlight w:val="none"/>
          <w:lang w:val="en-US"/>
        </w:rPr>
        <w:t xml:space="preserve">]. </w:t>
      </w:r>
      <w:r>
        <w:rPr>
          <w:rFonts w:hint="default" w:ascii="Times New Roman" w:hAnsi="Times New Roman" w:cs="Times New Roman"/>
          <w:sz w:val="24"/>
          <w:szCs w:val="24"/>
          <w:highlight w:val="none"/>
        </w:rPr>
        <w:t>Activation of caspase</w:t>
      </w:r>
      <w:r>
        <w:rPr>
          <w:rFonts w:hint="default" w:ascii="Times New Roman" w:hAnsi="Times New Roman" w:cs="Times New Roman"/>
          <w:sz w:val="24"/>
          <w:szCs w:val="24"/>
          <w:highlight w:val="none"/>
          <w:lang w:val="en-US"/>
        </w:rPr>
        <w:t xml:space="preserve"> 9</w:t>
      </w:r>
      <w:r>
        <w:rPr>
          <w:rFonts w:hint="default" w:ascii="Times New Roman" w:hAnsi="Times New Roman" w:cs="Times New Roman"/>
          <w:sz w:val="24"/>
          <w:szCs w:val="24"/>
          <w:highlight w:val="none"/>
        </w:rPr>
        <w:t xml:space="preserve"> (initiator</w:t>
      </w:r>
      <w:r>
        <w:rPr>
          <w:rFonts w:hint="default" w:ascii="Times New Roman" w:hAnsi="Times New Roman" w:cs="Times New Roman"/>
          <w:sz w:val="24"/>
          <w:szCs w:val="24"/>
          <w:highlight w:val="none"/>
          <w:lang w:val="en-US"/>
        </w:rPr>
        <w:t xml:space="preserve"> caspase)</w:t>
      </w:r>
      <w:r>
        <w:rPr>
          <w:rFonts w:hint="default" w:ascii="Times New Roman" w:hAnsi="Times New Roman" w:cs="Times New Roman"/>
          <w:sz w:val="24"/>
          <w:szCs w:val="24"/>
          <w:highlight w:val="none"/>
        </w:rPr>
        <w:t xml:space="preserve"> and </w:t>
      </w:r>
      <w:r>
        <w:rPr>
          <w:rFonts w:hint="default" w:ascii="Times New Roman" w:hAnsi="Times New Roman" w:cs="Times New Roman"/>
          <w:sz w:val="24"/>
          <w:szCs w:val="24"/>
          <w:highlight w:val="none"/>
          <w:lang w:val="en-US"/>
        </w:rPr>
        <w:t>caspase 3 or 7 (</w:t>
      </w:r>
      <w:r>
        <w:rPr>
          <w:rFonts w:hint="default" w:ascii="Times New Roman" w:hAnsi="Times New Roman" w:cs="Times New Roman"/>
          <w:sz w:val="24"/>
          <w:szCs w:val="24"/>
          <w:highlight w:val="none"/>
        </w:rPr>
        <w:t>effector</w:t>
      </w:r>
      <w:r>
        <w:rPr>
          <w:rFonts w:hint="default" w:ascii="Times New Roman" w:hAnsi="Times New Roman" w:cs="Times New Roman"/>
          <w:sz w:val="24"/>
          <w:szCs w:val="24"/>
          <w:highlight w:val="none"/>
          <w:lang w:val="en-US"/>
        </w:rPr>
        <w:t xml:space="preserve"> caspases</w:t>
      </w:r>
      <w:r>
        <w:rPr>
          <w:rFonts w:hint="default" w:ascii="Times New Roman" w:hAnsi="Times New Roman" w:cs="Times New Roman"/>
          <w:sz w:val="24"/>
          <w:szCs w:val="24"/>
          <w:highlight w:val="none"/>
        </w:rPr>
        <w:t xml:space="preserve">) are crucial to the execution of mitochondrial-mediated cell death [7]. Since the mPT pore is associated with cell death, it has </w:t>
      </w:r>
      <w:r>
        <w:rPr>
          <w:rFonts w:ascii="Times New Roman" w:hAnsi="Times New Roman" w:cs="Times New Roman"/>
          <w:sz w:val="24"/>
          <w:szCs w:val="24"/>
          <w:highlight w:val="none"/>
        </w:rPr>
        <w:t>become a pharmacological target for the development of drugs that are relevant in diseased conditions involving dysregulated mitochondrial-mediated cell death; such as tumors and cancers [8,9].</w:t>
      </w:r>
      <w:r>
        <w:rPr>
          <w:rFonts w:ascii="Times New Roman" w:hAnsi="Times New Roman" w:cs="Times New Roman"/>
          <w:sz w:val="24"/>
          <w:szCs w:val="24"/>
          <w:highlight w:val="none"/>
        </w:rPr>
        <w:t xml:space="preserve"> </w:t>
      </w:r>
      <w:r>
        <w:rPr>
          <w:rFonts w:ascii="Times New Roman" w:hAnsi="Times New Roman" w:eastAsia="Times New Roman" w:cs="Times New Roman"/>
          <w:color w:val="1D2228"/>
          <w:sz w:val="24"/>
          <w:szCs w:val="24"/>
          <w:highlight w:val="none"/>
          <w:shd w:val="clear" w:color="auto" w:fill="FFFFFF"/>
        </w:rPr>
        <w:t xml:space="preserve">Certain compounds and medicinal plants have been reported to exert their chemotherapeutic potential against tumors and cancers by inducing mitochondrial permeability transition (mPT) pore opening [10,11]. </w:t>
      </w:r>
      <w:r>
        <w:rPr>
          <w:rFonts w:ascii="Times New Roman" w:hAnsi="Times New Roman" w:eastAsia="Times New Roman" w:cs="Times New Roman"/>
          <w:i/>
          <w:color w:val="1D2228"/>
          <w:sz w:val="24"/>
          <w:szCs w:val="24"/>
          <w:highlight w:val="none"/>
          <w:shd w:val="clear" w:color="auto" w:fill="FFFFFF"/>
        </w:rPr>
        <w:t>Funtumia elastica</w:t>
      </w:r>
      <w:r>
        <w:rPr>
          <w:rFonts w:ascii="Times New Roman" w:hAnsi="Times New Roman" w:eastAsia="Times New Roman" w:cs="Times New Roman"/>
          <w:color w:val="1D2228"/>
          <w:sz w:val="24"/>
          <w:szCs w:val="24"/>
          <w:highlight w:val="none"/>
          <w:shd w:val="clear" w:color="auto" w:fill="FFFFFF"/>
        </w:rPr>
        <w:t xml:space="preserve"> is a tropical medicinal plant traditionally used in west Africa for the treatment of tumors. Decoctions of its bark and leaves have been employed to manage cancers of the skin, throat, stomach, and breast in the Ashanti region of Ghana [12]. Additionally, </w:t>
      </w:r>
      <w:r>
        <w:rPr>
          <w:rFonts w:ascii="Times New Roman" w:hAnsi="Times New Roman" w:eastAsia="Times New Roman" w:cs="Times New Roman"/>
          <w:i/>
          <w:color w:val="1D2228"/>
          <w:sz w:val="24"/>
          <w:szCs w:val="24"/>
          <w:highlight w:val="none"/>
          <w:shd w:val="clear" w:color="auto" w:fill="FFFFFF"/>
        </w:rPr>
        <w:t>Funtumia elastica</w:t>
      </w:r>
      <w:r>
        <w:rPr>
          <w:rFonts w:ascii="Times New Roman" w:hAnsi="Times New Roman" w:eastAsia="Times New Roman" w:cs="Times New Roman"/>
          <w:color w:val="1D2228"/>
          <w:sz w:val="24"/>
          <w:szCs w:val="24"/>
          <w:highlight w:val="none"/>
          <w:shd w:val="clear" w:color="auto" w:fill="FFFFFF"/>
        </w:rPr>
        <w:t xml:space="preserve"> has been used to treat other ailments, including asthma, fungal infections, whooping cough, and hemorrhoids. Its documented pharmacological activities include antioxidant [13], anti-inflammatory, antimicrobial [12], antiplasmodial and antileishmanial [14] properties. Previous studies in our laboratory demonstrated that the methanol extract of </w:t>
      </w:r>
      <w:r>
        <w:rPr>
          <w:rFonts w:ascii="Times New Roman" w:hAnsi="Times New Roman" w:eastAsia="Times New Roman" w:cs="Times New Roman"/>
          <w:i/>
          <w:color w:val="1D2228"/>
          <w:sz w:val="24"/>
          <w:szCs w:val="24"/>
          <w:highlight w:val="none"/>
          <w:shd w:val="clear" w:color="auto" w:fill="FFFFFF"/>
        </w:rPr>
        <w:t>Funtumia elastica</w:t>
      </w:r>
      <w:r>
        <w:rPr>
          <w:rFonts w:ascii="Times New Roman" w:hAnsi="Times New Roman" w:eastAsia="Times New Roman" w:cs="Times New Roman"/>
          <w:color w:val="1D2228"/>
          <w:sz w:val="24"/>
          <w:szCs w:val="24"/>
          <w:highlight w:val="none"/>
          <w:shd w:val="clear" w:color="auto" w:fill="FFFFFF"/>
        </w:rPr>
        <w:t xml:space="preserve"> induced mPT pore opening, enhanced mitochondrial ATPase activity, facilitated cytochrome c release, and inhibited mitochondrial lipid peroxidation in vitro. This study aims to investigate the effects of oral administration of </w:t>
      </w:r>
      <w:r>
        <w:rPr>
          <w:rFonts w:ascii="Times New Roman" w:hAnsi="Times New Roman" w:eastAsia="Times New Roman" w:cs="Times New Roman"/>
          <w:i/>
          <w:color w:val="1D2228"/>
          <w:sz w:val="24"/>
          <w:szCs w:val="24"/>
          <w:highlight w:val="none"/>
          <w:shd w:val="clear" w:color="auto" w:fill="FFFFFF"/>
        </w:rPr>
        <w:t>Funtumia elastica</w:t>
      </w:r>
      <w:r>
        <w:rPr>
          <w:rFonts w:ascii="Times New Roman" w:hAnsi="Times New Roman" w:eastAsia="Times New Roman" w:cs="Times New Roman"/>
          <w:color w:val="1D2228"/>
          <w:sz w:val="24"/>
          <w:szCs w:val="24"/>
          <w:highlight w:val="none"/>
          <w:shd w:val="clear" w:color="auto" w:fill="FFFFFF"/>
        </w:rPr>
        <w:t xml:space="preserve"> on mitochondrial-mediated cell death through mPT pore opening.</w:t>
      </w:r>
    </w:p>
    <w:p w14:paraId="2228E19C">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Materials and methods</w:t>
      </w:r>
    </w:p>
    <w:p w14:paraId="1563E3E2">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2.1 Chemicals and Reagents</w:t>
      </w:r>
    </w:p>
    <w:p w14:paraId="4CBA3A60">
      <w:pPr>
        <w:spacing w:line="480" w:lineRule="auto"/>
        <w:jc w:val="both"/>
        <w:rPr>
          <w:rFonts w:ascii="Times New Roman" w:hAnsi="Times New Roman" w:eastAsia="Microsoft YaHei UI Light" w:cs="Times New Roman"/>
          <w:sz w:val="24"/>
          <w:szCs w:val="24"/>
          <w:highlight w:val="none"/>
        </w:rPr>
      </w:pPr>
      <w:r>
        <w:rPr>
          <w:rFonts w:hint="default" w:ascii="Times New Roman" w:hAnsi="Times New Roman" w:eastAsia="Microsoft YaHei UI Light"/>
          <w:sz w:val="24"/>
          <w:szCs w:val="24"/>
          <w:highlight w:val="none"/>
        </w:rPr>
        <w:t xml:space="preserve">Mannitol, sucrose, N-2-Hydroxy-ethyl-pipearizine-N-2-ethanesulfonic acid (HEPES),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rotenone, spermine, Folin-Ciocalteau reagent,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Bovine Serum Albumin (BSA), and all other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reagents were purchased from Sigma-Aldrich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Chemical Co. (St. Louis, MO, USA) and were of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the highest purity grade available</w:t>
      </w:r>
      <w:r>
        <w:rPr>
          <w:rFonts w:hint="default" w:ascii="Times New Roman" w:hAnsi="Times New Roman" w:eastAsia="Microsoft YaHei UI Light"/>
          <w:sz w:val="24"/>
          <w:szCs w:val="24"/>
          <w:highlight w:val="none"/>
          <w:lang w:val="en-US"/>
        </w:rPr>
        <w:t xml:space="preserve">. </w:t>
      </w:r>
    </w:p>
    <w:p w14:paraId="1F5E5409">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2.2 Preparation of Funtumia elastica stem bark extract</w:t>
      </w:r>
    </w:p>
    <w:p w14:paraId="00CAAAF9">
      <w:pPr>
        <w:spacing w:line="480" w:lineRule="auto"/>
        <w:jc w:val="both"/>
        <w:rPr>
          <w:rFonts w:ascii="Times New Roman" w:hAnsi="Times New Roman" w:eastAsia="Microsoft YaHei UI Light" w:cs="Times New Roman"/>
          <w:sz w:val="24"/>
          <w:szCs w:val="24"/>
          <w:highlight w:val="none"/>
        </w:rPr>
      </w:pPr>
      <w:r>
        <w:rPr>
          <w:rFonts w:ascii="Times New Roman" w:hAnsi="Times New Roman" w:eastAsia="Microsoft YaHei UI Light" w:cs="Times New Roman"/>
          <w:sz w:val="24"/>
          <w:szCs w:val="24"/>
          <w:highlight w:val="none"/>
        </w:rPr>
        <w:t xml:space="preserve"> </w:t>
      </w:r>
      <w:r>
        <w:rPr>
          <w:rFonts w:ascii="Times New Roman" w:hAnsi="Times New Roman" w:eastAsia="Microsoft YaHei UI Light" w:cs="Times New Roman"/>
          <w:i/>
          <w:sz w:val="24"/>
          <w:szCs w:val="24"/>
          <w:highlight w:val="none"/>
        </w:rPr>
        <w:t>Funtumia elastica</w:t>
      </w:r>
      <w:r>
        <w:rPr>
          <w:rFonts w:ascii="Times New Roman" w:hAnsi="Times New Roman" w:eastAsia="Microsoft YaHei UI Light" w:cs="Times New Roman"/>
          <w:sz w:val="24"/>
          <w:szCs w:val="24"/>
          <w:highlight w:val="none"/>
        </w:rPr>
        <w:t xml:space="preserve"> was obtained from the Botanical Garden, University of Ibadan, authentication was carried out at the Botany Department while the voucher number UIH-22465 was deposited at the herbarium. </w:t>
      </w:r>
      <w:r>
        <w:rPr>
          <w:rFonts w:ascii="Times New Roman" w:hAnsi="Times New Roman" w:eastAsia="Microsoft YaHei UI Light" w:cs="Times New Roman"/>
          <w:i/>
          <w:iCs/>
          <w:sz w:val="24"/>
          <w:szCs w:val="24"/>
          <w:highlight w:val="none"/>
        </w:rPr>
        <w:t>Funtumia elastic</w:t>
      </w:r>
      <w:r>
        <w:rPr>
          <w:rFonts w:hint="default" w:ascii="Times New Roman" w:hAnsi="Times New Roman" w:eastAsia="Microsoft YaHei UI Light" w:cs="Times New Roman"/>
          <w:i/>
          <w:iCs/>
          <w:sz w:val="24"/>
          <w:szCs w:val="24"/>
          <w:highlight w:val="none"/>
          <w:lang w:val="en-US"/>
        </w:rPr>
        <w:t>a</w:t>
      </w:r>
      <w:r>
        <w:rPr>
          <w:rFonts w:ascii="Times New Roman" w:hAnsi="Times New Roman" w:eastAsia="Microsoft YaHei UI Light" w:cs="Times New Roman"/>
          <w:i/>
          <w:iCs/>
          <w:sz w:val="24"/>
          <w:szCs w:val="24"/>
          <w:highlight w:val="none"/>
        </w:rPr>
        <w:t xml:space="preserve"> </w:t>
      </w:r>
      <w:r>
        <w:rPr>
          <w:rFonts w:ascii="Times New Roman" w:hAnsi="Times New Roman" w:eastAsia="Microsoft YaHei UI Light" w:cs="Times New Roman"/>
          <w:sz w:val="24"/>
          <w:szCs w:val="24"/>
          <w:highlight w:val="none"/>
        </w:rPr>
        <w:t xml:space="preserve">stem bark was peeled, air-dried, powdered using a blender and weighed. The dried bark powder (1000 g) was macerated in 2.5 liters of absolute methanol for 72 hours with constant shaking every 24 hours. The extract obtained was filtered and concentrated in a Rotary Pump at 40°C under pressure to obtain crude methanol extract of the stem bark of </w:t>
      </w:r>
      <w:r>
        <w:rPr>
          <w:rFonts w:ascii="Times New Roman" w:hAnsi="Times New Roman" w:eastAsia="Microsoft YaHei UI Light" w:cs="Times New Roman"/>
          <w:i/>
          <w:sz w:val="24"/>
          <w:szCs w:val="24"/>
          <w:highlight w:val="none"/>
        </w:rPr>
        <w:t>Funtumia elastica.</w:t>
      </w:r>
      <w:r>
        <w:rPr>
          <w:rFonts w:ascii="Times New Roman" w:hAnsi="Times New Roman" w:eastAsia="Microsoft YaHei UI Light" w:cs="Times New Roman"/>
          <w:sz w:val="24"/>
          <w:szCs w:val="24"/>
          <w:highlight w:val="none"/>
        </w:rPr>
        <w:t xml:space="preserve"> This was further subjected to mild heating on water bath at 40 ºC to obtain a solvent-free extract (CMFE), partitioned between n-hexane, chloroform, ethylacetate and methanol using vacuum liquid chromatography technique and concentrated to dryness to obtain solvent-free n-hexane (HFFE), chloroform (CFFE), ethylacetate (EAFE) and the methanol (MFFE) fractions.</w:t>
      </w:r>
    </w:p>
    <w:p w14:paraId="7A0DD3CB">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2.3 Ethical approval and experimental animal care</w:t>
      </w:r>
    </w:p>
    <w:p w14:paraId="7F82FB92">
      <w:pPr>
        <w:spacing w:line="480" w:lineRule="auto"/>
        <w:jc w:val="both"/>
        <w:rPr>
          <w:rFonts w:ascii="Times New Roman" w:hAnsi="Times New Roman" w:eastAsia="Microsoft YaHei UI Light" w:cs="Times New Roman"/>
          <w:sz w:val="24"/>
          <w:szCs w:val="24"/>
          <w:highlight w:val="none"/>
        </w:rPr>
      </w:pPr>
      <w:r>
        <w:rPr>
          <w:rFonts w:ascii="Times New Roman" w:hAnsi="Times New Roman" w:eastAsia="Microsoft YaHei UI Light" w:cs="Times New Roman"/>
          <w:sz w:val="24"/>
          <w:szCs w:val="24"/>
          <w:highlight w:val="none"/>
        </w:rPr>
        <w:t xml:space="preserve">The animals used were cared for according to all relevant National regulations and institutional policies on animal care were adhered to. The study was approved by the Animal Care Use and Research Ethics Committee (ACUREC), University of Ibadan, Ibadan, Nigeria, and assigned the certificate number UI–ACUREC⁄038-0521/11. </w:t>
      </w:r>
    </w:p>
    <w:p w14:paraId="5EF9F9E9">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2.4 Experimental Animals</w:t>
      </w:r>
    </w:p>
    <w:p w14:paraId="36F552CF">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sz w:val="24"/>
          <w:szCs w:val="24"/>
          <w:highlight w:val="none"/>
        </w:rPr>
        <w:t xml:space="preserve">Two sets of male Wistar rats weighing between 100g–120g were acclimatized and kept in standard cages with free access to rat chow and water.  </w:t>
      </w:r>
      <w:r>
        <w:rPr>
          <w:rFonts w:ascii="Times New Roman" w:hAnsi="Times New Roman" w:eastAsia="Microsoft YaHei UI Light"/>
          <w:sz w:val="24"/>
          <w:szCs w:val="24"/>
          <w:highlight w:val="none"/>
        </w:rPr>
        <w:t xml:space="preserve">All the experiments have been performed in accordance with the ethical standards laid down in the 1964 Declaration of Helsinki. </w:t>
      </w:r>
    </w:p>
    <w:p w14:paraId="7C76B001">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2.4.1. First set</w:t>
      </w:r>
    </w:p>
    <w:p w14:paraId="704B0A46">
      <w:pPr>
        <w:spacing w:line="480" w:lineRule="auto"/>
        <w:jc w:val="both"/>
        <w:rPr>
          <w:rFonts w:ascii="Times New Roman" w:hAnsi="Times New Roman" w:eastAsia="Microsoft YaHei UI Light" w:cs="Times New Roman"/>
          <w:sz w:val="24"/>
          <w:szCs w:val="24"/>
          <w:highlight w:val="none"/>
        </w:rPr>
      </w:pPr>
      <w:r>
        <w:rPr>
          <w:rFonts w:ascii="Times New Roman" w:hAnsi="Times New Roman" w:eastAsia="Microsoft YaHei UI Light" w:cs="Times New Roman"/>
          <w:sz w:val="24"/>
          <w:szCs w:val="24"/>
          <w:highlight w:val="none"/>
        </w:rPr>
        <w:t>Twenty albino male rats were randomly and equally assigned into four groups. Group 1 received corn oil (10 ml/kg) while groups 2, 3 and 4 were treated with 200 mg/kg CMFE, CFFE, EAFE and MFFE, respectively. The dose was chosen based on literature search and pilot study. The animals were sacrificed after 28 days of oral treatment. The mPT assay was carried out to determine the potencies of the fractions.</w:t>
      </w:r>
    </w:p>
    <w:p w14:paraId="09D61FA3">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2.4.2. Second set</w:t>
      </w:r>
    </w:p>
    <w:p w14:paraId="76885B98">
      <w:pPr>
        <w:spacing w:line="480" w:lineRule="auto"/>
        <w:jc w:val="both"/>
        <w:rPr>
          <w:rFonts w:ascii="Times New Roman" w:hAnsi="Times New Roman" w:eastAsia="Microsoft YaHei UI Light" w:cs="Times New Roman"/>
          <w:sz w:val="24"/>
          <w:szCs w:val="24"/>
          <w:highlight w:val="none"/>
        </w:rPr>
      </w:pPr>
      <w:r>
        <w:rPr>
          <w:rFonts w:hint="default" w:ascii="Times New Roman" w:hAnsi="Times New Roman" w:eastAsia="Microsoft YaHei UI Light"/>
          <w:sz w:val="24"/>
          <w:szCs w:val="24"/>
          <w:highlight w:val="none"/>
          <w:lang w:val="en-US"/>
        </w:rPr>
        <w:t>B</w:t>
      </w:r>
      <w:r>
        <w:rPr>
          <w:rFonts w:hint="default" w:ascii="Times New Roman" w:hAnsi="Times New Roman" w:eastAsia="Microsoft YaHei UI Light"/>
          <w:sz w:val="24"/>
          <w:szCs w:val="24"/>
          <w:highlight w:val="none"/>
        </w:rPr>
        <w:t xml:space="preserve">ased on the results from the first set, </w:t>
      </w:r>
      <w:r>
        <w:rPr>
          <w:rFonts w:hint="default" w:ascii="Times New Roman" w:hAnsi="Times New Roman" w:eastAsia="Microsoft YaHei UI Light"/>
          <w:sz w:val="24"/>
          <w:szCs w:val="24"/>
          <w:highlight w:val="none"/>
          <w:lang w:val="en-US"/>
        </w:rPr>
        <w:t>fraction</w:t>
      </w:r>
      <w:r>
        <w:rPr>
          <w:rFonts w:hint="default" w:ascii="Times New Roman" w:hAnsi="Times New Roman" w:eastAsia="Microsoft YaHei UI Light"/>
          <w:sz w:val="24"/>
          <w:szCs w:val="24"/>
          <w:highlight w:val="none"/>
        </w:rPr>
        <w:t xml:space="preserve"> CFFE, </w:t>
      </w:r>
      <w:r>
        <w:rPr>
          <w:rFonts w:hint="default" w:ascii="Times New Roman" w:hAnsi="Times New Roman" w:eastAsia="Microsoft YaHei UI Light"/>
          <w:sz w:val="24"/>
          <w:szCs w:val="24"/>
          <w:highlight w:val="none"/>
          <w:lang w:val="en-US"/>
        </w:rPr>
        <w:t xml:space="preserve">which </w:t>
      </w:r>
      <w:r>
        <w:rPr>
          <w:rFonts w:hint="default" w:ascii="Times New Roman" w:hAnsi="Times New Roman" w:eastAsia="Microsoft YaHei UI Light"/>
          <w:sz w:val="24"/>
          <w:szCs w:val="24"/>
          <w:highlight w:val="none"/>
        </w:rPr>
        <w:t>exhibit</w:t>
      </w:r>
      <w:r>
        <w:rPr>
          <w:rFonts w:hint="default" w:ascii="Times New Roman" w:hAnsi="Times New Roman" w:eastAsia="Microsoft YaHei UI Light"/>
          <w:sz w:val="24"/>
          <w:szCs w:val="24"/>
          <w:highlight w:val="none"/>
          <w:lang w:val="en-US"/>
        </w:rPr>
        <w:t>ed</w:t>
      </w:r>
      <w:r>
        <w:rPr>
          <w:rFonts w:hint="default" w:ascii="Times New Roman" w:hAnsi="Times New Roman" w:eastAsia="Microsoft YaHei UI Light"/>
          <w:sz w:val="24"/>
          <w:szCs w:val="24"/>
          <w:highlight w:val="none"/>
        </w:rPr>
        <w:t xml:space="preserve"> the highest </w:t>
      </w:r>
      <w:r>
        <w:rPr>
          <w:rFonts w:hint="default" w:ascii="Times New Roman" w:hAnsi="Times New Roman" w:eastAsia="Microsoft YaHei UI Light"/>
          <w:sz w:val="24"/>
          <w:szCs w:val="24"/>
          <w:highlight w:val="none"/>
          <w:lang w:val="en-US"/>
        </w:rPr>
        <w:t>potency</w:t>
      </w:r>
      <w:r>
        <w:rPr>
          <w:rFonts w:hint="default" w:ascii="Times New Roman" w:hAnsi="Times New Roman" w:eastAsia="Microsoft YaHei UI Light"/>
          <w:sz w:val="24"/>
          <w:szCs w:val="24"/>
          <w:highlight w:val="none"/>
        </w:rPr>
        <w:t xml:space="preserve"> was selected for use in the second set.</w:t>
      </w:r>
      <w:r>
        <w:rPr>
          <w:rFonts w:hint="default" w:ascii="Times New Roman" w:hAnsi="Times New Roman" w:eastAsia="Microsoft YaHei UI Light"/>
          <w:sz w:val="24"/>
          <w:szCs w:val="24"/>
          <w:highlight w:val="none"/>
          <w:lang w:val="en-US"/>
        </w:rPr>
        <w:t xml:space="preserve"> </w:t>
      </w:r>
      <w:r>
        <w:rPr>
          <w:rFonts w:ascii="Times New Roman" w:hAnsi="Times New Roman" w:eastAsia="Microsoft YaHei UI Light" w:cs="Times New Roman"/>
          <w:sz w:val="24"/>
          <w:szCs w:val="24"/>
          <w:highlight w:val="none"/>
        </w:rPr>
        <w:t>Twenty albino male rats were equally assigned into four groups. Group 1 received corn oil</w:t>
      </w:r>
      <w:r>
        <w:rPr>
          <w:rFonts w:hint="default" w:ascii="Times New Roman" w:hAnsi="Times New Roman" w:eastAsia="Microsoft YaHei UI Light" w:cs="Times New Roman"/>
          <w:sz w:val="24"/>
          <w:szCs w:val="24"/>
          <w:highlight w:val="none"/>
          <w:lang w:val="en-US"/>
        </w:rPr>
        <w:t xml:space="preserve"> </w:t>
      </w:r>
      <w:r>
        <w:rPr>
          <w:rFonts w:ascii="Times New Roman" w:hAnsi="Times New Roman" w:eastAsia="Microsoft YaHei UI Light" w:cs="Times New Roman"/>
          <w:sz w:val="24"/>
          <w:szCs w:val="24"/>
          <w:highlight w:val="none"/>
        </w:rPr>
        <w:t>(10 ml/kg)</w:t>
      </w:r>
      <w:r>
        <w:rPr>
          <w:rFonts w:ascii="Times New Roman" w:hAnsi="Times New Roman" w:eastAsia="Microsoft YaHei UI Light" w:cs="Times New Roman"/>
          <w:sz w:val="24"/>
          <w:szCs w:val="24"/>
          <w:highlight w:val="none"/>
        </w:rPr>
        <w:t>, while groups 2, 3 and 4 were treated with 50, 100 and 200 mg/kg CFFE, respectively. The rats were sacrificed after 28 days of oral treatment. Histological assessment of the liver were carried out.</w:t>
      </w:r>
    </w:p>
    <w:p w14:paraId="682EDCF0">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 xml:space="preserve">2.5 Tissue preparation for histopathology </w:t>
      </w:r>
    </w:p>
    <w:p w14:paraId="68DED3CD">
      <w:pPr>
        <w:spacing w:line="480" w:lineRule="auto"/>
        <w:jc w:val="both"/>
        <w:rPr>
          <w:rFonts w:ascii="Times New Roman" w:hAnsi="Times New Roman" w:eastAsia="Microsoft YaHei UI Light" w:cs="Times New Roman"/>
          <w:sz w:val="24"/>
          <w:szCs w:val="24"/>
          <w:highlight w:val="none"/>
        </w:rPr>
      </w:pPr>
      <w:r>
        <w:rPr>
          <w:rFonts w:ascii="Times New Roman" w:hAnsi="Times New Roman" w:eastAsia="Microsoft YaHei UI Light" w:cs="Times New Roman"/>
          <w:sz w:val="24"/>
          <w:szCs w:val="24"/>
          <w:highlight w:val="none"/>
        </w:rPr>
        <w:t>Liver was used for histopathology. Ultra-thin sections were stained with Hematoxylin and eosin (H&amp;E) for histological examinations. The histological pictures were taken using an Olympus microscope, Japan.</w:t>
      </w:r>
    </w:p>
    <w:p w14:paraId="47705FE6">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2.6  Isolation of rat liver mitochondria</w:t>
      </w:r>
    </w:p>
    <w:p w14:paraId="3D1BE122">
      <w:pPr>
        <w:keepNext w:val="0"/>
        <w:keepLines w:val="0"/>
        <w:widowControl/>
        <w:suppressLineNumbers w:val="0"/>
        <w:spacing w:line="480" w:lineRule="auto"/>
        <w:jc w:val="both"/>
        <w:rPr>
          <w:rFonts w:hint="default" w:ascii="Times New Roman" w:hAnsi="Times New Roman" w:eastAsia="Microsoft YaHei UI Light" w:cs="Times New Roman"/>
          <w:sz w:val="24"/>
          <w:szCs w:val="24"/>
          <w:highlight w:val="none"/>
        </w:rPr>
      </w:pPr>
      <w:r>
        <w:rPr>
          <w:rFonts w:hint="default" w:ascii="Times New Roman" w:hAnsi="Times New Roman" w:eastAsia="Microsoft YaHei UI Light" w:cs="Times New Roman"/>
          <w:sz w:val="24"/>
          <w:szCs w:val="24"/>
          <w:highlight w:val="none"/>
        </w:rPr>
        <w:t>The isolation was carried out as described by Johnson and Lardy [15], with little modification by Olorunsogo et al. [16]</w:t>
      </w:r>
      <w:r>
        <w:rPr>
          <w:rFonts w:hint="default" w:ascii="Times New Roman" w:hAnsi="Times New Roman" w:eastAsia="SimSun" w:cs="Times New Roman"/>
          <w:color w:val="000000"/>
          <w:kern w:val="0"/>
          <w:sz w:val="24"/>
          <w:szCs w:val="24"/>
          <w:highlight w:val="none"/>
          <w:lang w:val="en-US" w:eastAsia="zh-CN" w:bidi="ar"/>
        </w:rPr>
        <w:t xml:space="preserve">. </w:t>
      </w:r>
      <w:r>
        <w:rPr>
          <w:rFonts w:hint="default" w:ascii="Times New Roman" w:hAnsi="Times New Roman" w:eastAsia="SimSun" w:cs="Times New Roman"/>
          <w:color w:val="000000"/>
          <w:kern w:val="0"/>
          <w:sz w:val="24"/>
          <w:szCs w:val="24"/>
          <w:highlight w:val="none"/>
          <w:lang w:val="en-US" w:eastAsia="zh-CN" w:bidi="ar"/>
        </w:rPr>
        <w:t xml:space="preserve">The animals were sacrificed by  cervical dislocation and the livers excised and trimmed to  wash excess tissue. The livers were then weighed, washed with  homogenising buffer (210mM Mannitol, 70mM Sucrose,  5mM HEPES-KOH, pH 7.4 and 1mM EGTA), and  homogenised as a 10% suspension in ice –cold buffer using a  Porter Elvehjem glass homogeniser. The resulting  homogenate was centrifuged in an MSE refrigerated  centrifuge at 2300 rpm for 5 mins to remove the nuclear debris.  This was done twice and the supernatant obtained was  centrifuged at 13,000 rpm for 10 mins to obtain the  mitochondrial pellet. The supernatant was discarded while the  pellet was washed twice with the washing buffer  (210mMMannitol, 70mM sucrose, 5mM HEPES-KOH, pH  7.4, 0.5% BSA) at 12,000 rpm for 10 mins. The mitochondria  obtained were immediately resuspended in an appropriate  volume of MSH buffer (210mM Mannitol,70mM sucrose,  5mM HEPES-KOH, pH 7.4), and immediately dispensed into  eppendorf tubes and kept on ice.  </w:t>
      </w:r>
      <w:r>
        <w:rPr>
          <w:rFonts w:hint="default" w:ascii="Times New Roman" w:hAnsi="Times New Roman" w:eastAsia="Microsoft YaHei UI Light" w:cs="Times New Roman"/>
          <w:sz w:val="24"/>
          <w:szCs w:val="24"/>
          <w:highlight w:val="none"/>
        </w:rPr>
        <w:t xml:space="preserve">All experiments with isolated mitochondria were performed within 4hr of the preparation. </w:t>
      </w:r>
    </w:p>
    <w:p w14:paraId="7198A260">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 xml:space="preserve">2.7  Mitochondrial swelling assay </w:t>
      </w:r>
    </w:p>
    <w:p w14:paraId="079A3297">
      <w:pPr>
        <w:keepNext w:val="0"/>
        <w:keepLines w:val="0"/>
        <w:widowControl/>
        <w:suppressLineNumbers w:val="0"/>
        <w:spacing w:line="480" w:lineRule="auto"/>
        <w:jc w:val="both"/>
        <w:rPr>
          <w:rFonts w:hint="default" w:ascii="Times New Roman" w:hAnsi="Times New Roman" w:eastAsia="Microsoft YaHei UI Light" w:cs="Times New Roman"/>
          <w:b/>
          <w:sz w:val="24"/>
          <w:szCs w:val="24"/>
          <w:highlight w:val="none"/>
          <w:lang w:val="en-US"/>
        </w:rPr>
      </w:pPr>
      <w:r>
        <w:rPr>
          <w:rFonts w:ascii="Times New Roman" w:hAnsi="Times New Roman" w:eastAsia="Microsoft YaHei UI Light" w:cs="Times New Roman"/>
          <w:sz w:val="24"/>
          <w:szCs w:val="24"/>
          <w:highlight w:val="none"/>
        </w:rPr>
        <w:t>Mitochondrial Permeability Transition (mPT) was monitored following the method of Lapidus</w:t>
      </w:r>
      <w:r>
        <w:rPr>
          <w:rFonts w:hint="default" w:ascii="Times New Roman" w:hAnsi="Times New Roman" w:eastAsia="Microsoft YaHei UI Light" w:cs="Times New Roman"/>
          <w:sz w:val="24"/>
          <w:szCs w:val="24"/>
          <w:highlight w:val="none"/>
          <w:lang w:val="en-US"/>
        </w:rPr>
        <w:t xml:space="preserve"> </w:t>
      </w:r>
      <w:r>
        <w:rPr>
          <w:rFonts w:ascii="Times New Roman" w:hAnsi="Times New Roman" w:eastAsia="Microsoft YaHei UI Light" w:cs="Times New Roman"/>
          <w:sz w:val="24"/>
          <w:szCs w:val="24"/>
          <w:highlight w:val="none"/>
        </w:rPr>
        <w:t xml:space="preserve">and Sokole, [17]. </w:t>
      </w:r>
      <w:r>
        <w:rPr>
          <w:rFonts w:hint="default" w:ascii="Times New Roman" w:hAnsi="Times New Roman" w:eastAsia="SimSun" w:cs="Times New Roman"/>
          <w:color w:val="000000"/>
          <w:kern w:val="0"/>
          <w:sz w:val="24"/>
          <w:szCs w:val="24"/>
          <w:highlight w:val="none"/>
          <w:lang w:val="en-US" w:eastAsia="zh-CN" w:bidi="ar"/>
        </w:rPr>
        <w:t>Mitochondrial membrane permeability transition was  monitored by measuring changes in absorbance of  mitochondrial suspension in the presence or absence of  calcium (the triggering agent) in aT70 UV/visible  spectrophotometer essentially according to the method of  Lapidus and Sokolove (1993). Mitochondria (0.4mg  protein/ml) were preincubated in the presence of 0.8µM  rotenone in a medium containing 210mM mannitol, 70mM  sucrose and 5mM HEPES-KOH (pH 7.4) for 3mins at 27</w:t>
      </w:r>
      <w:r>
        <w:rPr>
          <w:rFonts w:hint="default" w:ascii="Times New Roman" w:hAnsi="Times New Roman" w:eastAsia="SimSun" w:cs="Times New Roman"/>
          <w:color w:val="000000"/>
          <w:kern w:val="0"/>
          <w:sz w:val="24"/>
          <w:szCs w:val="24"/>
          <w:highlight w:val="none"/>
          <w:vertAlign w:val="superscript"/>
          <w:lang w:val="en-US" w:eastAsia="zh-CN" w:bidi="ar"/>
        </w:rPr>
        <w:t>0</w:t>
      </w:r>
      <w:r>
        <w:rPr>
          <w:rFonts w:hint="default" w:ascii="Times New Roman" w:hAnsi="Times New Roman" w:eastAsia="SimSun" w:cs="Times New Roman"/>
          <w:color w:val="000000"/>
          <w:kern w:val="0"/>
          <w:sz w:val="24"/>
          <w:szCs w:val="24"/>
          <w:highlight w:val="none"/>
          <w:lang w:val="en-US" w:eastAsia="zh-CN" w:bidi="ar"/>
        </w:rPr>
        <w:t>C  prior to the addition of 120µM CaCl</w:t>
      </w:r>
      <w:r>
        <w:rPr>
          <w:rFonts w:hint="default" w:ascii="Times New Roman" w:hAnsi="Times New Roman" w:eastAsia="SimSun" w:cs="Times New Roman"/>
          <w:color w:val="000000"/>
          <w:kern w:val="0"/>
          <w:sz w:val="24"/>
          <w:szCs w:val="24"/>
          <w:highlight w:val="none"/>
          <w:vertAlign w:val="subscript"/>
          <w:lang w:val="en-US" w:eastAsia="zh-CN" w:bidi="ar"/>
        </w:rPr>
        <w:t>2</w:t>
      </w:r>
      <w:r>
        <w:rPr>
          <w:rFonts w:hint="default" w:ascii="Times New Roman" w:hAnsi="Times New Roman" w:eastAsia="SimSun" w:cs="Times New Roman"/>
          <w:color w:val="000000"/>
          <w:kern w:val="0"/>
          <w:sz w:val="24"/>
          <w:szCs w:val="24"/>
          <w:highlight w:val="none"/>
          <w:lang w:val="en-US" w:eastAsia="zh-CN" w:bidi="ar"/>
        </w:rPr>
        <w:t xml:space="preserve">. Thirty seconds later,  5mM succinate was added and mitochondrial permeability  transition quantified at 540nm for 12mins at 30secs interval.  To test the intactness of the mitochondria, 4mM spermine was  added immediately following the addition of rotenone and just  before the addition of mitochondrial fraction </w:t>
      </w:r>
    </w:p>
    <w:p w14:paraId="41938C1E">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2.8  Determination of mitochondrial protein</w:t>
      </w:r>
    </w:p>
    <w:p w14:paraId="54733CC1">
      <w:pPr>
        <w:spacing w:line="480" w:lineRule="auto"/>
        <w:jc w:val="both"/>
        <w:rPr>
          <w:rFonts w:ascii="Times New Roman" w:hAnsi="Times New Roman" w:eastAsia="Microsoft YaHei UI Light" w:cs="Times New Roman"/>
          <w:sz w:val="24"/>
          <w:szCs w:val="24"/>
          <w:highlight w:val="none"/>
        </w:rPr>
      </w:pPr>
      <w:r>
        <w:rPr>
          <w:rFonts w:ascii="Times New Roman" w:hAnsi="Times New Roman" w:eastAsia="Microsoft YaHei UI Light" w:cs="Times New Roman"/>
          <w:sz w:val="24"/>
          <w:szCs w:val="24"/>
          <w:highlight w:val="none"/>
        </w:rPr>
        <w:t>This was determined according to the method of Lowry et al. [18], using bovine serum albumin as standard.</w:t>
      </w:r>
    </w:p>
    <w:p w14:paraId="63EE9A7E">
      <w:pPr>
        <w:spacing w:line="480" w:lineRule="auto"/>
        <w:jc w:val="both"/>
        <w:rPr>
          <w:rFonts w:ascii="Times New Roman" w:hAnsi="Times New Roman" w:eastAsia="Microsoft YaHei UI Light" w:cs="Times New Roman"/>
          <w:b/>
          <w:sz w:val="24"/>
          <w:szCs w:val="24"/>
          <w:highlight w:val="none"/>
        </w:rPr>
      </w:pPr>
      <w:r>
        <w:rPr>
          <w:rFonts w:ascii="Times New Roman" w:hAnsi="Times New Roman" w:eastAsia="Microsoft YaHei UI Light" w:cs="Times New Roman"/>
          <w:b/>
          <w:sz w:val="24"/>
          <w:szCs w:val="24"/>
          <w:highlight w:val="none"/>
        </w:rPr>
        <w:t>2.9  Assessment of mitochondrial F</w:t>
      </w:r>
      <w:r>
        <w:rPr>
          <w:rFonts w:hint="default" w:ascii="Times New Roman" w:hAnsi="Times New Roman" w:eastAsia="Microsoft YaHei UI Light" w:cs="Times New Roman"/>
          <w:b/>
          <w:sz w:val="24"/>
          <w:szCs w:val="24"/>
          <w:highlight w:val="none"/>
          <w:vertAlign w:val="subscript"/>
          <w:lang w:val="en-US"/>
        </w:rPr>
        <w:t>0</w:t>
      </w:r>
      <w:r>
        <w:rPr>
          <w:rFonts w:ascii="Times New Roman" w:hAnsi="Times New Roman" w:eastAsia="Microsoft YaHei UI Light" w:cs="Times New Roman"/>
          <w:b/>
          <w:sz w:val="24"/>
          <w:szCs w:val="24"/>
          <w:highlight w:val="none"/>
        </w:rPr>
        <w:t>F</w:t>
      </w:r>
      <w:r>
        <w:rPr>
          <w:rFonts w:ascii="Times New Roman" w:hAnsi="Times New Roman" w:eastAsia="Microsoft YaHei UI Light" w:cs="Times New Roman"/>
          <w:b/>
          <w:sz w:val="24"/>
          <w:szCs w:val="24"/>
          <w:highlight w:val="none"/>
          <w:vertAlign w:val="subscript"/>
        </w:rPr>
        <w:t>1</w:t>
      </w:r>
      <w:r>
        <w:rPr>
          <w:rFonts w:ascii="Times New Roman" w:hAnsi="Times New Roman" w:eastAsia="Microsoft YaHei UI Light" w:cs="Times New Roman"/>
          <w:b/>
          <w:sz w:val="24"/>
          <w:szCs w:val="24"/>
          <w:highlight w:val="none"/>
        </w:rPr>
        <w:t xml:space="preserve"> ATPase activity </w:t>
      </w:r>
    </w:p>
    <w:p w14:paraId="53A9C092">
      <w:pPr>
        <w:spacing w:line="480" w:lineRule="auto"/>
        <w:rPr>
          <w:rFonts w:ascii="Times New Roman" w:hAnsi="Times New Roman" w:eastAsia="Microsoft YaHei UI Light" w:cs="Times New Roman"/>
          <w:sz w:val="24"/>
          <w:szCs w:val="24"/>
          <w:highlight w:val="none"/>
        </w:rPr>
      </w:pPr>
      <w:r>
        <w:rPr>
          <w:rFonts w:ascii="Times New Roman" w:hAnsi="Times New Roman" w:eastAsia="Microsoft YaHei UI Light" w:cs="Times New Roman"/>
          <w:sz w:val="24"/>
          <w:szCs w:val="24"/>
          <w:highlight w:val="none"/>
        </w:rPr>
        <w:t>The F</w:t>
      </w:r>
      <w:r>
        <w:rPr>
          <w:rFonts w:ascii="Times New Roman" w:hAnsi="Times New Roman" w:eastAsia="Microsoft YaHei UI Light" w:cs="Times New Roman"/>
          <w:sz w:val="24"/>
          <w:szCs w:val="24"/>
          <w:highlight w:val="none"/>
          <w:vertAlign w:val="subscript"/>
        </w:rPr>
        <w:t>0</w:t>
      </w:r>
      <w:r>
        <w:rPr>
          <w:rFonts w:ascii="Times New Roman" w:hAnsi="Times New Roman" w:eastAsia="Microsoft YaHei UI Light" w:cs="Times New Roman"/>
          <w:sz w:val="24"/>
          <w:szCs w:val="24"/>
          <w:highlight w:val="none"/>
        </w:rPr>
        <w:t>F</w:t>
      </w:r>
      <w:r>
        <w:rPr>
          <w:rFonts w:ascii="Times New Roman" w:hAnsi="Times New Roman" w:eastAsia="Microsoft YaHei UI Light" w:cs="Times New Roman"/>
          <w:sz w:val="24"/>
          <w:szCs w:val="24"/>
          <w:highlight w:val="none"/>
          <w:vertAlign w:val="subscript"/>
        </w:rPr>
        <w:t>1</w:t>
      </w:r>
      <w:r>
        <w:rPr>
          <w:rFonts w:ascii="Times New Roman" w:hAnsi="Times New Roman" w:eastAsia="Microsoft YaHei UI Light" w:cs="Times New Roman"/>
          <w:sz w:val="24"/>
          <w:szCs w:val="24"/>
          <w:highlight w:val="none"/>
        </w:rPr>
        <w:t xml:space="preserve"> Adenosine triphosphatase was carried out by a modification of the method of Olorunsogo and Malomo [19], using 2, 4 Dinitrophenol (2,4 DNP) as a standard uncoupling</w:t>
      </w:r>
      <w:r>
        <w:rPr>
          <w:rFonts w:hint="default" w:ascii="Times New Roman" w:hAnsi="Times New Roman" w:eastAsia="Microsoft YaHei UI Light" w:cs="Times New Roman"/>
          <w:sz w:val="24"/>
          <w:szCs w:val="24"/>
          <w:highlight w:val="none"/>
          <w:lang w:val="en-US"/>
        </w:rPr>
        <w:t xml:space="preserve"> </w:t>
      </w:r>
      <w:r>
        <w:rPr>
          <w:rFonts w:ascii="Times New Roman" w:hAnsi="Times New Roman" w:eastAsia="Microsoft YaHei UI Light" w:cs="Times New Roman"/>
          <w:sz w:val="24"/>
          <w:szCs w:val="24"/>
          <w:highlight w:val="none"/>
        </w:rPr>
        <w:t>agent.</w:t>
      </w:r>
      <w:r>
        <w:rPr>
          <w:rFonts w:hint="default" w:ascii="Times New Roman" w:hAnsi="Times New Roman" w:eastAsia="Microsoft YaHei UI Light"/>
          <w:sz w:val="24"/>
          <w:szCs w:val="24"/>
          <w:highlight w:val="none"/>
        </w:rPr>
        <w:t xml:space="preserve"> </w:t>
      </w:r>
      <w:r>
        <w:rPr>
          <w:rFonts w:hint="default" w:ascii="Times New Roman" w:hAnsi="Times New Roman" w:eastAsia="Microsoft YaHei UI Light"/>
          <w:sz w:val="24"/>
          <w:szCs w:val="24"/>
          <w:highlight w:val="none"/>
        </w:rPr>
        <w:t xml:space="preserve">Each reaction mixture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contained 65mM Tris-HCl buffer pH 7.4, 0.5Mm KCl 1Mm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ATP and 25Mm sucrose. The reaction mixture was made up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to a total volume of 2ml with distilled water. The reaction was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started by the addition of mitochondrial suspension and was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allowed to proceed for 30 mins at 27</w:t>
      </w:r>
      <w:r>
        <w:rPr>
          <w:rFonts w:hint="default" w:ascii="Times New Roman" w:hAnsi="Times New Roman" w:eastAsia="Microsoft YaHei UI Light"/>
          <w:sz w:val="24"/>
          <w:szCs w:val="24"/>
          <w:highlight w:val="none"/>
          <w:vertAlign w:val="superscript"/>
        </w:rPr>
        <w:t>0</w:t>
      </w:r>
      <w:r>
        <w:rPr>
          <w:rFonts w:hint="default" w:ascii="Times New Roman" w:hAnsi="Times New Roman" w:eastAsia="Microsoft YaHei UI Light"/>
          <w:sz w:val="24"/>
          <w:szCs w:val="24"/>
          <w:highlight w:val="none"/>
        </w:rPr>
        <w:t xml:space="preserve">C. The reaction was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stopped by the addition of 1 ml of a 10% solution of sodium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dodecyl sulphate. The zero time tube was prepared by adding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the solution of ATP to the reaction vessel following the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addition of sodium dodecyl sulphate. 2,4 Dinitrophenol (2,4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DNP) was used as a standard uncoupling agent.</w:t>
      </w:r>
    </w:p>
    <w:p w14:paraId="626EFFDE">
      <w:pPr>
        <w:spacing w:line="480" w:lineRule="auto"/>
        <w:jc w:val="both"/>
        <w:rPr>
          <w:rFonts w:ascii="Times New Roman" w:hAnsi="Times New Roman" w:eastAsia="Microsoft YaHei UI Light" w:cs="Times New Roman"/>
          <w:b/>
          <w:sz w:val="24"/>
          <w:szCs w:val="24"/>
          <w:highlight w:val="none"/>
        </w:rPr>
      </w:pPr>
    </w:p>
    <w:p w14:paraId="324D70FD">
      <w:pPr>
        <w:spacing w:line="480" w:lineRule="auto"/>
        <w:jc w:val="both"/>
        <w:rPr>
          <w:rFonts w:ascii="Times New Roman" w:hAnsi="Times New Roman" w:eastAsia="Microsoft YaHei UI Light" w:cs="Times New Roman"/>
          <w:sz w:val="24"/>
          <w:szCs w:val="24"/>
          <w:highlight w:val="none"/>
        </w:rPr>
      </w:pPr>
      <w:r>
        <w:rPr>
          <w:rFonts w:ascii="Times New Roman" w:hAnsi="Times New Roman" w:eastAsia="Microsoft YaHei UI Light" w:cs="Times New Roman"/>
          <w:b/>
          <w:sz w:val="24"/>
          <w:szCs w:val="24"/>
          <w:highlight w:val="none"/>
        </w:rPr>
        <w:t>2.10  Estimation of inorganic phosphate released</w:t>
      </w:r>
      <w:r>
        <w:rPr>
          <w:rFonts w:ascii="Times New Roman" w:hAnsi="Times New Roman" w:eastAsia="Microsoft YaHei UI Light" w:cs="Times New Roman"/>
          <w:sz w:val="24"/>
          <w:szCs w:val="24"/>
          <w:highlight w:val="none"/>
        </w:rPr>
        <w:t xml:space="preserve"> </w:t>
      </w:r>
    </w:p>
    <w:p w14:paraId="5FF46C7B">
      <w:pPr>
        <w:spacing w:line="480" w:lineRule="auto"/>
        <w:jc w:val="both"/>
        <w:rPr>
          <w:rFonts w:ascii="Times New Roman" w:hAnsi="Times New Roman" w:eastAsia="Microsoft YaHei UI Light" w:cs="Times New Roman"/>
          <w:sz w:val="24"/>
          <w:szCs w:val="24"/>
          <w:highlight w:val="none"/>
        </w:rPr>
      </w:pPr>
      <w:r>
        <w:rPr>
          <w:rFonts w:ascii="Times New Roman" w:hAnsi="Times New Roman" w:eastAsia="Microsoft YaHei UI Light" w:cs="Times New Roman"/>
          <w:sz w:val="24"/>
          <w:szCs w:val="24"/>
          <w:highlight w:val="none"/>
        </w:rPr>
        <w:t xml:space="preserve">The concentration of inorganic phosphate released following the hydrolysis of ATP was determined according to the method described by Bassir [20] and as modified by Olorunsogo and Malomo [19]. </w:t>
      </w:r>
      <w:r>
        <w:rPr>
          <w:rFonts w:hint="default" w:ascii="Times New Roman" w:hAnsi="Times New Roman" w:eastAsia="Microsoft YaHei UI Light"/>
          <w:sz w:val="24"/>
          <w:szCs w:val="24"/>
          <w:highlight w:val="none"/>
        </w:rPr>
        <w:t xml:space="preserve">300µl of each solution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was dispensed into fresh test tubes, followed by the addition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 xml:space="preserve">of 300µl of distilled water to each of the test tube. To this was </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added 1 ml of 5% ammonium molybdate and 1 ml of 9%</w:t>
      </w:r>
      <w:r>
        <w:rPr>
          <w:rFonts w:hint="default" w:ascii="Times New Roman" w:hAnsi="Times New Roman" w:eastAsia="Microsoft YaHei UI Light"/>
          <w:sz w:val="24"/>
          <w:szCs w:val="24"/>
          <w:highlight w:val="none"/>
          <w:lang w:val="en-US"/>
        </w:rPr>
        <w:t xml:space="preserve"> </w:t>
      </w:r>
      <w:r>
        <w:rPr>
          <w:rFonts w:hint="default" w:ascii="Times New Roman" w:hAnsi="Times New Roman" w:eastAsia="Microsoft YaHei UI Light"/>
          <w:sz w:val="24"/>
          <w:szCs w:val="24"/>
          <w:highlight w:val="none"/>
        </w:rPr>
        <w:t>freshly prepared solution of ascorbic acid. The tube was well mixed and allowed to stand for 20 minutes. The absorbance was read at 680nm.A water blank was used to set the spectrophotometer at zero.</w:t>
      </w:r>
    </w:p>
    <w:p w14:paraId="3EF28AF8">
      <w:pPr>
        <w:spacing w:after="100" w:line="360" w:lineRule="auto"/>
        <w:jc w:val="both"/>
        <w:rPr>
          <w:rFonts w:ascii="Times New Roman" w:hAnsi="Times New Roman" w:eastAsia="Times New Roman" w:cs="Times New Roman"/>
          <w:b/>
          <w:bCs/>
          <w:color w:val="000000"/>
          <w:kern w:val="2"/>
          <w:sz w:val="24"/>
          <w:szCs w:val="24"/>
          <w:highlight w:val="none"/>
        </w:rPr>
      </w:pPr>
      <w:r>
        <w:rPr>
          <w:rFonts w:ascii="Times New Roman" w:hAnsi="Times New Roman" w:eastAsia="Times New Roman" w:cs="Times New Roman"/>
          <w:b/>
          <w:bCs/>
          <w:color w:val="000000"/>
          <w:kern w:val="2"/>
          <w:sz w:val="24"/>
          <w:szCs w:val="24"/>
          <w:highlight w:val="none"/>
        </w:rPr>
        <w:t>2.11 Assessment of Lipid Peroxidation</w:t>
      </w:r>
    </w:p>
    <w:p w14:paraId="79CA0F3A">
      <w:pPr>
        <w:spacing w:after="100" w:line="480" w:lineRule="auto"/>
        <w:jc w:val="both"/>
        <w:rPr>
          <w:rFonts w:ascii="Times New Roman" w:hAnsi="Times New Roman" w:eastAsia="Times New Roman" w:cs="Times New Roman"/>
          <w:bCs/>
          <w:color w:val="000000"/>
          <w:kern w:val="2"/>
          <w:sz w:val="24"/>
          <w:szCs w:val="24"/>
          <w:highlight w:val="none"/>
        </w:rPr>
      </w:pPr>
      <w:r>
        <w:rPr>
          <w:rFonts w:hint="default" w:ascii="Times New Roman" w:hAnsi="Times New Roman" w:eastAsia="Times New Roman"/>
          <w:bCs/>
          <w:color w:val="000000"/>
          <w:kern w:val="2"/>
          <w:sz w:val="24"/>
          <w:szCs w:val="24"/>
          <w:highlight w:val="none"/>
          <w:lang w:val="en-US"/>
        </w:rPr>
        <w:t>M</w:t>
      </w:r>
      <w:r>
        <w:rPr>
          <w:rFonts w:hint="default" w:ascii="Times New Roman" w:hAnsi="Times New Roman" w:eastAsia="Times New Roman"/>
          <w:bCs/>
          <w:color w:val="000000"/>
          <w:kern w:val="2"/>
          <w:sz w:val="24"/>
          <w:szCs w:val="24"/>
          <w:highlight w:val="none"/>
        </w:rPr>
        <w:t xml:space="preserve">alondialdehyde (MDA) content in mitochondria was </w:t>
      </w:r>
      <w:r>
        <w:rPr>
          <w:rFonts w:hint="default" w:ascii="Times New Roman" w:hAnsi="Times New Roman" w:eastAsia="Times New Roman"/>
          <w:bCs/>
          <w:color w:val="000000"/>
          <w:kern w:val="2"/>
          <w:sz w:val="24"/>
          <w:szCs w:val="24"/>
          <w:highlight w:val="none"/>
          <w:lang w:val="en-US"/>
        </w:rPr>
        <w:t xml:space="preserve"> </w:t>
      </w:r>
      <w:r>
        <w:rPr>
          <w:rFonts w:hint="default" w:ascii="Times New Roman" w:hAnsi="Times New Roman" w:eastAsia="Times New Roman"/>
          <w:bCs/>
          <w:color w:val="000000"/>
          <w:kern w:val="2"/>
          <w:sz w:val="24"/>
          <w:szCs w:val="24"/>
          <w:highlight w:val="none"/>
        </w:rPr>
        <w:t xml:space="preserve">determined by measuring the formation of thiobarbituric acid </w:t>
      </w:r>
      <w:r>
        <w:rPr>
          <w:rFonts w:hint="default" w:ascii="Times New Roman" w:hAnsi="Times New Roman" w:eastAsia="Times New Roman"/>
          <w:bCs/>
          <w:color w:val="000000"/>
          <w:kern w:val="2"/>
          <w:sz w:val="24"/>
          <w:szCs w:val="24"/>
          <w:highlight w:val="none"/>
          <w:lang w:val="en-US"/>
        </w:rPr>
        <w:t xml:space="preserve"> </w:t>
      </w:r>
      <w:r>
        <w:rPr>
          <w:rFonts w:hint="default" w:ascii="Times New Roman" w:hAnsi="Times New Roman" w:eastAsia="Times New Roman"/>
          <w:bCs/>
          <w:color w:val="000000"/>
          <w:kern w:val="2"/>
          <w:sz w:val="24"/>
          <w:szCs w:val="24"/>
          <w:highlight w:val="none"/>
        </w:rPr>
        <w:t xml:space="preserve">reactive substances (TBARS) present in the mitochondria </w:t>
      </w:r>
      <w:r>
        <w:rPr>
          <w:rFonts w:hint="default" w:ascii="Times New Roman" w:hAnsi="Times New Roman" w:eastAsia="Times New Roman"/>
          <w:bCs/>
          <w:color w:val="000000"/>
          <w:kern w:val="2"/>
          <w:sz w:val="24"/>
          <w:szCs w:val="24"/>
          <w:highlight w:val="none"/>
          <w:lang w:val="en-US"/>
        </w:rPr>
        <w:t xml:space="preserve"> </w:t>
      </w:r>
      <w:r>
        <w:rPr>
          <w:rFonts w:hint="default" w:ascii="Times New Roman" w:hAnsi="Times New Roman" w:eastAsia="Times New Roman"/>
          <w:bCs/>
          <w:color w:val="000000"/>
          <w:kern w:val="2"/>
          <w:sz w:val="24"/>
          <w:szCs w:val="24"/>
          <w:highlight w:val="none"/>
        </w:rPr>
        <w:t>according to the method of Varshney and Kale,</w:t>
      </w:r>
      <w:r>
        <w:rPr>
          <w:rFonts w:hint="default" w:ascii="Times New Roman" w:hAnsi="Times New Roman" w:eastAsia="Times New Roman"/>
          <w:bCs/>
          <w:color w:val="000000"/>
          <w:kern w:val="2"/>
          <w:sz w:val="24"/>
          <w:szCs w:val="24"/>
          <w:highlight w:val="none"/>
          <w:lang w:val="en-US"/>
        </w:rPr>
        <w:t xml:space="preserve"> [21]</w:t>
      </w:r>
      <w:r>
        <w:rPr>
          <w:rFonts w:hint="default" w:ascii="Times New Roman" w:hAnsi="Times New Roman" w:eastAsia="Times New Roman"/>
          <w:bCs/>
          <w:color w:val="000000"/>
          <w:kern w:val="2"/>
          <w:sz w:val="24"/>
          <w:szCs w:val="24"/>
          <w:highlight w:val="none"/>
        </w:rPr>
        <w:t xml:space="preserve">. The </w:t>
      </w:r>
      <w:r>
        <w:rPr>
          <w:rFonts w:hint="default" w:ascii="Times New Roman" w:hAnsi="Times New Roman" w:eastAsia="Times New Roman"/>
          <w:bCs/>
          <w:color w:val="000000"/>
          <w:kern w:val="2"/>
          <w:sz w:val="24"/>
          <w:szCs w:val="24"/>
          <w:highlight w:val="none"/>
          <w:lang w:val="en-US"/>
        </w:rPr>
        <w:t xml:space="preserve"> </w:t>
      </w:r>
      <w:r>
        <w:rPr>
          <w:rFonts w:hint="default" w:ascii="Times New Roman" w:hAnsi="Times New Roman" w:eastAsia="Times New Roman"/>
          <w:bCs/>
          <w:color w:val="000000"/>
          <w:kern w:val="2"/>
          <w:sz w:val="24"/>
          <w:szCs w:val="24"/>
          <w:highlight w:val="none"/>
        </w:rPr>
        <w:t xml:space="preserve">rat liver mitochondria (0.5 mg protein/ml) were incubated </w:t>
      </w:r>
      <w:r>
        <w:rPr>
          <w:rFonts w:hint="default" w:ascii="Times New Roman" w:hAnsi="Times New Roman" w:eastAsia="Times New Roman"/>
          <w:bCs/>
          <w:color w:val="000000"/>
          <w:kern w:val="2"/>
          <w:sz w:val="24"/>
          <w:szCs w:val="24"/>
          <w:highlight w:val="none"/>
          <w:lang w:val="en-US"/>
        </w:rPr>
        <w:t xml:space="preserve"> </w:t>
      </w:r>
      <w:r>
        <w:rPr>
          <w:rFonts w:hint="default" w:ascii="Times New Roman" w:hAnsi="Times New Roman" w:eastAsia="Times New Roman"/>
          <w:bCs/>
          <w:color w:val="000000"/>
          <w:kern w:val="2"/>
          <w:sz w:val="24"/>
          <w:szCs w:val="24"/>
          <w:highlight w:val="none"/>
        </w:rPr>
        <w:t xml:space="preserve">with 1.6ml of Tris- KCL buffer to which 0.5ml of 30% TCA </w:t>
      </w:r>
      <w:r>
        <w:rPr>
          <w:rFonts w:hint="default" w:ascii="Times New Roman" w:hAnsi="Times New Roman" w:eastAsia="Times New Roman"/>
          <w:bCs/>
          <w:color w:val="000000"/>
          <w:kern w:val="2"/>
          <w:sz w:val="24"/>
          <w:szCs w:val="24"/>
          <w:highlight w:val="none"/>
          <w:lang w:val="en-US"/>
        </w:rPr>
        <w:t xml:space="preserve"> </w:t>
      </w:r>
      <w:r>
        <w:rPr>
          <w:rFonts w:hint="default" w:ascii="Times New Roman" w:hAnsi="Times New Roman" w:eastAsia="Times New Roman"/>
          <w:bCs/>
          <w:color w:val="000000"/>
          <w:kern w:val="2"/>
          <w:sz w:val="24"/>
          <w:szCs w:val="24"/>
          <w:highlight w:val="none"/>
        </w:rPr>
        <w:t xml:space="preserve">was added. Then 0.5ml of 0.75% TBA was added and placed </w:t>
      </w:r>
      <w:r>
        <w:rPr>
          <w:rFonts w:hint="default" w:ascii="Times New Roman" w:hAnsi="Times New Roman" w:eastAsia="Times New Roman"/>
          <w:bCs/>
          <w:color w:val="000000"/>
          <w:kern w:val="2"/>
          <w:sz w:val="24"/>
          <w:szCs w:val="24"/>
          <w:highlight w:val="none"/>
          <w:lang w:val="en-US"/>
        </w:rPr>
        <w:t xml:space="preserve"> </w:t>
      </w:r>
      <w:r>
        <w:rPr>
          <w:rFonts w:hint="default" w:ascii="Times New Roman" w:hAnsi="Times New Roman" w:eastAsia="Times New Roman"/>
          <w:bCs/>
          <w:color w:val="000000"/>
          <w:kern w:val="2"/>
          <w:sz w:val="24"/>
          <w:szCs w:val="24"/>
          <w:highlight w:val="none"/>
        </w:rPr>
        <w:t xml:space="preserve">in a water bath for 45minutes at 80ºC. This was then cooled in </w:t>
      </w:r>
      <w:r>
        <w:rPr>
          <w:rFonts w:hint="default" w:ascii="Times New Roman" w:hAnsi="Times New Roman" w:eastAsia="Times New Roman"/>
          <w:bCs/>
          <w:color w:val="000000"/>
          <w:kern w:val="2"/>
          <w:sz w:val="24"/>
          <w:szCs w:val="24"/>
          <w:highlight w:val="none"/>
          <w:lang w:val="en-US"/>
        </w:rPr>
        <w:t xml:space="preserve"> </w:t>
      </w:r>
      <w:r>
        <w:rPr>
          <w:rFonts w:hint="default" w:ascii="Times New Roman" w:hAnsi="Times New Roman" w:eastAsia="Times New Roman"/>
          <w:bCs/>
          <w:color w:val="000000"/>
          <w:kern w:val="2"/>
          <w:sz w:val="24"/>
          <w:szCs w:val="24"/>
          <w:highlight w:val="none"/>
        </w:rPr>
        <w:t xml:space="preserve">ice to room temperature and centrifuged at 3000rpm for </w:t>
      </w:r>
      <w:r>
        <w:rPr>
          <w:rFonts w:hint="default" w:ascii="Times New Roman" w:hAnsi="Times New Roman" w:eastAsia="Times New Roman"/>
          <w:bCs/>
          <w:color w:val="000000"/>
          <w:kern w:val="2"/>
          <w:sz w:val="24"/>
          <w:szCs w:val="24"/>
          <w:highlight w:val="none"/>
          <w:lang w:val="en-US"/>
        </w:rPr>
        <w:t xml:space="preserve"> </w:t>
      </w:r>
      <w:r>
        <w:rPr>
          <w:rFonts w:hint="default" w:ascii="Times New Roman" w:hAnsi="Times New Roman" w:eastAsia="Times New Roman"/>
          <w:bCs/>
          <w:color w:val="000000"/>
          <w:kern w:val="2"/>
          <w:sz w:val="24"/>
          <w:szCs w:val="24"/>
          <w:highlight w:val="none"/>
        </w:rPr>
        <w:t xml:space="preserve">10min. The clear supernatant was collected and absorbance </w:t>
      </w:r>
      <w:r>
        <w:rPr>
          <w:rFonts w:hint="default" w:ascii="Times New Roman" w:hAnsi="Times New Roman" w:eastAsia="Times New Roman"/>
          <w:bCs/>
          <w:color w:val="000000"/>
          <w:kern w:val="2"/>
          <w:sz w:val="24"/>
          <w:szCs w:val="24"/>
          <w:highlight w:val="none"/>
          <w:lang w:val="en-US"/>
        </w:rPr>
        <w:t xml:space="preserve"> </w:t>
      </w:r>
      <w:r>
        <w:rPr>
          <w:rFonts w:hint="default" w:ascii="Times New Roman" w:hAnsi="Times New Roman" w:eastAsia="Times New Roman"/>
          <w:bCs/>
          <w:color w:val="000000"/>
          <w:kern w:val="2"/>
          <w:sz w:val="24"/>
          <w:szCs w:val="24"/>
          <w:highlight w:val="none"/>
        </w:rPr>
        <w:t xml:space="preserve">measured against a reference blank of distilled water at </w:t>
      </w:r>
      <w:r>
        <w:rPr>
          <w:rFonts w:hint="default" w:ascii="Times New Roman" w:hAnsi="Times New Roman" w:eastAsia="Times New Roman"/>
          <w:bCs/>
          <w:color w:val="000000"/>
          <w:kern w:val="2"/>
          <w:sz w:val="24"/>
          <w:szCs w:val="24"/>
          <w:highlight w:val="none"/>
          <w:lang w:val="en-US"/>
        </w:rPr>
        <w:t xml:space="preserve"> </w:t>
      </w:r>
      <w:r>
        <w:rPr>
          <w:rFonts w:hint="default" w:ascii="Times New Roman" w:hAnsi="Times New Roman" w:eastAsia="Times New Roman"/>
          <w:bCs/>
          <w:color w:val="000000"/>
          <w:kern w:val="2"/>
          <w:sz w:val="24"/>
          <w:szCs w:val="24"/>
          <w:highlight w:val="none"/>
        </w:rPr>
        <w:t>532nm.</w:t>
      </w:r>
      <w:r>
        <w:rPr>
          <w:rFonts w:hint="default" w:ascii="Times New Roman" w:hAnsi="Times New Roman" w:eastAsia="Times New Roman"/>
          <w:bCs/>
          <w:color w:val="000000"/>
          <w:kern w:val="2"/>
          <w:sz w:val="24"/>
          <w:szCs w:val="24"/>
          <w:highlight w:val="none"/>
          <w:lang w:val="en-US"/>
        </w:rPr>
        <w:t xml:space="preserve"> </w:t>
      </w:r>
    </w:p>
    <w:p w14:paraId="347432F5">
      <w:pPr>
        <w:spacing w:line="480" w:lineRule="auto"/>
        <w:rPr>
          <w:rFonts w:hint="default" w:ascii="Times New Roman" w:hAnsi="Times New Roman" w:cs="Times New Roman"/>
          <w:sz w:val="24"/>
          <w:szCs w:val="24"/>
          <w:highlight w:val="none"/>
          <w:lang w:val="en-US"/>
        </w:rPr>
      </w:pPr>
      <w:r>
        <w:rPr>
          <w:rFonts w:ascii="Times New Roman" w:hAnsi="Times New Roman" w:cs="Times New Roman"/>
          <w:b/>
          <w:sz w:val="24"/>
          <w:szCs w:val="24"/>
          <w:highlight w:val="none"/>
        </w:rPr>
        <w:t>2.12  Analyses of caspases 9 and 3</w:t>
      </w:r>
      <w:r>
        <w:rPr>
          <w:rFonts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rPr>
        <w:t xml:space="preserve"> </w:t>
      </w:r>
    </w:p>
    <w:p w14:paraId="356FA3B4">
      <w:pPr>
        <w:spacing w:line="480" w:lineRule="auto"/>
        <w:rPr>
          <w:rFonts w:ascii="Times New Roman" w:hAnsi="Times New Roman" w:cs="Times New Roman"/>
          <w:sz w:val="24"/>
          <w:szCs w:val="24"/>
          <w:highlight w:val="none"/>
        </w:rPr>
      </w:pPr>
      <w:r>
        <w:rPr>
          <w:rFonts w:hint="default" w:ascii="Times New Roman" w:hAnsi="Times New Roman"/>
          <w:sz w:val="24"/>
          <w:szCs w:val="24"/>
          <w:highlight w:val="none"/>
        </w:rPr>
        <w:t xml:space="preserve">The rat liver was excised, weighed and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rinsed with phosphate buffered saline thoroughly until a clear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wash was obtained. The washed livers were homogenized on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ice and the homogenates were centrifuged at 8,000 rpm for 5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minutes. The supernatant thus obtained were then put in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sample bottles and freezed. After freezing for two days, the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samples were brought out to thaw. This was done twice after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which the samples were used for caspases 9 and 3 analysis,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respectively.</w:t>
      </w:r>
      <w:r>
        <w:rPr>
          <w:rFonts w:hint="default" w:ascii="Times New Roman" w:hAnsi="Times New Roman"/>
          <w:sz w:val="24"/>
          <w:szCs w:val="24"/>
          <w:highlight w:val="none"/>
          <w:lang w:val="en-US"/>
        </w:rPr>
        <w:t xml:space="preserve"> </w:t>
      </w:r>
      <w:r>
        <w:rPr>
          <w:rFonts w:ascii="Times New Roman" w:hAnsi="Times New Roman" w:cs="Times New Roman"/>
          <w:sz w:val="24"/>
          <w:szCs w:val="24"/>
          <w:highlight w:val="none"/>
        </w:rPr>
        <w:t xml:space="preserve">The Caspases 9 and 3 </w:t>
      </w:r>
      <w:r>
        <w:rPr>
          <w:rFonts w:hint="default" w:ascii="Times New Roman" w:hAnsi="Times New Roman" w:cs="Times New Roman"/>
          <w:sz w:val="24"/>
          <w:szCs w:val="24"/>
          <w:highlight w:val="none"/>
          <w:lang w:val="en-US"/>
        </w:rPr>
        <w:t xml:space="preserve">levels </w:t>
      </w:r>
      <w:r>
        <w:rPr>
          <w:rFonts w:ascii="Times New Roman" w:hAnsi="Times New Roman" w:cs="Times New Roman"/>
          <w:sz w:val="24"/>
          <w:szCs w:val="24"/>
          <w:highlight w:val="none"/>
        </w:rPr>
        <w:t xml:space="preserve">were determined by following the manufacturer’s instruction, using </w:t>
      </w:r>
      <w:r>
        <w:rPr>
          <w:rFonts w:ascii="Times New Roman" w:hAnsi="Times New Roman" w:eastAsia="Times New Roman" w:cs="Times New Roman"/>
          <w:color w:val="000000"/>
          <w:kern w:val="2"/>
          <w:sz w:val="24"/>
          <w:szCs w:val="24"/>
          <w:highlight w:val="none"/>
        </w:rPr>
        <w:t>CUSABIO</w:t>
      </w:r>
      <w:r>
        <w:rPr>
          <w:rFonts w:ascii="Times New Roman" w:hAnsi="Times New Roman" w:eastAsia="Times New Roman" w:cs="Times New Roman"/>
          <w:color w:val="000000"/>
          <w:kern w:val="2"/>
          <w:sz w:val="24"/>
          <w:szCs w:val="24"/>
          <w:highlight w:val="none"/>
          <w:vertAlign w:val="superscript"/>
        </w:rPr>
        <w:sym w:font="Symbol" w:char="F0E2"/>
      </w:r>
      <w:r>
        <w:rPr>
          <w:rFonts w:ascii="Times New Roman" w:hAnsi="Times New Roman" w:eastAsia="Calibri" w:cs="Times New Roman"/>
          <w:b/>
          <w:bCs/>
          <w:color w:val="000000"/>
          <w:kern w:val="2"/>
          <w:sz w:val="24"/>
          <w:szCs w:val="24"/>
          <w:highlight w:val="none"/>
        </w:rPr>
        <w:t xml:space="preserve"> </w:t>
      </w:r>
      <w:r>
        <w:rPr>
          <w:rFonts w:ascii="Times New Roman" w:hAnsi="Times New Roman" w:cs="Times New Roman"/>
          <w:sz w:val="24"/>
          <w:szCs w:val="24"/>
          <w:highlight w:val="none"/>
        </w:rPr>
        <w:t xml:space="preserve"> (Rat Caspase-9 (Casp-9) and Caspase-3(Casp-3) ELISA Kit; Catalog Number (CSB-E08863r). A microplate reader (DNM-9602 A from China) was used to read the optical density at 450 nm wavelength.</w:t>
      </w:r>
    </w:p>
    <w:p w14:paraId="16E7F0E8">
      <w:pPr>
        <w:spacing w:line="480" w:lineRule="auto"/>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2.13 DNA Fragmentation </w:t>
      </w:r>
    </w:p>
    <w:p w14:paraId="554A7884">
      <w:pPr>
        <w:spacing w:line="480" w:lineRule="auto"/>
        <w:jc w:val="both"/>
        <w:rPr>
          <w:rFonts w:hint="default" w:ascii="Times New Roman" w:hAnsi="Times New Roman"/>
          <w:sz w:val="24"/>
          <w:szCs w:val="24"/>
          <w:highlight w:val="none"/>
          <w:lang w:val="en-US"/>
        </w:rPr>
      </w:pPr>
      <w:r>
        <w:rPr>
          <w:rFonts w:ascii="Times New Roman" w:hAnsi="Times New Roman" w:cs="Times New Roman"/>
          <w:sz w:val="24"/>
          <w:szCs w:val="24"/>
          <w:highlight w:val="none"/>
        </w:rPr>
        <w:t xml:space="preserve"> </w:t>
      </w:r>
      <w:r>
        <w:rPr>
          <w:rFonts w:hint="default" w:ascii="Times New Roman" w:hAnsi="Times New Roman"/>
          <w:sz w:val="24"/>
          <w:szCs w:val="24"/>
          <w:highlight w:val="none"/>
        </w:rPr>
        <w:t xml:space="preserve">The percentage hepatic DNA fragmentation was determined according to the method of Wu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et al. </w:t>
      </w:r>
      <w:r>
        <w:rPr>
          <w:rFonts w:hint="default" w:ascii="Times New Roman" w:hAnsi="Times New Roman"/>
          <w:sz w:val="24"/>
          <w:szCs w:val="24"/>
          <w:highlight w:val="none"/>
          <w:lang w:val="en-US"/>
        </w:rPr>
        <w:t>[22]</w:t>
      </w:r>
      <w:r>
        <w:rPr>
          <w:rFonts w:hint="default" w:ascii="Times New Roman" w:hAnsi="Times New Roman"/>
          <w:sz w:val="24"/>
          <w:szCs w:val="24"/>
          <w:highlight w:val="none"/>
        </w:rPr>
        <w:t xml:space="preserve">. Liver was sliced with scissors and homogenized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in 10 volumes of Tri-EDTA Triton buffer (TET) pH 8.0.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Homogenates were centrifuged at 27,000 × g for 20 min to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separate intact chromatin (pellet A) from fragmented (pellet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B). Pellet A was suspended in Tris EDTA buffer (TE) pH 8.0.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An aliquot (1 ml) of each sample (pellet and supernatant) was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placed in separate test tubes and then 1 ml of freshly prepared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diphenylamine solution was added to each. Reaction mixture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was incubated at 37 °C for 20 h. Absorbance of the mixture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was then measured at 620 nm.</w:t>
      </w:r>
      <w:r>
        <w:rPr>
          <w:rFonts w:hint="default" w:ascii="Times New Roman" w:hAnsi="Times New Roman"/>
          <w:sz w:val="24"/>
          <w:szCs w:val="24"/>
          <w:highlight w:val="none"/>
          <w:lang w:val="en-US"/>
        </w:rPr>
        <w:t xml:space="preserve"> </w:t>
      </w:r>
    </w:p>
    <w:p w14:paraId="290AB80D">
      <w:pPr>
        <w:spacing w:line="480" w:lineRule="auto"/>
        <w:jc w:val="both"/>
        <w:rPr>
          <w:rFonts w:hint="default" w:ascii="Times New Roman" w:hAnsi="Times New Roman"/>
          <w:sz w:val="24"/>
          <w:szCs w:val="24"/>
          <w:highlight w:val="none"/>
        </w:rPr>
      </w:pPr>
      <w:r>
        <w:rPr>
          <w:rFonts w:hint="default" w:ascii="Times New Roman" w:hAnsi="Times New Roman"/>
          <w:sz w:val="24"/>
          <w:szCs w:val="24"/>
          <w:highlight w:val="none"/>
        </w:rPr>
        <w:t xml:space="preserve">Calculation: Quantity of fragmented DNA was estimated by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using the formula: </w:t>
      </w:r>
    </w:p>
    <w:p w14:paraId="5B11B6D1">
      <w:pPr>
        <w:spacing w:line="480" w:lineRule="auto"/>
        <w:jc w:val="both"/>
        <w:rPr>
          <w:rFonts w:ascii="Times New Roman" w:hAnsi="Times New Roman" w:cs="Times New Roman"/>
          <w:sz w:val="24"/>
          <w:szCs w:val="24"/>
          <w:highlight w:val="none"/>
        </w:rPr>
      </w:pP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 xml:space="preserve">% fragmented DNA= {B÷(A+B)}X100 Where A is the intact </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rPr>
        <w:t>chromatin and B is the fragmented chromatin.</w:t>
      </w:r>
      <w:r>
        <w:rPr>
          <w:rFonts w:hint="default" w:ascii="Times New Roman" w:hAnsi="Times New Roman"/>
          <w:sz w:val="24"/>
          <w:szCs w:val="24"/>
          <w:highlight w:val="none"/>
          <w:lang w:val="en-US"/>
        </w:rPr>
        <w:t xml:space="preserve"> </w:t>
      </w:r>
      <w:r>
        <w:rPr>
          <w:rFonts w:ascii="Times New Roman" w:hAnsi="Times New Roman" w:cs="Times New Roman"/>
          <w:sz w:val="24"/>
          <w:szCs w:val="24"/>
          <w:highlight w:val="none"/>
        </w:rPr>
        <w:t>Absorbance was read at 620nm.</w:t>
      </w:r>
    </w:p>
    <w:p w14:paraId="519F5527">
      <w:pPr>
        <w:spacing w:line="480" w:lineRule="auto"/>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 2.14  Statistical analysis of data</w:t>
      </w:r>
    </w:p>
    <w:p w14:paraId="6892A237">
      <w:pPr>
        <w:spacing w:line="48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 The data reported on mPT are representative of multiple (≥4) experiments using microsoft excel 2010. All other data were expressed as mean ± SD.</w:t>
      </w:r>
    </w:p>
    <w:p w14:paraId="64F98BB8">
      <w:pPr>
        <w:spacing w:line="480" w:lineRule="auto"/>
        <w:rPr>
          <w:rFonts w:ascii="Times New Roman" w:hAnsi="Times New Roman" w:cs="Times New Roman"/>
          <w:b/>
          <w:sz w:val="24"/>
          <w:szCs w:val="24"/>
          <w:highlight w:val="none"/>
        </w:rPr>
      </w:pPr>
    </w:p>
    <w:p w14:paraId="18E5B5B7">
      <w:pPr>
        <w:spacing w:line="480" w:lineRule="auto"/>
        <w:rPr>
          <w:rFonts w:ascii="Times New Roman" w:hAnsi="Times New Roman" w:cs="Times New Roman"/>
          <w:b/>
          <w:sz w:val="24"/>
          <w:szCs w:val="24"/>
          <w:highlight w:val="none"/>
        </w:rPr>
      </w:pPr>
    </w:p>
    <w:p w14:paraId="51C66B3F">
      <w:pPr>
        <w:spacing w:line="480" w:lineRule="auto"/>
        <w:rPr>
          <w:rFonts w:ascii="Times New Roman" w:hAnsi="Times New Roman" w:cs="Times New Roman"/>
          <w:b/>
          <w:sz w:val="24"/>
          <w:szCs w:val="24"/>
          <w:highlight w:val="none"/>
        </w:rPr>
      </w:pPr>
      <w:r>
        <w:rPr>
          <w:rFonts w:ascii="Times New Roman" w:hAnsi="Times New Roman" w:cs="Times New Roman"/>
          <w:b/>
          <w:sz w:val="24"/>
          <w:szCs w:val="24"/>
          <w:highlight w:val="none"/>
        </w:rPr>
        <w:t>3.0 Results</w:t>
      </w:r>
    </w:p>
    <w:p w14:paraId="440D43CD">
      <w:pPr>
        <w:spacing w:line="480" w:lineRule="auto"/>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Determination of intactness of the isolated </w:t>
      </w:r>
    </w:p>
    <w:p w14:paraId="277693DE">
      <w:pPr>
        <w:spacing w:line="480" w:lineRule="auto"/>
        <w:jc w:val="both"/>
        <w:rPr>
          <w:rFonts w:ascii="Times New Roman" w:hAnsi="Times New Roman" w:cs="Times New Roman"/>
          <w:b/>
          <w:color w:val="000000"/>
          <w:kern w:val="2"/>
          <w:sz w:val="24"/>
          <w:szCs w:val="24"/>
          <w:highlight w:val="none"/>
          <w:lang w:val="en-GB"/>
        </w:rPr>
      </w:pPr>
      <w:r>
        <w:rPr>
          <w:rFonts w:ascii="Times New Roman" w:hAnsi="Times New Roman" w:cs="Times New Roman"/>
          <w:sz w:val="24"/>
          <w:szCs w:val="24"/>
          <w:highlight w:val="none"/>
        </w:rPr>
        <w:t>The intactness of the isolated mitochondria was determined by monitoring the swelling of the isolated mitochondria using spectrophotometer, in the absence of calcium, presence of calcium and presence of inhibitor (spermine). As depicted in figure 1, there was no conspicuous swelling of mitochondria in the absence of calcium over a period of twelve minutes. Nevertheless, the inclusion of exogenous calcium brought about large amplitude swelling of the mitochondria which was almost completely reversed by the inhibitor.</w:t>
      </w:r>
    </w:p>
    <w:p w14:paraId="0B1362CD">
      <w:pPr>
        <w:rPr>
          <w:highlight w:val="none"/>
        </w:rPr>
      </w:pPr>
      <w:r>
        <w:rPr>
          <w:b/>
          <w:color w:val="000000"/>
          <w:kern w:val="2"/>
          <w:highlight w:val="none"/>
        </w:rPr>
        <w:drawing>
          <wp:inline distT="0" distB="0" distL="0" distR="0">
            <wp:extent cx="5372100" cy="2676525"/>
            <wp:effectExtent l="4445" t="4445" r="8255"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C1F9F7">
      <w:pPr>
        <w:rPr>
          <w:rFonts w:ascii="Times New Roman" w:hAnsi="Times New Roman" w:cs="Times New Roman"/>
          <w:sz w:val="24"/>
          <w:szCs w:val="24"/>
          <w:highlight w:val="none"/>
        </w:rPr>
      </w:pPr>
      <w:r>
        <w:rPr>
          <w:rFonts w:ascii="Times New Roman" w:hAnsi="Times New Roman" w:cs="Times New Roman"/>
          <w:b/>
          <w:sz w:val="24"/>
          <w:szCs w:val="24"/>
          <w:highlight w:val="none"/>
        </w:rPr>
        <w:t>Figure 1</w:t>
      </w:r>
      <w:r>
        <w:rPr>
          <w:rFonts w:ascii="Times New Roman" w:hAnsi="Times New Roman" w:cs="Times New Roman"/>
          <w:sz w:val="24"/>
          <w:szCs w:val="24"/>
          <w:highlight w:val="none"/>
        </w:rPr>
        <w:t>:</w:t>
      </w:r>
      <w:r>
        <w:rPr>
          <w:rFonts w:ascii="Times New Roman" w:hAnsi="Times New Roman" w:cs="Times New Roman"/>
          <w:b/>
          <w:sz w:val="24"/>
          <w:szCs w:val="24"/>
          <w:highlight w:val="none"/>
        </w:rPr>
        <w:t xml:space="preserve"> </w:t>
      </w:r>
      <w:r>
        <w:rPr>
          <w:rFonts w:ascii="Times New Roman" w:hAnsi="Times New Roman" w:cs="Times New Roman"/>
          <w:sz w:val="24"/>
          <w:szCs w:val="24"/>
          <w:highlight w:val="none"/>
        </w:rPr>
        <w:t>Calcium-induced mitochondrial permeability transition pore opening in normal rat liver mitochondria and its reversal by spermine. NTA no triggering agent (without calcium), TA triggering agent (calcium), Spermine standard inhibitor of mPT pore opening</w:t>
      </w:r>
    </w:p>
    <w:p w14:paraId="099F21A5">
      <w:pPr>
        <w:spacing w:line="480" w:lineRule="auto"/>
        <w:jc w:val="both"/>
        <w:rPr>
          <w:rFonts w:ascii="Times New Roman" w:hAnsi="Times New Roman" w:cs="Times New Roman"/>
          <w:sz w:val="24"/>
          <w:szCs w:val="24"/>
          <w:highlight w:val="none"/>
        </w:rPr>
      </w:pPr>
    </w:p>
    <w:p w14:paraId="06BF0997">
      <w:pPr>
        <w:spacing w:line="480" w:lineRule="auto"/>
        <w:jc w:val="both"/>
        <w:rPr>
          <w:rFonts w:ascii="Times New Roman" w:hAnsi="Times New Roman" w:cs="Times New Roman"/>
          <w:b/>
          <w:sz w:val="24"/>
          <w:szCs w:val="24"/>
          <w:highlight w:val="none"/>
        </w:rPr>
      </w:pPr>
    </w:p>
    <w:p w14:paraId="73E74B1A">
      <w:pPr>
        <w:spacing w:line="480" w:lineRule="auto"/>
        <w:jc w:val="both"/>
        <w:rPr>
          <w:rFonts w:ascii="Times New Roman" w:hAnsi="Times New Roman" w:cs="Times New Roman"/>
          <w:b/>
          <w:sz w:val="24"/>
          <w:szCs w:val="24"/>
          <w:highlight w:val="none"/>
        </w:rPr>
      </w:pPr>
    </w:p>
    <w:p w14:paraId="6C39FF73">
      <w:pPr>
        <w:spacing w:line="480" w:lineRule="auto"/>
        <w:jc w:val="both"/>
        <w:rPr>
          <w:rFonts w:ascii="Times New Roman" w:hAnsi="Times New Roman" w:cs="Times New Roman"/>
          <w:b/>
          <w:sz w:val="24"/>
          <w:szCs w:val="24"/>
          <w:highlight w:val="none"/>
        </w:rPr>
      </w:pPr>
    </w:p>
    <w:p w14:paraId="38DA712A">
      <w:pPr>
        <w:spacing w:line="480" w:lineRule="auto"/>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Effects of the extract and fractions of </w:t>
      </w:r>
      <w:r>
        <w:rPr>
          <w:rFonts w:ascii="Times New Roman" w:hAnsi="Times New Roman" w:cs="Times New Roman"/>
          <w:b/>
          <w:i/>
          <w:sz w:val="24"/>
          <w:szCs w:val="24"/>
          <w:highlight w:val="none"/>
        </w:rPr>
        <w:t>Futumia elastica</w:t>
      </w:r>
      <w:r>
        <w:rPr>
          <w:rFonts w:ascii="Times New Roman" w:hAnsi="Times New Roman" w:cs="Times New Roman"/>
          <w:b/>
          <w:sz w:val="24"/>
          <w:szCs w:val="24"/>
          <w:highlight w:val="none"/>
        </w:rPr>
        <w:t xml:space="preserve">  on the mPT Pore</w:t>
      </w:r>
    </w:p>
    <w:p w14:paraId="2F3427E6">
      <w:pPr>
        <w:spacing w:line="480" w:lineRule="auto"/>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Figure 2 depicts a representative profile of changes in absorbance of liver mitochondria of rat treated with 200 mg/kg of crude methanol stem bark extract and fractions of </w:t>
      </w:r>
      <w:r>
        <w:rPr>
          <w:rFonts w:ascii="Times New Roman" w:hAnsi="Times New Roman" w:cs="Times New Roman"/>
          <w:i/>
          <w:sz w:val="24"/>
          <w:szCs w:val="24"/>
          <w:highlight w:val="none"/>
        </w:rPr>
        <w:t>Funtumia elastica.</w:t>
      </w:r>
      <w:r>
        <w:rPr>
          <w:rFonts w:ascii="Times New Roman" w:hAnsi="Times New Roman" w:cs="Times New Roman"/>
          <w:sz w:val="24"/>
          <w:szCs w:val="24"/>
          <w:highlight w:val="none"/>
        </w:rPr>
        <w:t xml:space="preserve"> The data shows the extent of induction of the various fractions.  The CMFE, CFFE, EAFE and MFFE gave induction folds of 2.9, 12.3, 8.3 and 6.3, respectively, related to the control.</w:t>
      </w:r>
    </w:p>
    <w:p w14:paraId="7EEB7054">
      <w:pPr>
        <w:rPr>
          <w:rFonts w:ascii="Times New Roman" w:hAnsi="Times New Roman" w:cs="Times New Roman"/>
          <w:sz w:val="24"/>
          <w:szCs w:val="24"/>
          <w:highlight w:val="none"/>
        </w:rPr>
      </w:pPr>
    </w:p>
    <w:p w14:paraId="29413530">
      <w:pPr>
        <w:rPr>
          <w:highlight w:val="none"/>
        </w:rPr>
      </w:pPr>
    </w:p>
    <w:p w14:paraId="45A230DA">
      <w:pPr>
        <w:rPr>
          <w:highlight w:val="none"/>
        </w:rPr>
      </w:pPr>
      <w:r>
        <w:rPr>
          <w:highlight w:val="none"/>
        </w:rPr>
        <w:drawing>
          <wp:inline distT="0" distB="0" distL="0" distR="0">
            <wp:extent cx="5426710" cy="2477135"/>
            <wp:effectExtent l="4445" t="4445" r="17145"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3900CB">
      <w:pPr>
        <w:tabs>
          <w:tab w:val="left" w:pos="2347"/>
        </w:tabs>
        <w:spacing w:after="0" w:line="240" w:lineRule="auto"/>
        <w:jc w:val="both"/>
        <w:rPr>
          <w:rFonts w:ascii="Times New Roman" w:hAnsi="Times New Roman" w:eastAsia="Times New Roman" w:cs="Times New Roman"/>
          <w:b w:val="0"/>
          <w:bCs/>
          <w:color w:val="000000"/>
          <w:kern w:val="2"/>
          <w:sz w:val="24"/>
          <w:szCs w:val="24"/>
          <w:highlight w:val="none"/>
        </w:rPr>
      </w:pPr>
      <w:r>
        <w:rPr>
          <w:rFonts w:ascii="Times New Roman" w:hAnsi="Times New Roman" w:eastAsia="Times New Roman" w:cs="Times New Roman"/>
          <w:b/>
          <w:color w:val="000000"/>
          <w:kern w:val="2"/>
          <w:sz w:val="24"/>
          <w:szCs w:val="24"/>
          <w:highlight w:val="none"/>
        </w:rPr>
        <w:t>Figure 2</w:t>
      </w:r>
      <w:r>
        <w:rPr>
          <w:rFonts w:ascii="Times New Roman" w:hAnsi="Times New Roman" w:eastAsia="Times New Roman" w:cs="Times New Roman"/>
          <w:color w:val="000000"/>
          <w:kern w:val="2"/>
          <w:sz w:val="24"/>
          <w:szCs w:val="24"/>
          <w:highlight w:val="none"/>
        </w:rPr>
        <w:t xml:space="preserve">: </w:t>
      </w:r>
      <w:r>
        <w:rPr>
          <w:rFonts w:ascii="Times New Roman" w:hAnsi="Times New Roman" w:eastAsia="Times New Roman" w:cs="Times New Roman"/>
          <w:b w:val="0"/>
          <w:bCs/>
          <w:color w:val="000000"/>
          <w:kern w:val="2"/>
          <w:sz w:val="24"/>
          <w:szCs w:val="24"/>
          <w:highlight w:val="none"/>
        </w:rPr>
        <w:t xml:space="preserve">Representative profile showing the effects of the extract and fractions on mPT pore </w:t>
      </w:r>
    </w:p>
    <w:p w14:paraId="77E077A2">
      <w:pPr>
        <w:tabs>
          <w:tab w:val="left" w:pos="2347"/>
        </w:tabs>
        <w:spacing w:after="0" w:line="240" w:lineRule="auto"/>
        <w:jc w:val="both"/>
        <w:rPr>
          <w:rFonts w:ascii="Times New Roman" w:hAnsi="Times New Roman" w:eastAsia="Times New Roman" w:cs="Times New Roman"/>
          <w:color w:val="000000"/>
          <w:kern w:val="2"/>
          <w:sz w:val="24"/>
          <w:szCs w:val="24"/>
          <w:highlight w:val="none"/>
        </w:rPr>
      </w:pPr>
    </w:p>
    <w:p w14:paraId="795A86D9">
      <w:pPr>
        <w:tabs>
          <w:tab w:val="left" w:pos="2347"/>
        </w:tabs>
        <w:spacing w:after="0" w:line="240" w:lineRule="auto"/>
        <w:jc w:val="both"/>
        <w:rPr>
          <w:rFonts w:ascii="Times New Roman" w:hAnsi="Times New Roman" w:eastAsia="Times New Roman" w:cs="Times New Roman"/>
          <w:color w:val="000000"/>
          <w:kern w:val="2"/>
          <w:sz w:val="24"/>
          <w:szCs w:val="24"/>
          <w:highlight w:val="none"/>
        </w:rPr>
      </w:pPr>
      <w:r>
        <w:rPr>
          <w:rFonts w:ascii="Times New Roman" w:hAnsi="Times New Roman" w:eastAsia="Times New Roman" w:cs="Times New Roman"/>
          <w:b/>
          <w:color w:val="000000"/>
          <w:kern w:val="2"/>
          <w:sz w:val="24"/>
          <w:szCs w:val="24"/>
          <w:highlight w:val="none"/>
        </w:rPr>
        <w:t>CMFE</w:t>
      </w:r>
      <w:r>
        <w:rPr>
          <w:rFonts w:ascii="Times New Roman" w:hAnsi="Times New Roman" w:eastAsia="Times New Roman" w:cs="Times New Roman"/>
          <w:color w:val="000000"/>
          <w:kern w:val="2"/>
          <w:sz w:val="24"/>
          <w:szCs w:val="24"/>
          <w:highlight w:val="none"/>
        </w:rPr>
        <w:t xml:space="preserve">: (crude methanol extract of </w:t>
      </w:r>
      <w:r>
        <w:rPr>
          <w:rFonts w:ascii="Times New Roman" w:hAnsi="Times New Roman" w:eastAsia="Times New Roman" w:cs="Times New Roman"/>
          <w:i/>
          <w:color w:val="000000"/>
          <w:kern w:val="2"/>
          <w:sz w:val="24"/>
          <w:szCs w:val="24"/>
          <w:highlight w:val="none"/>
        </w:rPr>
        <w:t>Funtumia elastica</w:t>
      </w:r>
      <w:r>
        <w:rPr>
          <w:rFonts w:hint="default" w:ascii="Times New Roman" w:hAnsi="Times New Roman" w:eastAsia="Times New Roman" w:cs="Times New Roman"/>
          <w:i w:val="0"/>
          <w:iCs/>
          <w:color w:val="000000"/>
          <w:kern w:val="2"/>
          <w:sz w:val="24"/>
          <w:szCs w:val="24"/>
          <w:highlight w:val="none"/>
          <w:lang w:val="en-US"/>
        </w:rPr>
        <w:t>)</w:t>
      </w:r>
      <w:r>
        <w:rPr>
          <w:rFonts w:ascii="Times New Roman" w:hAnsi="Times New Roman" w:eastAsia="Times New Roman" w:cs="Times New Roman"/>
          <w:color w:val="000000"/>
          <w:kern w:val="2"/>
          <w:sz w:val="24"/>
          <w:szCs w:val="24"/>
          <w:highlight w:val="none"/>
        </w:rPr>
        <w:t xml:space="preserve"> </w:t>
      </w:r>
    </w:p>
    <w:p w14:paraId="20F41C8F">
      <w:pPr>
        <w:tabs>
          <w:tab w:val="left" w:pos="2347"/>
        </w:tabs>
        <w:spacing w:after="0" w:line="240" w:lineRule="auto"/>
        <w:jc w:val="both"/>
        <w:rPr>
          <w:rFonts w:ascii="Times New Roman" w:hAnsi="Times New Roman" w:eastAsia="Times New Roman" w:cs="Times New Roman"/>
          <w:i/>
          <w:color w:val="000000"/>
          <w:kern w:val="2"/>
          <w:sz w:val="24"/>
          <w:szCs w:val="24"/>
          <w:highlight w:val="none"/>
        </w:rPr>
      </w:pPr>
      <w:r>
        <w:rPr>
          <w:rFonts w:ascii="Times New Roman" w:hAnsi="Times New Roman" w:eastAsia="Times New Roman" w:cs="Times New Roman"/>
          <w:b/>
          <w:color w:val="000000"/>
          <w:kern w:val="2"/>
          <w:sz w:val="24"/>
          <w:szCs w:val="24"/>
          <w:highlight w:val="none"/>
        </w:rPr>
        <w:t>CFFE</w:t>
      </w:r>
      <w:r>
        <w:rPr>
          <w:rFonts w:ascii="Times New Roman" w:hAnsi="Times New Roman" w:eastAsia="Times New Roman" w:cs="Times New Roman"/>
          <w:color w:val="000000"/>
          <w:kern w:val="2"/>
          <w:sz w:val="24"/>
          <w:szCs w:val="24"/>
          <w:highlight w:val="none"/>
        </w:rPr>
        <w:t xml:space="preserve">: </w:t>
      </w:r>
      <w:r>
        <w:rPr>
          <w:rFonts w:hint="default" w:ascii="Times New Roman" w:hAnsi="Times New Roman" w:eastAsia="Times New Roman" w:cs="Times New Roman"/>
          <w:color w:val="000000"/>
          <w:kern w:val="2"/>
          <w:sz w:val="24"/>
          <w:szCs w:val="24"/>
          <w:highlight w:val="none"/>
          <w:lang w:val="en-US"/>
        </w:rPr>
        <w:t xml:space="preserve"> </w:t>
      </w:r>
      <w:r>
        <w:rPr>
          <w:rFonts w:ascii="Times New Roman" w:hAnsi="Times New Roman" w:eastAsia="Times New Roman" w:cs="Times New Roman"/>
          <w:color w:val="000000"/>
          <w:kern w:val="2"/>
          <w:sz w:val="24"/>
          <w:szCs w:val="24"/>
          <w:highlight w:val="none"/>
        </w:rPr>
        <w:t xml:space="preserve">(Chloroform fraction of the methanol extract of </w:t>
      </w:r>
      <w:r>
        <w:rPr>
          <w:rFonts w:ascii="Times New Roman" w:hAnsi="Times New Roman" w:eastAsia="Times New Roman" w:cs="Times New Roman"/>
          <w:i/>
          <w:color w:val="000000"/>
          <w:kern w:val="2"/>
          <w:sz w:val="24"/>
          <w:szCs w:val="24"/>
          <w:highlight w:val="none"/>
        </w:rPr>
        <w:t>Funtumia elastica</w:t>
      </w:r>
      <w:r>
        <w:rPr>
          <w:rFonts w:ascii="Times New Roman" w:hAnsi="Times New Roman" w:eastAsia="Times New Roman" w:cs="Times New Roman"/>
          <w:color w:val="000000"/>
          <w:kern w:val="2"/>
          <w:sz w:val="24"/>
          <w:szCs w:val="24"/>
          <w:highlight w:val="none"/>
        </w:rPr>
        <w:t>)</w:t>
      </w:r>
      <w:r>
        <w:rPr>
          <w:rFonts w:ascii="Times New Roman" w:hAnsi="Times New Roman" w:eastAsia="Times New Roman" w:cs="Times New Roman"/>
          <w:i/>
          <w:color w:val="000000"/>
          <w:kern w:val="2"/>
          <w:sz w:val="24"/>
          <w:szCs w:val="24"/>
          <w:highlight w:val="none"/>
        </w:rPr>
        <w:t xml:space="preserve"> </w:t>
      </w:r>
    </w:p>
    <w:p w14:paraId="4FF858D0">
      <w:pPr>
        <w:tabs>
          <w:tab w:val="left" w:pos="2347"/>
        </w:tabs>
        <w:spacing w:after="0" w:line="240" w:lineRule="auto"/>
        <w:jc w:val="both"/>
        <w:rPr>
          <w:rFonts w:ascii="Times New Roman" w:hAnsi="Times New Roman" w:eastAsia="Times New Roman" w:cs="Times New Roman"/>
          <w:color w:val="000000"/>
          <w:kern w:val="2"/>
          <w:sz w:val="24"/>
          <w:szCs w:val="24"/>
          <w:highlight w:val="none"/>
        </w:rPr>
      </w:pPr>
      <w:r>
        <w:rPr>
          <w:rFonts w:ascii="Times New Roman" w:hAnsi="Times New Roman" w:eastAsia="Times New Roman" w:cs="Times New Roman"/>
          <w:b/>
          <w:color w:val="000000"/>
          <w:kern w:val="2"/>
          <w:sz w:val="24"/>
          <w:szCs w:val="24"/>
          <w:highlight w:val="none"/>
        </w:rPr>
        <w:t>EAFE</w:t>
      </w:r>
      <w:r>
        <w:rPr>
          <w:rFonts w:ascii="Times New Roman" w:hAnsi="Times New Roman" w:eastAsia="Times New Roman" w:cs="Times New Roman"/>
          <w:color w:val="000000"/>
          <w:kern w:val="2"/>
          <w:sz w:val="24"/>
          <w:szCs w:val="24"/>
          <w:highlight w:val="none"/>
        </w:rPr>
        <w:t xml:space="preserve">: </w:t>
      </w:r>
      <w:r>
        <w:rPr>
          <w:rFonts w:hint="default" w:ascii="Times New Roman" w:hAnsi="Times New Roman" w:eastAsia="Times New Roman" w:cs="Times New Roman"/>
          <w:color w:val="000000"/>
          <w:kern w:val="2"/>
          <w:sz w:val="24"/>
          <w:szCs w:val="24"/>
          <w:highlight w:val="none"/>
          <w:lang w:val="en-US"/>
        </w:rPr>
        <w:t xml:space="preserve"> </w:t>
      </w:r>
      <w:r>
        <w:rPr>
          <w:rFonts w:ascii="Times New Roman" w:hAnsi="Times New Roman" w:eastAsia="Times New Roman" w:cs="Times New Roman"/>
          <w:color w:val="000000"/>
          <w:kern w:val="2"/>
          <w:sz w:val="24"/>
          <w:szCs w:val="24"/>
          <w:highlight w:val="none"/>
        </w:rPr>
        <w:t>(ethyl acetate fraction of</w:t>
      </w:r>
      <w:r>
        <w:rPr>
          <w:highlight w:val="none"/>
        </w:rPr>
        <w:t xml:space="preserve"> the </w:t>
      </w:r>
      <w:r>
        <w:rPr>
          <w:rFonts w:ascii="Times New Roman" w:hAnsi="Times New Roman" w:eastAsia="Times New Roman" w:cs="Times New Roman"/>
          <w:color w:val="000000"/>
          <w:kern w:val="2"/>
          <w:sz w:val="24"/>
          <w:szCs w:val="24"/>
          <w:highlight w:val="none"/>
        </w:rPr>
        <w:t xml:space="preserve">methanol extract of </w:t>
      </w:r>
      <w:r>
        <w:rPr>
          <w:rFonts w:ascii="Times New Roman" w:hAnsi="Times New Roman" w:eastAsia="Times New Roman" w:cs="Times New Roman"/>
          <w:i/>
          <w:color w:val="000000"/>
          <w:kern w:val="2"/>
          <w:sz w:val="24"/>
          <w:szCs w:val="24"/>
          <w:highlight w:val="none"/>
        </w:rPr>
        <w:t>Funtumia elastica</w:t>
      </w:r>
      <w:r>
        <w:rPr>
          <w:rFonts w:ascii="Times New Roman" w:hAnsi="Times New Roman" w:eastAsia="Times New Roman" w:cs="Times New Roman"/>
          <w:color w:val="000000"/>
          <w:kern w:val="2"/>
          <w:sz w:val="24"/>
          <w:szCs w:val="24"/>
          <w:highlight w:val="none"/>
        </w:rPr>
        <w:t>)</w:t>
      </w:r>
    </w:p>
    <w:p w14:paraId="05740C9E">
      <w:pPr>
        <w:tabs>
          <w:tab w:val="left" w:pos="2347"/>
        </w:tabs>
        <w:spacing w:after="0" w:line="240" w:lineRule="auto"/>
        <w:jc w:val="both"/>
        <w:rPr>
          <w:rFonts w:ascii="Times New Roman" w:hAnsi="Times New Roman" w:eastAsia="Times New Roman" w:cs="Times New Roman"/>
          <w:color w:val="000000"/>
          <w:kern w:val="2"/>
          <w:sz w:val="24"/>
          <w:szCs w:val="24"/>
          <w:highlight w:val="none"/>
        </w:rPr>
      </w:pPr>
      <w:r>
        <w:rPr>
          <w:rFonts w:ascii="Times New Roman" w:hAnsi="Times New Roman" w:eastAsia="Times New Roman" w:cs="Times New Roman"/>
          <w:b/>
          <w:color w:val="000000"/>
          <w:kern w:val="2"/>
          <w:sz w:val="24"/>
          <w:szCs w:val="24"/>
          <w:highlight w:val="none"/>
        </w:rPr>
        <w:t>MFFE</w:t>
      </w:r>
      <w:r>
        <w:rPr>
          <w:rFonts w:ascii="Times New Roman" w:hAnsi="Times New Roman" w:eastAsia="Times New Roman" w:cs="Times New Roman"/>
          <w:color w:val="000000"/>
          <w:kern w:val="2"/>
          <w:sz w:val="24"/>
          <w:szCs w:val="24"/>
          <w:highlight w:val="none"/>
        </w:rPr>
        <w:t xml:space="preserve">: (methanol fraction of the methanol extract of </w:t>
      </w:r>
      <w:r>
        <w:rPr>
          <w:rFonts w:ascii="Times New Roman" w:hAnsi="Times New Roman" w:eastAsia="Times New Roman" w:cs="Times New Roman"/>
          <w:i/>
          <w:color w:val="000000"/>
          <w:kern w:val="2"/>
          <w:sz w:val="24"/>
          <w:szCs w:val="24"/>
          <w:highlight w:val="none"/>
        </w:rPr>
        <w:t>Funtumia elastica</w:t>
      </w:r>
      <w:r>
        <w:rPr>
          <w:rFonts w:ascii="Times New Roman" w:hAnsi="Times New Roman" w:eastAsia="Times New Roman" w:cs="Times New Roman"/>
          <w:color w:val="000000"/>
          <w:kern w:val="2"/>
          <w:sz w:val="24"/>
          <w:szCs w:val="24"/>
          <w:highlight w:val="none"/>
        </w:rPr>
        <w:t>)</w:t>
      </w:r>
    </w:p>
    <w:p w14:paraId="5014AFD6">
      <w:pPr>
        <w:spacing w:line="480" w:lineRule="auto"/>
        <w:jc w:val="both"/>
        <w:rPr>
          <w:rFonts w:ascii="Times New Roman" w:hAnsi="Times New Roman" w:cs="Times New Roman"/>
          <w:sz w:val="24"/>
          <w:szCs w:val="24"/>
          <w:highlight w:val="none"/>
        </w:rPr>
      </w:pPr>
    </w:p>
    <w:p w14:paraId="3FBF1482">
      <w:pPr>
        <w:spacing w:after="100" w:line="480" w:lineRule="auto"/>
        <w:jc w:val="both"/>
        <w:rPr>
          <w:rFonts w:ascii="Times New Roman" w:hAnsi="Times New Roman" w:eastAsia="Calibri" w:cs="Times New Roman"/>
          <w:b/>
          <w:bCs/>
          <w:color w:val="000000"/>
          <w:kern w:val="2"/>
          <w:sz w:val="24"/>
          <w:szCs w:val="24"/>
          <w:highlight w:val="none"/>
        </w:rPr>
      </w:pPr>
    </w:p>
    <w:p w14:paraId="71BB5FCC">
      <w:pPr>
        <w:spacing w:after="100" w:line="480" w:lineRule="auto"/>
        <w:jc w:val="both"/>
        <w:rPr>
          <w:rFonts w:ascii="Times New Roman" w:hAnsi="Times New Roman" w:eastAsia="Calibri" w:cs="Times New Roman"/>
          <w:b/>
          <w:bCs/>
          <w:color w:val="000000"/>
          <w:kern w:val="2"/>
          <w:sz w:val="24"/>
          <w:szCs w:val="24"/>
          <w:highlight w:val="none"/>
        </w:rPr>
      </w:pPr>
    </w:p>
    <w:p w14:paraId="5D8470F2">
      <w:pPr>
        <w:spacing w:after="100" w:line="480" w:lineRule="auto"/>
        <w:jc w:val="both"/>
        <w:rPr>
          <w:rFonts w:ascii="Times New Roman" w:hAnsi="Times New Roman" w:eastAsia="Calibri" w:cs="Times New Roman"/>
          <w:b/>
          <w:bCs/>
          <w:color w:val="000000"/>
          <w:kern w:val="2"/>
          <w:sz w:val="24"/>
          <w:szCs w:val="24"/>
          <w:highlight w:val="none"/>
        </w:rPr>
      </w:pPr>
    </w:p>
    <w:p w14:paraId="729226B0">
      <w:pPr>
        <w:spacing w:after="100" w:line="480" w:lineRule="auto"/>
        <w:jc w:val="both"/>
        <w:rPr>
          <w:rFonts w:ascii="Times New Roman" w:hAnsi="Times New Roman" w:eastAsia="Calibri" w:cs="Times New Roman"/>
          <w:b/>
          <w:bCs/>
          <w:color w:val="000000"/>
          <w:kern w:val="2"/>
          <w:sz w:val="24"/>
          <w:szCs w:val="24"/>
          <w:highlight w:val="none"/>
        </w:rPr>
      </w:pPr>
    </w:p>
    <w:p w14:paraId="44AA858D">
      <w:pPr>
        <w:spacing w:after="100" w:line="480" w:lineRule="auto"/>
        <w:jc w:val="both"/>
        <w:rPr>
          <w:rFonts w:ascii="Times New Roman" w:hAnsi="Times New Roman" w:eastAsia="Calibri" w:cs="Times New Roman"/>
          <w:b/>
          <w:bCs/>
          <w:color w:val="000000"/>
          <w:kern w:val="2"/>
          <w:sz w:val="24"/>
          <w:szCs w:val="24"/>
          <w:highlight w:val="none"/>
        </w:rPr>
      </w:pPr>
      <w:r>
        <w:rPr>
          <w:rFonts w:ascii="Times New Roman" w:hAnsi="Times New Roman" w:eastAsia="Calibri" w:cs="Times New Roman"/>
          <w:b/>
          <w:bCs/>
          <w:color w:val="000000"/>
          <w:kern w:val="2"/>
          <w:sz w:val="24"/>
          <w:szCs w:val="24"/>
          <w:highlight w:val="none"/>
        </w:rPr>
        <w:t xml:space="preserve">Effects of CFFE on </w:t>
      </w:r>
      <w:r>
        <w:rPr>
          <w:rFonts w:ascii="Times New Roman" w:hAnsi="Times New Roman" w:eastAsia="Calibri" w:cs="Times New Roman"/>
          <w:b/>
          <w:bCs/>
          <w:color w:val="FFFFFF"/>
          <w:kern w:val="2"/>
          <w:sz w:val="24"/>
          <w:szCs w:val="24"/>
          <w:highlight w:val="none"/>
        </w:rPr>
        <w:t>i</w:t>
      </w:r>
      <w:r>
        <w:rPr>
          <w:rFonts w:ascii="Times New Roman" w:hAnsi="Times New Roman" w:eastAsia="Calibri" w:cs="Times New Roman"/>
          <w:b/>
          <w:bCs/>
          <w:color w:val="000000"/>
          <w:kern w:val="2"/>
          <w:sz w:val="24"/>
          <w:szCs w:val="24"/>
          <w:highlight w:val="none"/>
        </w:rPr>
        <w:t xml:space="preserve">mPT pore opening </w:t>
      </w:r>
    </w:p>
    <w:p w14:paraId="4601D6A9">
      <w:pPr>
        <w:spacing w:after="100" w:line="480" w:lineRule="auto"/>
        <w:jc w:val="both"/>
        <w:rPr>
          <w:rFonts w:ascii="Times New Roman" w:hAnsi="Times New Roman" w:eastAsia="Times New Roman" w:cs="Times New Roman"/>
          <w:color w:val="000000"/>
          <w:kern w:val="2"/>
          <w:sz w:val="24"/>
          <w:szCs w:val="24"/>
          <w:highlight w:val="none"/>
        </w:rPr>
      </w:pPr>
      <w:r>
        <w:rPr>
          <w:rFonts w:ascii="Times New Roman" w:hAnsi="Times New Roman" w:eastAsia="Calibri" w:cs="Times New Roman"/>
          <w:bCs/>
          <w:color w:val="000000"/>
          <w:kern w:val="2"/>
          <w:sz w:val="24"/>
          <w:szCs w:val="24"/>
          <w:highlight w:val="none"/>
        </w:rPr>
        <w:t>The data in Fig. 3 shows the effects of varying doses of CFFE (50, 100, 200 mg/kg) on</w:t>
      </w:r>
      <w:r>
        <w:rPr>
          <w:rFonts w:ascii="Times New Roman" w:hAnsi="Times New Roman" w:eastAsia="Calibri" w:cs="Times New Roman"/>
          <w:bCs/>
          <w:color w:val="FFFFFF"/>
          <w:kern w:val="2"/>
          <w:sz w:val="24"/>
          <w:szCs w:val="24"/>
          <w:highlight w:val="none"/>
        </w:rPr>
        <w:t xml:space="preserve"> i</w:t>
      </w:r>
      <w:r>
        <w:rPr>
          <w:rFonts w:ascii="Times New Roman" w:hAnsi="Times New Roman" w:eastAsia="Calibri" w:cs="Times New Roman"/>
          <w:bCs/>
          <w:color w:val="000000"/>
          <w:kern w:val="2"/>
          <w:sz w:val="24"/>
          <w:szCs w:val="24"/>
          <w:highlight w:val="none"/>
        </w:rPr>
        <w:t>mPT</w:t>
      </w:r>
      <w:r>
        <w:rPr>
          <w:rFonts w:hint="default" w:ascii="Times New Roman" w:hAnsi="Times New Roman" w:eastAsia="Calibri" w:cs="Times New Roman"/>
          <w:bCs/>
          <w:color w:val="000000"/>
          <w:kern w:val="2"/>
          <w:sz w:val="24"/>
          <w:szCs w:val="24"/>
          <w:highlight w:val="none"/>
          <w:lang w:val="en-US"/>
        </w:rPr>
        <w:t xml:space="preserve"> </w:t>
      </w:r>
      <w:r>
        <w:rPr>
          <w:rFonts w:ascii="Times New Roman" w:hAnsi="Times New Roman" w:eastAsia="Calibri" w:cs="Times New Roman"/>
          <w:bCs/>
          <w:color w:val="000000"/>
          <w:kern w:val="2"/>
          <w:sz w:val="24"/>
          <w:szCs w:val="24"/>
          <w:highlight w:val="none"/>
        </w:rPr>
        <w:t xml:space="preserve">pore opening. Treatment with CFFE shows a significant dose-dependent induction of pore opening compared with the control. The CFFE at 50, 100 and 200 mg/kg caused induction folds </w:t>
      </w:r>
      <w:r>
        <w:rPr>
          <w:rFonts w:ascii="Times New Roman" w:hAnsi="Times New Roman" w:eastAsia="Times New Roman" w:cs="Times New Roman"/>
          <w:color w:val="000000"/>
          <w:kern w:val="2"/>
          <w:sz w:val="24"/>
          <w:szCs w:val="24"/>
          <w:highlight w:val="none"/>
        </w:rPr>
        <w:t>of 3.7, 10.0 and 13.0, respectively, when related to the control.</w:t>
      </w:r>
    </w:p>
    <w:p w14:paraId="3E1F356B">
      <w:pPr>
        <w:spacing w:after="100" w:line="480" w:lineRule="auto"/>
        <w:jc w:val="both"/>
        <w:rPr>
          <w:rFonts w:ascii="Times New Roman" w:hAnsi="Times New Roman" w:eastAsia="Times New Roman" w:cs="Times New Roman"/>
          <w:color w:val="000000"/>
          <w:kern w:val="2"/>
          <w:sz w:val="24"/>
          <w:szCs w:val="24"/>
          <w:highlight w:val="none"/>
        </w:rPr>
      </w:pPr>
      <w:r>
        <w:rPr>
          <w:color w:val="000000"/>
          <w:kern w:val="2"/>
          <w:highlight w:val="none"/>
        </w:rPr>
        <w:drawing>
          <wp:inline distT="0" distB="0" distL="0" distR="0">
            <wp:extent cx="5461000" cy="2868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l="951" t="1458" r="9130" b="21061"/>
                    <a:stretch>
                      <a:fillRect/>
                    </a:stretch>
                  </pic:blipFill>
                  <pic:spPr>
                    <a:xfrm>
                      <a:off x="0" y="0"/>
                      <a:ext cx="5461000" cy="2868930"/>
                    </a:xfrm>
                    <a:prstGeom prst="rect">
                      <a:avLst/>
                    </a:prstGeom>
                    <a:noFill/>
                    <a:ln>
                      <a:noFill/>
                    </a:ln>
                  </pic:spPr>
                </pic:pic>
              </a:graphicData>
            </a:graphic>
          </wp:inline>
        </w:drawing>
      </w:r>
    </w:p>
    <w:p w14:paraId="1D45432A">
      <w:pPr>
        <w:spacing w:after="100" w:line="360" w:lineRule="auto"/>
        <w:ind w:left="720" w:hanging="720"/>
        <w:jc w:val="both"/>
        <w:rPr>
          <w:rFonts w:ascii="Times New Roman" w:hAnsi="Times New Roman" w:eastAsia="Times New Roman" w:cs="Times New Roman"/>
          <w:bCs/>
          <w:color w:val="000000"/>
          <w:kern w:val="2"/>
          <w:sz w:val="24"/>
          <w:szCs w:val="24"/>
          <w:highlight w:val="none"/>
        </w:rPr>
      </w:pPr>
      <w:r>
        <w:rPr>
          <w:rFonts w:ascii="Times New Roman" w:hAnsi="Times New Roman" w:eastAsia="Times New Roman" w:cs="Times New Roman"/>
          <w:b/>
          <w:color w:val="000000"/>
          <w:kern w:val="2"/>
          <w:sz w:val="24"/>
          <w:szCs w:val="24"/>
          <w:highlight w:val="none"/>
        </w:rPr>
        <w:t>Figure 3</w:t>
      </w:r>
      <w:r>
        <w:rPr>
          <w:rFonts w:ascii="Times New Roman" w:hAnsi="Times New Roman" w:eastAsia="Times New Roman" w:cs="Times New Roman"/>
          <w:color w:val="000000"/>
          <w:kern w:val="2"/>
          <w:sz w:val="24"/>
          <w:szCs w:val="24"/>
          <w:highlight w:val="none"/>
        </w:rPr>
        <w:t xml:space="preserve">: </w:t>
      </w:r>
      <w:r>
        <w:rPr>
          <w:rFonts w:ascii="Times New Roman" w:hAnsi="Times New Roman" w:eastAsia="Times New Roman" w:cs="Times New Roman"/>
          <w:b w:val="0"/>
          <w:bCs/>
          <w:color w:val="000000"/>
          <w:kern w:val="2"/>
          <w:sz w:val="24"/>
          <w:szCs w:val="24"/>
          <w:highlight w:val="none"/>
        </w:rPr>
        <w:t>Representative profile showing the e</w:t>
      </w:r>
      <w:r>
        <w:rPr>
          <w:rFonts w:ascii="Times New Roman" w:hAnsi="Times New Roman" w:eastAsia="Calibri" w:cs="Times New Roman"/>
          <w:b w:val="0"/>
          <w:bCs/>
          <w:color w:val="000000"/>
          <w:kern w:val="2"/>
          <w:sz w:val="24"/>
          <w:szCs w:val="24"/>
          <w:highlight w:val="none"/>
        </w:rPr>
        <w:t>ffects of varying doses</w:t>
      </w:r>
      <w:r>
        <w:rPr>
          <w:rFonts w:ascii="Times New Roman" w:hAnsi="Times New Roman" w:eastAsia="Times New Roman" w:cs="Times New Roman"/>
          <w:b w:val="0"/>
          <w:bCs/>
          <w:color w:val="000000"/>
          <w:kern w:val="2"/>
          <w:sz w:val="24"/>
          <w:szCs w:val="24"/>
          <w:highlight w:val="none"/>
        </w:rPr>
        <w:t xml:space="preserve"> of</w:t>
      </w:r>
      <w:r>
        <w:rPr>
          <w:rFonts w:ascii="Times New Roman" w:hAnsi="Times New Roman" w:eastAsia="Calibri" w:cs="Times New Roman"/>
          <w:b w:val="0"/>
          <w:bCs/>
          <w:color w:val="000000"/>
          <w:kern w:val="2"/>
          <w:sz w:val="24"/>
          <w:szCs w:val="24"/>
          <w:highlight w:val="none"/>
        </w:rPr>
        <w:t xml:space="preserve"> CFFE on </w:t>
      </w:r>
      <w:r>
        <w:rPr>
          <w:rFonts w:ascii="Times New Roman" w:hAnsi="Times New Roman" w:eastAsia="Calibri" w:cs="Times New Roman"/>
          <w:b w:val="0"/>
          <w:bCs/>
          <w:color w:val="FFFFFF"/>
          <w:kern w:val="2"/>
          <w:sz w:val="24"/>
          <w:szCs w:val="24"/>
          <w:highlight w:val="none"/>
        </w:rPr>
        <w:t>i</w:t>
      </w:r>
      <w:r>
        <w:rPr>
          <w:rFonts w:ascii="Times New Roman" w:hAnsi="Times New Roman" w:eastAsia="Calibri" w:cs="Times New Roman"/>
          <w:b w:val="0"/>
          <w:bCs/>
          <w:color w:val="000000"/>
          <w:kern w:val="2"/>
          <w:sz w:val="24"/>
          <w:szCs w:val="24"/>
          <w:highlight w:val="none"/>
        </w:rPr>
        <w:t>mPT pore opening after 28 days of oral treatment</w:t>
      </w:r>
    </w:p>
    <w:p w14:paraId="052E5C7B">
      <w:pPr>
        <w:spacing w:after="100" w:line="480" w:lineRule="auto"/>
        <w:jc w:val="both"/>
        <w:rPr>
          <w:rFonts w:ascii="Times New Roman" w:hAnsi="Times New Roman" w:eastAsia="Calibri" w:cs="Times New Roman"/>
          <w:b/>
          <w:bCs/>
          <w:color w:val="000000"/>
          <w:kern w:val="2"/>
          <w:sz w:val="24"/>
          <w:szCs w:val="24"/>
          <w:highlight w:val="none"/>
        </w:rPr>
      </w:pPr>
    </w:p>
    <w:p w14:paraId="5E9E9354">
      <w:pPr>
        <w:spacing w:after="100" w:line="480" w:lineRule="auto"/>
        <w:jc w:val="both"/>
        <w:rPr>
          <w:rFonts w:ascii="Times New Roman" w:hAnsi="Times New Roman" w:eastAsia="Calibri" w:cs="Times New Roman"/>
          <w:b/>
          <w:bCs/>
          <w:color w:val="000000"/>
          <w:kern w:val="2"/>
          <w:sz w:val="24"/>
          <w:szCs w:val="24"/>
          <w:highlight w:val="none"/>
        </w:rPr>
      </w:pPr>
      <w:r>
        <w:rPr>
          <w:rFonts w:ascii="Times New Roman" w:hAnsi="Times New Roman" w:eastAsia="Calibri" w:cs="Times New Roman"/>
          <w:b/>
          <w:bCs/>
          <w:color w:val="000000"/>
          <w:kern w:val="2"/>
          <w:sz w:val="24"/>
          <w:szCs w:val="24"/>
          <w:highlight w:val="none"/>
        </w:rPr>
        <w:t>Effects of CFFE on mitochondrial F</w:t>
      </w:r>
      <w:r>
        <w:rPr>
          <w:rFonts w:ascii="Times New Roman" w:hAnsi="Times New Roman" w:eastAsia="Calibri" w:cs="Times New Roman"/>
          <w:b/>
          <w:bCs/>
          <w:color w:val="000000"/>
          <w:kern w:val="2"/>
          <w:sz w:val="24"/>
          <w:szCs w:val="24"/>
          <w:highlight w:val="none"/>
          <w:vertAlign w:val="subscript"/>
        </w:rPr>
        <w:t>1</w:t>
      </w:r>
      <w:r>
        <w:rPr>
          <w:rFonts w:ascii="Times New Roman" w:hAnsi="Times New Roman" w:eastAsia="Calibri" w:cs="Times New Roman"/>
          <w:b/>
          <w:bCs/>
          <w:color w:val="000000"/>
          <w:kern w:val="2"/>
          <w:sz w:val="24"/>
          <w:szCs w:val="24"/>
          <w:highlight w:val="none"/>
        </w:rPr>
        <w:t>F</w:t>
      </w:r>
      <w:r>
        <w:rPr>
          <w:rFonts w:ascii="Times New Roman" w:hAnsi="Times New Roman" w:eastAsia="Calibri" w:cs="Times New Roman"/>
          <w:b/>
          <w:bCs/>
          <w:color w:val="000000"/>
          <w:kern w:val="2"/>
          <w:sz w:val="24"/>
          <w:szCs w:val="24"/>
          <w:highlight w:val="none"/>
          <w:vertAlign w:val="subscript"/>
        </w:rPr>
        <w:t>0</w:t>
      </w:r>
      <w:r>
        <w:rPr>
          <w:rFonts w:ascii="Times New Roman" w:hAnsi="Times New Roman" w:eastAsia="Calibri" w:cs="Times New Roman"/>
          <w:b/>
          <w:bCs/>
          <w:color w:val="000000"/>
          <w:kern w:val="2"/>
          <w:sz w:val="24"/>
          <w:szCs w:val="24"/>
          <w:highlight w:val="none"/>
        </w:rPr>
        <w:t xml:space="preserve"> ATPase activity</w:t>
      </w:r>
    </w:p>
    <w:p w14:paraId="0486E3A6">
      <w:pPr>
        <w:spacing w:after="100" w:line="480" w:lineRule="auto"/>
        <w:jc w:val="both"/>
        <w:rPr>
          <w:rFonts w:ascii="Times New Roman" w:hAnsi="Times New Roman" w:eastAsia="Times New Roman" w:cs="Times New Roman"/>
          <w:bCs/>
          <w:color w:val="000000"/>
          <w:kern w:val="2"/>
          <w:sz w:val="24"/>
          <w:szCs w:val="24"/>
          <w:highlight w:val="none"/>
        </w:rPr>
      </w:pPr>
      <w:r>
        <w:rPr>
          <w:rFonts w:ascii="Times New Roman" w:hAnsi="Times New Roman" w:eastAsia="Times New Roman" w:cs="Times New Roman"/>
          <w:bCs/>
          <w:color w:val="000000"/>
          <w:kern w:val="2"/>
          <w:sz w:val="24"/>
          <w:szCs w:val="24"/>
          <w:highlight w:val="none"/>
        </w:rPr>
        <w:t xml:space="preserve">The effects of CFFE on mitochondrial ATPase is illustrated in Fig. 4. The results indicated a significant dose-dependent enhancement of mitochondrial ATPase activity related to the control. The CFFE at doses 50, 100 and 200 mg/kg caused increase in mitochondrial ATPase activity by 20, 40, 56 %, respectively, when compared to the control. </w:t>
      </w:r>
    </w:p>
    <w:p w14:paraId="45D7FA85">
      <w:pPr>
        <w:spacing w:after="100" w:line="360" w:lineRule="auto"/>
        <w:ind w:left="720" w:hanging="720"/>
        <w:jc w:val="both"/>
        <w:rPr>
          <w:rFonts w:ascii="Times New Roman" w:hAnsi="Times New Roman" w:eastAsia="Times New Roman" w:cs="Times New Roman"/>
          <w:bCs/>
          <w:color w:val="000000"/>
          <w:kern w:val="2"/>
          <w:sz w:val="24"/>
          <w:szCs w:val="24"/>
          <w:highlight w:val="none"/>
        </w:rPr>
      </w:pPr>
    </w:p>
    <w:p w14:paraId="09B2A865">
      <w:pPr>
        <w:rPr>
          <w:rFonts w:ascii="Times New Roman" w:hAnsi="Times New Roman" w:eastAsia="Times New Roman" w:cs="Times New Roman"/>
          <w:color w:val="000000"/>
          <w:kern w:val="2"/>
          <w:sz w:val="24"/>
          <w:szCs w:val="24"/>
          <w:highlight w:val="none"/>
        </w:rPr>
      </w:pPr>
      <w:r>
        <w:rPr>
          <w:color w:val="000000"/>
          <w:kern w:val="2"/>
          <w:highlight w:val="none"/>
        </w:rPr>
        <w:drawing>
          <wp:inline distT="0" distB="0" distL="0" distR="0">
            <wp:extent cx="3999865" cy="3084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9865" cy="3084830"/>
                    </a:xfrm>
                    <a:prstGeom prst="rect">
                      <a:avLst/>
                    </a:prstGeom>
                    <a:noFill/>
                    <a:ln>
                      <a:noFill/>
                    </a:ln>
                  </pic:spPr>
                </pic:pic>
              </a:graphicData>
            </a:graphic>
          </wp:inline>
        </w:drawing>
      </w:r>
    </w:p>
    <w:p w14:paraId="25F2E9A2">
      <w:pPr>
        <w:tabs>
          <w:tab w:val="left" w:pos="2347"/>
        </w:tabs>
        <w:spacing w:after="100" w:line="240" w:lineRule="auto"/>
        <w:jc w:val="both"/>
        <w:rPr>
          <w:b/>
          <w:highlight w:val="none"/>
        </w:rPr>
      </w:pPr>
      <w:r>
        <w:rPr>
          <w:rFonts w:ascii="Times New Roman" w:hAnsi="Times New Roman" w:eastAsia="Times New Roman" w:cs="Times New Roman"/>
          <w:b/>
          <w:color w:val="000000"/>
          <w:kern w:val="2"/>
          <w:sz w:val="24"/>
          <w:szCs w:val="24"/>
          <w:highlight w:val="none"/>
        </w:rPr>
        <w:t xml:space="preserve">Figure 4: </w:t>
      </w:r>
      <w:r>
        <w:rPr>
          <w:rFonts w:ascii="Times New Roman" w:hAnsi="Times New Roman" w:eastAsia="Calibri" w:cs="Times New Roman"/>
          <w:b w:val="0"/>
          <w:bCs w:val="0"/>
          <w:color w:val="000000"/>
          <w:kern w:val="2"/>
          <w:sz w:val="24"/>
          <w:szCs w:val="24"/>
          <w:highlight w:val="none"/>
        </w:rPr>
        <w:t>Effects of varying doses</w:t>
      </w:r>
      <w:r>
        <w:rPr>
          <w:rFonts w:ascii="Times New Roman" w:hAnsi="Times New Roman" w:eastAsia="Times New Roman" w:cs="Times New Roman"/>
          <w:b w:val="0"/>
          <w:bCs w:val="0"/>
          <w:color w:val="000000"/>
          <w:kern w:val="2"/>
          <w:sz w:val="24"/>
          <w:szCs w:val="24"/>
          <w:highlight w:val="none"/>
        </w:rPr>
        <w:t xml:space="preserve"> </w:t>
      </w:r>
      <w:r>
        <w:rPr>
          <w:rFonts w:ascii="Times New Roman" w:hAnsi="Times New Roman" w:eastAsia="Calibri" w:cs="Times New Roman"/>
          <w:b w:val="0"/>
          <w:bCs w:val="0"/>
          <w:color w:val="000000"/>
          <w:kern w:val="2"/>
          <w:sz w:val="24"/>
          <w:szCs w:val="24"/>
          <w:highlight w:val="none"/>
        </w:rPr>
        <w:t>of CFFE on mitochondrial ATPase activity</w:t>
      </w:r>
      <w:r>
        <w:rPr>
          <w:b w:val="0"/>
          <w:bCs w:val="0"/>
          <w:highlight w:val="none"/>
        </w:rPr>
        <w:t xml:space="preserve"> </w:t>
      </w:r>
    </w:p>
    <w:p w14:paraId="72F9B581">
      <w:pPr>
        <w:tabs>
          <w:tab w:val="left" w:pos="2347"/>
        </w:tabs>
        <w:spacing w:after="100" w:line="240" w:lineRule="auto"/>
        <w:jc w:val="both"/>
        <w:rPr>
          <w:rFonts w:ascii="Times New Roman" w:hAnsi="Times New Roman" w:eastAsia="Times New Roman" w:cs="Times New Roman"/>
          <w:color w:val="000000"/>
          <w:kern w:val="2"/>
          <w:sz w:val="24"/>
          <w:szCs w:val="24"/>
          <w:highlight w:val="none"/>
        </w:rPr>
      </w:pPr>
      <w:r>
        <w:rPr>
          <w:rFonts w:ascii="Times New Roman" w:hAnsi="Times New Roman" w:eastAsia="Times New Roman" w:cs="Times New Roman"/>
          <w:color w:val="000000"/>
          <w:kern w:val="2"/>
          <w:sz w:val="24"/>
          <w:szCs w:val="24"/>
          <w:highlight w:val="none"/>
        </w:rPr>
        <w:t>The values are expressed as mean ± SD of four independent replicates. *P&lt;0.05,   **P&lt; 0.01,   ***P&lt;0.001 compared to the control. 2,4-DNP (2,4-Dinitrophenol-classical uncoupler of oxidative phosphorylation)</w:t>
      </w:r>
    </w:p>
    <w:p w14:paraId="70B504E8">
      <w:pPr>
        <w:spacing w:after="100" w:line="360" w:lineRule="auto"/>
        <w:jc w:val="both"/>
        <w:rPr>
          <w:rFonts w:ascii="Times New Roman" w:hAnsi="Times New Roman" w:eastAsia="Times New Roman" w:cs="Times New Roman"/>
          <w:b/>
          <w:bCs/>
          <w:color w:val="000000"/>
          <w:kern w:val="2"/>
          <w:sz w:val="24"/>
          <w:szCs w:val="24"/>
          <w:highlight w:val="none"/>
        </w:rPr>
      </w:pPr>
    </w:p>
    <w:p w14:paraId="09BB6953">
      <w:pPr>
        <w:spacing w:after="100" w:line="360" w:lineRule="auto"/>
        <w:jc w:val="both"/>
        <w:rPr>
          <w:rFonts w:ascii="Times New Roman" w:hAnsi="Times New Roman" w:eastAsia="Times New Roman" w:cs="Times New Roman"/>
          <w:b/>
          <w:bCs/>
          <w:color w:val="000000"/>
          <w:kern w:val="2"/>
          <w:sz w:val="24"/>
          <w:szCs w:val="24"/>
          <w:highlight w:val="none"/>
        </w:rPr>
      </w:pPr>
    </w:p>
    <w:p w14:paraId="699BF1E9">
      <w:pPr>
        <w:spacing w:after="100" w:line="360" w:lineRule="auto"/>
        <w:jc w:val="both"/>
        <w:rPr>
          <w:rFonts w:ascii="Times New Roman" w:hAnsi="Times New Roman" w:eastAsia="Times New Roman" w:cs="Times New Roman"/>
          <w:b/>
          <w:bCs/>
          <w:color w:val="000000"/>
          <w:kern w:val="2"/>
          <w:sz w:val="24"/>
          <w:szCs w:val="24"/>
          <w:highlight w:val="none"/>
        </w:rPr>
      </w:pPr>
    </w:p>
    <w:p w14:paraId="20EE8B5C">
      <w:pPr>
        <w:spacing w:after="100" w:line="360" w:lineRule="auto"/>
        <w:jc w:val="both"/>
        <w:rPr>
          <w:rFonts w:ascii="Times New Roman" w:hAnsi="Times New Roman" w:eastAsia="Times New Roman" w:cs="Times New Roman"/>
          <w:b/>
          <w:bCs/>
          <w:color w:val="000000"/>
          <w:kern w:val="2"/>
          <w:sz w:val="24"/>
          <w:szCs w:val="24"/>
          <w:highlight w:val="none"/>
        </w:rPr>
      </w:pPr>
    </w:p>
    <w:p w14:paraId="0F6EECA5">
      <w:pPr>
        <w:spacing w:after="100" w:line="360" w:lineRule="auto"/>
        <w:jc w:val="both"/>
        <w:rPr>
          <w:rFonts w:ascii="Times New Roman" w:hAnsi="Times New Roman" w:eastAsia="Times New Roman" w:cs="Times New Roman"/>
          <w:b/>
          <w:bCs/>
          <w:color w:val="000000"/>
          <w:kern w:val="2"/>
          <w:sz w:val="24"/>
          <w:szCs w:val="24"/>
          <w:highlight w:val="none"/>
        </w:rPr>
      </w:pPr>
    </w:p>
    <w:p w14:paraId="647099B8">
      <w:pPr>
        <w:spacing w:after="100" w:line="360" w:lineRule="auto"/>
        <w:jc w:val="both"/>
        <w:rPr>
          <w:rFonts w:ascii="Times New Roman" w:hAnsi="Times New Roman" w:eastAsia="Times New Roman" w:cs="Times New Roman"/>
          <w:b/>
          <w:bCs/>
          <w:color w:val="000000"/>
          <w:kern w:val="2"/>
          <w:sz w:val="24"/>
          <w:szCs w:val="24"/>
          <w:highlight w:val="none"/>
        </w:rPr>
      </w:pPr>
    </w:p>
    <w:p w14:paraId="064FF842">
      <w:pPr>
        <w:spacing w:after="100" w:line="360" w:lineRule="auto"/>
        <w:jc w:val="both"/>
        <w:rPr>
          <w:rFonts w:ascii="Times New Roman" w:hAnsi="Times New Roman" w:eastAsia="Times New Roman" w:cs="Times New Roman"/>
          <w:b/>
          <w:bCs/>
          <w:color w:val="000000"/>
          <w:kern w:val="2"/>
          <w:sz w:val="24"/>
          <w:szCs w:val="24"/>
          <w:highlight w:val="none"/>
        </w:rPr>
      </w:pPr>
    </w:p>
    <w:p w14:paraId="7D08DD19">
      <w:pPr>
        <w:spacing w:after="100" w:line="360" w:lineRule="auto"/>
        <w:jc w:val="both"/>
        <w:rPr>
          <w:rFonts w:ascii="Times New Roman" w:hAnsi="Times New Roman" w:eastAsia="Times New Roman" w:cs="Times New Roman"/>
          <w:b/>
          <w:bCs/>
          <w:color w:val="000000"/>
          <w:kern w:val="2"/>
          <w:sz w:val="24"/>
          <w:szCs w:val="24"/>
          <w:highlight w:val="none"/>
        </w:rPr>
      </w:pPr>
    </w:p>
    <w:p w14:paraId="0956F604">
      <w:pPr>
        <w:spacing w:after="100" w:line="360" w:lineRule="auto"/>
        <w:jc w:val="both"/>
        <w:rPr>
          <w:rFonts w:ascii="Times New Roman" w:hAnsi="Times New Roman" w:eastAsia="Times New Roman" w:cs="Times New Roman"/>
          <w:b/>
          <w:bCs/>
          <w:color w:val="000000"/>
          <w:kern w:val="2"/>
          <w:sz w:val="24"/>
          <w:szCs w:val="24"/>
          <w:highlight w:val="none"/>
        </w:rPr>
      </w:pPr>
    </w:p>
    <w:p w14:paraId="64B3DAB4">
      <w:pPr>
        <w:spacing w:after="100" w:line="360" w:lineRule="auto"/>
        <w:jc w:val="both"/>
        <w:rPr>
          <w:rFonts w:ascii="Times New Roman" w:hAnsi="Times New Roman" w:eastAsia="Times New Roman" w:cs="Times New Roman"/>
          <w:b/>
          <w:bCs/>
          <w:color w:val="000000"/>
          <w:kern w:val="2"/>
          <w:sz w:val="24"/>
          <w:szCs w:val="24"/>
          <w:highlight w:val="none"/>
        </w:rPr>
      </w:pPr>
    </w:p>
    <w:p w14:paraId="242132BF">
      <w:pPr>
        <w:spacing w:after="100" w:line="360" w:lineRule="auto"/>
        <w:jc w:val="both"/>
        <w:rPr>
          <w:rFonts w:ascii="Times New Roman" w:hAnsi="Times New Roman" w:eastAsia="Times New Roman" w:cs="Times New Roman"/>
          <w:b/>
          <w:bCs/>
          <w:color w:val="000000"/>
          <w:kern w:val="2"/>
          <w:sz w:val="24"/>
          <w:szCs w:val="24"/>
          <w:highlight w:val="none"/>
        </w:rPr>
      </w:pPr>
    </w:p>
    <w:p w14:paraId="4BBA08C4">
      <w:pPr>
        <w:spacing w:after="100" w:line="360" w:lineRule="auto"/>
        <w:jc w:val="both"/>
        <w:rPr>
          <w:rFonts w:ascii="Times New Roman" w:hAnsi="Times New Roman" w:eastAsia="Times New Roman" w:cs="Times New Roman"/>
          <w:b/>
          <w:bCs/>
          <w:color w:val="000000"/>
          <w:kern w:val="2"/>
          <w:sz w:val="24"/>
          <w:szCs w:val="24"/>
          <w:highlight w:val="none"/>
        </w:rPr>
      </w:pPr>
    </w:p>
    <w:p w14:paraId="4190F17C">
      <w:pPr>
        <w:spacing w:after="100" w:line="360" w:lineRule="auto"/>
        <w:jc w:val="both"/>
        <w:rPr>
          <w:rFonts w:ascii="Times New Roman" w:hAnsi="Times New Roman" w:eastAsia="Times New Roman" w:cs="Times New Roman"/>
          <w:b/>
          <w:bCs/>
          <w:color w:val="000000"/>
          <w:kern w:val="2"/>
          <w:sz w:val="24"/>
          <w:szCs w:val="24"/>
          <w:highlight w:val="none"/>
        </w:rPr>
      </w:pPr>
    </w:p>
    <w:p w14:paraId="6B8A199C">
      <w:pPr>
        <w:spacing w:after="100" w:line="360" w:lineRule="auto"/>
        <w:jc w:val="both"/>
        <w:rPr>
          <w:rFonts w:ascii="Times New Roman" w:hAnsi="Times New Roman" w:eastAsia="Times New Roman" w:cs="Times New Roman"/>
          <w:b/>
          <w:bCs/>
          <w:color w:val="000000"/>
          <w:kern w:val="2"/>
          <w:sz w:val="24"/>
          <w:szCs w:val="24"/>
          <w:highlight w:val="none"/>
        </w:rPr>
      </w:pPr>
      <w:r>
        <w:rPr>
          <w:rFonts w:ascii="Times New Roman" w:hAnsi="Times New Roman" w:eastAsia="Times New Roman" w:cs="Times New Roman"/>
          <w:b/>
          <w:bCs/>
          <w:color w:val="000000"/>
          <w:kern w:val="2"/>
          <w:sz w:val="24"/>
          <w:szCs w:val="24"/>
          <w:highlight w:val="none"/>
        </w:rPr>
        <w:t>Effects of CFFE on mitochondrial Lipid Peroxidation (mLPO)</w:t>
      </w:r>
    </w:p>
    <w:p w14:paraId="2C057414">
      <w:pPr>
        <w:spacing w:after="100" w:line="360" w:lineRule="auto"/>
        <w:jc w:val="both"/>
        <w:rPr>
          <w:rFonts w:ascii="Times New Roman" w:hAnsi="Times New Roman" w:eastAsia="Times New Roman" w:cs="Times New Roman"/>
          <w:bCs/>
          <w:color w:val="000000"/>
          <w:kern w:val="2"/>
          <w:sz w:val="24"/>
          <w:szCs w:val="24"/>
          <w:highlight w:val="none"/>
        </w:rPr>
      </w:pPr>
      <w:r>
        <w:rPr>
          <w:rFonts w:ascii="Times New Roman" w:hAnsi="Times New Roman" w:eastAsia="Times New Roman" w:cs="Times New Roman"/>
          <w:bCs/>
          <w:color w:val="000000"/>
          <w:kern w:val="2"/>
          <w:sz w:val="24"/>
          <w:szCs w:val="24"/>
          <w:highlight w:val="none"/>
        </w:rPr>
        <w:t xml:space="preserve">The CFFE inhibited mLPO in a dose-dependent manner related to the control, as indicated in figure 5. </w:t>
      </w:r>
    </w:p>
    <w:p w14:paraId="6A3718A2">
      <w:pPr>
        <w:pStyle w:val="4"/>
        <w:ind w:firstLine="3220" w:firstLineChars="1150"/>
        <w:rPr>
          <w:color w:val="0000C0"/>
          <w:spacing w:val="-4"/>
          <w:w w:val="120"/>
          <w:highlight w:val="none"/>
        </w:rPr>
      </w:pPr>
    </w:p>
    <w:p w14:paraId="30D732E2">
      <w:pPr>
        <w:tabs>
          <w:tab w:val="left" w:pos="2347"/>
        </w:tabs>
        <w:spacing w:after="100" w:line="240" w:lineRule="auto"/>
        <w:jc w:val="both"/>
        <w:rPr>
          <w:rFonts w:ascii="Times New Roman" w:hAnsi="Times New Roman" w:eastAsia="Times New Roman" w:cs="Times New Roman"/>
          <w:b/>
          <w:color w:val="000000"/>
          <w:kern w:val="2"/>
          <w:sz w:val="24"/>
          <w:szCs w:val="24"/>
          <w:highlight w:val="none"/>
        </w:rPr>
      </w:pPr>
      <w:r>
        <w:rPr>
          <w:highlight w:val="none"/>
        </w:rPr>
        <w:drawing>
          <wp:inline distT="0" distB="0" distL="114300" distR="114300">
            <wp:extent cx="3929380" cy="30784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929380" cy="3078480"/>
                    </a:xfrm>
                    <a:prstGeom prst="rect">
                      <a:avLst/>
                    </a:prstGeom>
                    <a:noFill/>
                    <a:ln>
                      <a:noFill/>
                    </a:ln>
                  </pic:spPr>
                </pic:pic>
              </a:graphicData>
            </a:graphic>
          </wp:inline>
        </w:drawing>
      </w:r>
    </w:p>
    <w:p w14:paraId="4AC7C7F1">
      <w:pPr>
        <w:tabs>
          <w:tab w:val="left" w:pos="2347"/>
        </w:tabs>
        <w:spacing w:after="100" w:line="240" w:lineRule="auto"/>
        <w:jc w:val="both"/>
        <w:rPr>
          <w:rFonts w:ascii="Times New Roman" w:hAnsi="Times New Roman" w:eastAsia="Calibri" w:cs="Times New Roman"/>
          <w:b/>
          <w:bCs/>
          <w:color w:val="000000"/>
          <w:kern w:val="2"/>
          <w:sz w:val="24"/>
          <w:szCs w:val="24"/>
          <w:highlight w:val="none"/>
        </w:rPr>
      </w:pPr>
      <w:r>
        <w:rPr>
          <w:rFonts w:ascii="Times New Roman" w:hAnsi="Times New Roman" w:eastAsia="Times New Roman" w:cs="Times New Roman"/>
          <w:b/>
          <w:color w:val="000000"/>
          <w:kern w:val="2"/>
          <w:sz w:val="24"/>
          <w:szCs w:val="24"/>
          <w:highlight w:val="none"/>
        </w:rPr>
        <w:t>Figure 5:</w:t>
      </w:r>
      <w:r>
        <w:rPr>
          <w:rFonts w:ascii="Times New Roman" w:hAnsi="Times New Roman" w:eastAsia="Times New Roman" w:cs="Times New Roman"/>
          <w:b w:val="0"/>
          <w:bCs/>
          <w:color w:val="000000"/>
          <w:kern w:val="2"/>
          <w:sz w:val="24"/>
          <w:szCs w:val="24"/>
          <w:highlight w:val="none"/>
        </w:rPr>
        <w:t xml:space="preserve"> </w:t>
      </w:r>
      <w:r>
        <w:rPr>
          <w:rFonts w:ascii="Times New Roman" w:hAnsi="Times New Roman" w:eastAsia="Calibri" w:cs="Times New Roman"/>
          <w:b w:val="0"/>
          <w:bCs/>
          <w:color w:val="000000"/>
          <w:kern w:val="2"/>
          <w:sz w:val="24"/>
          <w:szCs w:val="24"/>
          <w:highlight w:val="none"/>
        </w:rPr>
        <w:t>Effects of varying doses</w:t>
      </w:r>
      <w:r>
        <w:rPr>
          <w:rFonts w:ascii="Times New Roman" w:hAnsi="Times New Roman" w:eastAsia="Times New Roman" w:cs="Times New Roman"/>
          <w:b w:val="0"/>
          <w:bCs/>
          <w:color w:val="000000"/>
          <w:kern w:val="2"/>
          <w:sz w:val="24"/>
          <w:szCs w:val="24"/>
          <w:highlight w:val="none"/>
        </w:rPr>
        <w:t xml:space="preserve"> </w:t>
      </w:r>
      <w:r>
        <w:rPr>
          <w:rFonts w:ascii="Times New Roman" w:hAnsi="Times New Roman" w:eastAsia="Calibri" w:cs="Times New Roman"/>
          <w:b w:val="0"/>
          <w:bCs/>
          <w:color w:val="000000"/>
          <w:kern w:val="2"/>
          <w:sz w:val="24"/>
          <w:szCs w:val="24"/>
          <w:highlight w:val="none"/>
        </w:rPr>
        <w:t>of CFFE on Lipid peroxidation</w:t>
      </w:r>
    </w:p>
    <w:p w14:paraId="6D4E3919">
      <w:pPr>
        <w:tabs>
          <w:tab w:val="left" w:pos="2347"/>
        </w:tabs>
        <w:spacing w:after="100" w:line="240" w:lineRule="auto"/>
        <w:jc w:val="both"/>
        <w:rPr>
          <w:rFonts w:hint="default" w:ascii="Times New Roman" w:hAnsi="Times New Roman" w:eastAsia="Times New Roman" w:cs="Times New Roman"/>
          <w:color w:val="000000"/>
          <w:kern w:val="2"/>
          <w:sz w:val="24"/>
          <w:szCs w:val="24"/>
          <w:highlight w:val="none"/>
          <w:lang w:val="en-US"/>
        </w:rPr>
      </w:pPr>
      <w:r>
        <w:rPr>
          <w:rFonts w:ascii="Times New Roman" w:hAnsi="Times New Roman" w:eastAsia="Times New Roman" w:cs="Times New Roman"/>
          <w:color w:val="000000"/>
          <w:kern w:val="2"/>
          <w:sz w:val="24"/>
          <w:szCs w:val="24"/>
          <w:highlight w:val="none"/>
        </w:rPr>
        <w:t xml:space="preserve">The values are expressed as mean ± SD of four independent replicates. *P&lt;0.05, compared to the </w:t>
      </w:r>
      <w:r>
        <w:rPr>
          <w:rFonts w:hint="default" w:ascii="Times New Roman" w:hAnsi="Times New Roman" w:eastAsia="Times New Roman" w:cs="Times New Roman"/>
          <w:color w:val="000000"/>
          <w:kern w:val="2"/>
          <w:sz w:val="24"/>
          <w:szCs w:val="24"/>
          <w:highlight w:val="none"/>
          <w:lang w:val="en-US"/>
        </w:rPr>
        <w:t>control</w:t>
      </w:r>
    </w:p>
    <w:p w14:paraId="6CF15809">
      <w:pPr>
        <w:spacing w:after="100" w:line="360" w:lineRule="auto"/>
        <w:jc w:val="both"/>
        <w:rPr>
          <w:rFonts w:ascii="Times New Roman" w:hAnsi="Times New Roman" w:eastAsia="Times New Roman" w:cs="Times New Roman"/>
          <w:b/>
          <w:bCs/>
          <w:color w:val="000000"/>
          <w:kern w:val="2"/>
          <w:sz w:val="24"/>
          <w:szCs w:val="24"/>
          <w:highlight w:val="none"/>
        </w:rPr>
      </w:pPr>
    </w:p>
    <w:p w14:paraId="01CB371A">
      <w:pPr>
        <w:spacing w:after="100" w:line="360" w:lineRule="auto"/>
        <w:ind w:left="720" w:hanging="720"/>
        <w:jc w:val="both"/>
        <w:rPr>
          <w:rFonts w:ascii="Times New Roman" w:hAnsi="Times New Roman" w:eastAsia="Times New Roman" w:cs="Times New Roman"/>
          <w:color w:val="000000"/>
          <w:kern w:val="2"/>
          <w:sz w:val="24"/>
          <w:szCs w:val="24"/>
          <w:highlight w:val="none"/>
        </w:rPr>
      </w:pPr>
      <w:r>
        <w:rPr>
          <w:rFonts w:ascii="Times New Roman" w:hAnsi="Times New Roman" w:eastAsia="Calibri" w:cs="Times New Roman"/>
          <w:b/>
          <w:bCs/>
          <w:color w:val="000000"/>
          <w:kern w:val="2"/>
          <w:sz w:val="24"/>
          <w:szCs w:val="24"/>
          <w:highlight w:val="none"/>
        </w:rPr>
        <w:t>Effects of CFFE on caspases 9 and 3 levels</w:t>
      </w:r>
    </w:p>
    <w:p w14:paraId="6C0D8E39">
      <w:pPr>
        <w:tabs>
          <w:tab w:val="left" w:pos="2347"/>
        </w:tabs>
        <w:spacing w:after="100" w:line="360" w:lineRule="auto"/>
        <w:jc w:val="both"/>
        <w:rPr>
          <w:rFonts w:ascii="Times New Roman" w:hAnsi="Times New Roman" w:eastAsia="Times New Roman" w:cs="Times New Roman"/>
          <w:bCs/>
          <w:kern w:val="2"/>
          <w:sz w:val="24"/>
          <w:szCs w:val="24"/>
          <w:highlight w:val="none"/>
        </w:rPr>
      </w:pPr>
      <w:r>
        <w:rPr>
          <w:rFonts w:ascii="Times New Roman" w:hAnsi="Times New Roman" w:eastAsia="Times New Roman" w:cs="Times New Roman"/>
          <w:bCs/>
          <w:color w:val="000000"/>
          <w:kern w:val="2"/>
          <w:sz w:val="24"/>
          <w:szCs w:val="24"/>
          <w:highlight w:val="none"/>
        </w:rPr>
        <w:t xml:space="preserve">The data in figures 6 and 7 indicated a dose-dependent increase in the levels of caspases 9 (54.4, 78.8, 98.6 ng/ml) and 3 (10.1, 14.0, 22.6 ng/ml), at doses 50, 100 and 200 mg/kg, respectively, related to the control.  CFFE activated </w:t>
      </w:r>
      <w:r>
        <w:rPr>
          <w:rFonts w:ascii="Times New Roman" w:hAnsi="Times New Roman" w:eastAsia="Times New Roman" w:cs="Times New Roman"/>
          <w:bCs/>
          <w:kern w:val="2"/>
          <w:sz w:val="24"/>
          <w:szCs w:val="24"/>
          <w:highlight w:val="none"/>
        </w:rPr>
        <w:t xml:space="preserve">caspase 9 by 50% 84%, 150% and caspase 3 by 11%, 55%, 144%, at doses 50,100 and 200 mg/kg, respectively, compared to the control. </w:t>
      </w:r>
    </w:p>
    <w:p w14:paraId="5F16203C">
      <w:pPr>
        <w:tabs>
          <w:tab w:val="left" w:pos="2347"/>
        </w:tabs>
        <w:spacing w:after="100" w:line="360" w:lineRule="auto"/>
        <w:jc w:val="both"/>
        <w:rPr>
          <w:color w:val="000000"/>
          <w:kern w:val="2"/>
          <w:highlight w:val="none"/>
        </w:rPr>
      </w:pPr>
      <w:r>
        <w:rPr>
          <w:color w:val="000000"/>
          <w:kern w:val="2"/>
          <w:highlight w:val="none"/>
        </w:rPr>
        <w:drawing>
          <wp:inline distT="0" distB="0" distL="0" distR="0">
            <wp:extent cx="5210175" cy="3105150"/>
            <wp:effectExtent l="0" t="0" r="9525" b="635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10175" cy="3105150"/>
                    </a:xfrm>
                    <a:prstGeom prst="rect">
                      <a:avLst/>
                    </a:prstGeom>
                    <a:noFill/>
                    <a:ln>
                      <a:noFill/>
                    </a:ln>
                  </pic:spPr>
                </pic:pic>
              </a:graphicData>
            </a:graphic>
          </wp:inline>
        </w:drawing>
      </w:r>
    </w:p>
    <w:p w14:paraId="6EDF948E">
      <w:pPr>
        <w:tabs>
          <w:tab w:val="left" w:pos="2347"/>
        </w:tabs>
        <w:spacing w:after="100" w:line="240" w:lineRule="auto"/>
        <w:jc w:val="both"/>
        <w:rPr>
          <w:rFonts w:ascii="Times New Roman" w:hAnsi="Times New Roman" w:eastAsia="Times New Roman" w:cs="Times New Roman"/>
          <w:b/>
          <w:color w:val="000000"/>
          <w:kern w:val="2"/>
          <w:sz w:val="24"/>
          <w:szCs w:val="24"/>
          <w:highlight w:val="none"/>
        </w:rPr>
      </w:pPr>
      <w:r>
        <w:rPr>
          <w:rFonts w:ascii="Times New Roman" w:hAnsi="Times New Roman" w:eastAsia="Times New Roman" w:cs="Times New Roman"/>
          <w:b/>
          <w:color w:val="000000"/>
          <w:kern w:val="2"/>
          <w:sz w:val="24"/>
          <w:szCs w:val="24"/>
          <w:highlight w:val="none"/>
        </w:rPr>
        <w:t xml:space="preserve">Figure 6: </w:t>
      </w:r>
      <w:r>
        <w:rPr>
          <w:rFonts w:ascii="Times New Roman" w:hAnsi="Times New Roman" w:eastAsia="Times New Roman" w:cs="Times New Roman"/>
          <w:b w:val="0"/>
          <w:bCs/>
          <w:color w:val="000000"/>
          <w:kern w:val="2"/>
          <w:sz w:val="24"/>
          <w:szCs w:val="24"/>
          <w:highlight w:val="none"/>
        </w:rPr>
        <w:t>Effects of varying doses of CFFE on caspase 9 activity</w:t>
      </w:r>
    </w:p>
    <w:p w14:paraId="125307F8">
      <w:pPr>
        <w:tabs>
          <w:tab w:val="left" w:pos="2347"/>
        </w:tabs>
        <w:spacing w:after="100" w:line="240" w:lineRule="auto"/>
        <w:jc w:val="both"/>
        <w:rPr>
          <w:rFonts w:ascii="Times New Roman" w:hAnsi="Times New Roman" w:eastAsia="Times New Roman" w:cs="Times New Roman"/>
          <w:color w:val="000000"/>
          <w:kern w:val="2"/>
          <w:sz w:val="24"/>
          <w:szCs w:val="24"/>
          <w:highlight w:val="none"/>
        </w:rPr>
      </w:pPr>
      <w:r>
        <w:rPr>
          <w:rFonts w:ascii="Times New Roman" w:hAnsi="Times New Roman" w:eastAsia="Times New Roman" w:cs="Times New Roman"/>
          <w:color w:val="000000"/>
          <w:kern w:val="2"/>
          <w:sz w:val="24"/>
          <w:szCs w:val="24"/>
          <w:highlight w:val="none"/>
        </w:rPr>
        <w:t>The values are expressed as mean ± SD of four independent replicates. *P&lt;0.05,   **P&lt; 0.01,   ****P&lt;0.0001 compared to the control</w:t>
      </w:r>
    </w:p>
    <w:p w14:paraId="16657CA7">
      <w:pPr>
        <w:tabs>
          <w:tab w:val="left" w:pos="2347"/>
        </w:tabs>
        <w:spacing w:after="100" w:line="240" w:lineRule="auto"/>
        <w:jc w:val="both"/>
        <w:rPr>
          <w:rFonts w:ascii="Times New Roman" w:hAnsi="Times New Roman" w:eastAsia="Times New Roman" w:cs="Times New Roman"/>
          <w:b/>
          <w:color w:val="000000"/>
          <w:kern w:val="2"/>
          <w:sz w:val="24"/>
          <w:szCs w:val="24"/>
          <w:highlight w:val="none"/>
        </w:rPr>
      </w:pPr>
      <w:r>
        <w:rPr>
          <w:rFonts w:ascii="Times New Roman" w:hAnsi="Times New Roman" w:eastAsia="Times New Roman" w:cs="Times New Roman"/>
          <w:b/>
          <w:color w:val="000000"/>
          <w:kern w:val="2"/>
          <w:sz w:val="24"/>
          <w:szCs w:val="24"/>
          <w:highlight w:val="none"/>
        </w:rPr>
        <w:t xml:space="preserve"> </w:t>
      </w:r>
    </w:p>
    <w:p w14:paraId="4E6BD80D">
      <w:pPr>
        <w:rPr>
          <w:rFonts w:ascii="Times New Roman" w:hAnsi="Times New Roman" w:eastAsia="Times New Roman" w:cs="Times New Roman"/>
          <w:color w:val="000000"/>
          <w:kern w:val="2"/>
          <w:sz w:val="24"/>
          <w:szCs w:val="24"/>
          <w:highlight w:val="none"/>
        </w:rPr>
      </w:pPr>
      <w:r>
        <w:rPr>
          <w:color w:val="000000"/>
          <w:kern w:val="2"/>
          <w:highlight w:val="none"/>
        </w:rPr>
        <w:drawing>
          <wp:inline distT="0" distB="0" distL="0" distR="0">
            <wp:extent cx="4845050" cy="2832100"/>
            <wp:effectExtent l="0" t="0" r="635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845050" cy="2832100"/>
                    </a:xfrm>
                    <a:prstGeom prst="rect">
                      <a:avLst/>
                    </a:prstGeom>
                    <a:noFill/>
                    <a:ln>
                      <a:noFill/>
                    </a:ln>
                  </pic:spPr>
                </pic:pic>
              </a:graphicData>
            </a:graphic>
          </wp:inline>
        </w:drawing>
      </w:r>
    </w:p>
    <w:p w14:paraId="1A4C4C35">
      <w:pPr>
        <w:tabs>
          <w:tab w:val="left" w:pos="2347"/>
        </w:tabs>
        <w:spacing w:after="100" w:line="240" w:lineRule="auto"/>
        <w:jc w:val="both"/>
        <w:rPr>
          <w:rFonts w:ascii="Times New Roman" w:hAnsi="Times New Roman" w:eastAsia="Times New Roman" w:cs="Times New Roman"/>
          <w:b/>
          <w:color w:val="000000"/>
          <w:kern w:val="2"/>
          <w:sz w:val="24"/>
          <w:szCs w:val="24"/>
          <w:highlight w:val="none"/>
        </w:rPr>
      </w:pPr>
      <w:r>
        <w:rPr>
          <w:rFonts w:ascii="Times New Roman" w:hAnsi="Times New Roman" w:eastAsia="Times New Roman" w:cs="Times New Roman"/>
          <w:b/>
          <w:color w:val="000000"/>
          <w:kern w:val="2"/>
          <w:sz w:val="24"/>
          <w:szCs w:val="24"/>
          <w:highlight w:val="none"/>
        </w:rPr>
        <w:t xml:space="preserve">Figure 7: </w:t>
      </w:r>
      <w:r>
        <w:rPr>
          <w:rFonts w:ascii="Times New Roman" w:hAnsi="Times New Roman" w:eastAsia="Times New Roman" w:cs="Times New Roman"/>
          <w:b w:val="0"/>
          <w:bCs/>
          <w:color w:val="000000"/>
          <w:kern w:val="2"/>
          <w:sz w:val="24"/>
          <w:szCs w:val="24"/>
          <w:highlight w:val="none"/>
        </w:rPr>
        <w:t xml:space="preserve">Effects of varying doses of CFFE on caspase 3 activity </w:t>
      </w:r>
    </w:p>
    <w:p w14:paraId="7C144CCA">
      <w:pPr>
        <w:tabs>
          <w:tab w:val="left" w:pos="2347"/>
        </w:tabs>
        <w:spacing w:after="100" w:line="240" w:lineRule="auto"/>
        <w:jc w:val="both"/>
        <w:rPr>
          <w:rFonts w:ascii="Times New Roman" w:hAnsi="Times New Roman" w:eastAsia="Times New Roman" w:cs="Times New Roman"/>
          <w:color w:val="000000"/>
          <w:kern w:val="2"/>
          <w:sz w:val="24"/>
          <w:szCs w:val="24"/>
          <w:highlight w:val="none"/>
        </w:rPr>
      </w:pPr>
      <w:r>
        <w:rPr>
          <w:rFonts w:ascii="Times New Roman" w:hAnsi="Times New Roman" w:eastAsia="Times New Roman" w:cs="Times New Roman"/>
          <w:color w:val="000000"/>
          <w:kern w:val="2"/>
          <w:sz w:val="24"/>
          <w:szCs w:val="24"/>
          <w:highlight w:val="none"/>
        </w:rPr>
        <w:t>The values are expressed as mean ± SD of four independent replicates. *P&lt;0.05, ***P&lt;0.001 compared to the control.</w:t>
      </w:r>
    </w:p>
    <w:p w14:paraId="31D2E2C9">
      <w:pPr>
        <w:tabs>
          <w:tab w:val="left" w:pos="2347"/>
        </w:tabs>
        <w:spacing w:after="100" w:line="360" w:lineRule="auto"/>
        <w:jc w:val="both"/>
        <w:rPr>
          <w:rFonts w:ascii="Times New Roman" w:hAnsi="Times New Roman" w:eastAsia="Times New Roman" w:cs="Times New Roman"/>
          <w:b/>
          <w:bCs/>
          <w:color w:val="000000"/>
          <w:kern w:val="2"/>
          <w:sz w:val="24"/>
          <w:szCs w:val="24"/>
          <w:highlight w:val="none"/>
        </w:rPr>
      </w:pPr>
    </w:p>
    <w:p w14:paraId="0253072D">
      <w:pPr>
        <w:tabs>
          <w:tab w:val="left" w:pos="2347"/>
        </w:tabs>
        <w:spacing w:after="100" w:line="360" w:lineRule="auto"/>
        <w:jc w:val="both"/>
        <w:rPr>
          <w:rFonts w:ascii="Times New Roman" w:hAnsi="Times New Roman" w:eastAsia="Times New Roman" w:cs="Times New Roman"/>
          <w:b/>
          <w:bCs/>
          <w:color w:val="000000"/>
          <w:kern w:val="2"/>
          <w:sz w:val="24"/>
          <w:szCs w:val="24"/>
          <w:highlight w:val="none"/>
        </w:rPr>
      </w:pPr>
      <w:r>
        <w:rPr>
          <w:rFonts w:ascii="Times New Roman" w:hAnsi="Times New Roman" w:eastAsia="Times New Roman" w:cs="Times New Roman"/>
          <w:b/>
          <w:bCs/>
          <w:color w:val="000000"/>
          <w:kern w:val="2"/>
          <w:sz w:val="24"/>
          <w:szCs w:val="24"/>
          <w:highlight w:val="none"/>
        </w:rPr>
        <w:t xml:space="preserve">Effect of CFFE on Hepatic DNA Fragmentation. </w:t>
      </w:r>
    </w:p>
    <w:p w14:paraId="4646E7C5">
      <w:pPr>
        <w:tabs>
          <w:tab w:val="left" w:pos="2347"/>
        </w:tabs>
        <w:spacing w:after="100" w:line="480" w:lineRule="auto"/>
        <w:jc w:val="both"/>
        <w:rPr>
          <w:rFonts w:ascii="Times New Roman" w:hAnsi="Times New Roman" w:eastAsia="Times New Roman" w:cs="Times New Roman"/>
          <w:bCs/>
          <w:color w:val="000000"/>
          <w:kern w:val="2"/>
          <w:sz w:val="24"/>
          <w:szCs w:val="24"/>
          <w:highlight w:val="none"/>
        </w:rPr>
      </w:pPr>
      <w:r>
        <w:rPr>
          <w:rFonts w:ascii="Times New Roman" w:hAnsi="Times New Roman" w:eastAsia="Times New Roman" w:cs="Times New Roman"/>
          <w:bCs/>
          <w:color w:val="000000"/>
          <w:kern w:val="2"/>
          <w:sz w:val="24"/>
          <w:szCs w:val="24"/>
          <w:highlight w:val="none"/>
        </w:rPr>
        <w:t xml:space="preserve">This is illustrated in figure 8. The results showed increase in percentage hepatic DNA fragmentation by 20, 37 and 50 % at doses 50, 100 and 200mg/kg, respectively, relative to the control. </w:t>
      </w:r>
    </w:p>
    <w:p w14:paraId="293640AB">
      <w:pPr>
        <w:tabs>
          <w:tab w:val="left" w:pos="2347"/>
        </w:tabs>
        <w:spacing w:after="100" w:line="240" w:lineRule="auto"/>
        <w:jc w:val="both"/>
        <w:rPr>
          <w:rFonts w:ascii="Times New Roman" w:hAnsi="Times New Roman" w:eastAsia="Times New Roman" w:cs="Times New Roman"/>
          <w:color w:val="000000"/>
          <w:kern w:val="2"/>
          <w:sz w:val="24"/>
          <w:szCs w:val="24"/>
          <w:highlight w:val="none"/>
        </w:rPr>
      </w:pPr>
      <w:r>
        <w:rPr>
          <w:highlight w:val="none"/>
        </w:rPr>
        <w:drawing>
          <wp:inline distT="0" distB="0" distL="0" distR="0">
            <wp:extent cx="3797300" cy="32766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19"/>
                    <a:stretch>
                      <a:fillRect/>
                    </a:stretch>
                  </pic:blipFill>
                  <pic:spPr>
                    <a:xfrm>
                      <a:off x="0" y="0"/>
                      <a:ext cx="3824950" cy="3300194"/>
                    </a:xfrm>
                    <a:prstGeom prst="rect">
                      <a:avLst/>
                    </a:prstGeom>
                  </pic:spPr>
                </pic:pic>
              </a:graphicData>
            </a:graphic>
          </wp:inline>
        </w:drawing>
      </w:r>
    </w:p>
    <w:p w14:paraId="215BB145">
      <w:pPr>
        <w:rPr>
          <w:rFonts w:ascii="Times New Roman" w:hAnsi="Times New Roman" w:eastAsia="Times New Roman" w:cs="Times New Roman"/>
          <w:color w:val="000000"/>
          <w:kern w:val="2"/>
          <w:sz w:val="24"/>
          <w:szCs w:val="24"/>
          <w:highlight w:val="none"/>
        </w:rPr>
      </w:pPr>
    </w:p>
    <w:p w14:paraId="55AC730A">
      <w:pPr>
        <w:tabs>
          <w:tab w:val="left" w:pos="2347"/>
        </w:tabs>
        <w:spacing w:after="100" w:line="240" w:lineRule="auto"/>
        <w:jc w:val="both"/>
        <w:rPr>
          <w:rFonts w:ascii="Times New Roman" w:hAnsi="Times New Roman" w:eastAsia="Times New Roman" w:cs="Times New Roman"/>
          <w:b w:val="0"/>
          <w:bCs/>
          <w:color w:val="000000"/>
          <w:kern w:val="2"/>
          <w:sz w:val="24"/>
          <w:szCs w:val="24"/>
          <w:highlight w:val="none"/>
        </w:rPr>
      </w:pPr>
      <w:r>
        <w:rPr>
          <w:rFonts w:ascii="Times New Roman" w:hAnsi="Times New Roman" w:eastAsia="Times New Roman" w:cs="Times New Roman"/>
          <w:b/>
          <w:color w:val="000000"/>
          <w:kern w:val="2"/>
          <w:sz w:val="24"/>
          <w:szCs w:val="24"/>
          <w:highlight w:val="none"/>
        </w:rPr>
        <w:t xml:space="preserve">Figure 8: </w:t>
      </w:r>
      <w:r>
        <w:rPr>
          <w:rFonts w:ascii="Times New Roman" w:hAnsi="Times New Roman" w:eastAsia="Times New Roman" w:cs="Times New Roman"/>
          <w:b w:val="0"/>
          <w:bCs/>
          <w:color w:val="000000"/>
          <w:kern w:val="2"/>
          <w:sz w:val="24"/>
          <w:szCs w:val="24"/>
          <w:highlight w:val="none"/>
        </w:rPr>
        <w:t xml:space="preserve">Effects of varying doses of CFFE on hepatic DNA fragmentation </w:t>
      </w:r>
    </w:p>
    <w:p w14:paraId="53C631B4">
      <w:pPr>
        <w:tabs>
          <w:tab w:val="left" w:pos="2347"/>
        </w:tabs>
        <w:spacing w:after="100" w:line="240" w:lineRule="auto"/>
        <w:jc w:val="both"/>
        <w:rPr>
          <w:rFonts w:ascii="Times New Roman" w:hAnsi="Times New Roman" w:eastAsia="Times New Roman" w:cs="Times New Roman"/>
          <w:color w:val="000000"/>
          <w:kern w:val="2"/>
          <w:sz w:val="24"/>
          <w:szCs w:val="24"/>
          <w:highlight w:val="none"/>
        </w:rPr>
      </w:pPr>
      <w:r>
        <w:rPr>
          <w:rFonts w:ascii="Times New Roman" w:hAnsi="Times New Roman" w:eastAsia="Times New Roman" w:cs="Times New Roman"/>
          <w:color w:val="000000"/>
          <w:kern w:val="2"/>
          <w:sz w:val="24"/>
          <w:szCs w:val="24"/>
          <w:highlight w:val="none"/>
        </w:rPr>
        <w:t>The values are expressed as mean ± SD of four independent replicates. *P&lt;0.05, compared to the control.</w:t>
      </w:r>
    </w:p>
    <w:p w14:paraId="756DB5E2">
      <w:pPr>
        <w:tabs>
          <w:tab w:val="left" w:pos="2347"/>
        </w:tabs>
        <w:spacing w:after="100" w:line="480" w:lineRule="auto"/>
        <w:jc w:val="both"/>
        <w:rPr>
          <w:rFonts w:ascii="Times New Roman" w:hAnsi="Times New Roman" w:eastAsia="Times New Roman" w:cs="Times New Roman"/>
          <w:bCs/>
          <w:color w:val="000000"/>
          <w:kern w:val="2"/>
          <w:sz w:val="24"/>
          <w:szCs w:val="24"/>
          <w:highlight w:val="none"/>
        </w:rPr>
      </w:pPr>
    </w:p>
    <w:p w14:paraId="0CE783BC">
      <w:pPr>
        <w:spacing w:after="100" w:line="480" w:lineRule="auto"/>
        <w:ind w:left="720" w:hanging="720"/>
        <w:jc w:val="both"/>
        <w:rPr>
          <w:rFonts w:ascii="Times New Roman" w:hAnsi="Times New Roman" w:eastAsia="Times New Roman" w:cs="Times New Roman"/>
          <w:b/>
          <w:color w:val="000000"/>
          <w:kern w:val="2"/>
          <w:sz w:val="24"/>
          <w:szCs w:val="24"/>
          <w:highlight w:val="none"/>
        </w:rPr>
      </w:pPr>
      <w:r>
        <w:rPr>
          <w:rFonts w:ascii="Times New Roman" w:hAnsi="Times New Roman" w:eastAsia="Times New Roman" w:cs="Times New Roman"/>
          <w:b/>
          <w:color w:val="000000"/>
          <w:kern w:val="2"/>
          <w:sz w:val="24"/>
          <w:szCs w:val="24"/>
          <w:highlight w:val="none"/>
        </w:rPr>
        <w:t>Histological examination</w:t>
      </w:r>
      <w:r>
        <w:rPr>
          <w:rFonts w:ascii="Times New Roman" w:hAnsi="Times New Roman" w:eastAsia="Times New Roman" w:cs="Times New Roman"/>
          <w:b/>
          <w:bCs/>
          <w:color w:val="000000"/>
          <w:kern w:val="2"/>
          <w:sz w:val="24"/>
          <w:szCs w:val="24"/>
          <w:highlight w:val="none"/>
        </w:rPr>
        <w:t xml:space="preserve"> </w:t>
      </w:r>
    </w:p>
    <w:p w14:paraId="28B574AD">
      <w:pPr>
        <w:spacing w:after="100" w:line="480" w:lineRule="auto"/>
        <w:jc w:val="both"/>
        <w:rPr>
          <w:rFonts w:ascii="Times New Roman" w:hAnsi="Times New Roman" w:eastAsia="Times New Roman" w:cs="Times New Roman"/>
          <w:color w:val="000000"/>
          <w:kern w:val="2"/>
          <w:sz w:val="24"/>
          <w:szCs w:val="24"/>
          <w:highlight w:val="none"/>
        </w:rPr>
      </w:pPr>
      <w:r>
        <w:rPr>
          <w:rFonts w:ascii="Times New Roman" w:hAnsi="Times New Roman" w:eastAsia="Times New Roman" w:cs="Times New Roman"/>
          <w:color w:val="000000"/>
          <w:kern w:val="2"/>
          <w:sz w:val="24"/>
          <w:szCs w:val="24"/>
          <w:highlight w:val="none"/>
        </w:rPr>
        <w:t xml:space="preserve">The results on the liver section of the control revealed normal morphology and healthy unfiltrated hepatocytes, without any pathological lesion. At doses 50 and 100 mg/kg, the hepatocytes displayed normal morphology, only with mild congestion at 100 mg/kg. At 200 mg/kg, there was mild congestion of the central venules, hepatic steatosis, while the sinusoids still showed very mild infiltration. </w:t>
      </w:r>
    </w:p>
    <w:p w14:paraId="5449DF39">
      <w:pPr>
        <w:tabs>
          <w:tab w:val="left" w:pos="2347"/>
        </w:tabs>
        <w:spacing w:after="100" w:line="240" w:lineRule="auto"/>
        <w:jc w:val="both"/>
        <w:rPr>
          <w:rFonts w:ascii="Times New Roman" w:hAnsi="Times New Roman" w:eastAsia="Times New Roman" w:cs="Times New Roman"/>
          <w:color w:val="000000"/>
          <w:kern w:val="2"/>
          <w:sz w:val="24"/>
          <w:szCs w:val="24"/>
          <w:highlight w:val="none"/>
        </w:rPr>
      </w:pPr>
    </w:p>
    <w:p w14:paraId="31056766">
      <w:pPr>
        <w:tabs>
          <w:tab w:val="left" w:pos="2347"/>
        </w:tabs>
        <w:spacing w:after="100" w:line="240" w:lineRule="auto"/>
        <w:jc w:val="both"/>
        <w:rPr>
          <w:rFonts w:ascii="Times New Roman" w:hAnsi="Times New Roman" w:eastAsia="Times New Roman" w:cs="Times New Roman"/>
          <w:color w:val="000000"/>
          <w:kern w:val="2"/>
          <w:sz w:val="24"/>
          <w:szCs w:val="24"/>
          <w:highlight w:val="none"/>
        </w:rPr>
      </w:pPr>
    </w:p>
    <w:p w14:paraId="375C77CA">
      <w:pPr>
        <w:spacing w:after="100" w:line="360" w:lineRule="auto"/>
        <w:jc w:val="both"/>
        <w:rPr>
          <w:rFonts w:ascii="Times New Roman" w:hAnsi="Times New Roman" w:eastAsia="Times New Roman" w:cs="Times New Roman"/>
          <w:color w:val="000000"/>
          <w:kern w:val="2"/>
          <w:sz w:val="24"/>
          <w:szCs w:val="24"/>
          <w:highlight w:val="none"/>
        </w:rPr>
      </w:pPr>
      <w:r>
        <w:rPr>
          <w:rFonts w:ascii="Times New Roman" w:hAnsi="Times New Roman" w:eastAsia="Times New Roman" w:cs="Times New Roman"/>
          <w:color w:val="000000"/>
          <w:kern w:val="2"/>
          <w:sz w:val="24"/>
          <w:szCs w:val="24"/>
          <w:highlight w:val="none"/>
        </w:rPr>
        <w:drawing>
          <wp:inline distT="0" distB="0" distL="0" distR="0">
            <wp:extent cx="5943600" cy="3342640"/>
            <wp:effectExtent l="0" t="0" r="0" b="1016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pic:cNvPicPr>
                  </pic:nvPicPr>
                  <pic:blipFill>
                    <a:blip r:embed="rId20"/>
                    <a:stretch>
                      <a:fillRect/>
                    </a:stretch>
                  </pic:blipFill>
                  <pic:spPr>
                    <a:xfrm>
                      <a:off x="0" y="0"/>
                      <a:ext cx="5943600" cy="3342640"/>
                    </a:xfrm>
                    <a:prstGeom prst="rect">
                      <a:avLst/>
                    </a:prstGeom>
                  </pic:spPr>
                </pic:pic>
              </a:graphicData>
            </a:graphic>
          </wp:inline>
        </w:drawing>
      </w:r>
    </w:p>
    <w:p w14:paraId="716C6203">
      <w:pPr>
        <w:spacing w:after="0" w:line="360" w:lineRule="auto"/>
        <w:rPr>
          <w:rFonts w:ascii="Times New Roman" w:hAnsi="Times New Roman" w:eastAsia="Times New Roman" w:cs="Times New Roman"/>
          <w:b/>
          <w:color w:val="000000"/>
          <w:kern w:val="2"/>
          <w:sz w:val="24"/>
          <w:szCs w:val="24"/>
          <w:highlight w:val="none"/>
          <w:lang w:val="en-GB"/>
        </w:rPr>
      </w:pPr>
      <w:r>
        <w:rPr>
          <w:rFonts w:ascii="Times New Roman" w:hAnsi="Times New Roman" w:eastAsia="Times New Roman" w:cs="Times New Roman"/>
          <w:b/>
          <w:color w:val="000000"/>
          <w:kern w:val="2"/>
          <w:sz w:val="24"/>
          <w:szCs w:val="24"/>
          <w:highlight w:val="none"/>
          <w:lang w:val="en-GB"/>
        </w:rPr>
        <w:t xml:space="preserve">Figure 9: </w:t>
      </w:r>
      <w:r>
        <w:rPr>
          <w:rFonts w:ascii="Times New Roman" w:hAnsi="Times New Roman" w:eastAsia="Times New Roman" w:cs="Times New Roman"/>
          <w:b w:val="0"/>
          <w:bCs/>
          <w:color w:val="000000"/>
          <w:kern w:val="2"/>
          <w:sz w:val="24"/>
          <w:szCs w:val="24"/>
          <w:highlight w:val="none"/>
          <w:lang w:val="en-GB"/>
        </w:rPr>
        <w:t>Representative Photomicrographs of rat liver section</w:t>
      </w:r>
    </w:p>
    <w:p w14:paraId="65F900ED">
      <w:pPr>
        <w:spacing w:after="100" w:line="480" w:lineRule="auto"/>
        <w:jc w:val="both"/>
        <w:rPr>
          <w:rFonts w:ascii="Times New Roman" w:hAnsi="Times New Roman" w:eastAsia="Times New Roman" w:cs="Times New Roman"/>
          <w:color w:val="000000"/>
          <w:kern w:val="2"/>
          <w:sz w:val="24"/>
          <w:szCs w:val="24"/>
          <w:highlight w:val="none"/>
        </w:rPr>
      </w:pPr>
      <w:r>
        <w:rPr>
          <w:rFonts w:ascii="Times New Roman" w:hAnsi="Times New Roman" w:eastAsia="Times New Roman" w:cs="Times New Roman"/>
          <w:b/>
          <w:color w:val="000000"/>
          <w:kern w:val="2"/>
          <w:sz w:val="24"/>
          <w:szCs w:val="24"/>
          <w:highlight w:val="none"/>
        </w:rPr>
        <w:t>(Control):</w:t>
      </w:r>
      <w:r>
        <w:rPr>
          <w:rFonts w:ascii="Times New Roman" w:hAnsi="Times New Roman" w:eastAsia="Times New Roman" w:cs="Times New Roman"/>
          <w:color w:val="000000"/>
          <w:kern w:val="2"/>
          <w:sz w:val="24"/>
          <w:szCs w:val="24"/>
          <w:highlight w:val="none"/>
        </w:rPr>
        <w:t xml:space="preserve"> Shows the morphology of liver </w:t>
      </w:r>
      <w:r>
        <w:rPr>
          <w:rFonts w:ascii="Times New Roman" w:hAnsi="Times New Roman" w:eastAsia="Calibri" w:cs="Times New Roman"/>
          <w:color w:val="000000"/>
          <w:kern w:val="2"/>
          <w:sz w:val="24"/>
          <w:szCs w:val="24"/>
          <w:highlight w:val="none"/>
        </w:rPr>
        <w:t>section of a normal rat. No lesions found, normal hepatocellular outline.</w:t>
      </w:r>
      <w:r>
        <w:rPr>
          <w:rFonts w:ascii="Times New Roman" w:hAnsi="Times New Roman" w:eastAsia="Times New Roman" w:cs="Times New Roman"/>
          <w:color w:val="000000"/>
          <w:kern w:val="2"/>
          <w:sz w:val="24"/>
          <w:szCs w:val="24"/>
          <w:highlight w:val="none"/>
        </w:rPr>
        <w:t xml:space="preserve"> </w:t>
      </w:r>
      <w:r>
        <w:rPr>
          <w:rFonts w:ascii="Times New Roman" w:hAnsi="Times New Roman" w:eastAsia="Times New Roman" w:cs="Times New Roman"/>
          <w:b/>
          <w:color w:val="000000"/>
          <w:kern w:val="2"/>
          <w:sz w:val="24"/>
          <w:szCs w:val="24"/>
          <w:highlight w:val="none"/>
        </w:rPr>
        <w:t>(50mg/kg):</w:t>
      </w:r>
      <w:r>
        <w:rPr>
          <w:rFonts w:ascii="Times New Roman" w:hAnsi="Times New Roman" w:eastAsia="Times New Roman" w:cs="Times New Roman"/>
          <w:color w:val="000000"/>
          <w:kern w:val="2"/>
          <w:sz w:val="24"/>
          <w:szCs w:val="24"/>
          <w:highlight w:val="none"/>
        </w:rPr>
        <w:t xml:space="preserve"> Shows normal central venules without congestion. The hepatocytes with moderate infiltration by inflammatory cells and the sinusoids appear normal and not infiltrated. </w:t>
      </w:r>
      <w:r>
        <w:rPr>
          <w:rFonts w:ascii="Times New Roman" w:hAnsi="Times New Roman" w:eastAsia="Times New Roman" w:cs="Times New Roman"/>
          <w:b/>
          <w:color w:val="000000"/>
          <w:kern w:val="2"/>
          <w:sz w:val="24"/>
          <w:szCs w:val="24"/>
          <w:highlight w:val="none"/>
        </w:rPr>
        <w:t>(100mg/kg):</w:t>
      </w:r>
      <w:r>
        <w:rPr>
          <w:rFonts w:ascii="Times New Roman" w:hAnsi="Times New Roman" w:eastAsia="Times New Roman" w:cs="Times New Roman"/>
          <w:color w:val="000000"/>
          <w:kern w:val="2"/>
          <w:sz w:val="24"/>
          <w:szCs w:val="24"/>
          <w:highlight w:val="none"/>
        </w:rPr>
        <w:t xml:space="preserve"> Shows central venules with mild congestion</w:t>
      </w:r>
      <w:r>
        <w:rPr>
          <w:rFonts w:hint="default" w:ascii="Times New Roman" w:hAnsi="Times New Roman" w:eastAsia="Times New Roman" w:cs="Times New Roman"/>
          <w:color w:val="000000"/>
          <w:kern w:val="2"/>
          <w:sz w:val="24"/>
          <w:szCs w:val="24"/>
          <w:highlight w:val="none"/>
          <w:lang w:val="en-US"/>
        </w:rPr>
        <w:t>,</w:t>
      </w:r>
      <w:r>
        <w:rPr>
          <w:rFonts w:ascii="Times New Roman" w:hAnsi="Times New Roman" w:eastAsia="Times New Roman" w:cs="Times New Roman"/>
          <w:color w:val="000000"/>
          <w:kern w:val="2"/>
          <w:sz w:val="24"/>
          <w:szCs w:val="24"/>
          <w:highlight w:val="none"/>
        </w:rPr>
        <w:t xml:space="preserve"> </w:t>
      </w:r>
      <w:r>
        <w:rPr>
          <w:rFonts w:hint="default" w:ascii="Times New Roman" w:hAnsi="Times New Roman" w:eastAsia="Times New Roman" w:cs="Times New Roman"/>
          <w:color w:val="000000"/>
          <w:kern w:val="2"/>
          <w:sz w:val="24"/>
          <w:szCs w:val="24"/>
          <w:highlight w:val="none"/>
          <w:lang w:val="en-US"/>
        </w:rPr>
        <w:t>f</w:t>
      </w:r>
      <w:r>
        <w:rPr>
          <w:rFonts w:ascii="Times New Roman" w:hAnsi="Times New Roman" w:eastAsia="Times New Roman" w:cs="Times New Roman"/>
          <w:color w:val="000000"/>
          <w:kern w:val="2"/>
          <w:sz w:val="24"/>
          <w:szCs w:val="24"/>
          <w:highlight w:val="none"/>
        </w:rPr>
        <w:t>ocal area of inflammatory cells aggregate</w:t>
      </w:r>
      <w:r>
        <w:rPr>
          <w:rFonts w:hint="default" w:ascii="Times New Roman" w:hAnsi="Times New Roman" w:eastAsia="Times New Roman" w:cs="Times New Roman"/>
          <w:color w:val="000000"/>
          <w:kern w:val="2"/>
          <w:sz w:val="24"/>
          <w:szCs w:val="24"/>
          <w:highlight w:val="none"/>
          <w:lang w:val="en-US"/>
        </w:rPr>
        <w:t xml:space="preserve"> </w:t>
      </w:r>
      <w:r>
        <w:rPr>
          <w:rFonts w:hint="default" w:ascii="Times New Roman" w:hAnsi="Times New Roman" w:eastAsia="Times New Roman" w:cs="Times New Roman"/>
          <w:color w:val="000000"/>
          <w:kern w:val="2"/>
          <w:sz w:val="24"/>
          <w:szCs w:val="24"/>
          <w:highlight w:val="none"/>
          <w:lang w:val="en-US"/>
        </w:rPr>
        <w:t>(black arrow)</w:t>
      </w:r>
      <w:r>
        <w:rPr>
          <w:rFonts w:ascii="Times New Roman" w:hAnsi="Times New Roman" w:eastAsia="Times New Roman" w:cs="Times New Roman"/>
          <w:color w:val="000000"/>
          <w:kern w:val="2"/>
          <w:sz w:val="24"/>
          <w:szCs w:val="24"/>
          <w:highlight w:val="none"/>
        </w:rPr>
        <w:t xml:space="preserve">, the sinusoids appear normal and not infiltrated.  </w:t>
      </w:r>
      <w:r>
        <w:rPr>
          <w:rFonts w:ascii="Times New Roman" w:hAnsi="Times New Roman" w:eastAsia="Times New Roman" w:cs="Times New Roman"/>
          <w:b/>
          <w:color w:val="000000"/>
          <w:kern w:val="2"/>
          <w:sz w:val="24"/>
          <w:szCs w:val="24"/>
          <w:highlight w:val="none"/>
        </w:rPr>
        <w:t xml:space="preserve">(200mg/kg): </w:t>
      </w:r>
      <w:r>
        <w:rPr>
          <w:rFonts w:ascii="Times New Roman" w:hAnsi="Times New Roman" w:eastAsia="Times New Roman" w:cs="Times New Roman"/>
          <w:color w:val="000000"/>
          <w:kern w:val="2"/>
          <w:sz w:val="24"/>
          <w:szCs w:val="24"/>
          <w:highlight w:val="none"/>
        </w:rPr>
        <w:t>Shows the central venules with mild congestion, focal area shows the hepatocytes with infiltration</w:t>
      </w:r>
      <w:r>
        <w:rPr>
          <w:rFonts w:hint="default" w:ascii="Times New Roman" w:hAnsi="Times New Roman" w:eastAsia="Times New Roman" w:cs="Times New Roman"/>
          <w:color w:val="000000"/>
          <w:kern w:val="2"/>
          <w:sz w:val="24"/>
          <w:szCs w:val="24"/>
          <w:highlight w:val="none"/>
          <w:lang w:val="en-US"/>
        </w:rPr>
        <w:t xml:space="preserve"> </w:t>
      </w:r>
      <w:r>
        <w:rPr>
          <w:rFonts w:hint="default" w:ascii="Times New Roman" w:hAnsi="Times New Roman" w:eastAsia="Times New Roman" w:cs="Times New Roman"/>
          <w:color w:val="000000"/>
          <w:kern w:val="2"/>
          <w:sz w:val="24"/>
          <w:szCs w:val="24"/>
          <w:highlight w:val="none"/>
          <w:lang w:val="en-US"/>
        </w:rPr>
        <w:t>(black arrow)</w:t>
      </w:r>
      <w:r>
        <w:rPr>
          <w:rFonts w:ascii="Times New Roman" w:hAnsi="Times New Roman" w:eastAsia="Times New Roman" w:cs="Times New Roman"/>
          <w:color w:val="000000"/>
          <w:kern w:val="2"/>
          <w:sz w:val="24"/>
          <w:szCs w:val="24"/>
          <w:highlight w:val="none"/>
        </w:rPr>
        <w:t>, hepatic steatosis, the sinusoids show very mild infiltration</w:t>
      </w:r>
      <w:r>
        <w:rPr>
          <w:rFonts w:ascii="Times New Roman" w:hAnsi="Times New Roman" w:eastAsia="Times New Roman" w:cs="Times New Roman"/>
          <w:color w:val="000000"/>
          <w:kern w:val="2"/>
          <w:sz w:val="24"/>
          <w:szCs w:val="24"/>
          <w:highlight w:val="none"/>
          <w:lang w:val="en-GB"/>
        </w:rPr>
        <w:t>. Magnification (X 400).</w:t>
      </w:r>
    </w:p>
    <w:p w14:paraId="1CA57D69">
      <w:pPr>
        <w:spacing w:after="100" w:line="480" w:lineRule="auto"/>
        <w:jc w:val="both"/>
        <w:rPr>
          <w:rFonts w:ascii="Times New Roman" w:hAnsi="Times New Roman" w:eastAsia="Times New Roman" w:cs="Times New Roman"/>
          <w:color w:val="000000"/>
          <w:kern w:val="2"/>
          <w:sz w:val="24"/>
          <w:szCs w:val="24"/>
          <w:highlight w:val="none"/>
        </w:rPr>
      </w:pPr>
    </w:p>
    <w:p w14:paraId="2D6D27A2">
      <w:pPr>
        <w:spacing w:after="100" w:line="480" w:lineRule="auto"/>
        <w:jc w:val="both"/>
        <w:rPr>
          <w:rFonts w:ascii="Times New Roman" w:hAnsi="Times New Roman" w:eastAsia="Times New Roman" w:cs="Times New Roman"/>
          <w:color w:val="000000"/>
          <w:kern w:val="2"/>
          <w:sz w:val="24"/>
          <w:szCs w:val="24"/>
          <w:highlight w:val="none"/>
        </w:rPr>
      </w:pPr>
    </w:p>
    <w:p w14:paraId="568F8DFE">
      <w:pPr>
        <w:spacing w:after="100" w:line="480" w:lineRule="auto"/>
        <w:jc w:val="both"/>
        <w:rPr>
          <w:rFonts w:ascii="Times New Roman" w:hAnsi="Times New Roman" w:eastAsia="Times New Roman" w:cs="Times New Roman"/>
          <w:color w:val="000000"/>
          <w:kern w:val="2"/>
          <w:sz w:val="24"/>
          <w:szCs w:val="24"/>
          <w:highlight w:val="none"/>
        </w:rPr>
      </w:pPr>
    </w:p>
    <w:p w14:paraId="13C8DB8C">
      <w:pPr>
        <w:spacing w:after="100" w:line="480" w:lineRule="auto"/>
        <w:jc w:val="both"/>
        <w:rPr>
          <w:rFonts w:ascii="Times New Roman" w:hAnsi="Times New Roman" w:cs="Times New Roman"/>
          <w:b/>
          <w:color w:val="000000"/>
          <w:kern w:val="2"/>
          <w:sz w:val="24"/>
          <w:szCs w:val="24"/>
          <w:highlight w:val="none"/>
          <w:lang w:val="en-GB"/>
        </w:rPr>
      </w:pPr>
      <w:r>
        <w:rPr>
          <w:rFonts w:ascii="Times New Roman" w:hAnsi="Times New Roman" w:cs="Times New Roman"/>
          <w:b/>
          <w:color w:val="000000"/>
          <w:kern w:val="2"/>
          <w:sz w:val="24"/>
          <w:szCs w:val="24"/>
          <w:highlight w:val="none"/>
          <w:lang w:val="en-GB"/>
        </w:rPr>
        <w:t>Discussion</w:t>
      </w:r>
    </w:p>
    <w:p w14:paraId="1B9B3864">
      <w:pPr>
        <w:spacing w:after="100" w:line="48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 xml:space="preserve">Mitochondria play a crucial role in controlling cell death </w:t>
      </w:r>
      <w:r>
        <w:rPr>
          <w:rFonts w:ascii="Times New Roman" w:hAnsi="Times New Roman" w:cs="Times New Roman"/>
          <w:color w:val="000000"/>
          <w:kern w:val="2"/>
          <w:sz w:val="24"/>
          <w:szCs w:val="24"/>
          <w:highlight w:val="none"/>
        </w:rPr>
        <w:t>[23]</w:t>
      </w:r>
      <w:r>
        <w:rPr>
          <w:rFonts w:ascii="Times New Roman" w:hAnsi="Times New Roman" w:cs="Times New Roman"/>
          <w:color w:val="000000"/>
          <w:kern w:val="2"/>
          <w:sz w:val="24"/>
          <w:szCs w:val="24"/>
          <w:highlight w:val="none"/>
          <w:lang w:val="en-GB"/>
        </w:rPr>
        <w:t xml:space="preserve">. The mPT pore is now recognized as a determinant of cell survival or death </w:t>
      </w:r>
      <w:r>
        <w:rPr>
          <w:rFonts w:ascii="Times New Roman" w:hAnsi="Times New Roman" w:cs="Times New Roman"/>
          <w:color w:val="000000"/>
          <w:kern w:val="2"/>
          <w:sz w:val="24"/>
          <w:szCs w:val="24"/>
          <w:highlight w:val="none"/>
        </w:rPr>
        <w:t>[24]</w:t>
      </w:r>
      <w:r>
        <w:rPr>
          <w:rFonts w:ascii="Times New Roman" w:hAnsi="Times New Roman" w:cs="Times New Roman"/>
          <w:color w:val="000000"/>
          <w:kern w:val="2"/>
          <w:sz w:val="24"/>
          <w:szCs w:val="24"/>
          <w:highlight w:val="none"/>
          <w:lang w:val="en-GB"/>
        </w:rPr>
        <w:t xml:space="preserve">. This study investigated the effect of chloroform fraction of methanol extract of </w:t>
      </w:r>
      <w:r>
        <w:rPr>
          <w:rFonts w:ascii="Times New Roman" w:hAnsi="Times New Roman" w:cs="Times New Roman"/>
          <w:i/>
          <w:color w:val="000000"/>
          <w:kern w:val="2"/>
          <w:sz w:val="24"/>
          <w:szCs w:val="24"/>
          <w:highlight w:val="none"/>
          <w:lang w:val="en-GB"/>
        </w:rPr>
        <w:t>Funtumia elastica</w:t>
      </w:r>
      <w:r>
        <w:rPr>
          <w:rFonts w:ascii="Times New Roman" w:hAnsi="Times New Roman" w:cs="Times New Roman"/>
          <w:color w:val="000000"/>
          <w:kern w:val="2"/>
          <w:sz w:val="24"/>
          <w:szCs w:val="24"/>
          <w:highlight w:val="none"/>
          <w:lang w:val="en-GB"/>
        </w:rPr>
        <w:t xml:space="preserve"> stem bark on mitochondrial-mediated apoptosis using rat liver. The mitochondria used in this study were intact as indicated by the calcium-induced pore opening and its reversal by spermine, a standard inhibitor of pore opening </w:t>
      </w:r>
      <w:r>
        <w:rPr>
          <w:rFonts w:ascii="Times New Roman" w:hAnsi="Times New Roman" w:cs="Times New Roman"/>
          <w:color w:val="000000"/>
          <w:kern w:val="2"/>
          <w:sz w:val="24"/>
          <w:szCs w:val="24"/>
          <w:highlight w:val="none"/>
        </w:rPr>
        <w:t>[17,26]</w:t>
      </w:r>
      <w:r>
        <w:rPr>
          <w:rFonts w:ascii="Times New Roman" w:hAnsi="Times New Roman" w:cs="Times New Roman"/>
          <w:color w:val="000000"/>
          <w:kern w:val="2"/>
          <w:sz w:val="24"/>
          <w:szCs w:val="24"/>
          <w:highlight w:val="none"/>
          <w:lang w:val="en-GB"/>
        </w:rPr>
        <w:t>.</w:t>
      </w:r>
      <w:r>
        <w:rPr>
          <w:rFonts w:ascii="Times New Roman" w:hAnsi="Times New Roman" w:cs="Times New Roman"/>
          <w:color w:val="000000"/>
          <w:kern w:val="2"/>
          <w:sz w:val="24"/>
          <w:szCs w:val="24"/>
          <w:highlight w:val="none"/>
        </w:rPr>
        <w:t xml:space="preserve"> </w:t>
      </w:r>
      <w:r>
        <w:rPr>
          <w:rFonts w:hint="default" w:ascii="Times New Roman" w:hAnsi="Times New Roman" w:cs="Times New Roman"/>
          <w:color w:val="000000"/>
          <w:kern w:val="2"/>
          <w:sz w:val="24"/>
          <w:szCs w:val="24"/>
          <w:highlight w:val="none"/>
          <w:lang w:val="en-US"/>
        </w:rPr>
        <w:t>The  inclusion of exogenous calcium (standard triggering agent) into the medium caused increase in</w:t>
      </w:r>
      <w:r>
        <w:rPr>
          <w:rFonts w:hint="default" w:ascii="Times New Roman" w:hAnsi="Times New Roman"/>
          <w:color w:val="000000"/>
          <w:kern w:val="2"/>
          <w:sz w:val="24"/>
          <w:szCs w:val="24"/>
          <w:highlight w:val="none"/>
        </w:rPr>
        <w:t xml:space="preserve"> Ca</w:t>
      </w:r>
      <w:r>
        <w:rPr>
          <w:rFonts w:hint="default" w:ascii="Times New Roman" w:hAnsi="Times New Roman"/>
          <w:color w:val="000000"/>
          <w:kern w:val="2"/>
          <w:sz w:val="24"/>
          <w:szCs w:val="24"/>
          <w:highlight w:val="none"/>
          <w:vertAlign w:val="superscript"/>
        </w:rPr>
        <w:t>2+</w:t>
      </w:r>
      <w:r>
        <w:rPr>
          <w:rFonts w:hint="default" w:ascii="Times New Roman" w:hAnsi="Times New Roman"/>
          <w:color w:val="000000"/>
          <w:kern w:val="2"/>
          <w:sz w:val="24"/>
          <w:szCs w:val="24"/>
          <w:highlight w:val="none"/>
          <w:lang w:val="en-US"/>
        </w:rPr>
        <w:t xml:space="preserve"> </w:t>
      </w:r>
      <w:r>
        <w:rPr>
          <w:rFonts w:hint="default" w:ascii="Times New Roman" w:hAnsi="Times New Roman"/>
          <w:color w:val="000000"/>
          <w:kern w:val="2"/>
          <w:sz w:val="24"/>
          <w:szCs w:val="24"/>
          <w:highlight w:val="none"/>
        </w:rPr>
        <w:t>transport</w:t>
      </w:r>
      <w:r>
        <w:rPr>
          <w:rFonts w:hint="default" w:ascii="Times New Roman" w:hAnsi="Times New Roman"/>
          <w:color w:val="000000"/>
          <w:kern w:val="2"/>
          <w:sz w:val="24"/>
          <w:szCs w:val="24"/>
          <w:highlight w:val="none"/>
          <w:lang w:val="en-US"/>
        </w:rPr>
        <w:t>,</w:t>
      </w:r>
      <w:r>
        <w:rPr>
          <w:rFonts w:hint="default" w:ascii="Times New Roman" w:hAnsi="Times New Roman"/>
          <w:color w:val="000000"/>
          <w:kern w:val="2"/>
          <w:sz w:val="24"/>
          <w:szCs w:val="24"/>
          <w:highlight w:val="none"/>
        </w:rPr>
        <w:t xml:space="preserve"> lead</w:t>
      </w:r>
      <w:r>
        <w:rPr>
          <w:rFonts w:hint="default" w:ascii="Times New Roman" w:hAnsi="Times New Roman"/>
          <w:color w:val="000000"/>
          <w:kern w:val="2"/>
          <w:sz w:val="24"/>
          <w:szCs w:val="24"/>
          <w:highlight w:val="none"/>
          <w:lang w:val="en-US"/>
        </w:rPr>
        <w:t>ing</w:t>
      </w:r>
      <w:r>
        <w:rPr>
          <w:rFonts w:hint="default" w:ascii="Times New Roman" w:hAnsi="Times New Roman"/>
          <w:color w:val="000000"/>
          <w:kern w:val="2"/>
          <w:sz w:val="24"/>
          <w:szCs w:val="24"/>
          <w:highlight w:val="none"/>
        </w:rPr>
        <w:t xml:space="preserve"> to matrix Ca</w:t>
      </w:r>
      <w:r>
        <w:rPr>
          <w:rFonts w:hint="default" w:ascii="Times New Roman" w:hAnsi="Times New Roman"/>
          <w:color w:val="000000"/>
          <w:kern w:val="2"/>
          <w:sz w:val="24"/>
          <w:szCs w:val="24"/>
          <w:highlight w:val="none"/>
          <w:vertAlign w:val="superscript"/>
        </w:rPr>
        <w:t>2+</w:t>
      </w:r>
      <w:r>
        <w:rPr>
          <w:rFonts w:hint="default" w:ascii="Times New Roman" w:hAnsi="Times New Roman"/>
          <w:color w:val="000000"/>
          <w:kern w:val="2"/>
          <w:sz w:val="24"/>
          <w:szCs w:val="24"/>
          <w:highlight w:val="none"/>
        </w:rPr>
        <w:t xml:space="preserve"> overload</w:t>
      </w:r>
      <w:r>
        <w:rPr>
          <w:rFonts w:hint="default" w:ascii="Times New Roman" w:hAnsi="Times New Roman"/>
          <w:color w:val="000000"/>
          <w:kern w:val="2"/>
          <w:sz w:val="24"/>
          <w:szCs w:val="24"/>
          <w:highlight w:val="none"/>
          <w:lang w:val="en-US"/>
        </w:rPr>
        <w:t>,</w:t>
      </w:r>
      <w:r>
        <w:rPr>
          <w:rFonts w:hint="default" w:ascii="Times New Roman" w:hAnsi="Times New Roman"/>
          <w:color w:val="000000"/>
          <w:kern w:val="2"/>
          <w:sz w:val="24"/>
          <w:szCs w:val="24"/>
          <w:highlight w:val="none"/>
        </w:rPr>
        <w:t xml:space="preserve"> </w:t>
      </w:r>
      <w:r>
        <w:rPr>
          <w:rFonts w:hint="default" w:ascii="Times New Roman" w:hAnsi="Times New Roman"/>
          <w:color w:val="000000"/>
          <w:kern w:val="2"/>
          <w:sz w:val="24"/>
          <w:szCs w:val="24"/>
          <w:highlight w:val="none"/>
          <w:lang w:val="en-US"/>
        </w:rPr>
        <w:t xml:space="preserve">causing </w:t>
      </w:r>
      <w:r>
        <w:rPr>
          <w:rFonts w:hint="default" w:ascii="Times New Roman" w:hAnsi="Times New Roman"/>
          <w:color w:val="000000"/>
          <w:kern w:val="2"/>
          <w:sz w:val="24"/>
          <w:szCs w:val="24"/>
          <w:highlight w:val="none"/>
        </w:rPr>
        <w:t>activation</w:t>
      </w:r>
      <w:r>
        <w:rPr>
          <w:rFonts w:hint="default" w:ascii="Times New Roman" w:hAnsi="Times New Roman"/>
          <w:color w:val="000000"/>
          <w:kern w:val="2"/>
          <w:sz w:val="24"/>
          <w:szCs w:val="24"/>
          <w:highlight w:val="none"/>
          <w:lang w:val="en-US"/>
        </w:rPr>
        <w:t xml:space="preserve"> and opening </w:t>
      </w:r>
      <w:r>
        <w:rPr>
          <w:rFonts w:hint="default" w:ascii="Times New Roman" w:hAnsi="Times New Roman"/>
          <w:color w:val="000000"/>
          <w:kern w:val="2"/>
          <w:sz w:val="24"/>
          <w:szCs w:val="24"/>
          <w:highlight w:val="none"/>
        </w:rPr>
        <w:t>of highly conductive mPT</w:t>
      </w:r>
      <w:r>
        <w:rPr>
          <w:rFonts w:hint="default" w:ascii="Times New Roman" w:hAnsi="Times New Roman"/>
          <w:color w:val="000000"/>
          <w:kern w:val="2"/>
          <w:sz w:val="24"/>
          <w:szCs w:val="24"/>
          <w:highlight w:val="none"/>
          <w:lang w:val="en-US"/>
        </w:rPr>
        <w:t xml:space="preserve"> pore [26]</w:t>
      </w:r>
      <w:r>
        <w:rPr>
          <w:rFonts w:hint="default" w:ascii="Times New Roman" w:hAnsi="Times New Roman"/>
          <w:color w:val="000000"/>
          <w:kern w:val="2"/>
          <w:sz w:val="24"/>
          <w:szCs w:val="24"/>
          <w:highlight w:val="none"/>
        </w:rPr>
        <w:t>.</w:t>
      </w:r>
      <w:r>
        <w:rPr>
          <w:rFonts w:hint="default" w:ascii="Times New Roman" w:hAnsi="Times New Roman"/>
          <w:color w:val="000000"/>
          <w:kern w:val="2"/>
          <w:sz w:val="24"/>
          <w:szCs w:val="24"/>
          <w:highlight w:val="none"/>
          <w:lang w:val="en-US"/>
        </w:rPr>
        <w:t xml:space="preserve"> </w:t>
      </w:r>
      <w:r>
        <w:rPr>
          <w:rFonts w:ascii="Times New Roman" w:hAnsi="Times New Roman" w:cs="Times New Roman"/>
          <w:color w:val="000000"/>
          <w:kern w:val="2"/>
          <w:sz w:val="24"/>
          <w:szCs w:val="24"/>
          <w:highlight w:val="none"/>
          <w:lang w:val="en-GB"/>
        </w:rPr>
        <w:t xml:space="preserve">Having ascertained the intactness of the mitochondria used in this study, we explored the effects of the crude extract (CMFE) and its fractions (CFFE, EAFE and MFFE) on mPT pore opening. The extract and fractions caused mPT pore opening to varying degree, indicating the presence of phytochemicals in them that can interact with the pore and cause pore opening.  However, CFFE was the most potent, suggesting that it contains the bioactive principle in abundance that can cause the induction of pore opening. This is comparable to  the discoveries of  Olowofolahan et al. </w:t>
      </w:r>
      <w:r>
        <w:rPr>
          <w:rFonts w:ascii="Times New Roman" w:hAnsi="Times New Roman" w:cs="Times New Roman"/>
          <w:color w:val="000000"/>
          <w:kern w:val="2"/>
          <w:sz w:val="24"/>
          <w:szCs w:val="24"/>
          <w:highlight w:val="none"/>
        </w:rPr>
        <w:t>[27,28]</w:t>
      </w:r>
      <w:r>
        <w:rPr>
          <w:rFonts w:ascii="Times New Roman" w:hAnsi="Times New Roman" w:cs="Times New Roman"/>
          <w:color w:val="000000"/>
          <w:kern w:val="2"/>
          <w:sz w:val="24"/>
          <w:szCs w:val="24"/>
          <w:highlight w:val="none"/>
          <w:lang w:val="en-GB"/>
        </w:rPr>
        <w:t xml:space="preserve">, which demonstrated that chloroform fraction of methanol extract of </w:t>
      </w:r>
      <w:r>
        <w:rPr>
          <w:rFonts w:ascii="Times New Roman" w:hAnsi="Times New Roman" w:cs="Times New Roman"/>
          <w:i/>
          <w:color w:val="000000"/>
          <w:kern w:val="2"/>
          <w:sz w:val="24"/>
          <w:szCs w:val="24"/>
          <w:highlight w:val="none"/>
          <w:lang w:val="en-GB"/>
        </w:rPr>
        <w:t>Drymaria cordata</w:t>
      </w:r>
      <w:r>
        <w:rPr>
          <w:rFonts w:ascii="Times New Roman" w:hAnsi="Times New Roman" w:cs="Times New Roman"/>
          <w:color w:val="000000"/>
          <w:kern w:val="2"/>
          <w:sz w:val="24"/>
          <w:szCs w:val="24"/>
          <w:highlight w:val="none"/>
          <w:lang w:val="en-GB"/>
        </w:rPr>
        <w:t xml:space="preserve"> is the most potent with respect to induction of mPT pore opening. The dose-dependent study on CFFE showed increase in induction of mPT pore with increase in dosage.  This probably suggests its increase in bioavailability at the target site with increase in the dosage. </w:t>
      </w:r>
    </w:p>
    <w:p w14:paraId="2CCF2673">
      <w:pPr>
        <w:spacing w:after="100" w:line="48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 xml:space="preserve"> Studies have revealed that mPT pore opening instigates the release of mitochondrial factors, dissipation of membrane potential (Δψ), loss of cellular biochemical homeostasis and mitochondrial ATP hydrolysis </w:t>
      </w:r>
      <w:r>
        <w:rPr>
          <w:rFonts w:ascii="Times New Roman" w:hAnsi="Times New Roman" w:cs="Times New Roman"/>
          <w:color w:val="000000"/>
          <w:kern w:val="2"/>
          <w:sz w:val="24"/>
          <w:szCs w:val="24"/>
          <w:highlight w:val="none"/>
        </w:rPr>
        <w:t>[29,30]</w:t>
      </w:r>
      <w:r>
        <w:rPr>
          <w:rFonts w:ascii="Times New Roman" w:hAnsi="Times New Roman" w:cs="Times New Roman"/>
          <w:color w:val="000000"/>
          <w:kern w:val="2"/>
          <w:sz w:val="24"/>
          <w:szCs w:val="24"/>
          <w:highlight w:val="none"/>
          <w:lang w:val="en-GB"/>
        </w:rPr>
        <w:t>.</w:t>
      </w:r>
      <w:r>
        <w:rPr>
          <w:rFonts w:ascii="Times New Roman" w:hAnsi="Times New Roman" w:cs="Times New Roman"/>
          <w:sz w:val="24"/>
          <w:szCs w:val="24"/>
          <w:highlight w:val="none"/>
        </w:rPr>
        <w:t xml:space="preserve"> </w:t>
      </w:r>
      <w:r>
        <w:rPr>
          <w:rFonts w:ascii="Times New Roman" w:hAnsi="Times New Roman" w:cs="Times New Roman"/>
          <w:color w:val="000000"/>
          <w:kern w:val="2"/>
          <w:sz w:val="24"/>
          <w:szCs w:val="24"/>
          <w:highlight w:val="none"/>
          <w:lang w:val="en-GB"/>
        </w:rPr>
        <w:t xml:space="preserve">The enhancement of mATP activity as a result of graded doses of CFFE treatment suggests that CFFE interacted with the mPT pore to instigate the pore opening, effecting subsequent release of some mitochondrial factors, mitochondrial ATP hydrolysis, mitochondrial energetic dysfunction and subsequently, cell death </w:t>
      </w:r>
      <w:r>
        <w:rPr>
          <w:rFonts w:ascii="Times New Roman" w:hAnsi="Times New Roman" w:cs="Times New Roman"/>
          <w:color w:val="000000"/>
          <w:kern w:val="2"/>
          <w:sz w:val="24"/>
          <w:szCs w:val="24"/>
          <w:highlight w:val="none"/>
        </w:rPr>
        <w:t>[2,31]</w:t>
      </w:r>
      <w:r>
        <w:rPr>
          <w:rFonts w:ascii="Times New Roman" w:hAnsi="Times New Roman" w:cs="Times New Roman"/>
          <w:color w:val="000000"/>
          <w:kern w:val="2"/>
          <w:sz w:val="24"/>
          <w:szCs w:val="24"/>
          <w:highlight w:val="none"/>
          <w:lang w:val="en-GB"/>
        </w:rPr>
        <w:t xml:space="preserve">. Studies have shown that reactive oxygen species (ROS) trigger peroxidation of mitochondrial membranes leading to cell death. Interestingly, there are compounds that can mitigate lipid peroxidation by inhibiting radical-induced oxidative damage </w:t>
      </w:r>
      <w:r>
        <w:rPr>
          <w:rFonts w:ascii="Times New Roman" w:hAnsi="Times New Roman" w:cs="Times New Roman"/>
          <w:color w:val="000000"/>
          <w:kern w:val="2"/>
          <w:sz w:val="24"/>
          <w:szCs w:val="24"/>
          <w:highlight w:val="none"/>
        </w:rPr>
        <w:t>[32]</w:t>
      </w:r>
      <w:r>
        <w:rPr>
          <w:rFonts w:ascii="Times New Roman" w:hAnsi="Times New Roman" w:cs="Times New Roman"/>
          <w:color w:val="000000"/>
          <w:kern w:val="2"/>
          <w:sz w:val="24"/>
          <w:szCs w:val="24"/>
          <w:highlight w:val="none"/>
          <w:lang w:val="en-GB"/>
        </w:rPr>
        <w:t xml:space="preserve">. The decrease in malondialdehyde levels as a result of CFFE treatment suggests the presence of phytochemicals in CFFE that can reduce free radical generation. Furthermore, it also suggests its physicochemical protective potential on membrane against free radical-induced damage. </w:t>
      </w:r>
    </w:p>
    <w:p w14:paraId="2202E69E">
      <w:pPr>
        <w:spacing w:after="100" w:line="480" w:lineRule="auto"/>
        <w:jc w:val="both"/>
        <w:rPr>
          <w:rFonts w:hint="default" w:ascii="Times New Roman" w:hAnsi="Times New Roman" w:cs="Times New Roman"/>
          <w:color w:val="000000"/>
          <w:kern w:val="2"/>
          <w:sz w:val="24"/>
          <w:szCs w:val="24"/>
          <w:highlight w:val="none"/>
          <w:lang w:val="en-US"/>
        </w:rPr>
      </w:pPr>
      <w:r>
        <w:rPr>
          <w:rFonts w:ascii="Times New Roman" w:hAnsi="Times New Roman" w:cs="Times New Roman"/>
          <w:color w:val="000000"/>
          <w:kern w:val="2"/>
          <w:sz w:val="24"/>
          <w:szCs w:val="24"/>
          <w:highlight w:val="none"/>
          <w:lang w:val="en-GB"/>
        </w:rPr>
        <w:t xml:space="preserve">The increase in levels of caspase 9 by CFFE treatment suggests that it is an inducer of mitochondrial-mediated apoptosis. Also, the increase in caspase 3 levels by CFFE indicated that activated caspase 9 caused cleavage of procaspase 3 to activate caspase 3 for subsequent downstream reaction. Caspases activation have been demonstrated to be crucial to execution of apoptotic process </w:t>
      </w:r>
      <w:r>
        <w:rPr>
          <w:rFonts w:ascii="Times New Roman" w:hAnsi="Times New Roman" w:cs="Times New Roman"/>
          <w:color w:val="000000"/>
          <w:kern w:val="2"/>
          <w:sz w:val="24"/>
          <w:szCs w:val="24"/>
          <w:highlight w:val="none"/>
        </w:rPr>
        <w:t>[7]</w:t>
      </w:r>
      <w:r>
        <w:rPr>
          <w:rFonts w:ascii="Times New Roman" w:hAnsi="Times New Roman" w:cs="Times New Roman"/>
          <w:color w:val="000000"/>
          <w:kern w:val="2"/>
          <w:sz w:val="24"/>
          <w:szCs w:val="24"/>
          <w:highlight w:val="none"/>
          <w:lang w:val="en-GB"/>
        </w:rPr>
        <w:t xml:space="preserve">. One of the hallmarks of apoptosis is nuclear DNA fragmentation. The CFFE caused dose-dependent increase in the hepatic DNA fragmentation, suggesting that the activated caspases by CFFE effected the activation of Deoxyribonlease (DNase) and subsequent cleavage of nuclear DNA. On the histological assessment, the CFFE did not really show any </w:t>
      </w:r>
      <w:r>
        <w:rPr>
          <w:rFonts w:hint="default" w:ascii="Times New Roman" w:hAnsi="Times New Roman" w:cs="Times New Roman"/>
          <w:color w:val="000000"/>
          <w:kern w:val="2"/>
          <w:sz w:val="24"/>
          <w:szCs w:val="24"/>
          <w:highlight w:val="none"/>
          <w:lang w:val="en-US"/>
        </w:rPr>
        <w:t xml:space="preserve">significant </w:t>
      </w:r>
      <w:r>
        <w:rPr>
          <w:rFonts w:ascii="Times New Roman" w:hAnsi="Times New Roman" w:cs="Times New Roman"/>
          <w:color w:val="000000"/>
          <w:kern w:val="2"/>
          <w:sz w:val="24"/>
          <w:szCs w:val="24"/>
          <w:highlight w:val="none"/>
          <w:lang w:val="en-GB"/>
        </w:rPr>
        <w:t xml:space="preserve">pathological lesion on the hepatocytes at the dosages used. </w:t>
      </w:r>
      <w:r>
        <w:rPr>
          <w:rFonts w:hint="default" w:ascii="Times New Roman" w:hAnsi="Times New Roman" w:cs="Times New Roman"/>
          <w:color w:val="000000"/>
          <w:kern w:val="2"/>
          <w:sz w:val="24"/>
          <w:szCs w:val="24"/>
          <w:highlight w:val="none"/>
          <w:lang w:val="en-US"/>
        </w:rPr>
        <w:t xml:space="preserve">However, higher doses could have a detrimental effect based on the effect shown at 200 mg/kg in this study. </w:t>
      </w:r>
    </w:p>
    <w:p w14:paraId="6455F0E5">
      <w:pPr>
        <w:spacing w:after="100" w:line="480" w:lineRule="auto"/>
        <w:jc w:val="both"/>
        <w:rPr>
          <w:rFonts w:ascii="Times New Roman" w:hAnsi="Times New Roman" w:cs="Times New Roman"/>
          <w:color w:val="000000"/>
          <w:kern w:val="2"/>
          <w:sz w:val="24"/>
          <w:szCs w:val="24"/>
          <w:highlight w:val="none"/>
          <w:lang w:val="en-GB"/>
        </w:rPr>
      </w:pPr>
      <w:r>
        <w:rPr>
          <w:rFonts w:hint="default" w:ascii="Times New Roman" w:hAnsi="Times New Roman" w:cs="Times New Roman"/>
          <w:b/>
          <w:bCs/>
          <w:color w:val="000000"/>
          <w:kern w:val="2"/>
          <w:sz w:val="24"/>
          <w:szCs w:val="24"/>
          <w:highlight w:val="none"/>
          <w:lang w:val="en-US"/>
        </w:rPr>
        <w:t>Conclusion</w:t>
      </w:r>
      <w:r>
        <w:rPr>
          <w:rFonts w:hint="default" w:ascii="Times New Roman" w:hAnsi="Times New Roman" w:cs="Times New Roman"/>
          <w:color w:val="000000"/>
          <w:kern w:val="2"/>
          <w:sz w:val="24"/>
          <w:szCs w:val="24"/>
          <w:highlight w:val="none"/>
          <w:lang w:val="en-US"/>
        </w:rPr>
        <w:t xml:space="preserve">: </w:t>
      </w:r>
      <w:r>
        <w:rPr>
          <w:rFonts w:ascii="Times New Roman" w:hAnsi="Times New Roman" w:cs="Times New Roman"/>
          <w:color w:val="000000"/>
          <w:kern w:val="2"/>
          <w:sz w:val="24"/>
          <w:szCs w:val="24"/>
          <w:highlight w:val="none"/>
          <w:lang w:val="en-GB"/>
        </w:rPr>
        <w:t>Bas</w:t>
      </w:r>
      <w:r>
        <w:rPr>
          <w:rFonts w:hint="default" w:ascii="Times New Roman" w:hAnsi="Times New Roman" w:cs="Times New Roman"/>
          <w:color w:val="000000"/>
          <w:kern w:val="2"/>
          <w:sz w:val="24"/>
          <w:szCs w:val="24"/>
          <w:highlight w:val="none"/>
          <w:lang w:val="en-US"/>
        </w:rPr>
        <w:t>e</w:t>
      </w:r>
      <w:r>
        <w:rPr>
          <w:rFonts w:ascii="Times New Roman" w:hAnsi="Times New Roman" w:cs="Times New Roman"/>
          <w:color w:val="000000"/>
          <w:kern w:val="2"/>
          <w:sz w:val="24"/>
          <w:szCs w:val="24"/>
          <w:highlight w:val="none"/>
          <w:lang w:val="en-GB"/>
        </w:rPr>
        <w:t xml:space="preserve">d on the findings in this study, it can be suggested that chloroform fraction of methanol extract of </w:t>
      </w:r>
      <w:r>
        <w:rPr>
          <w:rFonts w:ascii="Times New Roman" w:hAnsi="Times New Roman" w:cs="Times New Roman"/>
          <w:i/>
          <w:color w:val="000000"/>
          <w:kern w:val="2"/>
          <w:sz w:val="24"/>
          <w:szCs w:val="24"/>
          <w:highlight w:val="none"/>
          <w:lang w:val="en-GB"/>
        </w:rPr>
        <w:t>Funtumia elastica</w:t>
      </w:r>
      <w:r>
        <w:rPr>
          <w:rFonts w:ascii="Times New Roman" w:hAnsi="Times New Roman" w:cs="Times New Roman"/>
          <w:color w:val="000000"/>
          <w:kern w:val="2"/>
          <w:sz w:val="24"/>
          <w:szCs w:val="24"/>
          <w:highlight w:val="none"/>
          <w:lang w:val="en-GB"/>
        </w:rPr>
        <w:t xml:space="preserve"> is an inducer of mitochondrial-mediated cell death. Further work is still necessary to characterize and isolate the active principle responsible for these pharmacological potentials. This may be useful in situations that require upregulation of apoptosis.</w:t>
      </w:r>
    </w:p>
    <w:p w14:paraId="094BE135">
      <w:pPr>
        <w:spacing w:after="200" w:line="276" w:lineRule="auto"/>
        <w:rPr>
          <w:rFonts w:hint="default" w:ascii="Times New Roman" w:hAnsi="Times New Roman" w:eastAsia="Calibri" w:cs="Times New Roman"/>
          <w:kern w:val="2"/>
          <w:sz w:val="24"/>
          <w:szCs w:val="24"/>
          <w:highlight w:val="none"/>
          <w14:ligatures w14:val="standardContextual"/>
        </w:rPr>
      </w:pPr>
      <w:r>
        <w:rPr>
          <w:rFonts w:hint="default" w:ascii="Times New Roman" w:hAnsi="Times New Roman" w:eastAsia="Calibri" w:cs="Times New Roman"/>
          <w:kern w:val="2"/>
          <w:sz w:val="24"/>
          <w:szCs w:val="24"/>
          <w:highlight w:val="none"/>
          <w14:ligatures w14:val="standardContextual"/>
        </w:rPr>
        <w:t>Disclaimer (Artificial intelligence)</w:t>
      </w:r>
    </w:p>
    <w:p w14:paraId="353DE27B">
      <w:pPr>
        <w:spacing w:after="200" w:line="276" w:lineRule="auto"/>
        <w:rPr>
          <w:rFonts w:hint="default" w:ascii="Times New Roman" w:hAnsi="Times New Roman" w:eastAsia="Calibri" w:cs="Times New Roman"/>
          <w:kern w:val="2"/>
          <w:sz w:val="24"/>
          <w:szCs w:val="24"/>
          <w:highlight w:val="none"/>
          <w14:ligatures w14:val="standardContextual"/>
        </w:rPr>
      </w:pPr>
      <w:r>
        <w:rPr>
          <w:rFonts w:hint="default" w:ascii="Times New Roman" w:hAnsi="Times New Roman" w:eastAsia="Calibri" w:cs="Times New Roman"/>
          <w:kern w:val="2"/>
          <w:sz w:val="24"/>
          <w:szCs w:val="24"/>
          <w:highlight w:val="none"/>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007758E">
      <w:pPr>
        <w:spacing w:after="100" w:line="360" w:lineRule="auto"/>
        <w:jc w:val="both"/>
        <w:rPr>
          <w:rFonts w:ascii="Times New Roman" w:hAnsi="Times New Roman" w:cs="Times New Roman"/>
          <w:b/>
          <w:color w:val="000000"/>
          <w:kern w:val="2"/>
          <w:sz w:val="24"/>
          <w:szCs w:val="24"/>
          <w:highlight w:val="none"/>
          <w:lang w:val="en-GB"/>
        </w:rPr>
      </w:pPr>
      <w:r>
        <w:rPr>
          <w:rFonts w:ascii="Times New Roman" w:hAnsi="Times New Roman" w:cs="Times New Roman"/>
          <w:b/>
          <w:color w:val="000000"/>
          <w:kern w:val="2"/>
          <w:sz w:val="24"/>
          <w:szCs w:val="24"/>
          <w:highlight w:val="none"/>
          <w:lang w:val="en-GB"/>
        </w:rPr>
        <w:t>References</w:t>
      </w:r>
    </w:p>
    <w:p w14:paraId="7366F5D4">
      <w:pPr>
        <w:spacing w:after="100" w:line="360" w:lineRule="auto"/>
        <w:jc w:val="both"/>
        <w:rPr>
          <w:rFonts w:ascii="Times New Roman" w:hAnsi="Times New Roman" w:cs="Times New Roman"/>
          <w:b/>
          <w:color w:val="000000"/>
          <w:kern w:val="2"/>
          <w:sz w:val="24"/>
          <w:szCs w:val="24"/>
          <w:highlight w:val="none"/>
          <w:lang w:val="en-GB"/>
        </w:rPr>
      </w:pPr>
    </w:p>
    <w:p w14:paraId="4935A5CC">
      <w:pPr>
        <w:numPr>
          <w:ilvl w:val="0"/>
          <w:numId w:val="1"/>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Martinez-Reyes I</w:t>
      </w:r>
      <w:r>
        <w:rPr>
          <w:rFonts w:ascii="Times New Roman" w:hAnsi="Times New Roman" w:cs="Times New Roman"/>
          <w:color w:val="000000"/>
          <w:kern w:val="2"/>
          <w:sz w:val="24"/>
          <w:szCs w:val="24"/>
          <w:highlight w:val="none"/>
        </w:rPr>
        <w:t xml:space="preserve">, </w:t>
      </w:r>
      <w:r>
        <w:rPr>
          <w:rFonts w:ascii="Times New Roman" w:hAnsi="Times New Roman" w:cs="Times New Roman"/>
          <w:color w:val="000000"/>
          <w:kern w:val="2"/>
          <w:sz w:val="24"/>
          <w:szCs w:val="24"/>
          <w:highlight w:val="none"/>
          <w:lang w:val="en-GB"/>
        </w:rPr>
        <w:t xml:space="preserve">Chandel NS. Mitochondrial TCA cycle metabolites control physiology and disease. Nat. Commun. </w:t>
      </w:r>
      <w:r>
        <w:rPr>
          <w:rFonts w:ascii="Times New Roman" w:hAnsi="Times New Roman" w:cs="Times New Roman"/>
          <w:color w:val="000000"/>
          <w:kern w:val="2"/>
          <w:sz w:val="24"/>
          <w:szCs w:val="24"/>
          <w:highlight w:val="none"/>
        </w:rPr>
        <w:t xml:space="preserve">2020; </w:t>
      </w:r>
      <w:r>
        <w:rPr>
          <w:rFonts w:ascii="Times New Roman" w:hAnsi="Times New Roman" w:cs="Times New Roman"/>
          <w:color w:val="000000"/>
          <w:kern w:val="2"/>
          <w:sz w:val="24"/>
          <w:szCs w:val="24"/>
          <w:highlight w:val="none"/>
          <w:lang w:val="en-GB"/>
        </w:rPr>
        <w:t>11</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102</w:t>
      </w:r>
      <w:r>
        <w:rPr>
          <w:rFonts w:ascii="Times New Roman" w:hAnsi="Times New Roman" w:cs="Times New Roman"/>
          <w:color w:val="000000"/>
          <w:kern w:val="2"/>
          <w:sz w:val="24"/>
          <w:szCs w:val="24"/>
          <w:highlight w:val="none"/>
        </w:rPr>
        <w:t>.</w:t>
      </w:r>
    </w:p>
    <w:p w14:paraId="2A265B74">
      <w:pPr>
        <w:numPr>
          <w:ilvl w:val="0"/>
          <w:numId w:val="1"/>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Halestrap A</w:t>
      </w:r>
      <w:r>
        <w:rPr>
          <w:rFonts w:ascii="Times New Roman" w:hAnsi="Times New Roman" w:cs="Times New Roman"/>
          <w:color w:val="000000"/>
          <w:kern w:val="2"/>
          <w:sz w:val="24"/>
          <w:szCs w:val="24"/>
          <w:highlight w:val="none"/>
        </w:rPr>
        <w:t>P</w:t>
      </w:r>
      <w:r>
        <w:rPr>
          <w:rFonts w:ascii="Times New Roman" w:hAnsi="Times New Roman" w:cs="Times New Roman"/>
          <w:color w:val="000000"/>
          <w:kern w:val="2"/>
          <w:sz w:val="24"/>
          <w:szCs w:val="24"/>
          <w:highlight w:val="none"/>
          <w:lang w:val="en-GB"/>
        </w:rPr>
        <w:t>. What is the mitochondrial permeability transition pore? Journal of Molecular and Cellulor Cardiology</w:t>
      </w:r>
      <w:r>
        <w:rPr>
          <w:rFonts w:ascii="Times New Roman" w:hAnsi="Times New Roman" w:cs="Times New Roman"/>
          <w:color w:val="000000"/>
          <w:kern w:val="2"/>
          <w:sz w:val="24"/>
          <w:szCs w:val="24"/>
          <w:highlight w:val="none"/>
        </w:rPr>
        <w:t>. 2009;</w:t>
      </w:r>
      <w:r>
        <w:rPr>
          <w:rFonts w:ascii="Times New Roman" w:hAnsi="Times New Roman" w:cs="Times New Roman"/>
          <w:color w:val="000000"/>
          <w:kern w:val="2"/>
          <w:sz w:val="24"/>
          <w:szCs w:val="24"/>
          <w:highlight w:val="none"/>
          <w:lang w:val="en-GB"/>
        </w:rPr>
        <w:t xml:space="preserve"> 46</w:t>
      </w:r>
      <w:r>
        <w:rPr>
          <w:rFonts w:hint="default" w:ascii="Times New Roman" w:hAnsi="Times New Roman" w:cs="Times New Roman"/>
          <w:color w:val="000000"/>
          <w:kern w:val="2"/>
          <w:sz w:val="24"/>
          <w:szCs w:val="24"/>
          <w:highlight w:val="none"/>
          <w:lang w:val="en-US"/>
        </w:rPr>
        <w:t>:</w:t>
      </w:r>
      <w:r>
        <w:rPr>
          <w:rFonts w:ascii="Times New Roman" w:hAnsi="Times New Roman" w:cs="Times New Roman"/>
          <w:color w:val="000000"/>
          <w:kern w:val="2"/>
          <w:sz w:val="24"/>
          <w:szCs w:val="24"/>
          <w:highlight w:val="none"/>
          <w:lang w:val="en-GB"/>
        </w:rPr>
        <w:t xml:space="preserve"> 821–831</w:t>
      </w:r>
    </w:p>
    <w:p w14:paraId="1C8F2A8A">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3.</w:t>
      </w:r>
      <w:r>
        <w:rPr>
          <w:rFonts w:ascii="Times New Roman" w:hAnsi="Times New Roman" w:cs="Times New Roman"/>
          <w:color w:val="000000"/>
          <w:kern w:val="2"/>
          <w:sz w:val="24"/>
          <w:szCs w:val="24"/>
          <w:highlight w:val="none"/>
          <w:lang w:val="en-GB"/>
        </w:rPr>
        <w:t>Oh CM, Ryu D, Cho S</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Jang Y. Mitochondrial Quality Control in the Heart: New Drug Targets for Cardiovascular Disease. Korean Circ. J. </w:t>
      </w:r>
      <w:r>
        <w:rPr>
          <w:rFonts w:ascii="Times New Roman" w:hAnsi="Times New Roman" w:cs="Times New Roman"/>
          <w:color w:val="000000"/>
          <w:kern w:val="2"/>
          <w:sz w:val="24"/>
          <w:szCs w:val="24"/>
          <w:highlight w:val="none"/>
        </w:rPr>
        <w:t xml:space="preserve">2020; </w:t>
      </w:r>
      <w:r>
        <w:rPr>
          <w:rFonts w:ascii="Times New Roman" w:hAnsi="Times New Roman" w:cs="Times New Roman"/>
          <w:color w:val="000000"/>
          <w:kern w:val="2"/>
          <w:sz w:val="24"/>
          <w:szCs w:val="24"/>
          <w:highlight w:val="none"/>
          <w:lang w:val="en-GB"/>
        </w:rPr>
        <w:t>50</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395–405. </w:t>
      </w:r>
    </w:p>
    <w:p w14:paraId="3B5FA8DB">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4. </w:t>
      </w:r>
      <w:r>
        <w:rPr>
          <w:rFonts w:ascii="Times New Roman" w:hAnsi="Times New Roman" w:cs="Times New Roman"/>
          <w:color w:val="000000"/>
          <w:kern w:val="2"/>
          <w:sz w:val="24"/>
          <w:szCs w:val="24"/>
          <w:highlight w:val="none"/>
          <w:lang w:val="en-GB"/>
        </w:rPr>
        <w:t>Weinlich R, Oberst A, Beere HM</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Green DR. Necroptosis in development, inflammation and disease. Nat. Rev. Mol. Cell Biol. </w:t>
      </w:r>
      <w:r>
        <w:rPr>
          <w:rFonts w:ascii="Times New Roman" w:hAnsi="Times New Roman" w:cs="Times New Roman"/>
          <w:color w:val="000000"/>
          <w:kern w:val="2"/>
          <w:sz w:val="24"/>
          <w:szCs w:val="24"/>
          <w:highlight w:val="none"/>
        </w:rPr>
        <w:t xml:space="preserve">2017; </w:t>
      </w:r>
      <w:r>
        <w:rPr>
          <w:rFonts w:ascii="Times New Roman" w:hAnsi="Times New Roman" w:cs="Times New Roman"/>
          <w:color w:val="000000"/>
          <w:kern w:val="2"/>
          <w:sz w:val="24"/>
          <w:szCs w:val="24"/>
          <w:highlight w:val="none"/>
          <w:lang w:val="en-GB"/>
        </w:rPr>
        <w:t>18</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127–136.</w:t>
      </w:r>
    </w:p>
    <w:p w14:paraId="5FDDA04A">
      <w:pPr>
        <w:spacing w:after="100" w:line="360" w:lineRule="auto"/>
        <w:jc w:val="both"/>
        <w:rPr>
          <w:rFonts w:ascii="Times New Roman" w:hAnsi="Times New Roman" w:cs="Times New Roman"/>
          <w:color w:val="000000"/>
          <w:kern w:val="2"/>
          <w:sz w:val="24"/>
          <w:szCs w:val="24"/>
          <w:highlight w:val="none"/>
        </w:rPr>
      </w:pPr>
      <w:r>
        <w:rPr>
          <w:rFonts w:ascii="Times New Roman" w:hAnsi="Times New Roman" w:cs="Times New Roman"/>
          <w:color w:val="000000"/>
          <w:kern w:val="2"/>
          <w:sz w:val="24"/>
          <w:szCs w:val="24"/>
          <w:highlight w:val="none"/>
        </w:rPr>
        <w:t xml:space="preserve">5. </w:t>
      </w:r>
      <w:r>
        <w:rPr>
          <w:rFonts w:ascii="Times New Roman" w:hAnsi="Times New Roman" w:cs="Times New Roman"/>
          <w:color w:val="000000"/>
          <w:kern w:val="2"/>
          <w:sz w:val="24"/>
          <w:szCs w:val="24"/>
          <w:highlight w:val="none"/>
          <w:lang w:val="en-GB"/>
        </w:rPr>
        <w:t>Martins KR. Targeting apoptosis with dietary bioactive agents. Minireview</w:t>
      </w:r>
      <w:r>
        <w:rPr>
          <w:rFonts w:hint="default" w:ascii="Times New Roman" w:hAnsi="Times New Roman" w:cs="Times New Roman"/>
          <w:color w:val="000000"/>
          <w:kern w:val="2"/>
          <w:sz w:val="24"/>
          <w:szCs w:val="24"/>
          <w:highlight w:val="none"/>
          <w:lang w:val="en-US"/>
        </w:rPr>
        <w:t>,</w:t>
      </w:r>
      <w:r>
        <w:rPr>
          <w:rFonts w:ascii="Times New Roman" w:hAnsi="Times New Roman" w:cs="Times New Roman"/>
          <w:color w:val="000000"/>
          <w:kern w:val="2"/>
          <w:sz w:val="24"/>
          <w:szCs w:val="24"/>
          <w:highlight w:val="none"/>
          <w:lang w:val="en-GB"/>
        </w:rPr>
        <w:t xml:space="preserve"> 117-130, membrane lipid peroxidation in human cancer (Spain); Cancer causes and Control, 2006; 15: 707-719</w:t>
      </w:r>
      <w:r>
        <w:rPr>
          <w:rFonts w:ascii="Times New Roman" w:hAnsi="Times New Roman" w:cs="Times New Roman"/>
          <w:color w:val="000000"/>
          <w:kern w:val="2"/>
          <w:sz w:val="24"/>
          <w:szCs w:val="24"/>
          <w:highlight w:val="none"/>
        </w:rPr>
        <w:t>.</w:t>
      </w:r>
    </w:p>
    <w:p w14:paraId="545B22B4">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6. </w:t>
      </w:r>
      <w:r>
        <w:rPr>
          <w:rFonts w:ascii="Times New Roman" w:hAnsi="Times New Roman" w:cs="Times New Roman"/>
          <w:color w:val="000000"/>
          <w:kern w:val="2"/>
          <w:sz w:val="24"/>
          <w:szCs w:val="24"/>
          <w:highlight w:val="none"/>
          <w:lang w:val="en-GB"/>
        </w:rPr>
        <w:t>McIlwain DR, Berger T</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Mak TW. Caspase functions in cell death and disease. Cold Spring Harb. Perspect. Biol., 2013; 5; a008656. doi:10.1101/cshperspect.a008656</w:t>
      </w:r>
    </w:p>
    <w:p w14:paraId="474F3BD7">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7. </w:t>
      </w:r>
      <w:r>
        <w:rPr>
          <w:rFonts w:ascii="Times New Roman" w:hAnsi="Times New Roman" w:cs="Times New Roman"/>
          <w:color w:val="000000"/>
          <w:kern w:val="2"/>
          <w:sz w:val="24"/>
          <w:szCs w:val="24"/>
          <w:highlight w:val="none"/>
          <w:lang w:val="en-GB"/>
        </w:rPr>
        <w:t>Van Opdenbosch N</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Lamkanfi M. Caspases in cell death, inflammation, and disease. Immunity</w:t>
      </w:r>
      <w:r>
        <w:rPr>
          <w:rFonts w:ascii="Times New Roman" w:hAnsi="Times New Roman" w:cs="Times New Roman"/>
          <w:color w:val="000000"/>
          <w:kern w:val="2"/>
          <w:sz w:val="24"/>
          <w:szCs w:val="24"/>
          <w:highlight w:val="none"/>
        </w:rPr>
        <w:t xml:space="preserve">. 2019; </w:t>
      </w:r>
      <w:r>
        <w:rPr>
          <w:rFonts w:ascii="Times New Roman" w:hAnsi="Times New Roman" w:cs="Times New Roman"/>
          <w:color w:val="000000"/>
          <w:kern w:val="2"/>
          <w:sz w:val="24"/>
          <w:szCs w:val="24"/>
          <w:highlight w:val="none"/>
          <w:lang w:val="en-GB"/>
        </w:rPr>
        <w:t>50</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1352–1364.</w:t>
      </w:r>
    </w:p>
    <w:p w14:paraId="45B788E3">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8 </w:t>
      </w:r>
      <w:r>
        <w:rPr>
          <w:rFonts w:ascii="Times New Roman" w:hAnsi="Times New Roman" w:cs="Times New Roman"/>
          <w:color w:val="000000"/>
          <w:kern w:val="2"/>
          <w:sz w:val="24"/>
          <w:szCs w:val="24"/>
          <w:highlight w:val="none"/>
          <w:lang w:val="en-GB"/>
        </w:rPr>
        <w:t>Stavrovskaya IG</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Kristal BS. "The powerhouse takes control of the cell: Is the mitochondrial permeability transition a viable therapeutic target against neuronal dysfunction and death?". Free Radical Biology and Medicine</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2005; 6: 687–697.</w:t>
      </w:r>
    </w:p>
    <w:p w14:paraId="2D0B47E1">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9. </w:t>
      </w:r>
      <w:r>
        <w:rPr>
          <w:rFonts w:ascii="Times New Roman" w:hAnsi="Times New Roman" w:cs="Times New Roman"/>
          <w:color w:val="000000"/>
          <w:kern w:val="2"/>
          <w:sz w:val="24"/>
          <w:szCs w:val="24"/>
          <w:highlight w:val="none"/>
          <w:lang w:val="en-GB"/>
        </w:rPr>
        <w:t>Giampaolo Morciano, Natalia Naumova, Piotr Koprowski, Sara Valente, Vilma A. Sardão, Yaiza Potes, Alessandro Rimessi, Mariusz R. Wieckowski, Paulo J. Oliveira. The mitochondrial permeability transition pore: an evolving concept critical for cell life and death. Biological Reviews</w:t>
      </w:r>
      <w:r>
        <w:rPr>
          <w:rFonts w:ascii="Times New Roman" w:hAnsi="Times New Roman" w:cs="Times New Roman"/>
          <w:color w:val="000000"/>
          <w:kern w:val="2"/>
          <w:sz w:val="24"/>
          <w:szCs w:val="24"/>
          <w:highlight w:val="none"/>
        </w:rPr>
        <w:t>.2021;</w:t>
      </w:r>
      <w:r>
        <w:rPr>
          <w:rFonts w:ascii="Times New Roman" w:hAnsi="Times New Roman" w:cs="Times New Roman"/>
          <w:color w:val="000000"/>
          <w:kern w:val="2"/>
          <w:sz w:val="24"/>
          <w:szCs w:val="24"/>
          <w:highlight w:val="none"/>
          <w:lang w:val="en-GB"/>
        </w:rPr>
        <w:t xml:space="preserve"> 96 (6): 2489-2521.</w:t>
      </w:r>
    </w:p>
    <w:p w14:paraId="24D14D4B">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10. </w:t>
      </w:r>
      <w:r>
        <w:rPr>
          <w:rFonts w:ascii="Times New Roman" w:hAnsi="Times New Roman" w:cs="Times New Roman"/>
          <w:color w:val="000000"/>
          <w:kern w:val="2"/>
          <w:sz w:val="24"/>
          <w:szCs w:val="24"/>
          <w:highlight w:val="none"/>
          <w:lang w:val="en-GB"/>
        </w:rPr>
        <w:t>Kovac S, Dinkova Kostova AT, Herrmann AM, Melzer N, Meuth SG, Gorji A. Metabolic and Homeostatic Changes in Seizures and Acquired Epilepsy-Mitochondria, Calcium Dynamics and Reactive Oxygen Species. Int J Mol Sci</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2017; 18(9):1935. </w:t>
      </w:r>
    </w:p>
    <w:p w14:paraId="0C8F05D3">
      <w:pPr>
        <w:numPr>
          <w:ilvl w:val="0"/>
          <w:numId w:val="2"/>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Zorov DB, Juhaszova M, Sollott SJ. Mitochondrial reactive oxygen species (ROS) and ROS-induced ROS release. Physiol Rev</w:t>
      </w:r>
      <w:r>
        <w:rPr>
          <w:rFonts w:ascii="Times New Roman" w:hAnsi="Times New Roman" w:cs="Times New Roman"/>
          <w:color w:val="000000"/>
          <w:kern w:val="2"/>
          <w:sz w:val="24"/>
          <w:szCs w:val="24"/>
          <w:highlight w:val="none"/>
        </w:rPr>
        <w:t xml:space="preserve">. </w:t>
      </w:r>
      <w:r>
        <w:rPr>
          <w:rFonts w:ascii="Times New Roman" w:hAnsi="Times New Roman" w:cs="Times New Roman"/>
          <w:color w:val="000000"/>
          <w:kern w:val="2"/>
          <w:sz w:val="24"/>
          <w:szCs w:val="24"/>
          <w:highlight w:val="none"/>
          <w:lang w:val="en-GB"/>
        </w:rPr>
        <w:t xml:space="preserve"> 2014; 94(3):909-50. .</w:t>
      </w:r>
    </w:p>
    <w:p w14:paraId="65DF1F61">
      <w:pPr>
        <w:numPr>
          <w:ilvl w:val="0"/>
          <w:numId w:val="2"/>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Susin SA, Lorenzo HK, Zamzami N, Marzo I, Brenner C, Larochette N, Prevost MC, Alzari PM, Kroemer G. Mitochondrial release of caspase-2 and -9 during the apoptotic process J. Exp. Med. 1999; 189: 381–394.</w:t>
      </w:r>
    </w:p>
    <w:p w14:paraId="3BC3C121">
      <w:pPr>
        <w:numPr>
          <w:ilvl w:val="0"/>
          <w:numId w:val="2"/>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Qin ZH, Wang Y, Kikly KK, Sapp E, Kegel KB, Aronin N, DiFiglia M. Pro-caspase-8 is predominantly localized in mitochondria and released into cytoplasm upon apoptotic stimulation J. Biol. Chem. 2001; 276: 8079–8086.</w:t>
      </w:r>
    </w:p>
    <w:p w14:paraId="5FD4D040">
      <w:pPr>
        <w:numPr>
          <w:ilvl w:val="0"/>
          <w:numId w:val="2"/>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Green DR. Mitochondria and cell death: Outer membrane permeabilization and beyond. Nat Rev Mol Cell Biol.</w:t>
      </w:r>
      <w:r>
        <w:rPr>
          <w:rFonts w:ascii="Times New Roman" w:hAnsi="Times New Roman" w:cs="Times New Roman"/>
          <w:color w:val="000000"/>
          <w:kern w:val="2"/>
          <w:sz w:val="24"/>
          <w:szCs w:val="24"/>
          <w:highlight w:val="none"/>
        </w:rPr>
        <w:t xml:space="preserve"> 2010;</w:t>
      </w:r>
      <w:r>
        <w:rPr>
          <w:rFonts w:ascii="Times New Roman" w:hAnsi="Times New Roman" w:cs="Times New Roman"/>
          <w:color w:val="000000"/>
          <w:kern w:val="2"/>
          <w:sz w:val="24"/>
          <w:szCs w:val="24"/>
          <w:highlight w:val="none"/>
          <w:lang w:val="en-GB"/>
        </w:rPr>
        <w:t xml:space="preserve"> 11: 621–32.</w:t>
      </w:r>
    </w:p>
    <w:p w14:paraId="0246091C">
      <w:pPr>
        <w:numPr>
          <w:ilvl w:val="0"/>
          <w:numId w:val="3"/>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 xml:space="preserve">Johnson D, Lardy H. Isolation of liver or kidney mitochondria. Methods Enzymol. </w:t>
      </w:r>
      <w:r>
        <w:rPr>
          <w:rFonts w:ascii="Times New Roman" w:hAnsi="Times New Roman" w:cs="Times New Roman"/>
          <w:color w:val="000000"/>
          <w:kern w:val="2"/>
          <w:sz w:val="24"/>
          <w:szCs w:val="24"/>
          <w:highlight w:val="none"/>
        </w:rPr>
        <w:t xml:space="preserve">1967; </w:t>
      </w:r>
      <w:r>
        <w:rPr>
          <w:rFonts w:ascii="Times New Roman" w:hAnsi="Times New Roman" w:cs="Times New Roman"/>
          <w:color w:val="000000"/>
          <w:kern w:val="2"/>
          <w:sz w:val="24"/>
          <w:szCs w:val="24"/>
          <w:highlight w:val="none"/>
          <w:lang w:val="en-GB"/>
        </w:rPr>
        <w:t>1094–1096.</w:t>
      </w:r>
    </w:p>
    <w:p w14:paraId="53D83330">
      <w:pPr>
        <w:numPr>
          <w:ilvl w:val="0"/>
          <w:numId w:val="3"/>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Olorunsogo</w:t>
      </w:r>
      <w:r>
        <w:rPr>
          <w:rFonts w:ascii="Times New Roman" w:hAnsi="Times New Roman" w:cs="Times New Roman"/>
          <w:color w:val="000000"/>
          <w:kern w:val="2"/>
          <w:sz w:val="24"/>
          <w:szCs w:val="24"/>
          <w:highlight w:val="none"/>
        </w:rPr>
        <w:t xml:space="preserve"> </w:t>
      </w:r>
      <w:r>
        <w:rPr>
          <w:rFonts w:ascii="Times New Roman" w:hAnsi="Times New Roman" w:cs="Times New Roman"/>
          <w:color w:val="000000"/>
          <w:kern w:val="2"/>
          <w:sz w:val="24"/>
          <w:szCs w:val="24"/>
          <w:highlight w:val="none"/>
          <w:lang w:val="en-GB"/>
        </w:rPr>
        <w:t xml:space="preserve">OO, Bababunmi EA, Bassir O. Uncoupling effect of N phosphonomethyl glycine on rat liver mitochondria. Biochem. Pharmacol. </w:t>
      </w:r>
      <w:r>
        <w:rPr>
          <w:rFonts w:ascii="Times New Roman" w:hAnsi="Times New Roman" w:cs="Times New Roman"/>
          <w:color w:val="000000"/>
          <w:kern w:val="2"/>
          <w:sz w:val="24"/>
          <w:szCs w:val="24"/>
          <w:highlight w:val="none"/>
        </w:rPr>
        <w:t xml:space="preserve">1979; </w:t>
      </w:r>
      <w:r>
        <w:rPr>
          <w:rFonts w:ascii="Times New Roman" w:hAnsi="Times New Roman" w:cs="Times New Roman"/>
          <w:color w:val="000000"/>
          <w:kern w:val="2"/>
          <w:sz w:val="24"/>
          <w:szCs w:val="24"/>
          <w:highlight w:val="none"/>
          <w:lang w:val="en-GB"/>
        </w:rPr>
        <w:t>27</w:t>
      </w:r>
      <w:r>
        <w:rPr>
          <w:rFonts w:hint="default" w:ascii="Times New Roman" w:hAnsi="Times New Roman" w:cs="Times New Roman"/>
          <w:color w:val="000000"/>
          <w:kern w:val="2"/>
          <w:sz w:val="24"/>
          <w:szCs w:val="24"/>
          <w:highlight w:val="none"/>
          <w:lang w:val="en-US"/>
        </w:rPr>
        <w:t>:</w:t>
      </w:r>
      <w:r>
        <w:rPr>
          <w:rFonts w:ascii="Times New Roman" w:hAnsi="Times New Roman" w:cs="Times New Roman"/>
          <w:color w:val="000000"/>
          <w:kern w:val="2"/>
          <w:sz w:val="24"/>
          <w:szCs w:val="24"/>
          <w:highlight w:val="none"/>
          <w:lang w:val="en-GB"/>
        </w:rPr>
        <w:t xml:space="preserve"> 925–927.</w:t>
      </w:r>
    </w:p>
    <w:p w14:paraId="2830A53D">
      <w:pPr>
        <w:numPr>
          <w:ilvl w:val="0"/>
          <w:numId w:val="3"/>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 xml:space="preserve">Lapidus RG, Sokolove PM. Inhibition by spermine of the inner membrane permeability transition of isolated heart mitochondria. FEBS Lett. </w:t>
      </w:r>
      <w:r>
        <w:rPr>
          <w:rFonts w:ascii="Times New Roman" w:hAnsi="Times New Roman" w:cs="Times New Roman"/>
          <w:color w:val="000000"/>
          <w:kern w:val="2"/>
          <w:sz w:val="24"/>
          <w:szCs w:val="24"/>
          <w:highlight w:val="none"/>
        </w:rPr>
        <w:t xml:space="preserve">1993; </w:t>
      </w:r>
      <w:r>
        <w:rPr>
          <w:rFonts w:ascii="Times New Roman" w:hAnsi="Times New Roman" w:cs="Times New Roman"/>
          <w:color w:val="000000"/>
          <w:kern w:val="2"/>
          <w:sz w:val="24"/>
          <w:szCs w:val="24"/>
          <w:highlight w:val="none"/>
          <w:lang w:val="en-GB"/>
        </w:rPr>
        <w:t>3</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314–318.</w:t>
      </w:r>
    </w:p>
    <w:p w14:paraId="6D3FD5BF">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18. </w:t>
      </w:r>
      <w:r>
        <w:rPr>
          <w:rFonts w:ascii="Times New Roman" w:hAnsi="Times New Roman" w:cs="Times New Roman"/>
          <w:color w:val="000000"/>
          <w:kern w:val="2"/>
          <w:sz w:val="24"/>
          <w:szCs w:val="24"/>
          <w:highlight w:val="none"/>
          <w:lang w:val="en-GB"/>
        </w:rPr>
        <w:t xml:space="preserve">Lowry OH, Rosenbrough NJ, Farr Al, Randall RJ. Protein measurement with Folin phenol reagent. J. Biol. Chem. </w:t>
      </w:r>
      <w:r>
        <w:rPr>
          <w:rFonts w:ascii="Times New Roman" w:hAnsi="Times New Roman" w:cs="Times New Roman"/>
          <w:color w:val="000000"/>
          <w:kern w:val="2"/>
          <w:sz w:val="24"/>
          <w:szCs w:val="24"/>
          <w:highlight w:val="none"/>
        </w:rPr>
        <w:t xml:space="preserve">1951; </w:t>
      </w:r>
      <w:r>
        <w:rPr>
          <w:rFonts w:ascii="Times New Roman" w:hAnsi="Times New Roman" w:cs="Times New Roman"/>
          <w:color w:val="000000"/>
          <w:kern w:val="2"/>
          <w:sz w:val="24"/>
          <w:szCs w:val="24"/>
          <w:highlight w:val="none"/>
          <w:lang w:val="en-GB"/>
        </w:rPr>
        <w:t>193</w:t>
      </w:r>
      <w:r>
        <w:rPr>
          <w:rFonts w:hint="default" w:ascii="Times New Roman" w:hAnsi="Times New Roman" w:cs="Times New Roman"/>
          <w:color w:val="000000"/>
          <w:kern w:val="2"/>
          <w:sz w:val="24"/>
          <w:szCs w:val="24"/>
          <w:highlight w:val="none"/>
          <w:lang w:val="en-US"/>
        </w:rPr>
        <w:t>:</w:t>
      </w:r>
      <w:r>
        <w:rPr>
          <w:rFonts w:ascii="Times New Roman" w:hAnsi="Times New Roman" w:cs="Times New Roman"/>
          <w:color w:val="000000"/>
          <w:kern w:val="2"/>
          <w:sz w:val="24"/>
          <w:szCs w:val="24"/>
          <w:highlight w:val="none"/>
          <w:lang w:val="en-GB"/>
        </w:rPr>
        <w:t xml:space="preserve"> 265–275.</w:t>
      </w:r>
    </w:p>
    <w:p w14:paraId="44F7F041">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19. </w:t>
      </w:r>
      <w:r>
        <w:rPr>
          <w:rFonts w:ascii="Times New Roman" w:hAnsi="Times New Roman" w:cs="Times New Roman"/>
          <w:color w:val="000000"/>
          <w:kern w:val="2"/>
          <w:sz w:val="24"/>
          <w:szCs w:val="24"/>
          <w:highlight w:val="none"/>
          <w:lang w:val="en-GB"/>
        </w:rPr>
        <w:t>Olorunsogo OO, Malomo SO. Sensitivity of Oligomycin-inhibited respiration of isolated rat liver mitochondria to perfluidone, a fluorinated arylalkylsulfonamide. Toxicology</w:t>
      </w:r>
      <w:r>
        <w:rPr>
          <w:rFonts w:ascii="Times New Roman" w:hAnsi="Times New Roman" w:cs="Times New Roman"/>
          <w:color w:val="000000"/>
          <w:kern w:val="2"/>
          <w:sz w:val="24"/>
          <w:szCs w:val="24"/>
          <w:highlight w:val="none"/>
        </w:rPr>
        <w:t>. 1985;</w:t>
      </w:r>
      <w:r>
        <w:rPr>
          <w:rFonts w:ascii="Times New Roman" w:hAnsi="Times New Roman" w:cs="Times New Roman"/>
          <w:color w:val="000000"/>
          <w:kern w:val="2"/>
          <w:sz w:val="24"/>
          <w:szCs w:val="24"/>
          <w:highlight w:val="none"/>
          <w:lang w:val="en-GB"/>
        </w:rPr>
        <w:t xml:space="preserve"> 35</w:t>
      </w:r>
      <w:r>
        <w:rPr>
          <w:rFonts w:hint="default" w:ascii="Times New Roman" w:hAnsi="Times New Roman" w:cs="Times New Roman"/>
          <w:color w:val="000000"/>
          <w:kern w:val="2"/>
          <w:sz w:val="24"/>
          <w:szCs w:val="24"/>
          <w:highlight w:val="none"/>
          <w:lang w:val="en-US"/>
        </w:rPr>
        <w:t>:</w:t>
      </w:r>
      <w:r>
        <w:rPr>
          <w:rFonts w:ascii="Times New Roman" w:hAnsi="Times New Roman" w:cs="Times New Roman"/>
          <w:color w:val="000000"/>
          <w:kern w:val="2"/>
          <w:sz w:val="24"/>
          <w:szCs w:val="24"/>
          <w:highlight w:val="none"/>
          <w:lang w:val="en-GB"/>
        </w:rPr>
        <w:t xml:space="preserve"> 231–240.</w:t>
      </w:r>
    </w:p>
    <w:p w14:paraId="76C8CECB">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20. </w:t>
      </w:r>
      <w:r>
        <w:rPr>
          <w:rFonts w:ascii="Times New Roman" w:hAnsi="Times New Roman" w:cs="Times New Roman"/>
          <w:color w:val="000000"/>
          <w:kern w:val="2"/>
          <w:sz w:val="24"/>
          <w:szCs w:val="24"/>
          <w:highlight w:val="none"/>
          <w:lang w:val="en-GB"/>
        </w:rPr>
        <w:t>Bassir O</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Improving the level of nutrition. West Afr. J. Biol. Appl. Chem.</w:t>
      </w:r>
      <w:r>
        <w:rPr>
          <w:rFonts w:ascii="Times New Roman" w:hAnsi="Times New Roman" w:cs="Times New Roman"/>
          <w:color w:val="000000"/>
          <w:kern w:val="2"/>
          <w:sz w:val="24"/>
          <w:szCs w:val="24"/>
          <w:highlight w:val="none"/>
        </w:rPr>
        <w:t xml:space="preserve"> 1963;</w:t>
      </w:r>
      <w:r>
        <w:rPr>
          <w:rFonts w:ascii="Times New Roman" w:hAnsi="Times New Roman" w:cs="Times New Roman"/>
          <w:color w:val="000000"/>
          <w:kern w:val="2"/>
          <w:sz w:val="24"/>
          <w:szCs w:val="24"/>
          <w:highlight w:val="none"/>
          <w:lang w:val="en-GB"/>
        </w:rPr>
        <w:t xml:space="preserve"> 7</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32–40</w:t>
      </w:r>
    </w:p>
    <w:p w14:paraId="10B23224">
      <w:pPr>
        <w:numPr>
          <w:ilvl w:val="0"/>
          <w:numId w:val="4"/>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Varshney R, Kale RK. Effect of calmodulin antagonists on radiation-induced lipid peroxidation in micro- somes. International Journal of Radiation Biology</w:t>
      </w:r>
      <w:r>
        <w:rPr>
          <w:rFonts w:ascii="Times New Roman" w:hAnsi="Times New Roman" w:cs="Times New Roman"/>
          <w:color w:val="000000"/>
          <w:kern w:val="2"/>
          <w:sz w:val="24"/>
          <w:szCs w:val="24"/>
          <w:highlight w:val="none"/>
        </w:rPr>
        <w:t xml:space="preserve">. 1990; </w:t>
      </w:r>
      <w:r>
        <w:rPr>
          <w:rFonts w:ascii="Times New Roman" w:hAnsi="Times New Roman" w:cs="Times New Roman"/>
          <w:color w:val="000000"/>
          <w:kern w:val="2"/>
          <w:sz w:val="24"/>
          <w:szCs w:val="24"/>
          <w:highlight w:val="none"/>
          <w:lang w:val="en-GB"/>
        </w:rPr>
        <w:t xml:space="preserve"> 58</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773–743</w:t>
      </w:r>
    </w:p>
    <w:p w14:paraId="2122433A">
      <w:pPr>
        <w:spacing w:after="100" w:line="360" w:lineRule="auto"/>
        <w:jc w:val="both"/>
        <w:rPr>
          <w:rFonts w:hint="default" w:ascii="Times New Roman" w:hAnsi="Times New Roman"/>
          <w:color w:val="000000"/>
          <w:kern w:val="2"/>
          <w:sz w:val="24"/>
          <w:szCs w:val="24"/>
          <w:highlight w:val="none"/>
        </w:rPr>
      </w:pPr>
      <w:r>
        <w:rPr>
          <w:rFonts w:ascii="Times New Roman" w:hAnsi="Times New Roman" w:cs="Times New Roman"/>
          <w:color w:val="000000"/>
          <w:kern w:val="2"/>
          <w:sz w:val="24"/>
          <w:szCs w:val="24"/>
          <w:highlight w:val="none"/>
        </w:rPr>
        <w:t>22.</w:t>
      </w:r>
      <w:r>
        <w:rPr>
          <w:rFonts w:hint="default" w:ascii="Times New Roman" w:hAnsi="Times New Roman"/>
          <w:color w:val="000000"/>
          <w:kern w:val="2"/>
          <w:sz w:val="24"/>
          <w:szCs w:val="24"/>
          <w:highlight w:val="none"/>
        </w:rPr>
        <w:t xml:space="preserve">Wu B, Ootani A, Iwakiri R, Sakata Y, Fujise T, Amemori S, Yokoyama F, Tsunada S, Toda S, </w:t>
      </w:r>
    </w:p>
    <w:p w14:paraId="00A0071E">
      <w:pPr>
        <w:spacing w:after="100" w:line="360" w:lineRule="auto"/>
        <w:jc w:val="both"/>
        <w:rPr>
          <w:rFonts w:hint="default" w:ascii="Times New Roman" w:hAnsi="Times New Roman"/>
          <w:color w:val="000000"/>
          <w:kern w:val="2"/>
          <w:sz w:val="24"/>
          <w:szCs w:val="24"/>
          <w:highlight w:val="none"/>
        </w:rPr>
      </w:pPr>
      <w:r>
        <w:rPr>
          <w:rFonts w:hint="default" w:ascii="Times New Roman" w:hAnsi="Times New Roman"/>
          <w:color w:val="000000"/>
          <w:kern w:val="2"/>
          <w:sz w:val="24"/>
          <w:szCs w:val="24"/>
          <w:highlight w:val="none"/>
        </w:rPr>
        <w:t>Fujimoto K. (2006). T cell deficiency leads to liver</w:t>
      </w:r>
      <w:r>
        <w:rPr>
          <w:rFonts w:hint="default" w:ascii="Times New Roman" w:hAnsi="Times New Roman"/>
          <w:color w:val="000000"/>
          <w:kern w:val="2"/>
          <w:sz w:val="24"/>
          <w:szCs w:val="24"/>
          <w:highlight w:val="none"/>
          <w:lang w:val="en-US"/>
        </w:rPr>
        <w:t xml:space="preserve"> </w:t>
      </w:r>
      <w:r>
        <w:rPr>
          <w:rFonts w:hint="default" w:ascii="Times New Roman" w:hAnsi="Times New Roman"/>
          <w:color w:val="000000"/>
          <w:kern w:val="2"/>
          <w:sz w:val="24"/>
          <w:szCs w:val="24"/>
          <w:highlight w:val="none"/>
        </w:rPr>
        <w:t>carcinogenesis in azoxymethanetreated rats. Experimental Biology and Medicine</w:t>
      </w:r>
      <w:r>
        <w:rPr>
          <w:rFonts w:hint="default" w:ascii="Times New Roman" w:hAnsi="Times New Roman"/>
          <w:color w:val="000000"/>
          <w:kern w:val="2"/>
          <w:sz w:val="24"/>
          <w:szCs w:val="24"/>
          <w:highlight w:val="none"/>
          <w:lang w:val="en-US"/>
        </w:rPr>
        <w:t xml:space="preserve">. 2006; </w:t>
      </w:r>
      <w:r>
        <w:rPr>
          <w:rFonts w:hint="default" w:ascii="Times New Roman" w:hAnsi="Times New Roman"/>
          <w:color w:val="000000"/>
          <w:kern w:val="2"/>
          <w:sz w:val="24"/>
          <w:szCs w:val="24"/>
          <w:highlight w:val="none"/>
        </w:rPr>
        <w:t xml:space="preserve"> 231: 91–98</w:t>
      </w:r>
    </w:p>
    <w:p w14:paraId="1BBE74BD">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23. </w:t>
      </w:r>
      <w:r>
        <w:rPr>
          <w:rFonts w:ascii="Times New Roman" w:hAnsi="Times New Roman" w:cs="Times New Roman"/>
          <w:color w:val="000000"/>
          <w:kern w:val="2"/>
          <w:sz w:val="24"/>
          <w:szCs w:val="24"/>
          <w:highlight w:val="none"/>
          <w:lang w:val="en-GB"/>
        </w:rPr>
        <w:t>Kroemer G, Galluzzi L, Brenner C. Mitochondrial membrane permeabilization in cell death. Physiological Reviews</w:t>
      </w:r>
      <w:r>
        <w:rPr>
          <w:rFonts w:ascii="Times New Roman" w:hAnsi="Times New Roman" w:cs="Times New Roman"/>
          <w:color w:val="000000"/>
          <w:kern w:val="2"/>
          <w:sz w:val="24"/>
          <w:szCs w:val="24"/>
          <w:highlight w:val="none"/>
        </w:rPr>
        <w:t>. 2007;</w:t>
      </w:r>
      <w:r>
        <w:rPr>
          <w:rFonts w:ascii="Times New Roman" w:hAnsi="Times New Roman" w:cs="Times New Roman"/>
          <w:color w:val="000000"/>
          <w:kern w:val="2"/>
          <w:sz w:val="24"/>
          <w:szCs w:val="24"/>
          <w:highlight w:val="none"/>
          <w:lang w:val="en-GB"/>
        </w:rPr>
        <w:t xml:space="preserve"> 87</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99–163.</w:t>
      </w:r>
    </w:p>
    <w:p w14:paraId="7491428F">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24. </w:t>
      </w:r>
      <w:r>
        <w:rPr>
          <w:rFonts w:ascii="Times New Roman" w:hAnsi="Times New Roman" w:cs="Times New Roman"/>
          <w:color w:val="000000"/>
          <w:kern w:val="2"/>
          <w:sz w:val="24"/>
          <w:szCs w:val="24"/>
          <w:highlight w:val="none"/>
          <w:lang w:val="en-GB"/>
        </w:rPr>
        <w:t>Javadov S,  Karmazyn M. Mitochondrial permeability transition pore as end point to cell death and as a putative target for cardioprotection. Cellulor Physiology and Biochemistry</w:t>
      </w:r>
      <w:r>
        <w:rPr>
          <w:rFonts w:ascii="Times New Roman" w:hAnsi="Times New Roman" w:cs="Times New Roman"/>
          <w:color w:val="000000"/>
          <w:kern w:val="2"/>
          <w:sz w:val="24"/>
          <w:szCs w:val="24"/>
          <w:highlight w:val="none"/>
        </w:rPr>
        <w:t>. 2007;</w:t>
      </w:r>
      <w:r>
        <w:rPr>
          <w:rFonts w:ascii="Times New Roman" w:hAnsi="Times New Roman" w:cs="Times New Roman"/>
          <w:color w:val="000000"/>
          <w:kern w:val="2"/>
          <w:sz w:val="24"/>
          <w:szCs w:val="24"/>
          <w:highlight w:val="none"/>
          <w:lang w:val="en-GB"/>
        </w:rPr>
        <w:t xml:space="preserve"> 20</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1–22.</w:t>
      </w:r>
    </w:p>
    <w:p w14:paraId="03B3683B">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25. </w:t>
      </w:r>
      <w:r>
        <w:rPr>
          <w:rFonts w:ascii="Times New Roman" w:hAnsi="Times New Roman" w:cs="Times New Roman"/>
          <w:color w:val="000000"/>
          <w:kern w:val="2"/>
          <w:sz w:val="24"/>
          <w:szCs w:val="24"/>
          <w:highlight w:val="none"/>
          <w:lang w:val="en-GB"/>
        </w:rPr>
        <w:t>Tait SW, Green DR. Mitochondria and cell death: outer membrane permeabilization and beyond. Nature Reviews Molecular Cell Biology</w:t>
      </w:r>
      <w:r>
        <w:rPr>
          <w:rFonts w:hint="default" w:ascii="Times New Roman" w:hAnsi="Times New Roman" w:cs="Times New Roman"/>
          <w:color w:val="000000"/>
          <w:kern w:val="2"/>
          <w:sz w:val="24"/>
          <w:szCs w:val="24"/>
          <w:highlight w:val="none"/>
          <w:lang w:val="en-US"/>
        </w:rPr>
        <w:t xml:space="preserve"> 2010;</w:t>
      </w:r>
      <w:r>
        <w:rPr>
          <w:rFonts w:ascii="Times New Roman" w:hAnsi="Times New Roman" w:cs="Times New Roman"/>
          <w:color w:val="000000"/>
          <w:kern w:val="2"/>
          <w:sz w:val="24"/>
          <w:szCs w:val="24"/>
          <w:highlight w:val="none"/>
          <w:lang w:val="en-GB"/>
        </w:rPr>
        <w:t xml:space="preserve"> 11</w:t>
      </w:r>
      <w:r>
        <w:rPr>
          <w:rFonts w:hint="default" w:ascii="Times New Roman" w:hAnsi="Times New Roman" w:cs="Times New Roman"/>
          <w:color w:val="000000"/>
          <w:kern w:val="2"/>
          <w:sz w:val="24"/>
          <w:szCs w:val="24"/>
          <w:highlight w:val="none"/>
          <w:lang w:val="en-US"/>
        </w:rPr>
        <w:t>:</w:t>
      </w:r>
      <w:r>
        <w:rPr>
          <w:rFonts w:ascii="Times New Roman" w:hAnsi="Times New Roman" w:cs="Times New Roman"/>
          <w:color w:val="000000"/>
          <w:kern w:val="2"/>
          <w:sz w:val="24"/>
          <w:szCs w:val="24"/>
          <w:highlight w:val="none"/>
          <w:lang w:val="en-GB"/>
        </w:rPr>
        <w:t xml:space="preserve"> 621–632</w:t>
      </w:r>
    </w:p>
    <w:p w14:paraId="14B251B7">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26. </w:t>
      </w:r>
      <w:r>
        <w:rPr>
          <w:rFonts w:ascii="Times New Roman" w:hAnsi="Times New Roman" w:cs="Times New Roman"/>
          <w:color w:val="000000"/>
          <w:kern w:val="2"/>
          <w:sz w:val="24"/>
          <w:szCs w:val="24"/>
          <w:highlight w:val="none"/>
          <w:lang w:val="en-GB"/>
        </w:rPr>
        <w:t>Green DR,  Kroemer G. The pathophysiology of mitochondrial cell death. Science</w:t>
      </w:r>
      <w:r>
        <w:rPr>
          <w:rFonts w:ascii="Times New Roman" w:hAnsi="Times New Roman" w:cs="Times New Roman"/>
          <w:color w:val="000000"/>
          <w:kern w:val="2"/>
          <w:sz w:val="24"/>
          <w:szCs w:val="24"/>
          <w:highlight w:val="none"/>
        </w:rPr>
        <w:t xml:space="preserve"> 2004;</w:t>
      </w:r>
      <w:r>
        <w:rPr>
          <w:rFonts w:ascii="Times New Roman" w:hAnsi="Times New Roman" w:cs="Times New Roman"/>
          <w:color w:val="000000"/>
          <w:kern w:val="2"/>
          <w:sz w:val="24"/>
          <w:szCs w:val="24"/>
          <w:highlight w:val="none"/>
          <w:lang w:val="en-GB"/>
        </w:rPr>
        <w:t xml:space="preserve"> 305</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626–62 </w:t>
      </w:r>
    </w:p>
    <w:p w14:paraId="17F58863">
      <w:pPr>
        <w:numPr>
          <w:ilvl w:val="0"/>
          <w:numId w:val="5"/>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Olowofolahan AO, Adeoye OA, Offor GN, Adebisi LA</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Olorunsogo OO. Induction of Mitochondrial Membrane Permeability Transition Pore Opening and Cytochrome C Release by Fractions of Drymaria cordata. Arch. Bas. App. Med. 2015; 3</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135–144.</w:t>
      </w:r>
    </w:p>
    <w:p w14:paraId="417E0C91">
      <w:pPr>
        <w:numPr>
          <w:ilvl w:val="0"/>
          <w:numId w:val="5"/>
        </w:num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lang w:val="en-GB"/>
        </w:rPr>
        <w:t xml:space="preserve">Olowofolahan AO, Olorunsogo OO. Induction of apoptosis in rat liver cells via caspase activation by chloroform fraction of methanol extract of drymaria cordata. Eur. J. Biomed. Pharmaceut. Sci. </w:t>
      </w:r>
      <w:r>
        <w:rPr>
          <w:rFonts w:ascii="Times New Roman" w:hAnsi="Times New Roman" w:cs="Times New Roman"/>
          <w:color w:val="000000"/>
          <w:kern w:val="2"/>
          <w:sz w:val="24"/>
          <w:szCs w:val="24"/>
          <w:highlight w:val="none"/>
        </w:rPr>
        <w:t xml:space="preserve">2018; </w:t>
      </w:r>
      <w:r>
        <w:rPr>
          <w:rFonts w:ascii="Times New Roman" w:hAnsi="Times New Roman" w:cs="Times New Roman"/>
          <w:color w:val="000000"/>
          <w:kern w:val="2"/>
          <w:sz w:val="24"/>
          <w:szCs w:val="24"/>
          <w:highlight w:val="none"/>
          <w:lang w:val="en-GB"/>
        </w:rPr>
        <w:t>5 (4)</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73–83.</w:t>
      </w:r>
    </w:p>
    <w:p w14:paraId="1BB4DEE9">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29.</w:t>
      </w:r>
      <w:r>
        <w:rPr>
          <w:rFonts w:ascii="Times New Roman" w:hAnsi="Times New Roman" w:cs="Times New Roman"/>
          <w:color w:val="000000"/>
          <w:kern w:val="2"/>
          <w:sz w:val="24"/>
          <w:szCs w:val="24"/>
          <w:highlight w:val="none"/>
          <w:lang w:val="en-GB"/>
        </w:rPr>
        <w:t>Angelin A, Bonaldo P, Bernardi P. Altered threshold of the mitochondrial permeability transition pore in Ullrich congenital muscular dystrophy. Biochimica et Biophysica acta</w:t>
      </w:r>
      <w:r>
        <w:rPr>
          <w:rFonts w:ascii="Times New Roman" w:hAnsi="Times New Roman" w:cs="Times New Roman"/>
          <w:color w:val="000000"/>
          <w:kern w:val="2"/>
          <w:sz w:val="24"/>
          <w:szCs w:val="24"/>
          <w:highlight w:val="none"/>
        </w:rPr>
        <w:t>.</w:t>
      </w:r>
      <w:r>
        <w:rPr>
          <w:rFonts w:hint="default" w:ascii="Times New Roman" w:hAnsi="Times New Roman" w:cs="Times New Roman"/>
          <w:color w:val="000000"/>
          <w:kern w:val="2"/>
          <w:sz w:val="24"/>
          <w:szCs w:val="24"/>
          <w:highlight w:val="none"/>
          <w:lang w:val="en-US"/>
        </w:rPr>
        <w:t xml:space="preserve"> </w:t>
      </w:r>
      <w:r>
        <w:rPr>
          <w:rFonts w:ascii="Times New Roman" w:hAnsi="Times New Roman" w:cs="Times New Roman"/>
          <w:color w:val="000000"/>
          <w:kern w:val="2"/>
          <w:sz w:val="24"/>
          <w:szCs w:val="24"/>
          <w:highlight w:val="none"/>
        </w:rPr>
        <w:t>2008;</w:t>
      </w:r>
      <w:r>
        <w:rPr>
          <w:rFonts w:ascii="Times New Roman" w:hAnsi="Times New Roman" w:cs="Times New Roman"/>
          <w:color w:val="000000"/>
          <w:kern w:val="2"/>
          <w:sz w:val="24"/>
          <w:szCs w:val="24"/>
          <w:highlight w:val="none"/>
          <w:lang w:val="en-GB"/>
        </w:rPr>
        <w:t xml:space="preserve"> 1777</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893–896 </w:t>
      </w:r>
    </w:p>
    <w:p w14:paraId="04D84805">
      <w:pPr>
        <w:spacing w:after="100" w:line="360" w:lineRule="auto"/>
        <w:jc w:val="both"/>
        <w:rPr>
          <w:rFonts w:ascii="Times New Roman" w:hAnsi="Times New Roman" w:cs="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30. </w:t>
      </w:r>
      <w:r>
        <w:rPr>
          <w:rFonts w:ascii="Times New Roman" w:hAnsi="Times New Roman" w:cs="Times New Roman"/>
          <w:color w:val="000000"/>
          <w:kern w:val="2"/>
          <w:sz w:val="24"/>
          <w:szCs w:val="24"/>
          <w:highlight w:val="none"/>
          <w:lang w:val="en-GB"/>
        </w:rPr>
        <w:t>Seidlmayer LK, Gomez-Garcia MR, Blatter LA, Pavlov E, Dedkova EN. Inorganic polyphosphate is a potent activator of the mitochondrial permeability transition pore in cardiac myocytes. The Journal of General Physiology</w:t>
      </w:r>
      <w:r>
        <w:rPr>
          <w:rFonts w:ascii="Times New Roman" w:hAnsi="Times New Roman" w:cs="Times New Roman"/>
          <w:color w:val="000000"/>
          <w:kern w:val="2"/>
          <w:sz w:val="24"/>
          <w:szCs w:val="24"/>
          <w:highlight w:val="none"/>
        </w:rPr>
        <w:t>. 2012;</w:t>
      </w:r>
      <w:r>
        <w:rPr>
          <w:rFonts w:ascii="Times New Roman" w:hAnsi="Times New Roman" w:cs="Times New Roman"/>
          <w:color w:val="000000"/>
          <w:kern w:val="2"/>
          <w:sz w:val="24"/>
          <w:szCs w:val="24"/>
          <w:highlight w:val="none"/>
          <w:lang w:val="en-GB"/>
        </w:rPr>
        <w:t xml:space="preserve"> 139</w:t>
      </w:r>
      <w:r>
        <w:rPr>
          <w:rFonts w:ascii="Times New Roman" w:hAnsi="Times New Roman" w:cs="Times New Roman"/>
          <w:color w:val="000000"/>
          <w:kern w:val="2"/>
          <w:sz w:val="24"/>
          <w:szCs w:val="24"/>
          <w:highlight w:val="none"/>
        </w:rPr>
        <w:t>:</w:t>
      </w:r>
      <w:r>
        <w:rPr>
          <w:rFonts w:ascii="Times New Roman" w:hAnsi="Times New Roman" w:cs="Times New Roman"/>
          <w:color w:val="000000"/>
          <w:kern w:val="2"/>
          <w:sz w:val="24"/>
          <w:szCs w:val="24"/>
          <w:highlight w:val="none"/>
          <w:lang w:val="en-GB"/>
        </w:rPr>
        <w:t xml:space="preserve"> 321–331.</w:t>
      </w:r>
    </w:p>
    <w:p w14:paraId="784FA435">
      <w:pPr>
        <w:spacing w:after="100" w:line="360" w:lineRule="auto"/>
        <w:jc w:val="both"/>
        <w:rPr>
          <w:rFonts w:ascii="Times New Roman" w:hAnsi="Times New Roman" w:cs="Times New Roman"/>
          <w:color w:val="000000"/>
          <w:kern w:val="2"/>
          <w:sz w:val="24"/>
          <w:szCs w:val="24"/>
          <w:highlight w:val="none"/>
        </w:rPr>
      </w:pPr>
      <w:r>
        <w:rPr>
          <w:rFonts w:ascii="Times New Roman" w:hAnsi="Times New Roman" w:cs="Times New Roman"/>
          <w:color w:val="000000"/>
          <w:kern w:val="2"/>
          <w:sz w:val="24"/>
          <w:szCs w:val="24"/>
          <w:highlight w:val="none"/>
        </w:rPr>
        <w:t xml:space="preserve">31. </w:t>
      </w:r>
      <w:r>
        <w:rPr>
          <w:rFonts w:ascii="Times New Roman" w:hAnsi="Times New Roman" w:cs="Times New Roman"/>
          <w:color w:val="000000"/>
          <w:kern w:val="2"/>
          <w:sz w:val="24"/>
          <w:szCs w:val="24"/>
          <w:highlight w:val="none"/>
          <w:lang w:val="en-GB"/>
        </w:rPr>
        <w:t>Chipuk JE, Mohammed JN, Gelles JD</w:t>
      </w:r>
      <w:r>
        <w:rPr>
          <w:rFonts w:ascii="Times New Roman" w:hAnsi="Times New Roman" w:cs="Times New Roman"/>
          <w:color w:val="000000"/>
          <w:kern w:val="2"/>
          <w:sz w:val="24"/>
          <w:szCs w:val="24"/>
          <w:highlight w:val="none"/>
        </w:rPr>
        <w:t xml:space="preserve">, </w:t>
      </w:r>
      <w:r>
        <w:rPr>
          <w:rFonts w:ascii="Times New Roman" w:hAnsi="Times New Roman" w:cs="Times New Roman"/>
          <w:color w:val="000000"/>
          <w:kern w:val="2"/>
          <w:sz w:val="24"/>
          <w:szCs w:val="24"/>
          <w:highlight w:val="none"/>
          <w:lang w:val="en-GB"/>
        </w:rPr>
        <w:t>Chen YY. Mechanistic connections between mitochondrial biology and regulated cell death. Developmental Cell</w:t>
      </w:r>
      <w:r>
        <w:rPr>
          <w:rFonts w:ascii="Times New Roman" w:hAnsi="Times New Roman" w:cs="Times New Roman"/>
          <w:color w:val="000000"/>
          <w:kern w:val="2"/>
          <w:sz w:val="24"/>
          <w:szCs w:val="24"/>
          <w:highlight w:val="none"/>
        </w:rPr>
        <w:t>. 2021;</w:t>
      </w:r>
      <w:r>
        <w:rPr>
          <w:rFonts w:ascii="Times New Roman" w:hAnsi="Times New Roman" w:cs="Times New Roman"/>
          <w:color w:val="000000"/>
          <w:kern w:val="2"/>
          <w:sz w:val="24"/>
          <w:szCs w:val="24"/>
          <w:highlight w:val="none"/>
          <w:lang w:val="en-GB"/>
        </w:rPr>
        <w:t xml:space="preserve"> 56</w:t>
      </w:r>
      <w:r>
        <w:rPr>
          <w:rFonts w:hint="default" w:ascii="Times New Roman" w:hAnsi="Times New Roman" w:cs="Times New Roman"/>
          <w:color w:val="000000"/>
          <w:kern w:val="2"/>
          <w:sz w:val="24"/>
          <w:szCs w:val="24"/>
          <w:highlight w:val="none"/>
          <w:lang w:val="en-US"/>
        </w:rPr>
        <w:t>:</w:t>
      </w:r>
      <w:r>
        <w:rPr>
          <w:rFonts w:ascii="Times New Roman" w:hAnsi="Times New Roman" w:cs="Times New Roman"/>
          <w:color w:val="000000"/>
          <w:kern w:val="2"/>
          <w:sz w:val="24"/>
          <w:szCs w:val="24"/>
          <w:highlight w:val="none"/>
          <w:lang w:val="en-GB"/>
        </w:rPr>
        <w:t xml:space="preserve"> 1221–1233</w:t>
      </w:r>
    </w:p>
    <w:p w14:paraId="28AC12D3">
      <w:pPr>
        <w:spacing w:after="100" w:line="360" w:lineRule="auto"/>
        <w:jc w:val="both"/>
        <w:rPr>
          <w:rFonts w:hint="default" w:ascii="Times New Roman" w:hAnsi="Times New Roman"/>
          <w:color w:val="000000"/>
          <w:kern w:val="2"/>
          <w:sz w:val="24"/>
          <w:szCs w:val="24"/>
          <w:highlight w:val="none"/>
          <w:lang w:val="en-GB"/>
        </w:rPr>
      </w:pPr>
      <w:r>
        <w:rPr>
          <w:rFonts w:ascii="Times New Roman" w:hAnsi="Times New Roman" w:cs="Times New Roman"/>
          <w:color w:val="000000"/>
          <w:kern w:val="2"/>
          <w:sz w:val="24"/>
          <w:szCs w:val="24"/>
          <w:highlight w:val="none"/>
        </w:rPr>
        <w:t xml:space="preserve">32. </w:t>
      </w:r>
      <w:r>
        <w:rPr>
          <w:rFonts w:hint="default" w:ascii="Times New Roman" w:hAnsi="Times New Roman"/>
          <w:color w:val="000000"/>
          <w:kern w:val="2"/>
          <w:sz w:val="24"/>
          <w:szCs w:val="24"/>
          <w:highlight w:val="none"/>
        </w:rPr>
        <w:t>Ruberto G, Baratta MT, Deans SG, Dorman HJ.</w:t>
      </w:r>
      <w:r>
        <w:rPr>
          <w:rFonts w:hint="default" w:ascii="Times New Roman" w:hAnsi="Times New Roman"/>
          <w:color w:val="000000"/>
          <w:kern w:val="2"/>
          <w:sz w:val="24"/>
          <w:szCs w:val="24"/>
          <w:highlight w:val="none"/>
          <w:lang w:val="en-US"/>
        </w:rPr>
        <w:t xml:space="preserve">  </w:t>
      </w:r>
      <w:r>
        <w:rPr>
          <w:rFonts w:hint="default" w:ascii="Times New Roman" w:hAnsi="Times New Roman"/>
          <w:color w:val="000000"/>
          <w:kern w:val="2"/>
          <w:sz w:val="24"/>
          <w:szCs w:val="24"/>
          <w:highlight w:val="none"/>
        </w:rPr>
        <w:t>Antioxidant and antimicrobial activity of Foeniculum vulgare and Crithmum maritimum essential oils. Planta Med</w:t>
      </w:r>
      <w:r>
        <w:rPr>
          <w:rFonts w:hint="default" w:ascii="Times New Roman" w:hAnsi="Times New Roman"/>
          <w:color w:val="000000"/>
          <w:kern w:val="2"/>
          <w:sz w:val="24"/>
          <w:szCs w:val="24"/>
          <w:highlight w:val="none"/>
          <w:lang w:val="en-US"/>
        </w:rPr>
        <w:t xml:space="preserve">. 2000; </w:t>
      </w:r>
      <w:r>
        <w:rPr>
          <w:rFonts w:hint="default" w:ascii="Times New Roman" w:hAnsi="Times New Roman"/>
          <w:color w:val="000000"/>
          <w:kern w:val="2"/>
          <w:sz w:val="24"/>
          <w:szCs w:val="24"/>
          <w:highlight w:val="none"/>
        </w:rPr>
        <w:t>66</w:t>
      </w:r>
      <w:r>
        <w:rPr>
          <w:rFonts w:hint="default" w:ascii="Times New Roman" w:hAnsi="Times New Roman"/>
          <w:color w:val="000000"/>
          <w:kern w:val="2"/>
          <w:sz w:val="24"/>
          <w:szCs w:val="24"/>
          <w:highlight w:val="none"/>
          <w:lang w:val="en-US"/>
        </w:rPr>
        <w:t>:</w:t>
      </w:r>
      <w:r>
        <w:rPr>
          <w:rFonts w:hint="default" w:ascii="Times New Roman" w:hAnsi="Times New Roman"/>
          <w:color w:val="000000"/>
          <w:kern w:val="2"/>
          <w:sz w:val="24"/>
          <w:szCs w:val="24"/>
          <w:highlight w:val="none"/>
        </w:rPr>
        <w:t xml:space="preserve"> 687.</w:t>
      </w:r>
    </w:p>
    <w:p w14:paraId="6AEB8778">
      <w:pPr>
        <w:rPr>
          <w:highlight w:val="none"/>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Microsoft YaHei UI Light">
    <w:panose1 w:val="020B0502040204020203"/>
    <w:charset w:val="86"/>
    <w:family w:val="swiss"/>
    <w:pitch w:val="default"/>
    <w:sig w:usb0="80000287" w:usb1="2ACF001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E8E6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D484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EDBC">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706D6">
    <w:pPr>
      <w:pStyle w:val="6"/>
    </w:pPr>
    <w:r>
      <w:pict>
        <v:shape id="PowerPlusWaterMarkObject355557283" o:spid="_x0000_s2050"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480E7">
    <w:pPr>
      <w:pStyle w:val="6"/>
    </w:pPr>
    <w:r>
      <w:pict>
        <v:shape id="PowerPlusWaterMarkObject355557282" o:spid="_x0000_s2051"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2081">
    <w:pPr>
      <w:pStyle w:val="6"/>
    </w:pPr>
    <w:r>
      <w:pict>
        <v:shape id="PowerPlusWaterMarkObject355557281"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D2CC0"/>
    <w:multiLevelType w:val="singleLevel"/>
    <w:tmpl w:val="A74D2CC0"/>
    <w:lvl w:ilvl="0" w:tentative="0">
      <w:start w:val="15"/>
      <w:numFmt w:val="decimal"/>
      <w:suff w:val="space"/>
      <w:lvlText w:val="%1."/>
      <w:lvlJc w:val="left"/>
    </w:lvl>
  </w:abstractNum>
  <w:abstractNum w:abstractNumId="1">
    <w:nsid w:val="B58637DF"/>
    <w:multiLevelType w:val="singleLevel"/>
    <w:tmpl w:val="B58637DF"/>
    <w:lvl w:ilvl="0" w:tentative="0">
      <w:start w:val="11"/>
      <w:numFmt w:val="decimal"/>
      <w:suff w:val="space"/>
      <w:lvlText w:val="%1."/>
      <w:lvlJc w:val="left"/>
    </w:lvl>
  </w:abstractNum>
  <w:abstractNum w:abstractNumId="2">
    <w:nsid w:val="BEEE38C5"/>
    <w:multiLevelType w:val="singleLevel"/>
    <w:tmpl w:val="BEEE38C5"/>
    <w:lvl w:ilvl="0" w:tentative="0">
      <w:start w:val="21"/>
      <w:numFmt w:val="decimal"/>
      <w:suff w:val="space"/>
      <w:lvlText w:val="%1."/>
      <w:lvlJc w:val="left"/>
    </w:lvl>
  </w:abstractNum>
  <w:abstractNum w:abstractNumId="3">
    <w:nsid w:val="45E68306"/>
    <w:multiLevelType w:val="singleLevel"/>
    <w:tmpl w:val="45E68306"/>
    <w:lvl w:ilvl="0" w:tentative="0">
      <w:start w:val="1"/>
      <w:numFmt w:val="decimal"/>
      <w:suff w:val="space"/>
      <w:lvlText w:val="%1."/>
      <w:lvlJc w:val="left"/>
    </w:lvl>
  </w:abstractNum>
  <w:abstractNum w:abstractNumId="4">
    <w:nsid w:val="4BA32FA6"/>
    <w:multiLevelType w:val="singleLevel"/>
    <w:tmpl w:val="4BA32FA6"/>
    <w:lvl w:ilvl="0" w:tentative="0">
      <w:start w:val="27"/>
      <w:numFmt w:val="decimal"/>
      <w:suff w:val="space"/>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96441"/>
    <w:rsid w:val="73F9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5">
    <w:name w:val="footer"/>
    <w:basedOn w:val="1"/>
    <w:qFormat/>
    <w:uiPriority w:val="0"/>
    <w:pPr>
      <w:tabs>
        <w:tab w:val="center" w:pos="4680"/>
        <w:tab w:val="right" w:pos="9360"/>
      </w:tabs>
      <w:spacing w:after="0" w:line="240" w:lineRule="auto"/>
    </w:pPr>
  </w:style>
  <w:style w:type="paragraph" w:styleId="6">
    <w:name w:val="header"/>
    <w:basedOn w:val="1"/>
    <w:qFormat/>
    <w:uiPriority w:val="0"/>
    <w:pPr>
      <w:tabs>
        <w:tab w:val="center" w:pos="4680"/>
        <w:tab w:val="right" w:pos="9360"/>
      </w:tabs>
      <w:spacing w:after="0" w:line="240"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emf"/><Relationship Id="rId14" Type="http://schemas.openxmlformats.org/officeDocument/2006/relationships/image" Target="media/image1.emf"/><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Mrs.%20Musa\Documents\PHD%20WORK%20DOCUMENTS\PHD%20EXCEL%20(Autosaved)%20(Autosaved).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DELL\Downloads\Mrs%20Ijai-NEW%20EXCEL%20FOR%20CORRECTIONxlsx%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400" dirty="0">
                <a:latin typeface="Times New Roman" panose="02020603050405020304" charset="0"/>
                <a:cs typeface="Times New Roman" panose="02020603050405020304" charset="0"/>
              </a:rPr>
              <a:t>Time (minutes)</a:t>
            </a:r>
            <a:endParaRPr lang="en-US" sz="1400" dirty="0">
              <a:latin typeface="Times New Roman" panose="02020603050405020304" charset="0"/>
              <a:cs typeface="Times New Roman" panose="02020603050405020304" charset="0"/>
            </a:endParaRPr>
          </a:p>
        </c:rich>
      </c:tx>
      <c:layout>
        <c:manualLayout>
          <c:xMode val="edge"/>
          <c:yMode val="edge"/>
          <c:x val="0.391104409821113"/>
          <c:y val="0.030325818393222"/>
        </c:manualLayout>
      </c:layout>
      <c:overlay val="1"/>
    </c:title>
    <c:autoTitleDeleted val="0"/>
    <c:plotArea>
      <c:layout>
        <c:manualLayout>
          <c:layoutTarget val="inner"/>
          <c:xMode val="edge"/>
          <c:yMode val="edge"/>
          <c:x val="0.177899145585525"/>
          <c:y val="0.324506912206007"/>
          <c:w val="0.673019303438134"/>
          <c:h val="0.570673095830448"/>
        </c:manualLayout>
      </c:layout>
      <c:lineChart>
        <c:grouping val="standard"/>
        <c:varyColors val="0"/>
        <c:ser>
          <c:idx val="0"/>
          <c:order val="0"/>
          <c:tx>
            <c:strRef>
              <c:f>Sheet1!$L$1</c:f>
              <c:strCache>
                <c:ptCount val="1"/>
                <c:pt idx="0">
                  <c:v>NTA</c:v>
                </c:pt>
              </c:strCache>
            </c:strRef>
          </c:tx>
          <c:spPr>
            <a:ln w="12700" cap="rnd" cmpd="sng" algn="ctr">
              <a:solidFill>
                <a:schemeClr val="accent1"/>
              </a:solidFill>
              <a:prstDash val="solid"/>
              <a:round/>
            </a:ln>
          </c:spPr>
          <c:dLbls>
            <c:delete val="1"/>
          </c:dLbls>
          <c:cat>
            <c:numRef>
              <c:f>Sheet1!$K$2:$K$26</c:f>
              <c:numCache>
                <c:formatCode>h:mm</c:formatCode>
                <c:ptCount val="25"/>
                <c:pt idx="0" c:formatCode="h:mm">
                  <c:v>0</c:v>
                </c:pt>
                <c:pt idx="1" c:formatCode="h:mm">
                  <c:v>0.0208333333333337</c:v>
                </c:pt>
                <c:pt idx="2" c:formatCode="h:mm">
                  <c:v>0.0416666666666667</c:v>
                </c:pt>
                <c:pt idx="3" c:formatCode="h:mm">
                  <c:v>0.0625000000000001</c:v>
                </c:pt>
                <c:pt idx="4" c:formatCode="h:mm">
                  <c:v>0.0833333333333336</c:v>
                </c:pt>
                <c:pt idx="5" c:formatCode="h:mm">
                  <c:v>0.104166666666668</c:v>
                </c:pt>
                <c:pt idx="6" c:formatCode="h:mm">
                  <c:v>0.125</c:v>
                </c:pt>
                <c:pt idx="7" c:formatCode="h:mm">
                  <c:v>0.145833333333335</c:v>
                </c:pt>
                <c:pt idx="8" c:formatCode="h:mm">
                  <c:v>0.166666666666667</c:v>
                </c:pt>
                <c:pt idx="9" c:formatCode="h:mm">
                  <c:v>0.1875</c:v>
                </c:pt>
                <c:pt idx="10" c:formatCode="h:mm">
                  <c:v>0.208333333333335</c:v>
                </c:pt>
                <c:pt idx="11" c:formatCode="h:mm">
                  <c:v>0.229166666666667</c:v>
                </c:pt>
                <c:pt idx="12" c:formatCode="h:mm">
                  <c:v>0.25</c:v>
                </c:pt>
                <c:pt idx="13" c:formatCode="h:mm">
                  <c:v>0.270833333333333</c:v>
                </c:pt>
                <c:pt idx="14" c:formatCode="h:mm">
                  <c:v>0.291666666666671</c:v>
                </c:pt>
                <c:pt idx="15" c:formatCode="h:mm">
                  <c:v>0.312500000000003</c:v>
                </c:pt>
                <c:pt idx="16" c:formatCode="h:mm">
                  <c:v>0.333333333333333</c:v>
                </c:pt>
                <c:pt idx="17" c:formatCode="h:mm">
                  <c:v>0.354166666666671</c:v>
                </c:pt>
                <c:pt idx="18" c:formatCode="h:mm">
                  <c:v>0.375000000000003</c:v>
                </c:pt>
                <c:pt idx="19" c:formatCode="h:mm">
                  <c:v>0.395833333333333</c:v>
                </c:pt>
                <c:pt idx="20" c:formatCode="h:mm">
                  <c:v>0.416666666666671</c:v>
                </c:pt>
                <c:pt idx="21" c:formatCode="h:mm">
                  <c:v>0.437500000000003</c:v>
                </c:pt>
                <c:pt idx="22" c:formatCode="h:mm">
                  <c:v>0.458333333333333</c:v>
                </c:pt>
                <c:pt idx="23" c:formatCode="h:mm">
                  <c:v>0.479166666666671</c:v>
                </c:pt>
                <c:pt idx="24" c:formatCode="h:mm">
                  <c:v>0.5</c:v>
                </c:pt>
              </c:numCache>
            </c:numRef>
          </c:cat>
          <c:val>
            <c:numRef>
              <c:f>Sheet1!$L$2:$L$26</c:f>
              <c:numCache>
                <c:formatCode>General</c:formatCode>
                <c:ptCount val="25"/>
                <c:pt idx="0">
                  <c:v>0</c:v>
                </c:pt>
                <c:pt idx="1">
                  <c:v>0</c:v>
                </c:pt>
                <c:pt idx="2">
                  <c:v>0</c:v>
                </c:pt>
                <c:pt idx="3">
                  <c:v>-0.00200000000000001</c:v>
                </c:pt>
                <c:pt idx="4">
                  <c:v>-0.00300000000000015</c:v>
                </c:pt>
                <c:pt idx="5">
                  <c:v>-0.0050000000000002</c:v>
                </c:pt>
                <c:pt idx="6">
                  <c:v>-0.00700000000000022</c:v>
                </c:pt>
                <c:pt idx="7">
                  <c:v>-0.014</c:v>
                </c:pt>
                <c:pt idx="8">
                  <c:v>-0.014</c:v>
                </c:pt>
                <c:pt idx="9">
                  <c:v>-0.0160000000000002</c:v>
                </c:pt>
                <c:pt idx="10">
                  <c:v>-0.0180000000000002</c:v>
                </c:pt>
                <c:pt idx="11">
                  <c:v>-0.0180000000000002</c:v>
                </c:pt>
                <c:pt idx="12">
                  <c:v>-0.0210000000000002</c:v>
                </c:pt>
                <c:pt idx="13">
                  <c:v>-0.0250000000000002</c:v>
                </c:pt>
                <c:pt idx="14">
                  <c:v>-0.0270000000000005</c:v>
                </c:pt>
                <c:pt idx="15">
                  <c:v>-0.0290000000000003</c:v>
                </c:pt>
                <c:pt idx="16">
                  <c:v>-0.0320000000000005</c:v>
                </c:pt>
                <c:pt idx="17">
                  <c:v>-0.0370000000000006</c:v>
                </c:pt>
                <c:pt idx="18">
                  <c:v>-0.0360000000000004</c:v>
                </c:pt>
                <c:pt idx="19">
                  <c:v>-0.0380000000000001</c:v>
                </c:pt>
                <c:pt idx="20">
                  <c:v>-0.0380000000000001</c:v>
                </c:pt>
                <c:pt idx="21">
                  <c:v>-0.0400000000000001</c:v>
                </c:pt>
                <c:pt idx="22">
                  <c:v>-0.0400000000000001</c:v>
                </c:pt>
                <c:pt idx="23">
                  <c:v>-0.0420000000000001</c:v>
                </c:pt>
                <c:pt idx="24">
                  <c:v>-0.0420000000000001</c:v>
                </c:pt>
              </c:numCache>
            </c:numRef>
          </c:val>
          <c:smooth val="0"/>
        </c:ser>
        <c:ser>
          <c:idx val="1"/>
          <c:order val="1"/>
          <c:tx>
            <c:strRef>
              <c:f>Sheet1!$M$1</c:f>
              <c:strCache>
                <c:ptCount val="1"/>
                <c:pt idx="0">
                  <c:v>TA</c:v>
                </c:pt>
              </c:strCache>
            </c:strRef>
          </c:tx>
          <c:spPr>
            <a:ln w="12700" cap="rnd" cmpd="sng" algn="ctr">
              <a:solidFill>
                <a:schemeClr val="accent2"/>
              </a:solidFill>
              <a:prstDash val="solid"/>
              <a:round/>
            </a:ln>
          </c:spPr>
          <c:dLbls>
            <c:delete val="1"/>
          </c:dLbls>
          <c:cat>
            <c:numRef>
              <c:f>Sheet1!$K$2:$K$26</c:f>
              <c:numCache>
                <c:formatCode>h:mm</c:formatCode>
                <c:ptCount val="25"/>
                <c:pt idx="0" c:formatCode="h:mm">
                  <c:v>0</c:v>
                </c:pt>
                <c:pt idx="1" c:formatCode="h:mm">
                  <c:v>0.0208333333333337</c:v>
                </c:pt>
                <c:pt idx="2" c:formatCode="h:mm">
                  <c:v>0.0416666666666667</c:v>
                </c:pt>
                <c:pt idx="3" c:formatCode="h:mm">
                  <c:v>0.0625000000000001</c:v>
                </c:pt>
                <c:pt idx="4" c:formatCode="h:mm">
                  <c:v>0.0833333333333336</c:v>
                </c:pt>
                <c:pt idx="5" c:formatCode="h:mm">
                  <c:v>0.104166666666668</c:v>
                </c:pt>
                <c:pt idx="6" c:formatCode="h:mm">
                  <c:v>0.125</c:v>
                </c:pt>
                <c:pt idx="7" c:formatCode="h:mm">
                  <c:v>0.145833333333335</c:v>
                </c:pt>
                <c:pt idx="8" c:formatCode="h:mm">
                  <c:v>0.166666666666667</c:v>
                </c:pt>
                <c:pt idx="9" c:formatCode="h:mm">
                  <c:v>0.1875</c:v>
                </c:pt>
                <c:pt idx="10" c:formatCode="h:mm">
                  <c:v>0.208333333333335</c:v>
                </c:pt>
                <c:pt idx="11" c:formatCode="h:mm">
                  <c:v>0.229166666666667</c:v>
                </c:pt>
                <c:pt idx="12" c:formatCode="h:mm">
                  <c:v>0.25</c:v>
                </c:pt>
                <c:pt idx="13" c:formatCode="h:mm">
                  <c:v>0.270833333333333</c:v>
                </c:pt>
                <c:pt idx="14" c:formatCode="h:mm">
                  <c:v>0.291666666666671</c:v>
                </c:pt>
                <c:pt idx="15" c:formatCode="h:mm">
                  <c:v>0.312500000000003</c:v>
                </c:pt>
                <c:pt idx="16" c:formatCode="h:mm">
                  <c:v>0.333333333333333</c:v>
                </c:pt>
                <c:pt idx="17" c:formatCode="h:mm">
                  <c:v>0.354166666666671</c:v>
                </c:pt>
                <c:pt idx="18" c:formatCode="h:mm">
                  <c:v>0.375000000000003</c:v>
                </c:pt>
                <c:pt idx="19" c:formatCode="h:mm">
                  <c:v>0.395833333333333</c:v>
                </c:pt>
                <c:pt idx="20" c:formatCode="h:mm">
                  <c:v>0.416666666666671</c:v>
                </c:pt>
                <c:pt idx="21" c:formatCode="h:mm">
                  <c:v>0.437500000000003</c:v>
                </c:pt>
                <c:pt idx="22" c:formatCode="h:mm">
                  <c:v>0.458333333333333</c:v>
                </c:pt>
                <c:pt idx="23" c:formatCode="h:mm">
                  <c:v>0.479166666666671</c:v>
                </c:pt>
                <c:pt idx="24" c:formatCode="h:mm">
                  <c:v>0.5</c:v>
                </c:pt>
              </c:numCache>
            </c:numRef>
          </c:cat>
          <c:val>
            <c:numRef>
              <c:f>Sheet1!$M$2:$M$26</c:f>
              <c:numCache>
                <c:formatCode>General</c:formatCode>
                <c:ptCount val="25"/>
                <c:pt idx="0">
                  <c:v>0</c:v>
                </c:pt>
                <c:pt idx="1">
                  <c:v>-0.00100000000000011</c:v>
                </c:pt>
                <c:pt idx="2">
                  <c:v>-0.00800000000000002</c:v>
                </c:pt>
                <c:pt idx="3">
                  <c:v>-0.0220000000000004</c:v>
                </c:pt>
                <c:pt idx="4">
                  <c:v>-0.0530000000000002</c:v>
                </c:pt>
                <c:pt idx="5">
                  <c:v>-0.0840000000000002</c:v>
                </c:pt>
                <c:pt idx="6">
                  <c:v>-0.119</c:v>
                </c:pt>
                <c:pt idx="7">
                  <c:v>-0.151</c:v>
                </c:pt>
                <c:pt idx="8">
                  <c:v>-0.191000000000001</c:v>
                </c:pt>
                <c:pt idx="9">
                  <c:v>-0.231</c:v>
                </c:pt>
                <c:pt idx="10">
                  <c:v>-0.28</c:v>
                </c:pt>
                <c:pt idx="11">
                  <c:v>-0.329000000000004</c:v>
                </c:pt>
                <c:pt idx="12">
                  <c:v>-0.377000000000003</c:v>
                </c:pt>
                <c:pt idx="13">
                  <c:v>-0.427</c:v>
                </c:pt>
                <c:pt idx="14">
                  <c:v>-0.472</c:v>
                </c:pt>
                <c:pt idx="15">
                  <c:v>-0.519</c:v>
                </c:pt>
                <c:pt idx="16">
                  <c:v>-0.556</c:v>
                </c:pt>
                <c:pt idx="17">
                  <c:v>-0.584000000000001</c:v>
                </c:pt>
                <c:pt idx="18">
                  <c:v>-0.607000000000001</c:v>
                </c:pt>
                <c:pt idx="19">
                  <c:v>-0.624000000000007</c:v>
                </c:pt>
                <c:pt idx="20">
                  <c:v>-0.637000000000007</c:v>
                </c:pt>
                <c:pt idx="21">
                  <c:v>-0.648000000000007</c:v>
                </c:pt>
                <c:pt idx="22">
                  <c:v>-0.657000000000008</c:v>
                </c:pt>
                <c:pt idx="23">
                  <c:v>-0.666000000000009</c:v>
                </c:pt>
                <c:pt idx="24">
                  <c:v>-0.672000000000009</c:v>
                </c:pt>
              </c:numCache>
            </c:numRef>
          </c:val>
          <c:smooth val="0"/>
        </c:ser>
        <c:ser>
          <c:idx val="2"/>
          <c:order val="2"/>
          <c:tx>
            <c:strRef>
              <c:f>Sheet1!$N$1</c:f>
              <c:strCache>
                <c:ptCount val="1"/>
                <c:pt idx="0">
                  <c:v>SPERMINE</c:v>
                </c:pt>
              </c:strCache>
            </c:strRef>
          </c:tx>
          <c:spPr>
            <a:ln w="12700" cap="rnd" cmpd="sng" algn="ctr">
              <a:solidFill>
                <a:schemeClr val="accent3"/>
              </a:solidFill>
              <a:prstDash val="solid"/>
              <a:round/>
            </a:ln>
          </c:spPr>
          <c:dLbls>
            <c:delete val="1"/>
          </c:dLbls>
          <c:cat>
            <c:numRef>
              <c:f>Sheet1!$K$2:$K$26</c:f>
              <c:numCache>
                <c:formatCode>h:mm</c:formatCode>
                <c:ptCount val="25"/>
                <c:pt idx="0" c:formatCode="h:mm">
                  <c:v>0</c:v>
                </c:pt>
                <c:pt idx="1" c:formatCode="h:mm">
                  <c:v>0.0208333333333337</c:v>
                </c:pt>
                <c:pt idx="2" c:formatCode="h:mm">
                  <c:v>0.0416666666666667</c:v>
                </c:pt>
                <c:pt idx="3" c:formatCode="h:mm">
                  <c:v>0.0625000000000001</c:v>
                </c:pt>
                <c:pt idx="4" c:formatCode="h:mm">
                  <c:v>0.0833333333333336</c:v>
                </c:pt>
                <c:pt idx="5" c:formatCode="h:mm">
                  <c:v>0.104166666666668</c:v>
                </c:pt>
                <c:pt idx="6" c:formatCode="h:mm">
                  <c:v>0.125</c:v>
                </c:pt>
                <c:pt idx="7" c:formatCode="h:mm">
                  <c:v>0.145833333333335</c:v>
                </c:pt>
                <c:pt idx="8" c:formatCode="h:mm">
                  <c:v>0.166666666666667</c:v>
                </c:pt>
                <c:pt idx="9" c:formatCode="h:mm">
                  <c:v>0.1875</c:v>
                </c:pt>
                <c:pt idx="10" c:formatCode="h:mm">
                  <c:v>0.208333333333335</c:v>
                </c:pt>
                <c:pt idx="11" c:formatCode="h:mm">
                  <c:v>0.229166666666667</c:v>
                </c:pt>
                <c:pt idx="12" c:formatCode="h:mm">
                  <c:v>0.25</c:v>
                </c:pt>
                <c:pt idx="13" c:formatCode="h:mm">
                  <c:v>0.270833333333333</c:v>
                </c:pt>
                <c:pt idx="14" c:formatCode="h:mm">
                  <c:v>0.291666666666671</c:v>
                </c:pt>
                <c:pt idx="15" c:formatCode="h:mm">
                  <c:v>0.312500000000003</c:v>
                </c:pt>
                <c:pt idx="16" c:formatCode="h:mm">
                  <c:v>0.333333333333333</c:v>
                </c:pt>
                <c:pt idx="17" c:formatCode="h:mm">
                  <c:v>0.354166666666671</c:v>
                </c:pt>
                <c:pt idx="18" c:formatCode="h:mm">
                  <c:v>0.375000000000003</c:v>
                </c:pt>
                <c:pt idx="19" c:formatCode="h:mm">
                  <c:v>0.395833333333333</c:v>
                </c:pt>
                <c:pt idx="20" c:formatCode="h:mm">
                  <c:v>0.416666666666671</c:v>
                </c:pt>
                <c:pt idx="21" c:formatCode="h:mm">
                  <c:v>0.437500000000003</c:v>
                </c:pt>
                <c:pt idx="22" c:formatCode="h:mm">
                  <c:v>0.458333333333333</c:v>
                </c:pt>
                <c:pt idx="23" c:formatCode="h:mm">
                  <c:v>0.479166666666671</c:v>
                </c:pt>
                <c:pt idx="24" c:formatCode="h:mm">
                  <c:v>0.5</c:v>
                </c:pt>
              </c:numCache>
            </c:numRef>
          </c:cat>
          <c:val>
            <c:numRef>
              <c:f>Sheet1!$N$2:$N$26</c:f>
              <c:numCache>
                <c:formatCode>General</c:formatCode>
                <c:ptCount val="25"/>
                <c:pt idx="0">
                  <c:v>0</c:v>
                </c:pt>
                <c:pt idx="1">
                  <c:v>-0.00400000000000001</c:v>
                </c:pt>
                <c:pt idx="2">
                  <c:v>-0.00800000000000002</c:v>
                </c:pt>
                <c:pt idx="3">
                  <c:v>-0.012</c:v>
                </c:pt>
                <c:pt idx="4">
                  <c:v>-0.0160000000000002</c:v>
                </c:pt>
                <c:pt idx="5">
                  <c:v>-0.0180000000000002</c:v>
                </c:pt>
                <c:pt idx="6">
                  <c:v>-0.0210000000000002</c:v>
                </c:pt>
                <c:pt idx="7">
                  <c:v>-0.0220000000000004</c:v>
                </c:pt>
                <c:pt idx="8">
                  <c:v>-0.0270000000000005</c:v>
                </c:pt>
                <c:pt idx="9">
                  <c:v>-0.0310000000000005</c:v>
                </c:pt>
                <c:pt idx="10">
                  <c:v>-0.0350000000000005</c:v>
                </c:pt>
                <c:pt idx="11">
                  <c:v>-0.0390000000000004</c:v>
                </c:pt>
                <c:pt idx="12">
                  <c:v>-0.0440000000000005</c:v>
                </c:pt>
                <c:pt idx="13">
                  <c:v>-0.0500000000000001</c:v>
                </c:pt>
                <c:pt idx="14">
                  <c:v>-0.0530000000000002</c:v>
                </c:pt>
                <c:pt idx="15">
                  <c:v>-0.0600000000000005</c:v>
                </c:pt>
                <c:pt idx="16">
                  <c:v>-0.0660000000000001</c:v>
                </c:pt>
                <c:pt idx="17">
                  <c:v>-0.0720000000000001</c:v>
                </c:pt>
                <c:pt idx="18">
                  <c:v>-0.0790000000000012</c:v>
                </c:pt>
                <c:pt idx="19">
                  <c:v>-0.085</c:v>
                </c:pt>
                <c:pt idx="20">
                  <c:v>-0.091</c:v>
                </c:pt>
                <c:pt idx="21">
                  <c:v>-0.0990000000000003</c:v>
                </c:pt>
                <c:pt idx="22">
                  <c:v>-0.105</c:v>
                </c:pt>
                <c:pt idx="23">
                  <c:v>-0.113</c:v>
                </c:pt>
                <c:pt idx="24">
                  <c:v>-0.12</c:v>
                </c:pt>
              </c:numCache>
            </c:numRef>
          </c:val>
          <c:smooth val="0"/>
        </c:ser>
        <c:dLbls>
          <c:showLegendKey val="0"/>
          <c:showVal val="0"/>
          <c:showCatName val="0"/>
          <c:showSerName val="0"/>
          <c:showPercent val="0"/>
          <c:showBubbleSize val="0"/>
        </c:dLbls>
        <c:marker val="1"/>
        <c:smooth val="0"/>
        <c:axId val="-1485571504"/>
        <c:axId val="-1485585104"/>
      </c:lineChart>
      <c:catAx>
        <c:axId val="-1485571504"/>
        <c:scaling>
          <c:orientation val="minMax"/>
        </c:scaling>
        <c:delete val="0"/>
        <c:axPos val="b"/>
        <c:numFmt formatCode="h:mm" sourceLinked="1"/>
        <c:majorTickMark val="in"/>
        <c:minorTickMark val="in"/>
        <c:tickLblPos val="high"/>
        <c:txPr>
          <a:bodyPr rot="-60000000" spcFirstLastPara="0" vertOverflow="ellipsis" vert="horz" wrap="square" anchor="ctr" anchorCtr="1"/>
          <a:lstStyle/>
          <a:p>
            <a:pPr>
              <a:defRPr lang="en-US" sz="1400" b="0" i="0" u="none" strike="noStrike" kern="1200" baseline="0">
                <a:solidFill>
                  <a:schemeClr val="tx1"/>
                </a:solidFill>
                <a:latin typeface="+mn-lt"/>
                <a:ea typeface="+mn-ea"/>
                <a:cs typeface="Times New Roman" panose="02020603050405020304" charset="0"/>
              </a:defRPr>
            </a:pPr>
          </a:p>
        </c:txPr>
        <c:crossAx val="-1485585104"/>
        <c:crosses val="autoZero"/>
        <c:auto val="1"/>
        <c:lblAlgn val="ctr"/>
        <c:lblOffset val="100"/>
        <c:noMultiLvlLbl val="0"/>
      </c:catAx>
      <c:valAx>
        <c:axId val="-1485585104"/>
        <c:scaling>
          <c:orientation val="minMax"/>
        </c:scaling>
        <c:delete val="0"/>
        <c:axPos val="l"/>
        <c:title>
          <c:tx>
            <c:rich>
              <a:bodyPr rot="-5400000" spcFirstLastPara="0" vertOverflow="ellipsis" vert="horz" wrap="square" anchor="ctr" anchorCtr="1"/>
              <a:lstStyle/>
              <a:p>
                <a:pPr>
                  <a:defRPr lang="en-US" sz="1800" b="1" i="0" u="none" strike="noStrike" kern="1200" baseline="0">
                    <a:solidFill>
                      <a:schemeClr val="tx1"/>
                    </a:solidFill>
                    <a:latin typeface="Times New Roman" panose="02020603050405020304" charset="0"/>
                    <a:ea typeface="+mn-ea"/>
                    <a:cs typeface="Times New Roman" panose="02020603050405020304" charset="0"/>
                  </a:defRPr>
                </a:pPr>
                <a:r>
                  <a:rPr lang="en-US" sz="1400" b="1" dirty="0">
                    <a:latin typeface="Times New Roman" panose="02020603050405020304" charset="0"/>
                    <a:cs typeface="Times New Roman" panose="02020603050405020304" charset="0"/>
                  </a:rPr>
                  <a:t>Change</a:t>
                </a:r>
                <a:r>
                  <a:rPr lang="en-US" sz="1400" b="1" baseline="0" dirty="0">
                    <a:latin typeface="Times New Roman" panose="02020603050405020304" charset="0"/>
                    <a:cs typeface="Times New Roman" panose="02020603050405020304" charset="0"/>
                  </a:rPr>
                  <a:t> in absorbance</a:t>
                </a:r>
                <a:r>
                  <a:rPr lang="en-US" sz="1400" b="1" dirty="0">
                    <a:latin typeface="Times New Roman" panose="02020603050405020304" charset="0"/>
                    <a:cs typeface="Times New Roman" panose="02020603050405020304" charset="0"/>
                  </a:rPr>
                  <a:t> (540nm</a:t>
                </a:r>
                <a:r>
                  <a:rPr lang="en-US" sz="1200" b="1" dirty="0">
                    <a:latin typeface="Times New Roman" panose="02020603050405020304" charset="0"/>
                    <a:cs typeface="Times New Roman" panose="02020603050405020304" charset="0"/>
                  </a:rPr>
                  <a:t>)</a:t>
                </a:r>
                <a:endParaRPr lang="en-US" sz="1200" b="1" dirty="0">
                  <a:latin typeface="Times New Roman" panose="02020603050405020304" charset="0"/>
                  <a:cs typeface="Times New Roman" panose="02020603050405020304" charset="0"/>
                </a:endParaRPr>
              </a:p>
            </c:rich>
          </c:tx>
          <c:layout>
            <c:manualLayout>
              <c:xMode val="edge"/>
              <c:yMode val="edge"/>
              <c:x val="0.0023750488635729"/>
              <c:y val="0.30933784742705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400" b="0" i="0" u="none" strike="noStrike" kern="1200" baseline="0">
                <a:solidFill>
                  <a:schemeClr val="tx1"/>
                </a:solidFill>
                <a:latin typeface="+mn-lt"/>
                <a:ea typeface="+mn-ea"/>
                <a:cs typeface="+mn-cs"/>
              </a:defRPr>
            </a:pPr>
          </a:p>
        </c:txPr>
        <c:crossAx val="-1485571504"/>
        <c:crosses val="autoZero"/>
        <c:crossBetween val="between"/>
      </c:valAx>
    </c:plotArea>
    <c:legend>
      <c:legendPos val="r"/>
      <c:layout>
        <c:manualLayout>
          <c:xMode val="edge"/>
          <c:yMode val="edge"/>
          <c:x val="0.774483814523184"/>
          <c:y val="0.382527515813154"/>
          <c:w val="0.206617033447742"/>
          <c:h val="0.460134108831247"/>
        </c:manualLayout>
      </c:layout>
      <c:overlay val="0"/>
      <c:txPr>
        <a:bodyPr rot="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bee29f52-47c8-46b7-96a0-5facf9f63631}"/>
      </c:ext>
    </c:extLst>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1" i="0" u="none" strike="noStrike" kern="1200" spc="0" baseline="0">
                <a:solidFill>
                  <a:schemeClr val="tx1"/>
                </a:solidFill>
                <a:latin typeface="Times New Roman" panose="02020603050405020304" charset="0"/>
                <a:ea typeface="+mn-ea"/>
                <a:cs typeface="Times New Roman" panose="02020603050405020304" charset="0"/>
              </a:defRPr>
            </a:pPr>
            <a:r>
              <a:rPr lang="en-US" b="1">
                <a:solidFill>
                  <a:schemeClr val="tx1"/>
                </a:solidFill>
                <a:latin typeface="Times New Roman" panose="02020603050405020304" charset="0"/>
                <a:cs typeface="Times New Roman" panose="02020603050405020304" charset="0"/>
              </a:rPr>
              <a:t>Time (minutes)</a:t>
            </a:r>
            <a:endParaRPr lang="en-US" b="1">
              <a:solidFill>
                <a:schemeClr val="tx1"/>
              </a:solidFill>
              <a:latin typeface="Times New Roman" panose="02020603050405020304" charset="0"/>
              <a:cs typeface="Times New Roman" panose="02020603050405020304" charset="0"/>
            </a:endParaRPr>
          </a:p>
        </c:rich>
      </c:tx>
      <c:layout>
        <c:manualLayout>
          <c:xMode val="edge"/>
          <c:yMode val="edge"/>
          <c:x val="0.413643994243289"/>
          <c:y val="0.0388045060119856"/>
        </c:manualLayout>
      </c:layout>
      <c:overlay val="0"/>
      <c:spPr>
        <a:noFill/>
        <a:ln>
          <a:noFill/>
        </a:ln>
        <a:effectLst/>
      </c:spPr>
    </c:title>
    <c:autoTitleDeleted val="0"/>
    <c:plotArea>
      <c:layout>
        <c:manualLayout>
          <c:layoutTarget val="inner"/>
          <c:xMode val="edge"/>
          <c:yMode val="edge"/>
          <c:x val="0.177925851943443"/>
          <c:y val="0.332787676085478"/>
          <c:w val="0.581010041074611"/>
          <c:h val="0.633143934424244"/>
        </c:manualLayout>
      </c:layout>
      <c:lineChart>
        <c:grouping val="standard"/>
        <c:varyColors val="0"/>
        <c:ser>
          <c:idx val="0"/>
          <c:order val="0"/>
          <c:tx>
            <c:strRef>
              <c:f>Sheet1!$L$2</c:f>
              <c:strCache>
                <c:ptCount val="1"/>
                <c:pt idx="0">
                  <c:v>Control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Sheet1!$K$3:$K$27</c:f>
              <c:numCache>
                <c:formatCode>h:mm</c:formatCode>
                <c:ptCount val="25"/>
                <c:pt idx="0" c:formatCode="h:mm">
                  <c:v>0</c:v>
                </c:pt>
                <c:pt idx="1" c:formatCode="h:mm">
                  <c:v>0.0208333333333333</c:v>
                </c:pt>
                <c:pt idx="2" c:formatCode="h:mm">
                  <c:v>0.0416666666666667</c:v>
                </c:pt>
                <c:pt idx="3" c:formatCode="h:mm">
                  <c:v>0.0625</c:v>
                </c:pt>
                <c:pt idx="4" c:formatCode="h:mm">
                  <c:v>0.0833333333333333</c:v>
                </c:pt>
                <c:pt idx="5" c:formatCode="h:mm">
                  <c:v>0.104166666666667</c:v>
                </c:pt>
                <c:pt idx="6" c:formatCode="h:mm">
                  <c:v>0.125</c:v>
                </c:pt>
                <c:pt idx="7" c:formatCode="h:mm">
                  <c:v>0.145833333333333</c:v>
                </c:pt>
                <c:pt idx="8" c:formatCode="h:mm">
                  <c:v>0.166666666666667</c:v>
                </c:pt>
                <c:pt idx="9" c:formatCode="h:mm">
                  <c:v>0.1875</c:v>
                </c:pt>
                <c:pt idx="10" c:formatCode="h:mm">
                  <c:v>0.208333333333333</c:v>
                </c:pt>
                <c:pt idx="11" c:formatCode="h:mm">
                  <c:v>0.229166666666667</c:v>
                </c:pt>
                <c:pt idx="12" c:formatCode="h:mm">
                  <c:v>0.25</c:v>
                </c:pt>
                <c:pt idx="13" c:formatCode="h:mm">
                  <c:v>0.270833333333333</c:v>
                </c:pt>
                <c:pt idx="14" c:formatCode="h:mm">
                  <c:v>0.291666666666667</c:v>
                </c:pt>
                <c:pt idx="15" c:formatCode="h:mm">
                  <c:v>0.3125</c:v>
                </c:pt>
                <c:pt idx="16" c:formatCode="h:mm">
                  <c:v>0.333333333333333</c:v>
                </c:pt>
                <c:pt idx="17" c:formatCode="h:mm">
                  <c:v>0.354166666666667</c:v>
                </c:pt>
                <c:pt idx="18" c:formatCode="h:mm">
                  <c:v>0.375</c:v>
                </c:pt>
                <c:pt idx="19" c:formatCode="h:mm">
                  <c:v>0.395833333333333</c:v>
                </c:pt>
                <c:pt idx="20" c:formatCode="h:mm">
                  <c:v>0.416666666666667</c:v>
                </c:pt>
                <c:pt idx="21" c:formatCode="h:mm">
                  <c:v>0.4375</c:v>
                </c:pt>
                <c:pt idx="22" c:formatCode="h:mm">
                  <c:v>0.458333333333333</c:v>
                </c:pt>
                <c:pt idx="23" c:formatCode="h:mm">
                  <c:v>0.479166666666667</c:v>
                </c:pt>
                <c:pt idx="24" c:formatCode="h:mm">
                  <c:v>0.5</c:v>
                </c:pt>
              </c:numCache>
            </c:numRef>
          </c:cat>
          <c:val>
            <c:numRef>
              <c:f>Sheet1!$L$3:$L$27</c:f>
              <c:numCache>
                <c:formatCode>General</c:formatCode>
                <c:ptCount val="25"/>
                <c:pt idx="0">
                  <c:v>0</c:v>
                </c:pt>
                <c:pt idx="1">
                  <c:v>0</c:v>
                </c:pt>
                <c:pt idx="2">
                  <c:v>0</c:v>
                </c:pt>
                <c:pt idx="3">
                  <c:v>-0.002</c:v>
                </c:pt>
                <c:pt idx="4">
                  <c:v>-0.003</c:v>
                </c:pt>
                <c:pt idx="5">
                  <c:v>-0.005</c:v>
                </c:pt>
                <c:pt idx="6">
                  <c:v>-0.007</c:v>
                </c:pt>
                <c:pt idx="7">
                  <c:v>-0.014</c:v>
                </c:pt>
                <c:pt idx="8">
                  <c:v>-0.014</c:v>
                </c:pt>
                <c:pt idx="9">
                  <c:v>-0.016</c:v>
                </c:pt>
                <c:pt idx="10">
                  <c:v>-0.018</c:v>
                </c:pt>
                <c:pt idx="11">
                  <c:v>-0.018</c:v>
                </c:pt>
                <c:pt idx="12">
                  <c:v>-0.021</c:v>
                </c:pt>
                <c:pt idx="13">
                  <c:v>-0.025</c:v>
                </c:pt>
                <c:pt idx="14">
                  <c:v>-0.027</c:v>
                </c:pt>
                <c:pt idx="15">
                  <c:v>-0.029</c:v>
                </c:pt>
                <c:pt idx="16">
                  <c:v>-0.032</c:v>
                </c:pt>
                <c:pt idx="17">
                  <c:v>-0.037</c:v>
                </c:pt>
                <c:pt idx="18">
                  <c:v>-0.036</c:v>
                </c:pt>
                <c:pt idx="19">
                  <c:v>-0.038</c:v>
                </c:pt>
                <c:pt idx="20">
                  <c:v>-0.038</c:v>
                </c:pt>
                <c:pt idx="21">
                  <c:v>-0.04</c:v>
                </c:pt>
                <c:pt idx="22">
                  <c:v>-0.04</c:v>
                </c:pt>
                <c:pt idx="23">
                  <c:v>-0.042</c:v>
                </c:pt>
                <c:pt idx="24">
                  <c:v>-0.042</c:v>
                </c:pt>
              </c:numCache>
            </c:numRef>
          </c:val>
          <c:smooth val="0"/>
        </c:ser>
        <c:ser>
          <c:idx val="1"/>
          <c:order val="1"/>
          <c:tx>
            <c:strRef>
              <c:f>Sheet1!$M$2</c:f>
              <c:strCache>
                <c:ptCount val="1"/>
                <c:pt idx="0">
                  <c:v>CMFE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Sheet1!$K$3:$K$27</c:f>
              <c:numCache>
                <c:formatCode>h:mm</c:formatCode>
                <c:ptCount val="25"/>
                <c:pt idx="0" c:formatCode="h:mm">
                  <c:v>0</c:v>
                </c:pt>
                <c:pt idx="1" c:formatCode="h:mm">
                  <c:v>0.0208333333333333</c:v>
                </c:pt>
                <c:pt idx="2" c:formatCode="h:mm">
                  <c:v>0.0416666666666667</c:v>
                </c:pt>
                <c:pt idx="3" c:formatCode="h:mm">
                  <c:v>0.0625</c:v>
                </c:pt>
                <c:pt idx="4" c:formatCode="h:mm">
                  <c:v>0.0833333333333333</c:v>
                </c:pt>
                <c:pt idx="5" c:formatCode="h:mm">
                  <c:v>0.104166666666667</c:v>
                </c:pt>
                <c:pt idx="6" c:formatCode="h:mm">
                  <c:v>0.125</c:v>
                </c:pt>
                <c:pt idx="7" c:formatCode="h:mm">
                  <c:v>0.145833333333333</c:v>
                </c:pt>
                <c:pt idx="8" c:formatCode="h:mm">
                  <c:v>0.166666666666667</c:v>
                </c:pt>
                <c:pt idx="9" c:formatCode="h:mm">
                  <c:v>0.1875</c:v>
                </c:pt>
                <c:pt idx="10" c:formatCode="h:mm">
                  <c:v>0.208333333333333</c:v>
                </c:pt>
                <c:pt idx="11" c:formatCode="h:mm">
                  <c:v>0.229166666666667</c:v>
                </c:pt>
                <c:pt idx="12" c:formatCode="h:mm">
                  <c:v>0.25</c:v>
                </c:pt>
                <c:pt idx="13" c:formatCode="h:mm">
                  <c:v>0.270833333333333</c:v>
                </c:pt>
                <c:pt idx="14" c:formatCode="h:mm">
                  <c:v>0.291666666666667</c:v>
                </c:pt>
                <c:pt idx="15" c:formatCode="h:mm">
                  <c:v>0.3125</c:v>
                </c:pt>
                <c:pt idx="16" c:formatCode="h:mm">
                  <c:v>0.333333333333333</c:v>
                </c:pt>
                <c:pt idx="17" c:formatCode="h:mm">
                  <c:v>0.354166666666667</c:v>
                </c:pt>
                <c:pt idx="18" c:formatCode="h:mm">
                  <c:v>0.375</c:v>
                </c:pt>
                <c:pt idx="19" c:formatCode="h:mm">
                  <c:v>0.395833333333333</c:v>
                </c:pt>
                <c:pt idx="20" c:formatCode="h:mm">
                  <c:v>0.416666666666667</c:v>
                </c:pt>
                <c:pt idx="21" c:formatCode="h:mm">
                  <c:v>0.4375</c:v>
                </c:pt>
                <c:pt idx="22" c:formatCode="h:mm">
                  <c:v>0.458333333333333</c:v>
                </c:pt>
                <c:pt idx="23" c:formatCode="h:mm">
                  <c:v>0.479166666666667</c:v>
                </c:pt>
                <c:pt idx="24" c:formatCode="h:mm">
                  <c:v>0.5</c:v>
                </c:pt>
              </c:numCache>
            </c:numRef>
          </c:cat>
          <c:val>
            <c:numRef>
              <c:f>Sheet1!$M$3:$M$27</c:f>
              <c:numCache>
                <c:formatCode>General</c:formatCode>
                <c:ptCount val="25"/>
                <c:pt idx="0">
                  <c:v>0</c:v>
                </c:pt>
                <c:pt idx="1">
                  <c:v>-0.004</c:v>
                </c:pt>
                <c:pt idx="2">
                  <c:v>-0.008</c:v>
                </c:pt>
                <c:pt idx="3">
                  <c:v>-0.012</c:v>
                </c:pt>
                <c:pt idx="4">
                  <c:v>-0.016</c:v>
                </c:pt>
                <c:pt idx="5">
                  <c:v>-0.018</c:v>
                </c:pt>
                <c:pt idx="6">
                  <c:v>-0.021</c:v>
                </c:pt>
                <c:pt idx="7">
                  <c:v>-0.022</c:v>
                </c:pt>
                <c:pt idx="8">
                  <c:v>-0.027</c:v>
                </c:pt>
                <c:pt idx="9">
                  <c:v>-0.031</c:v>
                </c:pt>
                <c:pt idx="10">
                  <c:v>-0.035</c:v>
                </c:pt>
                <c:pt idx="11">
                  <c:v>-0.039</c:v>
                </c:pt>
                <c:pt idx="12">
                  <c:v>-0.044</c:v>
                </c:pt>
                <c:pt idx="13">
                  <c:v>-0.05</c:v>
                </c:pt>
                <c:pt idx="14">
                  <c:v>-0.053</c:v>
                </c:pt>
                <c:pt idx="15">
                  <c:v>-0.06</c:v>
                </c:pt>
                <c:pt idx="16">
                  <c:v>-0.066</c:v>
                </c:pt>
                <c:pt idx="17">
                  <c:v>-0.072</c:v>
                </c:pt>
                <c:pt idx="18">
                  <c:v>-0.079</c:v>
                </c:pt>
                <c:pt idx="19">
                  <c:v>-0.085</c:v>
                </c:pt>
                <c:pt idx="20">
                  <c:v>-0.091</c:v>
                </c:pt>
                <c:pt idx="21">
                  <c:v>-0.099</c:v>
                </c:pt>
                <c:pt idx="22">
                  <c:v>-0.105</c:v>
                </c:pt>
                <c:pt idx="23">
                  <c:v>-0.113</c:v>
                </c:pt>
                <c:pt idx="24">
                  <c:v>-0.12</c:v>
                </c:pt>
              </c:numCache>
            </c:numRef>
          </c:val>
          <c:smooth val="0"/>
        </c:ser>
        <c:ser>
          <c:idx val="2"/>
          <c:order val="2"/>
          <c:tx>
            <c:strRef>
              <c:f>Sheet1!$N$2</c:f>
              <c:strCache>
                <c:ptCount val="1"/>
                <c:pt idx="0">
                  <c:v>CFFE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numRef>
              <c:f>Sheet1!$K$3:$K$27</c:f>
              <c:numCache>
                <c:formatCode>h:mm</c:formatCode>
                <c:ptCount val="25"/>
                <c:pt idx="0" c:formatCode="h:mm">
                  <c:v>0</c:v>
                </c:pt>
                <c:pt idx="1" c:formatCode="h:mm">
                  <c:v>0.0208333333333333</c:v>
                </c:pt>
                <c:pt idx="2" c:formatCode="h:mm">
                  <c:v>0.0416666666666667</c:v>
                </c:pt>
                <c:pt idx="3" c:formatCode="h:mm">
                  <c:v>0.0625</c:v>
                </c:pt>
                <c:pt idx="4" c:formatCode="h:mm">
                  <c:v>0.0833333333333333</c:v>
                </c:pt>
                <c:pt idx="5" c:formatCode="h:mm">
                  <c:v>0.104166666666667</c:v>
                </c:pt>
                <c:pt idx="6" c:formatCode="h:mm">
                  <c:v>0.125</c:v>
                </c:pt>
                <c:pt idx="7" c:formatCode="h:mm">
                  <c:v>0.145833333333333</c:v>
                </c:pt>
                <c:pt idx="8" c:formatCode="h:mm">
                  <c:v>0.166666666666667</c:v>
                </c:pt>
                <c:pt idx="9" c:formatCode="h:mm">
                  <c:v>0.1875</c:v>
                </c:pt>
                <c:pt idx="10" c:formatCode="h:mm">
                  <c:v>0.208333333333333</c:v>
                </c:pt>
                <c:pt idx="11" c:formatCode="h:mm">
                  <c:v>0.229166666666667</c:v>
                </c:pt>
                <c:pt idx="12" c:formatCode="h:mm">
                  <c:v>0.25</c:v>
                </c:pt>
                <c:pt idx="13" c:formatCode="h:mm">
                  <c:v>0.270833333333333</c:v>
                </c:pt>
                <c:pt idx="14" c:formatCode="h:mm">
                  <c:v>0.291666666666667</c:v>
                </c:pt>
                <c:pt idx="15" c:formatCode="h:mm">
                  <c:v>0.3125</c:v>
                </c:pt>
                <c:pt idx="16" c:formatCode="h:mm">
                  <c:v>0.333333333333333</c:v>
                </c:pt>
                <c:pt idx="17" c:formatCode="h:mm">
                  <c:v>0.354166666666667</c:v>
                </c:pt>
                <c:pt idx="18" c:formatCode="h:mm">
                  <c:v>0.375</c:v>
                </c:pt>
                <c:pt idx="19" c:formatCode="h:mm">
                  <c:v>0.395833333333333</c:v>
                </c:pt>
                <c:pt idx="20" c:formatCode="h:mm">
                  <c:v>0.416666666666667</c:v>
                </c:pt>
                <c:pt idx="21" c:formatCode="h:mm">
                  <c:v>0.4375</c:v>
                </c:pt>
                <c:pt idx="22" c:formatCode="h:mm">
                  <c:v>0.458333333333333</c:v>
                </c:pt>
                <c:pt idx="23" c:formatCode="h:mm">
                  <c:v>0.479166666666667</c:v>
                </c:pt>
                <c:pt idx="24" c:formatCode="h:mm">
                  <c:v>0.5</c:v>
                </c:pt>
              </c:numCache>
            </c:numRef>
          </c:cat>
          <c:val>
            <c:numRef>
              <c:f>Sheet1!$N$3:$N$27</c:f>
              <c:numCache>
                <c:formatCode>General</c:formatCode>
                <c:ptCount val="25"/>
                <c:pt idx="0">
                  <c:v>0</c:v>
                </c:pt>
                <c:pt idx="1">
                  <c:v>-0.012</c:v>
                </c:pt>
                <c:pt idx="2">
                  <c:v>-0.021</c:v>
                </c:pt>
                <c:pt idx="3">
                  <c:v>-0.031</c:v>
                </c:pt>
                <c:pt idx="4">
                  <c:v>-0.045</c:v>
                </c:pt>
                <c:pt idx="5">
                  <c:v>-0.06</c:v>
                </c:pt>
                <c:pt idx="6">
                  <c:v>-0.078</c:v>
                </c:pt>
                <c:pt idx="7">
                  <c:v>-0.099</c:v>
                </c:pt>
                <c:pt idx="8">
                  <c:v>-0.122</c:v>
                </c:pt>
                <c:pt idx="9">
                  <c:v>-0.152</c:v>
                </c:pt>
                <c:pt idx="10">
                  <c:v>-0.185</c:v>
                </c:pt>
                <c:pt idx="11">
                  <c:v>-0.222</c:v>
                </c:pt>
                <c:pt idx="12">
                  <c:v>-0.265</c:v>
                </c:pt>
                <c:pt idx="13">
                  <c:v>-0.292</c:v>
                </c:pt>
                <c:pt idx="14">
                  <c:v>-0.342</c:v>
                </c:pt>
                <c:pt idx="15">
                  <c:v>-0.375</c:v>
                </c:pt>
                <c:pt idx="16">
                  <c:v>-0.405</c:v>
                </c:pt>
                <c:pt idx="17">
                  <c:v>-0.428</c:v>
                </c:pt>
                <c:pt idx="18">
                  <c:v>-0.448</c:v>
                </c:pt>
                <c:pt idx="19">
                  <c:v>-0.464</c:v>
                </c:pt>
                <c:pt idx="20">
                  <c:v>-0.478</c:v>
                </c:pt>
                <c:pt idx="21">
                  <c:v>-0.49</c:v>
                </c:pt>
                <c:pt idx="22">
                  <c:v>-0.499</c:v>
                </c:pt>
                <c:pt idx="23">
                  <c:v>-0.508</c:v>
                </c:pt>
                <c:pt idx="24">
                  <c:v>-0.515</c:v>
                </c:pt>
              </c:numCache>
            </c:numRef>
          </c:val>
          <c:smooth val="0"/>
        </c:ser>
        <c:ser>
          <c:idx val="3"/>
          <c:order val="3"/>
          <c:tx>
            <c:strRef>
              <c:f>Sheet1!$O$2</c:f>
              <c:strCache>
                <c:ptCount val="1"/>
                <c:pt idx="0">
                  <c:v>EAFE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numRef>
              <c:f>Sheet1!$K$3:$K$27</c:f>
              <c:numCache>
                <c:formatCode>h:mm</c:formatCode>
                <c:ptCount val="25"/>
                <c:pt idx="0" c:formatCode="h:mm">
                  <c:v>0</c:v>
                </c:pt>
                <c:pt idx="1" c:formatCode="h:mm">
                  <c:v>0.0208333333333333</c:v>
                </c:pt>
                <c:pt idx="2" c:formatCode="h:mm">
                  <c:v>0.0416666666666667</c:v>
                </c:pt>
                <c:pt idx="3" c:formatCode="h:mm">
                  <c:v>0.0625</c:v>
                </c:pt>
                <c:pt idx="4" c:formatCode="h:mm">
                  <c:v>0.0833333333333333</c:v>
                </c:pt>
                <c:pt idx="5" c:formatCode="h:mm">
                  <c:v>0.104166666666667</c:v>
                </c:pt>
                <c:pt idx="6" c:formatCode="h:mm">
                  <c:v>0.125</c:v>
                </c:pt>
                <c:pt idx="7" c:formatCode="h:mm">
                  <c:v>0.145833333333333</c:v>
                </c:pt>
                <c:pt idx="8" c:formatCode="h:mm">
                  <c:v>0.166666666666667</c:v>
                </c:pt>
                <c:pt idx="9" c:formatCode="h:mm">
                  <c:v>0.1875</c:v>
                </c:pt>
                <c:pt idx="10" c:formatCode="h:mm">
                  <c:v>0.208333333333333</c:v>
                </c:pt>
                <c:pt idx="11" c:formatCode="h:mm">
                  <c:v>0.229166666666667</c:v>
                </c:pt>
                <c:pt idx="12" c:formatCode="h:mm">
                  <c:v>0.25</c:v>
                </c:pt>
                <c:pt idx="13" c:formatCode="h:mm">
                  <c:v>0.270833333333333</c:v>
                </c:pt>
                <c:pt idx="14" c:formatCode="h:mm">
                  <c:v>0.291666666666667</c:v>
                </c:pt>
                <c:pt idx="15" c:formatCode="h:mm">
                  <c:v>0.3125</c:v>
                </c:pt>
                <c:pt idx="16" c:formatCode="h:mm">
                  <c:v>0.333333333333333</c:v>
                </c:pt>
                <c:pt idx="17" c:formatCode="h:mm">
                  <c:v>0.354166666666667</c:v>
                </c:pt>
                <c:pt idx="18" c:formatCode="h:mm">
                  <c:v>0.375</c:v>
                </c:pt>
                <c:pt idx="19" c:formatCode="h:mm">
                  <c:v>0.395833333333333</c:v>
                </c:pt>
                <c:pt idx="20" c:formatCode="h:mm">
                  <c:v>0.416666666666667</c:v>
                </c:pt>
                <c:pt idx="21" c:formatCode="h:mm">
                  <c:v>0.4375</c:v>
                </c:pt>
                <c:pt idx="22" c:formatCode="h:mm">
                  <c:v>0.458333333333333</c:v>
                </c:pt>
                <c:pt idx="23" c:formatCode="h:mm">
                  <c:v>0.479166666666667</c:v>
                </c:pt>
                <c:pt idx="24" c:formatCode="h:mm">
                  <c:v>0.5</c:v>
                </c:pt>
              </c:numCache>
            </c:numRef>
          </c:cat>
          <c:val>
            <c:numRef>
              <c:f>Sheet1!$O$3:$O$27</c:f>
              <c:numCache>
                <c:formatCode>General</c:formatCode>
                <c:ptCount val="25"/>
                <c:pt idx="0">
                  <c:v>0</c:v>
                </c:pt>
                <c:pt idx="1">
                  <c:v>-0.004</c:v>
                </c:pt>
                <c:pt idx="2">
                  <c:v>-0.022</c:v>
                </c:pt>
                <c:pt idx="3">
                  <c:v>-0.036</c:v>
                </c:pt>
                <c:pt idx="4">
                  <c:v>-0.047</c:v>
                </c:pt>
                <c:pt idx="5">
                  <c:v>-0.06</c:v>
                </c:pt>
                <c:pt idx="6">
                  <c:v>-0.074</c:v>
                </c:pt>
                <c:pt idx="7">
                  <c:v>-0.09</c:v>
                </c:pt>
                <c:pt idx="8">
                  <c:v>-0.11</c:v>
                </c:pt>
                <c:pt idx="9">
                  <c:v>-0.136</c:v>
                </c:pt>
                <c:pt idx="10">
                  <c:v>-0.166</c:v>
                </c:pt>
                <c:pt idx="11">
                  <c:v>-0.197</c:v>
                </c:pt>
                <c:pt idx="12">
                  <c:v>-0.228</c:v>
                </c:pt>
                <c:pt idx="13">
                  <c:v>-0.245</c:v>
                </c:pt>
                <c:pt idx="14">
                  <c:v>-0.251</c:v>
                </c:pt>
                <c:pt idx="15">
                  <c:v>-0.263</c:v>
                </c:pt>
                <c:pt idx="16">
                  <c:v>-0.268</c:v>
                </c:pt>
                <c:pt idx="17">
                  <c:v>-0.275</c:v>
                </c:pt>
                <c:pt idx="18">
                  <c:v>-0.283</c:v>
                </c:pt>
                <c:pt idx="19">
                  <c:v>-0.294</c:v>
                </c:pt>
                <c:pt idx="20">
                  <c:v>-0.302</c:v>
                </c:pt>
                <c:pt idx="21">
                  <c:v>-0.32</c:v>
                </c:pt>
                <c:pt idx="22">
                  <c:v>-0.323</c:v>
                </c:pt>
                <c:pt idx="23">
                  <c:v>-0.323</c:v>
                </c:pt>
                <c:pt idx="24">
                  <c:v>-0.334</c:v>
                </c:pt>
              </c:numCache>
            </c:numRef>
          </c:val>
          <c:smooth val="0"/>
        </c:ser>
        <c:ser>
          <c:idx val="4"/>
          <c:order val="4"/>
          <c:tx>
            <c:strRef>
              <c:f>Sheet1!$P$2</c:f>
              <c:strCache>
                <c:ptCount val="1"/>
                <c:pt idx="0">
                  <c:v>MFFE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elete val="1"/>
          </c:dLbls>
          <c:cat>
            <c:numRef>
              <c:f>Sheet1!$K$3:$K$27</c:f>
              <c:numCache>
                <c:formatCode>h:mm</c:formatCode>
                <c:ptCount val="25"/>
                <c:pt idx="0" c:formatCode="h:mm">
                  <c:v>0</c:v>
                </c:pt>
                <c:pt idx="1" c:formatCode="h:mm">
                  <c:v>0.0208333333333333</c:v>
                </c:pt>
                <c:pt idx="2" c:formatCode="h:mm">
                  <c:v>0.0416666666666667</c:v>
                </c:pt>
                <c:pt idx="3" c:formatCode="h:mm">
                  <c:v>0.0625</c:v>
                </c:pt>
                <c:pt idx="4" c:formatCode="h:mm">
                  <c:v>0.0833333333333333</c:v>
                </c:pt>
                <c:pt idx="5" c:formatCode="h:mm">
                  <c:v>0.104166666666667</c:v>
                </c:pt>
                <c:pt idx="6" c:formatCode="h:mm">
                  <c:v>0.125</c:v>
                </c:pt>
                <c:pt idx="7" c:formatCode="h:mm">
                  <c:v>0.145833333333333</c:v>
                </c:pt>
                <c:pt idx="8" c:formatCode="h:mm">
                  <c:v>0.166666666666667</c:v>
                </c:pt>
                <c:pt idx="9" c:formatCode="h:mm">
                  <c:v>0.1875</c:v>
                </c:pt>
                <c:pt idx="10" c:formatCode="h:mm">
                  <c:v>0.208333333333333</c:v>
                </c:pt>
                <c:pt idx="11" c:formatCode="h:mm">
                  <c:v>0.229166666666667</c:v>
                </c:pt>
                <c:pt idx="12" c:formatCode="h:mm">
                  <c:v>0.25</c:v>
                </c:pt>
                <c:pt idx="13" c:formatCode="h:mm">
                  <c:v>0.270833333333333</c:v>
                </c:pt>
                <c:pt idx="14" c:formatCode="h:mm">
                  <c:v>0.291666666666667</c:v>
                </c:pt>
                <c:pt idx="15" c:formatCode="h:mm">
                  <c:v>0.3125</c:v>
                </c:pt>
                <c:pt idx="16" c:formatCode="h:mm">
                  <c:v>0.333333333333333</c:v>
                </c:pt>
                <c:pt idx="17" c:formatCode="h:mm">
                  <c:v>0.354166666666667</c:v>
                </c:pt>
                <c:pt idx="18" c:formatCode="h:mm">
                  <c:v>0.375</c:v>
                </c:pt>
                <c:pt idx="19" c:formatCode="h:mm">
                  <c:v>0.395833333333333</c:v>
                </c:pt>
                <c:pt idx="20" c:formatCode="h:mm">
                  <c:v>0.416666666666667</c:v>
                </c:pt>
                <c:pt idx="21" c:formatCode="h:mm">
                  <c:v>0.4375</c:v>
                </c:pt>
                <c:pt idx="22" c:formatCode="h:mm">
                  <c:v>0.458333333333333</c:v>
                </c:pt>
                <c:pt idx="23" c:formatCode="h:mm">
                  <c:v>0.479166666666667</c:v>
                </c:pt>
                <c:pt idx="24" c:formatCode="h:mm">
                  <c:v>0.5</c:v>
                </c:pt>
              </c:numCache>
            </c:numRef>
          </c:cat>
          <c:val>
            <c:numRef>
              <c:f>Sheet1!$P$3:$P$27</c:f>
              <c:numCache>
                <c:formatCode>General</c:formatCode>
                <c:ptCount val="25"/>
                <c:pt idx="0">
                  <c:v>0</c:v>
                </c:pt>
                <c:pt idx="1">
                  <c:v>-0.004</c:v>
                </c:pt>
                <c:pt idx="2">
                  <c:v>-0.007</c:v>
                </c:pt>
                <c:pt idx="3">
                  <c:v>-0.009</c:v>
                </c:pt>
                <c:pt idx="4">
                  <c:v>-0.012</c:v>
                </c:pt>
                <c:pt idx="5">
                  <c:v>-0.014</c:v>
                </c:pt>
                <c:pt idx="6">
                  <c:v>-0.017</c:v>
                </c:pt>
                <c:pt idx="7">
                  <c:v>-0.021</c:v>
                </c:pt>
                <c:pt idx="8">
                  <c:v>-0.027</c:v>
                </c:pt>
                <c:pt idx="9">
                  <c:v>-0.033</c:v>
                </c:pt>
                <c:pt idx="10">
                  <c:v>-0.039</c:v>
                </c:pt>
                <c:pt idx="11">
                  <c:v>-0.046</c:v>
                </c:pt>
                <c:pt idx="12">
                  <c:v>-0.055</c:v>
                </c:pt>
                <c:pt idx="13">
                  <c:v>-0.063</c:v>
                </c:pt>
                <c:pt idx="14">
                  <c:v>-0.073</c:v>
                </c:pt>
                <c:pt idx="15">
                  <c:v>-0.084</c:v>
                </c:pt>
                <c:pt idx="16">
                  <c:v>-0.094</c:v>
                </c:pt>
                <c:pt idx="17">
                  <c:v>-0.109</c:v>
                </c:pt>
                <c:pt idx="18">
                  <c:v>-0.126</c:v>
                </c:pt>
                <c:pt idx="19">
                  <c:v>-0.146</c:v>
                </c:pt>
                <c:pt idx="20">
                  <c:v>-0.168</c:v>
                </c:pt>
                <c:pt idx="21">
                  <c:v>-0.191</c:v>
                </c:pt>
                <c:pt idx="22">
                  <c:v>-0.215</c:v>
                </c:pt>
                <c:pt idx="23">
                  <c:v>-0.238</c:v>
                </c:pt>
                <c:pt idx="24">
                  <c:v>-0.265</c:v>
                </c:pt>
              </c:numCache>
            </c:numRef>
          </c:val>
          <c:smooth val="0"/>
        </c:ser>
        <c:dLbls>
          <c:showLegendKey val="0"/>
          <c:showVal val="0"/>
          <c:showCatName val="0"/>
          <c:showSerName val="0"/>
          <c:showPercent val="0"/>
          <c:showBubbleSize val="0"/>
        </c:dLbls>
        <c:marker val="1"/>
        <c:smooth val="0"/>
        <c:axId val="873306832"/>
        <c:axId val="873307920"/>
      </c:lineChart>
      <c:catAx>
        <c:axId val="873306832"/>
        <c:scaling>
          <c:orientation val="minMax"/>
        </c:scaling>
        <c:delete val="0"/>
        <c:axPos val="b"/>
        <c:numFmt formatCode="h:mm" sourceLinked="1"/>
        <c:majorTickMark val="in"/>
        <c:minorTickMark val="in"/>
        <c:tickLblPos val="high"/>
        <c:spPr>
          <a:noFill/>
          <a:ln w="25400" cap="flat" cmpd="sng" algn="ctr">
            <a:solidFill>
              <a:schemeClr val="tx1"/>
            </a:solidFill>
            <a:roun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p>
        </c:txPr>
        <c:crossAx val="873307920"/>
        <c:crosses val="autoZero"/>
        <c:auto val="1"/>
        <c:lblAlgn val="ctr"/>
        <c:lblOffset val="100"/>
        <c:noMultiLvlLbl val="0"/>
      </c:catAx>
      <c:valAx>
        <c:axId val="873307920"/>
        <c:scaling>
          <c:orientation val="minMax"/>
        </c:scaling>
        <c:delete val="0"/>
        <c:axPos val="l"/>
        <c:title>
          <c:tx>
            <c:rich>
              <a:bodyPr rot="-5400000" spcFirstLastPara="1" vertOverflow="ellipsis" vert="horz" wrap="square" anchor="ctr" anchorCtr="1"/>
              <a:lstStyle/>
              <a:p>
                <a:pPr>
                  <a:defRPr lang="en-US" sz="1400" b="1" i="0" u="none" strike="noStrike" kern="1200" baseline="0">
                    <a:solidFill>
                      <a:schemeClr val="tx1"/>
                    </a:solidFill>
                    <a:latin typeface="Times New Roman" panose="02020603050405020304" charset="0"/>
                    <a:ea typeface="+mn-ea"/>
                    <a:cs typeface="Times New Roman" panose="02020603050405020304" charset="0"/>
                  </a:defRPr>
                </a:pPr>
                <a:r>
                  <a:rPr lang="en-US" sz="1400" b="1">
                    <a:solidFill>
                      <a:schemeClr val="tx1"/>
                    </a:solidFill>
                    <a:latin typeface="Times New Roman" panose="02020603050405020304" charset="0"/>
                    <a:cs typeface="Times New Roman" panose="02020603050405020304" charset="0"/>
                  </a:rPr>
                  <a:t>Change</a:t>
                </a:r>
                <a:r>
                  <a:rPr lang="en-US" sz="1400" b="1" baseline="0">
                    <a:solidFill>
                      <a:schemeClr val="tx1"/>
                    </a:solidFill>
                    <a:latin typeface="Times New Roman" panose="02020603050405020304" charset="0"/>
                    <a:cs typeface="Times New Roman" panose="02020603050405020304" charset="0"/>
                  </a:rPr>
                  <a:t> in </a:t>
                </a:r>
                <a:r>
                  <a:rPr lang="en-US" sz="1400" b="1">
                    <a:solidFill>
                      <a:schemeClr val="tx1"/>
                    </a:solidFill>
                    <a:latin typeface="Times New Roman" panose="02020603050405020304" charset="0"/>
                    <a:cs typeface="Times New Roman" panose="02020603050405020304" charset="0"/>
                  </a:rPr>
                  <a:t>Absorbance</a:t>
                </a:r>
                <a:r>
                  <a:rPr lang="en-US" sz="1400" b="1" baseline="0">
                    <a:solidFill>
                      <a:schemeClr val="tx1"/>
                    </a:solidFill>
                    <a:latin typeface="Times New Roman" panose="02020603050405020304" charset="0"/>
                    <a:cs typeface="Times New Roman" panose="02020603050405020304" charset="0"/>
                  </a:rPr>
                  <a:t>  (540nm)</a:t>
                </a:r>
                <a:endParaRPr lang="en-US" sz="1400" b="1">
                  <a:solidFill>
                    <a:schemeClr val="tx1"/>
                  </a:solidFill>
                  <a:latin typeface="Times New Roman" panose="02020603050405020304" charset="0"/>
                  <a:cs typeface="Times New Roman" panose="02020603050405020304" charset="0"/>
                </a:endParaRPr>
              </a:p>
            </c:rich>
          </c:tx>
          <c:layout>
            <c:manualLayout>
              <c:xMode val="edge"/>
              <c:yMode val="edge"/>
              <c:x val="0.0208067134599048"/>
              <c:y val="0.212237524398145"/>
            </c:manualLayout>
          </c:layout>
          <c:overlay val="0"/>
          <c:spPr>
            <a:noFill/>
            <a:ln>
              <a:noFill/>
            </a:ln>
            <a:effectLst/>
          </c:spPr>
        </c:title>
        <c:numFmt formatCode="General" sourceLinked="1"/>
        <c:majorTickMark val="none"/>
        <c:minorTickMark val="none"/>
        <c:tickLblPos val="nextTo"/>
        <c:spPr>
          <a:noFill/>
          <a:ln w="25400">
            <a:solidFill>
              <a:schemeClr val="tx1"/>
            </a:solidFill>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873306832"/>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Entry>
      <c:legendEntry>
        <c:idx val="1"/>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Entry>
      <c:legendEntry>
        <c:idx val="2"/>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Entry>
      <c:legendEntry>
        <c:idx val="3"/>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Entry>
      <c:legendEntry>
        <c:idx val="4"/>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legendEntry>
      <c:layout>
        <c:manualLayout>
          <c:xMode val="edge"/>
          <c:yMode val="edge"/>
          <c:x val="0.786095226028597"/>
          <c:y val="0.407053999906816"/>
          <c:w val="0.16089956810297"/>
          <c:h val="0.341316063302738"/>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96b0fb79-bbe0-4ecc-89fc-47469fba94c7}"/>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2025-06-02T19:54:00Z</dcterms:created>
  <dc:creator>HP ELITEBOOK 840</dc:creator>
  <cp:lastModifiedBy>HP ELITEBOOK 840</cp:lastModifiedBy>
  <dcterms:modified xsi:type="dcterms:W3CDTF">2025-06-02T19:55:58Z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98857EECC3494FE2B4183B10FB6FA44D_11</vt:lpwstr>
  </property>
</Properties>
</file>