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AA9A8" w14:textId="4CD03DFB" w:rsidR="00F369FA" w:rsidRPr="00CF6F90" w:rsidRDefault="0051420A" w:rsidP="009D43CE">
      <w:pPr>
        <w:spacing w:after="0" w:line="240" w:lineRule="auto"/>
        <w:jc w:val="center"/>
        <w:rPr>
          <w:rFonts w:ascii="Times New Roman" w:hAnsi="Times New Roman" w:cs="Times New Roman"/>
          <w:b/>
          <w:sz w:val="24"/>
          <w:szCs w:val="24"/>
        </w:rPr>
      </w:pPr>
      <w:r w:rsidRPr="00CF6F90">
        <w:rPr>
          <w:rFonts w:ascii="Times New Roman" w:hAnsi="Times New Roman" w:cs="Times New Roman"/>
          <w:b/>
          <w:sz w:val="24"/>
          <w:szCs w:val="24"/>
        </w:rPr>
        <w:t>Water</w:t>
      </w:r>
      <w:r w:rsidR="000042DB" w:rsidRPr="00CF6F90">
        <w:rPr>
          <w:rFonts w:ascii="Times New Roman" w:hAnsi="Times New Roman" w:cs="Times New Roman"/>
          <w:b/>
          <w:sz w:val="24"/>
          <w:szCs w:val="24"/>
        </w:rPr>
        <w:t xml:space="preserve"> Dynamics and Irrigation Demands for Food Crop Production in the Santa Agrarian Basin, Cameroon: A Spatio-Temporal Assessment of Surface and Groundwater Resources</w:t>
      </w:r>
    </w:p>
    <w:p w14:paraId="0C78F23F" w14:textId="77777777" w:rsidR="001B37F7" w:rsidRDefault="001B37F7" w:rsidP="009D43CE">
      <w:pPr>
        <w:spacing w:after="0" w:line="240" w:lineRule="auto"/>
        <w:jc w:val="center"/>
        <w:rPr>
          <w:rFonts w:ascii="Times New Roman" w:hAnsi="Times New Roman" w:cs="Times New Roman"/>
          <w:b/>
          <w:sz w:val="24"/>
          <w:szCs w:val="24"/>
        </w:rPr>
      </w:pPr>
    </w:p>
    <w:p w14:paraId="232FB36E" w14:textId="77777777" w:rsidR="000C39E3" w:rsidRPr="002864A6" w:rsidRDefault="000C39E3" w:rsidP="009D43CE">
      <w:pPr>
        <w:spacing w:after="0" w:line="240" w:lineRule="auto"/>
        <w:jc w:val="center"/>
        <w:rPr>
          <w:rFonts w:ascii="Times New Roman" w:hAnsi="Times New Roman" w:cs="Times New Roman"/>
          <w:b/>
          <w:sz w:val="24"/>
          <w:szCs w:val="24"/>
        </w:rPr>
      </w:pPr>
    </w:p>
    <w:p w14:paraId="54152AD0" w14:textId="77777777" w:rsidR="00577CFB" w:rsidRPr="002864A6" w:rsidRDefault="00577CFB" w:rsidP="009D43CE">
      <w:pPr>
        <w:spacing w:after="0" w:line="240" w:lineRule="auto"/>
        <w:jc w:val="center"/>
        <w:rPr>
          <w:rFonts w:ascii="Times New Roman" w:hAnsi="Times New Roman" w:cs="Times New Roman"/>
          <w:b/>
          <w:sz w:val="24"/>
          <w:szCs w:val="24"/>
        </w:rPr>
      </w:pPr>
    </w:p>
    <w:p w14:paraId="018E5D05" w14:textId="77777777" w:rsidR="003C503B" w:rsidRPr="002864A6" w:rsidRDefault="0031263E" w:rsidP="00577CFB">
      <w:pPr>
        <w:jc w:val="both"/>
        <w:rPr>
          <w:rFonts w:ascii="Times New Roman" w:hAnsi="Times New Roman" w:cs="Times New Roman"/>
          <w:b/>
          <w:sz w:val="24"/>
          <w:szCs w:val="24"/>
        </w:rPr>
      </w:pPr>
      <w:r w:rsidRPr="002864A6">
        <w:rPr>
          <w:rFonts w:ascii="Times New Roman" w:hAnsi="Times New Roman" w:cs="Times New Roman"/>
          <w:b/>
          <w:sz w:val="24"/>
          <w:szCs w:val="24"/>
        </w:rPr>
        <w:t>Abstract</w:t>
      </w:r>
    </w:p>
    <w:p w14:paraId="4D9337F2" w14:textId="7F200E64" w:rsidR="00B96E7A" w:rsidRPr="00DD7423" w:rsidRDefault="00FB108B" w:rsidP="00DD7423">
      <w:pPr>
        <w:spacing w:line="240" w:lineRule="auto"/>
        <w:jc w:val="both"/>
        <w:rPr>
          <w:rFonts w:ascii="Times New Roman" w:hAnsi="Times New Roman" w:cs="Times New Roman"/>
          <w:sz w:val="24"/>
          <w:szCs w:val="24"/>
        </w:rPr>
      </w:pPr>
      <w:r w:rsidRPr="002E204D">
        <w:rPr>
          <w:rFonts w:ascii="Times New Roman" w:hAnsi="Times New Roman" w:cs="Times New Roman"/>
          <w:sz w:val="24"/>
          <w:szCs w:val="24"/>
          <w:highlight w:val="yellow"/>
        </w:rPr>
        <w:t>As the global population continues to rise, food demand is projected to increase by 60% by 2050.</w:t>
      </w:r>
      <w:r>
        <w:rPr>
          <w:rFonts w:ascii="Times New Roman" w:hAnsi="Times New Roman" w:cs="Times New Roman"/>
          <w:sz w:val="24"/>
          <w:szCs w:val="24"/>
        </w:rPr>
        <w:t xml:space="preserve"> </w:t>
      </w:r>
      <w:r w:rsidR="00053D39" w:rsidRPr="00DD7423">
        <w:rPr>
          <w:rFonts w:ascii="Times New Roman" w:hAnsi="Times New Roman" w:cs="Times New Roman"/>
          <w:sz w:val="24"/>
          <w:szCs w:val="24"/>
        </w:rPr>
        <w:t xml:space="preserve">The global water–food nexus is under increasing pressure as agricultural systems struggle with growing climate variability, unsustainable water extraction, and rising competition for limited water resources. </w:t>
      </w:r>
      <w:r w:rsidRPr="002E204D">
        <w:rPr>
          <w:rFonts w:ascii="Times New Roman" w:hAnsi="Times New Roman" w:cs="Times New Roman"/>
          <w:sz w:val="24"/>
          <w:szCs w:val="24"/>
          <w:highlight w:val="yellow"/>
        </w:rPr>
        <w:t>Agriculture is the largest consumer of freshwater globally, accounting for 70% of all withdrawals, with surface and groundwater serving as its primary sources.</w:t>
      </w:r>
      <w:r>
        <w:rPr>
          <w:rFonts w:ascii="Times New Roman" w:hAnsi="Times New Roman" w:cs="Times New Roman"/>
          <w:sz w:val="24"/>
          <w:szCs w:val="24"/>
        </w:rPr>
        <w:t xml:space="preserve"> </w:t>
      </w:r>
      <w:r w:rsidR="00053D39" w:rsidRPr="00DD7423">
        <w:rPr>
          <w:rFonts w:ascii="Times New Roman" w:hAnsi="Times New Roman" w:cs="Times New Roman"/>
          <w:sz w:val="24"/>
          <w:szCs w:val="24"/>
        </w:rPr>
        <w:t xml:space="preserve">Water is a vital input that influences every stage of food crop development, from germination to harvest. This paper investigates the spatio-temporal interplay of surface and groundwater resources on food crop production in the Santa Agrarian Basin. A mixed-methods approach was employed, combining secondary data from satellite imagery (ASTER, HydroSHEDS), climatic records (1980–2024), and agricultural statistics. Primary data were collected through 397 questionnaires, 12 key-informant interviews, and two focus group discussions conducted across 10 communities. Geospatial analysis using QGIS and ArcGIS quantified changes in surface and groundwater potential, while crop water requirements were calculated using the FAO CROPWAT 8.0 tool for </w:t>
      </w:r>
      <w:r w:rsidR="00E63317">
        <w:rPr>
          <w:rFonts w:ascii="Times New Roman" w:hAnsi="Times New Roman" w:cs="Times New Roman"/>
          <w:sz w:val="24"/>
          <w:szCs w:val="24"/>
        </w:rPr>
        <w:t xml:space="preserve">tomato </w:t>
      </w:r>
      <w:r w:rsidR="00053D39" w:rsidRPr="00DD7423">
        <w:rPr>
          <w:rFonts w:ascii="Times New Roman" w:hAnsi="Times New Roman" w:cs="Times New Roman"/>
          <w:sz w:val="24"/>
          <w:szCs w:val="24"/>
        </w:rPr>
        <w:t xml:space="preserve">and Irish potato. Findings revealed a 50% decline in first-order stream length between 1980 and 2024, with groundwater emerging as the primary irrigation source after 2010. Crop water requirement analysis showed high irrigation dependencies: </w:t>
      </w:r>
      <w:r w:rsidR="003B1071">
        <w:rPr>
          <w:rFonts w:ascii="Times New Roman" w:hAnsi="Times New Roman" w:cs="Times New Roman"/>
          <w:sz w:val="24"/>
          <w:szCs w:val="24"/>
        </w:rPr>
        <w:t>tomatoes (571.3 mm)</w:t>
      </w:r>
      <w:r w:rsidR="00053D39" w:rsidRPr="00DD7423">
        <w:rPr>
          <w:rFonts w:ascii="Times New Roman" w:hAnsi="Times New Roman" w:cs="Times New Roman"/>
          <w:sz w:val="24"/>
          <w:szCs w:val="24"/>
        </w:rPr>
        <w:t xml:space="preserve"> </w:t>
      </w:r>
      <w:r w:rsidR="00053D39" w:rsidRPr="003B1071">
        <w:rPr>
          <w:rFonts w:ascii="Times New Roman" w:hAnsi="Times New Roman" w:cs="Times New Roman"/>
          <w:sz w:val="24"/>
          <w:szCs w:val="24"/>
        </w:rPr>
        <w:t>and</w:t>
      </w:r>
      <w:r w:rsidR="003B1071" w:rsidRPr="003B1071">
        <w:rPr>
          <w:rFonts w:ascii="Times New Roman" w:hAnsi="Times New Roman" w:cs="Times New Roman"/>
          <w:sz w:val="24"/>
          <w:szCs w:val="24"/>
        </w:rPr>
        <w:t xml:space="preserve"> </w:t>
      </w:r>
      <w:r w:rsidR="003B1071" w:rsidRPr="00DD7423">
        <w:rPr>
          <w:rFonts w:ascii="Times New Roman" w:hAnsi="Times New Roman" w:cs="Times New Roman"/>
          <w:sz w:val="24"/>
          <w:szCs w:val="24"/>
        </w:rPr>
        <w:t>Irish potato</w:t>
      </w:r>
      <w:r w:rsidR="00053D39" w:rsidRPr="00E63317">
        <w:rPr>
          <w:rFonts w:ascii="Times New Roman" w:hAnsi="Times New Roman" w:cs="Times New Roman"/>
          <w:b/>
          <w:sz w:val="24"/>
          <w:szCs w:val="24"/>
        </w:rPr>
        <w:t xml:space="preserve"> (</w:t>
      </w:r>
      <w:r w:rsidR="003B1071" w:rsidRPr="0012765E">
        <w:rPr>
          <w:rFonts w:ascii="Times New Roman" w:hAnsi="Times New Roman" w:cs="Times New Roman"/>
          <w:sz w:val="20"/>
          <w:szCs w:val="20"/>
        </w:rPr>
        <w:t>514.3</w:t>
      </w:r>
      <w:r w:rsidR="003B1071">
        <w:rPr>
          <w:rFonts w:ascii="Times New Roman" w:hAnsi="Times New Roman" w:cs="Times New Roman"/>
          <w:sz w:val="20"/>
          <w:szCs w:val="20"/>
        </w:rPr>
        <w:t xml:space="preserve"> mm</w:t>
      </w:r>
      <w:r w:rsidR="00053D39" w:rsidRPr="00E63317">
        <w:rPr>
          <w:rFonts w:ascii="Times New Roman" w:hAnsi="Times New Roman" w:cs="Times New Roman"/>
          <w:b/>
          <w:sz w:val="24"/>
          <w:szCs w:val="24"/>
        </w:rPr>
        <w:t>),</w:t>
      </w:r>
      <w:r w:rsidR="00053D39" w:rsidRPr="00DD7423">
        <w:rPr>
          <w:rFonts w:ascii="Times New Roman" w:hAnsi="Times New Roman" w:cs="Times New Roman"/>
          <w:sz w:val="24"/>
          <w:szCs w:val="24"/>
        </w:rPr>
        <w:t xml:space="preserve"> with supplemental needs exceeding 40–50%. Crop output followed hydrological trends, with peak yields of water-intensive crops reaching 15,100 tons in 2007–2008, then falling to 6,000 tons by 2024 due to aquifer depletion. The paper recommends integrated water governance and the implementation of managed aquifer recharge in high-potential areas such as Pinyin and Mbu to promote water sustainability and agricultural resilience.</w:t>
      </w:r>
      <w:r w:rsidR="00BF5F90">
        <w:rPr>
          <w:rFonts w:ascii="Times New Roman" w:hAnsi="Times New Roman" w:cs="Times New Roman"/>
          <w:sz w:val="24"/>
          <w:szCs w:val="24"/>
        </w:rPr>
        <w:t xml:space="preserve"> </w:t>
      </w:r>
    </w:p>
    <w:p w14:paraId="23D6226C" w14:textId="77777777" w:rsidR="004B3B02" w:rsidRPr="002864A6" w:rsidRDefault="004B3B02" w:rsidP="00577CFB">
      <w:pPr>
        <w:jc w:val="both"/>
        <w:rPr>
          <w:rFonts w:ascii="Times New Roman" w:hAnsi="Times New Roman" w:cs="Times New Roman"/>
          <w:sz w:val="24"/>
          <w:szCs w:val="24"/>
        </w:rPr>
      </w:pPr>
      <w:r w:rsidRPr="002864A6">
        <w:rPr>
          <w:rFonts w:ascii="Times New Roman" w:hAnsi="Times New Roman" w:cs="Times New Roman"/>
          <w:b/>
          <w:sz w:val="24"/>
          <w:szCs w:val="24"/>
        </w:rPr>
        <w:t>Keywords:</w:t>
      </w:r>
      <w:r w:rsidRPr="002864A6">
        <w:rPr>
          <w:rFonts w:ascii="Times New Roman" w:hAnsi="Times New Roman" w:cs="Times New Roman"/>
          <w:sz w:val="24"/>
          <w:szCs w:val="24"/>
        </w:rPr>
        <w:t xml:space="preserve"> </w:t>
      </w:r>
      <w:r w:rsidR="00D70675" w:rsidRPr="002864A6">
        <w:rPr>
          <w:rFonts w:ascii="Times New Roman" w:hAnsi="Times New Roman" w:cs="Times New Roman"/>
          <w:sz w:val="24"/>
          <w:szCs w:val="24"/>
        </w:rPr>
        <w:t>Crop water requirements, Groundwater, Surface water, Water–food nexus</w:t>
      </w:r>
      <w:r w:rsidRPr="002864A6">
        <w:rPr>
          <w:rFonts w:ascii="Times New Roman" w:hAnsi="Times New Roman" w:cs="Times New Roman"/>
          <w:sz w:val="24"/>
          <w:szCs w:val="24"/>
        </w:rPr>
        <w:t>.</w:t>
      </w:r>
    </w:p>
    <w:p w14:paraId="68F35090" w14:textId="77777777" w:rsidR="00B22E68" w:rsidRPr="009D43CE" w:rsidRDefault="00F26E82" w:rsidP="009D43C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w:t>
      </w:r>
      <w:r w:rsidR="004F29F1" w:rsidRPr="009D43CE">
        <w:rPr>
          <w:rFonts w:ascii="Times New Roman" w:hAnsi="Times New Roman" w:cs="Times New Roman"/>
          <w:b/>
          <w:sz w:val="24"/>
          <w:szCs w:val="24"/>
        </w:rPr>
        <w:t>Introduction</w:t>
      </w:r>
    </w:p>
    <w:p w14:paraId="5966A184" w14:textId="649DD998" w:rsidR="004B24E4" w:rsidRPr="009D43CE" w:rsidRDefault="00342F5C" w:rsidP="009D43CE">
      <w:pPr>
        <w:jc w:val="both"/>
        <w:rPr>
          <w:rFonts w:ascii="Times New Roman" w:hAnsi="Times New Roman" w:cs="Times New Roman"/>
          <w:sz w:val="24"/>
          <w:szCs w:val="24"/>
        </w:rPr>
      </w:pPr>
      <w:r w:rsidRPr="002E204D">
        <w:rPr>
          <w:rFonts w:ascii="Times New Roman" w:hAnsi="Times New Roman" w:cs="Times New Roman"/>
          <w:sz w:val="24"/>
          <w:szCs w:val="24"/>
          <w:highlight w:val="yellow"/>
        </w:rPr>
        <w:t>Agriculture is the largest consumer of water in Africa and Asia and plays an essential role in economic development and poverty reduction in these regions (Rebelo et al., 2014).</w:t>
      </w:r>
      <w:r>
        <w:rPr>
          <w:rFonts w:ascii="Times New Roman" w:hAnsi="Times New Roman" w:cs="Times New Roman"/>
          <w:sz w:val="24"/>
          <w:szCs w:val="24"/>
        </w:rPr>
        <w:t xml:space="preserve"> </w:t>
      </w:r>
      <w:r w:rsidR="00420BAA" w:rsidRPr="009D43CE">
        <w:rPr>
          <w:rFonts w:ascii="Times New Roman" w:hAnsi="Times New Roman" w:cs="Times New Roman"/>
          <w:sz w:val="24"/>
          <w:szCs w:val="24"/>
        </w:rPr>
        <w:t>Agriculture is the largest consumer of freshwater globally, accounting for 70% of all withdrawals, with surface and groundwater serving as its primary sources (FAO, 2020).</w:t>
      </w:r>
      <w:r>
        <w:rPr>
          <w:rFonts w:ascii="Times New Roman" w:hAnsi="Times New Roman" w:cs="Times New Roman"/>
          <w:sz w:val="24"/>
          <w:szCs w:val="24"/>
        </w:rPr>
        <w:t xml:space="preserve"> </w:t>
      </w:r>
      <w:r w:rsidRPr="002E204D">
        <w:rPr>
          <w:rFonts w:ascii="Times New Roman" w:hAnsi="Times New Roman" w:cs="Times New Roman"/>
          <w:sz w:val="24"/>
          <w:szCs w:val="24"/>
          <w:highlight w:val="yellow"/>
        </w:rPr>
        <w:t>Water is a prime natural resource, fulfilling our needs as a precious asset. We must act to preserve and utilise every drop of water (Mishra, 2023).</w:t>
      </w:r>
      <w:r w:rsidR="00420BAA" w:rsidRPr="009D43CE">
        <w:rPr>
          <w:rFonts w:ascii="Times New Roman" w:hAnsi="Times New Roman" w:cs="Times New Roman"/>
          <w:sz w:val="24"/>
          <w:szCs w:val="24"/>
        </w:rPr>
        <w:t xml:space="preserve"> As the global population continues to rise, food demand is projected to inc</w:t>
      </w:r>
      <w:r w:rsidR="00882171">
        <w:rPr>
          <w:rFonts w:ascii="Times New Roman" w:hAnsi="Times New Roman" w:cs="Times New Roman"/>
          <w:sz w:val="24"/>
          <w:szCs w:val="24"/>
        </w:rPr>
        <w:t>rease by 60% by 2050 (IPCC, 2023</w:t>
      </w:r>
      <w:r w:rsidR="00420BAA" w:rsidRPr="009D43CE">
        <w:rPr>
          <w:rFonts w:ascii="Times New Roman" w:hAnsi="Times New Roman" w:cs="Times New Roman"/>
          <w:sz w:val="24"/>
          <w:szCs w:val="24"/>
        </w:rPr>
        <w:t xml:space="preserve">). </w:t>
      </w:r>
      <w:r w:rsidR="004B24E4" w:rsidRPr="009D43CE">
        <w:rPr>
          <w:rFonts w:ascii="Times New Roman" w:hAnsi="Times New Roman" w:cs="Times New Roman"/>
          <w:sz w:val="24"/>
          <w:szCs w:val="24"/>
        </w:rPr>
        <w:t>Surface water systems like rivers, lakes and reservoirs are highly susceptible to seasonal variability, climatic extremes and anthropogenic modifications such as</w:t>
      </w:r>
      <w:r w:rsidR="00E9011C" w:rsidRPr="009D43CE">
        <w:rPr>
          <w:rFonts w:ascii="Times New Roman" w:hAnsi="Times New Roman" w:cs="Times New Roman"/>
          <w:sz w:val="24"/>
          <w:szCs w:val="24"/>
        </w:rPr>
        <w:t xml:space="preserve"> damming, irrigation diversions</w:t>
      </w:r>
      <w:r w:rsidR="004B24E4" w:rsidRPr="009D43CE">
        <w:rPr>
          <w:rFonts w:ascii="Times New Roman" w:hAnsi="Times New Roman" w:cs="Times New Roman"/>
          <w:sz w:val="24"/>
          <w:szCs w:val="24"/>
        </w:rPr>
        <w:t xml:space="preserve"> and land-use changes (IPCC, 2021; Vörösmarty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2010). </w:t>
      </w:r>
      <w:r w:rsidR="0046361B" w:rsidRPr="00896C9F">
        <w:rPr>
          <w:rFonts w:ascii="Times New Roman" w:hAnsi="Times New Roman" w:cs="Times New Roman"/>
          <w:sz w:val="24"/>
          <w:szCs w:val="24"/>
          <w:highlight w:val="yellow"/>
        </w:rPr>
        <w:t>Groundwater is</w:t>
      </w:r>
      <w:r w:rsidR="0046361B" w:rsidRPr="00896C9F">
        <w:rPr>
          <w:rFonts w:ascii="Times New Roman" w:hAnsi="Times New Roman" w:cs="Times New Roman"/>
          <w:highlight w:val="yellow"/>
        </w:rPr>
        <w:t xml:space="preserve"> one of </w:t>
      </w:r>
      <w:r w:rsidR="0046361B" w:rsidRPr="00896C9F">
        <w:rPr>
          <w:rFonts w:ascii="Times New Roman" w:hAnsi="Times New Roman" w:cs="Times New Roman"/>
          <w:sz w:val="24"/>
          <w:szCs w:val="24"/>
          <w:highlight w:val="yellow"/>
        </w:rPr>
        <w:t>the most</w:t>
      </w:r>
      <w:r w:rsidR="0046361B" w:rsidRPr="00896C9F">
        <w:rPr>
          <w:rFonts w:ascii="Times New Roman" w:hAnsi="Times New Roman" w:cs="Times New Roman"/>
          <w:highlight w:val="yellow"/>
        </w:rPr>
        <w:t xml:space="preserve"> vital </w:t>
      </w:r>
      <w:r w:rsidR="0046361B" w:rsidRPr="00896C9F">
        <w:rPr>
          <w:rFonts w:ascii="Times New Roman" w:hAnsi="Times New Roman" w:cs="Times New Roman"/>
          <w:sz w:val="24"/>
          <w:szCs w:val="24"/>
          <w:highlight w:val="yellow"/>
        </w:rPr>
        <w:t>water resources</w:t>
      </w:r>
      <w:r w:rsidR="0046361B" w:rsidRPr="00896C9F">
        <w:rPr>
          <w:rFonts w:ascii="Times New Roman" w:hAnsi="Times New Roman" w:cs="Times New Roman"/>
          <w:highlight w:val="yellow"/>
        </w:rPr>
        <w:t xml:space="preserve"> stored beneath </w:t>
      </w:r>
      <w:r w:rsidR="0046361B">
        <w:rPr>
          <w:rFonts w:ascii="Times New Roman" w:hAnsi="Times New Roman" w:cs="Times New Roman"/>
          <w:highlight w:val="yellow"/>
        </w:rPr>
        <w:t>t</w:t>
      </w:r>
      <w:r w:rsidR="0046361B" w:rsidRPr="00896C9F">
        <w:rPr>
          <w:rFonts w:ascii="Times New Roman" w:hAnsi="Times New Roman" w:cs="Times New Roman"/>
          <w:sz w:val="24"/>
          <w:szCs w:val="24"/>
          <w:highlight w:val="yellow"/>
        </w:rPr>
        <w:t>he earth’s</w:t>
      </w:r>
      <w:r w:rsidR="0046361B" w:rsidRPr="00896C9F">
        <w:rPr>
          <w:rFonts w:ascii="Times New Roman" w:hAnsi="Times New Roman" w:cs="Times New Roman"/>
          <w:highlight w:val="yellow"/>
        </w:rPr>
        <w:t xml:space="preserve"> </w:t>
      </w:r>
      <w:r w:rsidR="0046361B" w:rsidRPr="00896C9F">
        <w:rPr>
          <w:rFonts w:ascii="Times New Roman" w:hAnsi="Times New Roman" w:cs="Times New Roman"/>
          <w:sz w:val="24"/>
          <w:szCs w:val="24"/>
          <w:highlight w:val="yellow"/>
        </w:rPr>
        <w:t>surface (in saturated, permeable</w:t>
      </w:r>
      <w:r w:rsidR="0046361B" w:rsidRPr="00896C9F">
        <w:rPr>
          <w:rFonts w:ascii="Times New Roman" w:hAnsi="Times New Roman" w:cs="Times New Roman"/>
          <w:highlight w:val="yellow"/>
        </w:rPr>
        <w:t xml:space="preserve"> geological </w:t>
      </w:r>
      <w:r w:rsidR="0046361B" w:rsidRPr="00896C9F">
        <w:rPr>
          <w:rFonts w:ascii="Times New Roman" w:hAnsi="Times New Roman" w:cs="Times New Roman"/>
          <w:sz w:val="24"/>
          <w:szCs w:val="24"/>
          <w:highlight w:val="yellow"/>
        </w:rPr>
        <w:t>formations called</w:t>
      </w:r>
      <w:r w:rsidR="0046361B" w:rsidRPr="00896C9F">
        <w:rPr>
          <w:rFonts w:ascii="Times New Roman" w:hAnsi="Times New Roman" w:cs="Times New Roman"/>
          <w:highlight w:val="yellow"/>
        </w:rPr>
        <w:t xml:space="preserve"> </w:t>
      </w:r>
      <w:r w:rsidR="0046361B" w:rsidRPr="00896C9F">
        <w:rPr>
          <w:rFonts w:ascii="Times New Roman" w:hAnsi="Times New Roman" w:cs="Times New Roman"/>
          <w:sz w:val="24"/>
          <w:szCs w:val="24"/>
          <w:highlight w:val="yellow"/>
        </w:rPr>
        <w:t xml:space="preserve">aquifers), which </w:t>
      </w:r>
      <w:r w:rsidR="0046361B" w:rsidRPr="00896C9F">
        <w:rPr>
          <w:rFonts w:ascii="Times New Roman" w:hAnsi="Times New Roman" w:cs="Times New Roman"/>
          <w:highlight w:val="yellow"/>
        </w:rPr>
        <w:t xml:space="preserve">plays </w:t>
      </w:r>
      <w:r w:rsidR="0046361B" w:rsidRPr="00896C9F">
        <w:rPr>
          <w:rFonts w:ascii="Times New Roman" w:hAnsi="Times New Roman" w:cs="Times New Roman"/>
          <w:sz w:val="24"/>
          <w:szCs w:val="24"/>
          <w:highlight w:val="yellow"/>
        </w:rPr>
        <w:t>an</w:t>
      </w:r>
      <w:r w:rsidR="0046361B" w:rsidRPr="00896C9F">
        <w:rPr>
          <w:rFonts w:ascii="Times New Roman" w:hAnsi="Times New Roman" w:cs="Times New Roman"/>
          <w:highlight w:val="yellow"/>
        </w:rPr>
        <w:t xml:space="preserve"> important role </w:t>
      </w:r>
      <w:r w:rsidR="0046361B" w:rsidRPr="00896C9F">
        <w:rPr>
          <w:rFonts w:ascii="Times New Roman" w:hAnsi="Times New Roman" w:cs="Times New Roman"/>
          <w:sz w:val="24"/>
          <w:szCs w:val="24"/>
          <w:highlight w:val="yellow"/>
        </w:rPr>
        <w:t>in sustaining</w:t>
      </w:r>
      <w:r w:rsidR="0046361B" w:rsidRPr="00896C9F">
        <w:rPr>
          <w:rFonts w:ascii="Times New Roman" w:hAnsi="Times New Roman" w:cs="Times New Roman"/>
          <w:highlight w:val="yellow"/>
        </w:rPr>
        <w:t xml:space="preserve"> aquatic ecosystems and </w:t>
      </w:r>
      <w:r w:rsidR="0046361B" w:rsidRPr="00896C9F">
        <w:rPr>
          <w:rFonts w:ascii="Times New Roman" w:hAnsi="Times New Roman" w:cs="Times New Roman"/>
          <w:sz w:val="24"/>
          <w:szCs w:val="24"/>
          <w:highlight w:val="yellow"/>
        </w:rPr>
        <w:t>habitat, directly</w:t>
      </w:r>
      <w:r w:rsidR="0046361B" w:rsidRPr="00896C9F">
        <w:rPr>
          <w:rFonts w:ascii="Times New Roman" w:hAnsi="Times New Roman" w:cs="Times New Roman"/>
          <w:highlight w:val="yellow"/>
        </w:rPr>
        <w:t xml:space="preserve"> under streams and along the </w:t>
      </w:r>
      <w:r w:rsidR="0046361B" w:rsidRPr="00896C9F">
        <w:rPr>
          <w:rFonts w:ascii="Times New Roman" w:hAnsi="Times New Roman" w:cs="Times New Roman"/>
          <w:sz w:val="24"/>
          <w:szCs w:val="24"/>
          <w:highlight w:val="yellow"/>
        </w:rPr>
        <w:t xml:space="preserve">valley bottoms (Chinthalu et al., </w:t>
      </w:r>
      <w:r w:rsidR="0046361B" w:rsidRPr="002C6168">
        <w:rPr>
          <w:rFonts w:ascii="Times New Roman" w:hAnsi="Times New Roman" w:cs="Times New Roman"/>
          <w:sz w:val="24"/>
          <w:szCs w:val="24"/>
          <w:highlight w:val="yellow"/>
        </w:rPr>
        <w:t>2020).</w:t>
      </w:r>
      <w:r w:rsidR="0046361B" w:rsidRPr="002E204D">
        <w:rPr>
          <w:rFonts w:ascii="Times New Roman" w:hAnsi="Times New Roman" w:cs="Times New Roman"/>
          <w:sz w:val="24"/>
          <w:szCs w:val="24"/>
          <w:highlight w:val="yellow"/>
        </w:rPr>
        <w:t xml:space="preserve"> </w:t>
      </w:r>
      <w:r w:rsidR="0046361B" w:rsidRPr="002E204D">
        <w:rPr>
          <w:rFonts w:ascii="Times New Roman" w:hAnsi="Times New Roman" w:cs="Times New Roman"/>
          <w:sz w:val="24"/>
          <w:szCs w:val="24"/>
          <w:highlight w:val="yellow"/>
        </w:rPr>
        <w:t>However,</w:t>
      </w:r>
      <w:r w:rsidR="0046361B">
        <w:rPr>
          <w:rFonts w:ascii="Times New Roman" w:hAnsi="Times New Roman" w:cs="Times New Roman"/>
          <w:sz w:val="24"/>
          <w:szCs w:val="24"/>
        </w:rPr>
        <w:t xml:space="preserve"> g</w:t>
      </w:r>
      <w:r w:rsidR="004B24E4" w:rsidRPr="009D43CE">
        <w:rPr>
          <w:rFonts w:ascii="Times New Roman" w:hAnsi="Times New Roman" w:cs="Times New Roman"/>
          <w:sz w:val="24"/>
          <w:szCs w:val="24"/>
        </w:rPr>
        <w:t xml:space="preserve">roundwater, once considered a dependable buffer during dry periods, is facing a crisis of over-extraction, contamination and </w:t>
      </w:r>
      <w:r w:rsidR="004B24E4" w:rsidRPr="009D43CE">
        <w:rPr>
          <w:rFonts w:ascii="Times New Roman" w:hAnsi="Times New Roman" w:cs="Times New Roman"/>
          <w:sz w:val="24"/>
          <w:szCs w:val="24"/>
        </w:rPr>
        <w:lastRenderedPageBreak/>
        <w:t xml:space="preserve">reduced recharge, especially in major agricultural belts like the Indo-Gangetic Plain, the North China Plain, </w:t>
      </w:r>
      <w:r w:rsidR="000F53BD" w:rsidRPr="002E204D">
        <w:rPr>
          <w:rFonts w:ascii="Times New Roman" w:hAnsi="Times New Roman" w:cs="Times New Roman"/>
          <w:sz w:val="24"/>
          <w:szCs w:val="24"/>
          <w:highlight w:val="yellow"/>
        </w:rPr>
        <w:t>and the</w:t>
      </w:r>
      <w:r w:rsidR="000F53BD">
        <w:rPr>
          <w:rFonts w:ascii="Times New Roman" w:hAnsi="Times New Roman" w:cs="Times New Roman"/>
          <w:sz w:val="24"/>
          <w:szCs w:val="24"/>
        </w:rPr>
        <w:t xml:space="preserve"> </w:t>
      </w:r>
      <w:r w:rsidR="004B24E4" w:rsidRPr="009D43CE">
        <w:rPr>
          <w:rFonts w:ascii="Times New Roman" w:hAnsi="Times New Roman" w:cs="Times New Roman"/>
          <w:sz w:val="24"/>
          <w:szCs w:val="24"/>
        </w:rPr>
        <w:t>Central Valley</w:t>
      </w:r>
      <w:r w:rsidR="00E9011C" w:rsidRPr="009D43CE">
        <w:rPr>
          <w:rFonts w:ascii="Times New Roman" w:hAnsi="Times New Roman" w:cs="Times New Roman"/>
          <w:sz w:val="24"/>
          <w:szCs w:val="24"/>
        </w:rPr>
        <w:t xml:space="preserve"> of California</w:t>
      </w:r>
      <w:r w:rsidR="004B24E4" w:rsidRPr="009D43CE">
        <w:rPr>
          <w:rFonts w:ascii="Times New Roman" w:hAnsi="Times New Roman" w:cs="Times New Roman"/>
          <w:sz w:val="24"/>
          <w:szCs w:val="24"/>
        </w:rPr>
        <w:t xml:space="preserve"> (Wada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2010; Taylor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2013). The spatio-temporal disconnect between water availability and </w:t>
      </w:r>
      <w:r w:rsidR="00117E57" w:rsidRPr="009D43CE">
        <w:rPr>
          <w:rFonts w:ascii="Times New Roman" w:hAnsi="Times New Roman" w:cs="Times New Roman"/>
          <w:sz w:val="24"/>
          <w:szCs w:val="24"/>
        </w:rPr>
        <w:t>food crop</w:t>
      </w:r>
      <w:r w:rsidR="004B24E4" w:rsidRPr="009D43CE">
        <w:rPr>
          <w:rFonts w:ascii="Times New Roman" w:hAnsi="Times New Roman" w:cs="Times New Roman"/>
          <w:sz w:val="24"/>
          <w:szCs w:val="24"/>
        </w:rPr>
        <w:t xml:space="preserve"> demand has become a defining challenge for sustainable development and food security worldwide. </w:t>
      </w:r>
      <w:r w:rsidR="006C3B3A" w:rsidRPr="009D43CE">
        <w:rPr>
          <w:rFonts w:ascii="Times New Roman" w:hAnsi="Times New Roman" w:cs="Times New Roman"/>
          <w:sz w:val="24"/>
          <w:szCs w:val="24"/>
        </w:rPr>
        <w:t xml:space="preserve">Despite their importance, surface and groundwater systems are often studied and managed separately. </w:t>
      </w:r>
      <w:r w:rsidR="004B24E4" w:rsidRPr="009D43CE">
        <w:rPr>
          <w:rFonts w:ascii="Times New Roman" w:hAnsi="Times New Roman" w:cs="Times New Roman"/>
          <w:sz w:val="24"/>
          <w:szCs w:val="24"/>
        </w:rPr>
        <w:t xml:space="preserve">This fragmented understanding hinders the development of integrated water management strategies that align with local agricultural calendars and crop water needs (Gowing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2009; Kimengsi </w:t>
      </w:r>
      <w:r w:rsidR="004B24E4" w:rsidRPr="009D43CE">
        <w:rPr>
          <w:rFonts w:ascii="Times New Roman" w:hAnsi="Times New Roman" w:cs="Times New Roman"/>
          <w:i/>
          <w:sz w:val="24"/>
          <w:szCs w:val="24"/>
        </w:rPr>
        <w:t>et al.,</w:t>
      </w:r>
      <w:r w:rsidR="004B24E4" w:rsidRPr="009D43CE">
        <w:rPr>
          <w:rFonts w:ascii="Times New Roman" w:hAnsi="Times New Roman" w:cs="Times New Roman"/>
          <w:sz w:val="24"/>
          <w:szCs w:val="24"/>
        </w:rPr>
        <w:t xml:space="preserve"> 2022).</w:t>
      </w:r>
    </w:p>
    <w:p w14:paraId="665CA0E3" w14:textId="7B2E17AA" w:rsidR="002773AA" w:rsidRDefault="00DF4DC1"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The Santa Agrarian Basin exemplifies a microcosm of </w:t>
      </w:r>
      <w:r w:rsidR="000F53BD" w:rsidRPr="002E204D">
        <w:rPr>
          <w:rFonts w:ascii="Times New Roman" w:hAnsi="Times New Roman" w:cs="Times New Roman"/>
          <w:sz w:val="24"/>
          <w:szCs w:val="24"/>
          <w:highlight w:val="yellow"/>
        </w:rPr>
        <w:t xml:space="preserve">the </w:t>
      </w:r>
      <w:r w:rsidRPr="009D43CE">
        <w:rPr>
          <w:rFonts w:ascii="Times New Roman" w:hAnsi="Times New Roman" w:cs="Times New Roman"/>
          <w:sz w:val="24"/>
          <w:szCs w:val="24"/>
        </w:rPr>
        <w:t xml:space="preserve">water-agriculture </w:t>
      </w:r>
      <w:r w:rsidR="00C46A9F" w:rsidRPr="009D43CE">
        <w:rPr>
          <w:rFonts w:ascii="Times New Roman" w:hAnsi="Times New Roman" w:cs="Times New Roman"/>
          <w:sz w:val="24"/>
          <w:szCs w:val="24"/>
        </w:rPr>
        <w:t>nexus</w:t>
      </w:r>
      <w:r w:rsidRPr="009D43CE">
        <w:rPr>
          <w:rFonts w:ascii="Times New Roman" w:hAnsi="Times New Roman" w:cs="Times New Roman"/>
          <w:sz w:val="24"/>
          <w:szCs w:val="24"/>
        </w:rPr>
        <w:t xml:space="preserve">. </w:t>
      </w:r>
      <w:r w:rsidR="00C46A9F" w:rsidRPr="009D43CE">
        <w:rPr>
          <w:rFonts w:ascii="Times New Roman" w:hAnsi="Times New Roman" w:cs="Times New Roman"/>
          <w:sz w:val="24"/>
          <w:szCs w:val="24"/>
        </w:rPr>
        <w:t>T</w:t>
      </w:r>
      <w:r w:rsidR="00ED71C9" w:rsidRPr="009D43CE">
        <w:rPr>
          <w:rFonts w:ascii="Times New Roman" w:hAnsi="Times New Roman" w:cs="Times New Roman"/>
          <w:sz w:val="24"/>
          <w:szCs w:val="24"/>
        </w:rPr>
        <w:t>he</w:t>
      </w:r>
      <w:r w:rsidR="002773AA" w:rsidRPr="009D43CE">
        <w:rPr>
          <w:rFonts w:ascii="Times New Roman" w:hAnsi="Times New Roman" w:cs="Times New Roman"/>
          <w:sz w:val="24"/>
          <w:szCs w:val="24"/>
        </w:rPr>
        <w:t xml:space="preserve"> interplay between fractured basaltic aquifers and ephemeral streams creates a complex hydrological system. Groundwater recharge in this area is largely dependent on seasonal rainfall, and surface water availability fluctuates with topography and land use patterns. Both spatial and temporal variability strongly influence local crop choices, planting calendars and irrigation practices. </w:t>
      </w:r>
      <w:r w:rsidR="00554F1E" w:rsidRPr="009D43CE">
        <w:rPr>
          <w:rFonts w:ascii="Times New Roman" w:hAnsi="Times New Roman" w:cs="Times New Roman"/>
          <w:sz w:val="24"/>
          <w:szCs w:val="24"/>
        </w:rPr>
        <w:t xml:space="preserve">The main objective of this paper is to identify and </w:t>
      </w:r>
      <w:r w:rsidR="000F53BD" w:rsidRPr="002E204D">
        <w:rPr>
          <w:rFonts w:ascii="Times New Roman" w:hAnsi="Times New Roman" w:cs="Times New Roman"/>
          <w:sz w:val="24"/>
          <w:szCs w:val="24"/>
          <w:highlight w:val="yellow"/>
        </w:rPr>
        <w:t xml:space="preserve">analyse </w:t>
      </w:r>
      <w:r w:rsidR="00554F1E" w:rsidRPr="009D43CE">
        <w:rPr>
          <w:rFonts w:ascii="Times New Roman" w:hAnsi="Times New Roman" w:cs="Times New Roman"/>
          <w:sz w:val="24"/>
          <w:szCs w:val="24"/>
        </w:rPr>
        <w:t xml:space="preserve">the spatio-temporal variations in water </w:t>
      </w:r>
      <w:r w:rsidR="003C503B" w:rsidRPr="009D43CE">
        <w:rPr>
          <w:rFonts w:ascii="Times New Roman" w:hAnsi="Times New Roman" w:cs="Times New Roman"/>
          <w:sz w:val="24"/>
          <w:szCs w:val="24"/>
        </w:rPr>
        <w:t>potentials</w:t>
      </w:r>
      <w:r w:rsidR="00554F1E" w:rsidRPr="009D43CE">
        <w:rPr>
          <w:rFonts w:ascii="Times New Roman" w:hAnsi="Times New Roman" w:cs="Times New Roman"/>
          <w:sz w:val="24"/>
          <w:szCs w:val="24"/>
        </w:rPr>
        <w:t xml:space="preserve"> for food crop production in the Santa Agrarian Basin. This investigation is guided by the assumption that the quantity of water available for agriculture fluctuates significantly across seasons, largely in response to changing rainfall and temperature patterns.</w:t>
      </w:r>
      <w:r w:rsidR="00D43CAB" w:rsidRPr="009D43CE">
        <w:rPr>
          <w:rFonts w:ascii="Times New Roman" w:hAnsi="Times New Roman" w:cs="Times New Roman"/>
          <w:sz w:val="24"/>
          <w:szCs w:val="24"/>
        </w:rPr>
        <w:t xml:space="preserve"> </w:t>
      </w:r>
      <w:r w:rsidR="00554F1E" w:rsidRPr="009D43CE">
        <w:rPr>
          <w:rFonts w:ascii="Times New Roman" w:hAnsi="Times New Roman" w:cs="Times New Roman"/>
          <w:sz w:val="24"/>
          <w:szCs w:val="24"/>
        </w:rPr>
        <w:t>This</w:t>
      </w:r>
      <w:r w:rsidR="00117E57" w:rsidRPr="009D43CE">
        <w:rPr>
          <w:rFonts w:ascii="Times New Roman" w:hAnsi="Times New Roman" w:cs="Times New Roman"/>
          <w:sz w:val="24"/>
          <w:szCs w:val="24"/>
        </w:rPr>
        <w:t xml:space="preserve"> paper takes an integrated analysis</w:t>
      </w:r>
      <w:r w:rsidR="00554F1E" w:rsidRPr="009D43CE">
        <w:rPr>
          <w:rFonts w:ascii="Times New Roman" w:hAnsi="Times New Roman" w:cs="Times New Roman"/>
          <w:sz w:val="24"/>
          <w:szCs w:val="24"/>
        </w:rPr>
        <w:t xml:space="preserve"> where fractured aquifers and ephemeral streams create unique water-crop feedback loops.</w:t>
      </w:r>
    </w:p>
    <w:p w14:paraId="0A950A12" w14:textId="77777777" w:rsidR="00DB1AEA" w:rsidRPr="00DB1AEA" w:rsidRDefault="00555997" w:rsidP="00DB1AEA">
      <w:pPr>
        <w:spacing w:before="100" w:beforeAutospacing="1" w:after="100" w:afterAutospacing="1"/>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F26E82">
        <w:rPr>
          <w:rFonts w:ascii="Times New Roman" w:eastAsia="Times New Roman" w:hAnsi="Times New Roman" w:cs="Times New Roman"/>
          <w:b/>
          <w:bCs/>
          <w:sz w:val="24"/>
          <w:szCs w:val="24"/>
        </w:rPr>
        <w:t xml:space="preserve">. </w:t>
      </w:r>
      <w:r w:rsidR="004F29F1" w:rsidRPr="00DB1AEA">
        <w:rPr>
          <w:rFonts w:ascii="Times New Roman" w:eastAsia="Times New Roman" w:hAnsi="Times New Roman" w:cs="Times New Roman"/>
          <w:b/>
          <w:bCs/>
          <w:sz w:val="24"/>
          <w:szCs w:val="24"/>
        </w:rPr>
        <w:t>Theoretical Construct</w:t>
      </w:r>
    </w:p>
    <w:p w14:paraId="12B013B5" w14:textId="77777777" w:rsidR="00DB1AEA" w:rsidRPr="00DB1AEA" w:rsidRDefault="00DB1AEA" w:rsidP="00DB1AEA">
      <w:pPr>
        <w:spacing w:before="100" w:beforeAutospacing="1" w:after="100" w:afterAutospacing="1"/>
        <w:jc w:val="both"/>
        <w:rPr>
          <w:rFonts w:ascii="Times New Roman" w:eastAsia="Times New Roman" w:hAnsi="Times New Roman" w:cs="Times New Roman"/>
          <w:sz w:val="24"/>
          <w:szCs w:val="24"/>
          <w:lang w:val="en-GB"/>
        </w:rPr>
      </w:pPr>
      <w:r w:rsidRPr="00DB1AEA">
        <w:rPr>
          <w:rFonts w:ascii="Times New Roman" w:eastAsia="Times New Roman" w:hAnsi="Times New Roman" w:cs="Times New Roman"/>
          <w:sz w:val="24"/>
          <w:szCs w:val="24"/>
          <w:lang w:val="en-GB"/>
        </w:rPr>
        <w:t xml:space="preserve">This study is underpinned by the </w:t>
      </w:r>
      <w:r w:rsidRPr="00DB1AEA">
        <w:rPr>
          <w:rFonts w:ascii="Times New Roman" w:eastAsia="Times New Roman" w:hAnsi="Times New Roman" w:cs="Times New Roman"/>
          <w:bCs/>
          <w:sz w:val="24"/>
          <w:szCs w:val="24"/>
          <w:lang w:val="en-GB"/>
        </w:rPr>
        <w:t>Integrated Water Resources Management (IWRM) framework</w:t>
      </w:r>
      <w:r w:rsidRPr="00DB1AEA">
        <w:rPr>
          <w:rFonts w:ascii="Times New Roman" w:eastAsia="Times New Roman" w:hAnsi="Times New Roman" w:cs="Times New Roman"/>
          <w:sz w:val="24"/>
          <w:szCs w:val="24"/>
          <w:lang w:val="en-GB"/>
        </w:rPr>
        <w:t>, which emphasises the coordinated development and management of water, land, and related resources to maximise economic and social welfare without compromising the sustainability of vital ecosystems (GWP, 2000). IWRM advocates for a holistic approach to managing water resources by considering both surface and groundwater systems as interconnected components of a single hydrological cycle. This theoretical lens is particularly relevant for understanding the Santa Agrarian Basin, where groundwater and surface water interact in complex and seasonal ways.</w:t>
      </w:r>
    </w:p>
    <w:p w14:paraId="07F0BEF4" w14:textId="77777777" w:rsidR="00DB1AEA" w:rsidRPr="00DB1AEA" w:rsidRDefault="00DB1AEA" w:rsidP="00DB1AEA">
      <w:pPr>
        <w:spacing w:before="100" w:beforeAutospacing="1" w:after="100" w:afterAutospacing="1"/>
        <w:jc w:val="both"/>
        <w:rPr>
          <w:rFonts w:ascii="Times New Roman" w:eastAsia="Times New Roman" w:hAnsi="Times New Roman" w:cs="Times New Roman"/>
          <w:sz w:val="24"/>
          <w:szCs w:val="24"/>
          <w:lang w:val="en-GB"/>
        </w:rPr>
      </w:pPr>
      <w:r w:rsidRPr="00DB1AEA">
        <w:rPr>
          <w:rFonts w:ascii="Times New Roman" w:eastAsia="Times New Roman" w:hAnsi="Times New Roman" w:cs="Times New Roman"/>
          <w:sz w:val="24"/>
          <w:szCs w:val="24"/>
          <w:lang w:val="en-GB"/>
        </w:rPr>
        <w:t>By applying the IWRM framework, the study captures the multifaceted nature of water demand for food production. It highlights the need for data-driven, context-specific strategies that integrate climatic conditions, hydrological trends, crop water requirements, and community water governance systems. The framework supports the central hypothesis of this research: that sustainable food crop production in the Santa Basin hinges on the effective management of both surface and groundwater systems within their spatial and temporal contexts.</w:t>
      </w:r>
    </w:p>
    <w:p w14:paraId="39DA52F5" w14:textId="134D0A23" w:rsidR="000042DB" w:rsidRPr="009D43CE" w:rsidRDefault="00F26E82" w:rsidP="009D43CE">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0F53BD" w:rsidRPr="002E204D">
        <w:rPr>
          <w:rFonts w:ascii="Times New Roman" w:hAnsi="Times New Roman" w:cs="Times New Roman"/>
          <w:b/>
          <w:sz w:val="24"/>
          <w:szCs w:val="24"/>
          <w:highlight w:val="yellow"/>
        </w:rPr>
        <w:t>Materials</w:t>
      </w:r>
      <w:r w:rsidR="00DD7423">
        <w:rPr>
          <w:rFonts w:ascii="Times New Roman" w:hAnsi="Times New Roman" w:cs="Times New Roman"/>
          <w:b/>
          <w:sz w:val="24"/>
          <w:szCs w:val="24"/>
        </w:rPr>
        <w:t xml:space="preserve"> and methodology </w:t>
      </w:r>
    </w:p>
    <w:p w14:paraId="07AD6350" w14:textId="7950F34C" w:rsidR="000042DB" w:rsidRDefault="003C503B"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Santa is one of the seven </w:t>
      </w:r>
      <w:r w:rsidR="000F53BD" w:rsidRPr="002E204D">
        <w:rPr>
          <w:rFonts w:ascii="Times New Roman" w:hAnsi="Times New Roman" w:cs="Times New Roman"/>
          <w:sz w:val="24"/>
          <w:szCs w:val="24"/>
          <w:highlight w:val="yellow"/>
        </w:rPr>
        <w:t>sub-divisions</w:t>
      </w:r>
      <w:r w:rsidR="002864A6" w:rsidRPr="009D43CE">
        <w:rPr>
          <w:rFonts w:ascii="Times New Roman" w:hAnsi="Times New Roman" w:cs="Times New Roman"/>
          <w:sz w:val="24"/>
          <w:szCs w:val="24"/>
        </w:rPr>
        <w:t xml:space="preserve"> in Mezam Division, North </w:t>
      </w:r>
      <w:r w:rsidR="000042DB" w:rsidRPr="009D43CE">
        <w:rPr>
          <w:rFonts w:ascii="Times New Roman" w:hAnsi="Times New Roman" w:cs="Times New Roman"/>
          <w:sz w:val="24"/>
          <w:szCs w:val="24"/>
        </w:rPr>
        <w:t xml:space="preserve">West Region, </w:t>
      </w:r>
      <w:r w:rsidR="00AE53E8" w:rsidRPr="009D43CE">
        <w:rPr>
          <w:rFonts w:ascii="Times New Roman" w:hAnsi="Times New Roman" w:cs="Times New Roman"/>
          <w:sz w:val="24"/>
          <w:szCs w:val="24"/>
        </w:rPr>
        <w:t xml:space="preserve">Cameroon. </w:t>
      </w:r>
      <w:r w:rsidR="004C76BC" w:rsidRPr="009D43CE">
        <w:rPr>
          <w:rFonts w:ascii="Times New Roman" w:hAnsi="Times New Roman" w:cs="Times New Roman"/>
          <w:sz w:val="24"/>
          <w:szCs w:val="24"/>
        </w:rPr>
        <w:t xml:space="preserve">It </w:t>
      </w:r>
      <w:r w:rsidR="002E6E63" w:rsidRPr="009D43CE">
        <w:rPr>
          <w:rFonts w:ascii="Times New Roman" w:hAnsi="Times New Roman" w:cs="Times New Roman"/>
          <w:sz w:val="24"/>
          <w:szCs w:val="24"/>
        </w:rPr>
        <w:t>is located between latitudes 5° 42´and 5° 53´ North of the Equator and longitudes 9° 58´ and 10° 18´ East of the Greenwich Meridia</w:t>
      </w:r>
      <w:r w:rsidR="004C76BC" w:rsidRPr="009D43CE">
        <w:rPr>
          <w:rFonts w:ascii="Times New Roman" w:hAnsi="Times New Roman" w:cs="Times New Roman"/>
          <w:sz w:val="24"/>
          <w:szCs w:val="24"/>
        </w:rPr>
        <w:t xml:space="preserve">n (Fig.1). </w:t>
      </w:r>
      <w:r w:rsidR="002E6E63" w:rsidRPr="009D43CE">
        <w:rPr>
          <w:rFonts w:ascii="Times New Roman" w:hAnsi="Times New Roman" w:cs="Times New Roman"/>
          <w:sz w:val="24"/>
          <w:szCs w:val="24"/>
        </w:rPr>
        <w:t>About 90% of the population is dependent on agriculture, practicing either livestock or crop cultivation</w:t>
      </w:r>
      <w:r w:rsidR="004C76BC" w:rsidRPr="009D43CE">
        <w:rPr>
          <w:rFonts w:ascii="Times New Roman" w:hAnsi="Times New Roman" w:cs="Times New Roman"/>
          <w:sz w:val="24"/>
          <w:szCs w:val="24"/>
        </w:rPr>
        <w:t xml:space="preserve"> (Santa Rural Council Monographic </w:t>
      </w:r>
      <w:r w:rsidR="004C76BC" w:rsidRPr="009D43CE">
        <w:rPr>
          <w:rFonts w:ascii="Times New Roman" w:hAnsi="Times New Roman" w:cs="Times New Roman"/>
          <w:sz w:val="24"/>
          <w:szCs w:val="24"/>
        </w:rPr>
        <w:lastRenderedPageBreak/>
        <w:t>Study, 2003).</w:t>
      </w:r>
      <w:r w:rsidR="002E6E63" w:rsidRPr="009D43CE">
        <w:rPr>
          <w:rFonts w:ascii="Times New Roman" w:hAnsi="Times New Roman" w:cs="Times New Roman"/>
          <w:sz w:val="24"/>
          <w:szCs w:val="24"/>
        </w:rPr>
        <w:t xml:space="preserve"> It covers some nine villages, namely, Mbei, Njong, Akum, Mbu (Baforchu), Alatening, Baba II, Awing, Baligham,</w:t>
      </w:r>
      <w:r w:rsidR="000F53BD">
        <w:rPr>
          <w:rFonts w:ascii="Times New Roman" w:hAnsi="Times New Roman" w:cs="Times New Roman"/>
          <w:sz w:val="24"/>
          <w:szCs w:val="24"/>
        </w:rPr>
        <w:t xml:space="preserve"> </w:t>
      </w:r>
      <w:r w:rsidR="002E6E63" w:rsidRPr="009D43CE">
        <w:rPr>
          <w:rFonts w:ascii="Times New Roman" w:hAnsi="Times New Roman" w:cs="Times New Roman"/>
          <w:sz w:val="24"/>
          <w:szCs w:val="24"/>
        </w:rPr>
        <w:t xml:space="preserve">and Pinyin. Located in the Western Highlands </w:t>
      </w:r>
      <w:r w:rsidR="00DB1AEA">
        <w:rPr>
          <w:rFonts w:ascii="Times New Roman" w:hAnsi="Times New Roman" w:cs="Times New Roman"/>
          <w:sz w:val="24"/>
          <w:szCs w:val="24"/>
        </w:rPr>
        <w:t xml:space="preserve">of Cameroon. It covers a surface area of about 532.67km. </w:t>
      </w:r>
    </w:p>
    <w:p w14:paraId="21C7B387" w14:textId="77777777" w:rsidR="00DB1AEA" w:rsidRDefault="00DB1AEA" w:rsidP="009D43CE">
      <w:pPr>
        <w:jc w:val="both"/>
        <w:rPr>
          <w:rFonts w:ascii="Times New Roman" w:hAnsi="Times New Roman" w:cs="Times New Roman"/>
          <w:sz w:val="24"/>
          <w:szCs w:val="24"/>
        </w:rPr>
      </w:pPr>
    </w:p>
    <w:p w14:paraId="053F161E" w14:textId="77777777" w:rsidR="00DB1AEA" w:rsidRPr="009D43CE" w:rsidRDefault="00DB1AEA" w:rsidP="009D43CE">
      <w:pPr>
        <w:jc w:val="both"/>
        <w:rPr>
          <w:rFonts w:ascii="Times New Roman" w:eastAsia="Times New Roman" w:hAnsi="Times New Roman" w:cs="Times New Roman"/>
          <w:color w:val="333333"/>
          <w:sz w:val="24"/>
          <w:szCs w:val="24"/>
        </w:rPr>
        <w:sectPr w:rsidR="00DB1AEA" w:rsidRPr="009D43CE" w:rsidSect="0063089D">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cols w:space="720"/>
          <w:docGrid w:linePitch="360"/>
        </w:sectPr>
      </w:pPr>
    </w:p>
    <w:p w14:paraId="604028BB" w14:textId="77777777" w:rsidR="00AA098D" w:rsidRPr="009D43CE" w:rsidRDefault="00A47435" w:rsidP="009D43CE">
      <w:pPr>
        <w:spacing w:after="0"/>
        <w:jc w:val="center"/>
        <w:rPr>
          <w:rFonts w:ascii="Times New Roman" w:eastAsia="Times New Roman" w:hAnsi="Times New Roman" w:cs="Times New Roman"/>
          <w:color w:val="333333"/>
          <w:sz w:val="24"/>
          <w:szCs w:val="24"/>
        </w:rPr>
      </w:pPr>
      <w:r w:rsidRPr="009D43CE">
        <w:rPr>
          <w:rFonts w:ascii="Times New Roman" w:hAnsi="Times New Roman" w:cs="Times New Roman"/>
          <w:noProof/>
          <w:sz w:val="24"/>
          <w:szCs w:val="24"/>
        </w:rPr>
        <w:lastRenderedPageBreak/>
        <w:drawing>
          <wp:inline distT="0" distB="0" distL="0" distR="0" wp14:anchorId="1F076E49" wp14:editId="7B1EA741">
            <wp:extent cx="7274560" cy="51587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95" t="7836" r="23078" b="9746"/>
                    <a:stretch/>
                  </pic:blipFill>
                  <pic:spPr bwMode="auto">
                    <a:xfrm>
                      <a:off x="0" y="0"/>
                      <a:ext cx="7323377" cy="5193358"/>
                    </a:xfrm>
                    <a:prstGeom prst="rect">
                      <a:avLst/>
                    </a:prstGeom>
                    <a:ln>
                      <a:noFill/>
                    </a:ln>
                    <a:extLst>
                      <a:ext uri="{53640926-AAD7-44D8-BBD7-CCE9431645EC}">
                        <a14:shadowObscured xmlns:a14="http://schemas.microsoft.com/office/drawing/2010/main"/>
                      </a:ext>
                    </a:extLst>
                  </pic:spPr>
                </pic:pic>
              </a:graphicData>
            </a:graphic>
          </wp:inline>
        </w:drawing>
      </w:r>
    </w:p>
    <w:p w14:paraId="186771BE" w14:textId="77777777" w:rsidR="00AA098D" w:rsidRPr="00AC57DA" w:rsidRDefault="00A47435" w:rsidP="009D43CE">
      <w:pPr>
        <w:spacing w:after="0"/>
        <w:jc w:val="center"/>
        <w:rPr>
          <w:rFonts w:ascii="Times New Roman" w:hAnsi="Times New Roman" w:cs="Times New Roman"/>
          <w:b/>
          <w:sz w:val="24"/>
          <w:szCs w:val="24"/>
        </w:rPr>
      </w:pPr>
      <w:r w:rsidRPr="00AC57DA">
        <w:rPr>
          <w:rFonts w:ascii="Times New Roman" w:hAnsi="Times New Roman" w:cs="Times New Roman"/>
          <w:b/>
          <w:sz w:val="24"/>
          <w:szCs w:val="24"/>
        </w:rPr>
        <w:t>Figure</w:t>
      </w:r>
      <w:r w:rsidR="00AA098D" w:rsidRPr="00AC57DA">
        <w:rPr>
          <w:rFonts w:ascii="Times New Roman" w:hAnsi="Times New Roman" w:cs="Times New Roman"/>
          <w:b/>
          <w:sz w:val="24"/>
          <w:szCs w:val="24"/>
        </w:rPr>
        <w:t xml:space="preserve"> 1:  </w:t>
      </w:r>
      <w:r w:rsidRPr="00AC57DA">
        <w:rPr>
          <w:rFonts w:ascii="Times New Roman" w:hAnsi="Times New Roman" w:cs="Times New Roman"/>
          <w:b/>
          <w:sz w:val="24"/>
          <w:szCs w:val="24"/>
        </w:rPr>
        <w:t>Location</w:t>
      </w:r>
      <w:r w:rsidR="00AA098D" w:rsidRPr="00AC57DA">
        <w:rPr>
          <w:rFonts w:ascii="Times New Roman" w:hAnsi="Times New Roman" w:cs="Times New Roman"/>
          <w:b/>
          <w:sz w:val="24"/>
          <w:szCs w:val="24"/>
        </w:rPr>
        <w:t xml:space="preserve"> of study area</w:t>
      </w:r>
    </w:p>
    <w:p w14:paraId="53833766" w14:textId="77777777" w:rsidR="00AA098D" w:rsidRPr="009D43CE" w:rsidRDefault="00AA098D" w:rsidP="009D43CE">
      <w:pPr>
        <w:spacing w:after="0"/>
        <w:jc w:val="center"/>
        <w:rPr>
          <w:rFonts w:ascii="Times New Roman" w:hAnsi="Times New Roman" w:cs="Times New Roman"/>
          <w:sz w:val="24"/>
          <w:szCs w:val="24"/>
        </w:rPr>
      </w:pPr>
      <w:r w:rsidRPr="009D43CE">
        <w:rPr>
          <w:rFonts w:ascii="Times New Roman" w:hAnsi="Times New Roman" w:cs="Times New Roman"/>
          <w:sz w:val="24"/>
          <w:szCs w:val="24"/>
        </w:rPr>
        <w:t xml:space="preserve">Source: </w:t>
      </w:r>
      <w:r w:rsidR="00A47435" w:rsidRPr="009D43CE">
        <w:rPr>
          <w:rFonts w:ascii="Times New Roman" w:hAnsi="Times New Roman" w:cs="Times New Roman"/>
          <w:sz w:val="24"/>
          <w:szCs w:val="24"/>
        </w:rPr>
        <w:t>NIS, 2017 and Field work, 2023</w:t>
      </w:r>
    </w:p>
    <w:p w14:paraId="6BF138CA" w14:textId="77777777" w:rsidR="00AA098D" w:rsidRPr="009D43CE" w:rsidRDefault="00AA098D" w:rsidP="009D43CE">
      <w:pPr>
        <w:rPr>
          <w:rFonts w:ascii="Times New Roman" w:hAnsi="Times New Roman" w:cs="Times New Roman"/>
          <w:sz w:val="24"/>
          <w:szCs w:val="24"/>
        </w:rPr>
        <w:sectPr w:rsidR="00AA098D" w:rsidRPr="009D43CE" w:rsidSect="000042DB">
          <w:pgSz w:w="15840" w:h="12240" w:orient="landscape"/>
          <w:pgMar w:top="1440" w:right="1440" w:bottom="1440" w:left="1440" w:header="720" w:footer="720" w:gutter="0"/>
          <w:cols w:space="720"/>
          <w:docGrid w:linePitch="360"/>
        </w:sectPr>
      </w:pPr>
    </w:p>
    <w:p w14:paraId="201C9D70" w14:textId="5EF5812C" w:rsidR="0063089D" w:rsidRPr="009D43CE" w:rsidRDefault="0063089D" w:rsidP="009D43CE">
      <w:pPr>
        <w:jc w:val="both"/>
        <w:rPr>
          <w:rFonts w:ascii="Times New Roman" w:hAnsi="Times New Roman" w:cs="Times New Roman"/>
          <w:sz w:val="24"/>
          <w:szCs w:val="24"/>
        </w:rPr>
      </w:pPr>
      <w:r w:rsidRPr="009D43CE">
        <w:rPr>
          <w:rFonts w:ascii="Times New Roman" w:hAnsi="Times New Roman" w:cs="Times New Roman"/>
          <w:sz w:val="24"/>
          <w:szCs w:val="24"/>
        </w:rPr>
        <w:lastRenderedPageBreak/>
        <w:t xml:space="preserve"> It is bordered to the North by Bamenda I Sub Division, to the West by Bali and Batibo Sub Divisions, to the South by Wabane, Babadjou and Mbouda and to the East by Galim. It lies some 20km from Bamenda and is </w:t>
      </w:r>
      <w:r w:rsidR="000F53BD" w:rsidRPr="002E204D">
        <w:rPr>
          <w:rFonts w:ascii="Times New Roman" w:hAnsi="Times New Roman" w:cs="Times New Roman"/>
          <w:sz w:val="24"/>
          <w:szCs w:val="24"/>
          <w:highlight w:val="yellow"/>
        </w:rPr>
        <w:t xml:space="preserve">encircled </w:t>
      </w:r>
      <w:r w:rsidRPr="009D43CE">
        <w:rPr>
          <w:rFonts w:ascii="Times New Roman" w:hAnsi="Times New Roman" w:cs="Times New Roman"/>
          <w:sz w:val="24"/>
          <w:szCs w:val="24"/>
        </w:rPr>
        <w:t>by the national road number 10, which links Bamenda to Bafoussam and the rest of the country.</w:t>
      </w:r>
    </w:p>
    <w:p w14:paraId="04D09580" w14:textId="64660AC7" w:rsidR="00CF2704" w:rsidRPr="009D43CE" w:rsidRDefault="00CF2704"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This paper adopted </w:t>
      </w:r>
      <w:r w:rsidR="00F32105" w:rsidRPr="009D43CE">
        <w:rPr>
          <w:rFonts w:ascii="Times New Roman" w:hAnsi="Times New Roman" w:cs="Times New Roman"/>
          <w:sz w:val="24"/>
          <w:szCs w:val="24"/>
        </w:rPr>
        <w:t xml:space="preserve">a mixed-methods approach. </w:t>
      </w:r>
      <w:r w:rsidRPr="009D43CE">
        <w:rPr>
          <w:rFonts w:ascii="Times New Roman" w:hAnsi="Times New Roman" w:cs="Times New Roman"/>
          <w:sz w:val="24"/>
          <w:szCs w:val="24"/>
        </w:rPr>
        <w:t>Data were collected from both primary and secondary sources. Secondary data included satellite remote sensing image</w:t>
      </w:r>
      <w:r w:rsidR="004C76BC" w:rsidRPr="009D43CE">
        <w:rPr>
          <w:rFonts w:ascii="Times New Roman" w:hAnsi="Times New Roman" w:cs="Times New Roman"/>
          <w:sz w:val="24"/>
          <w:szCs w:val="24"/>
        </w:rPr>
        <w:t>ry such as ASTER and HydroSHEDS</w:t>
      </w:r>
      <w:r w:rsidRPr="009D43CE">
        <w:rPr>
          <w:rFonts w:ascii="Times New Roman" w:hAnsi="Times New Roman" w:cs="Times New Roman"/>
          <w:sz w:val="24"/>
          <w:szCs w:val="24"/>
        </w:rPr>
        <w:t xml:space="preserve"> to assess surface </w:t>
      </w:r>
      <w:r w:rsidR="00835A42" w:rsidRPr="009D43CE">
        <w:rPr>
          <w:rFonts w:ascii="Times New Roman" w:hAnsi="Times New Roman" w:cs="Times New Roman"/>
          <w:sz w:val="24"/>
          <w:szCs w:val="24"/>
        </w:rPr>
        <w:t xml:space="preserve">and groundwater </w:t>
      </w:r>
      <w:r w:rsidRPr="009D43CE">
        <w:rPr>
          <w:rFonts w:ascii="Times New Roman" w:hAnsi="Times New Roman" w:cs="Times New Roman"/>
          <w:sz w:val="24"/>
          <w:szCs w:val="24"/>
        </w:rPr>
        <w:t>changes between 1980 and 2024. Climatic data, including r</w:t>
      </w:r>
      <w:r w:rsidR="006A46FB" w:rsidRPr="009D43CE">
        <w:rPr>
          <w:rFonts w:ascii="Times New Roman" w:hAnsi="Times New Roman" w:cs="Times New Roman"/>
          <w:sz w:val="24"/>
          <w:szCs w:val="24"/>
        </w:rPr>
        <w:t>ainfall and temperature records</w:t>
      </w:r>
      <w:r w:rsidR="000F53BD">
        <w:rPr>
          <w:rFonts w:ascii="Times New Roman" w:hAnsi="Times New Roman" w:cs="Times New Roman"/>
          <w:sz w:val="24"/>
          <w:szCs w:val="24"/>
        </w:rPr>
        <w:t>,</w:t>
      </w:r>
      <w:r w:rsidRPr="009D43CE">
        <w:rPr>
          <w:rFonts w:ascii="Times New Roman" w:hAnsi="Times New Roman" w:cs="Times New Roman"/>
          <w:sz w:val="24"/>
          <w:szCs w:val="24"/>
        </w:rPr>
        <w:t xml:space="preserve"> were obtained from the Bamenda Meteorological Station. </w:t>
      </w:r>
      <w:r w:rsidR="00835A42" w:rsidRPr="009D43CE">
        <w:rPr>
          <w:rFonts w:ascii="Times New Roman" w:hAnsi="Times New Roman" w:cs="Times New Roman"/>
          <w:sz w:val="24"/>
          <w:szCs w:val="24"/>
        </w:rPr>
        <w:t>D</w:t>
      </w:r>
      <w:r w:rsidR="004C76BC" w:rsidRPr="009D43CE">
        <w:rPr>
          <w:rFonts w:ascii="Times New Roman" w:hAnsi="Times New Roman" w:cs="Times New Roman"/>
          <w:sz w:val="24"/>
          <w:szCs w:val="24"/>
        </w:rPr>
        <w:t>ata on crop yields, land use</w:t>
      </w:r>
      <w:r w:rsidRPr="009D43CE">
        <w:rPr>
          <w:rFonts w:ascii="Times New Roman" w:hAnsi="Times New Roman" w:cs="Times New Roman"/>
          <w:sz w:val="24"/>
          <w:szCs w:val="24"/>
        </w:rPr>
        <w:t xml:space="preserve"> and i</w:t>
      </w:r>
      <w:r w:rsidR="006A46FB" w:rsidRPr="009D43CE">
        <w:rPr>
          <w:rFonts w:ascii="Times New Roman" w:hAnsi="Times New Roman" w:cs="Times New Roman"/>
          <w:sz w:val="24"/>
          <w:szCs w:val="24"/>
        </w:rPr>
        <w:t>rrigation practices were obtained</w:t>
      </w:r>
      <w:r w:rsidRPr="009D43CE">
        <w:rPr>
          <w:rFonts w:ascii="Times New Roman" w:hAnsi="Times New Roman" w:cs="Times New Roman"/>
          <w:sz w:val="24"/>
          <w:szCs w:val="24"/>
        </w:rPr>
        <w:t xml:space="preserve"> from the </w:t>
      </w:r>
      <w:r w:rsidR="000F53BD" w:rsidRPr="002E204D">
        <w:rPr>
          <w:rFonts w:ascii="Times New Roman" w:hAnsi="Times New Roman" w:cs="Times New Roman"/>
          <w:sz w:val="24"/>
          <w:szCs w:val="24"/>
          <w:highlight w:val="yellow"/>
        </w:rPr>
        <w:t>Sub-divisional</w:t>
      </w:r>
      <w:r w:rsidR="00835A42" w:rsidRPr="002E204D">
        <w:rPr>
          <w:rFonts w:ascii="Times New Roman" w:hAnsi="Times New Roman" w:cs="Times New Roman"/>
          <w:sz w:val="24"/>
          <w:szCs w:val="24"/>
          <w:highlight w:val="yellow"/>
        </w:rPr>
        <w:t xml:space="preserve"> </w:t>
      </w:r>
      <w:r w:rsidR="00835A42" w:rsidRPr="009D43CE">
        <w:rPr>
          <w:rFonts w:ascii="Times New Roman" w:hAnsi="Times New Roman" w:cs="Times New Roman"/>
          <w:sz w:val="24"/>
          <w:szCs w:val="24"/>
        </w:rPr>
        <w:t xml:space="preserve">Delegation of </w:t>
      </w:r>
      <w:r w:rsidRPr="009D43CE">
        <w:rPr>
          <w:rFonts w:ascii="Times New Roman" w:hAnsi="Times New Roman" w:cs="Times New Roman"/>
          <w:sz w:val="24"/>
          <w:szCs w:val="24"/>
        </w:rPr>
        <w:t>Agriculture and Ru</w:t>
      </w:r>
      <w:r w:rsidR="00835A42" w:rsidRPr="009D43CE">
        <w:rPr>
          <w:rFonts w:ascii="Times New Roman" w:hAnsi="Times New Roman" w:cs="Times New Roman"/>
          <w:sz w:val="24"/>
          <w:szCs w:val="24"/>
        </w:rPr>
        <w:t xml:space="preserve">ral Development, and </w:t>
      </w:r>
      <w:r w:rsidR="00F32105" w:rsidRPr="009D43CE">
        <w:rPr>
          <w:rFonts w:ascii="Times New Roman" w:hAnsi="Times New Roman" w:cs="Times New Roman"/>
          <w:sz w:val="24"/>
          <w:szCs w:val="24"/>
        </w:rPr>
        <w:t xml:space="preserve">the </w:t>
      </w:r>
      <w:r w:rsidR="00835A42" w:rsidRPr="009D43CE">
        <w:rPr>
          <w:rFonts w:ascii="Times New Roman" w:hAnsi="Times New Roman" w:cs="Times New Roman"/>
          <w:sz w:val="24"/>
          <w:szCs w:val="24"/>
        </w:rPr>
        <w:t xml:space="preserve">Santa Council. </w:t>
      </w:r>
      <w:r w:rsidRPr="009D43CE">
        <w:rPr>
          <w:rFonts w:ascii="Times New Roman" w:hAnsi="Times New Roman" w:cs="Times New Roman"/>
          <w:sz w:val="24"/>
          <w:szCs w:val="24"/>
        </w:rPr>
        <w:t xml:space="preserve">These secondary sources provided baseline hydrological and </w:t>
      </w:r>
      <w:r w:rsidR="004C76BC" w:rsidRPr="009D43CE">
        <w:rPr>
          <w:rFonts w:ascii="Times New Roman" w:hAnsi="Times New Roman" w:cs="Times New Roman"/>
          <w:sz w:val="24"/>
          <w:szCs w:val="24"/>
        </w:rPr>
        <w:t>food crop production</w:t>
      </w:r>
      <w:r w:rsidRPr="009D43CE">
        <w:rPr>
          <w:rFonts w:ascii="Times New Roman" w:hAnsi="Times New Roman" w:cs="Times New Roman"/>
          <w:sz w:val="24"/>
          <w:szCs w:val="24"/>
        </w:rPr>
        <w:t xml:space="preserve"> information critical for long-term trend analysis.</w:t>
      </w:r>
      <w:r w:rsidR="00835A42" w:rsidRPr="009D43CE">
        <w:rPr>
          <w:rFonts w:ascii="Times New Roman" w:hAnsi="Times New Roman" w:cs="Times New Roman"/>
          <w:sz w:val="24"/>
          <w:szCs w:val="24"/>
        </w:rPr>
        <w:t xml:space="preserve"> </w:t>
      </w:r>
    </w:p>
    <w:p w14:paraId="510411BC" w14:textId="19893AF8" w:rsidR="001A3514" w:rsidRDefault="00835A42"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Primary data collection involved the administration of 397 structured questionnaires to residents of 10 rural and urban communities within the basin. The communities were </w:t>
      </w:r>
      <w:r w:rsidR="004C76BC" w:rsidRPr="009D43CE">
        <w:rPr>
          <w:rFonts w:ascii="Times New Roman" w:hAnsi="Times New Roman" w:cs="Times New Roman"/>
          <w:sz w:val="24"/>
          <w:szCs w:val="24"/>
        </w:rPr>
        <w:t>selected</w:t>
      </w:r>
      <w:r w:rsidRPr="009D43CE">
        <w:rPr>
          <w:rFonts w:ascii="Times New Roman" w:hAnsi="Times New Roman" w:cs="Times New Roman"/>
          <w:sz w:val="24"/>
          <w:szCs w:val="24"/>
        </w:rPr>
        <w:t xml:space="preserve"> using stratified random sampling to capture the heterogeneity of the population. The questionnaire consisted of both closed-ended and open</w:t>
      </w:r>
      <w:r w:rsidR="00F32105" w:rsidRPr="009D43CE">
        <w:rPr>
          <w:rFonts w:ascii="Times New Roman" w:hAnsi="Times New Roman" w:cs="Times New Roman"/>
          <w:sz w:val="24"/>
          <w:szCs w:val="24"/>
        </w:rPr>
        <w:t xml:space="preserve">-ended items, capturing data </w:t>
      </w:r>
      <w:r w:rsidR="000F53BD" w:rsidRPr="002E204D">
        <w:rPr>
          <w:rFonts w:ascii="Times New Roman" w:hAnsi="Times New Roman" w:cs="Times New Roman"/>
          <w:sz w:val="24"/>
          <w:szCs w:val="24"/>
          <w:highlight w:val="yellow"/>
        </w:rPr>
        <w:t xml:space="preserve">on </w:t>
      </w:r>
      <w:r w:rsidRPr="009D43CE">
        <w:rPr>
          <w:rFonts w:ascii="Times New Roman" w:hAnsi="Times New Roman" w:cs="Times New Roman"/>
          <w:sz w:val="24"/>
          <w:szCs w:val="24"/>
        </w:rPr>
        <w:t xml:space="preserve">perceptions of water scarcity and </w:t>
      </w:r>
      <w:r w:rsidR="00AB50D9" w:rsidRPr="009D43CE">
        <w:rPr>
          <w:rFonts w:ascii="Times New Roman" w:hAnsi="Times New Roman" w:cs="Times New Roman"/>
          <w:sz w:val="24"/>
          <w:szCs w:val="24"/>
        </w:rPr>
        <w:t xml:space="preserve">the classification of water sources for crop cultivation. </w:t>
      </w:r>
      <w:r w:rsidRPr="009D43CE">
        <w:rPr>
          <w:rFonts w:ascii="Times New Roman" w:hAnsi="Times New Roman" w:cs="Times New Roman"/>
          <w:sz w:val="24"/>
          <w:szCs w:val="24"/>
        </w:rPr>
        <w:t xml:space="preserve">To complement quantitative data, qualitative information was gathered through field observations, semi-structured interviews with 12 key informants, and two focus group discussions involving 7 to 12 participants each. Key informants included agricultural officers, community leaders, and youth representatives with expert knowledge on local water governance and farming systems. </w:t>
      </w:r>
      <w:r w:rsidR="00F32105" w:rsidRPr="009D43CE">
        <w:rPr>
          <w:rFonts w:ascii="Times New Roman" w:hAnsi="Times New Roman" w:cs="Times New Roman"/>
          <w:sz w:val="24"/>
          <w:szCs w:val="24"/>
        </w:rPr>
        <w:t xml:space="preserve"> </w:t>
      </w:r>
      <w:r w:rsidRPr="009D43CE">
        <w:rPr>
          <w:rFonts w:ascii="Times New Roman" w:hAnsi="Times New Roman" w:cs="Times New Roman"/>
          <w:sz w:val="24"/>
          <w:szCs w:val="24"/>
        </w:rPr>
        <w:t xml:space="preserve">This allowed for detailed computation of irrigation needs for major food crops in the area, including Irish potatoes </w:t>
      </w:r>
      <w:r w:rsidR="00D06B61">
        <w:rPr>
          <w:rFonts w:ascii="Times New Roman" w:hAnsi="Times New Roman" w:cs="Times New Roman"/>
          <w:sz w:val="24"/>
          <w:szCs w:val="24"/>
        </w:rPr>
        <w:t>and tomatoes</w:t>
      </w:r>
      <w:r w:rsidRPr="009D43CE">
        <w:rPr>
          <w:rFonts w:ascii="Times New Roman" w:hAnsi="Times New Roman" w:cs="Times New Roman"/>
          <w:sz w:val="24"/>
          <w:szCs w:val="24"/>
        </w:rPr>
        <w:t>. These crops were selected due to their economic relevance and widespread cultivation across the region.</w:t>
      </w:r>
      <w:r w:rsidR="006A46FB" w:rsidRPr="009D43CE">
        <w:rPr>
          <w:rFonts w:ascii="Times New Roman" w:hAnsi="Times New Roman" w:cs="Times New Roman"/>
          <w:sz w:val="24"/>
          <w:szCs w:val="24"/>
        </w:rPr>
        <w:t xml:space="preserve"> </w:t>
      </w:r>
      <w:r w:rsidRPr="009D43CE">
        <w:rPr>
          <w:rFonts w:ascii="Times New Roman" w:hAnsi="Times New Roman" w:cs="Times New Roman"/>
          <w:sz w:val="24"/>
          <w:szCs w:val="24"/>
        </w:rPr>
        <w:t>Geospatial tools</w:t>
      </w:r>
      <w:r w:rsidR="000F53BD">
        <w:rPr>
          <w:rFonts w:ascii="Times New Roman" w:hAnsi="Times New Roman" w:cs="Times New Roman"/>
          <w:sz w:val="24"/>
          <w:szCs w:val="24"/>
        </w:rPr>
        <w:t>,</w:t>
      </w:r>
      <w:r w:rsidRPr="009D43CE">
        <w:rPr>
          <w:rFonts w:ascii="Times New Roman" w:hAnsi="Times New Roman" w:cs="Times New Roman"/>
          <w:sz w:val="24"/>
          <w:szCs w:val="24"/>
        </w:rPr>
        <w:t xml:space="preserve"> including QGIS and ArcGIS</w:t>
      </w:r>
      <w:r w:rsidR="000F53BD">
        <w:rPr>
          <w:rFonts w:ascii="Times New Roman" w:hAnsi="Times New Roman" w:cs="Times New Roman"/>
          <w:sz w:val="24"/>
          <w:szCs w:val="24"/>
        </w:rPr>
        <w:t>,</w:t>
      </w:r>
      <w:r w:rsidRPr="009D43CE">
        <w:rPr>
          <w:rFonts w:ascii="Times New Roman" w:hAnsi="Times New Roman" w:cs="Times New Roman"/>
          <w:sz w:val="24"/>
          <w:szCs w:val="24"/>
        </w:rPr>
        <w:t xml:space="preserve"> were used to </w:t>
      </w:r>
      <w:r w:rsidR="000F53BD" w:rsidRPr="002E204D">
        <w:rPr>
          <w:rFonts w:ascii="Times New Roman" w:hAnsi="Times New Roman" w:cs="Times New Roman"/>
          <w:sz w:val="24"/>
          <w:szCs w:val="24"/>
          <w:highlight w:val="yellow"/>
        </w:rPr>
        <w:t xml:space="preserve">synthesise </w:t>
      </w:r>
      <w:r w:rsidRPr="009D43CE">
        <w:rPr>
          <w:rFonts w:ascii="Times New Roman" w:hAnsi="Times New Roman" w:cs="Times New Roman"/>
          <w:sz w:val="24"/>
          <w:szCs w:val="24"/>
        </w:rPr>
        <w:t xml:space="preserve">and </w:t>
      </w:r>
      <w:r w:rsidR="000F53BD" w:rsidRPr="002E204D">
        <w:rPr>
          <w:rFonts w:ascii="Times New Roman" w:hAnsi="Times New Roman" w:cs="Times New Roman"/>
          <w:sz w:val="24"/>
          <w:szCs w:val="24"/>
          <w:highlight w:val="yellow"/>
        </w:rPr>
        <w:t xml:space="preserve">visualise </w:t>
      </w:r>
      <w:r w:rsidRPr="009D43CE">
        <w:rPr>
          <w:rFonts w:ascii="Times New Roman" w:hAnsi="Times New Roman" w:cs="Times New Roman"/>
          <w:sz w:val="24"/>
          <w:szCs w:val="24"/>
        </w:rPr>
        <w:t>spatial datasets. Decadal maps were generated to show changes in groundwate</w:t>
      </w:r>
      <w:r w:rsidR="00F32105" w:rsidRPr="009D43CE">
        <w:rPr>
          <w:rFonts w:ascii="Times New Roman" w:hAnsi="Times New Roman" w:cs="Times New Roman"/>
          <w:sz w:val="24"/>
          <w:szCs w:val="24"/>
        </w:rPr>
        <w:t xml:space="preserve">r levels and surface water </w:t>
      </w:r>
      <w:r w:rsidR="00AB50D9" w:rsidRPr="009D43CE">
        <w:rPr>
          <w:rFonts w:ascii="Times New Roman" w:hAnsi="Times New Roman" w:cs="Times New Roman"/>
          <w:sz w:val="24"/>
          <w:szCs w:val="24"/>
        </w:rPr>
        <w:t>re</w:t>
      </w:r>
      <w:r w:rsidR="00F32105" w:rsidRPr="009D43CE">
        <w:rPr>
          <w:rFonts w:ascii="Times New Roman" w:hAnsi="Times New Roman" w:cs="Times New Roman"/>
          <w:sz w:val="24"/>
          <w:szCs w:val="24"/>
        </w:rPr>
        <w:t>sources</w:t>
      </w:r>
      <w:r w:rsidRPr="009D43CE">
        <w:rPr>
          <w:rFonts w:ascii="Times New Roman" w:hAnsi="Times New Roman" w:cs="Times New Roman"/>
          <w:sz w:val="24"/>
          <w:szCs w:val="24"/>
        </w:rPr>
        <w:t xml:space="preserve">. </w:t>
      </w:r>
      <w:r w:rsidR="00AA6404" w:rsidRPr="009D43CE">
        <w:rPr>
          <w:rFonts w:ascii="Times New Roman" w:hAnsi="Times New Roman" w:cs="Times New Roman"/>
          <w:sz w:val="24"/>
          <w:szCs w:val="24"/>
        </w:rPr>
        <w:t xml:space="preserve"> </w:t>
      </w:r>
      <w:r w:rsidRPr="009D43CE">
        <w:rPr>
          <w:rFonts w:ascii="Times New Roman" w:hAnsi="Times New Roman" w:cs="Times New Roman"/>
          <w:sz w:val="24"/>
          <w:szCs w:val="24"/>
        </w:rPr>
        <w:t>Qualitative data from interviews and focus groups were transcribed and</w:t>
      </w:r>
      <w:r w:rsidR="00AA6404" w:rsidRPr="009D43CE">
        <w:rPr>
          <w:rFonts w:ascii="Times New Roman" w:hAnsi="Times New Roman" w:cs="Times New Roman"/>
          <w:sz w:val="24"/>
          <w:szCs w:val="24"/>
        </w:rPr>
        <w:t xml:space="preserve"> thematically coded </w:t>
      </w:r>
      <w:r w:rsidR="000F53BD" w:rsidRPr="002E204D">
        <w:rPr>
          <w:rFonts w:ascii="Times New Roman" w:hAnsi="Times New Roman" w:cs="Times New Roman"/>
          <w:sz w:val="24"/>
          <w:szCs w:val="24"/>
          <w:highlight w:val="yellow"/>
        </w:rPr>
        <w:t xml:space="preserve">using </w:t>
      </w:r>
      <w:r w:rsidR="00AA6404" w:rsidRPr="009D43CE">
        <w:rPr>
          <w:rFonts w:ascii="Times New Roman" w:hAnsi="Times New Roman" w:cs="Times New Roman"/>
          <w:sz w:val="24"/>
          <w:szCs w:val="24"/>
        </w:rPr>
        <w:t>NVivo</w:t>
      </w:r>
      <w:r w:rsidRPr="009D43CE">
        <w:rPr>
          <w:rFonts w:ascii="Times New Roman" w:hAnsi="Times New Roman" w:cs="Times New Roman"/>
          <w:sz w:val="24"/>
          <w:szCs w:val="24"/>
        </w:rPr>
        <w:t>. Triangulation of data sources ensured validity and enhanced the reliability of results.</w:t>
      </w:r>
      <w:r w:rsidR="001A3514" w:rsidRPr="009D43CE">
        <w:rPr>
          <w:rFonts w:ascii="Times New Roman" w:hAnsi="Times New Roman" w:cs="Times New Roman"/>
          <w:sz w:val="24"/>
          <w:szCs w:val="24"/>
        </w:rPr>
        <w:t xml:space="preserve"> The choice of the Santa Agrarian Basin is justified by its unique hydrological and agricultural characteristics.  Santa is one of the most agriculturally active zones in the North West Region of Cameroon. </w:t>
      </w:r>
    </w:p>
    <w:p w14:paraId="24294904" w14:textId="77777777" w:rsidR="00A849C7" w:rsidRDefault="00F26E82" w:rsidP="009D43CE">
      <w:pPr>
        <w:jc w:val="both"/>
        <w:rPr>
          <w:rFonts w:ascii="Times New Roman" w:hAnsi="Times New Roman" w:cs="Times New Roman"/>
          <w:b/>
          <w:color w:val="222222"/>
          <w:sz w:val="24"/>
          <w:szCs w:val="24"/>
          <w:shd w:val="clear" w:color="auto" w:fill="FFFFFF"/>
        </w:rPr>
      </w:pPr>
      <w:r>
        <w:rPr>
          <w:rFonts w:ascii="Times New Roman" w:hAnsi="Times New Roman" w:cs="Times New Roman"/>
          <w:b/>
          <w:sz w:val="24"/>
          <w:szCs w:val="24"/>
        </w:rPr>
        <w:t>4</w:t>
      </w:r>
      <w:r w:rsidR="000C371A" w:rsidRPr="009D43CE">
        <w:rPr>
          <w:rFonts w:ascii="Times New Roman" w:hAnsi="Times New Roman" w:cs="Times New Roman"/>
          <w:b/>
          <w:sz w:val="24"/>
          <w:szCs w:val="24"/>
        </w:rPr>
        <w:t>.</w:t>
      </w:r>
      <w:r w:rsidR="00C77018" w:rsidRPr="009D43CE">
        <w:rPr>
          <w:rFonts w:ascii="Times New Roman" w:hAnsi="Times New Roman" w:cs="Times New Roman"/>
          <w:b/>
          <w:sz w:val="24"/>
          <w:szCs w:val="24"/>
        </w:rPr>
        <w:t xml:space="preserve"> </w:t>
      </w:r>
      <w:r>
        <w:rPr>
          <w:rFonts w:ascii="Times New Roman" w:hAnsi="Times New Roman" w:cs="Times New Roman"/>
          <w:b/>
          <w:sz w:val="24"/>
          <w:szCs w:val="24"/>
        </w:rPr>
        <w:t>Findings</w:t>
      </w:r>
      <w:r w:rsidRPr="009D43CE">
        <w:rPr>
          <w:rFonts w:ascii="Times New Roman" w:hAnsi="Times New Roman" w:cs="Times New Roman"/>
          <w:b/>
          <w:sz w:val="24"/>
          <w:szCs w:val="24"/>
        </w:rPr>
        <w:t xml:space="preserve"> and </w:t>
      </w:r>
      <w:r w:rsidRPr="009D43CE">
        <w:rPr>
          <w:rFonts w:ascii="Times New Roman" w:hAnsi="Times New Roman" w:cs="Times New Roman"/>
          <w:b/>
          <w:color w:val="222222"/>
          <w:sz w:val="24"/>
          <w:szCs w:val="24"/>
          <w:shd w:val="clear" w:color="auto" w:fill="FFFFFF"/>
        </w:rPr>
        <w:t>Discussion</w:t>
      </w:r>
    </w:p>
    <w:p w14:paraId="5EE2F19F" w14:textId="77777777" w:rsidR="00063AED" w:rsidRPr="009D43CE" w:rsidRDefault="00F26E82" w:rsidP="009D43CE">
      <w:pPr>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w:t>
      </w:r>
      <w:r w:rsidR="00063AED">
        <w:rPr>
          <w:rFonts w:ascii="Times New Roman" w:hAnsi="Times New Roman" w:cs="Times New Roman"/>
          <w:b/>
          <w:color w:val="222222"/>
          <w:sz w:val="24"/>
          <w:szCs w:val="24"/>
          <w:shd w:val="clear" w:color="auto" w:fill="FFFFFF"/>
        </w:rPr>
        <w:t xml:space="preserve">.1 </w:t>
      </w:r>
      <w:r>
        <w:rPr>
          <w:rFonts w:ascii="Times New Roman" w:hAnsi="Times New Roman" w:cs="Times New Roman"/>
          <w:b/>
          <w:color w:val="222222"/>
          <w:sz w:val="24"/>
          <w:szCs w:val="24"/>
          <w:shd w:val="clear" w:color="auto" w:fill="FFFFFF"/>
        </w:rPr>
        <w:t>Findings</w:t>
      </w:r>
    </w:p>
    <w:p w14:paraId="435C526E" w14:textId="77777777" w:rsidR="00EA3E05" w:rsidRPr="00063AED" w:rsidRDefault="00F26E82" w:rsidP="009D43CE">
      <w:pPr>
        <w:spacing w:after="0"/>
        <w:jc w:val="both"/>
        <w:rPr>
          <w:rFonts w:ascii="Times New Roman" w:hAnsi="Times New Roman" w:cs="Times New Roman"/>
          <w:b/>
          <w:sz w:val="24"/>
          <w:szCs w:val="24"/>
        </w:rPr>
      </w:pPr>
      <w:r>
        <w:rPr>
          <w:rFonts w:ascii="Times New Roman" w:hAnsi="Times New Roman" w:cs="Times New Roman"/>
          <w:b/>
          <w:sz w:val="24"/>
          <w:szCs w:val="24"/>
        </w:rPr>
        <w:t>4</w:t>
      </w:r>
      <w:r w:rsidR="000C371A" w:rsidRPr="00063AED">
        <w:rPr>
          <w:rFonts w:ascii="Times New Roman" w:hAnsi="Times New Roman" w:cs="Times New Roman"/>
          <w:b/>
          <w:sz w:val="24"/>
          <w:szCs w:val="24"/>
        </w:rPr>
        <w:t>.1</w:t>
      </w:r>
      <w:r w:rsidR="00063AED">
        <w:rPr>
          <w:rFonts w:ascii="Times New Roman" w:hAnsi="Times New Roman" w:cs="Times New Roman"/>
          <w:b/>
          <w:sz w:val="24"/>
          <w:szCs w:val="24"/>
        </w:rPr>
        <w:t>.1</w:t>
      </w:r>
      <w:r w:rsidR="000C371A" w:rsidRPr="00063AED">
        <w:rPr>
          <w:rFonts w:ascii="Times New Roman" w:hAnsi="Times New Roman" w:cs="Times New Roman"/>
          <w:b/>
          <w:sz w:val="24"/>
          <w:szCs w:val="24"/>
        </w:rPr>
        <w:t xml:space="preserve"> </w:t>
      </w:r>
      <w:r w:rsidR="00C24E1F" w:rsidRPr="00063AED">
        <w:rPr>
          <w:rFonts w:ascii="Times New Roman" w:hAnsi="Times New Roman" w:cs="Times New Roman"/>
          <w:b/>
          <w:sz w:val="24"/>
          <w:szCs w:val="24"/>
        </w:rPr>
        <w:t xml:space="preserve">Spatio-Temporal Dynamics of </w:t>
      </w:r>
      <w:r w:rsidR="002864A6" w:rsidRPr="00063AED">
        <w:rPr>
          <w:rFonts w:ascii="Times New Roman" w:hAnsi="Times New Roman" w:cs="Times New Roman"/>
          <w:b/>
          <w:sz w:val="24"/>
          <w:szCs w:val="24"/>
        </w:rPr>
        <w:t>Surface W</w:t>
      </w:r>
      <w:r w:rsidR="00C24E1F" w:rsidRPr="00063AED">
        <w:rPr>
          <w:rFonts w:ascii="Times New Roman" w:hAnsi="Times New Roman" w:cs="Times New Roman"/>
          <w:b/>
          <w:sz w:val="24"/>
          <w:szCs w:val="24"/>
        </w:rPr>
        <w:t xml:space="preserve">ater </w:t>
      </w:r>
      <w:r w:rsidR="002864A6" w:rsidRPr="00063AED">
        <w:rPr>
          <w:rFonts w:ascii="Times New Roman" w:hAnsi="Times New Roman" w:cs="Times New Roman"/>
          <w:b/>
          <w:sz w:val="24"/>
          <w:szCs w:val="24"/>
        </w:rPr>
        <w:t>P</w:t>
      </w:r>
      <w:r w:rsidR="00C77018" w:rsidRPr="00063AED">
        <w:rPr>
          <w:rFonts w:ascii="Times New Roman" w:hAnsi="Times New Roman" w:cs="Times New Roman"/>
          <w:b/>
          <w:sz w:val="24"/>
          <w:szCs w:val="24"/>
        </w:rPr>
        <w:t xml:space="preserve">otentials   </w:t>
      </w:r>
    </w:p>
    <w:p w14:paraId="47D30E7E" w14:textId="77777777" w:rsidR="00FC2539" w:rsidRPr="009D43CE" w:rsidRDefault="00FC2539"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Surface water resources in the Santa Agrarian Basin have undergone profound transformations between 1980 and 2024 (Fig. 2). Between 1980 and 1990, the Santa Agrarian Basin experienced a period of relative surface water abundance, with widespread distribution of both perennial and seasonal streams. First-order streams dominated the hydrological network, representing 56.3% of </w:t>
      </w:r>
      <w:r w:rsidRPr="009D43CE">
        <w:rPr>
          <w:rFonts w:ascii="Times New Roman" w:hAnsi="Times New Roman" w:cs="Times New Roman"/>
          <w:sz w:val="24"/>
          <w:szCs w:val="24"/>
        </w:rPr>
        <w:lastRenderedPageBreak/>
        <w:t xml:space="preserve">the total area and extending 8.0 km in length.  From 1991 to 2001, the basin showed signs of hydrological stress. While first-order streams remained dominant, their length significantly decreased to 4.1 km, with area coverage falling slightly to 53.1%. This decline reflected the emerging influence of environmental degradation, deforestation, expanding human settlements, and increasingly erratic rainfall. Though second-order streams showed a modest increase in area coverage, their length also decreased. Between 2002 and 2012, the decline in stream network density and continuity continued. First-order streams still accounted for the majority of the hydrological landscape at 55.7%, but their total length fell further, indicating a persistent contraction in surface water resources. Higher-order streams, such as fifth-order, nearly disappeared from the basin, covering just 0.2% of the area. Spatial disparities also became more pronounced, with southeastern and western parts of the basin experiencing marked reductions in perennial flows. From 2012 to 2024, surface water resources in the basin reached a critical stage. The cumulative effects of demographic growth, intensified agriculture, deforestation, and climate variability significantly stressed the hydrological system. Fieldwork highlighted an intensification of water scarcity, as seasonal streams became more dominant and reliable year-round water sources diminished. </w:t>
      </w:r>
    </w:p>
    <w:p w14:paraId="06DFCB06" w14:textId="77777777" w:rsidR="0063089D" w:rsidRPr="009D43CE" w:rsidRDefault="0063089D" w:rsidP="009D43CE">
      <w:pPr>
        <w:pStyle w:val="NormalWeb"/>
        <w:spacing w:before="240" w:beforeAutospacing="0" w:after="240" w:afterAutospacing="0" w:line="276" w:lineRule="auto"/>
        <w:sectPr w:rsidR="0063089D" w:rsidRPr="009D43CE" w:rsidSect="002E6E63">
          <w:pgSz w:w="12240" w:h="15840"/>
          <w:pgMar w:top="1440" w:right="1440" w:bottom="1440" w:left="1440" w:header="720" w:footer="720" w:gutter="0"/>
          <w:cols w:space="720"/>
          <w:docGrid w:linePitch="360"/>
        </w:sectPr>
      </w:pPr>
    </w:p>
    <w:p w14:paraId="527C5116" w14:textId="77777777" w:rsidR="00EA3E05" w:rsidRPr="009D43CE" w:rsidRDefault="00A47C61" w:rsidP="009D43CE">
      <w:pPr>
        <w:pStyle w:val="NormalWeb"/>
        <w:spacing w:before="240" w:beforeAutospacing="0" w:after="240" w:afterAutospacing="0" w:line="276" w:lineRule="auto"/>
        <w:sectPr w:rsidR="00EA3E05" w:rsidRPr="009D43CE" w:rsidSect="00EA3E05">
          <w:pgSz w:w="15840" w:h="12240" w:orient="landscape"/>
          <w:pgMar w:top="1440" w:right="1440" w:bottom="1440" w:left="1440" w:header="720" w:footer="720" w:gutter="0"/>
          <w:cols w:space="720"/>
          <w:docGrid w:linePitch="360"/>
        </w:sectPr>
      </w:pPr>
      <w:r w:rsidRPr="009D43CE">
        <w:rPr>
          <w:noProof/>
        </w:rPr>
        <w:lastRenderedPageBreak/>
        <w:drawing>
          <wp:anchor distT="0" distB="0" distL="114300" distR="114300" simplePos="0" relativeHeight="251664384" behindDoc="1" locked="0" layoutInCell="1" allowOverlap="1" wp14:anchorId="6203666B" wp14:editId="377CEFD0">
            <wp:simplePos x="0" y="0"/>
            <wp:positionH relativeFrom="column">
              <wp:posOffset>-50800</wp:posOffset>
            </wp:positionH>
            <wp:positionV relativeFrom="paragraph">
              <wp:posOffset>3098800</wp:posOffset>
            </wp:positionV>
            <wp:extent cx="4724400" cy="2675255"/>
            <wp:effectExtent l="0" t="0" r="0" b="0"/>
            <wp:wrapTight wrapText="bothSides">
              <wp:wrapPolygon edited="0">
                <wp:start x="0" y="0"/>
                <wp:lineTo x="0" y="21380"/>
                <wp:lineTo x="21513" y="21380"/>
                <wp:lineTo x="2151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24400" cy="2675255"/>
                    </a:xfrm>
                    <a:prstGeom prst="rect">
                      <a:avLst/>
                    </a:prstGeom>
                  </pic:spPr>
                </pic:pic>
              </a:graphicData>
            </a:graphic>
            <wp14:sizeRelH relativeFrom="margin">
              <wp14:pctWidth>0</wp14:pctWidth>
            </wp14:sizeRelH>
            <wp14:sizeRelV relativeFrom="margin">
              <wp14:pctHeight>0</wp14:pctHeight>
            </wp14:sizeRelV>
          </wp:anchor>
        </w:drawing>
      </w:r>
      <w:r w:rsidR="002864A6" w:rsidRPr="009D43CE">
        <w:rPr>
          <w:noProof/>
        </w:rPr>
        <w:drawing>
          <wp:anchor distT="0" distB="0" distL="114300" distR="114300" simplePos="0" relativeHeight="251665408" behindDoc="1" locked="0" layoutInCell="1" allowOverlap="1" wp14:anchorId="4F08C957" wp14:editId="1F20F316">
            <wp:simplePos x="0" y="0"/>
            <wp:positionH relativeFrom="column">
              <wp:posOffset>4673600</wp:posOffset>
            </wp:positionH>
            <wp:positionV relativeFrom="paragraph">
              <wp:posOffset>3098800</wp:posOffset>
            </wp:positionV>
            <wp:extent cx="4309745" cy="2573655"/>
            <wp:effectExtent l="0" t="0" r="0" b="0"/>
            <wp:wrapTight wrapText="bothSides">
              <wp:wrapPolygon edited="0">
                <wp:start x="0" y="0"/>
                <wp:lineTo x="0" y="21424"/>
                <wp:lineTo x="21482" y="21424"/>
                <wp:lineTo x="2148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09745" cy="2573655"/>
                    </a:xfrm>
                    <a:prstGeom prst="rect">
                      <a:avLst/>
                    </a:prstGeom>
                  </pic:spPr>
                </pic:pic>
              </a:graphicData>
            </a:graphic>
            <wp14:sizeRelH relativeFrom="margin">
              <wp14:pctWidth>0</wp14:pctWidth>
            </wp14:sizeRelH>
            <wp14:sizeRelV relativeFrom="margin">
              <wp14:pctHeight>0</wp14:pctHeight>
            </wp14:sizeRelV>
          </wp:anchor>
        </w:drawing>
      </w:r>
      <w:r w:rsidR="0083369B" w:rsidRPr="009D43CE">
        <w:rPr>
          <w:noProof/>
        </w:rPr>
        <w:drawing>
          <wp:anchor distT="0" distB="0" distL="114300" distR="114300" simplePos="0" relativeHeight="251663360" behindDoc="1" locked="0" layoutInCell="1" allowOverlap="1" wp14:anchorId="4E1A5CB9" wp14:editId="6463F4DB">
            <wp:simplePos x="0" y="0"/>
            <wp:positionH relativeFrom="column">
              <wp:posOffset>4752340</wp:posOffset>
            </wp:positionH>
            <wp:positionV relativeFrom="paragraph">
              <wp:posOffset>440055</wp:posOffset>
            </wp:positionV>
            <wp:extent cx="4228465" cy="2585085"/>
            <wp:effectExtent l="0" t="0" r="635" b="5715"/>
            <wp:wrapTight wrapText="bothSides">
              <wp:wrapPolygon edited="0">
                <wp:start x="0" y="0"/>
                <wp:lineTo x="0" y="21489"/>
                <wp:lineTo x="21506" y="21489"/>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8465" cy="2585085"/>
                    </a:xfrm>
                    <a:prstGeom prst="rect">
                      <a:avLst/>
                    </a:prstGeom>
                  </pic:spPr>
                </pic:pic>
              </a:graphicData>
            </a:graphic>
            <wp14:sizeRelH relativeFrom="margin">
              <wp14:pctWidth>0</wp14:pctWidth>
            </wp14:sizeRelH>
            <wp14:sizeRelV relativeFrom="margin">
              <wp14:pctHeight>0</wp14:pctHeight>
            </wp14:sizeRelV>
          </wp:anchor>
        </w:drawing>
      </w:r>
      <w:r w:rsidR="0083369B" w:rsidRPr="009D43CE">
        <w:rPr>
          <w:noProof/>
        </w:rPr>
        <w:drawing>
          <wp:anchor distT="0" distB="0" distL="114300" distR="114300" simplePos="0" relativeHeight="251661312" behindDoc="1" locked="0" layoutInCell="1" allowOverlap="1" wp14:anchorId="69B5529E" wp14:editId="6C2F682A">
            <wp:simplePos x="0" y="0"/>
            <wp:positionH relativeFrom="column">
              <wp:posOffset>0</wp:posOffset>
            </wp:positionH>
            <wp:positionV relativeFrom="paragraph">
              <wp:posOffset>440055</wp:posOffset>
            </wp:positionV>
            <wp:extent cx="4752340" cy="2663825"/>
            <wp:effectExtent l="0" t="0" r="0" b="3175"/>
            <wp:wrapTight wrapText="bothSides">
              <wp:wrapPolygon edited="0">
                <wp:start x="0" y="0"/>
                <wp:lineTo x="0" y="21471"/>
                <wp:lineTo x="21473" y="21471"/>
                <wp:lineTo x="2147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2340" cy="2663825"/>
                    </a:xfrm>
                    <a:prstGeom prst="rect">
                      <a:avLst/>
                    </a:prstGeom>
                  </pic:spPr>
                </pic:pic>
              </a:graphicData>
            </a:graphic>
            <wp14:sizeRelH relativeFrom="margin">
              <wp14:pctWidth>0</wp14:pctWidth>
            </wp14:sizeRelH>
            <wp14:sizeRelV relativeFrom="margin">
              <wp14:pctHeight>0</wp14:pctHeight>
            </wp14:sizeRelV>
          </wp:anchor>
        </w:drawing>
      </w:r>
    </w:p>
    <w:p w14:paraId="063FA3C5" w14:textId="77777777" w:rsidR="00EA3E05" w:rsidRPr="009D43CE" w:rsidRDefault="006B487A" w:rsidP="009D43CE">
      <w:pPr>
        <w:pStyle w:val="NormalWeb"/>
        <w:spacing w:before="240" w:beforeAutospacing="0" w:after="240" w:afterAutospacing="0" w:line="276" w:lineRule="auto"/>
        <w:jc w:val="center"/>
      </w:pPr>
      <w:r w:rsidRPr="009D43CE">
        <w:rPr>
          <w:noProof/>
        </w:rPr>
        <w:lastRenderedPageBreak/>
        <w:drawing>
          <wp:inline distT="0" distB="0" distL="0" distR="0" wp14:anchorId="71BBFB41" wp14:editId="53A2F14F">
            <wp:extent cx="5029200"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3829050"/>
                    </a:xfrm>
                    <a:prstGeom prst="rect">
                      <a:avLst/>
                    </a:prstGeom>
                  </pic:spPr>
                </pic:pic>
              </a:graphicData>
            </a:graphic>
          </wp:inline>
        </w:drawing>
      </w:r>
    </w:p>
    <w:p w14:paraId="527A69D3" w14:textId="77777777" w:rsidR="003E6443" w:rsidRPr="00AC57DA" w:rsidRDefault="006B487A" w:rsidP="009D43CE">
      <w:pPr>
        <w:jc w:val="center"/>
        <w:rPr>
          <w:rFonts w:ascii="Times New Roman" w:hAnsi="Times New Roman" w:cs="Times New Roman"/>
          <w:b/>
          <w:sz w:val="24"/>
          <w:szCs w:val="24"/>
        </w:rPr>
      </w:pPr>
      <w:r w:rsidRPr="00AC57DA">
        <w:rPr>
          <w:rFonts w:ascii="Times New Roman" w:hAnsi="Times New Roman" w:cs="Times New Roman"/>
          <w:b/>
          <w:sz w:val="24"/>
          <w:szCs w:val="24"/>
        </w:rPr>
        <w:t>Figure 2: Surface water potentials in the Santa Agrarian Basin (1980-2024)</w:t>
      </w:r>
    </w:p>
    <w:p w14:paraId="3D3A9267" w14:textId="77777777" w:rsidR="003E6443" w:rsidRPr="009D43CE" w:rsidRDefault="00C77018" w:rsidP="009D43CE">
      <w:pPr>
        <w:spacing w:after="0"/>
        <w:jc w:val="center"/>
        <w:rPr>
          <w:rFonts w:ascii="Times New Roman" w:hAnsi="Times New Roman" w:cs="Times New Roman"/>
          <w:bCs/>
          <w:sz w:val="24"/>
          <w:szCs w:val="24"/>
          <w:lang w:val="en-GB"/>
        </w:rPr>
      </w:pPr>
      <w:r w:rsidRPr="009D43CE">
        <w:rPr>
          <w:rFonts w:ascii="Times New Roman" w:hAnsi="Times New Roman" w:cs="Times New Roman"/>
          <w:sz w:val="24"/>
          <w:szCs w:val="24"/>
        </w:rPr>
        <w:t xml:space="preserve">Source: </w:t>
      </w:r>
      <w:r w:rsidRPr="009D43CE">
        <w:rPr>
          <w:rFonts w:ascii="Times New Roman" w:hAnsi="Times New Roman" w:cs="Times New Roman"/>
          <w:bCs/>
          <w:sz w:val="24"/>
          <w:szCs w:val="24"/>
          <w:lang w:val="en-GB"/>
        </w:rPr>
        <w:t>ASTER Image (METI and NASA, 1980)</w:t>
      </w:r>
    </w:p>
    <w:p w14:paraId="0B0F4F97" w14:textId="77777777" w:rsidR="00FC2539" w:rsidRPr="00EF7B41" w:rsidRDefault="00F26E82" w:rsidP="009D43CE">
      <w:pPr>
        <w:pStyle w:val="NormalWeb"/>
        <w:spacing w:before="240" w:beforeAutospacing="0" w:after="0" w:afterAutospacing="0" w:line="276" w:lineRule="auto"/>
        <w:rPr>
          <w:b/>
        </w:rPr>
      </w:pPr>
      <w:r>
        <w:rPr>
          <w:b/>
        </w:rPr>
        <w:t>4</w:t>
      </w:r>
      <w:r w:rsidR="00C77018" w:rsidRPr="00EF7B41">
        <w:rPr>
          <w:b/>
        </w:rPr>
        <w:t>.</w:t>
      </w:r>
      <w:r w:rsidR="00EF7B41" w:rsidRPr="00EF7B41">
        <w:rPr>
          <w:b/>
        </w:rPr>
        <w:t>1.</w:t>
      </w:r>
      <w:r w:rsidR="00C77018" w:rsidRPr="00EF7B41">
        <w:rPr>
          <w:b/>
        </w:rPr>
        <w:t xml:space="preserve">2 Spatio-Temporal distribution of groundwater potentials  </w:t>
      </w:r>
    </w:p>
    <w:p w14:paraId="656D02FC" w14:textId="199DBC1F" w:rsidR="00200DB0" w:rsidRPr="009D43CE" w:rsidRDefault="00200DB0" w:rsidP="009D43CE">
      <w:pPr>
        <w:spacing w:after="0"/>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t xml:space="preserve">Groundwater in the Santa Agrarian Basin has undergone a transformative evolution over the past four decades. </w:t>
      </w:r>
      <w:r w:rsidR="003A5118" w:rsidRPr="009D43CE">
        <w:rPr>
          <w:rFonts w:ascii="Times New Roman" w:eastAsia="Times New Roman" w:hAnsi="Times New Roman" w:cs="Times New Roman"/>
          <w:sz w:val="24"/>
          <w:szCs w:val="24"/>
        </w:rPr>
        <w:t xml:space="preserve">In </w:t>
      </w:r>
      <w:r w:rsidR="000F53BD" w:rsidRPr="002E204D">
        <w:rPr>
          <w:rFonts w:ascii="Times New Roman" w:eastAsia="Times New Roman" w:hAnsi="Times New Roman" w:cs="Times New Roman"/>
          <w:sz w:val="24"/>
          <w:szCs w:val="24"/>
          <w:highlight w:val="yellow"/>
        </w:rPr>
        <w:t>the 1980s</w:t>
      </w:r>
      <w:r w:rsidRPr="009D43CE">
        <w:rPr>
          <w:rFonts w:ascii="Times New Roman" w:eastAsia="Times New Roman" w:hAnsi="Times New Roman" w:cs="Times New Roman"/>
          <w:sz w:val="24"/>
          <w:szCs w:val="24"/>
        </w:rPr>
        <w:t xml:space="preserve">, the region entered what can be described as a “Silent Revolution” in groundwater use. Prior to this period, groundwater abstraction was limited, with reliance largely </w:t>
      </w:r>
      <w:r w:rsidR="000F53BD" w:rsidRPr="002E204D">
        <w:rPr>
          <w:rFonts w:ascii="Times New Roman" w:eastAsia="Times New Roman" w:hAnsi="Times New Roman" w:cs="Times New Roman"/>
          <w:sz w:val="24"/>
          <w:szCs w:val="24"/>
          <w:highlight w:val="yellow"/>
        </w:rPr>
        <w:t xml:space="preserve">centred </w:t>
      </w:r>
      <w:r w:rsidRPr="009D43CE">
        <w:rPr>
          <w:rFonts w:ascii="Times New Roman" w:eastAsia="Times New Roman" w:hAnsi="Times New Roman" w:cs="Times New Roman"/>
          <w:sz w:val="24"/>
          <w:szCs w:val="24"/>
        </w:rPr>
        <w:t>on surface water sources. However, between 1980 and 1990, increasing demand for agricultural water began to push communities toward alternative water sources, including shallow wells and hand-dug boreholes. Groundwater potential was highest i</w:t>
      </w:r>
      <w:r w:rsidR="003A5118" w:rsidRPr="009D43CE">
        <w:rPr>
          <w:rFonts w:ascii="Times New Roman" w:eastAsia="Times New Roman" w:hAnsi="Times New Roman" w:cs="Times New Roman"/>
          <w:sz w:val="24"/>
          <w:szCs w:val="24"/>
        </w:rPr>
        <w:t xml:space="preserve">n Awing, Santa, Mbu, and Kwang. </w:t>
      </w:r>
      <w:r w:rsidRPr="009D43CE">
        <w:rPr>
          <w:rFonts w:ascii="Times New Roman" w:eastAsia="Times New Roman" w:hAnsi="Times New Roman" w:cs="Times New Roman"/>
          <w:sz w:val="24"/>
          <w:szCs w:val="24"/>
        </w:rPr>
        <w:t>Despite its growing importance, groundwater was often perceived as abundant and inexhaustible. This misperception, combined with a lack of technical knowledge regarding recharge rates and sustainable extraction, led to uncoordinated abstraction practices that would later impact water availability.</w:t>
      </w:r>
    </w:p>
    <w:p w14:paraId="2218610E" w14:textId="77777777" w:rsidR="003A5118" w:rsidRPr="009D43CE" w:rsidRDefault="00200DB0" w:rsidP="009D43CE">
      <w:pPr>
        <w:spacing w:after="100" w:afterAutospacing="1"/>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t xml:space="preserve">From 1991 to 2001, a marked intensification in groundwater abstraction occurred across the basin. This transformation was both spatial and technological. Areas experiencing surface water shortages, particularly in the northwest and eastern parts of the basin, saw increased reliance on groundwater sources. </w:t>
      </w:r>
      <w:r w:rsidR="003A5118" w:rsidRPr="009D43CE">
        <w:rPr>
          <w:rFonts w:ascii="Times New Roman" w:eastAsia="Times New Roman" w:hAnsi="Times New Roman" w:cs="Times New Roman"/>
          <w:sz w:val="24"/>
          <w:szCs w:val="24"/>
        </w:rPr>
        <w:t>For instance,</w:t>
      </w:r>
      <w:r w:rsidRPr="009D43CE">
        <w:rPr>
          <w:rFonts w:ascii="Times New Roman" w:eastAsia="Times New Roman" w:hAnsi="Times New Roman" w:cs="Times New Roman"/>
          <w:sz w:val="24"/>
          <w:szCs w:val="24"/>
        </w:rPr>
        <w:t xml:space="preserve"> Wontoko emerged as a new zone of high groundwater con</w:t>
      </w:r>
      <w:r w:rsidR="003A5118" w:rsidRPr="009D43CE">
        <w:rPr>
          <w:rFonts w:ascii="Times New Roman" w:eastAsia="Times New Roman" w:hAnsi="Times New Roman" w:cs="Times New Roman"/>
          <w:sz w:val="24"/>
          <w:szCs w:val="24"/>
        </w:rPr>
        <w:t>centration</w:t>
      </w:r>
      <w:r w:rsidRPr="009D43CE">
        <w:rPr>
          <w:rFonts w:ascii="Times New Roman" w:eastAsia="Times New Roman" w:hAnsi="Times New Roman" w:cs="Times New Roman"/>
          <w:sz w:val="24"/>
          <w:szCs w:val="24"/>
        </w:rPr>
        <w:t>.</w:t>
      </w:r>
      <w:r w:rsidR="0015243E" w:rsidRPr="009D43CE">
        <w:rPr>
          <w:rFonts w:ascii="Times New Roman" w:eastAsia="Times New Roman" w:hAnsi="Times New Roman" w:cs="Times New Roman"/>
          <w:sz w:val="24"/>
          <w:szCs w:val="24"/>
        </w:rPr>
        <w:t xml:space="preserve"> </w:t>
      </w:r>
      <w:r w:rsidRPr="009D43CE">
        <w:rPr>
          <w:rFonts w:ascii="Times New Roman" w:eastAsia="Times New Roman" w:hAnsi="Times New Roman" w:cs="Times New Roman"/>
          <w:sz w:val="24"/>
          <w:szCs w:val="24"/>
        </w:rPr>
        <w:t>This decade of intensified abstraction closely aligns with the decline observed in the surface water network. As surface streams contracted in b</w:t>
      </w:r>
      <w:r w:rsidR="003A5118" w:rsidRPr="009D43CE">
        <w:rPr>
          <w:rFonts w:ascii="Times New Roman" w:eastAsia="Times New Roman" w:hAnsi="Times New Roman" w:cs="Times New Roman"/>
          <w:sz w:val="24"/>
          <w:szCs w:val="24"/>
        </w:rPr>
        <w:t xml:space="preserve">oth length and spatial coverage, </w:t>
      </w:r>
      <w:r w:rsidRPr="009D43CE">
        <w:rPr>
          <w:rFonts w:ascii="Times New Roman" w:eastAsia="Times New Roman" w:hAnsi="Times New Roman" w:cs="Times New Roman"/>
          <w:sz w:val="24"/>
          <w:szCs w:val="24"/>
        </w:rPr>
        <w:lastRenderedPageBreak/>
        <w:t>particu</w:t>
      </w:r>
      <w:r w:rsidR="003A5118" w:rsidRPr="009D43CE">
        <w:rPr>
          <w:rFonts w:ascii="Times New Roman" w:eastAsia="Times New Roman" w:hAnsi="Times New Roman" w:cs="Times New Roman"/>
          <w:sz w:val="24"/>
          <w:szCs w:val="24"/>
        </w:rPr>
        <w:t xml:space="preserve">larly among first-order streams, </w:t>
      </w:r>
      <w:r w:rsidRPr="009D43CE">
        <w:rPr>
          <w:rFonts w:ascii="Times New Roman" w:eastAsia="Times New Roman" w:hAnsi="Times New Roman" w:cs="Times New Roman"/>
          <w:sz w:val="24"/>
          <w:szCs w:val="24"/>
        </w:rPr>
        <w:t xml:space="preserve">groundwater became the default source for both domestic and agricultural uses. </w:t>
      </w:r>
    </w:p>
    <w:p w14:paraId="1C5011F5" w14:textId="5346BCB7" w:rsidR="00FC2539" w:rsidRDefault="00200DB0" w:rsidP="009D43CE">
      <w:pPr>
        <w:spacing w:before="100" w:beforeAutospacing="1" w:after="100" w:afterAutospacing="1"/>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t>Between 2002 and 2012, this pressure intensified further. The reduction in surface water resources, particularly in the southeastern and western regions of the basin, drove farmers toward deeper and more frequent groundwater abstraction. Boreholes and wells became common in agricultural zones,</w:t>
      </w:r>
      <w:r w:rsidR="0063089D" w:rsidRPr="009D43CE">
        <w:rPr>
          <w:rFonts w:ascii="Times New Roman" w:eastAsia="Times New Roman" w:hAnsi="Times New Roman" w:cs="Times New Roman"/>
          <w:sz w:val="24"/>
          <w:szCs w:val="24"/>
        </w:rPr>
        <w:t xml:space="preserve"> particularly in Awing, Pinyin </w:t>
      </w:r>
      <w:r w:rsidRPr="009D43CE">
        <w:rPr>
          <w:rFonts w:ascii="Times New Roman" w:eastAsia="Times New Roman" w:hAnsi="Times New Roman" w:cs="Times New Roman"/>
          <w:sz w:val="24"/>
          <w:szCs w:val="24"/>
        </w:rPr>
        <w:t xml:space="preserve">and Alatening, where groundwater remained relatively accessible. These areas emerged as key agricultural zones, sustained in part by access to subsurface water. However, this rapid and often unregulated extraction led to visible consequences. Declines in water table levels became more frequent, especially during the dry season, and recovery times extended significantly. The basin began to exhibit signs of groundwater stress, particularly in lower recharge zones with less forest cover or </w:t>
      </w:r>
      <w:r w:rsidR="000F53BD" w:rsidRPr="002E204D">
        <w:rPr>
          <w:rFonts w:ascii="Times New Roman" w:eastAsia="Times New Roman" w:hAnsi="Times New Roman" w:cs="Times New Roman"/>
          <w:sz w:val="24"/>
          <w:szCs w:val="24"/>
          <w:highlight w:val="yellow"/>
        </w:rPr>
        <w:t>unfavourable</w:t>
      </w:r>
      <w:r w:rsidR="000F53BD" w:rsidRPr="009D43CE">
        <w:rPr>
          <w:rFonts w:ascii="Times New Roman" w:eastAsia="Times New Roman" w:hAnsi="Times New Roman" w:cs="Times New Roman"/>
          <w:sz w:val="24"/>
          <w:szCs w:val="24"/>
        </w:rPr>
        <w:t xml:space="preserve"> </w:t>
      </w:r>
      <w:r w:rsidRPr="009D43CE">
        <w:rPr>
          <w:rFonts w:ascii="Times New Roman" w:eastAsia="Times New Roman" w:hAnsi="Times New Roman" w:cs="Times New Roman"/>
          <w:sz w:val="24"/>
          <w:szCs w:val="24"/>
        </w:rPr>
        <w:t>geological formations.</w:t>
      </w:r>
      <w:r w:rsidR="003A5118" w:rsidRPr="009D43CE">
        <w:rPr>
          <w:rFonts w:ascii="Times New Roman" w:eastAsia="Times New Roman" w:hAnsi="Times New Roman" w:cs="Times New Roman"/>
          <w:sz w:val="24"/>
          <w:szCs w:val="24"/>
        </w:rPr>
        <w:t xml:space="preserve"> </w:t>
      </w:r>
      <w:r w:rsidRPr="009D43CE">
        <w:rPr>
          <w:rFonts w:ascii="Times New Roman" w:eastAsia="Times New Roman" w:hAnsi="Times New Roman" w:cs="Times New Roman"/>
          <w:sz w:val="24"/>
          <w:szCs w:val="24"/>
        </w:rPr>
        <w:t xml:space="preserve">This decade reflects a growing asymmetry in water resource availability. Surface water resources became increasingly fragmented and unreliable, while groundwater remained </w:t>
      </w:r>
      <w:r w:rsidR="00EF7B41">
        <w:rPr>
          <w:rFonts w:ascii="Times New Roman" w:eastAsia="Times New Roman" w:hAnsi="Times New Roman" w:cs="Times New Roman"/>
          <w:sz w:val="24"/>
          <w:szCs w:val="24"/>
        </w:rPr>
        <w:t>accessible in limited areas, albeit under growing stress.</w:t>
      </w:r>
    </w:p>
    <w:p w14:paraId="46CD9C80" w14:textId="77777777" w:rsidR="00EF7B41" w:rsidRDefault="00EF7B41" w:rsidP="009D43CE">
      <w:pPr>
        <w:spacing w:before="100" w:beforeAutospacing="1" w:after="100" w:afterAutospacing="1"/>
        <w:jc w:val="both"/>
        <w:rPr>
          <w:rFonts w:ascii="Times New Roman" w:eastAsia="Times New Roman" w:hAnsi="Times New Roman" w:cs="Times New Roman"/>
          <w:sz w:val="24"/>
          <w:szCs w:val="24"/>
        </w:rPr>
      </w:pPr>
    </w:p>
    <w:p w14:paraId="58F9B2B0" w14:textId="77777777" w:rsidR="00EF7B41" w:rsidRPr="009D43CE" w:rsidRDefault="00EF7B41" w:rsidP="009D43CE">
      <w:pPr>
        <w:spacing w:before="100" w:beforeAutospacing="1" w:after="100" w:afterAutospacing="1"/>
        <w:jc w:val="both"/>
        <w:rPr>
          <w:rFonts w:ascii="Times New Roman" w:eastAsia="Times New Roman" w:hAnsi="Times New Roman" w:cs="Times New Roman"/>
          <w:sz w:val="24"/>
          <w:szCs w:val="24"/>
        </w:rPr>
        <w:sectPr w:rsidR="00EF7B41" w:rsidRPr="009D43CE" w:rsidSect="002E6E63">
          <w:pgSz w:w="12240" w:h="15840"/>
          <w:pgMar w:top="1440" w:right="1440" w:bottom="1440" w:left="1440" w:header="720" w:footer="720" w:gutter="0"/>
          <w:cols w:space="720"/>
          <w:docGrid w:linePitch="360"/>
        </w:sectPr>
      </w:pPr>
    </w:p>
    <w:p w14:paraId="7E49021E" w14:textId="77777777" w:rsidR="00C77018" w:rsidRPr="009D43CE" w:rsidRDefault="00602978" w:rsidP="009D43CE">
      <w:pPr>
        <w:pStyle w:val="NormalWeb"/>
        <w:spacing w:before="240" w:beforeAutospacing="0" w:after="240" w:afterAutospacing="0" w:line="276" w:lineRule="auto"/>
        <w:rPr>
          <w:b/>
        </w:rPr>
      </w:pPr>
      <w:r w:rsidRPr="009D43CE">
        <w:rPr>
          <w:noProof/>
        </w:rPr>
        <w:lastRenderedPageBreak/>
        <w:drawing>
          <wp:anchor distT="0" distB="0" distL="114300" distR="114300" simplePos="0" relativeHeight="251667456" behindDoc="1" locked="0" layoutInCell="1" allowOverlap="1" wp14:anchorId="2D1057EA" wp14:editId="67097B48">
            <wp:simplePos x="0" y="0"/>
            <wp:positionH relativeFrom="column">
              <wp:posOffset>-40640</wp:posOffset>
            </wp:positionH>
            <wp:positionV relativeFrom="paragraph">
              <wp:posOffset>0</wp:posOffset>
            </wp:positionV>
            <wp:extent cx="3973195" cy="2448560"/>
            <wp:effectExtent l="0" t="0" r="8255" b="8890"/>
            <wp:wrapTight wrapText="bothSides">
              <wp:wrapPolygon edited="0">
                <wp:start x="0" y="0"/>
                <wp:lineTo x="0" y="21510"/>
                <wp:lineTo x="21541" y="21510"/>
                <wp:lineTo x="2154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73195" cy="2448560"/>
                    </a:xfrm>
                    <a:prstGeom prst="rect">
                      <a:avLst/>
                    </a:prstGeom>
                  </pic:spPr>
                </pic:pic>
              </a:graphicData>
            </a:graphic>
            <wp14:sizeRelH relativeFrom="margin">
              <wp14:pctWidth>0</wp14:pctWidth>
            </wp14:sizeRelH>
            <wp14:sizeRelV relativeFrom="margin">
              <wp14:pctHeight>0</wp14:pctHeight>
            </wp14:sizeRelV>
          </wp:anchor>
        </w:drawing>
      </w:r>
      <w:r w:rsidRPr="009D43CE">
        <w:rPr>
          <w:noProof/>
        </w:rPr>
        <w:drawing>
          <wp:anchor distT="0" distB="0" distL="114300" distR="114300" simplePos="0" relativeHeight="251670528" behindDoc="1" locked="0" layoutInCell="1" allowOverlap="1" wp14:anchorId="71CB59BC" wp14:editId="213E86AC">
            <wp:simplePos x="0" y="0"/>
            <wp:positionH relativeFrom="column">
              <wp:posOffset>4165600</wp:posOffset>
            </wp:positionH>
            <wp:positionV relativeFrom="paragraph">
              <wp:posOffset>2448560</wp:posOffset>
            </wp:positionV>
            <wp:extent cx="4277360" cy="2255520"/>
            <wp:effectExtent l="0" t="0" r="8890" b="0"/>
            <wp:wrapTight wrapText="bothSides">
              <wp:wrapPolygon edited="0">
                <wp:start x="0" y="0"/>
                <wp:lineTo x="0" y="21345"/>
                <wp:lineTo x="21549" y="21345"/>
                <wp:lineTo x="21549"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77360" cy="2255520"/>
                    </a:xfrm>
                    <a:prstGeom prst="rect">
                      <a:avLst/>
                    </a:prstGeom>
                  </pic:spPr>
                </pic:pic>
              </a:graphicData>
            </a:graphic>
            <wp14:sizeRelH relativeFrom="margin">
              <wp14:pctWidth>0</wp14:pctWidth>
            </wp14:sizeRelH>
            <wp14:sizeRelV relativeFrom="margin">
              <wp14:pctHeight>0</wp14:pctHeight>
            </wp14:sizeRelV>
          </wp:anchor>
        </w:drawing>
      </w:r>
      <w:r w:rsidRPr="009D43CE">
        <w:rPr>
          <w:noProof/>
        </w:rPr>
        <w:drawing>
          <wp:anchor distT="0" distB="0" distL="114300" distR="114300" simplePos="0" relativeHeight="251668480" behindDoc="1" locked="0" layoutInCell="1" allowOverlap="1" wp14:anchorId="76C1343F" wp14:editId="6CFE44D4">
            <wp:simplePos x="0" y="0"/>
            <wp:positionH relativeFrom="column">
              <wp:posOffset>-40640</wp:posOffset>
            </wp:positionH>
            <wp:positionV relativeFrom="paragraph">
              <wp:posOffset>2397760</wp:posOffset>
            </wp:positionV>
            <wp:extent cx="4155440" cy="2418080"/>
            <wp:effectExtent l="0" t="0" r="0" b="1270"/>
            <wp:wrapTight wrapText="bothSides">
              <wp:wrapPolygon edited="0">
                <wp:start x="0" y="0"/>
                <wp:lineTo x="0" y="21441"/>
                <wp:lineTo x="21488" y="21441"/>
                <wp:lineTo x="2148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55440" cy="2418080"/>
                    </a:xfrm>
                    <a:prstGeom prst="rect">
                      <a:avLst/>
                    </a:prstGeom>
                  </pic:spPr>
                </pic:pic>
              </a:graphicData>
            </a:graphic>
            <wp14:sizeRelH relativeFrom="margin">
              <wp14:pctWidth>0</wp14:pctWidth>
            </wp14:sizeRelH>
            <wp14:sizeRelV relativeFrom="margin">
              <wp14:pctHeight>0</wp14:pctHeight>
            </wp14:sizeRelV>
          </wp:anchor>
        </w:drawing>
      </w:r>
      <w:r w:rsidRPr="009D43CE">
        <w:rPr>
          <w:noProof/>
        </w:rPr>
        <w:drawing>
          <wp:anchor distT="0" distB="0" distL="114300" distR="114300" simplePos="0" relativeHeight="251666432" behindDoc="1" locked="0" layoutInCell="1" allowOverlap="1" wp14:anchorId="71A3613D" wp14:editId="23D6547A">
            <wp:simplePos x="0" y="0"/>
            <wp:positionH relativeFrom="column">
              <wp:posOffset>3992880</wp:posOffset>
            </wp:positionH>
            <wp:positionV relativeFrom="paragraph">
              <wp:posOffset>0</wp:posOffset>
            </wp:positionV>
            <wp:extent cx="4323080" cy="2448560"/>
            <wp:effectExtent l="0" t="0" r="1270" b="8890"/>
            <wp:wrapTight wrapText="bothSides">
              <wp:wrapPolygon edited="0">
                <wp:start x="0" y="0"/>
                <wp:lineTo x="0" y="21510"/>
                <wp:lineTo x="21511" y="21510"/>
                <wp:lineTo x="2151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23080" cy="2448560"/>
                    </a:xfrm>
                    <a:prstGeom prst="rect">
                      <a:avLst/>
                    </a:prstGeom>
                  </pic:spPr>
                </pic:pic>
              </a:graphicData>
            </a:graphic>
            <wp14:sizeRelV relativeFrom="margin">
              <wp14:pctHeight>0</wp14:pctHeight>
            </wp14:sizeRelV>
          </wp:anchor>
        </w:drawing>
      </w:r>
    </w:p>
    <w:p w14:paraId="51E34696" w14:textId="77777777" w:rsidR="00E9720A" w:rsidRPr="009D43CE" w:rsidRDefault="00E9720A" w:rsidP="009D43CE">
      <w:pPr>
        <w:pStyle w:val="NormalWeb"/>
        <w:spacing w:before="0" w:beforeAutospacing="0" w:after="0" w:afterAutospacing="0" w:line="276" w:lineRule="auto"/>
        <w:jc w:val="center"/>
      </w:pPr>
      <w:r w:rsidRPr="009D43CE">
        <w:rPr>
          <w:b/>
        </w:rPr>
        <w:t>Figure 3: Distribution of Groundwater resources in the Santa Agrarian Basin (1980-2024)</w:t>
      </w:r>
    </w:p>
    <w:p w14:paraId="1717D4EB" w14:textId="77777777" w:rsidR="00E9720A" w:rsidRPr="009D43CE" w:rsidRDefault="00E9720A" w:rsidP="009D43CE">
      <w:pPr>
        <w:pStyle w:val="NormalWeb"/>
        <w:spacing w:before="0" w:beforeAutospacing="0" w:after="0" w:afterAutospacing="0" w:line="276" w:lineRule="auto"/>
        <w:jc w:val="center"/>
        <w:rPr>
          <w:bCs/>
          <w:lang w:val="en-GB"/>
        </w:rPr>
      </w:pPr>
      <w:r w:rsidRPr="009D43CE">
        <w:t>Source:</w:t>
      </w:r>
      <w:r w:rsidRPr="009D43CE">
        <w:rPr>
          <w:b/>
        </w:rPr>
        <w:t xml:space="preserve"> </w:t>
      </w:r>
      <w:r w:rsidRPr="009D43CE">
        <w:rPr>
          <w:bCs/>
          <w:lang w:val="en-GB"/>
        </w:rPr>
        <w:t>ASTER Image (METI and NASA, 1980, and Fieldwork, 2024)</w:t>
      </w:r>
    </w:p>
    <w:p w14:paraId="084FE87B" w14:textId="77777777" w:rsidR="00E9720A" w:rsidRPr="009D43CE" w:rsidRDefault="00E9720A" w:rsidP="009D43CE">
      <w:pPr>
        <w:pStyle w:val="NormalWeb"/>
        <w:spacing w:before="0" w:beforeAutospacing="0" w:line="276" w:lineRule="auto"/>
        <w:jc w:val="center"/>
      </w:pPr>
    </w:p>
    <w:p w14:paraId="7C96777E" w14:textId="77777777" w:rsidR="00197E51" w:rsidRPr="009D43CE" w:rsidRDefault="00197E51" w:rsidP="009D43CE">
      <w:pPr>
        <w:pStyle w:val="NormalWeb"/>
        <w:spacing w:before="240" w:beforeAutospacing="0" w:after="240" w:afterAutospacing="0" w:line="276" w:lineRule="auto"/>
        <w:sectPr w:rsidR="00197E51" w:rsidRPr="009D43CE" w:rsidSect="00C77018">
          <w:pgSz w:w="15840" w:h="12240" w:orient="landscape"/>
          <w:pgMar w:top="1440" w:right="1440" w:bottom="1440" w:left="1440" w:header="720" w:footer="720" w:gutter="0"/>
          <w:cols w:space="720"/>
          <w:docGrid w:linePitch="360"/>
        </w:sectPr>
      </w:pPr>
    </w:p>
    <w:p w14:paraId="3373218C" w14:textId="5BC28EF2" w:rsidR="006253A5" w:rsidRPr="009D43CE" w:rsidRDefault="00197E51" w:rsidP="009D43CE">
      <w:pPr>
        <w:spacing w:before="100" w:beforeAutospacing="1" w:after="100" w:afterAutospacing="1"/>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lastRenderedPageBreak/>
        <w:t xml:space="preserve">From 2012 to 2024, the basin experienced a critical shift in groundwater distribution. While surface water resources continued to contract and fragment under demographic, agricultural, and climatic pressures, groundwater became indispensable. Farmers increasingly viewed groundwater not just as a supplement, but as the primary water source for sustaining year-round crop production. However, the spatial distribution of groundwater showed marked variation. Areas such as Pinyin, Mbu, and Baba emerged as high-potential zones due to </w:t>
      </w:r>
      <w:r w:rsidR="000F53BD" w:rsidRPr="002E204D">
        <w:rPr>
          <w:rFonts w:ascii="Times New Roman" w:eastAsia="Times New Roman" w:hAnsi="Times New Roman" w:cs="Times New Roman"/>
          <w:sz w:val="24"/>
          <w:szCs w:val="24"/>
          <w:highlight w:val="yellow"/>
        </w:rPr>
        <w:t>favourable</w:t>
      </w:r>
      <w:r w:rsidR="000F53BD" w:rsidRPr="009D43CE">
        <w:rPr>
          <w:rFonts w:ascii="Times New Roman" w:eastAsia="Times New Roman" w:hAnsi="Times New Roman" w:cs="Times New Roman"/>
          <w:sz w:val="24"/>
          <w:szCs w:val="24"/>
        </w:rPr>
        <w:t xml:space="preserve"> </w:t>
      </w:r>
      <w:r w:rsidRPr="009D43CE">
        <w:rPr>
          <w:rFonts w:ascii="Times New Roman" w:eastAsia="Times New Roman" w:hAnsi="Times New Roman" w:cs="Times New Roman"/>
          <w:sz w:val="24"/>
          <w:szCs w:val="24"/>
        </w:rPr>
        <w:t xml:space="preserve">forest cover and geologic recharge conditions, while eastern regions, including Santa town itself, recorded significantly lower groundwater levels. </w:t>
      </w:r>
    </w:p>
    <w:p w14:paraId="62DACC9A" w14:textId="77777777" w:rsidR="00C77018" w:rsidRPr="00EF7B41" w:rsidRDefault="00F26E82" w:rsidP="009D43CE">
      <w:pPr>
        <w:pStyle w:val="NormalWeb"/>
        <w:spacing w:before="240" w:beforeAutospacing="0" w:after="240" w:afterAutospacing="0" w:line="276" w:lineRule="auto"/>
        <w:rPr>
          <w:b/>
        </w:rPr>
      </w:pPr>
      <w:r>
        <w:rPr>
          <w:b/>
        </w:rPr>
        <w:t>4</w:t>
      </w:r>
      <w:r w:rsidR="00077D28" w:rsidRPr="00EF7B41">
        <w:rPr>
          <w:b/>
        </w:rPr>
        <w:t>.</w:t>
      </w:r>
      <w:r w:rsidR="00EF7B41" w:rsidRPr="00EF7B41">
        <w:rPr>
          <w:b/>
        </w:rPr>
        <w:t>1.</w:t>
      </w:r>
      <w:r w:rsidR="00077D28" w:rsidRPr="00EF7B41">
        <w:rPr>
          <w:b/>
        </w:rPr>
        <w:t xml:space="preserve">3 Food Crop production trend in the basin </w:t>
      </w:r>
      <w:r w:rsidR="00984157" w:rsidRPr="00EF7B41">
        <w:rPr>
          <w:b/>
        </w:rPr>
        <w:t xml:space="preserve">in relation to surface and groundwater potential </w:t>
      </w:r>
      <w:r w:rsidR="00077D28" w:rsidRPr="00EF7B41">
        <w:rPr>
          <w:b/>
        </w:rPr>
        <w:t>(1980-2024)</w:t>
      </w:r>
    </w:p>
    <w:p w14:paraId="7EE81A7D" w14:textId="51F2CB48" w:rsidR="001B3D74" w:rsidRPr="009D43CE" w:rsidRDefault="006C6677" w:rsidP="009D43CE">
      <w:pPr>
        <w:pStyle w:val="NormalWeb"/>
        <w:spacing w:before="240" w:beforeAutospacing="0" w:after="240" w:afterAutospacing="0" w:line="276" w:lineRule="auto"/>
      </w:pPr>
      <w:r>
        <w:t xml:space="preserve">The </w:t>
      </w:r>
      <w:r w:rsidR="00291D4D" w:rsidRPr="009D43CE">
        <w:t xml:space="preserve">Food crop production </w:t>
      </w:r>
      <w:r w:rsidR="00AD1CAD" w:rsidRPr="009D43CE">
        <w:t xml:space="preserve">trends </w:t>
      </w:r>
      <w:r w:rsidR="001B3D74" w:rsidRPr="009D43CE">
        <w:t xml:space="preserve">of the Santa Agrarian Basin between 1980 and 2024 </w:t>
      </w:r>
      <w:r w:rsidR="000F53BD" w:rsidRPr="002E204D">
        <w:rPr>
          <w:highlight w:val="yellow"/>
        </w:rPr>
        <w:t>reveal</w:t>
      </w:r>
      <w:r w:rsidR="000F53BD" w:rsidRPr="009D43CE">
        <w:t xml:space="preserve"> </w:t>
      </w:r>
      <w:r w:rsidR="001B3D74" w:rsidRPr="009D43CE">
        <w:t xml:space="preserve">that </w:t>
      </w:r>
      <w:r w:rsidR="00291D4D" w:rsidRPr="009D43CE">
        <w:t>surface and groundwater</w:t>
      </w:r>
      <w:r w:rsidR="00AD1CAD" w:rsidRPr="009D43CE">
        <w:t xml:space="preserve"> resources</w:t>
      </w:r>
      <w:r w:rsidR="001B3D74" w:rsidRPr="009D43CE">
        <w:t xml:space="preserve"> </w:t>
      </w:r>
      <w:r w:rsidR="00AD1CAD" w:rsidRPr="009D43CE">
        <w:t>are</w:t>
      </w:r>
      <w:r w:rsidR="001B3D74" w:rsidRPr="009D43CE">
        <w:t xml:space="preserve"> a </w:t>
      </w:r>
      <w:r w:rsidR="00291D4D" w:rsidRPr="009D43CE">
        <w:t xml:space="preserve">key </w:t>
      </w:r>
      <w:r w:rsidR="00DD7423">
        <w:t>driver in the basin (Fig.4</w:t>
      </w:r>
      <w:r w:rsidR="001B3D74" w:rsidRPr="009D43CE">
        <w:t xml:space="preserve">). </w:t>
      </w:r>
    </w:p>
    <w:p w14:paraId="294D38DA" w14:textId="77777777" w:rsidR="002F4E66" w:rsidRDefault="002F4E66" w:rsidP="006C6677">
      <w:pPr>
        <w:jc w:val="both"/>
        <w:rPr>
          <w:rFonts w:ascii="Calibri" w:hAnsi="Calibri"/>
          <w:color w:val="FF0000"/>
          <w:sz w:val="20"/>
          <w:szCs w:val="20"/>
          <w:lang w:bidi="en-US"/>
        </w:rPr>
      </w:pPr>
      <w:r>
        <w:rPr>
          <w:noProof/>
        </w:rPr>
        <w:drawing>
          <wp:inline distT="0" distB="0" distL="0" distR="0" wp14:anchorId="707394C6" wp14:editId="1D1F6293">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8ADE63" w14:textId="1734166A" w:rsidR="002F4E66" w:rsidRDefault="002F4E66" w:rsidP="002F4E66">
      <w:pPr>
        <w:pStyle w:val="NormalWeb"/>
        <w:spacing w:before="0" w:beforeAutospacing="0" w:after="0" w:afterAutospacing="0" w:line="276" w:lineRule="auto"/>
        <w:jc w:val="center"/>
        <w:rPr>
          <w:b/>
        </w:rPr>
      </w:pPr>
      <w:r>
        <w:rPr>
          <w:b/>
        </w:rPr>
        <w:t xml:space="preserve">Figure </w:t>
      </w:r>
      <w:r w:rsidR="00DD7423">
        <w:rPr>
          <w:b/>
        </w:rPr>
        <w:t>4</w:t>
      </w:r>
      <w:r>
        <w:rPr>
          <w:b/>
        </w:rPr>
        <w:t>: Crop production trend in the Santa Agrarian Basin</w:t>
      </w:r>
    </w:p>
    <w:p w14:paraId="7482319C" w14:textId="62758B82" w:rsidR="002F4E66" w:rsidRPr="002F4E66" w:rsidRDefault="002F4E66" w:rsidP="002F4E66">
      <w:pPr>
        <w:pStyle w:val="NormalWeb"/>
        <w:spacing w:before="0" w:beforeAutospacing="0" w:after="0" w:afterAutospacing="0" w:line="276" w:lineRule="auto"/>
        <w:jc w:val="center"/>
      </w:pPr>
      <w:r w:rsidRPr="002F4E66">
        <w:t>Source: Sub Divisional Delegation of Agriculture and Rural Development</w:t>
      </w:r>
      <w:r w:rsidR="000F53BD">
        <w:t>,</w:t>
      </w:r>
      <w:r w:rsidRPr="002F4E66">
        <w:t xml:space="preserve"> Santa</w:t>
      </w:r>
    </w:p>
    <w:p w14:paraId="41B62FF9" w14:textId="6A6D5C2D" w:rsidR="00C77018" w:rsidRPr="009D43CE" w:rsidRDefault="00B97A55" w:rsidP="002F4E66">
      <w:pPr>
        <w:pStyle w:val="NormalWeb"/>
        <w:spacing w:before="240" w:beforeAutospacing="0" w:after="240" w:afterAutospacing="0" w:line="276" w:lineRule="auto"/>
        <w:jc w:val="both"/>
      </w:pPr>
      <w:r w:rsidRPr="009D43CE">
        <w:t>From 1980 to 1990, all three major food crops experienced steady increases in production. This growth closely followed the widespread availability of surface and groundwater potential in the Santa Agrarian Basin. With surface water accounting for the majority of irrigation during this period, crops like tubers and cereals, which have higher water demands than vegetables, were particularly well sustained. Tubers increased from 12,000 to 13,400 tons, and cereals from 8,500 to 9,500 tons. The steady rise in these crops highlights the importance of perennial surface water sources, especially first- and second-order streams</w:t>
      </w:r>
      <w:r w:rsidR="000F53BD">
        <w:t>,</w:t>
      </w:r>
      <w:r w:rsidRPr="009D43CE">
        <w:t xml:space="preserve"> for consistent agricultural output. During the </w:t>
      </w:r>
      <w:r w:rsidRPr="009D43CE">
        <w:lastRenderedPageBreak/>
        <w:t>1991–2001 decade, even as surface water began to decline due to deforestation and land conversion, groundwater emerged as a critical compensatory resource. This transition supported continued growth across all crops. Tubers increased from 13,300 to 14,470 tons and cereals from 9,400 to 10,210 tons, indicating that water-intensive crops still had sufficient water support through newly installed wells and boreholes. Vegetables, which are more adaptive to smaller-scale irrigation systems like shallow wells, also increased, but the contribution of groundwater to tuber and cereal irrigation was especially crucial during this decade.</w:t>
      </w:r>
      <w:r w:rsidR="00FC3ABB" w:rsidRPr="009D43CE">
        <w:t xml:space="preserve"> </w:t>
      </w:r>
      <w:r w:rsidRPr="009D43CE">
        <w:t xml:space="preserve">From 2002 to 2012, signs of hydrological stress became more visible, and the impact was </w:t>
      </w:r>
      <w:r w:rsidRPr="009D43CE">
        <w:rPr>
          <w:rStyle w:val="Strong"/>
          <w:b w:val="0"/>
        </w:rPr>
        <w:t>more severe on tubers and cereals</w:t>
      </w:r>
      <w:r w:rsidRPr="009D43CE">
        <w:rPr>
          <w:b/>
        </w:rPr>
        <w:t>.</w:t>
      </w:r>
      <w:r w:rsidRPr="009D43CE">
        <w:t xml:space="preserve"> Tubers initially reached a peak of 15,100 tons around 2007–2008, but began to decline thereafter, falling to 12,100 tons by 2009–2010. Cereals also plateaued and then dropped slightly. These crops' performance closely followed the contraction of both surface streams and declining groundwater recovery rates, especially in the southeastern parts of the basin. Farmers increasingly relied on g</w:t>
      </w:r>
      <w:r w:rsidR="000A2EA0">
        <w:t>roundwater, but over-extraction</w:t>
      </w:r>
      <w:r w:rsidRPr="009D43CE">
        <w:t xml:space="preserve"> without recharge began to limit its availability, affecting tuber and cereal yields more dramatically than vegetables, due to their higher water dependency and longer growing cycles.</w:t>
      </w:r>
    </w:p>
    <w:p w14:paraId="055B3881" w14:textId="4C06E60A" w:rsidR="00FC3ABB" w:rsidRPr="009D43CE" w:rsidRDefault="00FC3ABB"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Between 2016 and 2019, crop production data </w:t>
      </w:r>
      <w:r w:rsidR="000F53BD" w:rsidRPr="002E204D">
        <w:rPr>
          <w:rFonts w:ascii="Times New Roman" w:hAnsi="Times New Roman" w:cs="Times New Roman"/>
          <w:sz w:val="24"/>
          <w:szCs w:val="24"/>
          <w:highlight w:val="yellow"/>
        </w:rPr>
        <w:t xml:space="preserve">were </w:t>
      </w:r>
      <w:r w:rsidRPr="009D43CE">
        <w:rPr>
          <w:rFonts w:ascii="Times New Roman" w:hAnsi="Times New Roman" w:cs="Times New Roman"/>
          <w:sz w:val="24"/>
          <w:szCs w:val="24"/>
        </w:rPr>
        <w:t xml:space="preserve">absent due to the sociopolitical crisis in the North West Region, which disrupted farming activities, data collection, and access to agricultural infrastructure. With partial </w:t>
      </w:r>
      <w:r w:rsidR="000F53BD" w:rsidRPr="002E204D">
        <w:rPr>
          <w:rFonts w:ascii="Times New Roman" w:hAnsi="Times New Roman" w:cs="Times New Roman"/>
          <w:sz w:val="24"/>
          <w:szCs w:val="24"/>
          <w:highlight w:val="yellow"/>
        </w:rPr>
        <w:t xml:space="preserve">stabilisation </w:t>
      </w:r>
      <w:r w:rsidRPr="009D43CE">
        <w:rPr>
          <w:rFonts w:ascii="Times New Roman" w:hAnsi="Times New Roman" w:cs="Times New Roman"/>
          <w:sz w:val="24"/>
          <w:szCs w:val="24"/>
        </w:rPr>
        <w:t>beginning around 2019, production resumed but showed mixed results. In 2019–2020, cereals spiked to 14,000 tons, likely due to improved rainfall or temporary gains in groundwater availability after years of underuse. However, tuber and vegetable outputs were lower than historical highs, reflecting uneven recovery. In the following years, a downward trend set in again.</w:t>
      </w:r>
    </w:p>
    <w:p w14:paraId="17936690" w14:textId="3FB3E021" w:rsidR="00C77018" w:rsidRPr="00CD59F8" w:rsidRDefault="00F26E82" w:rsidP="009D43CE">
      <w:pPr>
        <w:pStyle w:val="NormalWeb"/>
        <w:spacing w:before="240" w:beforeAutospacing="0" w:after="240" w:afterAutospacing="0" w:line="276" w:lineRule="auto"/>
        <w:rPr>
          <w:b/>
        </w:rPr>
      </w:pPr>
      <w:r>
        <w:rPr>
          <w:b/>
        </w:rPr>
        <w:t>4</w:t>
      </w:r>
      <w:r w:rsidR="00CD59F8" w:rsidRPr="00CD59F8">
        <w:rPr>
          <w:b/>
        </w:rPr>
        <w:t>.1</w:t>
      </w:r>
      <w:r w:rsidR="00527837" w:rsidRPr="00CD59F8">
        <w:rPr>
          <w:b/>
        </w:rPr>
        <w:t xml:space="preserve">.4 Crop </w:t>
      </w:r>
      <w:r w:rsidR="000F53BD" w:rsidRPr="002E204D">
        <w:rPr>
          <w:b/>
          <w:highlight w:val="yellow"/>
        </w:rPr>
        <w:t xml:space="preserve">Water </w:t>
      </w:r>
      <w:r w:rsidR="003C2FCB" w:rsidRPr="00CD59F8">
        <w:rPr>
          <w:b/>
        </w:rPr>
        <w:t>Requirements in</w:t>
      </w:r>
      <w:r w:rsidR="00527837" w:rsidRPr="00CD59F8">
        <w:rPr>
          <w:b/>
        </w:rPr>
        <w:t xml:space="preserve"> the Santa Agrarian Basin</w:t>
      </w:r>
    </w:p>
    <w:p w14:paraId="0CD2508C" w14:textId="77777777" w:rsidR="0087095E" w:rsidRPr="009D43CE" w:rsidRDefault="0087095E" w:rsidP="009D43CE">
      <w:pPr>
        <w:pStyle w:val="NormalWeb"/>
        <w:spacing w:before="240" w:beforeAutospacing="0" w:after="240" w:afterAutospacing="0" w:line="276" w:lineRule="auto"/>
      </w:pPr>
      <w:r w:rsidRPr="009D43CE">
        <w:t>Plants require a specific amount of water to thrive and achieve optimal growth. When water is not distributed according to these requirements, significant water losses can occur, leading to insufficient irrigation across cultivated areas.</w:t>
      </w:r>
    </w:p>
    <w:p w14:paraId="0003895F" w14:textId="006B58F1" w:rsidR="005E38C2" w:rsidRPr="007F6DED" w:rsidRDefault="00F26E82" w:rsidP="007F6DED">
      <w:pPr>
        <w:pStyle w:val="NormalWeb"/>
        <w:spacing w:before="240" w:beforeAutospacing="0" w:after="240" w:afterAutospacing="0" w:line="276" w:lineRule="auto"/>
      </w:pPr>
      <w:r>
        <w:rPr>
          <w:b/>
        </w:rPr>
        <w:t>4</w:t>
      </w:r>
      <w:r w:rsidR="00527837" w:rsidRPr="00CD59F8">
        <w:rPr>
          <w:b/>
        </w:rPr>
        <w:t>.</w:t>
      </w:r>
      <w:r w:rsidR="00CD59F8" w:rsidRPr="00CD59F8">
        <w:rPr>
          <w:b/>
        </w:rPr>
        <w:t>1.</w:t>
      </w:r>
      <w:r w:rsidR="00527837" w:rsidRPr="00CD59F8">
        <w:rPr>
          <w:b/>
        </w:rPr>
        <w:t xml:space="preserve">4.1 </w:t>
      </w:r>
      <w:r w:rsidR="005E38C2" w:rsidRPr="00CD59F8">
        <w:rPr>
          <w:b/>
        </w:rPr>
        <w:t>Water Requirement of Tomatoes in the Santa Agrarian Basin</w:t>
      </w:r>
    </w:p>
    <w:p w14:paraId="22B9BFC7" w14:textId="329F5706" w:rsidR="007E456A" w:rsidRPr="009D43CE" w:rsidRDefault="007E456A" w:rsidP="009D43CE">
      <w:pPr>
        <w:spacing w:after="0"/>
        <w:jc w:val="both"/>
        <w:rPr>
          <w:rFonts w:ascii="Times New Roman" w:hAnsi="Times New Roman" w:cs="Times New Roman"/>
          <w:b/>
          <w:sz w:val="24"/>
          <w:szCs w:val="24"/>
        </w:rPr>
      </w:pPr>
      <w:r w:rsidRPr="009D43CE">
        <w:rPr>
          <w:rFonts w:ascii="Times New Roman" w:hAnsi="Times New Roman" w:cs="Times New Roman"/>
          <w:sz w:val="24"/>
          <w:szCs w:val="24"/>
        </w:rPr>
        <w:t>Tomato (</w:t>
      </w:r>
      <w:r w:rsidRPr="009D43CE">
        <w:rPr>
          <w:rStyle w:val="Strong"/>
          <w:rFonts w:ascii="Times New Roman" w:hAnsi="Times New Roman" w:cs="Times New Roman"/>
          <w:b w:val="0"/>
          <w:i/>
          <w:iCs/>
          <w:sz w:val="24"/>
          <w:szCs w:val="24"/>
        </w:rPr>
        <w:t>Solanum lycopersicum</w:t>
      </w:r>
      <w:r w:rsidRPr="009D43CE">
        <w:rPr>
          <w:rFonts w:ascii="Times New Roman" w:hAnsi="Times New Roman" w:cs="Times New Roman"/>
          <w:sz w:val="24"/>
          <w:szCs w:val="24"/>
        </w:rPr>
        <w:t>) is one of the most highly demanded market gardening crops within the basin and beyond. It serves as a staple in households, a raw material for agro-industries, and a key ingredien</w:t>
      </w:r>
      <w:r w:rsidR="00E63317">
        <w:rPr>
          <w:rFonts w:ascii="Times New Roman" w:hAnsi="Times New Roman" w:cs="Times New Roman"/>
          <w:sz w:val="24"/>
          <w:szCs w:val="24"/>
        </w:rPr>
        <w:t>t in culinary practices (Table 1</w:t>
      </w:r>
      <w:r w:rsidRPr="009D43CE">
        <w:rPr>
          <w:rFonts w:ascii="Times New Roman" w:hAnsi="Times New Roman" w:cs="Times New Roman"/>
          <w:sz w:val="24"/>
          <w:szCs w:val="24"/>
        </w:rPr>
        <w:t>).</w:t>
      </w:r>
    </w:p>
    <w:p w14:paraId="4AFF0CF6" w14:textId="2320306E" w:rsidR="005E38C2" w:rsidRPr="00CD59F8" w:rsidRDefault="00E63317" w:rsidP="009D43CE">
      <w:pPr>
        <w:spacing w:before="100" w:beforeAutospacing="1" w:after="100" w:afterAutospacing="1"/>
        <w:jc w:val="center"/>
        <w:outlineLvl w:val="2"/>
        <w:rPr>
          <w:rFonts w:ascii="Times New Roman" w:hAnsi="Times New Roman" w:cs="Times New Roman"/>
          <w:b/>
          <w:sz w:val="24"/>
          <w:szCs w:val="24"/>
        </w:rPr>
      </w:pPr>
      <w:r>
        <w:rPr>
          <w:rFonts w:ascii="Times New Roman" w:hAnsi="Times New Roman" w:cs="Times New Roman"/>
          <w:b/>
          <w:sz w:val="24"/>
          <w:szCs w:val="24"/>
        </w:rPr>
        <w:t>Table 1</w:t>
      </w:r>
      <w:r w:rsidR="005E38C2" w:rsidRPr="00CD59F8">
        <w:rPr>
          <w:rFonts w:ascii="Times New Roman" w:hAnsi="Times New Roman" w:cs="Times New Roman"/>
          <w:b/>
          <w:sz w:val="24"/>
          <w:szCs w:val="24"/>
        </w:rPr>
        <w:t>: Water Requirement for Tomatoes in the Santa Agrarian Basin</w:t>
      </w:r>
    </w:p>
    <w:tbl>
      <w:tblPr>
        <w:tblStyle w:val="LightShading"/>
        <w:tblW w:w="7727" w:type="dxa"/>
        <w:jc w:val="center"/>
        <w:tblLook w:val="04A0" w:firstRow="1" w:lastRow="0" w:firstColumn="1" w:lastColumn="0" w:noHBand="0" w:noVBand="1"/>
      </w:tblPr>
      <w:tblGrid>
        <w:gridCol w:w="960"/>
        <w:gridCol w:w="960"/>
        <w:gridCol w:w="960"/>
        <w:gridCol w:w="960"/>
        <w:gridCol w:w="974"/>
        <w:gridCol w:w="971"/>
        <w:gridCol w:w="971"/>
        <w:gridCol w:w="971"/>
      </w:tblGrid>
      <w:tr w:rsidR="005E38C2" w:rsidRPr="00CD59F8" w14:paraId="3186C8A3" w14:textId="77777777" w:rsidTr="00CD59F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A10E99"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Month</w:t>
            </w:r>
          </w:p>
        </w:tc>
        <w:tc>
          <w:tcPr>
            <w:tcW w:w="960" w:type="dxa"/>
            <w:noWrap/>
            <w:hideMark/>
          </w:tcPr>
          <w:p w14:paraId="7EB9E1D7"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Decade</w:t>
            </w:r>
          </w:p>
        </w:tc>
        <w:tc>
          <w:tcPr>
            <w:tcW w:w="960" w:type="dxa"/>
            <w:noWrap/>
            <w:hideMark/>
          </w:tcPr>
          <w:p w14:paraId="3C19E247"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Stage</w:t>
            </w:r>
          </w:p>
        </w:tc>
        <w:tc>
          <w:tcPr>
            <w:tcW w:w="960" w:type="dxa"/>
            <w:noWrap/>
            <w:hideMark/>
          </w:tcPr>
          <w:p w14:paraId="480A8A4B"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Kc</w:t>
            </w:r>
          </w:p>
        </w:tc>
        <w:tc>
          <w:tcPr>
            <w:tcW w:w="974" w:type="dxa"/>
            <w:noWrap/>
            <w:hideMark/>
          </w:tcPr>
          <w:p w14:paraId="57684A8B"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Etc</w:t>
            </w:r>
          </w:p>
        </w:tc>
        <w:tc>
          <w:tcPr>
            <w:tcW w:w="971" w:type="dxa"/>
            <w:noWrap/>
            <w:hideMark/>
          </w:tcPr>
          <w:p w14:paraId="57009488"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Etc</w:t>
            </w:r>
          </w:p>
        </w:tc>
        <w:tc>
          <w:tcPr>
            <w:tcW w:w="971" w:type="dxa"/>
            <w:noWrap/>
            <w:hideMark/>
          </w:tcPr>
          <w:p w14:paraId="4C4EFDAC"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Eff Rain</w:t>
            </w:r>
          </w:p>
        </w:tc>
        <w:tc>
          <w:tcPr>
            <w:tcW w:w="971" w:type="dxa"/>
            <w:noWrap/>
            <w:hideMark/>
          </w:tcPr>
          <w:p w14:paraId="0D668847" w14:textId="77777777" w:rsidR="005E38C2" w:rsidRPr="00CD59F8" w:rsidRDefault="005E38C2"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D59F8">
              <w:rPr>
                <w:rFonts w:ascii="Times New Roman" w:hAnsi="Times New Roman" w:cs="Times New Roman"/>
                <w:b w:val="0"/>
                <w:sz w:val="20"/>
                <w:szCs w:val="20"/>
              </w:rPr>
              <w:t>Irr. Req.</w:t>
            </w:r>
          </w:p>
        </w:tc>
      </w:tr>
      <w:tr w:rsidR="005E38C2" w:rsidRPr="00CD59F8" w14:paraId="698768A9"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CBDB93" w14:textId="77777777" w:rsidR="005E38C2" w:rsidRPr="00CD59F8" w:rsidRDefault="005E38C2" w:rsidP="0012765E">
            <w:pPr>
              <w:jc w:val="center"/>
              <w:rPr>
                <w:rFonts w:ascii="Times New Roman" w:hAnsi="Times New Roman" w:cs="Times New Roman"/>
                <w:sz w:val="20"/>
                <w:szCs w:val="20"/>
              </w:rPr>
            </w:pPr>
          </w:p>
        </w:tc>
        <w:tc>
          <w:tcPr>
            <w:tcW w:w="960" w:type="dxa"/>
            <w:noWrap/>
            <w:hideMark/>
          </w:tcPr>
          <w:p w14:paraId="19B35F6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115F094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05F4622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Coeff</w:t>
            </w:r>
          </w:p>
        </w:tc>
        <w:tc>
          <w:tcPr>
            <w:tcW w:w="974" w:type="dxa"/>
            <w:noWrap/>
            <w:hideMark/>
          </w:tcPr>
          <w:p w14:paraId="0B665F3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mm/day</w:t>
            </w:r>
          </w:p>
        </w:tc>
        <w:tc>
          <w:tcPr>
            <w:tcW w:w="971" w:type="dxa"/>
            <w:noWrap/>
            <w:hideMark/>
          </w:tcPr>
          <w:p w14:paraId="715E994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mm/dec</w:t>
            </w:r>
          </w:p>
        </w:tc>
        <w:tc>
          <w:tcPr>
            <w:tcW w:w="971" w:type="dxa"/>
            <w:noWrap/>
            <w:hideMark/>
          </w:tcPr>
          <w:p w14:paraId="552B9874"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mm/dec</w:t>
            </w:r>
          </w:p>
        </w:tc>
        <w:tc>
          <w:tcPr>
            <w:tcW w:w="971" w:type="dxa"/>
            <w:noWrap/>
            <w:hideMark/>
          </w:tcPr>
          <w:p w14:paraId="04847BA0"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mm/dec</w:t>
            </w:r>
          </w:p>
        </w:tc>
      </w:tr>
      <w:tr w:rsidR="005E38C2" w:rsidRPr="00CD59F8" w14:paraId="598B9469"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C71CC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Dec</w:t>
            </w:r>
          </w:p>
        </w:tc>
        <w:tc>
          <w:tcPr>
            <w:tcW w:w="960" w:type="dxa"/>
            <w:noWrap/>
            <w:hideMark/>
          </w:tcPr>
          <w:p w14:paraId="13A88C30"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4416CB4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Init</w:t>
            </w:r>
          </w:p>
        </w:tc>
        <w:tc>
          <w:tcPr>
            <w:tcW w:w="960" w:type="dxa"/>
            <w:noWrap/>
            <w:hideMark/>
          </w:tcPr>
          <w:p w14:paraId="398050D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4" w:type="dxa"/>
            <w:noWrap/>
            <w:hideMark/>
          </w:tcPr>
          <w:p w14:paraId="0AA9DB8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2.47</w:t>
            </w:r>
          </w:p>
        </w:tc>
        <w:tc>
          <w:tcPr>
            <w:tcW w:w="971" w:type="dxa"/>
            <w:noWrap/>
            <w:hideMark/>
          </w:tcPr>
          <w:p w14:paraId="31570C27"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19.7</w:t>
            </w:r>
          </w:p>
        </w:tc>
        <w:tc>
          <w:tcPr>
            <w:tcW w:w="971" w:type="dxa"/>
            <w:noWrap/>
            <w:hideMark/>
          </w:tcPr>
          <w:p w14:paraId="737A0CA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0.3</w:t>
            </w:r>
          </w:p>
        </w:tc>
        <w:tc>
          <w:tcPr>
            <w:tcW w:w="971" w:type="dxa"/>
            <w:noWrap/>
            <w:hideMark/>
          </w:tcPr>
          <w:p w14:paraId="2C4476BA"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19.5</w:t>
            </w:r>
          </w:p>
        </w:tc>
      </w:tr>
      <w:tr w:rsidR="005E38C2" w:rsidRPr="00CD59F8" w14:paraId="2018A7EE"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C96DF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Jan</w:t>
            </w:r>
          </w:p>
        </w:tc>
        <w:tc>
          <w:tcPr>
            <w:tcW w:w="960" w:type="dxa"/>
            <w:noWrap/>
            <w:hideMark/>
          </w:tcPr>
          <w:p w14:paraId="7C8D67A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57CFB08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Init</w:t>
            </w:r>
          </w:p>
        </w:tc>
        <w:tc>
          <w:tcPr>
            <w:tcW w:w="960" w:type="dxa"/>
            <w:noWrap/>
            <w:hideMark/>
          </w:tcPr>
          <w:p w14:paraId="55B483A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4" w:type="dxa"/>
            <w:noWrap/>
            <w:hideMark/>
          </w:tcPr>
          <w:p w14:paraId="092BC8F5"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w:t>
            </w:r>
          </w:p>
        </w:tc>
        <w:tc>
          <w:tcPr>
            <w:tcW w:w="971" w:type="dxa"/>
            <w:noWrap/>
            <w:hideMark/>
          </w:tcPr>
          <w:p w14:paraId="6FC91B52"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w:t>
            </w:r>
          </w:p>
        </w:tc>
        <w:tc>
          <w:tcPr>
            <w:tcW w:w="971" w:type="dxa"/>
            <w:noWrap/>
            <w:hideMark/>
          </w:tcPr>
          <w:p w14:paraId="1129FB1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1.4</w:t>
            </w:r>
          </w:p>
        </w:tc>
        <w:tc>
          <w:tcPr>
            <w:tcW w:w="971" w:type="dxa"/>
            <w:noWrap/>
            <w:hideMark/>
          </w:tcPr>
          <w:p w14:paraId="1292AD8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23.6</w:t>
            </w:r>
          </w:p>
        </w:tc>
      </w:tr>
      <w:tr w:rsidR="005E38C2" w:rsidRPr="00CD59F8" w14:paraId="5021EC79"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CEF27A8"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lastRenderedPageBreak/>
              <w:t>Jan</w:t>
            </w:r>
          </w:p>
        </w:tc>
        <w:tc>
          <w:tcPr>
            <w:tcW w:w="960" w:type="dxa"/>
            <w:noWrap/>
            <w:hideMark/>
          </w:tcPr>
          <w:p w14:paraId="2DD13BD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4EF1587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Init</w:t>
            </w:r>
          </w:p>
        </w:tc>
        <w:tc>
          <w:tcPr>
            <w:tcW w:w="960" w:type="dxa"/>
            <w:noWrap/>
            <w:hideMark/>
          </w:tcPr>
          <w:p w14:paraId="1BDC5B6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4" w:type="dxa"/>
            <w:noWrap/>
            <w:hideMark/>
          </w:tcPr>
          <w:p w14:paraId="6FAC17E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2.54</w:t>
            </w:r>
          </w:p>
        </w:tc>
        <w:tc>
          <w:tcPr>
            <w:tcW w:w="971" w:type="dxa"/>
            <w:noWrap/>
            <w:hideMark/>
          </w:tcPr>
          <w:p w14:paraId="381EA2D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25.4</w:t>
            </w:r>
          </w:p>
        </w:tc>
        <w:tc>
          <w:tcPr>
            <w:tcW w:w="971" w:type="dxa"/>
            <w:noWrap/>
            <w:hideMark/>
          </w:tcPr>
          <w:p w14:paraId="0A59A70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1.2</w:t>
            </w:r>
          </w:p>
        </w:tc>
        <w:tc>
          <w:tcPr>
            <w:tcW w:w="971" w:type="dxa"/>
            <w:noWrap/>
            <w:hideMark/>
          </w:tcPr>
          <w:p w14:paraId="2C68EB9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24.2</w:t>
            </w:r>
          </w:p>
        </w:tc>
      </w:tr>
      <w:tr w:rsidR="005E38C2" w:rsidRPr="00CD59F8" w14:paraId="3885F155"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79ACC8"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Jan</w:t>
            </w:r>
          </w:p>
        </w:tc>
        <w:tc>
          <w:tcPr>
            <w:tcW w:w="960" w:type="dxa"/>
            <w:noWrap/>
            <w:hideMark/>
          </w:tcPr>
          <w:p w14:paraId="16E651C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1CDCAA1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587724C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0.65</w:t>
            </w:r>
          </w:p>
        </w:tc>
        <w:tc>
          <w:tcPr>
            <w:tcW w:w="974" w:type="dxa"/>
            <w:noWrap/>
            <w:hideMark/>
          </w:tcPr>
          <w:p w14:paraId="6DCAC500"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2.9</w:t>
            </w:r>
          </w:p>
        </w:tc>
        <w:tc>
          <w:tcPr>
            <w:tcW w:w="971" w:type="dxa"/>
            <w:noWrap/>
            <w:hideMark/>
          </w:tcPr>
          <w:p w14:paraId="16F4819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31.9</w:t>
            </w:r>
          </w:p>
        </w:tc>
        <w:tc>
          <w:tcPr>
            <w:tcW w:w="971" w:type="dxa"/>
            <w:noWrap/>
            <w:hideMark/>
          </w:tcPr>
          <w:p w14:paraId="3D1D648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2.1</w:t>
            </w:r>
          </w:p>
        </w:tc>
        <w:tc>
          <w:tcPr>
            <w:tcW w:w="971" w:type="dxa"/>
            <w:noWrap/>
            <w:hideMark/>
          </w:tcPr>
          <w:p w14:paraId="2BA6C95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29.8</w:t>
            </w:r>
          </w:p>
        </w:tc>
      </w:tr>
      <w:tr w:rsidR="005E38C2" w:rsidRPr="00CD59F8" w14:paraId="0F0DB655"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88199B"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Feb</w:t>
            </w:r>
          </w:p>
        </w:tc>
        <w:tc>
          <w:tcPr>
            <w:tcW w:w="960" w:type="dxa"/>
            <w:noWrap/>
            <w:hideMark/>
          </w:tcPr>
          <w:p w14:paraId="514B0CF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473D991A"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212762D3"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0.79</w:t>
            </w:r>
          </w:p>
        </w:tc>
        <w:tc>
          <w:tcPr>
            <w:tcW w:w="974" w:type="dxa"/>
            <w:noWrap/>
            <w:hideMark/>
          </w:tcPr>
          <w:p w14:paraId="7F06ED1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3.67</w:t>
            </w:r>
          </w:p>
        </w:tc>
        <w:tc>
          <w:tcPr>
            <w:tcW w:w="971" w:type="dxa"/>
            <w:noWrap/>
            <w:hideMark/>
          </w:tcPr>
          <w:p w14:paraId="47C2DDFB"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36.7</w:t>
            </w:r>
          </w:p>
        </w:tc>
        <w:tc>
          <w:tcPr>
            <w:tcW w:w="971" w:type="dxa"/>
            <w:noWrap/>
            <w:hideMark/>
          </w:tcPr>
          <w:p w14:paraId="19CAB07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0.9</w:t>
            </w:r>
          </w:p>
        </w:tc>
        <w:tc>
          <w:tcPr>
            <w:tcW w:w="971" w:type="dxa"/>
            <w:noWrap/>
            <w:hideMark/>
          </w:tcPr>
          <w:p w14:paraId="0FDF92C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35.8</w:t>
            </w:r>
          </w:p>
        </w:tc>
      </w:tr>
      <w:tr w:rsidR="005E38C2" w:rsidRPr="00CD59F8" w14:paraId="2593BA72"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18818B"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Feb</w:t>
            </w:r>
          </w:p>
        </w:tc>
        <w:tc>
          <w:tcPr>
            <w:tcW w:w="960" w:type="dxa"/>
            <w:noWrap/>
            <w:hideMark/>
          </w:tcPr>
          <w:p w14:paraId="732E80D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5A11C605"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76E688D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0.92</w:t>
            </w:r>
          </w:p>
        </w:tc>
        <w:tc>
          <w:tcPr>
            <w:tcW w:w="974" w:type="dxa"/>
            <w:noWrap/>
            <w:hideMark/>
          </w:tcPr>
          <w:p w14:paraId="051D07A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4.47</w:t>
            </w:r>
          </w:p>
        </w:tc>
        <w:tc>
          <w:tcPr>
            <w:tcW w:w="971" w:type="dxa"/>
            <w:noWrap/>
            <w:hideMark/>
          </w:tcPr>
          <w:p w14:paraId="45BAB62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44.7</w:t>
            </w:r>
          </w:p>
        </w:tc>
        <w:tc>
          <w:tcPr>
            <w:tcW w:w="971" w:type="dxa"/>
            <w:noWrap/>
            <w:hideMark/>
          </w:tcPr>
          <w:p w14:paraId="26EBE4D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0.6</w:t>
            </w:r>
          </w:p>
        </w:tc>
        <w:tc>
          <w:tcPr>
            <w:tcW w:w="971" w:type="dxa"/>
            <w:noWrap/>
            <w:hideMark/>
          </w:tcPr>
          <w:p w14:paraId="42B7F08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44.1</w:t>
            </w:r>
          </w:p>
        </w:tc>
      </w:tr>
      <w:tr w:rsidR="005E38C2" w:rsidRPr="00CD59F8" w14:paraId="328FAD26"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6478D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Feb</w:t>
            </w:r>
          </w:p>
        </w:tc>
        <w:tc>
          <w:tcPr>
            <w:tcW w:w="960" w:type="dxa"/>
            <w:noWrap/>
            <w:hideMark/>
          </w:tcPr>
          <w:p w14:paraId="3C7D7AC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34DBB22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Deve</w:t>
            </w:r>
          </w:p>
        </w:tc>
        <w:tc>
          <w:tcPr>
            <w:tcW w:w="960" w:type="dxa"/>
            <w:noWrap/>
            <w:hideMark/>
          </w:tcPr>
          <w:p w14:paraId="6B4E732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1.04</w:t>
            </w:r>
          </w:p>
        </w:tc>
        <w:tc>
          <w:tcPr>
            <w:tcW w:w="974" w:type="dxa"/>
            <w:noWrap/>
            <w:hideMark/>
          </w:tcPr>
          <w:p w14:paraId="3BA4C270"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4.97</w:t>
            </w:r>
          </w:p>
        </w:tc>
        <w:tc>
          <w:tcPr>
            <w:tcW w:w="971" w:type="dxa"/>
            <w:noWrap/>
            <w:hideMark/>
          </w:tcPr>
          <w:p w14:paraId="3AC414B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39.7</w:t>
            </w:r>
          </w:p>
        </w:tc>
        <w:tc>
          <w:tcPr>
            <w:tcW w:w="971" w:type="dxa"/>
            <w:noWrap/>
            <w:hideMark/>
          </w:tcPr>
          <w:p w14:paraId="0F5C462B"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10.3</w:t>
            </w:r>
          </w:p>
        </w:tc>
        <w:tc>
          <w:tcPr>
            <w:tcW w:w="971" w:type="dxa"/>
            <w:noWrap/>
            <w:hideMark/>
          </w:tcPr>
          <w:p w14:paraId="61FC993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29.4</w:t>
            </w:r>
          </w:p>
        </w:tc>
      </w:tr>
      <w:tr w:rsidR="005E38C2" w:rsidRPr="00CD59F8" w14:paraId="1129BD78"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F26B89"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Mar</w:t>
            </w:r>
          </w:p>
        </w:tc>
        <w:tc>
          <w:tcPr>
            <w:tcW w:w="960" w:type="dxa"/>
            <w:noWrap/>
            <w:hideMark/>
          </w:tcPr>
          <w:p w14:paraId="0B1453B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25DC715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14F5ED7B"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1.12</w:t>
            </w:r>
          </w:p>
        </w:tc>
        <w:tc>
          <w:tcPr>
            <w:tcW w:w="974" w:type="dxa"/>
            <w:noWrap/>
            <w:hideMark/>
          </w:tcPr>
          <w:p w14:paraId="39A4425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5.27</w:t>
            </w:r>
          </w:p>
        </w:tc>
        <w:tc>
          <w:tcPr>
            <w:tcW w:w="971" w:type="dxa"/>
            <w:noWrap/>
            <w:hideMark/>
          </w:tcPr>
          <w:p w14:paraId="6D925926"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52.7</w:t>
            </w:r>
          </w:p>
        </w:tc>
        <w:tc>
          <w:tcPr>
            <w:tcW w:w="971" w:type="dxa"/>
            <w:noWrap/>
            <w:hideMark/>
          </w:tcPr>
          <w:p w14:paraId="2272FA92"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22.7</w:t>
            </w:r>
          </w:p>
        </w:tc>
        <w:tc>
          <w:tcPr>
            <w:tcW w:w="971" w:type="dxa"/>
            <w:noWrap/>
            <w:hideMark/>
          </w:tcPr>
          <w:p w14:paraId="30037EF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30</w:t>
            </w:r>
          </w:p>
        </w:tc>
      </w:tr>
      <w:tr w:rsidR="005E38C2" w:rsidRPr="00CD59F8" w14:paraId="6E1AFAFA"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5656E0"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Mar</w:t>
            </w:r>
          </w:p>
        </w:tc>
        <w:tc>
          <w:tcPr>
            <w:tcW w:w="960" w:type="dxa"/>
            <w:noWrap/>
            <w:hideMark/>
          </w:tcPr>
          <w:p w14:paraId="504F7E48"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14AC5EC2"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33BC00B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1.13</w:t>
            </w:r>
          </w:p>
        </w:tc>
        <w:tc>
          <w:tcPr>
            <w:tcW w:w="974" w:type="dxa"/>
            <w:noWrap/>
            <w:hideMark/>
          </w:tcPr>
          <w:p w14:paraId="4E73FD7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w:t>
            </w:r>
          </w:p>
        </w:tc>
        <w:tc>
          <w:tcPr>
            <w:tcW w:w="971" w:type="dxa"/>
            <w:noWrap/>
            <w:hideMark/>
          </w:tcPr>
          <w:p w14:paraId="52D0872A"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52</w:t>
            </w:r>
          </w:p>
        </w:tc>
        <w:tc>
          <w:tcPr>
            <w:tcW w:w="971" w:type="dxa"/>
            <w:noWrap/>
            <w:hideMark/>
          </w:tcPr>
          <w:p w14:paraId="24DE3F8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32</w:t>
            </w:r>
          </w:p>
        </w:tc>
        <w:tc>
          <w:tcPr>
            <w:tcW w:w="971" w:type="dxa"/>
            <w:noWrap/>
            <w:hideMark/>
          </w:tcPr>
          <w:p w14:paraId="7D38261C"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20</w:t>
            </w:r>
          </w:p>
        </w:tc>
      </w:tr>
      <w:tr w:rsidR="005E38C2" w:rsidRPr="00CD59F8" w14:paraId="6187FE15"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1B3DF0"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Mar</w:t>
            </w:r>
          </w:p>
        </w:tc>
        <w:tc>
          <w:tcPr>
            <w:tcW w:w="960" w:type="dxa"/>
            <w:noWrap/>
            <w:hideMark/>
          </w:tcPr>
          <w:p w14:paraId="5C23D011"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64F1F8A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31DC649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1.13</w:t>
            </w:r>
          </w:p>
        </w:tc>
        <w:tc>
          <w:tcPr>
            <w:tcW w:w="974" w:type="dxa"/>
            <w:noWrap/>
            <w:hideMark/>
          </w:tcPr>
          <w:p w14:paraId="6F0C242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4.98</w:t>
            </w:r>
          </w:p>
        </w:tc>
        <w:tc>
          <w:tcPr>
            <w:tcW w:w="971" w:type="dxa"/>
            <w:noWrap/>
            <w:hideMark/>
          </w:tcPr>
          <w:p w14:paraId="3FD520C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54.7</w:t>
            </w:r>
          </w:p>
        </w:tc>
        <w:tc>
          <w:tcPr>
            <w:tcW w:w="971" w:type="dxa"/>
            <w:noWrap/>
            <w:hideMark/>
          </w:tcPr>
          <w:p w14:paraId="6E5735F3"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34.6</w:t>
            </w:r>
          </w:p>
        </w:tc>
        <w:tc>
          <w:tcPr>
            <w:tcW w:w="971" w:type="dxa"/>
            <w:noWrap/>
            <w:hideMark/>
          </w:tcPr>
          <w:p w14:paraId="22BDAC4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20.1</w:t>
            </w:r>
          </w:p>
        </w:tc>
      </w:tr>
      <w:tr w:rsidR="005E38C2" w:rsidRPr="00CD59F8" w14:paraId="5B28CD61"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2B4BFD"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Apr</w:t>
            </w:r>
          </w:p>
        </w:tc>
        <w:tc>
          <w:tcPr>
            <w:tcW w:w="960" w:type="dxa"/>
            <w:noWrap/>
            <w:hideMark/>
          </w:tcPr>
          <w:p w14:paraId="4D0EF30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518DAC9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Mid</w:t>
            </w:r>
          </w:p>
        </w:tc>
        <w:tc>
          <w:tcPr>
            <w:tcW w:w="960" w:type="dxa"/>
            <w:noWrap/>
            <w:hideMark/>
          </w:tcPr>
          <w:p w14:paraId="4322989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1.13</w:t>
            </w:r>
          </w:p>
        </w:tc>
        <w:tc>
          <w:tcPr>
            <w:tcW w:w="974" w:type="dxa"/>
            <w:noWrap/>
            <w:hideMark/>
          </w:tcPr>
          <w:p w14:paraId="21447EC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4.75</w:t>
            </w:r>
          </w:p>
        </w:tc>
        <w:tc>
          <w:tcPr>
            <w:tcW w:w="971" w:type="dxa"/>
            <w:noWrap/>
            <w:hideMark/>
          </w:tcPr>
          <w:p w14:paraId="5BC021F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47.5</w:t>
            </w:r>
          </w:p>
        </w:tc>
        <w:tc>
          <w:tcPr>
            <w:tcW w:w="971" w:type="dxa"/>
            <w:noWrap/>
            <w:hideMark/>
          </w:tcPr>
          <w:p w14:paraId="74E39E6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37</w:t>
            </w:r>
          </w:p>
        </w:tc>
        <w:tc>
          <w:tcPr>
            <w:tcW w:w="971" w:type="dxa"/>
            <w:noWrap/>
            <w:hideMark/>
          </w:tcPr>
          <w:p w14:paraId="5B40AC8F"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10.4</w:t>
            </w:r>
          </w:p>
        </w:tc>
      </w:tr>
      <w:tr w:rsidR="005E38C2" w:rsidRPr="00CD59F8" w14:paraId="14FDD267"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5BDD80"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Apr</w:t>
            </w:r>
          </w:p>
        </w:tc>
        <w:tc>
          <w:tcPr>
            <w:tcW w:w="960" w:type="dxa"/>
            <w:noWrap/>
            <w:hideMark/>
          </w:tcPr>
          <w:p w14:paraId="2A4D5A7B"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7494F87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120E1BD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1.12</w:t>
            </w:r>
          </w:p>
        </w:tc>
        <w:tc>
          <w:tcPr>
            <w:tcW w:w="974" w:type="dxa"/>
            <w:noWrap/>
            <w:hideMark/>
          </w:tcPr>
          <w:p w14:paraId="424F031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4.49</w:t>
            </w:r>
          </w:p>
        </w:tc>
        <w:tc>
          <w:tcPr>
            <w:tcW w:w="971" w:type="dxa"/>
            <w:noWrap/>
            <w:hideMark/>
          </w:tcPr>
          <w:p w14:paraId="6C373A9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44.9</w:t>
            </w:r>
          </w:p>
        </w:tc>
        <w:tc>
          <w:tcPr>
            <w:tcW w:w="971" w:type="dxa"/>
            <w:noWrap/>
            <w:hideMark/>
          </w:tcPr>
          <w:p w14:paraId="1DD0730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40.7</w:t>
            </w:r>
          </w:p>
        </w:tc>
        <w:tc>
          <w:tcPr>
            <w:tcW w:w="971" w:type="dxa"/>
            <w:noWrap/>
            <w:hideMark/>
          </w:tcPr>
          <w:p w14:paraId="60D98CD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4.3</w:t>
            </w:r>
          </w:p>
        </w:tc>
      </w:tr>
      <w:tr w:rsidR="005E38C2" w:rsidRPr="00CD59F8" w14:paraId="425BC57A"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7D8445"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Apr</w:t>
            </w:r>
          </w:p>
        </w:tc>
        <w:tc>
          <w:tcPr>
            <w:tcW w:w="960" w:type="dxa"/>
            <w:noWrap/>
            <w:hideMark/>
          </w:tcPr>
          <w:p w14:paraId="3248368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w:t>
            </w:r>
          </w:p>
        </w:tc>
        <w:tc>
          <w:tcPr>
            <w:tcW w:w="960" w:type="dxa"/>
            <w:noWrap/>
            <w:hideMark/>
          </w:tcPr>
          <w:p w14:paraId="17602B90"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5F740356"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1.02</w:t>
            </w:r>
          </w:p>
        </w:tc>
        <w:tc>
          <w:tcPr>
            <w:tcW w:w="974" w:type="dxa"/>
            <w:noWrap/>
            <w:hideMark/>
          </w:tcPr>
          <w:p w14:paraId="00B0D3C9"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4.03</w:t>
            </w:r>
          </w:p>
        </w:tc>
        <w:tc>
          <w:tcPr>
            <w:tcW w:w="971" w:type="dxa"/>
            <w:noWrap/>
            <w:hideMark/>
          </w:tcPr>
          <w:p w14:paraId="1AB97BD2"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40.3</w:t>
            </w:r>
          </w:p>
        </w:tc>
        <w:tc>
          <w:tcPr>
            <w:tcW w:w="971" w:type="dxa"/>
            <w:noWrap/>
            <w:hideMark/>
          </w:tcPr>
          <w:p w14:paraId="58CFEAC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41.5</w:t>
            </w:r>
          </w:p>
        </w:tc>
        <w:tc>
          <w:tcPr>
            <w:tcW w:w="971" w:type="dxa"/>
            <w:noWrap/>
            <w:hideMark/>
          </w:tcPr>
          <w:p w14:paraId="3B6F92B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w:t>
            </w:r>
          </w:p>
        </w:tc>
      </w:tr>
      <w:tr w:rsidR="005E38C2" w:rsidRPr="00CD59F8" w14:paraId="75851DD5"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B3BB1A"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May</w:t>
            </w:r>
          </w:p>
        </w:tc>
        <w:tc>
          <w:tcPr>
            <w:tcW w:w="960" w:type="dxa"/>
            <w:noWrap/>
            <w:hideMark/>
          </w:tcPr>
          <w:p w14:paraId="6B1DAFDB"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1</w:t>
            </w:r>
          </w:p>
        </w:tc>
        <w:tc>
          <w:tcPr>
            <w:tcW w:w="960" w:type="dxa"/>
            <w:noWrap/>
            <w:hideMark/>
          </w:tcPr>
          <w:p w14:paraId="6CF05579"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5B0BF8F8"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0.9</w:t>
            </w:r>
          </w:p>
        </w:tc>
        <w:tc>
          <w:tcPr>
            <w:tcW w:w="974" w:type="dxa"/>
            <w:noWrap/>
            <w:hideMark/>
          </w:tcPr>
          <w:p w14:paraId="755B1F3A"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3.48</w:t>
            </w:r>
          </w:p>
        </w:tc>
        <w:tc>
          <w:tcPr>
            <w:tcW w:w="971" w:type="dxa"/>
            <w:noWrap/>
            <w:hideMark/>
          </w:tcPr>
          <w:p w14:paraId="43C9EBC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34.8</w:t>
            </w:r>
          </w:p>
        </w:tc>
        <w:tc>
          <w:tcPr>
            <w:tcW w:w="971" w:type="dxa"/>
            <w:noWrap/>
            <w:hideMark/>
          </w:tcPr>
          <w:p w14:paraId="346821DE"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42.1</w:t>
            </w:r>
          </w:p>
        </w:tc>
        <w:tc>
          <w:tcPr>
            <w:tcW w:w="971" w:type="dxa"/>
            <w:noWrap/>
            <w:hideMark/>
          </w:tcPr>
          <w:p w14:paraId="19E807EF"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w:t>
            </w:r>
          </w:p>
        </w:tc>
      </w:tr>
      <w:tr w:rsidR="005E38C2" w:rsidRPr="00CD59F8" w14:paraId="04CC7995" w14:textId="77777777" w:rsidTr="00CD59F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D6758F" w14:textId="77777777" w:rsidR="005E38C2" w:rsidRPr="00CD59F8" w:rsidRDefault="005E38C2" w:rsidP="0012765E">
            <w:pPr>
              <w:jc w:val="center"/>
              <w:rPr>
                <w:rFonts w:ascii="Times New Roman" w:hAnsi="Times New Roman" w:cs="Times New Roman"/>
                <w:b w:val="0"/>
                <w:sz w:val="20"/>
                <w:szCs w:val="20"/>
              </w:rPr>
            </w:pPr>
            <w:r w:rsidRPr="00CD59F8">
              <w:rPr>
                <w:rFonts w:ascii="Times New Roman" w:hAnsi="Times New Roman" w:cs="Times New Roman"/>
                <w:b w:val="0"/>
                <w:sz w:val="20"/>
                <w:szCs w:val="20"/>
              </w:rPr>
              <w:t>May</w:t>
            </w:r>
          </w:p>
        </w:tc>
        <w:tc>
          <w:tcPr>
            <w:tcW w:w="960" w:type="dxa"/>
            <w:noWrap/>
            <w:hideMark/>
          </w:tcPr>
          <w:p w14:paraId="5468A81E"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w:t>
            </w:r>
          </w:p>
        </w:tc>
        <w:tc>
          <w:tcPr>
            <w:tcW w:w="960" w:type="dxa"/>
            <w:noWrap/>
            <w:hideMark/>
          </w:tcPr>
          <w:p w14:paraId="4E06777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Late</w:t>
            </w:r>
          </w:p>
        </w:tc>
        <w:tc>
          <w:tcPr>
            <w:tcW w:w="960" w:type="dxa"/>
            <w:noWrap/>
            <w:hideMark/>
          </w:tcPr>
          <w:p w14:paraId="6920FD25"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0.8</w:t>
            </w:r>
          </w:p>
        </w:tc>
        <w:tc>
          <w:tcPr>
            <w:tcW w:w="974" w:type="dxa"/>
            <w:noWrap/>
            <w:hideMark/>
          </w:tcPr>
          <w:p w14:paraId="319C5F24"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3.01</w:t>
            </w:r>
          </w:p>
        </w:tc>
        <w:tc>
          <w:tcPr>
            <w:tcW w:w="971" w:type="dxa"/>
            <w:noWrap/>
            <w:hideMark/>
          </w:tcPr>
          <w:p w14:paraId="56FAB4BB"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21.1</w:t>
            </w:r>
          </w:p>
        </w:tc>
        <w:tc>
          <w:tcPr>
            <w:tcW w:w="971" w:type="dxa"/>
            <w:noWrap/>
            <w:hideMark/>
          </w:tcPr>
          <w:p w14:paraId="6AF43CCD"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30.3</w:t>
            </w:r>
          </w:p>
        </w:tc>
        <w:tc>
          <w:tcPr>
            <w:tcW w:w="971" w:type="dxa"/>
            <w:noWrap/>
            <w:hideMark/>
          </w:tcPr>
          <w:p w14:paraId="36CD80A1" w14:textId="77777777" w:rsidR="005E38C2" w:rsidRPr="00CD59F8" w:rsidRDefault="005E38C2"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59F8">
              <w:rPr>
                <w:rFonts w:ascii="Times New Roman" w:hAnsi="Times New Roman" w:cs="Times New Roman"/>
                <w:sz w:val="20"/>
                <w:szCs w:val="20"/>
              </w:rPr>
              <w:t>0</w:t>
            </w:r>
          </w:p>
        </w:tc>
      </w:tr>
      <w:tr w:rsidR="005E38C2" w:rsidRPr="00CD59F8" w14:paraId="3CA3B2AE" w14:textId="77777777" w:rsidTr="00CD59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60FB7B" w14:textId="77777777" w:rsidR="005E38C2" w:rsidRPr="00CD59F8" w:rsidRDefault="005E38C2" w:rsidP="0012765E">
            <w:pPr>
              <w:jc w:val="center"/>
              <w:rPr>
                <w:rFonts w:ascii="Times New Roman" w:hAnsi="Times New Roman" w:cs="Times New Roman"/>
                <w:b w:val="0"/>
                <w:sz w:val="20"/>
                <w:szCs w:val="20"/>
              </w:rPr>
            </w:pPr>
          </w:p>
        </w:tc>
        <w:tc>
          <w:tcPr>
            <w:tcW w:w="960" w:type="dxa"/>
            <w:noWrap/>
            <w:hideMark/>
          </w:tcPr>
          <w:p w14:paraId="2A9C79EC"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60" w:type="dxa"/>
            <w:noWrap/>
            <w:hideMark/>
          </w:tcPr>
          <w:p w14:paraId="4FFE1D36"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60" w:type="dxa"/>
            <w:noWrap/>
            <w:hideMark/>
          </w:tcPr>
          <w:p w14:paraId="62B38F96"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74" w:type="dxa"/>
            <w:noWrap/>
            <w:hideMark/>
          </w:tcPr>
          <w:p w14:paraId="1D9847B5"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971" w:type="dxa"/>
            <w:noWrap/>
            <w:hideMark/>
          </w:tcPr>
          <w:p w14:paraId="7603B8E7"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D59F8">
              <w:rPr>
                <w:rFonts w:ascii="Times New Roman" w:hAnsi="Times New Roman" w:cs="Times New Roman"/>
                <w:b/>
                <w:sz w:val="20"/>
                <w:szCs w:val="20"/>
              </w:rPr>
              <w:t>571.3</w:t>
            </w:r>
          </w:p>
        </w:tc>
        <w:tc>
          <w:tcPr>
            <w:tcW w:w="971" w:type="dxa"/>
            <w:noWrap/>
            <w:hideMark/>
          </w:tcPr>
          <w:p w14:paraId="07D96112"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D59F8">
              <w:rPr>
                <w:rFonts w:ascii="Times New Roman" w:hAnsi="Times New Roman" w:cs="Times New Roman"/>
                <w:b/>
                <w:sz w:val="20"/>
                <w:szCs w:val="20"/>
              </w:rPr>
              <w:t>297.9</w:t>
            </w:r>
          </w:p>
        </w:tc>
        <w:tc>
          <w:tcPr>
            <w:tcW w:w="971" w:type="dxa"/>
            <w:noWrap/>
            <w:hideMark/>
          </w:tcPr>
          <w:p w14:paraId="396D996D" w14:textId="77777777" w:rsidR="005E38C2" w:rsidRPr="00CD59F8" w:rsidRDefault="005E38C2"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D59F8">
              <w:rPr>
                <w:rFonts w:ascii="Times New Roman" w:hAnsi="Times New Roman" w:cs="Times New Roman"/>
                <w:b/>
                <w:sz w:val="20"/>
                <w:szCs w:val="20"/>
              </w:rPr>
              <w:t>291.3</w:t>
            </w:r>
          </w:p>
        </w:tc>
      </w:tr>
    </w:tbl>
    <w:p w14:paraId="6F0A8D02" w14:textId="77777777" w:rsidR="00C77018" w:rsidRPr="009D43CE" w:rsidRDefault="00AD1CAD" w:rsidP="009D43CE">
      <w:pPr>
        <w:pStyle w:val="NormalWeb"/>
        <w:spacing w:line="276" w:lineRule="auto"/>
        <w:jc w:val="center"/>
      </w:pPr>
      <w:r w:rsidRPr="009D43CE">
        <w:t xml:space="preserve">Source: </w:t>
      </w:r>
      <w:r w:rsidRPr="009D43CE">
        <w:rPr>
          <w:color w:val="000000"/>
        </w:rPr>
        <w:t>CROPWAT 8.0 and Fieldwork, 2024</w:t>
      </w:r>
    </w:p>
    <w:p w14:paraId="7FB4406D" w14:textId="3933CE6A" w:rsidR="00C8277F" w:rsidRPr="009D43CE" w:rsidRDefault="00A47C61" w:rsidP="007F6DED">
      <w:pPr>
        <w:jc w:val="both"/>
        <w:rPr>
          <w:rFonts w:ascii="Times New Roman" w:hAnsi="Times New Roman" w:cs="Times New Roman"/>
          <w:sz w:val="24"/>
          <w:szCs w:val="24"/>
        </w:rPr>
      </w:pPr>
      <w:r w:rsidRPr="009D43CE">
        <w:rPr>
          <w:rFonts w:ascii="Times New Roman" w:hAnsi="Times New Roman" w:cs="Times New Roman"/>
          <w:sz w:val="24"/>
          <w:szCs w:val="24"/>
        </w:rPr>
        <w:t>According</w:t>
      </w:r>
      <w:r w:rsidR="00E63317">
        <w:rPr>
          <w:rFonts w:ascii="Times New Roman" w:hAnsi="Times New Roman" w:cs="Times New Roman"/>
          <w:sz w:val="24"/>
          <w:szCs w:val="24"/>
        </w:rPr>
        <w:t xml:space="preserve"> </w:t>
      </w:r>
      <w:r w:rsidR="000F53BD" w:rsidRPr="002E204D">
        <w:rPr>
          <w:rFonts w:ascii="Times New Roman" w:hAnsi="Times New Roman" w:cs="Times New Roman"/>
          <w:sz w:val="24"/>
          <w:szCs w:val="24"/>
          <w:highlight w:val="yellow"/>
        </w:rPr>
        <w:t>to</w:t>
      </w:r>
      <w:r w:rsidR="000F53BD">
        <w:rPr>
          <w:rFonts w:ascii="Times New Roman" w:hAnsi="Times New Roman" w:cs="Times New Roman"/>
          <w:sz w:val="24"/>
          <w:szCs w:val="24"/>
        </w:rPr>
        <w:t xml:space="preserve"> </w:t>
      </w:r>
      <w:r w:rsidR="00E63317">
        <w:rPr>
          <w:rFonts w:ascii="Times New Roman" w:hAnsi="Times New Roman" w:cs="Times New Roman"/>
          <w:sz w:val="24"/>
          <w:szCs w:val="24"/>
        </w:rPr>
        <w:t>Table 1</w:t>
      </w:r>
      <w:r w:rsidR="004368BF" w:rsidRPr="009D43CE">
        <w:rPr>
          <w:rFonts w:ascii="Times New Roman" w:hAnsi="Times New Roman" w:cs="Times New Roman"/>
          <w:sz w:val="24"/>
          <w:szCs w:val="24"/>
        </w:rPr>
        <w:t>, d</w:t>
      </w:r>
      <w:r w:rsidR="007E456A" w:rsidRPr="009D43CE">
        <w:rPr>
          <w:rFonts w:ascii="Times New Roman" w:hAnsi="Times New Roman" w:cs="Times New Roman"/>
          <w:sz w:val="24"/>
          <w:szCs w:val="24"/>
        </w:rPr>
        <w:t>uring the initial stage, the crop coefficient (Kc) is relatively low, indicating reduced water requirements as seedlings establish and focus on root development. As the plants progress into the development stage, their water needs increase significantly due to vigorous vegetative growth and fruit formation. Over the entire growing season, tomatoes require 571.3 mm of water. Effective rainfall contributes 297.9 mm, leaving 291.3 mm to be supplied through irrigation. The tomato crop takes 145 days from planting to harvesting.</w:t>
      </w:r>
    </w:p>
    <w:p w14:paraId="1A7CD248" w14:textId="72AA36C4" w:rsidR="00C8277F" w:rsidRPr="0012765E" w:rsidRDefault="00F26E82" w:rsidP="009D43CE">
      <w:pPr>
        <w:pStyle w:val="NormalWeb"/>
        <w:spacing w:before="0" w:beforeAutospacing="0" w:after="0" w:afterAutospacing="0" w:line="276" w:lineRule="auto"/>
        <w:jc w:val="both"/>
        <w:rPr>
          <w:b/>
        </w:rPr>
      </w:pPr>
      <w:r>
        <w:rPr>
          <w:b/>
        </w:rPr>
        <w:t>4</w:t>
      </w:r>
      <w:r w:rsidR="00C8277F" w:rsidRPr="0012765E">
        <w:rPr>
          <w:b/>
        </w:rPr>
        <w:t>.</w:t>
      </w:r>
      <w:r w:rsidR="0012765E" w:rsidRPr="0012765E">
        <w:rPr>
          <w:b/>
        </w:rPr>
        <w:t>1.4</w:t>
      </w:r>
      <w:r w:rsidR="001E540C">
        <w:rPr>
          <w:b/>
        </w:rPr>
        <w:t>.2</w:t>
      </w:r>
      <w:r w:rsidR="00C8277F" w:rsidRPr="0012765E">
        <w:rPr>
          <w:b/>
        </w:rPr>
        <w:t xml:space="preserve"> Water Requirement for Irish </w:t>
      </w:r>
      <w:r w:rsidR="000F53BD" w:rsidRPr="002E204D">
        <w:rPr>
          <w:b/>
          <w:highlight w:val="yellow"/>
        </w:rPr>
        <w:t xml:space="preserve">Potatoes </w:t>
      </w:r>
      <w:r w:rsidR="00C8277F" w:rsidRPr="0012765E">
        <w:rPr>
          <w:b/>
        </w:rPr>
        <w:t>in the Santa Agrarian Basin</w:t>
      </w:r>
    </w:p>
    <w:p w14:paraId="419BE108" w14:textId="3B20DE5D" w:rsidR="00C8277F" w:rsidRPr="009D43CE" w:rsidRDefault="00503BE8" w:rsidP="009D43CE">
      <w:pPr>
        <w:pStyle w:val="NormalWeb"/>
        <w:spacing w:before="0" w:beforeAutospacing="0" w:after="0" w:afterAutospacing="0" w:line="276" w:lineRule="auto"/>
        <w:jc w:val="both"/>
      </w:pPr>
      <w:r w:rsidRPr="009D43CE">
        <w:t xml:space="preserve">Irish </w:t>
      </w:r>
      <w:r w:rsidR="000F53BD" w:rsidRPr="002E204D">
        <w:rPr>
          <w:highlight w:val="yellow"/>
        </w:rPr>
        <w:t xml:space="preserve">potato </w:t>
      </w:r>
      <w:r w:rsidRPr="009D43CE">
        <w:t>(</w:t>
      </w:r>
      <w:r w:rsidRPr="009D43CE">
        <w:rPr>
          <w:rStyle w:val="Emphasis"/>
        </w:rPr>
        <w:t>Solanum tuberosum</w:t>
      </w:r>
      <w:r w:rsidRPr="009D43CE">
        <w:t xml:space="preserve">) is the most widely cultivated root </w:t>
      </w:r>
      <w:r w:rsidR="000F53BD" w:rsidRPr="002E204D">
        <w:rPr>
          <w:highlight w:val="yellow"/>
        </w:rPr>
        <w:t xml:space="preserve">crop </w:t>
      </w:r>
      <w:r w:rsidRPr="009D43CE">
        <w:t xml:space="preserve">in the Santa Basin. The water requirements of Irish potatoes vary significantly across their </w:t>
      </w:r>
      <w:r w:rsidR="00E63317">
        <w:t>developmental stages (Table 2</w:t>
      </w:r>
      <w:r w:rsidRPr="009D43CE">
        <w:t xml:space="preserve">).  </w:t>
      </w:r>
    </w:p>
    <w:p w14:paraId="1414D7AF" w14:textId="3CCA424C" w:rsidR="00C8277F" w:rsidRPr="009D43CE" w:rsidRDefault="00C8277F" w:rsidP="009D43CE">
      <w:pPr>
        <w:spacing w:before="100" w:beforeAutospacing="1" w:after="0"/>
        <w:jc w:val="center"/>
        <w:outlineLvl w:val="2"/>
        <w:rPr>
          <w:rFonts w:ascii="Times New Roman" w:hAnsi="Times New Roman" w:cs="Times New Roman"/>
          <w:sz w:val="24"/>
          <w:szCs w:val="24"/>
        </w:rPr>
      </w:pPr>
      <w:r w:rsidRPr="009D43CE">
        <w:rPr>
          <w:rFonts w:ascii="Times New Roman" w:hAnsi="Times New Roman" w:cs="Times New Roman"/>
          <w:sz w:val="24"/>
          <w:szCs w:val="24"/>
        </w:rPr>
        <w:t>T</w:t>
      </w:r>
      <w:r w:rsidR="00E63317">
        <w:rPr>
          <w:rFonts w:ascii="Times New Roman" w:hAnsi="Times New Roman" w:cs="Times New Roman"/>
          <w:sz w:val="24"/>
          <w:szCs w:val="24"/>
        </w:rPr>
        <w:t>able 2</w:t>
      </w:r>
      <w:r w:rsidRPr="009D43CE">
        <w:rPr>
          <w:rFonts w:ascii="Times New Roman" w:hAnsi="Times New Roman" w:cs="Times New Roman"/>
          <w:sz w:val="24"/>
          <w:szCs w:val="24"/>
        </w:rPr>
        <w:t>: Water Requirement for Irish potatoes in the Santa Agrarian Basin</w:t>
      </w:r>
    </w:p>
    <w:tbl>
      <w:tblPr>
        <w:tblStyle w:val="LightShading"/>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C8277F" w:rsidRPr="0012765E" w14:paraId="5E4D6F76" w14:textId="77777777" w:rsidTr="001276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A31E00"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Month</w:t>
            </w:r>
          </w:p>
        </w:tc>
        <w:tc>
          <w:tcPr>
            <w:tcW w:w="960" w:type="dxa"/>
            <w:noWrap/>
            <w:hideMark/>
          </w:tcPr>
          <w:p w14:paraId="52C2E680"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Decade</w:t>
            </w:r>
          </w:p>
        </w:tc>
        <w:tc>
          <w:tcPr>
            <w:tcW w:w="960" w:type="dxa"/>
            <w:noWrap/>
            <w:hideMark/>
          </w:tcPr>
          <w:p w14:paraId="1A11AA1F"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Stage</w:t>
            </w:r>
          </w:p>
        </w:tc>
        <w:tc>
          <w:tcPr>
            <w:tcW w:w="960" w:type="dxa"/>
            <w:noWrap/>
            <w:hideMark/>
          </w:tcPr>
          <w:p w14:paraId="32B83723"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Kc</w:t>
            </w:r>
          </w:p>
        </w:tc>
        <w:tc>
          <w:tcPr>
            <w:tcW w:w="960" w:type="dxa"/>
            <w:noWrap/>
            <w:hideMark/>
          </w:tcPr>
          <w:p w14:paraId="60280551"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ETc</w:t>
            </w:r>
          </w:p>
        </w:tc>
        <w:tc>
          <w:tcPr>
            <w:tcW w:w="960" w:type="dxa"/>
            <w:noWrap/>
            <w:hideMark/>
          </w:tcPr>
          <w:p w14:paraId="7A60D8D4"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ETc</w:t>
            </w:r>
          </w:p>
        </w:tc>
        <w:tc>
          <w:tcPr>
            <w:tcW w:w="960" w:type="dxa"/>
            <w:noWrap/>
            <w:hideMark/>
          </w:tcPr>
          <w:p w14:paraId="706B2623"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Eff rain</w:t>
            </w:r>
          </w:p>
        </w:tc>
        <w:tc>
          <w:tcPr>
            <w:tcW w:w="960" w:type="dxa"/>
            <w:noWrap/>
            <w:hideMark/>
          </w:tcPr>
          <w:p w14:paraId="59A306EC" w14:textId="77777777" w:rsidR="00C8277F" w:rsidRPr="0012765E" w:rsidRDefault="00C8277F" w:rsidP="001276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765E">
              <w:rPr>
                <w:rFonts w:ascii="Times New Roman" w:hAnsi="Times New Roman" w:cs="Times New Roman"/>
                <w:b w:val="0"/>
                <w:sz w:val="20"/>
                <w:szCs w:val="20"/>
              </w:rPr>
              <w:t>Irr. Req.</w:t>
            </w:r>
          </w:p>
        </w:tc>
      </w:tr>
      <w:tr w:rsidR="00C8277F" w:rsidRPr="0012765E" w14:paraId="7C0BCBDA"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B9F900" w14:textId="77777777" w:rsidR="00C8277F" w:rsidRPr="0012765E" w:rsidRDefault="00C8277F" w:rsidP="0012765E">
            <w:pPr>
              <w:jc w:val="center"/>
              <w:rPr>
                <w:rFonts w:ascii="Times New Roman" w:hAnsi="Times New Roman" w:cs="Times New Roman"/>
                <w:sz w:val="20"/>
                <w:szCs w:val="20"/>
              </w:rPr>
            </w:pPr>
          </w:p>
        </w:tc>
        <w:tc>
          <w:tcPr>
            <w:tcW w:w="960" w:type="dxa"/>
            <w:noWrap/>
            <w:hideMark/>
          </w:tcPr>
          <w:p w14:paraId="08926DDD"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748D6A3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70316D6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Coeff</w:t>
            </w:r>
          </w:p>
        </w:tc>
        <w:tc>
          <w:tcPr>
            <w:tcW w:w="960" w:type="dxa"/>
            <w:noWrap/>
            <w:hideMark/>
          </w:tcPr>
          <w:p w14:paraId="333F71D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mm/day</w:t>
            </w:r>
          </w:p>
        </w:tc>
        <w:tc>
          <w:tcPr>
            <w:tcW w:w="960" w:type="dxa"/>
            <w:noWrap/>
            <w:hideMark/>
          </w:tcPr>
          <w:p w14:paraId="23FE57F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mm/dec</w:t>
            </w:r>
          </w:p>
        </w:tc>
        <w:tc>
          <w:tcPr>
            <w:tcW w:w="960" w:type="dxa"/>
            <w:noWrap/>
            <w:hideMark/>
          </w:tcPr>
          <w:p w14:paraId="6F80531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mm/dec</w:t>
            </w:r>
          </w:p>
        </w:tc>
        <w:tc>
          <w:tcPr>
            <w:tcW w:w="960" w:type="dxa"/>
            <w:noWrap/>
            <w:hideMark/>
          </w:tcPr>
          <w:p w14:paraId="28FFE548"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mm/dec</w:t>
            </w:r>
          </w:p>
        </w:tc>
      </w:tr>
      <w:tr w:rsidR="00C8277F" w:rsidRPr="0012765E" w14:paraId="6528BA14"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985C15"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Dec</w:t>
            </w:r>
          </w:p>
        </w:tc>
        <w:tc>
          <w:tcPr>
            <w:tcW w:w="960" w:type="dxa"/>
            <w:noWrap/>
            <w:hideMark/>
          </w:tcPr>
          <w:p w14:paraId="4F11956D"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709E63E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Init</w:t>
            </w:r>
          </w:p>
        </w:tc>
        <w:tc>
          <w:tcPr>
            <w:tcW w:w="960" w:type="dxa"/>
            <w:noWrap/>
            <w:hideMark/>
          </w:tcPr>
          <w:p w14:paraId="076C08BD"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0.5</w:t>
            </w:r>
          </w:p>
        </w:tc>
        <w:tc>
          <w:tcPr>
            <w:tcW w:w="960" w:type="dxa"/>
            <w:noWrap/>
            <w:hideMark/>
          </w:tcPr>
          <w:p w14:paraId="5697F08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2.05</w:t>
            </w:r>
          </w:p>
        </w:tc>
        <w:tc>
          <w:tcPr>
            <w:tcW w:w="960" w:type="dxa"/>
            <w:noWrap/>
            <w:hideMark/>
          </w:tcPr>
          <w:p w14:paraId="1DF3824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16.4</w:t>
            </w:r>
          </w:p>
        </w:tc>
        <w:tc>
          <w:tcPr>
            <w:tcW w:w="960" w:type="dxa"/>
            <w:noWrap/>
            <w:hideMark/>
          </w:tcPr>
          <w:p w14:paraId="21D899DC"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0.3</w:t>
            </w:r>
          </w:p>
        </w:tc>
        <w:tc>
          <w:tcPr>
            <w:tcW w:w="960" w:type="dxa"/>
            <w:noWrap/>
            <w:hideMark/>
          </w:tcPr>
          <w:p w14:paraId="0D9340C7"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16.2</w:t>
            </w:r>
          </w:p>
        </w:tc>
      </w:tr>
      <w:tr w:rsidR="00C8277F" w:rsidRPr="0012765E" w14:paraId="1EBA43C8"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777C69"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Jan</w:t>
            </w:r>
          </w:p>
        </w:tc>
        <w:tc>
          <w:tcPr>
            <w:tcW w:w="960" w:type="dxa"/>
            <w:noWrap/>
            <w:hideMark/>
          </w:tcPr>
          <w:p w14:paraId="10ECBE9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655920D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Init</w:t>
            </w:r>
          </w:p>
        </w:tc>
        <w:tc>
          <w:tcPr>
            <w:tcW w:w="960" w:type="dxa"/>
            <w:noWrap/>
            <w:hideMark/>
          </w:tcPr>
          <w:p w14:paraId="274CC9F8"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0.5</w:t>
            </w:r>
          </w:p>
        </w:tc>
        <w:tc>
          <w:tcPr>
            <w:tcW w:w="960" w:type="dxa"/>
            <w:noWrap/>
            <w:hideMark/>
          </w:tcPr>
          <w:p w14:paraId="47ECF2FB"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2.09</w:t>
            </w:r>
          </w:p>
        </w:tc>
        <w:tc>
          <w:tcPr>
            <w:tcW w:w="960" w:type="dxa"/>
            <w:noWrap/>
            <w:hideMark/>
          </w:tcPr>
          <w:p w14:paraId="6832506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20.9</w:t>
            </w:r>
          </w:p>
        </w:tc>
        <w:tc>
          <w:tcPr>
            <w:tcW w:w="960" w:type="dxa"/>
            <w:noWrap/>
            <w:hideMark/>
          </w:tcPr>
          <w:p w14:paraId="6D42D18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1.4</w:t>
            </w:r>
          </w:p>
        </w:tc>
        <w:tc>
          <w:tcPr>
            <w:tcW w:w="960" w:type="dxa"/>
            <w:noWrap/>
            <w:hideMark/>
          </w:tcPr>
          <w:p w14:paraId="376E54D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19.5</w:t>
            </w:r>
          </w:p>
        </w:tc>
      </w:tr>
      <w:tr w:rsidR="00C8277F" w:rsidRPr="0012765E" w14:paraId="6784C626"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C70A8C"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Jan</w:t>
            </w:r>
          </w:p>
        </w:tc>
        <w:tc>
          <w:tcPr>
            <w:tcW w:w="960" w:type="dxa"/>
            <w:noWrap/>
            <w:hideMark/>
          </w:tcPr>
          <w:p w14:paraId="70EC943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3EFF0FD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Deve</w:t>
            </w:r>
          </w:p>
        </w:tc>
        <w:tc>
          <w:tcPr>
            <w:tcW w:w="960" w:type="dxa"/>
            <w:noWrap/>
            <w:hideMark/>
          </w:tcPr>
          <w:p w14:paraId="5A0EBF4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0.51</w:t>
            </w:r>
          </w:p>
        </w:tc>
        <w:tc>
          <w:tcPr>
            <w:tcW w:w="960" w:type="dxa"/>
            <w:noWrap/>
            <w:hideMark/>
          </w:tcPr>
          <w:p w14:paraId="02CD1EC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2.17</w:t>
            </w:r>
          </w:p>
        </w:tc>
        <w:tc>
          <w:tcPr>
            <w:tcW w:w="960" w:type="dxa"/>
            <w:noWrap/>
            <w:hideMark/>
          </w:tcPr>
          <w:p w14:paraId="12216D51"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21.7</w:t>
            </w:r>
          </w:p>
        </w:tc>
        <w:tc>
          <w:tcPr>
            <w:tcW w:w="960" w:type="dxa"/>
            <w:noWrap/>
            <w:hideMark/>
          </w:tcPr>
          <w:p w14:paraId="276B6D6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1.2</w:t>
            </w:r>
          </w:p>
        </w:tc>
        <w:tc>
          <w:tcPr>
            <w:tcW w:w="960" w:type="dxa"/>
            <w:noWrap/>
            <w:hideMark/>
          </w:tcPr>
          <w:p w14:paraId="5F51FDDC"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20.5</w:t>
            </w:r>
          </w:p>
        </w:tc>
      </w:tr>
      <w:tr w:rsidR="00C8277F" w:rsidRPr="0012765E" w14:paraId="5554C683"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B288DA"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Jan</w:t>
            </w:r>
          </w:p>
        </w:tc>
        <w:tc>
          <w:tcPr>
            <w:tcW w:w="960" w:type="dxa"/>
            <w:noWrap/>
            <w:hideMark/>
          </w:tcPr>
          <w:p w14:paraId="3B39065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15B5D84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Deve</w:t>
            </w:r>
          </w:p>
        </w:tc>
        <w:tc>
          <w:tcPr>
            <w:tcW w:w="960" w:type="dxa"/>
            <w:noWrap/>
            <w:hideMark/>
          </w:tcPr>
          <w:p w14:paraId="7C37FCD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0.69</w:t>
            </w:r>
          </w:p>
        </w:tc>
        <w:tc>
          <w:tcPr>
            <w:tcW w:w="960" w:type="dxa"/>
            <w:noWrap/>
            <w:hideMark/>
          </w:tcPr>
          <w:p w14:paraId="0AEC3335"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3.07</w:t>
            </w:r>
          </w:p>
        </w:tc>
        <w:tc>
          <w:tcPr>
            <w:tcW w:w="960" w:type="dxa"/>
            <w:noWrap/>
            <w:hideMark/>
          </w:tcPr>
          <w:p w14:paraId="22751D0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33.8</w:t>
            </w:r>
          </w:p>
        </w:tc>
        <w:tc>
          <w:tcPr>
            <w:tcW w:w="960" w:type="dxa"/>
            <w:noWrap/>
            <w:hideMark/>
          </w:tcPr>
          <w:p w14:paraId="01E80FF5"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2.1</w:t>
            </w:r>
          </w:p>
        </w:tc>
        <w:tc>
          <w:tcPr>
            <w:tcW w:w="960" w:type="dxa"/>
            <w:noWrap/>
            <w:hideMark/>
          </w:tcPr>
          <w:p w14:paraId="3EB8DF21"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31.6</w:t>
            </w:r>
          </w:p>
        </w:tc>
      </w:tr>
      <w:tr w:rsidR="00C8277F" w:rsidRPr="0012765E" w14:paraId="1B2BF4BA"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50720C"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Feb</w:t>
            </w:r>
          </w:p>
        </w:tc>
        <w:tc>
          <w:tcPr>
            <w:tcW w:w="960" w:type="dxa"/>
            <w:noWrap/>
            <w:hideMark/>
          </w:tcPr>
          <w:p w14:paraId="193403C3"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7B811BA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Deve</w:t>
            </w:r>
          </w:p>
        </w:tc>
        <w:tc>
          <w:tcPr>
            <w:tcW w:w="960" w:type="dxa"/>
            <w:noWrap/>
            <w:hideMark/>
          </w:tcPr>
          <w:p w14:paraId="230F421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0.91</w:t>
            </w:r>
          </w:p>
        </w:tc>
        <w:tc>
          <w:tcPr>
            <w:tcW w:w="960" w:type="dxa"/>
            <w:noWrap/>
            <w:hideMark/>
          </w:tcPr>
          <w:p w14:paraId="1B66630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4.24</w:t>
            </w:r>
          </w:p>
        </w:tc>
        <w:tc>
          <w:tcPr>
            <w:tcW w:w="960" w:type="dxa"/>
            <w:noWrap/>
            <w:hideMark/>
          </w:tcPr>
          <w:p w14:paraId="41F145F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42.4</w:t>
            </w:r>
          </w:p>
        </w:tc>
        <w:tc>
          <w:tcPr>
            <w:tcW w:w="960" w:type="dxa"/>
            <w:noWrap/>
            <w:hideMark/>
          </w:tcPr>
          <w:p w14:paraId="60156FA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0.9</w:t>
            </w:r>
          </w:p>
        </w:tc>
        <w:tc>
          <w:tcPr>
            <w:tcW w:w="960" w:type="dxa"/>
            <w:noWrap/>
            <w:hideMark/>
          </w:tcPr>
          <w:p w14:paraId="3168C3C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41.5</w:t>
            </w:r>
          </w:p>
        </w:tc>
      </w:tr>
      <w:tr w:rsidR="00C8277F" w:rsidRPr="0012765E" w14:paraId="6AC9E4DF"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583CF8"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Feb</w:t>
            </w:r>
          </w:p>
        </w:tc>
        <w:tc>
          <w:tcPr>
            <w:tcW w:w="960" w:type="dxa"/>
            <w:noWrap/>
            <w:hideMark/>
          </w:tcPr>
          <w:p w14:paraId="5427AED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116A4EA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36587D3D"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1.11</w:t>
            </w:r>
          </w:p>
        </w:tc>
        <w:tc>
          <w:tcPr>
            <w:tcW w:w="960" w:type="dxa"/>
            <w:noWrap/>
            <w:hideMark/>
          </w:tcPr>
          <w:p w14:paraId="7BC970D0"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5.36</w:t>
            </w:r>
          </w:p>
        </w:tc>
        <w:tc>
          <w:tcPr>
            <w:tcW w:w="960" w:type="dxa"/>
            <w:noWrap/>
            <w:hideMark/>
          </w:tcPr>
          <w:p w14:paraId="79F9CBB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53.6</w:t>
            </w:r>
          </w:p>
        </w:tc>
        <w:tc>
          <w:tcPr>
            <w:tcW w:w="960" w:type="dxa"/>
            <w:noWrap/>
            <w:hideMark/>
          </w:tcPr>
          <w:p w14:paraId="7F099B9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0.6</w:t>
            </w:r>
          </w:p>
        </w:tc>
        <w:tc>
          <w:tcPr>
            <w:tcW w:w="960" w:type="dxa"/>
            <w:noWrap/>
            <w:hideMark/>
          </w:tcPr>
          <w:p w14:paraId="2EA4291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52.9</w:t>
            </w:r>
          </w:p>
        </w:tc>
      </w:tr>
      <w:tr w:rsidR="00C8277F" w:rsidRPr="0012765E" w14:paraId="511C6620"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5E26B6"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Feb</w:t>
            </w:r>
          </w:p>
        </w:tc>
        <w:tc>
          <w:tcPr>
            <w:tcW w:w="960" w:type="dxa"/>
            <w:noWrap/>
            <w:hideMark/>
          </w:tcPr>
          <w:p w14:paraId="5CFFFCF1"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639787C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4741FD5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49A1F1F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5.42</w:t>
            </w:r>
          </w:p>
        </w:tc>
        <w:tc>
          <w:tcPr>
            <w:tcW w:w="960" w:type="dxa"/>
            <w:noWrap/>
            <w:hideMark/>
          </w:tcPr>
          <w:p w14:paraId="64CB688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43.4</w:t>
            </w:r>
          </w:p>
        </w:tc>
        <w:tc>
          <w:tcPr>
            <w:tcW w:w="960" w:type="dxa"/>
            <w:noWrap/>
            <w:hideMark/>
          </w:tcPr>
          <w:p w14:paraId="6A75721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10.3</w:t>
            </w:r>
          </w:p>
        </w:tc>
        <w:tc>
          <w:tcPr>
            <w:tcW w:w="960" w:type="dxa"/>
            <w:noWrap/>
            <w:hideMark/>
          </w:tcPr>
          <w:p w14:paraId="36A7741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33</w:t>
            </w:r>
          </w:p>
        </w:tc>
      </w:tr>
      <w:tr w:rsidR="00C8277F" w:rsidRPr="0012765E" w14:paraId="77E880E7"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86AB12"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Mar</w:t>
            </w:r>
          </w:p>
        </w:tc>
        <w:tc>
          <w:tcPr>
            <w:tcW w:w="960" w:type="dxa"/>
            <w:noWrap/>
            <w:hideMark/>
          </w:tcPr>
          <w:p w14:paraId="4E5DBC6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7D10FC8D"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0FB59E38"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45837A86"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5.34</w:t>
            </w:r>
          </w:p>
        </w:tc>
        <w:tc>
          <w:tcPr>
            <w:tcW w:w="960" w:type="dxa"/>
            <w:noWrap/>
            <w:hideMark/>
          </w:tcPr>
          <w:p w14:paraId="600038A6"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53.4</w:t>
            </w:r>
          </w:p>
        </w:tc>
        <w:tc>
          <w:tcPr>
            <w:tcW w:w="960" w:type="dxa"/>
            <w:noWrap/>
            <w:hideMark/>
          </w:tcPr>
          <w:p w14:paraId="038A2D9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22.7</w:t>
            </w:r>
          </w:p>
        </w:tc>
        <w:tc>
          <w:tcPr>
            <w:tcW w:w="960" w:type="dxa"/>
            <w:noWrap/>
            <w:hideMark/>
          </w:tcPr>
          <w:p w14:paraId="6702F7C7"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30.7</w:t>
            </w:r>
          </w:p>
        </w:tc>
      </w:tr>
      <w:tr w:rsidR="00C8277F" w:rsidRPr="0012765E" w14:paraId="5744FDAA"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A62889"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Mar</w:t>
            </w:r>
          </w:p>
        </w:tc>
        <w:tc>
          <w:tcPr>
            <w:tcW w:w="960" w:type="dxa"/>
            <w:noWrap/>
            <w:hideMark/>
          </w:tcPr>
          <w:p w14:paraId="5A6DEB1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45E154C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707D6A2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165EEFB5"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5.25</w:t>
            </w:r>
          </w:p>
        </w:tc>
        <w:tc>
          <w:tcPr>
            <w:tcW w:w="960" w:type="dxa"/>
            <w:noWrap/>
            <w:hideMark/>
          </w:tcPr>
          <w:p w14:paraId="531E9E7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52.5</w:t>
            </w:r>
          </w:p>
        </w:tc>
        <w:tc>
          <w:tcPr>
            <w:tcW w:w="960" w:type="dxa"/>
            <w:noWrap/>
            <w:hideMark/>
          </w:tcPr>
          <w:p w14:paraId="58B1048E"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32</w:t>
            </w:r>
          </w:p>
        </w:tc>
        <w:tc>
          <w:tcPr>
            <w:tcW w:w="960" w:type="dxa"/>
            <w:noWrap/>
            <w:hideMark/>
          </w:tcPr>
          <w:p w14:paraId="1A089B9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20.5</w:t>
            </w:r>
          </w:p>
        </w:tc>
      </w:tr>
      <w:tr w:rsidR="00C8277F" w:rsidRPr="0012765E" w14:paraId="62298E0C"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C4437E"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Mar</w:t>
            </w:r>
          </w:p>
        </w:tc>
        <w:tc>
          <w:tcPr>
            <w:tcW w:w="960" w:type="dxa"/>
            <w:noWrap/>
            <w:hideMark/>
          </w:tcPr>
          <w:p w14:paraId="605DFF5B"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111A23F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Mid</w:t>
            </w:r>
          </w:p>
        </w:tc>
        <w:tc>
          <w:tcPr>
            <w:tcW w:w="960" w:type="dxa"/>
            <w:noWrap/>
            <w:hideMark/>
          </w:tcPr>
          <w:p w14:paraId="32E1C53E"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1.14</w:t>
            </w:r>
          </w:p>
        </w:tc>
        <w:tc>
          <w:tcPr>
            <w:tcW w:w="960" w:type="dxa"/>
            <w:noWrap/>
            <w:hideMark/>
          </w:tcPr>
          <w:p w14:paraId="1A58BC8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5.02</w:t>
            </w:r>
          </w:p>
        </w:tc>
        <w:tc>
          <w:tcPr>
            <w:tcW w:w="960" w:type="dxa"/>
            <w:noWrap/>
            <w:hideMark/>
          </w:tcPr>
          <w:p w14:paraId="5946760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55.2</w:t>
            </w:r>
          </w:p>
        </w:tc>
        <w:tc>
          <w:tcPr>
            <w:tcW w:w="960" w:type="dxa"/>
            <w:noWrap/>
            <w:hideMark/>
          </w:tcPr>
          <w:p w14:paraId="7F2B5165"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34.6</w:t>
            </w:r>
          </w:p>
        </w:tc>
        <w:tc>
          <w:tcPr>
            <w:tcW w:w="960" w:type="dxa"/>
            <w:noWrap/>
            <w:hideMark/>
          </w:tcPr>
          <w:p w14:paraId="3BDE81E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20.6</w:t>
            </w:r>
          </w:p>
        </w:tc>
      </w:tr>
      <w:tr w:rsidR="00C8277F" w:rsidRPr="0012765E" w14:paraId="290D6AC5"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3B3F1E"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lastRenderedPageBreak/>
              <w:t>Apr</w:t>
            </w:r>
          </w:p>
        </w:tc>
        <w:tc>
          <w:tcPr>
            <w:tcW w:w="960" w:type="dxa"/>
            <w:noWrap/>
            <w:hideMark/>
          </w:tcPr>
          <w:p w14:paraId="4EF15D2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1C8F99BB"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4C09586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1.09</w:t>
            </w:r>
          </w:p>
        </w:tc>
        <w:tc>
          <w:tcPr>
            <w:tcW w:w="960" w:type="dxa"/>
            <w:noWrap/>
            <w:hideMark/>
          </w:tcPr>
          <w:p w14:paraId="1D90329E"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4.58</w:t>
            </w:r>
          </w:p>
        </w:tc>
        <w:tc>
          <w:tcPr>
            <w:tcW w:w="960" w:type="dxa"/>
            <w:noWrap/>
            <w:hideMark/>
          </w:tcPr>
          <w:p w14:paraId="3FF2A5C6"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45.8</w:t>
            </w:r>
          </w:p>
        </w:tc>
        <w:tc>
          <w:tcPr>
            <w:tcW w:w="960" w:type="dxa"/>
            <w:noWrap/>
            <w:hideMark/>
          </w:tcPr>
          <w:p w14:paraId="5ACE769E"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37</w:t>
            </w:r>
          </w:p>
        </w:tc>
        <w:tc>
          <w:tcPr>
            <w:tcW w:w="960" w:type="dxa"/>
            <w:noWrap/>
            <w:hideMark/>
          </w:tcPr>
          <w:p w14:paraId="3DA9757F"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8.7</w:t>
            </w:r>
          </w:p>
        </w:tc>
      </w:tr>
      <w:tr w:rsidR="00C8277F" w:rsidRPr="0012765E" w14:paraId="7EFDA95E"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C5D50C"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Apr</w:t>
            </w:r>
          </w:p>
        </w:tc>
        <w:tc>
          <w:tcPr>
            <w:tcW w:w="960" w:type="dxa"/>
            <w:noWrap/>
            <w:hideMark/>
          </w:tcPr>
          <w:p w14:paraId="7A8AD9C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w:t>
            </w:r>
          </w:p>
        </w:tc>
        <w:tc>
          <w:tcPr>
            <w:tcW w:w="960" w:type="dxa"/>
            <w:noWrap/>
            <w:hideMark/>
          </w:tcPr>
          <w:p w14:paraId="3BD20F9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04AC4842"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0.95</w:t>
            </w:r>
          </w:p>
        </w:tc>
        <w:tc>
          <w:tcPr>
            <w:tcW w:w="960" w:type="dxa"/>
            <w:noWrap/>
            <w:hideMark/>
          </w:tcPr>
          <w:p w14:paraId="605CB4E3"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3.8</w:t>
            </w:r>
          </w:p>
        </w:tc>
        <w:tc>
          <w:tcPr>
            <w:tcW w:w="960" w:type="dxa"/>
            <w:noWrap/>
            <w:hideMark/>
          </w:tcPr>
          <w:p w14:paraId="5F94490C"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38</w:t>
            </w:r>
          </w:p>
        </w:tc>
        <w:tc>
          <w:tcPr>
            <w:tcW w:w="960" w:type="dxa"/>
            <w:noWrap/>
            <w:hideMark/>
          </w:tcPr>
          <w:p w14:paraId="56C3305E"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40.7</w:t>
            </w:r>
          </w:p>
        </w:tc>
        <w:tc>
          <w:tcPr>
            <w:tcW w:w="960" w:type="dxa"/>
            <w:noWrap/>
            <w:hideMark/>
          </w:tcPr>
          <w:p w14:paraId="19236C47"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w:t>
            </w:r>
          </w:p>
        </w:tc>
      </w:tr>
      <w:tr w:rsidR="00C8277F" w:rsidRPr="0012765E" w14:paraId="016F829E"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578996"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Apr</w:t>
            </w:r>
          </w:p>
        </w:tc>
        <w:tc>
          <w:tcPr>
            <w:tcW w:w="960" w:type="dxa"/>
            <w:noWrap/>
            <w:hideMark/>
          </w:tcPr>
          <w:p w14:paraId="0D4624E0"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w:t>
            </w:r>
          </w:p>
        </w:tc>
        <w:tc>
          <w:tcPr>
            <w:tcW w:w="960" w:type="dxa"/>
            <w:noWrap/>
            <w:hideMark/>
          </w:tcPr>
          <w:p w14:paraId="57014FA2"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6858E4C6"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0.81</w:t>
            </w:r>
          </w:p>
        </w:tc>
        <w:tc>
          <w:tcPr>
            <w:tcW w:w="960" w:type="dxa"/>
            <w:noWrap/>
            <w:hideMark/>
          </w:tcPr>
          <w:p w14:paraId="354D617D"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3.17</w:t>
            </w:r>
          </w:p>
        </w:tc>
        <w:tc>
          <w:tcPr>
            <w:tcW w:w="960" w:type="dxa"/>
            <w:noWrap/>
            <w:hideMark/>
          </w:tcPr>
          <w:p w14:paraId="74A1BEEA"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31.7</w:t>
            </w:r>
          </w:p>
        </w:tc>
        <w:tc>
          <w:tcPr>
            <w:tcW w:w="960" w:type="dxa"/>
            <w:noWrap/>
            <w:hideMark/>
          </w:tcPr>
          <w:p w14:paraId="7C261449"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41.5</w:t>
            </w:r>
          </w:p>
        </w:tc>
        <w:tc>
          <w:tcPr>
            <w:tcW w:w="960" w:type="dxa"/>
            <w:noWrap/>
            <w:hideMark/>
          </w:tcPr>
          <w:p w14:paraId="5BE52955"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w:t>
            </w:r>
          </w:p>
        </w:tc>
      </w:tr>
      <w:tr w:rsidR="00C8277F" w:rsidRPr="0012765E" w14:paraId="31A68F84" w14:textId="77777777" w:rsidTr="001276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F2879E" w14:textId="77777777" w:rsidR="00C8277F" w:rsidRPr="0012765E" w:rsidRDefault="00C8277F" w:rsidP="0012765E">
            <w:pPr>
              <w:jc w:val="center"/>
              <w:rPr>
                <w:rFonts w:ascii="Times New Roman" w:hAnsi="Times New Roman" w:cs="Times New Roman"/>
                <w:b w:val="0"/>
                <w:sz w:val="20"/>
                <w:szCs w:val="20"/>
              </w:rPr>
            </w:pPr>
            <w:r w:rsidRPr="0012765E">
              <w:rPr>
                <w:rFonts w:ascii="Times New Roman" w:hAnsi="Times New Roman" w:cs="Times New Roman"/>
                <w:b w:val="0"/>
                <w:sz w:val="20"/>
                <w:szCs w:val="20"/>
              </w:rPr>
              <w:t>May</w:t>
            </w:r>
          </w:p>
        </w:tc>
        <w:tc>
          <w:tcPr>
            <w:tcW w:w="960" w:type="dxa"/>
            <w:noWrap/>
            <w:hideMark/>
          </w:tcPr>
          <w:p w14:paraId="4C499649"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1</w:t>
            </w:r>
          </w:p>
        </w:tc>
        <w:tc>
          <w:tcPr>
            <w:tcW w:w="960" w:type="dxa"/>
            <w:noWrap/>
            <w:hideMark/>
          </w:tcPr>
          <w:p w14:paraId="3E17445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Late</w:t>
            </w:r>
          </w:p>
        </w:tc>
        <w:tc>
          <w:tcPr>
            <w:tcW w:w="960" w:type="dxa"/>
            <w:noWrap/>
            <w:hideMark/>
          </w:tcPr>
          <w:p w14:paraId="1DA5F9FA"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0.72</w:t>
            </w:r>
          </w:p>
        </w:tc>
        <w:tc>
          <w:tcPr>
            <w:tcW w:w="960" w:type="dxa"/>
            <w:noWrap/>
            <w:hideMark/>
          </w:tcPr>
          <w:p w14:paraId="0373B807"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2.79</w:t>
            </w:r>
          </w:p>
        </w:tc>
        <w:tc>
          <w:tcPr>
            <w:tcW w:w="960" w:type="dxa"/>
            <w:noWrap/>
            <w:hideMark/>
          </w:tcPr>
          <w:p w14:paraId="09678D9B"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5.6</w:t>
            </w:r>
          </w:p>
        </w:tc>
        <w:tc>
          <w:tcPr>
            <w:tcW w:w="960" w:type="dxa"/>
            <w:noWrap/>
            <w:hideMark/>
          </w:tcPr>
          <w:p w14:paraId="64B03B76"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8.4</w:t>
            </w:r>
          </w:p>
        </w:tc>
        <w:tc>
          <w:tcPr>
            <w:tcW w:w="960" w:type="dxa"/>
            <w:noWrap/>
            <w:hideMark/>
          </w:tcPr>
          <w:p w14:paraId="57E61AFF" w14:textId="77777777" w:rsidR="00C8277F" w:rsidRPr="0012765E" w:rsidRDefault="00C8277F" w:rsidP="0012765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5.6</w:t>
            </w:r>
          </w:p>
        </w:tc>
      </w:tr>
      <w:tr w:rsidR="00C8277F" w:rsidRPr="0012765E" w14:paraId="491A64AC" w14:textId="77777777" w:rsidTr="0012765E">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DC7D7D" w14:textId="77777777" w:rsidR="00C8277F" w:rsidRPr="0012765E" w:rsidRDefault="00C8277F" w:rsidP="0012765E">
            <w:pPr>
              <w:jc w:val="center"/>
              <w:rPr>
                <w:rFonts w:ascii="Times New Roman" w:hAnsi="Times New Roman" w:cs="Times New Roman"/>
                <w:sz w:val="20"/>
                <w:szCs w:val="20"/>
              </w:rPr>
            </w:pPr>
          </w:p>
        </w:tc>
        <w:tc>
          <w:tcPr>
            <w:tcW w:w="960" w:type="dxa"/>
            <w:noWrap/>
            <w:hideMark/>
          </w:tcPr>
          <w:p w14:paraId="6EC709A3"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64C99B43"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25564CA8"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7AC79169"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0" w:type="dxa"/>
            <w:noWrap/>
            <w:hideMark/>
          </w:tcPr>
          <w:p w14:paraId="552254D1"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514.3</w:t>
            </w:r>
          </w:p>
        </w:tc>
        <w:tc>
          <w:tcPr>
            <w:tcW w:w="960" w:type="dxa"/>
            <w:noWrap/>
            <w:hideMark/>
          </w:tcPr>
          <w:p w14:paraId="211CB08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233.9</w:t>
            </w:r>
          </w:p>
        </w:tc>
        <w:tc>
          <w:tcPr>
            <w:tcW w:w="960" w:type="dxa"/>
            <w:noWrap/>
            <w:hideMark/>
          </w:tcPr>
          <w:p w14:paraId="64AC8294" w14:textId="77777777" w:rsidR="00C8277F" w:rsidRPr="0012765E" w:rsidRDefault="00C8277F" w:rsidP="0012765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765E">
              <w:rPr>
                <w:rFonts w:ascii="Times New Roman" w:hAnsi="Times New Roman" w:cs="Times New Roman"/>
                <w:sz w:val="20"/>
                <w:szCs w:val="20"/>
              </w:rPr>
              <w:t>301.4</w:t>
            </w:r>
          </w:p>
        </w:tc>
      </w:tr>
    </w:tbl>
    <w:p w14:paraId="1494EC75" w14:textId="77777777" w:rsidR="00C8277F" w:rsidRPr="009D43CE" w:rsidRDefault="004368BF" w:rsidP="009D43CE">
      <w:pPr>
        <w:pStyle w:val="NormalWeb"/>
        <w:spacing w:line="276" w:lineRule="auto"/>
        <w:jc w:val="center"/>
      </w:pPr>
      <w:r w:rsidRPr="009D43CE">
        <w:t xml:space="preserve">Source: </w:t>
      </w:r>
      <w:r w:rsidRPr="009D43CE">
        <w:rPr>
          <w:color w:val="000000"/>
        </w:rPr>
        <w:t>CROPWAT 8.0 and Fieldwork, 2024</w:t>
      </w:r>
    </w:p>
    <w:p w14:paraId="30401368" w14:textId="76FF7457" w:rsidR="00503BE8" w:rsidRPr="009D43CE" w:rsidRDefault="00E63317" w:rsidP="009D43CE">
      <w:pPr>
        <w:jc w:val="both"/>
        <w:rPr>
          <w:rFonts w:ascii="Times New Roman" w:hAnsi="Times New Roman" w:cs="Times New Roman"/>
          <w:sz w:val="24"/>
          <w:szCs w:val="24"/>
        </w:rPr>
      </w:pPr>
      <w:r>
        <w:rPr>
          <w:rFonts w:ascii="Times New Roman" w:hAnsi="Times New Roman" w:cs="Times New Roman"/>
          <w:sz w:val="24"/>
          <w:szCs w:val="24"/>
        </w:rPr>
        <w:t>According to Table 2</w:t>
      </w:r>
      <w:r w:rsidR="00503BE8" w:rsidRPr="009D43CE">
        <w:rPr>
          <w:rFonts w:ascii="Times New Roman" w:hAnsi="Times New Roman" w:cs="Times New Roman"/>
          <w:sz w:val="24"/>
          <w:szCs w:val="24"/>
        </w:rPr>
        <w:t xml:space="preserve">, during the initial stage that spans late December to the second decade of January, the crop is in its establishment phase. The crop coefficient (Kc) is low, ranging from 0.5 to 0.51, indicating modest water requirements. However, evapotranspiration (ETc) gradually increases from 16.4 mm/decade in December to 21.7 mm/decade in mid-January, driven by rising temperatures. Effective rainfall during this period is negligible, contributing between 0.3 mm and 1.4 mm/decade. As a result, irrigation plays a critical role, with requirements ranging from 16.2 mm to 20.5 mm/decade. This highlights the need for </w:t>
      </w:r>
      <w:r w:rsidR="000F53BD" w:rsidRPr="002E204D">
        <w:rPr>
          <w:rFonts w:ascii="Times New Roman" w:hAnsi="Times New Roman" w:cs="Times New Roman"/>
          <w:sz w:val="24"/>
          <w:szCs w:val="24"/>
          <w:highlight w:val="yellow"/>
        </w:rPr>
        <w:t xml:space="preserve">a </w:t>
      </w:r>
      <w:r w:rsidR="00503BE8" w:rsidRPr="009D43CE">
        <w:rPr>
          <w:rFonts w:ascii="Times New Roman" w:hAnsi="Times New Roman" w:cs="Times New Roman"/>
          <w:sz w:val="24"/>
          <w:szCs w:val="24"/>
        </w:rPr>
        <w:t xml:space="preserve">consistent water supply to support germination and initial root development. The development stage marks a period of rapid crop growth, </w:t>
      </w:r>
      <w:r w:rsidR="000F53BD" w:rsidRPr="002E204D">
        <w:rPr>
          <w:rFonts w:ascii="Times New Roman" w:hAnsi="Times New Roman" w:cs="Times New Roman"/>
          <w:sz w:val="24"/>
          <w:szCs w:val="24"/>
          <w:highlight w:val="yellow"/>
        </w:rPr>
        <w:t xml:space="preserve">characterised </w:t>
      </w:r>
      <w:r w:rsidR="00503BE8" w:rsidRPr="009D43CE">
        <w:rPr>
          <w:rFonts w:ascii="Times New Roman" w:hAnsi="Times New Roman" w:cs="Times New Roman"/>
          <w:sz w:val="24"/>
          <w:szCs w:val="24"/>
        </w:rPr>
        <w:t>by a significant increase in water demand. The crop coefficient rises from 0.69 to 1.11, reflecting the plants' increasing water uptake. Correspondingly, evapotranspiration reaches as high as 53.6 mm/decade by mid-February. Effective rainfall remains low, varying from 0.6 mm to 2.1 mm/decade, which is insufficient to meet the crop's water requirements. Consequently, irrigation becomes critical, with peak demands reaching 52.9 mm/decade in mid-February. This stage underscores the importance of ensuring a steady and sufficient water supply to support vegetative growth and prepare the crop for tuber development.</w:t>
      </w:r>
    </w:p>
    <w:p w14:paraId="25353A86" w14:textId="411F36A6" w:rsidR="00C8277F" w:rsidRPr="009D43CE" w:rsidRDefault="00503BE8" w:rsidP="009D43CE">
      <w:pPr>
        <w:jc w:val="both"/>
        <w:rPr>
          <w:rFonts w:ascii="Times New Roman" w:hAnsi="Times New Roman" w:cs="Times New Roman"/>
          <w:sz w:val="24"/>
          <w:szCs w:val="24"/>
        </w:rPr>
      </w:pPr>
      <w:r w:rsidRPr="009D43CE">
        <w:rPr>
          <w:rFonts w:ascii="Times New Roman" w:hAnsi="Times New Roman" w:cs="Times New Roman"/>
          <w:sz w:val="24"/>
          <w:szCs w:val="24"/>
        </w:rPr>
        <w:t xml:space="preserve">The mid-season stage is the most water-intensive period of Irish potato cultivation. The crop coefficient </w:t>
      </w:r>
      <w:r w:rsidR="000F53BD" w:rsidRPr="002E204D">
        <w:rPr>
          <w:rFonts w:ascii="Times New Roman" w:hAnsi="Times New Roman" w:cs="Times New Roman"/>
          <w:sz w:val="24"/>
          <w:szCs w:val="24"/>
          <w:highlight w:val="yellow"/>
        </w:rPr>
        <w:t xml:space="preserve">stabilises </w:t>
      </w:r>
      <w:r w:rsidRPr="009D43CE">
        <w:rPr>
          <w:rFonts w:ascii="Times New Roman" w:hAnsi="Times New Roman" w:cs="Times New Roman"/>
          <w:sz w:val="24"/>
          <w:szCs w:val="24"/>
        </w:rPr>
        <w:t>at 1.14, and evapotranspiration rates peak, with values such as 55.2 mm/decade recorded in late March. Effective rainfall increases notably during this stage, ranging from 10.3 mm/decade in late February to 34.6 mm/decade in late March. As a result, irrigation requirements gradually decline, from 33 mm/decade in late February to 20.6 mm/decade in late March. This phase is critical for tuber formation, and any water stress could lead to reduced yields and compromised tuber quality. In the late stage, as the crop approaches maturity, water demand begins to decrease. The crop coefficient declines from 1.09 to 0.72, and evapotranspiration drops from 45.8 mm/decade in early April to 2.79 mm/day in early May. Effective rainfall during this period (37–41.5 mm/decade) is sufficient to meet or even exceed the crop's water needs, effectively eliminating the need for irrigation in most decades. This natural reduction in water demand coincides with the final stages of tuber maturation and the onset of harvest, making it a less resource-intensive period for farmers.</w:t>
      </w:r>
    </w:p>
    <w:p w14:paraId="0612F3EF" w14:textId="77777777" w:rsidR="0012765E" w:rsidRPr="0012765E" w:rsidRDefault="00F26E82" w:rsidP="0012765E">
      <w:pPr>
        <w:pStyle w:val="NormalWeb"/>
        <w:spacing w:before="240" w:beforeAutospacing="0" w:after="0" w:afterAutospacing="0" w:line="276" w:lineRule="auto"/>
        <w:jc w:val="both"/>
        <w:rPr>
          <w:b/>
        </w:rPr>
      </w:pPr>
      <w:r>
        <w:rPr>
          <w:b/>
        </w:rPr>
        <w:t>4</w:t>
      </w:r>
      <w:r w:rsidR="0012765E">
        <w:rPr>
          <w:b/>
        </w:rPr>
        <w:t>.2</w:t>
      </w:r>
      <w:r w:rsidR="0012765E" w:rsidRPr="0012765E">
        <w:rPr>
          <w:b/>
        </w:rPr>
        <w:t xml:space="preserve"> Classification of water sources for food crop cultivation </w:t>
      </w:r>
    </w:p>
    <w:p w14:paraId="2024D5B8" w14:textId="090A0660" w:rsidR="0012765E" w:rsidRPr="009D43CE" w:rsidRDefault="0012765E" w:rsidP="0012765E">
      <w:pPr>
        <w:spacing w:after="100" w:afterAutospacing="1"/>
        <w:jc w:val="both"/>
        <w:rPr>
          <w:rFonts w:ascii="Times New Roman" w:hAnsi="Times New Roman" w:cs="Times New Roman"/>
          <w:sz w:val="24"/>
          <w:szCs w:val="24"/>
        </w:rPr>
      </w:pPr>
      <w:r w:rsidRPr="009D43CE">
        <w:rPr>
          <w:rFonts w:ascii="Times New Roman" w:hAnsi="Times New Roman" w:cs="Times New Roman"/>
          <w:sz w:val="24"/>
          <w:szCs w:val="24"/>
        </w:rPr>
        <w:t>Farmers in the Santa Agrarian Basin derive water for crop cultivation from a variety of sources, with each reflecting distinct patterns of</w:t>
      </w:r>
      <w:r w:rsidR="00DD7423">
        <w:rPr>
          <w:rFonts w:ascii="Times New Roman" w:hAnsi="Times New Roman" w:cs="Times New Roman"/>
          <w:sz w:val="24"/>
          <w:szCs w:val="24"/>
        </w:rPr>
        <w:t xml:space="preserve"> access and </w:t>
      </w:r>
      <w:r w:rsidR="000F53BD" w:rsidRPr="002E204D">
        <w:rPr>
          <w:rFonts w:ascii="Times New Roman" w:hAnsi="Times New Roman" w:cs="Times New Roman"/>
          <w:sz w:val="24"/>
          <w:szCs w:val="24"/>
          <w:highlight w:val="yellow"/>
        </w:rPr>
        <w:t>utilisation</w:t>
      </w:r>
      <w:r w:rsidR="000F53BD">
        <w:rPr>
          <w:rFonts w:ascii="Times New Roman" w:hAnsi="Times New Roman" w:cs="Times New Roman"/>
          <w:sz w:val="24"/>
          <w:szCs w:val="24"/>
        </w:rPr>
        <w:t xml:space="preserve"> </w:t>
      </w:r>
      <w:r w:rsidR="00DD7423">
        <w:rPr>
          <w:rFonts w:ascii="Times New Roman" w:hAnsi="Times New Roman" w:cs="Times New Roman"/>
          <w:sz w:val="24"/>
          <w:szCs w:val="24"/>
        </w:rPr>
        <w:t>(Fig. 5</w:t>
      </w:r>
      <w:r w:rsidRPr="009D43CE">
        <w:rPr>
          <w:rFonts w:ascii="Times New Roman" w:hAnsi="Times New Roman" w:cs="Times New Roman"/>
          <w:sz w:val="24"/>
          <w:szCs w:val="24"/>
        </w:rPr>
        <w:t xml:space="preserve">). These sources are </w:t>
      </w:r>
      <w:r w:rsidR="000F53BD" w:rsidRPr="002E204D">
        <w:rPr>
          <w:rFonts w:ascii="Times New Roman" w:hAnsi="Times New Roman" w:cs="Times New Roman"/>
          <w:sz w:val="24"/>
          <w:szCs w:val="24"/>
          <w:highlight w:val="yellow"/>
        </w:rPr>
        <w:t>utilised</w:t>
      </w:r>
      <w:r w:rsidR="000F53BD" w:rsidRPr="009D43CE">
        <w:rPr>
          <w:rFonts w:ascii="Times New Roman" w:hAnsi="Times New Roman" w:cs="Times New Roman"/>
          <w:sz w:val="24"/>
          <w:szCs w:val="24"/>
        </w:rPr>
        <w:t xml:space="preserve"> </w:t>
      </w:r>
      <w:r w:rsidRPr="009D43CE">
        <w:rPr>
          <w:rFonts w:ascii="Times New Roman" w:hAnsi="Times New Roman" w:cs="Times New Roman"/>
          <w:sz w:val="24"/>
          <w:szCs w:val="24"/>
        </w:rPr>
        <w:lastRenderedPageBreak/>
        <w:t xml:space="preserve">differently depending on their availability, cost and accessibility, with clear disparities evident in rural and urban farming communities. </w:t>
      </w:r>
    </w:p>
    <w:p w14:paraId="4027A8AB" w14:textId="77777777" w:rsidR="0012765E" w:rsidRPr="009D43CE" w:rsidRDefault="0012765E" w:rsidP="0012765E">
      <w:pPr>
        <w:spacing w:before="100" w:beforeAutospacing="1" w:after="100" w:afterAutospacing="1"/>
        <w:jc w:val="center"/>
        <w:rPr>
          <w:rFonts w:ascii="Times New Roman" w:eastAsia="Times New Roman" w:hAnsi="Times New Roman" w:cs="Times New Roman"/>
          <w:sz w:val="24"/>
          <w:szCs w:val="24"/>
        </w:rPr>
      </w:pPr>
      <w:r w:rsidRPr="009D43CE">
        <w:rPr>
          <w:rFonts w:ascii="Times New Roman" w:hAnsi="Times New Roman" w:cs="Times New Roman"/>
          <w:noProof/>
          <w:sz w:val="24"/>
          <w:szCs w:val="24"/>
        </w:rPr>
        <w:drawing>
          <wp:inline distT="0" distB="0" distL="0" distR="0" wp14:anchorId="58155195" wp14:editId="44E7931A">
            <wp:extent cx="5601547" cy="3799840"/>
            <wp:effectExtent l="0" t="0" r="1841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7E8422" w14:textId="62AB206C" w:rsidR="0012765E" w:rsidRPr="00E50254" w:rsidRDefault="00DD7423" w:rsidP="0012765E">
      <w:pPr>
        <w:pStyle w:val="NormalWeb"/>
        <w:spacing w:before="0" w:beforeAutospacing="0" w:after="0" w:afterAutospacing="0" w:line="276" w:lineRule="auto"/>
        <w:jc w:val="center"/>
        <w:rPr>
          <w:b/>
        </w:rPr>
      </w:pPr>
      <w:r>
        <w:rPr>
          <w:b/>
        </w:rPr>
        <w:t>Figure 5</w:t>
      </w:r>
      <w:r w:rsidR="0012765E" w:rsidRPr="00E50254">
        <w:rPr>
          <w:b/>
        </w:rPr>
        <w:t>: Classification of water sources for crop cultivation in the Santa Agrarian Basin</w:t>
      </w:r>
    </w:p>
    <w:p w14:paraId="2C9FE84A" w14:textId="77777777" w:rsidR="0012765E" w:rsidRPr="00E50254" w:rsidRDefault="0012765E" w:rsidP="0012765E">
      <w:pPr>
        <w:pStyle w:val="NormalWeb"/>
        <w:spacing w:before="0" w:beforeAutospacing="0" w:after="0" w:afterAutospacing="0" w:line="276" w:lineRule="auto"/>
        <w:jc w:val="center"/>
        <w:rPr>
          <w:b/>
        </w:rPr>
      </w:pPr>
      <w:r w:rsidRPr="00E50254">
        <w:rPr>
          <w:b/>
        </w:rPr>
        <w:t>Source: Fieldwork, 2024</w:t>
      </w:r>
    </w:p>
    <w:p w14:paraId="2F950B49" w14:textId="7106936F" w:rsidR="0012765E" w:rsidRPr="009D43CE" w:rsidRDefault="003E114A" w:rsidP="00AC57DA">
      <w:pPr>
        <w:pStyle w:val="NormalWeb"/>
        <w:spacing w:before="240" w:beforeAutospacing="0" w:after="0" w:afterAutospacing="0" w:line="276" w:lineRule="auto"/>
        <w:jc w:val="both"/>
      </w:pPr>
      <w:r>
        <w:t>According to Figure 5</w:t>
      </w:r>
      <w:r w:rsidR="0012765E" w:rsidRPr="009D43CE">
        <w:t>, rainfall emerges as the most significant water source for crop cultivation in the Santa Agrarian Basin, with 43% of rural farmers depending on it compared to 32.5% in urban areas. This striking reliance indicates the dominance of natural rainfall in rural areas, where traditional farming practices are widespread, and irrigation infrastructure is scarce. Rural farmers’ dependence on rainfall stems from limited alternative water sources and the high cost of establishing irrigation systems. Conversely, urban farmers’ reduced reliance indicates greater access to alternative sources and more di</w:t>
      </w:r>
      <w:r w:rsidR="00DC154B">
        <w:t xml:space="preserve">versified water-use strategies. </w:t>
      </w:r>
      <w:r w:rsidR="0012765E" w:rsidRPr="009D43CE">
        <w:t xml:space="preserve">Surface water, including lake and streams, is highly relied upon by both rural and urban farmers, with each accounting for 24.7% of the water supply. This uniform distribution illuminates the importance of surface water as an accessible and cost-effective resource across the basin. The widespread availability of streams makes this source indispensable during the rainy season when streamflow is high. Even in Santa urban areas, where water systems are relatively more advanced, surface water serves as a critical supplement during dry spells or irrigation demands. Public taps are predominantly used by urban farmers, with 24.7% relying on them compared to only 13% in rural areas. This difference illustrates the uneven distribution of water supply infrastructure, as urban areas benefit from </w:t>
      </w:r>
      <w:r w:rsidR="000F53BD" w:rsidRPr="002E204D">
        <w:rPr>
          <w:highlight w:val="yellow"/>
        </w:rPr>
        <w:t>better-</w:t>
      </w:r>
      <w:r w:rsidR="000F53BD" w:rsidRPr="002E204D">
        <w:rPr>
          <w:highlight w:val="yellow"/>
        </w:rPr>
        <w:lastRenderedPageBreak/>
        <w:t>organised</w:t>
      </w:r>
      <w:r w:rsidR="0012765E" w:rsidRPr="009D43CE">
        <w:t xml:space="preserve"> and accessible public systems, often developed through government initiatives. The lower percentage in rural areas indicates that such infrastructure is either unavailable or located too far from farming communities, limiting its practicality for agricultural use. </w:t>
      </w:r>
    </w:p>
    <w:p w14:paraId="14B48209" w14:textId="77777777" w:rsidR="006D2E44" w:rsidRPr="001E24D5" w:rsidRDefault="00F26E82" w:rsidP="006D2E44">
      <w:pPr>
        <w:pStyle w:val="Heading3"/>
        <w:rPr>
          <w:b w:val="0"/>
          <w:sz w:val="24"/>
          <w:szCs w:val="24"/>
          <w:lang w:val="en-GB"/>
        </w:rPr>
      </w:pPr>
      <w:r>
        <w:rPr>
          <w:rStyle w:val="Strong"/>
          <w:b/>
          <w:bCs/>
          <w:sz w:val="24"/>
          <w:szCs w:val="24"/>
          <w:lang w:val="en-GB"/>
        </w:rPr>
        <w:t>5</w:t>
      </w:r>
      <w:r w:rsidR="009D4A10">
        <w:rPr>
          <w:rStyle w:val="Strong"/>
          <w:b/>
          <w:bCs/>
          <w:sz w:val="24"/>
          <w:szCs w:val="24"/>
          <w:lang w:val="en-GB"/>
        </w:rPr>
        <w:t>.</w:t>
      </w:r>
      <w:r w:rsidR="006D2E44" w:rsidRPr="001E24D5">
        <w:rPr>
          <w:rStyle w:val="Strong"/>
          <w:b/>
          <w:bCs/>
          <w:sz w:val="24"/>
          <w:szCs w:val="24"/>
          <w:lang w:val="en-GB"/>
        </w:rPr>
        <w:t xml:space="preserve"> </w:t>
      </w:r>
      <w:r w:rsidR="006D2E44" w:rsidRPr="001E24D5">
        <w:rPr>
          <w:rStyle w:val="Strong"/>
          <w:rFonts w:eastAsiaTheme="majorEastAsia"/>
          <w:b/>
          <w:bCs/>
          <w:sz w:val="24"/>
          <w:szCs w:val="24"/>
          <w:lang w:val="en-GB"/>
        </w:rPr>
        <w:t>Discussion of Findings</w:t>
      </w:r>
    </w:p>
    <w:p w14:paraId="6BED5DBF" w14:textId="77777777" w:rsidR="006D2E44" w:rsidRPr="001E24D5" w:rsidRDefault="006D2E44" w:rsidP="006D2E44">
      <w:pPr>
        <w:pStyle w:val="NormalWeb"/>
        <w:spacing w:line="276" w:lineRule="auto"/>
        <w:jc w:val="both"/>
        <w:rPr>
          <w:lang w:val="en-GB"/>
        </w:rPr>
      </w:pPr>
      <w:r w:rsidRPr="001E24D5">
        <w:rPr>
          <w:lang w:val="en-GB"/>
        </w:rPr>
        <w:t>This study aimed to explore the spatio-temporal dynamics of surface and groundwater potentials and their implications for food crop production in the Santa Agrarian Basin. The findings reveal important</w:t>
      </w:r>
      <w:r>
        <w:rPr>
          <w:lang w:val="en-GB"/>
        </w:rPr>
        <w:t xml:space="preserve"> transformations in the area</w:t>
      </w:r>
      <w:r w:rsidRPr="001E24D5">
        <w:rPr>
          <w:lang w:val="en-GB"/>
        </w:rPr>
        <w:t xml:space="preserve">’s hydrology over the past four decades, which have directly impacted agricultural productivity and farmers’ water-use strategies. These </w:t>
      </w:r>
      <w:r>
        <w:rPr>
          <w:lang w:val="en-GB"/>
        </w:rPr>
        <w:t>findings</w:t>
      </w:r>
      <w:r w:rsidRPr="001E24D5">
        <w:rPr>
          <w:lang w:val="en-GB"/>
        </w:rPr>
        <w:t xml:space="preserve"> are consistent with global and African patterns identified in previous studies.</w:t>
      </w:r>
    </w:p>
    <w:p w14:paraId="0C32575C" w14:textId="6BB72C27" w:rsidR="006D2E44" w:rsidRPr="001E24D5" w:rsidRDefault="006D2E44" w:rsidP="006D2E44">
      <w:pPr>
        <w:pStyle w:val="NormalWeb"/>
        <w:spacing w:line="276" w:lineRule="auto"/>
        <w:jc w:val="both"/>
        <w:rPr>
          <w:lang w:val="en-GB"/>
        </w:rPr>
      </w:pPr>
      <w:r w:rsidRPr="001E24D5">
        <w:rPr>
          <w:lang w:val="en-GB"/>
        </w:rPr>
        <w:t>The contraction in surface water resources between 1980 and 2024 reflects the increasing influence of environmental d</w:t>
      </w:r>
      <w:r w:rsidR="00DC154B">
        <w:rPr>
          <w:lang w:val="en-GB"/>
        </w:rPr>
        <w:t>egradation, deforestation</w:t>
      </w:r>
      <w:r w:rsidRPr="001E24D5">
        <w:rPr>
          <w:lang w:val="en-GB"/>
        </w:rPr>
        <w:t xml:space="preserve"> and climate variability in the Santa Agrarian Basin. The drastic reduction in first-order stream lengths, from 8.0 km to near disappearance, echoes global concerns that surface water bodies are becoming highly susceptible to seasonal variability and anthropogenic pressure (Vörösmarty et al., 2010; IPCC, 2021). These trends affirm the argument by Gowing et al. (2009) that fragmented and declining surface water systems hamper sustainable agricultural water planning, particularly in areas where irrigation systems are not fully developed.</w:t>
      </w:r>
    </w:p>
    <w:p w14:paraId="024E185A" w14:textId="77777777" w:rsidR="006D2E44" w:rsidRPr="001E24D5" w:rsidRDefault="006D2E44" w:rsidP="006D2E44">
      <w:pPr>
        <w:pStyle w:val="NormalWeb"/>
        <w:spacing w:line="276" w:lineRule="auto"/>
        <w:jc w:val="both"/>
        <w:rPr>
          <w:lang w:val="en-GB"/>
        </w:rPr>
      </w:pPr>
      <w:r w:rsidRPr="001E24D5">
        <w:rPr>
          <w:lang w:val="en-GB"/>
        </w:rPr>
        <w:t>In Africa, and particularly in semi-humid zones like the Santa Basin, rainfall variability and poor land-use practices have accelerated the fragmentation of surface hydrological systems. This supports Bonsor et al. (2018) and MacDonald et al. (2021), who emphasise that despite rainfall abundance in some parts of the continent, poor management and ecological stress often reduce the usable water available for agriculture.</w:t>
      </w:r>
    </w:p>
    <w:p w14:paraId="0908E374" w14:textId="77777777" w:rsidR="006D2E44" w:rsidRPr="001E24D5" w:rsidRDefault="006D2E44" w:rsidP="006D2E44">
      <w:pPr>
        <w:pStyle w:val="NormalWeb"/>
        <w:spacing w:line="276" w:lineRule="auto"/>
        <w:jc w:val="both"/>
        <w:rPr>
          <w:lang w:val="en-GB"/>
        </w:rPr>
      </w:pPr>
      <w:r w:rsidRPr="001E24D5">
        <w:rPr>
          <w:lang w:val="en-GB"/>
        </w:rPr>
        <w:t>The increasing reliance on groundwater since the 1990s, especially in zones like Awing, Pinyin, and Mbu, underscores a regional "groundwater revolution", similar to that observed in India’s Indo-Gangetic Plain and China’s North Plain (Wada et al., 2010). The findings show that while groundwater became an indispensable buffer, especially during the dry season, its exploitation was largely uncoordinated and inadequately regulated. This unregulated abstraction, paired with poor knowledge of recharge dynamics, aligns with the concerns of Taylor et al. (2013), who warned about declining groundwater sustainability in sub-Saharan Africa.</w:t>
      </w:r>
    </w:p>
    <w:p w14:paraId="350A99CF" w14:textId="77777777" w:rsidR="006D2E44" w:rsidRPr="001E24D5" w:rsidRDefault="006D2E44" w:rsidP="006D2E44">
      <w:pPr>
        <w:pStyle w:val="NormalWeb"/>
        <w:spacing w:line="276" w:lineRule="auto"/>
        <w:jc w:val="both"/>
        <w:rPr>
          <w:lang w:val="en-GB"/>
        </w:rPr>
      </w:pPr>
      <w:r w:rsidRPr="001E24D5">
        <w:rPr>
          <w:lang w:val="en-GB"/>
        </w:rPr>
        <w:t>The study’s evidence of spatial disparities in aquifer potential also mirrors findings by MacDonald et al. (2012), who documented unequal groundwater accessibility due to underlying geological differences. Areas with basaltic fractures and forest cover, such as Pinyin and Baba, sustained groundwater potential, whereas deforested and rapidly urbanising zones like Santa town experienced alarming depletion. This highlights the need for spatially sensitive groundwater governance.</w:t>
      </w:r>
    </w:p>
    <w:p w14:paraId="72BB5B4D" w14:textId="77777777" w:rsidR="006D2E44" w:rsidRPr="001E24D5" w:rsidRDefault="006D2E44" w:rsidP="006D2E44">
      <w:pPr>
        <w:pStyle w:val="NormalWeb"/>
        <w:spacing w:line="276" w:lineRule="auto"/>
        <w:jc w:val="both"/>
        <w:rPr>
          <w:lang w:val="en-GB"/>
        </w:rPr>
      </w:pPr>
      <w:r w:rsidRPr="001E24D5">
        <w:rPr>
          <w:lang w:val="en-GB"/>
        </w:rPr>
        <w:lastRenderedPageBreak/>
        <w:t>The direct correlation between water availability and crop yield trajectories further affirms the literature linking hydrological dynamics to food security (FAO, 2020; IPCC, 2021). Tubers and cereals, both water-demanding crops, peaked in output during periods of surface water stability (1980–2000) and began to decline in response to hydrological stress and aquifer depletion by 2012. These outcomes support the Integrated Water Resources Management (IWRM) framework’s premise that both surface and groundwater must be co-managed to sustain agricultural livelihoods.</w:t>
      </w:r>
    </w:p>
    <w:p w14:paraId="18AA8403" w14:textId="73732556" w:rsidR="006D2E44" w:rsidRPr="001E24D5" w:rsidRDefault="006D2E44" w:rsidP="006D2E44">
      <w:pPr>
        <w:pStyle w:val="NormalWeb"/>
        <w:spacing w:line="276" w:lineRule="auto"/>
        <w:jc w:val="both"/>
        <w:rPr>
          <w:lang w:val="en-GB"/>
        </w:rPr>
      </w:pPr>
      <w:r w:rsidRPr="001E24D5">
        <w:rPr>
          <w:lang w:val="en-GB"/>
        </w:rPr>
        <w:t xml:space="preserve">The mid-2000s peak and subsequent drop in tuber yields from 15,100 to 12,100 tons reflect the limits of groundwater as a substitute for surface water when recharge rates are low. This phenomenon has been observed across sub-Saharan Africa, where shifting rain patterns and groundwater overuse create unsustainable water–food feedback loops (UNECA, 2020). The socio-political crisis that disrupted agricultural activity between 2016 and 2019 adds to the vulnerability of this </w:t>
      </w:r>
      <w:r w:rsidR="000F53BD" w:rsidRPr="002E204D">
        <w:rPr>
          <w:highlight w:val="yellow"/>
          <w:lang w:val="en-GB"/>
        </w:rPr>
        <w:t>already</w:t>
      </w:r>
      <w:r w:rsidR="000F53BD" w:rsidRPr="001E24D5">
        <w:rPr>
          <w:lang w:val="en-GB"/>
        </w:rPr>
        <w:t xml:space="preserve"> </w:t>
      </w:r>
      <w:r w:rsidRPr="001E24D5">
        <w:rPr>
          <w:lang w:val="en-GB"/>
        </w:rPr>
        <w:t>fragile hydrological–agricultural system.</w:t>
      </w:r>
    </w:p>
    <w:p w14:paraId="609719AA" w14:textId="163EB598" w:rsidR="006D2E44" w:rsidRPr="001E24D5" w:rsidRDefault="006D2E44" w:rsidP="006D2E44">
      <w:pPr>
        <w:pStyle w:val="NormalWeb"/>
        <w:spacing w:line="276" w:lineRule="auto"/>
        <w:jc w:val="both"/>
        <w:rPr>
          <w:lang w:val="en-GB"/>
        </w:rPr>
      </w:pPr>
      <w:r w:rsidRPr="001E24D5">
        <w:rPr>
          <w:lang w:val="en-GB"/>
        </w:rPr>
        <w:t xml:space="preserve">The CROPWAT 8.0 results demonstrate substantial irrigation needs for </w:t>
      </w:r>
      <w:r w:rsidR="00193E4B" w:rsidRPr="001E24D5">
        <w:rPr>
          <w:lang w:val="en-GB"/>
        </w:rPr>
        <w:t>main</w:t>
      </w:r>
      <w:r w:rsidRPr="001E24D5">
        <w:rPr>
          <w:lang w:val="en-GB"/>
        </w:rPr>
        <w:t xml:space="preserve"> crops such as tomato (571.3 </w:t>
      </w:r>
      <w:r w:rsidR="00281016">
        <w:rPr>
          <w:lang w:val="en-GB"/>
        </w:rPr>
        <w:t>mm)</w:t>
      </w:r>
      <w:r w:rsidRPr="001E24D5">
        <w:rPr>
          <w:lang w:val="en-GB"/>
        </w:rPr>
        <w:t xml:space="preserve"> </w:t>
      </w:r>
      <w:r w:rsidR="00281016" w:rsidRPr="003B1071">
        <w:t xml:space="preserve">and </w:t>
      </w:r>
      <w:r w:rsidR="00281016" w:rsidRPr="00DD7423">
        <w:t>Irish potato</w:t>
      </w:r>
      <w:r w:rsidR="00281016" w:rsidRPr="00E63317">
        <w:rPr>
          <w:b/>
        </w:rPr>
        <w:t xml:space="preserve"> (</w:t>
      </w:r>
      <w:r w:rsidR="00281016" w:rsidRPr="0012765E">
        <w:rPr>
          <w:sz w:val="20"/>
          <w:szCs w:val="20"/>
        </w:rPr>
        <w:t>514.3</w:t>
      </w:r>
      <w:r w:rsidR="00281016">
        <w:rPr>
          <w:sz w:val="20"/>
          <w:szCs w:val="20"/>
        </w:rPr>
        <w:t xml:space="preserve"> mm</w:t>
      </w:r>
      <w:r w:rsidR="00281016">
        <w:rPr>
          <w:b/>
        </w:rPr>
        <w:t>)</w:t>
      </w:r>
      <w:r w:rsidRPr="001E24D5">
        <w:rPr>
          <w:lang w:val="en-GB"/>
        </w:rPr>
        <w:t>. These findings corroborate Gowing et al. (2009), who argue that crop-specific water management strategies are crucial in water-scarce contexts. Notably, the effective rainfall in all cases was insufficient to meet crop water demands, with supplemental irrigation needs exceeding 40–50%, a statistic that confirms the vulnerability of food crops to seasonal water shortfalls.</w:t>
      </w:r>
    </w:p>
    <w:p w14:paraId="1FC07FE7" w14:textId="236C3E91" w:rsidR="006D2E44" w:rsidRPr="001E24D5" w:rsidRDefault="006D2E44" w:rsidP="006D2E44">
      <w:pPr>
        <w:pStyle w:val="NormalWeb"/>
        <w:spacing w:line="276" w:lineRule="auto"/>
        <w:jc w:val="both"/>
        <w:rPr>
          <w:lang w:val="en-GB"/>
        </w:rPr>
      </w:pPr>
      <w:r w:rsidRPr="001E24D5">
        <w:rPr>
          <w:lang w:val="en-GB"/>
        </w:rPr>
        <w:t xml:space="preserve">The variability in crop water needs across growing stages, rising sharply during development and peaking mid-season, emphasises the importance of aligning irrigation schedules with phenological phases. For instance, Irish potatoes showed late-season water reduction, suggesting that with proper irrigation timing, overall water use could be </w:t>
      </w:r>
      <w:r w:rsidR="000F53BD" w:rsidRPr="002E204D">
        <w:rPr>
          <w:highlight w:val="yellow"/>
          <w:lang w:val="en-GB"/>
        </w:rPr>
        <w:t>optimised</w:t>
      </w:r>
      <w:r w:rsidRPr="001E24D5">
        <w:rPr>
          <w:lang w:val="en-GB"/>
        </w:rPr>
        <w:t>, a principle central to the IWRM framework.</w:t>
      </w:r>
    </w:p>
    <w:p w14:paraId="36F77F09" w14:textId="0AA910ED" w:rsidR="006D2E44" w:rsidRPr="001E24D5" w:rsidRDefault="006D2E44" w:rsidP="00193E4B">
      <w:pPr>
        <w:pStyle w:val="NormalWeb"/>
        <w:spacing w:line="276" w:lineRule="auto"/>
        <w:jc w:val="both"/>
        <w:rPr>
          <w:lang w:val="en-GB"/>
        </w:rPr>
      </w:pPr>
      <w:r w:rsidRPr="001E24D5">
        <w:rPr>
          <w:lang w:val="en-GB"/>
        </w:rPr>
        <w:t xml:space="preserve">These insights also reinforce the argument of Altchenko and Villholth (2015) that adaptive water governance strategies must consider crop physiology and local hydrological realities. Without strategic irrigation planning, the risk of mid-season crop failure and reduced yields will persist. The classification of water sources reveals spatial and socio-economic disparities in water access. Rural farmers remain heavily dependent on rainfall (43%), whereas urban farmers are </w:t>
      </w:r>
      <w:r w:rsidR="00281016">
        <w:rPr>
          <w:lang w:val="en-GB"/>
        </w:rPr>
        <w:t xml:space="preserve">more </w:t>
      </w:r>
      <w:r w:rsidR="000F53BD" w:rsidRPr="002E204D">
        <w:rPr>
          <w:highlight w:val="yellow"/>
          <w:lang w:val="en-GB"/>
        </w:rPr>
        <w:t>dependent</w:t>
      </w:r>
      <w:r w:rsidR="000F53BD">
        <w:rPr>
          <w:lang w:val="en-GB"/>
        </w:rPr>
        <w:t xml:space="preserve"> </w:t>
      </w:r>
      <w:r w:rsidR="00281016">
        <w:rPr>
          <w:lang w:val="en-GB"/>
        </w:rPr>
        <w:t>on</w:t>
      </w:r>
      <w:r w:rsidRPr="001E24D5">
        <w:rPr>
          <w:lang w:val="en-GB"/>
        </w:rPr>
        <w:t xml:space="preserve"> public taps and boreholes. These disparities align with findings by Kimengsi et al. (2022), who highlight infrastructural inequalities as </w:t>
      </w:r>
      <w:r w:rsidR="00193E4B" w:rsidRPr="001E24D5">
        <w:rPr>
          <w:lang w:val="en-GB"/>
        </w:rPr>
        <w:t>important</w:t>
      </w:r>
      <w:r w:rsidRPr="001E24D5">
        <w:rPr>
          <w:lang w:val="en-GB"/>
        </w:rPr>
        <w:t xml:space="preserve"> drivers of unsustainable water use in Cameroon’s agrarian zones.</w:t>
      </w:r>
    </w:p>
    <w:p w14:paraId="4FD14600" w14:textId="65DCF5F4" w:rsidR="006D2E44" w:rsidRPr="001E24D5" w:rsidRDefault="006D2E44" w:rsidP="00193E4B">
      <w:pPr>
        <w:pStyle w:val="NormalWeb"/>
        <w:spacing w:line="276" w:lineRule="auto"/>
        <w:jc w:val="both"/>
        <w:rPr>
          <w:lang w:val="en-GB"/>
        </w:rPr>
      </w:pPr>
      <w:r w:rsidRPr="001E24D5">
        <w:rPr>
          <w:lang w:val="en-GB"/>
        </w:rPr>
        <w:t>The higher use of private taps in rural areas also suggests that wealthier households or cooperatives are able to buffer against water insecurity, creating potential equity gaps in agricultural outcomes. The limited use of boreholes and wells in rural areas</w:t>
      </w:r>
      <w:r w:rsidR="000F53BD">
        <w:rPr>
          <w:lang w:val="en-GB"/>
        </w:rPr>
        <w:t>,</w:t>
      </w:r>
      <w:r w:rsidRPr="001E24D5">
        <w:rPr>
          <w:lang w:val="en-GB"/>
        </w:rPr>
        <w:t xml:space="preserve"> despite </w:t>
      </w:r>
      <w:r w:rsidR="000F53BD" w:rsidRPr="002E204D">
        <w:rPr>
          <w:highlight w:val="yellow"/>
          <w:lang w:val="en-GB"/>
        </w:rPr>
        <w:t xml:space="preserve">the </w:t>
      </w:r>
      <w:r w:rsidRPr="001E24D5">
        <w:rPr>
          <w:lang w:val="en-GB"/>
        </w:rPr>
        <w:t>groundwater potential</w:t>
      </w:r>
      <w:r w:rsidR="000F53BD">
        <w:rPr>
          <w:lang w:val="en-GB"/>
        </w:rPr>
        <w:t>,</w:t>
      </w:r>
      <w:r w:rsidRPr="001E24D5">
        <w:rPr>
          <w:lang w:val="en-GB"/>
        </w:rPr>
        <w:t xml:space="preserve"> further underscores infrastructural and technical limitations. This calls for targeted investments in community-scale water systems and farmer training on aquifer recharge management.</w:t>
      </w:r>
    </w:p>
    <w:p w14:paraId="2A773DA7" w14:textId="77777777" w:rsidR="00D61709" w:rsidRPr="0012765E" w:rsidRDefault="00F26E82" w:rsidP="009D43CE">
      <w:pPr>
        <w:spacing w:after="0"/>
        <w:jc w:val="both"/>
        <w:rPr>
          <w:rFonts w:ascii="Times New Roman" w:eastAsia="Times New Roman" w:hAnsi="Times New Roman" w:cs="Times New Roman"/>
          <w:b/>
          <w:sz w:val="24"/>
          <w:szCs w:val="24"/>
        </w:rPr>
      </w:pPr>
      <w:r w:rsidRPr="0012765E">
        <w:rPr>
          <w:rFonts w:ascii="Times New Roman" w:eastAsia="Times New Roman" w:hAnsi="Times New Roman" w:cs="Times New Roman"/>
          <w:b/>
          <w:bCs/>
          <w:sz w:val="24"/>
          <w:szCs w:val="24"/>
        </w:rPr>
        <w:lastRenderedPageBreak/>
        <w:t>Conclusion</w:t>
      </w:r>
    </w:p>
    <w:p w14:paraId="3B84E65E" w14:textId="4674E082" w:rsidR="003E6443" w:rsidRDefault="00F70F32" w:rsidP="009D43CE">
      <w:pPr>
        <w:spacing w:after="0"/>
        <w:jc w:val="both"/>
        <w:rPr>
          <w:rFonts w:ascii="Times New Roman" w:eastAsia="Times New Roman" w:hAnsi="Times New Roman" w:cs="Times New Roman"/>
          <w:sz w:val="24"/>
          <w:szCs w:val="24"/>
        </w:rPr>
      </w:pPr>
      <w:r w:rsidRPr="009D43CE">
        <w:rPr>
          <w:rFonts w:ascii="Times New Roman" w:eastAsia="Times New Roman" w:hAnsi="Times New Roman" w:cs="Times New Roman"/>
          <w:sz w:val="24"/>
          <w:szCs w:val="24"/>
        </w:rPr>
        <w:t>This paper</w:t>
      </w:r>
      <w:r w:rsidR="00484FEE" w:rsidRPr="009D43CE">
        <w:rPr>
          <w:rFonts w:ascii="Times New Roman" w:eastAsia="Times New Roman" w:hAnsi="Times New Roman" w:cs="Times New Roman"/>
          <w:sz w:val="24"/>
          <w:szCs w:val="24"/>
        </w:rPr>
        <w:t xml:space="preserve"> investigated</w:t>
      </w:r>
      <w:r w:rsidRPr="009D43CE">
        <w:rPr>
          <w:rFonts w:ascii="Times New Roman" w:eastAsia="Times New Roman" w:hAnsi="Times New Roman" w:cs="Times New Roman"/>
          <w:sz w:val="24"/>
          <w:szCs w:val="24"/>
        </w:rPr>
        <w:t xml:space="preserve"> the complex and evolving dynamics of surface and groundwater resources in the Santa Agrarian Basin, </w:t>
      </w:r>
      <w:r w:rsidR="000F53BD" w:rsidRPr="002E204D">
        <w:rPr>
          <w:rFonts w:ascii="Times New Roman" w:eastAsia="Times New Roman" w:hAnsi="Times New Roman" w:cs="Times New Roman"/>
          <w:sz w:val="24"/>
          <w:szCs w:val="24"/>
          <w:highlight w:val="yellow"/>
        </w:rPr>
        <w:t xml:space="preserve">emphasising </w:t>
      </w:r>
      <w:r w:rsidRPr="009D43CE">
        <w:rPr>
          <w:rFonts w:ascii="Times New Roman" w:eastAsia="Times New Roman" w:hAnsi="Times New Roman" w:cs="Times New Roman"/>
          <w:sz w:val="24"/>
          <w:szCs w:val="24"/>
        </w:rPr>
        <w:t>their role in sustaining food crop production. Over the past four decades, the basin has experienced a significant reduction in surface water availability, prompting incr</w:t>
      </w:r>
      <w:r w:rsidR="00484FEE" w:rsidRPr="009D43CE">
        <w:rPr>
          <w:rFonts w:ascii="Times New Roman" w:eastAsia="Times New Roman" w:hAnsi="Times New Roman" w:cs="Times New Roman"/>
          <w:sz w:val="24"/>
          <w:szCs w:val="24"/>
        </w:rPr>
        <w:t xml:space="preserve">eased dependence on groundwater, </w:t>
      </w:r>
      <w:r w:rsidRPr="009D43CE">
        <w:rPr>
          <w:rFonts w:ascii="Times New Roman" w:eastAsia="Times New Roman" w:hAnsi="Times New Roman" w:cs="Times New Roman"/>
          <w:sz w:val="24"/>
          <w:szCs w:val="24"/>
        </w:rPr>
        <w:t xml:space="preserve">a trend that has directly influenced agricultural patterns and productivity. The marked decline of water-intensive crops since 2010 </w:t>
      </w:r>
      <w:r w:rsidR="00484FEE" w:rsidRPr="009D43CE">
        <w:rPr>
          <w:rFonts w:ascii="Times New Roman" w:eastAsia="Times New Roman" w:hAnsi="Times New Roman" w:cs="Times New Roman"/>
          <w:sz w:val="24"/>
          <w:szCs w:val="24"/>
        </w:rPr>
        <w:t xml:space="preserve">indicated the </w:t>
      </w:r>
      <w:r w:rsidRPr="009D43CE">
        <w:rPr>
          <w:rFonts w:ascii="Times New Roman" w:eastAsia="Times New Roman" w:hAnsi="Times New Roman" w:cs="Times New Roman"/>
          <w:sz w:val="24"/>
          <w:szCs w:val="24"/>
        </w:rPr>
        <w:t xml:space="preserve">link between water resource health and </w:t>
      </w:r>
      <w:r w:rsidR="00484FEE" w:rsidRPr="009D43CE">
        <w:rPr>
          <w:rFonts w:ascii="Times New Roman" w:eastAsia="Times New Roman" w:hAnsi="Times New Roman" w:cs="Times New Roman"/>
          <w:sz w:val="24"/>
          <w:szCs w:val="24"/>
        </w:rPr>
        <w:t xml:space="preserve">the quantity of </w:t>
      </w:r>
      <w:r w:rsidRPr="009D43CE">
        <w:rPr>
          <w:rFonts w:ascii="Times New Roman" w:eastAsia="Times New Roman" w:hAnsi="Times New Roman" w:cs="Times New Roman"/>
          <w:sz w:val="24"/>
          <w:szCs w:val="24"/>
        </w:rPr>
        <w:t>food</w:t>
      </w:r>
      <w:r w:rsidR="00484FEE" w:rsidRPr="009D43CE">
        <w:rPr>
          <w:rFonts w:ascii="Times New Roman" w:eastAsia="Times New Roman" w:hAnsi="Times New Roman" w:cs="Times New Roman"/>
          <w:sz w:val="24"/>
          <w:szCs w:val="24"/>
        </w:rPr>
        <w:t xml:space="preserve"> crop production. </w:t>
      </w:r>
      <w:r w:rsidRPr="009D43CE">
        <w:rPr>
          <w:rFonts w:ascii="Times New Roman" w:eastAsia="Times New Roman" w:hAnsi="Times New Roman" w:cs="Times New Roman"/>
          <w:sz w:val="24"/>
          <w:szCs w:val="24"/>
        </w:rPr>
        <w:t xml:space="preserve"> </w:t>
      </w:r>
      <w:r w:rsidR="00484FEE" w:rsidRPr="009D43CE">
        <w:rPr>
          <w:rFonts w:ascii="Times New Roman" w:eastAsia="Times New Roman" w:hAnsi="Times New Roman" w:cs="Times New Roman"/>
          <w:sz w:val="24"/>
          <w:szCs w:val="24"/>
        </w:rPr>
        <w:t>T</w:t>
      </w:r>
      <w:r w:rsidRPr="009D43CE">
        <w:rPr>
          <w:rFonts w:ascii="Times New Roman" w:eastAsia="Times New Roman" w:hAnsi="Times New Roman" w:cs="Times New Roman"/>
          <w:sz w:val="24"/>
          <w:szCs w:val="24"/>
        </w:rPr>
        <w:t xml:space="preserve">he crop water requirement analysis revealed high irrigation demands, with key crops such as tomatoes and </w:t>
      </w:r>
      <w:r w:rsidR="00281016">
        <w:rPr>
          <w:rFonts w:ascii="Times New Roman" w:eastAsia="Times New Roman" w:hAnsi="Times New Roman" w:cs="Times New Roman"/>
          <w:sz w:val="24"/>
          <w:szCs w:val="24"/>
        </w:rPr>
        <w:t xml:space="preserve">Irish potatoes </w:t>
      </w:r>
      <w:r w:rsidR="000F53BD" w:rsidRPr="002E204D">
        <w:rPr>
          <w:rFonts w:ascii="Times New Roman" w:eastAsia="Times New Roman" w:hAnsi="Times New Roman" w:cs="Times New Roman"/>
          <w:sz w:val="24"/>
          <w:szCs w:val="24"/>
          <w:highlight w:val="yellow"/>
        </w:rPr>
        <w:t xml:space="preserve">requiring </w:t>
      </w:r>
      <w:r w:rsidR="009D4A10">
        <w:rPr>
          <w:rFonts w:ascii="Times New Roman" w:eastAsia="Times New Roman" w:hAnsi="Times New Roman" w:cs="Times New Roman"/>
          <w:sz w:val="24"/>
          <w:szCs w:val="24"/>
        </w:rPr>
        <w:t xml:space="preserve">40–50% water supplementation, </w:t>
      </w:r>
      <w:r w:rsidRPr="009D43CE">
        <w:rPr>
          <w:rFonts w:ascii="Times New Roman" w:eastAsia="Times New Roman" w:hAnsi="Times New Roman" w:cs="Times New Roman"/>
          <w:sz w:val="24"/>
          <w:szCs w:val="24"/>
        </w:rPr>
        <w:t xml:space="preserve">well above global averages. </w:t>
      </w:r>
    </w:p>
    <w:p w14:paraId="340B1501" w14:textId="2831984A" w:rsidR="00720F9B" w:rsidRDefault="00720F9B" w:rsidP="009D43CE">
      <w:pPr>
        <w:spacing w:after="0"/>
        <w:jc w:val="both"/>
        <w:rPr>
          <w:rFonts w:ascii="Times New Roman" w:hAnsi="Times New Roman" w:cs="Times New Roman"/>
          <w:b/>
          <w:sz w:val="24"/>
          <w:szCs w:val="24"/>
        </w:rPr>
      </w:pPr>
    </w:p>
    <w:p w14:paraId="0FE049B7" w14:textId="77777777" w:rsidR="00720F9B" w:rsidRPr="009C5487" w:rsidRDefault="00720F9B" w:rsidP="00720F9B">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2A78B97D" w14:textId="77777777" w:rsidR="00720F9B" w:rsidRPr="009C5487" w:rsidRDefault="00720F9B" w:rsidP="00720F9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470B93D" w14:textId="77777777" w:rsidR="00720F9B" w:rsidRPr="009C5487" w:rsidRDefault="00720F9B" w:rsidP="00720F9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37F4848" w14:textId="77777777" w:rsidR="00720F9B" w:rsidRPr="009C5487" w:rsidRDefault="00720F9B" w:rsidP="00720F9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504B404" w14:textId="77777777" w:rsidR="00720F9B" w:rsidRPr="009C5487" w:rsidRDefault="00720F9B" w:rsidP="00720F9B">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7AF0B2" w14:textId="77777777" w:rsidR="00720F9B" w:rsidRPr="009C5487" w:rsidRDefault="00720F9B" w:rsidP="00720F9B">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07709E15" w14:textId="77777777" w:rsidR="00720F9B" w:rsidRPr="009C5487" w:rsidRDefault="00720F9B" w:rsidP="00720F9B">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66D2EB3" w14:textId="77777777" w:rsidR="00720F9B" w:rsidRPr="009C5487" w:rsidRDefault="00720F9B" w:rsidP="00720F9B">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25A5484E" w14:textId="77777777" w:rsidR="00720F9B" w:rsidRPr="009C5487" w:rsidRDefault="00720F9B" w:rsidP="00720F9B">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p>
    <w:bookmarkEnd w:id="1"/>
    <w:bookmarkEnd w:id="2"/>
    <w:bookmarkEnd w:id="3"/>
    <w:p w14:paraId="11AC08F5" w14:textId="77777777" w:rsidR="00720F9B" w:rsidRPr="009D43CE" w:rsidRDefault="00720F9B" w:rsidP="009D43CE">
      <w:pPr>
        <w:spacing w:after="0"/>
        <w:jc w:val="both"/>
        <w:rPr>
          <w:rFonts w:ascii="Times New Roman" w:hAnsi="Times New Roman" w:cs="Times New Roman"/>
          <w:b/>
          <w:sz w:val="24"/>
          <w:szCs w:val="24"/>
        </w:rPr>
      </w:pPr>
    </w:p>
    <w:p w14:paraId="74866E8D" w14:textId="77777777" w:rsidR="003E6443" w:rsidRPr="009D43CE" w:rsidRDefault="003E6443" w:rsidP="009D43CE">
      <w:pPr>
        <w:jc w:val="both"/>
        <w:rPr>
          <w:rFonts w:ascii="Times New Roman" w:hAnsi="Times New Roman" w:cs="Times New Roman"/>
          <w:b/>
          <w:sz w:val="24"/>
          <w:szCs w:val="24"/>
        </w:rPr>
      </w:pPr>
    </w:p>
    <w:p w14:paraId="644BFF39" w14:textId="77777777" w:rsidR="00057DB2" w:rsidRPr="00F26E82" w:rsidRDefault="00F26E82" w:rsidP="009D43CE">
      <w:pPr>
        <w:jc w:val="both"/>
        <w:rPr>
          <w:rFonts w:ascii="Times New Roman" w:hAnsi="Times New Roman" w:cs="Times New Roman"/>
          <w:b/>
          <w:sz w:val="24"/>
          <w:szCs w:val="24"/>
        </w:rPr>
      </w:pPr>
      <w:r w:rsidRPr="00F26E82">
        <w:rPr>
          <w:rFonts w:ascii="Times New Roman" w:hAnsi="Times New Roman" w:cs="Times New Roman"/>
          <w:b/>
          <w:sz w:val="24"/>
          <w:szCs w:val="24"/>
        </w:rPr>
        <w:t>References</w:t>
      </w:r>
    </w:p>
    <w:p w14:paraId="528B0C0A"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Altchenko, Y., &amp; Villholth, K. G. (2015). Mapping irrigation potential from renewable groundwater in Africa: A quantitative hydrological approach. Hydrology and Earth System Sciences, 19(2), 1055–1067.</w:t>
      </w:r>
    </w:p>
    <w:p w14:paraId="59114622"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Bonsor, H. C., MacDonald, A. M., &amp; Calow, R. C. (2018). Groundwater resilience to climate change in Africa. Nature Climate Change, 8(8), 869–872.</w:t>
      </w:r>
    </w:p>
    <w:p w14:paraId="25277350" w14:textId="773A3AEE" w:rsidR="00882171" w:rsidRDefault="00057DB2" w:rsidP="00882171">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 xml:space="preserve">FAO (Food and Agriculture Organization). (2020). Crop water requirements and irrigation </w:t>
      </w:r>
    </w:p>
    <w:p w14:paraId="0FF3B566" w14:textId="6751A4F5" w:rsidR="00882171" w:rsidRPr="00882171" w:rsidRDefault="00882171" w:rsidP="00882171">
      <w:pPr>
        <w:spacing w:after="0"/>
        <w:ind w:left="630" w:hanging="630"/>
        <w:jc w:val="both"/>
        <w:rPr>
          <w:rFonts w:ascii="Times New Roman" w:hAnsi="Times New Roman" w:cs="Times New Roman"/>
          <w:sz w:val="24"/>
          <w:szCs w:val="24"/>
        </w:rPr>
      </w:pPr>
      <w:r w:rsidRPr="00882171">
        <w:rPr>
          <w:rFonts w:ascii="Times New Roman" w:hAnsi="Times New Roman" w:cs="Times New Roman"/>
          <w:sz w:val="24"/>
          <w:szCs w:val="24"/>
        </w:rPr>
        <w:lastRenderedPageBreak/>
        <w:t xml:space="preserve">Global Water Partnership (GWP). (2000). </w:t>
      </w:r>
      <w:r w:rsidRPr="00882171">
        <w:rPr>
          <w:rStyle w:val="Emphasis"/>
          <w:rFonts w:ascii="Times New Roman" w:hAnsi="Times New Roman" w:cs="Times New Roman"/>
          <w:i w:val="0"/>
          <w:sz w:val="24"/>
          <w:szCs w:val="24"/>
        </w:rPr>
        <w:t>Integrated water resources management</w:t>
      </w:r>
      <w:r w:rsidRPr="00882171">
        <w:rPr>
          <w:rFonts w:ascii="Times New Roman" w:hAnsi="Times New Roman" w:cs="Times New Roman"/>
          <w:sz w:val="24"/>
          <w:szCs w:val="24"/>
        </w:rPr>
        <w:t>. TAC Background Papers No. 4. Stockholm: GWP. Retrieved from https://www.gwp.org/en/GWP-CEE/about/why/what-is-iwrm/</w:t>
      </w:r>
    </w:p>
    <w:p w14:paraId="6EFC23C6" w14:textId="38295826" w:rsidR="00057DB2" w:rsidRPr="009D43CE" w:rsidRDefault="00057DB2" w:rsidP="00882171">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Gowing, J. W., Walker, D. J., &amp; Parkin, G. (2009). Integrated water management in dryland agriculture. Agricultural Water Management, 96(10), 1413–1422.</w:t>
      </w:r>
    </w:p>
    <w:p w14:paraId="59F55D5C"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IPCC (Intergovernmental Panel on Climate Change). (2021). Climate change 2021: The physical science basis. Cambridge University Press.</w:t>
      </w:r>
    </w:p>
    <w:p w14:paraId="350B8B22" w14:textId="77777777" w:rsidR="00057DB2" w:rsidRPr="00DA5D05" w:rsidRDefault="00057DB2" w:rsidP="006D2E44">
      <w:pPr>
        <w:spacing w:after="0"/>
        <w:ind w:left="630" w:hanging="630"/>
        <w:jc w:val="both"/>
        <w:rPr>
          <w:rFonts w:ascii="Times New Roman" w:hAnsi="Times New Roman" w:cs="Times New Roman"/>
          <w:sz w:val="24"/>
          <w:szCs w:val="24"/>
          <w:lang w:val="de-DE"/>
        </w:rPr>
      </w:pPr>
      <w:r w:rsidRPr="009D43CE">
        <w:rPr>
          <w:rFonts w:ascii="Times New Roman" w:hAnsi="Times New Roman" w:cs="Times New Roman"/>
          <w:sz w:val="24"/>
          <w:szCs w:val="24"/>
        </w:rPr>
        <w:t xml:space="preserve">IPCC (Intergovernmental Panel on Climate Change). (2023). Climate change 2023: Impacts, adaptation, and vulnerability. </w:t>
      </w:r>
      <w:r w:rsidRPr="00DA5D05">
        <w:rPr>
          <w:rFonts w:ascii="Times New Roman" w:hAnsi="Times New Roman" w:cs="Times New Roman"/>
          <w:sz w:val="24"/>
          <w:szCs w:val="24"/>
          <w:lang w:val="de-DE"/>
        </w:rPr>
        <w:t>Cambridge University Press.</w:t>
      </w:r>
    </w:p>
    <w:p w14:paraId="79096F6E" w14:textId="77777777" w:rsidR="00057DB2" w:rsidRPr="009D43CE" w:rsidRDefault="00057DB2" w:rsidP="006D2E44">
      <w:pPr>
        <w:spacing w:after="0"/>
        <w:ind w:left="630" w:hanging="630"/>
        <w:jc w:val="both"/>
        <w:rPr>
          <w:rFonts w:ascii="Times New Roman" w:hAnsi="Times New Roman" w:cs="Times New Roman"/>
          <w:sz w:val="24"/>
          <w:szCs w:val="24"/>
        </w:rPr>
      </w:pPr>
      <w:r w:rsidRPr="00DA5D05">
        <w:rPr>
          <w:rFonts w:ascii="Times New Roman" w:hAnsi="Times New Roman" w:cs="Times New Roman"/>
          <w:sz w:val="24"/>
          <w:szCs w:val="24"/>
          <w:lang w:val="de-DE"/>
        </w:rPr>
        <w:t xml:space="preserve">Kimengsi, J. N., Balgah, R. A., &amp; Buchenrieder, G. (2022). </w:t>
      </w:r>
      <w:r w:rsidRPr="009D43CE">
        <w:rPr>
          <w:rFonts w:ascii="Times New Roman" w:hAnsi="Times New Roman" w:cs="Times New Roman"/>
          <w:sz w:val="24"/>
          <w:szCs w:val="24"/>
        </w:rPr>
        <w:t>Water governance and agricultural productivity in sub-Saharan Africa: A review. Sustainability, 14(3), 1234.</w:t>
      </w:r>
    </w:p>
    <w:p w14:paraId="7A04C472"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MacDonald, A. M., Bonsor, H. C., Dochartaigh, B. É. Ó., &amp; Taylor, R. G. (2012). Quantitative maps of groundwater resources in Africa. Environmental Research Letters, 7(2), 024009.</w:t>
      </w:r>
    </w:p>
    <w:p w14:paraId="798E108F" w14:textId="304AB434" w:rsidR="00057DB2" w:rsidRPr="009D43CE" w:rsidRDefault="00057DB2" w:rsidP="00882171">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MacDonald, A. M., Lark, R. M., Taylor, R. G., &amp; Calow, R. C. (2021). Groundwater and resilience to drought in Africa. Nat</w:t>
      </w:r>
      <w:r w:rsidR="00882171">
        <w:rPr>
          <w:rFonts w:ascii="Times New Roman" w:hAnsi="Times New Roman" w:cs="Times New Roman"/>
          <w:sz w:val="24"/>
          <w:szCs w:val="24"/>
        </w:rPr>
        <w:t>ure Communications, 12(1), 1–8.</w:t>
      </w:r>
    </w:p>
    <w:p w14:paraId="5A1E2A4B"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NIS (National Institute of Statistics, Cameroon). (2017). Regional monographs of the North West Region. Yaoundé: NIS.</w:t>
      </w:r>
    </w:p>
    <w:p w14:paraId="11DB66F0"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Santa Rural Council. (2003). Monographic study of Santa Sub Division. Santa: Santa Rural Council.</w:t>
      </w:r>
    </w:p>
    <w:p w14:paraId="52053C5F"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Taylor, R. G., Scanlon, B., Döll, P., &amp; Rodell, M. (2013). Groundwater and climate change. Nature Climate Change, 3(4), 322–329.</w:t>
      </w:r>
    </w:p>
    <w:p w14:paraId="2DE9F755"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UNECA (United Nations Economic Commission for Africa). (2020). Water security and agricultural resilience in the Sahel. Addis Ababa: UNECA.</w:t>
      </w:r>
    </w:p>
    <w:p w14:paraId="03C24429" w14:textId="77777777" w:rsidR="00057DB2" w:rsidRPr="009D43CE" w:rsidRDefault="00057DB2" w:rsidP="006D2E44">
      <w:pPr>
        <w:spacing w:after="0"/>
        <w:ind w:left="630" w:hanging="630"/>
        <w:jc w:val="both"/>
        <w:rPr>
          <w:rFonts w:ascii="Times New Roman" w:hAnsi="Times New Roman" w:cs="Times New Roman"/>
          <w:sz w:val="24"/>
          <w:szCs w:val="24"/>
        </w:rPr>
      </w:pPr>
      <w:r w:rsidRPr="009D43CE">
        <w:rPr>
          <w:rFonts w:ascii="Times New Roman" w:hAnsi="Times New Roman" w:cs="Times New Roman"/>
          <w:sz w:val="24"/>
          <w:szCs w:val="24"/>
        </w:rPr>
        <w:t>Vörösmarty, C. J., McIntyre, P. B., Gessner, M. O., Dudgeon, D., Prusevich, A., Green, P., ... &amp; Davies, P. M. (2010). Global threats to human water security and river biodiversity. Nature, 467(7315), 555–561.</w:t>
      </w:r>
    </w:p>
    <w:p w14:paraId="4EBD88EC" w14:textId="77777777" w:rsidR="00057DB2" w:rsidRPr="009D43CE" w:rsidRDefault="00057DB2" w:rsidP="006D2E44">
      <w:pPr>
        <w:spacing w:after="0"/>
        <w:ind w:left="630" w:hanging="630"/>
        <w:jc w:val="both"/>
        <w:rPr>
          <w:rFonts w:ascii="Times New Roman" w:hAnsi="Times New Roman" w:cs="Times New Roman"/>
          <w:sz w:val="24"/>
          <w:szCs w:val="24"/>
        </w:rPr>
      </w:pPr>
      <w:r w:rsidRPr="00DA5D05">
        <w:rPr>
          <w:rFonts w:ascii="Times New Roman" w:hAnsi="Times New Roman" w:cs="Times New Roman"/>
          <w:sz w:val="24"/>
          <w:szCs w:val="24"/>
          <w:lang w:val="de-DE"/>
        </w:rPr>
        <w:t xml:space="preserve">Wada, Y., van Beek, L. P. H., &amp; Bierkens, M. F. P. (2010). </w:t>
      </w:r>
      <w:r w:rsidRPr="009D43CE">
        <w:rPr>
          <w:rFonts w:ascii="Times New Roman" w:hAnsi="Times New Roman" w:cs="Times New Roman"/>
          <w:sz w:val="24"/>
          <w:szCs w:val="24"/>
        </w:rPr>
        <w:t>Modeling global water stress of the recent past: On the relative importance of trends in water demand and climate variability. Hydrology and Earth System Sciences, 14(12), 2415–2434.</w:t>
      </w:r>
    </w:p>
    <w:p w14:paraId="0421C822" w14:textId="01C98BA7" w:rsidR="00057DB2" w:rsidRPr="002E204D" w:rsidRDefault="00342F5C" w:rsidP="006D2E44">
      <w:pPr>
        <w:spacing w:after="0"/>
        <w:ind w:left="630" w:hanging="630"/>
        <w:jc w:val="both"/>
        <w:rPr>
          <w:rFonts w:ascii="Times New Roman" w:hAnsi="Times New Roman" w:cs="Times New Roman"/>
          <w:sz w:val="24"/>
          <w:szCs w:val="24"/>
          <w:highlight w:val="yellow"/>
        </w:rPr>
      </w:pPr>
      <w:r w:rsidRPr="002E204D">
        <w:rPr>
          <w:rFonts w:ascii="Times New Roman" w:hAnsi="Times New Roman" w:cs="Times New Roman"/>
          <w:sz w:val="24"/>
          <w:szCs w:val="24"/>
          <w:highlight w:val="yellow"/>
        </w:rPr>
        <w:t xml:space="preserve">Mishra, R. K. (2023). Fresh Water availability and Its Global challenge. British Journal of Multidisciplinary and Advanced Studies, 4(3), 1–78. </w:t>
      </w:r>
      <w:hyperlink r:id="rId26" w:history="1">
        <w:r w:rsidRPr="002E204D">
          <w:rPr>
            <w:rStyle w:val="Hyperlink"/>
            <w:rFonts w:ascii="Times New Roman" w:hAnsi="Times New Roman" w:cs="Times New Roman"/>
            <w:sz w:val="24"/>
            <w:szCs w:val="24"/>
            <w:highlight w:val="yellow"/>
          </w:rPr>
          <w:t>https://doi.org/10.37745/bjmas.2022.0208</w:t>
        </w:r>
      </w:hyperlink>
      <w:r w:rsidRPr="002E204D">
        <w:rPr>
          <w:rFonts w:ascii="Times New Roman" w:hAnsi="Times New Roman" w:cs="Times New Roman"/>
          <w:sz w:val="24"/>
          <w:szCs w:val="24"/>
          <w:highlight w:val="yellow"/>
        </w:rPr>
        <w:t xml:space="preserve"> </w:t>
      </w:r>
    </w:p>
    <w:p w14:paraId="4CABA205" w14:textId="3394450B" w:rsidR="00342F5C" w:rsidRPr="002E204D" w:rsidRDefault="00342F5C" w:rsidP="006D2E44">
      <w:pPr>
        <w:spacing w:after="0"/>
        <w:ind w:left="630" w:hanging="630"/>
        <w:jc w:val="both"/>
        <w:rPr>
          <w:rFonts w:ascii="Times New Roman" w:hAnsi="Times New Roman" w:cs="Times New Roman"/>
          <w:sz w:val="24"/>
          <w:szCs w:val="24"/>
          <w:highlight w:val="yellow"/>
        </w:rPr>
      </w:pPr>
      <w:r w:rsidRPr="002E204D">
        <w:rPr>
          <w:rFonts w:ascii="Times New Roman" w:hAnsi="Times New Roman" w:cs="Times New Roman"/>
          <w:sz w:val="24"/>
          <w:szCs w:val="24"/>
          <w:highlight w:val="yellow"/>
        </w:rPr>
        <w:t xml:space="preserve">Rebelo, L.-M., Johnston, R., Karimi, P., &amp; McCornick, P. G. (2014). Determining the dynamics of agricultural water use: Cases from Asia and Africa. Journal of Contemporary Water Research &amp; Education, 153(1), 79–90. </w:t>
      </w:r>
    </w:p>
    <w:p w14:paraId="50AEB287" w14:textId="77777777" w:rsidR="00FB108B" w:rsidRPr="002E204D" w:rsidRDefault="00FB108B" w:rsidP="006D2E44">
      <w:pPr>
        <w:spacing w:after="0"/>
        <w:ind w:left="630" w:hanging="630"/>
        <w:jc w:val="both"/>
        <w:rPr>
          <w:rFonts w:ascii="Times New Roman" w:hAnsi="Times New Roman" w:cs="Times New Roman"/>
          <w:sz w:val="24"/>
          <w:szCs w:val="24"/>
          <w:highlight w:val="yellow"/>
        </w:rPr>
      </w:pPr>
    </w:p>
    <w:p w14:paraId="41818706" w14:textId="68B3A8AD" w:rsidR="00FB108B" w:rsidRPr="009D43CE" w:rsidRDefault="00FB108B" w:rsidP="006D2E44">
      <w:pPr>
        <w:spacing w:after="0"/>
        <w:ind w:left="630" w:hanging="630"/>
        <w:jc w:val="both"/>
        <w:rPr>
          <w:rFonts w:ascii="Times New Roman" w:hAnsi="Times New Roman" w:cs="Times New Roman"/>
          <w:sz w:val="24"/>
          <w:szCs w:val="24"/>
        </w:rPr>
      </w:pPr>
      <w:r w:rsidRPr="002E204D">
        <w:rPr>
          <w:rFonts w:ascii="Times New Roman" w:hAnsi="Times New Roman" w:cs="Times New Roman"/>
          <w:sz w:val="24"/>
          <w:szCs w:val="24"/>
          <w:highlight w:val="yellow"/>
        </w:rPr>
        <w:t>Chinthalu, V., G. Hegde, N., &amp; Supekar, A. (2020). Study of Challenges Faced by Farmers Related to Irrigation Water for Increasing Crop Production. Asian Journal of Advances in Agricultural Research, 12(2), 1–6.</w:t>
      </w:r>
    </w:p>
    <w:sectPr w:rsidR="00FB108B" w:rsidRPr="009D43CE" w:rsidSect="002E6E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9F22A" w14:textId="77777777" w:rsidR="00672FE8" w:rsidRDefault="00672FE8" w:rsidP="001A3514">
      <w:pPr>
        <w:spacing w:after="0" w:line="240" w:lineRule="auto"/>
      </w:pPr>
      <w:r>
        <w:separator/>
      </w:r>
    </w:p>
  </w:endnote>
  <w:endnote w:type="continuationSeparator" w:id="0">
    <w:p w14:paraId="0ADBC18B" w14:textId="77777777" w:rsidR="00672FE8" w:rsidRDefault="00672FE8" w:rsidP="001A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DE01" w14:textId="77777777" w:rsidR="000C39E3" w:rsidRDefault="000C3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678432"/>
      <w:docPartObj>
        <w:docPartGallery w:val="Page Numbers (Bottom of Page)"/>
        <w:docPartUnique/>
      </w:docPartObj>
    </w:sdtPr>
    <w:sdtEndPr>
      <w:rPr>
        <w:noProof/>
      </w:rPr>
    </w:sdtEndPr>
    <w:sdtContent>
      <w:p w14:paraId="68E69A97" w14:textId="624972FF" w:rsidR="00DD7423" w:rsidRDefault="00DD7423">
        <w:pPr>
          <w:pStyle w:val="Footer"/>
          <w:jc w:val="center"/>
        </w:pPr>
        <w:r>
          <w:fldChar w:fldCharType="begin"/>
        </w:r>
        <w:r>
          <w:instrText xml:space="preserve"> PAGE   \* MERGEFORMAT </w:instrText>
        </w:r>
        <w:r>
          <w:fldChar w:fldCharType="separate"/>
        </w:r>
        <w:r w:rsidR="00AC57DA">
          <w:rPr>
            <w:noProof/>
          </w:rPr>
          <w:t>18</w:t>
        </w:r>
        <w:r>
          <w:rPr>
            <w:noProof/>
          </w:rPr>
          <w:fldChar w:fldCharType="end"/>
        </w:r>
      </w:p>
    </w:sdtContent>
  </w:sdt>
  <w:p w14:paraId="71C57529" w14:textId="77777777" w:rsidR="00DD7423" w:rsidRDefault="00DD74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CDE5" w14:textId="77777777" w:rsidR="000C39E3" w:rsidRDefault="000C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05004" w14:textId="77777777" w:rsidR="00672FE8" w:rsidRDefault="00672FE8" w:rsidP="001A3514">
      <w:pPr>
        <w:spacing w:after="0" w:line="240" w:lineRule="auto"/>
      </w:pPr>
      <w:r>
        <w:separator/>
      </w:r>
    </w:p>
  </w:footnote>
  <w:footnote w:type="continuationSeparator" w:id="0">
    <w:p w14:paraId="4CA2AB09" w14:textId="77777777" w:rsidR="00672FE8" w:rsidRDefault="00672FE8" w:rsidP="001A3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64E9" w14:textId="1371ECDC" w:rsidR="000C39E3" w:rsidRDefault="00000000">
    <w:pPr>
      <w:pStyle w:val="Header"/>
    </w:pPr>
    <w:r>
      <w:rPr>
        <w:noProof/>
      </w:rPr>
      <w:pict w14:anchorId="7B089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8982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48111" w14:textId="1EF63087" w:rsidR="000C39E3" w:rsidRDefault="00000000">
    <w:pPr>
      <w:pStyle w:val="Header"/>
    </w:pPr>
    <w:r>
      <w:rPr>
        <w:noProof/>
      </w:rPr>
      <w:pict w14:anchorId="08542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8982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9CCC" w14:textId="247F1CF0" w:rsidR="000C39E3" w:rsidRDefault="00000000">
    <w:pPr>
      <w:pStyle w:val="Header"/>
    </w:pPr>
    <w:r>
      <w:rPr>
        <w:noProof/>
      </w:rPr>
      <w:pict w14:anchorId="19C1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8982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093B60"/>
    <w:multiLevelType w:val="multilevel"/>
    <w:tmpl w:val="14B49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7504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GwNDUytDCwNDA1MrBU0lEKTi0uzszPAykwrgUAUCvQ3ywAAAA="/>
  </w:docVars>
  <w:rsids>
    <w:rsidRoot w:val="000042DB"/>
    <w:rsid w:val="000042DB"/>
    <w:rsid w:val="0003234F"/>
    <w:rsid w:val="00053D39"/>
    <w:rsid w:val="00057DB2"/>
    <w:rsid w:val="00063AED"/>
    <w:rsid w:val="00077D28"/>
    <w:rsid w:val="00080601"/>
    <w:rsid w:val="000A2EA0"/>
    <w:rsid w:val="000C371A"/>
    <w:rsid w:val="000C39E3"/>
    <w:rsid w:val="000F53A1"/>
    <w:rsid w:val="000F53BD"/>
    <w:rsid w:val="00117E57"/>
    <w:rsid w:val="0012765E"/>
    <w:rsid w:val="001432F3"/>
    <w:rsid w:val="0015243E"/>
    <w:rsid w:val="001529B8"/>
    <w:rsid w:val="00181BE8"/>
    <w:rsid w:val="00193A15"/>
    <w:rsid w:val="00193E4B"/>
    <w:rsid w:val="00197E51"/>
    <w:rsid w:val="001A3514"/>
    <w:rsid w:val="001B37F7"/>
    <w:rsid w:val="001B3D74"/>
    <w:rsid w:val="001E540C"/>
    <w:rsid w:val="00200DB0"/>
    <w:rsid w:val="00255EC9"/>
    <w:rsid w:val="00274676"/>
    <w:rsid w:val="002773AA"/>
    <w:rsid w:val="00281016"/>
    <w:rsid w:val="002864A6"/>
    <w:rsid w:val="00291D4D"/>
    <w:rsid w:val="002A7338"/>
    <w:rsid w:val="002C6168"/>
    <w:rsid w:val="002D6810"/>
    <w:rsid w:val="002E204D"/>
    <w:rsid w:val="002E2C7E"/>
    <w:rsid w:val="002E6E63"/>
    <w:rsid w:val="002F4E66"/>
    <w:rsid w:val="0031263E"/>
    <w:rsid w:val="00312AEB"/>
    <w:rsid w:val="00332BCB"/>
    <w:rsid w:val="00334D9D"/>
    <w:rsid w:val="00342F5C"/>
    <w:rsid w:val="003A4815"/>
    <w:rsid w:val="003A5118"/>
    <w:rsid w:val="003A7F1E"/>
    <w:rsid w:val="003B1071"/>
    <w:rsid w:val="003C2FCB"/>
    <w:rsid w:val="003C503B"/>
    <w:rsid w:val="003E114A"/>
    <w:rsid w:val="003E6443"/>
    <w:rsid w:val="00411F69"/>
    <w:rsid w:val="00420BAA"/>
    <w:rsid w:val="004368BF"/>
    <w:rsid w:val="004539DA"/>
    <w:rsid w:val="0046361B"/>
    <w:rsid w:val="00484FEE"/>
    <w:rsid w:val="004B24E4"/>
    <w:rsid w:val="004B3B02"/>
    <w:rsid w:val="004C76BC"/>
    <w:rsid w:val="004F275D"/>
    <w:rsid w:val="004F29F1"/>
    <w:rsid w:val="00503BE8"/>
    <w:rsid w:val="0050525D"/>
    <w:rsid w:val="0051420A"/>
    <w:rsid w:val="005162A1"/>
    <w:rsid w:val="00525610"/>
    <w:rsid w:val="00527052"/>
    <w:rsid w:val="00527837"/>
    <w:rsid w:val="00554F1E"/>
    <w:rsid w:val="00555997"/>
    <w:rsid w:val="0055739C"/>
    <w:rsid w:val="00573EFC"/>
    <w:rsid w:val="00577CFB"/>
    <w:rsid w:val="005E38C2"/>
    <w:rsid w:val="005E4AB1"/>
    <w:rsid w:val="00600583"/>
    <w:rsid w:val="00602978"/>
    <w:rsid w:val="006253A5"/>
    <w:rsid w:val="0063089D"/>
    <w:rsid w:val="00672FE8"/>
    <w:rsid w:val="006762EB"/>
    <w:rsid w:val="00681DC3"/>
    <w:rsid w:val="006A46FB"/>
    <w:rsid w:val="006A475A"/>
    <w:rsid w:val="006B487A"/>
    <w:rsid w:val="006C3B3A"/>
    <w:rsid w:val="006C6677"/>
    <w:rsid w:val="006D2E44"/>
    <w:rsid w:val="00702E47"/>
    <w:rsid w:val="00720F9B"/>
    <w:rsid w:val="00761DA0"/>
    <w:rsid w:val="007E456A"/>
    <w:rsid w:val="007E500D"/>
    <w:rsid w:val="007F6DED"/>
    <w:rsid w:val="00815318"/>
    <w:rsid w:val="00827183"/>
    <w:rsid w:val="0083369B"/>
    <w:rsid w:val="00835A42"/>
    <w:rsid w:val="0087095E"/>
    <w:rsid w:val="00882171"/>
    <w:rsid w:val="008C7C90"/>
    <w:rsid w:val="008E3255"/>
    <w:rsid w:val="008E40B2"/>
    <w:rsid w:val="008F69AB"/>
    <w:rsid w:val="00984157"/>
    <w:rsid w:val="00992713"/>
    <w:rsid w:val="009B45CB"/>
    <w:rsid w:val="009D43CE"/>
    <w:rsid w:val="009D4A10"/>
    <w:rsid w:val="00A03476"/>
    <w:rsid w:val="00A47435"/>
    <w:rsid w:val="00A47C61"/>
    <w:rsid w:val="00A849C7"/>
    <w:rsid w:val="00AA098D"/>
    <w:rsid w:val="00AA6404"/>
    <w:rsid w:val="00AB50D9"/>
    <w:rsid w:val="00AC57DA"/>
    <w:rsid w:val="00AD1CAD"/>
    <w:rsid w:val="00AE53E8"/>
    <w:rsid w:val="00AF09A7"/>
    <w:rsid w:val="00B22E68"/>
    <w:rsid w:val="00B258B7"/>
    <w:rsid w:val="00B36B38"/>
    <w:rsid w:val="00B454F2"/>
    <w:rsid w:val="00B96E7A"/>
    <w:rsid w:val="00B97A55"/>
    <w:rsid w:val="00BB3DE6"/>
    <w:rsid w:val="00BE1A42"/>
    <w:rsid w:val="00BF01FE"/>
    <w:rsid w:val="00BF5F90"/>
    <w:rsid w:val="00C11F63"/>
    <w:rsid w:val="00C24E1F"/>
    <w:rsid w:val="00C3284D"/>
    <w:rsid w:val="00C46A9F"/>
    <w:rsid w:val="00C77018"/>
    <w:rsid w:val="00C8277F"/>
    <w:rsid w:val="00C90D87"/>
    <w:rsid w:val="00CC570D"/>
    <w:rsid w:val="00CD56D5"/>
    <w:rsid w:val="00CD59F8"/>
    <w:rsid w:val="00CF2704"/>
    <w:rsid w:val="00CF6F90"/>
    <w:rsid w:val="00D06B61"/>
    <w:rsid w:val="00D2739B"/>
    <w:rsid w:val="00D43CAB"/>
    <w:rsid w:val="00D47A60"/>
    <w:rsid w:val="00D608C8"/>
    <w:rsid w:val="00D61709"/>
    <w:rsid w:val="00D7052B"/>
    <w:rsid w:val="00D70675"/>
    <w:rsid w:val="00D93F9E"/>
    <w:rsid w:val="00DA5D05"/>
    <w:rsid w:val="00DB1AEA"/>
    <w:rsid w:val="00DC08AC"/>
    <w:rsid w:val="00DC154B"/>
    <w:rsid w:val="00DD7423"/>
    <w:rsid w:val="00DE4D1B"/>
    <w:rsid w:val="00DF4DC1"/>
    <w:rsid w:val="00E1475C"/>
    <w:rsid w:val="00E20F67"/>
    <w:rsid w:val="00E211BF"/>
    <w:rsid w:val="00E50254"/>
    <w:rsid w:val="00E50EF8"/>
    <w:rsid w:val="00E51CC8"/>
    <w:rsid w:val="00E63317"/>
    <w:rsid w:val="00E9011C"/>
    <w:rsid w:val="00E9720A"/>
    <w:rsid w:val="00EA3E05"/>
    <w:rsid w:val="00ED71C9"/>
    <w:rsid w:val="00EF7B41"/>
    <w:rsid w:val="00F1694E"/>
    <w:rsid w:val="00F26E82"/>
    <w:rsid w:val="00F32105"/>
    <w:rsid w:val="00F369FA"/>
    <w:rsid w:val="00F4082D"/>
    <w:rsid w:val="00F70F32"/>
    <w:rsid w:val="00F74D61"/>
    <w:rsid w:val="00F92A26"/>
    <w:rsid w:val="00FB108B"/>
    <w:rsid w:val="00FC2539"/>
    <w:rsid w:val="00FC3ABB"/>
    <w:rsid w:val="00FE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4B204B"/>
  <w15:docId w15:val="{381EF8AF-AE77-45BB-9CC8-3AA06DAC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042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42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42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42DB"/>
    <w:rPr>
      <w:rFonts w:ascii="Times New Roman" w:eastAsia="Times New Roman" w:hAnsi="Times New Roman" w:cs="Times New Roman"/>
      <w:b/>
      <w:bCs/>
      <w:sz w:val="27"/>
      <w:szCs w:val="27"/>
    </w:rPr>
  </w:style>
  <w:style w:type="paragraph" w:styleId="NormalWeb">
    <w:name w:val="Normal (Web)"/>
    <w:basedOn w:val="Normal"/>
    <w:uiPriority w:val="99"/>
    <w:unhideWhenUsed/>
    <w:rsid w:val="000042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0042DB"/>
  </w:style>
  <w:style w:type="character" w:styleId="Hyperlink">
    <w:name w:val="Hyperlink"/>
    <w:basedOn w:val="DefaultParagraphFont"/>
    <w:uiPriority w:val="99"/>
    <w:unhideWhenUsed/>
    <w:rsid w:val="000042DB"/>
    <w:rPr>
      <w:color w:val="0000FF"/>
      <w:u w:val="single"/>
    </w:rPr>
  </w:style>
  <w:style w:type="character" w:customStyle="1" w:styleId="off-screen">
    <w:name w:val="off-screen"/>
    <w:basedOn w:val="DefaultParagraphFont"/>
    <w:rsid w:val="000042DB"/>
  </w:style>
  <w:style w:type="paragraph" w:customStyle="1" w:styleId="captiontext">
    <w:name w:val="captiontext"/>
    <w:basedOn w:val="Normal"/>
    <w:rsid w:val="000042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label">
    <w:name w:val="captionlabel"/>
    <w:basedOn w:val="DefaultParagraphFont"/>
    <w:rsid w:val="000042DB"/>
  </w:style>
  <w:style w:type="character" w:styleId="Strong">
    <w:name w:val="Strong"/>
    <w:basedOn w:val="DefaultParagraphFont"/>
    <w:uiPriority w:val="22"/>
    <w:qFormat/>
    <w:rsid w:val="00E50EF8"/>
    <w:rPr>
      <w:b/>
      <w:bCs/>
    </w:rPr>
  </w:style>
  <w:style w:type="paragraph" w:customStyle="1" w:styleId="ds-markdown-paragraph">
    <w:name w:val="ds-markdown-paragraph"/>
    <w:basedOn w:val="Normal"/>
    <w:rsid w:val="00ED71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3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514"/>
  </w:style>
  <w:style w:type="paragraph" w:styleId="Footer">
    <w:name w:val="footer"/>
    <w:basedOn w:val="Normal"/>
    <w:link w:val="FooterChar"/>
    <w:uiPriority w:val="99"/>
    <w:unhideWhenUsed/>
    <w:rsid w:val="001A3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514"/>
  </w:style>
  <w:style w:type="table" w:styleId="TableGrid">
    <w:name w:val="Table Grid"/>
    <w:basedOn w:val="TableNormal"/>
    <w:uiPriority w:val="59"/>
    <w:rsid w:val="00984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323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323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5E38C2"/>
    <w:pPr>
      <w:spacing w:after="0" w:line="240" w:lineRule="auto"/>
    </w:pPr>
  </w:style>
  <w:style w:type="character" w:customStyle="1" w:styleId="IUStandardZchn">
    <w:name w:val="IUStandard Zchn"/>
    <w:basedOn w:val="DefaultParagraphFont"/>
    <w:link w:val="IUStandard"/>
    <w:qFormat/>
    <w:rsid w:val="00C8277F"/>
    <w:rPr>
      <w:rFonts w:ascii="Arial" w:eastAsia="Times New Roman" w:hAnsi="Arial" w:cs="Times New Roman"/>
      <w:sz w:val="20"/>
      <w:lang w:val="en-GB" w:eastAsia="en-GB"/>
    </w:rPr>
  </w:style>
  <w:style w:type="paragraph" w:customStyle="1" w:styleId="IUStandard">
    <w:name w:val="IUStandard"/>
    <w:basedOn w:val="Normal"/>
    <w:link w:val="IUStandardZchn"/>
    <w:qFormat/>
    <w:rsid w:val="00C8277F"/>
    <w:pPr>
      <w:suppressAutoHyphens/>
      <w:spacing w:before="120" w:after="0" w:line="288" w:lineRule="auto"/>
      <w:jc w:val="both"/>
    </w:pPr>
    <w:rPr>
      <w:rFonts w:ascii="Arial" w:eastAsia="Times New Roman" w:hAnsi="Arial" w:cs="Times New Roman"/>
      <w:sz w:val="20"/>
      <w:lang w:val="en-GB" w:eastAsia="en-GB"/>
    </w:rPr>
  </w:style>
  <w:style w:type="character" w:styleId="Emphasis">
    <w:name w:val="Emphasis"/>
    <w:basedOn w:val="DefaultParagraphFont"/>
    <w:uiPriority w:val="20"/>
    <w:qFormat/>
    <w:rsid w:val="007E456A"/>
    <w:rPr>
      <w:i/>
      <w:iCs/>
    </w:rPr>
  </w:style>
  <w:style w:type="paragraph" w:styleId="BalloonText">
    <w:name w:val="Balloon Text"/>
    <w:basedOn w:val="Normal"/>
    <w:link w:val="BalloonTextChar"/>
    <w:uiPriority w:val="99"/>
    <w:semiHidden/>
    <w:unhideWhenUsed/>
    <w:rsid w:val="00143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2F3"/>
    <w:rPr>
      <w:rFonts w:ascii="Tahoma" w:hAnsi="Tahoma" w:cs="Tahoma"/>
      <w:sz w:val="16"/>
      <w:szCs w:val="16"/>
    </w:rPr>
  </w:style>
  <w:style w:type="table" w:styleId="LightShading">
    <w:name w:val="Light Shading"/>
    <w:basedOn w:val="TableNormal"/>
    <w:uiPriority w:val="60"/>
    <w:rsid w:val="006C66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6C6677"/>
    <w:rPr>
      <w:sz w:val="16"/>
      <w:szCs w:val="16"/>
    </w:rPr>
  </w:style>
  <w:style w:type="paragraph" w:styleId="CommentText">
    <w:name w:val="annotation text"/>
    <w:basedOn w:val="Normal"/>
    <w:link w:val="CommentTextChar"/>
    <w:uiPriority w:val="99"/>
    <w:semiHidden/>
    <w:unhideWhenUsed/>
    <w:rsid w:val="006C6677"/>
    <w:pPr>
      <w:spacing w:line="240" w:lineRule="auto"/>
    </w:pPr>
    <w:rPr>
      <w:sz w:val="20"/>
      <w:szCs w:val="20"/>
    </w:rPr>
  </w:style>
  <w:style w:type="character" w:customStyle="1" w:styleId="CommentTextChar">
    <w:name w:val="Comment Text Char"/>
    <w:basedOn w:val="DefaultParagraphFont"/>
    <w:link w:val="CommentText"/>
    <w:uiPriority w:val="99"/>
    <w:semiHidden/>
    <w:rsid w:val="006C6677"/>
    <w:rPr>
      <w:sz w:val="20"/>
      <w:szCs w:val="20"/>
    </w:rPr>
  </w:style>
  <w:style w:type="paragraph" w:styleId="CommentSubject">
    <w:name w:val="annotation subject"/>
    <w:basedOn w:val="CommentText"/>
    <w:next w:val="CommentText"/>
    <w:link w:val="CommentSubjectChar"/>
    <w:uiPriority w:val="99"/>
    <w:semiHidden/>
    <w:unhideWhenUsed/>
    <w:rsid w:val="006C6677"/>
    <w:rPr>
      <w:b/>
      <w:bCs/>
    </w:rPr>
  </w:style>
  <w:style w:type="character" w:customStyle="1" w:styleId="CommentSubjectChar">
    <w:name w:val="Comment Subject Char"/>
    <w:basedOn w:val="CommentTextChar"/>
    <w:link w:val="CommentSubject"/>
    <w:uiPriority w:val="99"/>
    <w:semiHidden/>
    <w:rsid w:val="006C6677"/>
    <w:rPr>
      <w:b/>
      <w:bCs/>
      <w:sz w:val="20"/>
      <w:szCs w:val="20"/>
    </w:rPr>
  </w:style>
  <w:style w:type="paragraph" w:styleId="ListParagraph">
    <w:name w:val="List Paragraph"/>
    <w:basedOn w:val="Normal"/>
    <w:uiPriority w:val="34"/>
    <w:qFormat/>
    <w:rsid w:val="00F26E82"/>
    <w:pPr>
      <w:ind w:left="720"/>
      <w:contextualSpacing/>
    </w:pPr>
  </w:style>
  <w:style w:type="character" w:styleId="UnresolvedMention">
    <w:name w:val="Unresolved Mention"/>
    <w:basedOn w:val="DefaultParagraphFont"/>
    <w:uiPriority w:val="99"/>
    <w:semiHidden/>
    <w:unhideWhenUsed/>
    <w:rsid w:val="001B37F7"/>
    <w:rPr>
      <w:color w:val="605E5C"/>
      <w:shd w:val="clear" w:color="auto" w:fill="E1DFDD"/>
    </w:rPr>
  </w:style>
  <w:style w:type="paragraph" w:styleId="Revision">
    <w:name w:val="Revision"/>
    <w:hidden/>
    <w:uiPriority w:val="99"/>
    <w:semiHidden/>
    <w:rsid w:val="000F53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68275">
      <w:bodyDiv w:val="1"/>
      <w:marLeft w:val="0"/>
      <w:marRight w:val="0"/>
      <w:marTop w:val="0"/>
      <w:marBottom w:val="0"/>
      <w:divBdr>
        <w:top w:val="none" w:sz="0" w:space="0" w:color="auto"/>
        <w:left w:val="none" w:sz="0" w:space="0" w:color="auto"/>
        <w:bottom w:val="none" w:sz="0" w:space="0" w:color="auto"/>
        <w:right w:val="none" w:sz="0" w:space="0" w:color="auto"/>
      </w:divBdr>
    </w:div>
    <w:div w:id="237594912">
      <w:bodyDiv w:val="1"/>
      <w:marLeft w:val="0"/>
      <w:marRight w:val="0"/>
      <w:marTop w:val="0"/>
      <w:marBottom w:val="0"/>
      <w:divBdr>
        <w:top w:val="none" w:sz="0" w:space="0" w:color="auto"/>
        <w:left w:val="none" w:sz="0" w:space="0" w:color="auto"/>
        <w:bottom w:val="none" w:sz="0" w:space="0" w:color="auto"/>
        <w:right w:val="none" w:sz="0" w:space="0" w:color="auto"/>
      </w:divBdr>
    </w:div>
    <w:div w:id="280065969">
      <w:bodyDiv w:val="1"/>
      <w:marLeft w:val="0"/>
      <w:marRight w:val="0"/>
      <w:marTop w:val="0"/>
      <w:marBottom w:val="0"/>
      <w:divBdr>
        <w:top w:val="none" w:sz="0" w:space="0" w:color="auto"/>
        <w:left w:val="none" w:sz="0" w:space="0" w:color="auto"/>
        <w:bottom w:val="none" w:sz="0" w:space="0" w:color="auto"/>
        <w:right w:val="none" w:sz="0" w:space="0" w:color="auto"/>
      </w:divBdr>
    </w:div>
    <w:div w:id="361253298">
      <w:bodyDiv w:val="1"/>
      <w:marLeft w:val="0"/>
      <w:marRight w:val="0"/>
      <w:marTop w:val="0"/>
      <w:marBottom w:val="0"/>
      <w:divBdr>
        <w:top w:val="none" w:sz="0" w:space="0" w:color="auto"/>
        <w:left w:val="none" w:sz="0" w:space="0" w:color="auto"/>
        <w:bottom w:val="none" w:sz="0" w:space="0" w:color="auto"/>
        <w:right w:val="none" w:sz="0" w:space="0" w:color="auto"/>
      </w:divBdr>
    </w:div>
    <w:div w:id="717781676">
      <w:bodyDiv w:val="1"/>
      <w:marLeft w:val="0"/>
      <w:marRight w:val="0"/>
      <w:marTop w:val="0"/>
      <w:marBottom w:val="0"/>
      <w:divBdr>
        <w:top w:val="none" w:sz="0" w:space="0" w:color="auto"/>
        <w:left w:val="none" w:sz="0" w:space="0" w:color="auto"/>
        <w:bottom w:val="none" w:sz="0" w:space="0" w:color="auto"/>
        <w:right w:val="none" w:sz="0" w:space="0" w:color="auto"/>
      </w:divBdr>
    </w:div>
    <w:div w:id="733742476">
      <w:bodyDiv w:val="1"/>
      <w:marLeft w:val="0"/>
      <w:marRight w:val="0"/>
      <w:marTop w:val="0"/>
      <w:marBottom w:val="0"/>
      <w:divBdr>
        <w:top w:val="none" w:sz="0" w:space="0" w:color="auto"/>
        <w:left w:val="none" w:sz="0" w:space="0" w:color="auto"/>
        <w:bottom w:val="none" w:sz="0" w:space="0" w:color="auto"/>
        <w:right w:val="none" w:sz="0" w:space="0" w:color="auto"/>
      </w:divBdr>
    </w:div>
    <w:div w:id="930042757">
      <w:bodyDiv w:val="1"/>
      <w:marLeft w:val="0"/>
      <w:marRight w:val="0"/>
      <w:marTop w:val="0"/>
      <w:marBottom w:val="0"/>
      <w:divBdr>
        <w:top w:val="none" w:sz="0" w:space="0" w:color="auto"/>
        <w:left w:val="none" w:sz="0" w:space="0" w:color="auto"/>
        <w:bottom w:val="none" w:sz="0" w:space="0" w:color="auto"/>
        <w:right w:val="none" w:sz="0" w:space="0" w:color="auto"/>
      </w:divBdr>
    </w:div>
    <w:div w:id="992099786">
      <w:bodyDiv w:val="1"/>
      <w:marLeft w:val="0"/>
      <w:marRight w:val="0"/>
      <w:marTop w:val="0"/>
      <w:marBottom w:val="0"/>
      <w:divBdr>
        <w:top w:val="none" w:sz="0" w:space="0" w:color="auto"/>
        <w:left w:val="none" w:sz="0" w:space="0" w:color="auto"/>
        <w:bottom w:val="none" w:sz="0" w:space="0" w:color="auto"/>
        <w:right w:val="none" w:sz="0" w:space="0" w:color="auto"/>
      </w:divBdr>
    </w:div>
    <w:div w:id="1020470037">
      <w:bodyDiv w:val="1"/>
      <w:marLeft w:val="0"/>
      <w:marRight w:val="0"/>
      <w:marTop w:val="0"/>
      <w:marBottom w:val="0"/>
      <w:divBdr>
        <w:top w:val="none" w:sz="0" w:space="0" w:color="auto"/>
        <w:left w:val="none" w:sz="0" w:space="0" w:color="auto"/>
        <w:bottom w:val="none" w:sz="0" w:space="0" w:color="auto"/>
        <w:right w:val="none" w:sz="0" w:space="0" w:color="auto"/>
      </w:divBdr>
    </w:div>
    <w:div w:id="1155300634">
      <w:bodyDiv w:val="1"/>
      <w:marLeft w:val="0"/>
      <w:marRight w:val="0"/>
      <w:marTop w:val="0"/>
      <w:marBottom w:val="0"/>
      <w:divBdr>
        <w:top w:val="none" w:sz="0" w:space="0" w:color="auto"/>
        <w:left w:val="none" w:sz="0" w:space="0" w:color="auto"/>
        <w:bottom w:val="none" w:sz="0" w:space="0" w:color="auto"/>
        <w:right w:val="none" w:sz="0" w:space="0" w:color="auto"/>
      </w:divBdr>
    </w:div>
    <w:div w:id="1170288469">
      <w:bodyDiv w:val="1"/>
      <w:marLeft w:val="0"/>
      <w:marRight w:val="0"/>
      <w:marTop w:val="0"/>
      <w:marBottom w:val="0"/>
      <w:divBdr>
        <w:top w:val="none" w:sz="0" w:space="0" w:color="auto"/>
        <w:left w:val="none" w:sz="0" w:space="0" w:color="auto"/>
        <w:bottom w:val="none" w:sz="0" w:space="0" w:color="auto"/>
        <w:right w:val="none" w:sz="0" w:space="0" w:color="auto"/>
      </w:divBdr>
      <w:divsChild>
        <w:div w:id="470289494">
          <w:marLeft w:val="0"/>
          <w:marRight w:val="0"/>
          <w:marTop w:val="0"/>
          <w:marBottom w:val="0"/>
          <w:divBdr>
            <w:top w:val="none" w:sz="0" w:space="0" w:color="auto"/>
            <w:left w:val="none" w:sz="0" w:space="0" w:color="auto"/>
            <w:bottom w:val="none" w:sz="0" w:space="0" w:color="auto"/>
            <w:right w:val="none" w:sz="0" w:space="0" w:color="auto"/>
          </w:divBdr>
          <w:divsChild>
            <w:div w:id="8701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54906">
      <w:bodyDiv w:val="1"/>
      <w:marLeft w:val="0"/>
      <w:marRight w:val="0"/>
      <w:marTop w:val="0"/>
      <w:marBottom w:val="0"/>
      <w:divBdr>
        <w:top w:val="none" w:sz="0" w:space="0" w:color="auto"/>
        <w:left w:val="none" w:sz="0" w:space="0" w:color="auto"/>
        <w:bottom w:val="none" w:sz="0" w:space="0" w:color="auto"/>
        <w:right w:val="none" w:sz="0" w:space="0" w:color="auto"/>
      </w:divBdr>
    </w:div>
    <w:div w:id="1417093377">
      <w:bodyDiv w:val="1"/>
      <w:marLeft w:val="0"/>
      <w:marRight w:val="0"/>
      <w:marTop w:val="0"/>
      <w:marBottom w:val="0"/>
      <w:divBdr>
        <w:top w:val="none" w:sz="0" w:space="0" w:color="auto"/>
        <w:left w:val="none" w:sz="0" w:space="0" w:color="auto"/>
        <w:bottom w:val="none" w:sz="0" w:space="0" w:color="auto"/>
        <w:right w:val="none" w:sz="0" w:space="0" w:color="auto"/>
      </w:divBdr>
    </w:div>
    <w:div w:id="1430197504">
      <w:bodyDiv w:val="1"/>
      <w:marLeft w:val="0"/>
      <w:marRight w:val="0"/>
      <w:marTop w:val="0"/>
      <w:marBottom w:val="0"/>
      <w:divBdr>
        <w:top w:val="none" w:sz="0" w:space="0" w:color="auto"/>
        <w:left w:val="none" w:sz="0" w:space="0" w:color="auto"/>
        <w:bottom w:val="none" w:sz="0" w:space="0" w:color="auto"/>
        <w:right w:val="none" w:sz="0" w:space="0" w:color="auto"/>
      </w:divBdr>
    </w:div>
    <w:div w:id="1836602216">
      <w:bodyDiv w:val="1"/>
      <w:marLeft w:val="0"/>
      <w:marRight w:val="0"/>
      <w:marTop w:val="0"/>
      <w:marBottom w:val="0"/>
      <w:divBdr>
        <w:top w:val="none" w:sz="0" w:space="0" w:color="auto"/>
        <w:left w:val="none" w:sz="0" w:space="0" w:color="auto"/>
        <w:bottom w:val="none" w:sz="0" w:space="0" w:color="auto"/>
        <w:right w:val="none" w:sz="0" w:space="0" w:color="auto"/>
      </w:divBdr>
    </w:div>
    <w:div w:id="1853690855">
      <w:bodyDiv w:val="1"/>
      <w:marLeft w:val="0"/>
      <w:marRight w:val="0"/>
      <w:marTop w:val="0"/>
      <w:marBottom w:val="0"/>
      <w:divBdr>
        <w:top w:val="none" w:sz="0" w:space="0" w:color="auto"/>
        <w:left w:val="none" w:sz="0" w:space="0" w:color="auto"/>
        <w:bottom w:val="none" w:sz="0" w:space="0" w:color="auto"/>
        <w:right w:val="none" w:sz="0" w:space="0" w:color="auto"/>
      </w:divBdr>
    </w:div>
    <w:div w:id="1958483007">
      <w:bodyDiv w:val="1"/>
      <w:marLeft w:val="0"/>
      <w:marRight w:val="0"/>
      <w:marTop w:val="0"/>
      <w:marBottom w:val="0"/>
      <w:divBdr>
        <w:top w:val="none" w:sz="0" w:space="0" w:color="auto"/>
        <w:left w:val="none" w:sz="0" w:space="0" w:color="auto"/>
        <w:bottom w:val="none" w:sz="0" w:space="0" w:color="auto"/>
        <w:right w:val="none" w:sz="0" w:space="0" w:color="auto"/>
      </w:divBdr>
    </w:div>
    <w:div w:id="1967009669">
      <w:bodyDiv w:val="1"/>
      <w:marLeft w:val="0"/>
      <w:marRight w:val="0"/>
      <w:marTop w:val="0"/>
      <w:marBottom w:val="0"/>
      <w:divBdr>
        <w:top w:val="none" w:sz="0" w:space="0" w:color="auto"/>
        <w:left w:val="none" w:sz="0" w:space="0" w:color="auto"/>
        <w:bottom w:val="none" w:sz="0" w:space="0" w:color="auto"/>
        <w:right w:val="none" w:sz="0" w:space="0" w:color="auto"/>
      </w:divBdr>
    </w:div>
    <w:div w:id="2039969859">
      <w:bodyDiv w:val="1"/>
      <w:marLeft w:val="0"/>
      <w:marRight w:val="0"/>
      <w:marTop w:val="0"/>
      <w:marBottom w:val="0"/>
      <w:divBdr>
        <w:top w:val="none" w:sz="0" w:space="0" w:color="auto"/>
        <w:left w:val="none" w:sz="0" w:space="0" w:color="auto"/>
        <w:bottom w:val="none" w:sz="0" w:space="0" w:color="auto"/>
        <w:right w:val="none" w:sz="0" w:space="0" w:color="auto"/>
      </w:divBdr>
    </w:div>
    <w:div w:id="2097314646">
      <w:bodyDiv w:val="1"/>
      <w:marLeft w:val="0"/>
      <w:marRight w:val="0"/>
      <w:marTop w:val="0"/>
      <w:marBottom w:val="0"/>
      <w:divBdr>
        <w:top w:val="none" w:sz="0" w:space="0" w:color="auto"/>
        <w:left w:val="none" w:sz="0" w:space="0" w:color="auto"/>
        <w:bottom w:val="none" w:sz="0" w:space="0" w:color="auto"/>
        <w:right w:val="none" w:sz="0" w:space="0" w:color="auto"/>
      </w:divBdr>
      <w:divsChild>
        <w:div w:id="991980538">
          <w:marLeft w:val="0"/>
          <w:marRight w:val="0"/>
          <w:marTop w:val="0"/>
          <w:marBottom w:val="0"/>
          <w:divBdr>
            <w:top w:val="none" w:sz="0" w:space="0" w:color="auto"/>
            <w:left w:val="none" w:sz="0" w:space="0" w:color="auto"/>
            <w:bottom w:val="none" w:sz="0" w:space="0" w:color="auto"/>
            <w:right w:val="none" w:sz="0" w:space="0" w:color="auto"/>
          </w:divBdr>
          <w:divsChild>
            <w:div w:id="180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7745/bjmas.2022.0208"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THE%20EYE%20INFORMATIQUE\Documents\Classification%20of%20water%20sources%20santa%20graph.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Vegetable (tons)</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cat>
            <c:strRef>
              <c:f>Sheet1!$A$2:$A$10</c:f>
              <c:strCache>
                <c:ptCount val="9"/>
                <c:pt idx="0">
                  <c:v>1980-1985</c:v>
                </c:pt>
                <c:pt idx="1">
                  <c:v>1986-1990</c:v>
                </c:pt>
                <c:pt idx="2">
                  <c:v>1991-1995</c:v>
                </c:pt>
                <c:pt idx="3">
                  <c:v>1996-2000</c:v>
                </c:pt>
                <c:pt idx="4">
                  <c:v>2001-2005</c:v>
                </c:pt>
                <c:pt idx="5">
                  <c:v>2006-2010</c:v>
                </c:pt>
                <c:pt idx="6">
                  <c:v>2011-2015</c:v>
                </c:pt>
                <c:pt idx="7">
                  <c:v>2016-2020</c:v>
                </c:pt>
                <c:pt idx="8">
                  <c:v>2021-2024</c:v>
                </c:pt>
              </c:strCache>
            </c:strRef>
          </c:cat>
          <c:val>
            <c:numRef>
              <c:f>Sheet1!$B$2:$B$10</c:f>
              <c:numCache>
                <c:formatCode>General</c:formatCode>
                <c:ptCount val="9"/>
                <c:pt idx="0">
                  <c:v>5200</c:v>
                </c:pt>
                <c:pt idx="1">
                  <c:v>5700</c:v>
                </c:pt>
                <c:pt idx="2">
                  <c:v>5840</c:v>
                </c:pt>
                <c:pt idx="3">
                  <c:v>6140</c:v>
                </c:pt>
                <c:pt idx="4">
                  <c:v>6380</c:v>
                </c:pt>
                <c:pt idx="5">
                  <c:v>6100</c:v>
                </c:pt>
                <c:pt idx="6">
                  <c:v>6000</c:v>
                </c:pt>
                <c:pt idx="7">
                  <c:v>7000</c:v>
                </c:pt>
                <c:pt idx="8">
                  <c:v>8000</c:v>
                </c:pt>
              </c:numCache>
            </c:numRef>
          </c:val>
          <c:smooth val="0"/>
          <c:extLst>
            <c:ext xmlns:c16="http://schemas.microsoft.com/office/drawing/2014/chart" uri="{C3380CC4-5D6E-409C-BE32-E72D297353CC}">
              <c16:uniqueId val="{00000000-4617-43C2-AA52-1EB5B1BAF885}"/>
            </c:ext>
          </c:extLst>
        </c:ser>
        <c:ser>
          <c:idx val="1"/>
          <c:order val="1"/>
          <c:tx>
            <c:strRef>
              <c:f>Sheet1!$C$1</c:f>
              <c:strCache>
                <c:ptCount val="1"/>
                <c:pt idx="0">
                  <c:v>Tubers (tones)</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cat>
            <c:strRef>
              <c:f>Sheet1!$A$2:$A$10</c:f>
              <c:strCache>
                <c:ptCount val="9"/>
                <c:pt idx="0">
                  <c:v>1980-1985</c:v>
                </c:pt>
                <c:pt idx="1">
                  <c:v>1986-1990</c:v>
                </c:pt>
                <c:pt idx="2">
                  <c:v>1991-1995</c:v>
                </c:pt>
                <c:pt idx="3">
                  <c:v>1996-2000</c:v>
                </c:pt>
                <c:pt idx="4">
                  <c:v>2001-2005</c:v>
                </c:pt>
                <c:pt idx="5">
                  <c:v>2006-2010</c:v>
                </c:pt>
                <c:pt idx="6">
                  <c:v>2011-2015</c:v>
                </c:pt>
                <c:pt idx="7">
                  <c:v>2016-2020</c:v>
                </c:pt>
                <c:pt idx="8">
                  <c:v>2021-2024</c:v>
                </c:pt>
              </c:strCache>
            </c:strRef>
          </c:cat>
          <c:val>
            <c:numRef>
              <c:f>Sheet1!$C$2:$C$10</c:f>
              <c:numCache>
                <c:formatCode>General</c:formatCode>
                <c:ptCount val="9"/>
                <c:pt idx="0">
                  <c:v>11800</c:v>
                </c:pt>
                <c:pt idx="1">
                  <c:v>13400</c:v>
                </c:pt>
                <c:pt idx="2">
                  <c:v>13820</c:v>
                </c:pt>
                <c:pt idx="3">
                  <c:v>14470</c:v>
                </c:pt>
                <c:pt idx="4">
                  <c:v>14980</c:v>
                </c:pt>
                <c:pt idx="5">
                  <c:v>14200</c:v>
                </c:pt>
                <c:pt idx="6">
                  <c:v>12000</c:v>
                </c:pt>
                <c:pt idx="7">
                  <c:v>8000</c:v>
                </c:pt>
                <c:pt idx="8">
                  <c:v>9000</c:v>
                </c:pt>
              </c:numCache>
            </c:numRef>
          </c:val>
          <c:smooth val="0"/>
          <c:extLst>
            <c:ext xmlns:c16="http://schemas.microsoft.com/office/drawing/2014/chart" uri="{C3380CC4-5D6E-409C-BE32-E72D297353CC}">
              <c16:uniqueId val="{00000001-4617-43C2-AA52-1EB5B1BAF885}"/>
            </c:ext>
          </c:extLst>
        </c:ser>
        <c:ser>
          <c:idx val="2"/>
          <c:order val="2"/>
          <c:tx>
            <c:strRef>
              <c:f>Sheet1!$D$1</c:f>
              <c:strCache>
                <c:ptCount val="1"/>
                <c:pt idx="0">
                  <c:v>Cereals (tones)</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cat>
            <c:strRef>
              <c:f>Sheet1!$A$2:$A$10</c:f>
              <c:strCache>
                <c:ptCount val="9"/>
                <c:pt idx="0">
                  <c:v>1980-1985</c:v>
                </c:pt>
                <c:pt idx="1">
                  <c:v>1986-1990</c:v>
                </c:pt>
                <c:pt idx="2">
                  <c:v>1991-1995</c:v>
                </c:pt>
                <c:pt idx="3">
                  <c:v>1996-2000</c:v>
                </c:pt>
                <c:pt idx="4">
                  <c:v>2001-2005</c:v>
                </c:pt>
                <c:pt idx="5">
                  <c:v>2006-2010</c:v>
                </c:pt>
                <c:pt idx="6">
                  <c:v>2011-2015</c:v>
                </c:pt>
                <c:pt idx="7">
                  <c:v>2016-2020</c:v>
                </c:pt>
                <c:pt idx="8">
                  <c:v>2021-2024</c:v>
                </c:pt>
              </c:strCache>
            </c:strRef>
          </c:cat>
          <c:val>
            <c:numRef>
              <c:f>Sheet1!$D$2:$D$10</c:f>
              <c:numCache>
                <c:formatCode>General</c:formatCode>
                <c:ptCount val="9"/>
                <c:pt idx="0">
                  <c:v>8300</c:v>
                </c:pt>
                <c:pt idx="1">
                  <c:v>9500</c:v>
                </c:pt>
                <c:pt idx="2">
                  <c:v>9760</c:v>
                </c:pt>
                <c:pt idx="3">
                  <c:v>10210</c:v>
                </c:pt>
                <c:pt idx="4">
                  <c:v>10600</c:v>
                </c:pt>
                <c:pt idx="5">
                  <c:v>10000</c:v>
                </c:pt>
                <c:pt idx="6">
                  <c:v>13500</c:v>
                </c:pt>
                <c:pt idx="7">
                  <c:v>14500</c:v>
                </c:pt>
                <c:pt idx="8">
                  <c:v>6000</c:v>
                </c:pt>
              </c:numCache>
            </c:numRef>
          </c:val>
          <c:smooth val="0"/>
          <c:extLst>
            <c:ext xmlns:c16="http://schemas.microsoft.com/office/drawing/2014/chart" uri="{C3380CC4-5D6E-409C-BE32-E72D297353CC}">
              <c16:uniqueId val="{00000002-4617-43C2-AA52-1EB5B1BAF885}"/>
            </c:ext>
          </c:extLst>
        </c:ser>
        <c:dLbls>
          <c:showLegendKey val="0"/>
          <c:showVal val="0"/>
          <c:showCatName val="0"/>
          <c:showSerName val="0"/>
          <c:showPercent val="0"/>
          <c:showBubbleSize val="0"/>
        </c:dLbls>
        <c:marker val="1"/>
        <c:smooth val="0"/>
        <c:axId val="-528999776"/>
        <c:axId val="-529003040"/>
      </c:lineChart>
      <c:catAx>
        <c:axId val="-5289997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29003040"/>
        <c:crosses val="autoZero"/>
        <c:auto val="1"/>
        <c:lblAlgn val="ctr"/>
        <c:lblOffset val="100"/>
        <c:noMultiLvlLbl val="0"/>
      </c:catAx>
      <c:valAx>
        <c:axId val="-52900304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89997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Santa rural</c:v>
                </c:pt>
              </c:strCache>
            </c:strRef>
          </c:tx>
          <c:spPr>
            <a:pattFill prst="sphere">
              <a:fgClr>
                <a:schemeClr val="accent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Rainfall</c:v>
                </c:pt>
                <c:pt idx="1">
                  <c:v>Open wells/boreholes </c:v>
                </c:pt>
                <c:pt idx="2">
                  <c:v>Public tap</c:v>
                </c:pt>
                <c:pt idx="3">
                  <c:v>Private tap</c:v>
                </c:pt>
                <c:pt idx="4">
                  <c:v>Surface water (river and streams)</c:v>
                </c:pt>
              </c:strCache>
            </c:strRef>
          </c:cat>
          <c:val>
            <c:numRef>
              <c:f>Sheet1!$B$2:$B$6</c:f>
              <c:numCache>
                <c:formatCode>General</c:formatCode>
                <c:ptCount val="5"/>
                <c:pt idx="0">
                  <c:v>43</c:v>
                </c:pt>
                <c:pt idx="1">
                  <c:v>10</c:v>
                </c:pt>
                <c:pt idx="2">
                  <c:v>13</c:v>
                </c:pt>
                <c:pt idx="3">
                  <c:v>15</c:v>
                </c:pt>
                <c:pt idx="4">
                  <c:v>19</c:v>
                </c:pt>
              </c:numCache>
            </c:numRef>
          </c:val>
          <c:extLst>
            <c:ext xmlns:c16="http://schemas.microsoft.com/office/drawing/2014/chart" uri="{C3380CC4-5D6E-409C-BE32-E72D297353CC}">
              <c16:uniqueId val="{00000000-1172-474A-ABE7-284290D7104E}"/>
            </c:ext>
          </c:extLst>
        </c:ser>
        <c:ser>
          <c:idx val="1"/>
          <c:order val="1"/>
          <c:tx>
            <c:strRef>
              <c:f>Sheet1!$C$1</c:f>
              <c:strCache>
                <c:ptCount val="1"/>
                <c:pt idx="0">
                  <c:v>Santa urban</c:v>
                </c:pt>
              </c:strCache>
            </c:strRef>
          </c:tx>
          <c:spPr>
            <a:pattFill prst="pct10">
              <a:fgClr>
                <a:schemeClr val="accent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Rainfall</c:v>
                </c:pt>
                <c:pt idx="1">
                  <c:v>Open wells/boreholes </c:v>
                </c:pt>
                <c:pt idx="2">
                  <c:v>Public tap</c:v>
                </c:pt>
                <c:pt idx="3">
                  <c:v>Private tap</c:v>
                </c:pt>
                <c:pt idx="4">
                  <c:v>Surface water (river and streams)</c:v>
                </c:pt>
              </c:strCache>
            </c:strRef>
          </c:cat>
          <c:val>
            <c:numRef>
              <c:f>Sheet1!$C$2:$C$6</c:f>
              <c:numCache>
                <c:formatCode>General</c:formatCode>
                <c:ptCount val="5"/>
                <c:pt idx="0">
                  <c:v>32.5</c:v>
                </c:pt>
                <c:pt idx="1">
                  <c:v>13.6</c:v>
                </c:pt>
                <c:pt idx="2">
                  <c:v>24.7</c:v>
                </c:pt>
                <c:pt idx="3">
                  <c:v>4.5</c:v>
                </c:pt>
                <c:pt idx="4">
                  <c:v>24.7</c:v>
                </c:pt>
              </c:numCache>
            </c:numRef>
          </c:val>
          <c:extLst>
            <c:ext xmlns:c16="http://schemas.microsoft.com/office/drawing/2014/chart" uri="{C3380CC4-5D6E-409C-BE32-E72D297353CC}">
              <c16:uniqueId val="{00000001-1172-474A-ABE7-284290D7104E}"/>
            </c:ext>
          </c:extLst>
        </c:ser>
        <c:dLbls>
          <c:showLegendKey val="0"/>
          <c:showVal val="1"/>
          <c:showCatName val="0"/>
          <c:showSerName val="0"/>
          <c:showPercent val="0"/>
          <c:showBubbleSize val="0"/>
        </c:dLbls>
        <c:gapWidth val="150"/>
        <c:shape val="box"/>
        <c:axId val="292937728"/>
        <c:axId val="292940032"/>
        <c:axId val="0"/>
      </c:bar3DChart>
      <c:catAx>
        <c:axId val="292937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effectLst/>
                    <a:latin typeface="Times New Roman" panose="02020603050405020304" pitchFamily="18" charset="0"/>
                    <a:cs typeface="Times New Roman" panose="02020603050405020304" pitchFamily="18" charset="0"/>
                  </a:rPr>
                  <a:t>Classification of water sources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45605618017117133"/>
              <c:y val="0.8045329292770642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2940032"/>
        <c:crosses val="autoZero"/>
        <c:auto val="1"/>
        <c:lblAlgn val="ctr"/>
        <c:lblOffset val="100"/>
        <c:noMultiLvlLbl val="0"/>
      </c:catAx>
      <c:valAx>
        <c:axId val="29294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92937728"/>
        <c:crosses val="autoZero"/>
        <c:crossBetween val="between"/>
      </c:valAx>
      <c:spPr>
        <a:noFill/>
        <a:ln>
          <a:noFill/>
        </a:ln>
        <a:effectLst/>
      </c:spPr>
    </c:plotArea>
    <c:legend>
      <c:legendPos val="b"/>
      <c:layout>
        <c:manualLayout>
          <c:xMode val="edge"/>
          <c:yMode val="edge"/>
          <c:x val="0.34460353919642422"/>
          <c:y val="0.88513614956241349"/>
          <c:w val="0.34062458578784621"/>
          <c:h val="5.619561928475572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B562A-26F7-481E-A5D4-EA0FBEBC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5316</Words>
  <Characters>31261</Characters>
  <Application>Microsoft Office Word</Application>
  <DocSecurity>0</DocSecurity>
  <Lines>744</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EYE INFORMATIQUE</dc:creator>
  <cp:lastModifiedBy>Editor-17</cp:lastModifiedBy>
  <cp:revision>10</cp:revision>
  <dcterms:created xsi:type="dcterms:W3CDTF">2025-06-09T11:15:00Z</dcterms:created>
  <dcterms:modified xsi:type="dcterms:W3CDTF">2025-06-20T12:52:00Z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5c149a2f-8aed-4b93-898a-ee9ccf64ceac</vt:lpwstr>
  </property>
</Properties>
</file>