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30349" w14:textId="77777777" w:rsidR="00446B93" w:rsidRDefault="00446B93" w:rsidP="00441B6F">
      <w:pPr>
        <w:pStyle w:val="Title"/>
        <w:spacing w:after="0"/>
        <w:jc w:val="both"/>
        <w:rPr>
          <w:rFonts w:ascii="Arial" w:hAnsi="Arial" w:cs="Arial"/>
        </w:rPr>
      </w:pPr>
    </w:p>
    <w:p w14:paraId="5521A68E" w14:textId="4F1EA515" w:rsidR="00A258C3" w:rsidRPr="00446B93" w:rsidRDefault="00C64C72" w:rsidP="00446B93">
      <w:pPr>
        <w:pStyle w:val="NoSpacing"/>
        <w:jc w:val="right"/>
        <w:rPr>
          <w:rFonts w:ascii="Arial" w:hAnsi="Arial" w:cs="Arial"/>
          <w:b/>
          <w:bCs/>
          <w:sz w:val="36"/>
          <w:szCs w:val="36"/>
        </w:rPr>
      </w:pPr>
      <w:r w:rsidRPr="00C64C72">
        <w:t xml:space="preserve"> </w:t>
      </w:r>
      <w:bookmarkStart w:id="0" w:name="_Hlk199148951"/>
      <w:r w:rsidRPr="00446B93">
        <w:rPr>
          <w:rFonts w:ascii="Arial" w:hAnsi="Arial" w:cs="Arial"/>
          <w:b/>
          <w:bCs/>
          <w:sz w:val="36"/>
          <w:szCs w:val="36"/>
        </w:rPr>
        <w:t xml:space="preserve">Level of competency </w:t>
      </w:r>
      <w:r w:rsidR="00446B93" w:rsidRPr="00446B93">
        <w:rPr>
          <w:rFonts w:ascii="Arial" w:hAnsi="Arial" w:cs="Arial"/>
          <w:b/>
          <w:bCs/>
          <w:sz w:val="36"/>
          <w:szCs w:val="36"/>
        </w:rPr>
        <w:t>and National Certificat</w:t>
      </w:r>
      <w:r w:rsidR="00446B93">
        <w:rPr>
          <w:rFonts w:ascii="Arial" w:hAnsi="Arial" w:cs="Arial"/>
          <w:b/>
          <w:bCs/>
          <w:sz w:val="36"/>
          <w:szCs w:val="36"/>
        </w:rPr>
        <w:t xml:space="preserve">ion II readiness </w:t>
      </w:r>
      <w:r w:rsidRPr="00446B93">
        <w:rPr>
          <w:rFonts w:ascii="Arial" w:hAnsi="Arial" w:cs="Arial"/>
          <w:b/>
          <w:bCs/>
          <w:sz w:val="36"/>
          <w:szCs w:val="36"/>
        </w:rPr>
        <w:t>of Grade 12</w:t>
      </w:r>
      <w:r w:rsidR="00604DD0">
        <w:rPr>
          <w:rFonts w:ascii="Arial" w:hAnsi="Arial" w:cs="Arial"/>
          <w:b/>
          <w:bCs/>
          <w:sz w:val="36"/>
          <w:szCs w:val="36"/>
        </w:rPr>
        <w:t xml:space="preserve"> </w:t>
      </w:r>
      <w:r w:rsidRPr="00446B93">
        <w:rPr>
          <w:rFonts w:ascii="Arial" w:hAnsi="Arial" w:cs="Arial"/>
          <w:b/>
          <w:bCs/>
          <w:sz w:val="36"/>
          <w:szCs w:val="36"/>
        </w:rPr>
        <w:t>Automotive</w:t>
      </w:r>
      <w:r w:rsidR="00604DD0">
        <w:rPr>
          <w:rFonts w:ascii="Arial" w:hAnsi="Arial" w:cs="Arial"/>
          <w:b/>
          <w:bCs/>
          <w:sz w:val="36"/>
          <w:szCs w:val="36"/>
        </w:rPr>
        <w:t xml:space="preserve"> students at </w:t>
      </w:r>
      <w:proofErr w:type="spellStart"/>
      <w:r w:rsidR="00604DD0">
        <w:rPr>
          <w:rFonts w:ascii="Arial" w:hAnsi="Arial" w:cs="Arial"/>
          <w:b/>
          <w:bCs/>
          <w:sz w:val="36"/>
          <w:szCs w:val="36"/>
        </w:rPr>
        <w:t>Pinukpuk</w:t>
      </w:r>
      <w:proofErr w:type="spellEnd"/>
      <w:r w:rsidR="00604DD0">
        <w:rPr>
          <w:rFonts w:ascii="Arial" w:hAnsi="Arial" w:cs="Arial"/>
          <w:b/>
          <w:bCs/>
          <w:sz w:val="36"/>
          <w:szCs w:val="36"/>
        </w:rPr>
        <w:t xml:space="preserve"> Vocational School</w:t>
      </w:r>
      <w:bookmarkEnd w:id="0"/>
    </w:p>
    <w:p w14:paraId="3691CC52" w14:textId="77777777" w:rsidR="00C64C72" w:rsidRDefault="00C64C72" w:rsidP="00441B6F">
      <w:pPr>
        <w:pStyle w:val="Author"/>
        <w:spacing w:line="240" w:lineRule="auto"/>
        <w:rPr>
          <w:rFonts w:ascii="Arial" w:hAnsi="Arial" w:cs="Arial"/>
        </w:rPr>
      </w:pPr>
    </w:p>
    <w:p w14:paraId="75850E94" w14:textId="77777777" w:rsidR="00790ADA" w:rsidRDefault="00790ADA" w:rsidP="00441B6F">
      <w:pPr>
        <w:pStyle w:val="Affiliation"/>
        <w:spacing w:after="0" w:line="240" w:lineRule="auto"/>
        <w:jc w:val="both"/>
        <w:rPr>
          <w:rFonts w:ascii="Arial" w:hAnsi="Arial" w:cs="Arial"/>
        </w:rPr>
      </w:pPr>
    </w:p>
    <w:p w14:paraId="0C8D42C6" w14:textId="77777777" w:rsidR="002C57D2" w:rsidRPr="00FB3A86" w:rsidRDefault="002C57D2" w:rsidP="00441B6F">
      <w:pPr>
        <w:pStyle w:val="Affiliation"/>
        <w:spacing w:after="0" w:line="240" w:lineRule="auto"/>
        <w:jc w:val="both"/>
        <w:rPr>
          <w:rFonts w:ascii="Arial" w:hAnsi="Arial" w:cs="Arial"/>
        </w:rPr>
      </w:pPr>
    </w:p>
    <w:p w14:paraId="224754E9" w14:textId="3319EB7E" w:rsidR="00B01FCD" w:rsidRPr="00FB3A86" w:rsidRDefault="00C6382C" w:rsidP="00441B6F">
      <w:pPr>
        <w:pStyle w:val="Copyright"/>
        <w:spacing w:after="0" w:line="240" w:lineRule="auto"/>
        <w:jc w:val="both"/>
        <w:rPr>
          <w:rFonts w:ascii="Arial" w:hAnsi="Arial" w:cs="Arial"/>
        </w:rPr>
        <w:sectPr w:rsidR="00B01FCD" w:rsidRPr="00FB3A86" w:rsidSect="003F08B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5641879" wp14:editId="58258987">
                <wp:extent cx="5303520" cy="635"/>
                <wp:effectExtent l="17145" t="18415" r="13335" b="1016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shapetype w14:anchorId="776A8328"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Pr>
          <w:rFonts w:ascii="Arial" w:hAnsi="Arial" w:cs="Arial"/>
        </w:rPr>
        <w:t>.</w:t>
      </w:r>
    </w:p>
    <w:p w14:paraId="25914437" w14:textId="74DCEAAE"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0F2B61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C2F32B0" w14:textId="77777777" w:rsidTr="001E44FE">
        <w:tc>
          <w:tcPr>
            <w:tcW w:w="9576" w:type="dxa"/>
            <w:shd w:val="clear" w:color="auto" w:fill="F2F2F2"/>
          </w:tcPr>
          <w:p w14:paraId="7B2100F8" w14:textId="0C923AD0" w:rsidR="00505F06" w:rsidRPr="00BA1B01" w:rsidRDefault="00B11DF6" w:rsidP="00B11DF6">
            <w:pPr>
              <w:pStyle w:val="Body"/>
              <w:rPr>
                <w:rFonts w:ascii="Arial" w:eastAsia="Calibri" w:hAnsi="Arial" w:cs="Arial"/>
                <w:szCs w:val="22"/>
              </w:rPr>
            </w:pPr>
            <w:bookmarkStart w:id="1" w:name="_Hlk198907025"/>
            <w:r w:rsidRPr="00B11DF6">
              <w:rPr>
                <w:rFonts w:ascii="Arial" w:eastAsia="Calibri" w:hAnsi="Arial" w:cs="Arial"/>
                <w:szCs w:val="22"/>
              </w:rPr>
              <w:t xml:space="preserve">This study aimed to determine the level of competency and readiness for National Certification II (NC II) among Grade 12 Technical-Vocational-Livelihood (TVL) Automotive students of </w:t>
            </w:r>
            <w:proofErr w:type="spellStart"/>
            <w:r w:rsidRPr="00B11DF6">
              <w:rPr>
                <w:rFonts w:ascii="Arial" w:eastAsia="Calibri" w:hAnsi="Arial" w:cs="Arial"/>
                <w:szCs w:val="22"/>
              </w:rPr>
              <w:t>Pinukpuk</w:t>
            </w:r>
            <w:proofErr w:type="spellEnd"/>
            <w:r w:rsidRPr="00B11DF6">
              <w:rPr>
                <w:rFonts w:ascii="Arial" w:eastAsia="Calibri" w:hAnsi="Arial" w:cs="Arial"/>
                <w:szCs w:val="22"/>
              </w:rPr>
              <w:t xml:space="preserve"> Vocational School. Spe</w:t>
            </w:r>
            <w:bookmarkStart w:id="2" w:name="_GoBack"/>
            <w:bookmarkEnd w:id="2"/>
            <w:r w:rsidRPr="00B11DF6">
              <w:rPr>
                <w:rFonts w:ascii="Arial" w:eastAsia="Calibri" w:hAnsi="Arial" w:cs="Arial"/>
                <w:szCs w:val="22"/>
              </w:rPr>
              <w:t xml:space="preserve">cifically, it sought to identify the students’ strengths and weaknesses in various automotive tasks, evaluate their level of readiness for certification, and examine the relationship between competency and readiness. A descriptive quantitative research design was employed to analyze students’ competencies and readiness levels. This study was conducted at </w:t>
            </w:r>
            <w:proofErr w:type="spellStart"/>
            <w:r w:rsidRPr="00B11DF6">
              <w:rPr>
                <w:rFonts w:ascii="Arial" w:eastAsia="Calibri" w:hAnsi="Arial" w:cs="Arial"/>
                <w:szCs w:val="22"/>
              </w:rPr>
              <w:t>Pinukpuk</w:t>
            </w:r>
            <w:proofErr w:type="spellEnd"/>
            <w:r w:rsidRPr="00B11DF6">
              <w:rPr>
                <w:rFonts w:ascii="Arial" w:eastAsia="Calibri" w:hAnsi="Arial" w:cs="Arial"/>
                <w:szCs w:val="22"/>
              </w:rPr>
              <w:t xml:space="preserve"> Vocational School, Brookside 1, </w:t>
            </w:r>
            <w:proofErr w:type="spellStart"/>
            <w:r w:rsidRPr="00B11DF6">
              <w:rPr>
                <w:rFonts w:ascii="Arial" w:eastAsia="Calibri" w:hAnsi="Arial" w:cs="Arial"/>
                <w:szCs w:val="22"/>
              </w:rPr>
              <w:t>Taga</w:t>
            </w:r>
            <w:proofErr w:type="spellEnd"/>
            <w:r w:rsidRPr="00B11DF6">
              <w:rPr>
                <w:rFonts w:ascii="Arial" w:eastAsia="Calibri" w:hAnsi="Arial" w:cs="Arial"/>
                <w:szCs w:val="22"/>
              </w:rPr>
              <w:t xml:space="preserve">, </w:t>
            </w:r>
            <w:proofErr w:type="spellStart"/>
            <w:r w:rsidRPr="00B11DF6">
              <w:rPr>
                <w:rFonts w:ascii="Arial" w:eastAsia="Calibri" w:hAnsi="Arial" w:cs="Arial"/>
                <w:szCs w:val="22"/>
              </w:rPr>
              <w:t>Pinukpuk</w:t>
            </w:r>
            <w:proofErr w:type="spellEnd"/>
            <w:r w:rsidRPr="00B11DF6">
              <w:rPr>
                <w:rFonts w:ascii="Arial" w:eastAsia="Calibri" w:hAnsi="Arial" w:cs="Arial"/>
                <w:szCs w:val="22"/>
              </w:rPr>
              <w:t>, Kalinga, during the academic year 2024–2025. Fifteen Grade 12 students enrolled in the TVL-Automotive strand participated in the study. A structured survey questionnaire, aligned with TESDA's assessment tools, was used to gather data on students’ demographic profiles, level of competency in automotive servicing, and readiness for NC II. Statistical tools including frequency, percentage, weighted mean, and Pearson correlation coefficient were used for data analysis</w:t>
            </w:r>
            <w:r>
              <w:rPr>
                <w:rFonts w:ascii="Arial" w:eastAsia="Calibri" w:hAnsi="Arial" w:cs="Arial"/>
                <w:szCs w:val="22"/>
              </w:rPr>
              <w:t xml:space="preserve">. </w:t>
            </w:r>
            <w:r w:rsidRPr="00B11DF6">
              <w:rPr>
                <w:rFonts w:ascii="Arial" w:eastAsia="Calibri" w:hAnsi="Arial" w:cs="Arial"/>
                <w:szCs w:val="22"/>
              </w:rPr>
              <w:t xml:space="preserve">Results showed that most students (73.33%) were aged 17–18 and all identified as </w:t>
            </w:r>
            <w:proofErr w:type="spellStart"/>
            <w:r w:rsidRPr="00B11DF6">
              <w:rPr>
                <w:rFonts w:ascii="Arial" w:eastAsia="Calibri" w:hAnsi="Arial" w:cs="Arial"/>
                <w:szCs w:val="22"/>
              </w:rPr>
              <w:t>Linimos</w:t>
            </w:r>
            <w:proofErr w:type="spellEnd"/>
            <w:r w:rsidRPr="00B11DF6">
              <w:rPr>
                <w:rFonts w:ascii="Arial" w:eastAsia="Calibri" w:hAnsi="Arial" w:cs="Arial"/>
                <w:szCs w:val="22"/>
              </w:rPr>
              <w:t>. The majority came from low-income households, with parents having low educational attainment and employment in farming or domestic work. The overall competency level was rated as “Satisfactory” (mean = 2.67), with strengths in basic mechanical tasks but weaknesses in electrical systems. Readiness for NC II was high, with an overall mean score of 3.86 (“Exceeds Expectation”), particularly in theoretical knowledge (4.05). The correlation between competency and readiness was not statistically significant (r = 0.013388), indicating no strong relationship between these variables.</w:t>
            </w:r>
            <w:r w:rsidR="00D64F29">
              <w:rPr>
                <w:rFonts w:ascii="Arial" w:eastAsia="Calibri" w:hAnsi="Arial" w:cs="Arial"/>
                <w:szCs w:val="22"/>
              </w:rPr>
              <w:t xml:space="preserve"> </w:t>
            </w:r>
            <w:r w:rsidRPr="00B11DF6">
              <w:rPr>
                <w:rFonts w:ascii="Arial" w:eastAsia="Calibri" w:hAnsi="Arial" w:cs="Arial"/>
                <w:szCs w:val="22"/>
              </w:rPr>
              <w:t>Despite socio-economic challenges, students displayed adequate competency and exceeded expectations in certification readiness. However, gaps in practical skill areas suggest a need for enhanced hands-on training. The absence of a significant correlation between competency and readiness implies that other factors such as confidence, academic instruction, and support systems may influence perceived readiness.</w:t>
            </w:r>
            <w:bookmarkEnd w:id="1"/>
          </w:p>
        </w:tc>
      </w:tr>
    </w:tbl>
    <w:p w14:paraId="79B868DE" w14:textId="77777777" w:rsidR="00636EB2" w:rsidRDefault="00636EB2" w:rsidP="00441B6F">
      <w:pPr>
        <w:pStyle w:val="Body"/>
        <w:spacing w:after="0"/>
        <w:rPr>
          <w:rFonts w:ascii="Arial" w:hAnsi="Arial" w:cs="Arial"/>
          <w:i/>
        </w:rPr>
      </w:pPr>
    </w:p>
    <w:p w14:paraId="55B725E5" w14:textId="2FD2103A" w:rsidR="007C2CBA" w:rsidRDefault="007C2CBA" w:rsidP="00441B6F">
      <w:pPr>
        <w:pStyle w:val="Body"/>
        <w:spacing w:after="0"/>
        <w:rPr>
          <w:rFonts w:ascii="Arial" w:hAnsi="Arial" w:cs="Arial"/>
          <w:i/>
        </w:rPr>
      </w:pPr>
      <w:r>
        <w:rPr>
          <w:rFonts w:ascii="Arial" w:hAnsi="Arial" w:cs="Arial"/>
          <w:i/>
        </w:rPr>
        <w:t xml:space="preserve">KEY WORDS: </w:t>
      </w:r>
      <w:r w:rsidRPr="007C2CBA">
        <w:rPr>
          <w:rFonts w:ascii="Arial" w:hAnsi="Arial" w:cs="Arial"/>
          <w:i/>
        </w:rPr>
        <w:t xml:space="preserve">Automotive </w:t>
      </w:r>
      <w:proofErr w:type="gramStart"/>
      <w:r w:rsidRPr="007C2CBA">
        <w:rPr>
          <w:rFonts w:ascii="Arial" w:hAnsi="Arial" w:cs="Arial"/>
          <w:i/>
        </w:rPr>
        <w:t xml:space="preserve">students </w:t>
      </w:r>
      <w:r>
        <w:rPr>
          <w:rFonts w:ascii="Arial" w:hAnsi="Arial" w:cs="Arial"/>
          <w:i/>
        </w:rPr>
        <w:t>,</w:t>
      </w:r>
      <w:proofErr w:type="gramEnd"/>
      <w:r>
        <w:rPr>
          <w:rFonts w:ascii="Arial" w:hAnsi="Arial" w:cs="Arial"/>
          <w:i/>
        </w:rPr>
        <w:t xml:space="preserve"> </w:t>
      </w:r>
      <w:r w:rsidRPr="007C2CBA">
        <w:rPr>
          <w:rFonts w:ascii="Arial" w:hAnsi="Arial" w:cs="Arial"/>
          <w:i/>
        </w:rPr>
        <w:t xml:space="preserve">level of competency and readiness </w:t>
      </w:r>
      <w:r>
        <w:rPr>
          <w:rFonts w:ascii="Arial" w:hAnsi="Arial" w:cs="Arial"/>
          <w:i/>
        </w:rPr>
        <w:t xml:space="preserve">, TVL, </w:t>
      </w:r>
      <w:proofErr w:type="spellStart"/>
      <w:r w:rsidRPr="007C2CBA">
        <w:rPr>
          <w:rFonts w:ascii="Arial" w:hAnsi="Arial" w:cs="Arial"/>
          <w:i/>
        </w:rPr>
        <w:t>Pinukpuk</w:t>
      </w:r>
      <w:proofErr w:type="spellEnd"/>
      <w:r w:rsidRPr="007C2CBA">
        <w:rPr>
          <w:rFonts w:ascii="Arial" w:hAnsi="Arial" w:cs="Arial"/>
          <w:i/>
        </w:rPr>
        <w:t xml:space="preserve"> Vocational School</w:t>
      </w:r>
    </w:p>
    <w:p w14:paraId="28C553DE" w14:textId="77777777" w:rsidR="007C2CBA" w:rsidRPr="00A24E7E" w:rsidRDefault="007C2CBA" w:rsidP="00441B6F">
      <w:pPr>
        <w:pStyle w:val="Body"/>
        <w:spacing w:after="0"/>
        <w:rPr>
          <w:rFonts w:ascii="Arial" w:hAnsi="Arial" w:cs="Arial"/>
          <w:i/>
        </w:rPr>
      </w:pPr>
    </w:p>
    <w:p w14:paraId="4736F723" w14:textId="50BD7DC3"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2B3DF05" w14:textId="77777777" w:rsidR="00790ADA" w:rsidRPr="00FB3A86" w:rsidRDefault="00790ADA" w:rsidP="00441B6F">
      <w:pPr>
        <w:pStyle w:val="AbstHead"/>
        <w:spacing w:after="0"/>
        <w:jc w:val="both"/>
        <w:rPr>
          <w:rFonts w:ascii="Arial" w:hAnsi="Arial" w:cs="Arial"/>
        </w:rPr>
      </w:pPr>
    </w:p>
    <w:p w14:paraId="68DCB1B9" w14:textId="3E62565C" w:rsidR="00BD5737" w:rsidRPr="00BD5737" w:rsidRDefault="00BD5737" w:rsidP="00FC601E">
      <w:pPr>
        <w:pStyle w:val="NoSpacing"/>
        <w:ind w:firstLine="720"/>
      </w:pPr>
      <w:r w:rsidRPr="00BD5737">
        <w:t>There are constant changes taking place in education because of the impact of internationalization. In order for a nation to stay competitive in the global market, it must be driven by innovation, skills, and worker preparedness for the twenty-first century</w:t>
      </w:r>
      <w:r w:rsidR="006F229A">
        <w:t xml:space="preserve"> </w:t>
      </w:r>
      <w:r w:rsidR="006F229A" w:rsidRPr="006F229A">
        <w:t>(</w:t>
      </w:r>
      <w:proofErr w:type="spellStart"/>
      <w:r w:rsidR="006F229A" w:rsidRPr="006F229A">
        <w:t>Nurtanto</w:t>
      </w:r>
      <w:proofErr w:type="spellEnd"/>
      <w:r w:rsidR="006F229A" w:rsidRPr="006F229A">
        <w:t xml:space="preserve"> et al., 2020)</w:t>
      </w:r>
      <w:r w:rsidRPr="00BD5737">
        <w:t xml:space="preserve">. Both learners’ and educators today are battling the difficulties of adjusting to technological changes and obtaining the required competencies up to par with global </w:t>
      </w:r>
      <w:r w:rsidRPr="00BD5737">
        <w:lastRenderedPageBreak/>
        <w:t>standards. It is essential to raise a generation that is equipped to thrive in a fiercely competitive sector and foster an environment in line with long-term learning.</w:t>
      </w:r>
    </w:p>
    <w:p w14:paraId="759AFE8A" w14:textId="2930497C" w:rsidR="00BD5737" w:rsidRPr="00BD5737" w:rsidRDefault="00BD5737" w:rsidP="00BD5737">
      <w:pPr>
        <w:pStyle w:val="NoSpacing"/>
      </w:pPr>
      <w:r w:rsidRPr="00BD5737">
        <w:t>Technical Vocational Education (TVE) includes education, training, and building skills concerning a broad spectrum of professional domains, services, and livelihood. The Special Program for Technical and Vocational Education (SPTVE) specifically aims to improve high school (HS) students' performance in skills and academic competence, achievement tests, accreditation and equivalency for certification programs, and upgrade the competency of Tech-</w:t>
      </w:r>
      <w:proofErr w:type="spellStart"/>
      <w:r w:rsidRPr="00BD5737">
        <w:t>Voc</w:t>
      </w:r>
      <w:proofErr w:type="spellEnd"/>
      <w:r w:rsidRPr="00BD5737">
        <w:t xml:space="preserve"> teachers in the delivery of basic and certifiable skills in various courses through skills trainings, seminars, and formal studies</w:t>
      </w:r>
      <w:r w:rsidR="0058535F">
        <w:t xml:space="preserve"> </w:t>
      </w:r>
      <w:r w:rsidR="0058535F" w:rsidRPr="0058535F">
        <w:t>(</w:t>
      </w:r>
      <w:proofErr w:type="spellStart"/>
      <w:r w:rsidR="0058535F" w:rsidRPr="0058535F">
        <w:t>Rahmah</w:t>
      </w:r>
      <w:proofErr w:type="spellEnd"/>
      <w:r w:rsidR="0058535F" w:rsidRPr="0058535F">
        <w:t xml:space="preserve"> &amp; Muslim, 2019</w:t>
      </w:r>
      <w:r w:rsidR="0058535F">
        <w:t xml:space="preserve">; </w:t>
      </w:r>
      <w:r w:rsidR="0058535F">
        <w:rPr>
          <w:rFonts w:ascii="Arial" w:hAnsi="Arial" w:cs="Arial"/>
          <w:color w:val="222222"/>
          <w:shd w:val="clear" w:color="auto" w:fill="FFFFFF"/>
        </w:rPr>
        <w:t>Bell, 2011</w:t>
      </w:r>
      <w:r w:rsidR="0058535F" w:rsidRPr="0058535F">
        <w:t>)</w:t>
      </w:r>
      <w:r w:rsidRPr="00BD5737">
        <w:t>. Additionally, the program seeks to provide students with industrial, technical, and vocational certifications as well as other relevant skills to enable them to be productive citizens of the nation</w:t>
      </w:r>
      <w:r w:rsidR="006F229A">
        <w:t xml:space="preserve"> </w:t>
      </w:r>
      <w:r w:rsidR="006F229A" w:rsidRPr="006F229A">
        <w:t>(</w:t>
      </w:r>
      <w:proofErr w:type="spellStart"/>
      <w:r w:rsidR="006F229A" w:rsidRPr="006F229A">
        <w:t>Rahmah</w:t>
      </w:r>
      <w:proofErr w:type="spellEnd"/>
      <w:r w:rsidR="006F229A" w:rsidRPr="006F229A">
        <w:t xml:space="preserve"> &amp; Muslim, 2019)</w:t>
      </w:r>
      <w:r w:rsidRPr="00BD5737">
        <w:t xml:space="preserve">. </w:t>
      </w:r>
    </w:p>
    <w:p w14:paraId="2B0ADD80" w14:textId="3F3402FD" w:rsidR="00BD5737" w:rsidRDefault="00BD5737" w:rsidP="00FC601E">
      <w:pPr>
        <w:pStyle w:val="NoSpacing"/>
      </w:pPr>
      <w:r w:rsidRPr="00BD5737">
        <w:t>Numerous options are included in the Technical-Vocational track with a variety of programs and program ranges different degrees of work-based content, work-based training and skill-building after elementary and high school. As a result, school-based learning which comprises familiarization and exercises in practice are mostly intended to learners for technical vocational training in higher education or for employment</w:t>
      </w:r>
      <w:r w:rsidR="006F229A">
        <w:t xml:space="preserve"> </w:t>
      </w:r>
      <w:r w:rsidR="006F229A" w:rsidRPr="006F229A">
        <w:t>(Torres, 2023)</w:t>
      </w:r>
      <w:r w:rsidRPr="00BD5737">
        <w:t>.</w:t>
      </w:r>
    </w:p>
    <w:p w14:paraId="488AF8DD" w14:textId="3D734368" w:rsidR="009B48F2" w:rsidRDefault="009B48F2" w:rsidP="009B48F2">
      <w:pPr>
        <w:pStyle w:val="NoSpacing"/>
        <w:ind w:firstLine="720"/>
      </w:pPr>
      <w:r>
        <w:t>The Department of Education by the academic year 2012–2013, the largest shift in education was implemented in Republic Act No. 10533b, which addresses education, otherwise referred to as the Act Improving Basic Education of 2013. The launch of the K–12 curriculum system in the Philippines has brought about a mixture of views, responses, and understandings of many parties involved</w:t>
      </w:r>
      <w:r w:rsidR="006F229A">
        <w:t xml:space="preserve"> </w:t>
      </w:r>
      <w:r w:rsidR="006F229A" w:rsidRPr="006F229A">
        <w:t>(</w:t>
      </w:r>
      <w:proofErr w:type="spellStart"/>
      <w:r w:rsidR="006F229A" w:rsidRPr="006F229A">
        <w:t>Frovihandika</w:t>
      </w:r>
      <w:proofErr w:type="spellEnd"/>
      <w:r w:rsidR="006F229A" w:rsidRPr="006F229A">
        <w:t xml:space="preserve"> et al., 2019</w:t>
      </w:r>
      <w:r w:rsidR="0058535F">
        <w:t xml:space="preserve">; </w:t>
      </w:r>
      <w:proofErr w:type="spellStart"/>
      <w:r w:rsidR="0058535F">
        <w:rPr>
          <w:rFonts w:ascii="Arial" w:hAnsi="Arial" w:cs="Arial"/>
          <w:color w:val="222222"/>
          <w:shd w:val="clear" w:color="auto" w:fill="FFFFFF"/>
        </w:rPr>
        <w:t>Pecaso</w:t>
      </w:r>
      <w:proofErr w:type="spellEnd"/>
      <w:r w:rsidR="0058535F">
        <w:rPr>
          <w:rFonts w:ascii="Arial" w:hAnsi="Arial" w:cs="Arial"/>
          <w:color w:val="222222"/>
          <w:shd w:val="clear" w:color="auto" w:fill="FFFFFF"/>
        </w:rPr>
        <w:t xml:space="preserve"> and </w:t>
      </w:r>
      <w:proofErr w:type="spellStart"/>
      <w:r w:rsidR="0058535F">
        <w:rPr>
          <w:rFonts w:ascii="Arial" w:hAnsi="Arial" w:cs="Arial"/>
          <w:color w:val="222222"/>
          <w:shd w:val="clear" w:color="auto" w:fill="FFFFFF"/>
        </w:rPr>
        <w:t>Pecaso</w:t>
      </w:r>
      <w:proofErr w:type="spellEnd"/>
      <w:r w:rsidR="0058535F">
        <w:rPr>
          <w:rFonts w:ascii="Arial" w:hAnsi="Arial" w:cs="Arial"/>
          <w:color w:val="222222"/>
          <w:shd w:val="clear" w:color="auto" w:fill="FFFFFF"/>
        </w:rPr>
        <w:t>, 2018</w:t>
      </w:r>
      <w:r w:rsidR="006F229A" w:rsidRPr="006F229A">
        <w:t>)</w:t>
      </w:r>
      <w:r>
        <w:t>. The requirements for senior high school Students in the K–12 curriculum in the Philippines have carried with it a number of issues, mostly related to their disparity with the program's expected outcomes.</w:t>
      </w:r>
    </w:p>
    <w:p w14:paraId="4D9F3572" w14:textId="44AA775D" w:rsidR="009B48F2" w:rsidRDefault="009B48F2" w:rsidP="009B48F2">
      <w:pPr>
        <w:pStyle w:val="NoSpacing"/>
        <w:ind w:firstLine="720"/>
      </w:pPr>
      <w:r>
        <w:t>Specialized education is necessary in the automobile industry, in both emerging and highly industrialized nations</w:t>
      </w:r>
      <w:r w:rsidR="006F229A">
        <w:t xml:space="preserve"> </w:t>
      </w:r>
      <w:r w:rsidR="006F229A" w:rsidRPr="006F229A">
        <w:t>(</w:t>
      </w:r>
      <w:proofErr w:type="spellStart"/>
      <w:r w:rsidR="006F229A" w:rsidRPr="006F229A">
        <w:t>Puchert</w:t>
      </w:r>
      <w:proofErr w:type="spellEnd"/>
      <w:r w:rsidR="006F229A" w:rsidRPr="006F229A">
        <w:t xml:space="preserve"> et al., 2017)</w:t>
      </w:r>
      <w:r>
        <w:t xml:space="preserve">. Assessing students' skills and proficiency in automotive maintenance include evaluating the product, the method used, and the duration. Although knowledge can be </w:t>
      </w:r>
      <w:proofErr w:type="spellStart"/>
      <w:r>
        <w:t>assessed</w:t>
      </w:r>
      <w:proofErr w:type="spellEnd"/>
      <w:r>
        <w:t xml:space="preserve"> via written examinations, it does not ensure proficiency and truly exhibit the necessary behavior, such as being able to operate a vehicle</w:t>
      </w:r>
      <w:r w:rsidR="0058535F">
        <w:t xml:space="preserve"> (</w:t>
      </w:r>
      <w:r w:rsidR="0058535F">
        <w:rPr>
          <w:rFonts w:ascii="Arial" w:hAnsi="Arial" w:cs="Arial"/>
          <w:color w:val="222222"/>
          <w:shd w:val="clear" w:color="auto" w:fill="FFFFFF"/>
        </w:rPr>
        <w:t>Park et al., 2020</w:t>
      </w:r>
      <w:r w:rsidR="0058535F">
        <w:t>)</w:t>
      </w:r>
      <w:r>
        <w:t>.</w:t>
      </w:r>
    </w:p>
    <w:p w14:paraId="6FD245E8" w14:textId="307E3E95" w:rsidR="009B48F2" w:rsidRDefault="009B48F2" w:rsidP="009B48F2">
      <w:pPr>
        <w:pStyle w:val="NoSpacing"/>
        <w:ind w:firstLine="720"/>
      </w:pPr>
      <w:r>
        <w:t>The educational system in Kalinga Province is dynamic and ever-changing, with a focus on technical-vocational training in addition to traditional academic courses to accommodate a wide range of student demands. Broad undergraduate and graduate degree options are available in the province, which is home to a mix of public and private institutions</w:t>
      </w:r>
      <w:r w:rsidR="006F229A">
        <w:t xml:space="preserve"> </w:t>
      </w:r>
      <w:r w:rsidR="006F229A" w:rsidRPr="006F229A">
        <w:t>(Abd Samad et al., 2017)</w:t>
      </w:r>
      <w:r>
        <w:t xml:space="preserve">. By implementing several programs, the DepEd ensures that schools have the necessary resources and that TVL Teachers receive continuous training. </w:t>
      </w:r>
      <w:proofErr w:type="spellStart"/>
      <w:r>
        <w:t>Pinukpuk</w:t>
      </w:r>
      <w:proofErr w:type="spellEnd"/>
      <w:r>
        <w:t xml:space="preserve"> Vocational School offer specialized training in carpentry/building construction, furniture and cabinetry making, bread and pastry, dress making and automotive servicing. This institution can contribute to local and global economic situations by teaching students’ practical skills for both employment and further education, as well as a feeling of community and responsibility for sustainable practices.</w:t>
      </w:r>
    </w:p>
    <w:p w14:paraId="475F0604" w14:textId="70D0B9E8" w:rsidR="00790ADA" w:rsidRPr="00FB3A86" w:rsidRDefault="009B48F2" w:rsidP="009B48F2">
      <w:pPr>
        <w:pStyle w:val="NoSpacing"/>
        <w:ind w:firstLine="720"/>
        <w:rPr>
          <w:rFonts w:ascii="Arial" w:hAnsi="Arial" w:cs="Arial"/>
        </w:rPr>
      </w:pPr>
      <w:r>
        <w:t xml:space="preserve">In general, the goal of this study is to determine the level of competency of Grade 12-TVL SHS Automotive students of </w:t>
      </w:r>
      <w:proofErr w:type="spellStart"/>
      <w:r>
        <w:t>Pinukpuk</w:t>
      </w:r>
      <w:proofErr w:type="spellEnd"/>
      <w:r>
        <w:t xml:space="preserve"> Vocational School and their level of NC2 readiness. Its specific goals were to: (1) identify strengths and weakness of TVL Senior High School students , (2) determine the level of readiness of TVL SHS students on NC2,  and (3) determine the level of competency of the TVL Automotive students in car servicing and maintenance that covers servicing automotive battery, servicing ignition system, testing and repairing wiring/lighting system, servicing starting system, servicing charging system, servicing engine mechanical system, servicing clutch system, servicing clutch and differential and front axle, servicing steering system, servicing brake system, servicing suspension system, performing under-chassis preventive maintenance and overhauling manual transmission.</w:t>
      </w:r>
    </w:p>
    <w:p w14:paraId="23769B00" w14:textId="1139BAE2" w:rsidR="007F7B32" w:rsidRDefault="00902823" w:rsidP="00441B6F">
      <w:pPr>
        <w:pStyle w:val="AbstHead"/>
        <w:spacing w:after="0"/>
        <w:jc w:val="both"/>
        <w:rPr>
          <w:rFonts w:ascii="Arial" w:hAnsi="Arial" w:cs="Arial"/>
        </w:rPr>
      </w:pPr>
      <w:r>
        <w:rPr>
          <w:rFonts w:ascii="Arial" w:hAnsi="Arial" w:cs="Arial"/>
        </w:rPr>
        <w:lastRenderedPageBreak/>
        <w:t xml:space="preserve">2. </w:t>
      </w:r>
      <w:r w:rsidR="00F80CC4" w:rsidRPr="00F80CC4">
        <w:rPr>
          <w:rFonts w:ascii="Arial" w:hAnsi="Arial" w:cs="Arial"/>
        </w:rPr>
        <w:t>Statement of the Problem</w:t>
      </w:r>
    </w:p>
    <w:p w14:paraId="182516C9" w14:textId="77777777" w:rsidR="00790ADA" w:rsidRPr="00FB3A86" w:rsidRDefault="00790ADA" w:rsidP="00441B6F">
      <w:pPr>
        <w:pStyle w:val="AbstHead"/>
        <w:spacing w:after="0"/>
        <w:jc w:val="both"/>
        <w:rPr>
          <w:rFonts w:ascii="Arial" w:hAnsi="Arial" w:cs="Arial"/>
        </w:rPr>
      </w:pPr>
    </w:p>
    <w:p w14:paraId="61E7D0F1" w14:textId="50D0269B" w:rsidR="00B95236" w:rsidRDefault="00F80CC4" w:rsidP="00243302">
      <w:pPr>
        <w:pStyle w:val="Body"/>
        <w:spacing w:after="0"/>
        <w:ind w:firstLine="720"/>
        <w:rPr>
          <w:rFonts w:ascii="Arial" w:hAnsi="Arial" w:cs="Arial"/>
        </w:rPr>
      </w:pPr>
      <w:r w:rsidRPr="00F80CC4">
        <w:rPr>
          <w:rFonts w:ascii="Arial" w:hAnsi="Arial" w:cs="Arial"/>
        </w:rPr>
        <w:t xml:space="preserve">Generally, the purpose of this study </w:t>
      </w:r>
      <w:r>
        <w:rPr>
          <w:rFonts w:ascii="Arial" w:hAnsi="Arial" w:cs="Arial"/>
        </w:rPr>
        <w:t xml:space="preserve">aimed </w:t>
      </w:r>
      <w:r w:rsidRPr="00F80CC4">
        <w:rPr>
          <w:rFonts w:ascii="Arial" w:hAnsi="Arial" w:cs="Arial"/>
        </w:rPr>
        <w:t xml:space="preserve">to determine the level of competency of Grade 12 TVL SHS - Automotive students of </w:t>
      </w:r>
      <w:proofErr w:type="spellStart"/>
      <w:r w:rsidRPr="00F80CC4">
        <w:rPr>
          <w:rFonts w:ascii="Arial" w:hAnsi="Arial" w:cs="Arial"/>
        </w:rPr>
        <w:t>Pinukpuk</w:t>
      </w:r>
      <w:proofErr w:type="spellEnd"/>
      <w:r w:rsidRPr="00F80CC4">
        <w:rPr>
          <w:rFonts w:ascii="Arial" w:hAnsi="Arial" w:cs="Arial"/>
        </w:rPr>
        <w:t xml:space="preserve"> Vocational School and level of readiness to NC II.</w:t>
      </w:r>
    </w:p>
    <w:p w14:paraId="33187A7A" w14:textId="77777777" w:rsidR="00243302" w:rsidRDefault="00243302" w:rsidP="00243302">
      <w:r w:rsidRPr="00243302">
        <w:t>Specifically, the study aims to answer the following:</w:t>
      </w:r>
    </w:p>
    <w:p w14:paraId="1013CCD7" w14:textId="1ADD3AE7" w:rsidR="00243302" w:rsidRPr="00243302" w:rsidRDefault="00243302" w:rsidP="00243302">
      <w:r w:rsidRPr="00243302">
        <w:t>1.</w:t>
      </w:r>
      <w:r>
        <w:t xml:space="preserve"> </w:t>
      </w:r>
      <w:r w:rsidRPr="00243302">
        <w:t xml:space="preserve">What </w:t>
      </w:r>
      <w:r w:rsidR="00893529">
        <w:t>is</w:t>
      </w:r>
      <w:r w:rsidRPr="00243302">
        <w:t xml:space="preserve"> the profile</w:t>
      </w:r>
      <w:r w:rsidR="00893529">
        <w:t xml:space="preserve"> of the grade 12-TVL-Automotive students</w:t>
      </w:r>
      <w:r w:rsidRPr="00243302">
        <w:t xml:space="preserve"> in terms of: </w:t>
      </w:r>
    </w:p>
    <w:p w14:paraId="62A61F1B" w14:textId="77777777" w:rsidR="00243302" w:rsidRPr="00243302" w:rsidRDefault="00243302" w:rsidP="00243302">
      <w:r w:rsidRPr="00243302">
        <w:t xml:space="preserve">1.1 Age </w:t>
      </w:r>
    </w:p>
    <w:p w14:paraId="1A044832" w14:textId="77777777" w:rsidR="00243302" w:rsidRPr="00243302" w:rsidRDefault="00243302" w:rsidP="00243302">
      <w:r w:rsidRPr="00243302">
        <w:t>1.2 Ethnicity</w:t>
      </w:r>
    </w:p>
    <w:p w14:paraId="31526388" w14:textId="77777777" w:rsidR="00243302" w:rsidRPr="00243302" w:rsidRDefault="00243302" w:rsidP="00243302">
      <w:r w:rsidRPr="00243302">
        <w:t xml:space="preserve">1.3 Educational attainment of parents </w:t>
      </w:r>
    </w:p>
    <w:p w14:paraId="40C1292E" w14:textId="77777777" w:rsidR="00243302" w:rsidRPr="00243302" w:rsidRDefault="00243302" w:rsidP="00243302">
      <w:r w:rsidRPr="00243302">
        <w:t>1.4 Occupation of parents</w:t>
      </w:r>
    </w:p>
    <w:p w14:paraId="4D559C35" w14:textId="5907DF72" w:rsidR="00243302" w:rsidRDefault="00243302" w:rsidP="00243302">
      <w:r w:rsidRPr="00243302">
        <w:t xml:space="preserve">1.5 Annual income of parents </w:t>
      </w:r>
    </w:p>
    <w:p w14:paraId="1E1402E4" w14:textId="77777777" w:rsidR="00243302" w:rsidRPr="00243302" w:rsidRDefault="00243302" w:rsidP="00243302"/>
    <w:p w14:paraId="68567691" w14:textId="08C8D432" w:rsidR="00243302" w:rsidRDefault="00243302" w:rsidP="00243302">
      <w:r w:rsidRPr="00243302">
        <w:t>2.</w:t>
      </w:r>
      <w:r w:rsidRPr="00243302">
        <w:tab/>
        <w:t xml:space="preserve">What is the level of competency of students in TVL-Automotive? </w:t>
      </w:r>
    </w:p>
    <w:p w14:paraId="1B8134E5" w14:textId="77777777" w:rsidR="00243302" w:rsidRPr="00243302" w:rsidRDefault="00243302" w:rsidP="00243302"/>
    <w:p w14:paraId="580F864B" w14:textId="786AB2F1" w:rsidR="00243302" w:rsidRDefault="00243302" w:rsidP="00243302">
      <w:r w:rsidRPr="00243302">
        <w:t>3.</w:t>
      </w:r>
      <w:r w:rsidRPr="00243302">
        <w:tab/>
        <w:t>What is the level of readiness of TVL-</w:t>
      </w:r>
      <w:r w:rsidR="00893529" w:rsidRPr="00243302">
        <w:t>Automotive Grade</w:t>
      </w:r>
      <w:r w:rsidRPr="00243302">
        <w:t xml:space="preserve"> 12 for National Certification II? </w:t>
      </w:r>
    </w:p>
    <w:p w14:paraId="4F4E9353" w14:textId="77777777" w:rsidR="00243302" w:rsidRPr="00243302" w:rsidRDefault="00243302" w:rsidP="00243302"/>
    <w:p w14:paraId="1547A909" w14:textId="3C2A3336" w:rsidR="00790ADA" w:rsidRDefault="00243302" w:rsidP="00243302">
      <w:r w:rsidRPr="00243302">
        <w:t>4.</w:t>
      </w:r>
      <w:r w:rsidRPr="00243302">
        <w:tab/>
        <w:t>Is there a significant relationship between the level of competency and NC2 readiness of G12 TVL-Automotive students?</w:t>
      </w:r>
    </w:p>
    <w:p w14:paraId="114E3EAD" w14:textId="77777777" w:rsidR="00790ADA" w:rsidRPr="00FB3A86" w:rsidRDefault="00790ADA" w:rsidP="00441B6F">
      <w:pPr>
        <w:pStyle w:val="Body"/>
        <w:spacing w:after="0"/>
        <w:rPr>
          <w:rFonts w:ascii="Arial" w:hAnsi="Arial" w:cs="Arial"/>
        </w:rPr>
      </w:pPr>
    </w:p>
    <w:p w14:paraId="243BC113" w14:textId="69BFF470" w:rsidR="00243302" w:rsidRPr="00243302" w:rsidRDefault="00243302" w:rsidP="00441B6F">
      <w:pPr>
        <w:pStyle w:val="Body"/>
        <w:spacing w:after="0"/>
        <w:rPr>
          <w:rFonts w:ascii="Arial" w:hAnsi="Arial" w:cs="Arial"/>
          <w:b/>
          <w:caps/>
          <w:sz w:val="22"/>
        </w:rPr>
      </w:pPr>
      <w:r>
        <w:rPr>
          <w:rFonts w:ascii="Arial" w:hAnsi="Arial" w:cs="Arial"/>
          <w:b/>
          <w:caps/>
          <w:sz w:val="22"/>
        </w:rPr>
        <w:t>3.</w:t>
      </w:r>
      <w:r w:rsidR="00AA74E0" w:rsidRPr="00C30A0F">
        <w:rPr>
          <w:rFonts w:ascii="Arial" w:hAnsi="Arial" w:cs="Arial"/>
          <w:b/>
          <w:caps/>
          <w:sz w:val="22"/>
        </w:rPr>
        <w:t xml:space="preserve"> </w:t>
      </w:r>
      <w:r w:rsidRPr="00243302">
        <w:rPr>
          <w:rFonts w:ascii="Arial" w:hAnsi="Arial" w:cs="Arial"/>
          <w:b/>
          <w:caps/>
          <w:sz w:val="22"/>
        </w:rPr>
        <w:t>RESEARCH METHODOLOGY</w:t>
      </w:r>
    </w:p>
    <w:p w14:paraId="51A2BDFA" w14:textId="77777777" w:rsidR="00505F06" w:rsidRDefault="00505F06" w:rsidP="00441B6F">
      <w:pPr>
        <w:pStyle w:val="Body"/>
        <w:spacing w:after="0"/>
        <w:rPr>
          <w:rFonts w:ascii="Arial" w:hAnsi="Arial" w:cs="Arial"/>
        </w:rPr>
      </w:pPr>
    </w:p>
    <w:p w14:paraId="6B5EFFF4" w14:textId="123A20A0" w:rsidR="00AA74E0" w:rsidRDefault="00243302" w:rsidP="00441B6F">
      <w:pPr>
        <w:pStyle w:val="Body"/>
        <w:spacing w:after="0"/>
        <w:rPr>
          <w:rFonts w:ascii="Arial" w:hAnsi="Arial" w:cs="Arial"/>
          <w:b/>
        </w:rPr>
      </w:pPr>
      <w:r w:rsidRPr="00E45CAC">
        <w:rPr>
          <w:rFonts w:ascii="Arial" w:hAnsi="Arial" w:cs="Arial"/>
          <w:b/>
        </w:rPr>
        <w:t xml:space="preserve">3. </w:t>
      </w:r>
      <w:r w:rsidR="00AA74E0" w:rsidRPr="00E45CAC">
        <w:rPr>
          <w:rFonts w:ascii="Arial" w:hAnsi="Arial" w:cs="Arial"/>
          <w:b/>
        </w:rPr>
        <w:t xml:space="preserve">1 </w:t>
      </w:r>
      <w:r w:rsidR="00E45CAC" w:rsidRPr="00E45CAC">
        <w:rPr>
          <w:rFonts w:ascii="Arial" w:hAnsi="Arial" w:cs="Arial"/>
          <w:b/>
        </w:rPr>
        <w:t xml:space="preserve">Research Design </w:t>
      </w:r>
    </w:p>
    <w:p w14:paraId="5D476372" w14:textId="77777777" w:rsidR="00E45CAC" w:rsidRPr="00E45CAC" w:rsidRDefault="00E45CAC" w:rsidP="00E45CAC">
      <w:pPr>
        <w:pStyle w:val="Body"/>
        <w:ind w:firstLine="720"/>
        <w:rPr>
          <w:rFonts w:ascii="Arial" w:hAnsi="Arial" w:cs="Arial"/>
        </w:rPr>
      </w:pPr>
      <w:r w:rsidRPr="00E45CAC">
        <w:rPr>
          <w:rFonts w:ascii="Arial" w:hAnsi="Arial" w:cs="Arial"/>
        </w:rPr>
        <w:t xml:space="preserve">The study will utilize a descriptive quantitative approach in determining the implication of the level of competency of TVL-Automotive Grade 12 students of </w:t>
      </w:r>
      <w:proofErr w:type="spellStart"/>
      <w:r w:rsidRPr="00E45CAC">
        <w:rPr>
          <w:rFonts w:ascii="Arial" w:hAnsi="Arial" w:cs="Arial"/>
        </w:rPr>
        <w:t>Pinukpuk</w:t>
      </w:r>
      <w:proofErr w:type="spellEnd"/>
      <w:r w:rsidRPr="00E45CAC">
        <w:rPr>
          <w:rFonts w:ascii="Arial" w:hAnsi="Arial" w:cs="Arial"/>
        </w:rPr>
        <w:t xml:space="preserve"> Vocational School to their level of readiness to National Certification II. Frequency and percentage distribution will be utilized in dealing with the respondents’ profile. Moreover, mean distribution will be used in dealing with the level of competency and readiness of TVL-Automotive Grade 12 students to National Certification II.    </w:t>
      </w:r>
    </w:p>
    <w:p w14:paraId="5B024E59" w14:textId="2F1C14B1" w:rsidR="00E45CAC" w:rsidRDefault="00E45CAC" w:rsidP="00E45CAC">
      <w:pPr>
        <w:pStyle w:val="Body"/>
        <w:spacing w:after="0"/>
        <w:rPr>
          <w:rFonts w:ascii="Arial" w:hAnsi="Arial" w:cs="Arial"/>
        </w:rPr>
      </w:pPr>
      <w:r w:rsidRPr="00E45CAC">
        <w:rPr>
          <w:rFonts w:ascii="Arial" w:hAnsi="Arial" w:cs="Arial"/>
        </w:rPr>
        <w:t>The use of a descriptive quantitative approach aligns with the study's goal of providing evidence-based recommendations for teaching-learning intervention, prioritization of budget allocation for procurement of tools and equipment’s in the TVL-Automotive laboratory to supplement the competency of students.</w:t>
      </w:r>
    </w:p>
    <w:p w14:paraId="63528917" w14:textId="6AA2562C" w:rsidR="00E45CAC" w:rsidRDefault="00E45CAC" w:rsidP="00E45CAC">
      <w:pPr>
        <w:pStyle w:val="Body"/>
        <w:spacing w:after="0"/>
        <w:rPr>
          <w:rFonts w:ascii="Arial" w:hAnsi="Arial" w:cs="Arial"/>
        </w:rPr>
      </w:pPr>
    </w:p>
    <w:p w14:paraId="70D0C6C0" w14:textId="4A18BC7F" w:rsidR="00E45CAC" w:rsidRDefault="00E45CAC" w:rsidP="00E45CAC">
      <w:pPr>
        <w:pStyle w:val="Body"/>
        <w:spacing w:after="0"/>
        <w:rPr>
          <w:rFonts w:ascii="Arial" w:hAnsi="Arial" w:cs="Arial"/>
          <w:b/>
        </w:rPr>
      </w:pPr>
      <w:r w:rsidRPr="00E45CAC">
        <w:rPr>
          <w:rFonts w:ascii="Arial" w:hAnsi="Arial" w:cs="Arial"/>
          <w:b/>
        </w:rPr>
        <w:t xml:space="preserve">3. </w:t>
      </w:r>
      <w:r>
        <w:rPr>
          <w:rFonts w:ascii="Arial" w:hAnsi="Arial" w:cs="Arial"/>
          <w:b/>
        </w:rPr>
        <w:t>2</w:t>
      </w:r>
      <w:r w:rsidRPr="00E45CAC">
        <w:rPr>
          <w:rFonts w:ascii="Arial" w:hAnsi="Arial" w:cs="Arial"/>
          <w:b/>
        </w:rPr>
        <w:t xml:space="preserve"> Locale of the Study</w:t>
      </w:r>
      <w:r w:rsidRPr="00E45CAC">
        <w:rPr>
          <w:rFonts w:ascii="Arial" w:hAnsi="Arial" w:cs="Arial"/>
          <w:b/>
        </w:rPr>
        <w:tab/>
      </w:r>
    </w:p>
    <w:p w14:paraId="75C033CC" w14:textId="42818451" w:rsidR="00E45CAC" w:rsidRPr="00E45CAC" w:rsidRDefault="00E45CAC" w:rsidP="00E45CAC">
      <w:pPr>
        <w:pStyle w:val="Body"/>
        <w:spacing w:after="0"/>
        <w:rPr>
          <w:rFonts w:ascii="Arial" w:hAnsi="Arial" w:cs="Arial"/>
          <w:bCs/>
        </w:rPr>
      </w:pPr>
      <w:r>
        <w:rPr>
          <w:rFonts w:ascii="Arial" w:hAnsi="Arial" w:cs="Arial"/>
          <w:b/>
        </w:rPr>
        <w:tab/>
      </w:r>
      <w:r w:rsidRPr="00E45CAC">
        <w:rPr>
          <w:rFonts w:ascii="Arial" w:hAnsi="Arial" w:cs="Arial"/>
          <w:bCs/>
        </w:rPr>
        <w:t xml:space="preserve">The study will be conducted among the Grade 12 students enrolled in the Technical-Vocational-Livelihood (TVL) track, specifically in the Automotive strand, at </w:t>
      </w:r>
      <w:proofErr w:type="spellStart"/>
      <w:r w:rsidRPr="00E45CAC">
        <w:rPr>
          <w:rFonts w:ascii="Arial" w:hAnsi="Arial" w:cs="Arial"/>
          <w:bCs/>
        </w:rPr>
        <w:t>Pinukpuk</w:t>
      </w:r>
      <w:proofErr w:type="spellEnd"/>
      <w:r w:rsidRPr="00E45CAC">
        <w:rPr>
          <w:rFonts w:ascii="Arial" w:hAnsi="Arial" w:cs="Arial"/>
          <w:bCs/>
        </w:rPr>
        <w:t xml:space="preserve"> Vocational School (PVS) for the School Year 2024–2025. PVS is situated in Brookside 1, </w:t>
      </w:r>
      <w:proofErr w:type="spellStart"/>
      <w:r w:rsidRPr="00E45CAC">
        <w:rPr>
          <w:rFonts w:ascii="Arial" w:hAnsi="Arial" w:cs="Arial"/>
          <w:bCs/>
        </w:rPr>
        <w:t>Taga</w:t>
      </w:r>
      <w:proofErr w:type="spellEnd"/>
      <w:r w:rsidRPr="00E45CAC">
        <w:rPr>
          <w:rFonts w:ascii="Arial" w:hAnsi="Arial" w:cs="Arial"/>
          <w:bCs/>
        </w:rPr>
        <w:t xml:space="preserve">, </w:t>
      </w:r>
      <w:proofErr w:type="spellStart"/>
      <w:r w:rsidRPr="00E45CAC">
        <w:rPr>
          <w:rFonts w:ascii="Arial" w:hAnsi="Arial" w:cs="Arial"/>
          <w:bCs/>
        </w:rPr>
        <w:t>Pinukpuk</w:t>
      </w:r>
      <w:proofErr w:type="spellEnd"/>
      <w:r w:rsidRPr="00E45CAC">
        <w:rPr>
          <w:rFonts w:ascii="Arial" w:hAnsi="Arial" w:cs="Arial"/>
          <w:bCs/>
        </w:rPr>
        <w:t>, Kalinga, with geographic coordinates approximately at 17°34′34″N latitude and 121°22′3″E longitude. The school occupies a land area of about 20,000 square meters and was established on June 19, 1965, under Republic Act No. 4429.</w:t>
      </w:r>
    </w:p>
    <w:p w14:paraId="368E2635" w14:textId="6CFAB187" w:rsidR="00505F06" w:rsidRDefault="00505F06" w:rsidP="00441B6F">
      <w:pPr>
        <w:pStyle w:val="Body"/>
        <w:spacing w:after="0"/>
        <w:rPr>
          <w:rFonts w:ascii="Arial" w:hAnsi="Arial" w:cs="Arial"/>
        </w:rPr>
      </w:pPr>
    </w:p>
    <w:p w14:paraId="68797044" w14:textId="3D5130E8" w:rsidR="00E45CAC" w:rsidRDefault="00E45CAC" w:rsidP="00441B6F">
      <w:pPr>
        <w:pStyle w:val="Body"/>
        <w:spacing w:after="0"/>
        <w:rPr>
          <w:rFonts w:ascii="Arial" w:hAnsi="Arial" w:cs="Arial"/>
          <w:b/>
        </w:rPr>
      </w:pPr>
      <w:r w:rsidRPr="00E45CAC">
        <w:rPr>
          <w:rFonts w:ascii="Arial" w:hAnsi="Arial" w:cs="Arial"/>
          <w:b/>
        </w:rPr>
        <w:t xml:space="preserve">3. </w:t>
      </w:r>
      <w:r>
        <w:rPr>
          <w:rFonts w:ascii="Arial" w:hAnsi="Arial" w:cs="Arial"/>
          <w:b/>
        </w:rPr>
        <w:t>3</w:t>
      </w:r>
      <w:r w:rsidRPr="00E45CAC">
        <w:rPr>
          <w:rFonts w:ascii="Arial" w:hAnsi="Arial" w:cs="Arial"/>
          <w:b/>
        </w:rPr>
        <w:t xml:space="preserve"> Respondents of the Study</w:t>
      </w:r>
    </w:p>
    <w:p w14:paraId="6ECE14F0" w14:textId="1F6FC80F" w:rsidR="00D65190" w:rsidRPr="00D65190" w:rsidRDefault="00D65190" w:rsidP="00441B6F">
      <w:pPr>
        <w:pStyle w:val="Body"/>
        <w:spacing w:after="0"/>
        <w:rPr>
          <w:rFonts w:ascii="Arial" w:hAnsi="Arial" w:cs="Arial"/>
          <w:bCs/>
        </w:rPr>
      </w:pPr>
      <w:r>
        <w:rPr>
          <w:rFonts w:ascii="Arial" w:hAnsi="Arial" w:cs="Arial"/>
          <w:b/>
        </w:rPr>
        <w:tab/>
      </w:r>
      <w:r w:rsidRPr="00D65190">
        <w:rPr>
          <w:rFonts w:ascii="Arial" w:hAnsi="Arial" w:cs="Arial"/>
          <w:bCs/>
        </w:rPr>
        <w:t xml:space="preserve">The respondents of the study are Grade 12 students under the TVL -Automotive from </w:t>
      </w:r>
      <w:proofErr w:type="spellStart"/>
      <w:r w:rsidRPr="00D65190">
        <w:rPr>
          <w:rFonts w:ascii="Arial" w:hAnsi="Arial" w:cs="Arial"/>
          <w:bCs/>
        </w:rPr>
        <w:t>Pinukpuk</w:t>
      </w:r>
      <w:proofErr w:type="spellEnd"/>
      <w:r w:rsidRPr="00D65190">
        <w:rPr>
          <w:rFonts w:ascii="Arial" w:hAnsi="Arial" w:cs="Arial"/>
          <w:bCs/>
        </w:rPr>
        <w:t xml:space="preserve"> Vocational School consisting of fifteen (15) students who are officially enrolled for the school year 2024-2025.</w:t>
      </w:r>
    </w:p>
    <w:p w14:paraId="0B083209" w14:textId="39766686" w:rsidR="00E45CAC" w:rsidRDefault="00E45CAC" w:rsidP="00441B6F">
      <w:pPr>
        <w:pStyle w:val="Body"/>
        <w:spacing w:after="0"/>
        <w:rPr>
          <w:rFonts w:ascii="Arial" w:hAnsi="Arial" w:cs="Arial"/>
          <w:b/>
        </w:rPr>
      </w:pPr>
    </w:p>
    <w:p w14:paraId="23E818C5" w14:textId="6EEB4784" w:rsidR="00E45CAC" w:rsidRDefault="00E45CAC" w:rsidP="00E45CAC">
      <w:pPr>
        <w:pStyle w:val="Body"/>
        <w:spacing w:after="0"/>
        <w:rPr>
          <w:rFonts w:ascii="Arial" w:hAnsi="Arial" w:cs="Arial"/>
          <w:b/>
        </w:rPr>
      </w:pPr>
      <w:r w:rsidRPr="00E45CAC">
        <w:rPr>
          <w:rFonts w:ascii="Arial" w:hAnsi="Arial" w:cs="Arial"/>
          <w:b/>
        </w:rPr>
        <w:t xml:space="preserve">3. </w:t>
      </w:r>
      <w:r>
        <w:rPr>
          <w:rFonts w:ascii="Arial" w:hAnsi="Arial" w:cs="Arial"/>
          <w:b/>
        </w:rPr>
        <w:t>4</w:t>
      </w:r>
      <w:r w:rsidRPr="00E45CAC">
        <w:rPr>
          <w:rFonts w:ascii="Arial" w:hAnsi="Arial" w:cs="Arial"/>
          <w:b/>
        </w:rPr>
        <w:t xml:space="preserve"> Research Instrument</w:t>
      </w:r>
    </w:p>
    <w:p w14:paraId="295BAC74" w14:textId="77777777" w:rsidR="00D65190" w:rsidRPr="00D65190" w:rsidRDefault="00D65190" w:rsidP="00D65190">
      <w:pPr>
        <w:pStyle w:val="Body"/>
        <w:rPr>
          <w:rFonts w:ascii="Arial" w:hAnsi="Arial" w:cs="Arial"/>
          <w:bCs/>
        </w:rPr>
      </w:pPr>
      <w:r>
        <w:rPr>
          <w:rFonts w:ascii="Arial" w:hAnsi="Arial" w:cs="Arial"/>
          <w:b/>
        </w:rPr>
        <w:tab/>
      </w:r>
      <w:r w:rsidRPr="00D65190">
        <w:rPr>
          <w:rFonts w:ascii="Arial" w:hAnsi="Arial" w:cs="Arial"/>
          <w:bCs/>
        </w:rPr>
        <w:t xml:space="preserve">The survey questionnaire developed for this study is a key instrument designed to gather quantitative data vital in the realization of the study. </w:t>
      </w:r>
    </w:p>
    <w:p w14:paraId="53238F7C" w14:textId="3CF3A39A" w:rsidR="00D65190" w:rsidRPr="00D65190" w:rsidRDefault="00D65190" w:rsidP="00D65190">
      <w:pPr>
        <w:pStyle w:val="Body"/>
        <w:spacing w:after="0"/>
        <w:ind w:firstLine="720"/>
        <w:rPr>
          <w:rFonts w:ascii="Arial" w:hAnsi="Arial" w:cs="Arial"/>
          <w:bCs/>
        </w:rPr>
      </w:pPr>
      <w:r w:rsidRPr="00D65190">
        <w:rPr>
          <w:rFonts w:ascii="Arial" w:hAnsi="Arial" w:cs="Arial"/>
          <w:bCs/>
        </w:rPr>
        <w:lastRenderedPageBreak/>
        <w:t>Aligned with the statement of the problem, the questionnaire comprises several sections that explore demographic profiles, level of competency and level of readiness to National Certification II. In the first section of the questionnaire, respondents are asked to provide demographic information, including indicators such as age, ethnicity, and socioeconomic background. This information is vital for understanding the context of the respondents and how their backgrounds may affect their level of competency and readiness to National Certification II.  The subsequent sections focus on quantitative measures related to level of competency in which the proponent will adopt TESDA competency assessment tool comprising Data gathering tool for trainee’s characteristics and self-assessment checklist and level of readiness to National Certification II.</w:t>
      </w:r>
    </w:p>
    <w:p w14:paraId="30335146" w14:textId="3FBA3BC4" w:rsidR="00E45CAC" w:rsidRDefault="00E45CAC" w:rsidP="00E45CAC">
      <w:pPr>
        <w:pStyle w:val="Body"/>
        <w:spacing w:after="0"/>
        <w:rPr>
          <w:rFonts w:ascii="Arial" w:hAnsi="Arial" w:cs="Arial"/>
          <w:b/>
        </w:rPr>
      </w:pPr>
    </w:p>
    <w:p w14:paraId="716F1AB5" w14:textId="73C5FCD2" w:rsidR="00E45CAC" w:rsidRDefault="00E45CAC" w:rsidP="00E45CAC">
      <w:pPr>
        <w:pStyle w:val="Body"/>
        <w:spacing w:after="0"/>
        <w:rPr>
          <w:rFonts w:ascii="Arial" w:hAnsi="Arial" w:cs="Arial"/>
          <w:b/>
        </w:rPr>
      </w:pPr>
      <w:r w:rsidRPr="00E45CAC">
        <w:rPr>
          <w:rFonts w:ascii="Arial" w:hAnsi="Arial" w:cs="Arial"/>
          <w:b/>
        </w:rPr>
        <w:t xml:space="preserve">3. </w:t>
      </w:r>
      <w:r>
        <w:rPr>
          <w:rFonts w:ascii="Arial" w:hAnsi="Arial" w:cs="Arial"/>
          <w:b/>
        </w:rPr>
        <w:t>5</w:t>
      </w:r>
      <w:r w:rsidRPr="00E45CAC">
        <w:rPr>
          <w:rFonts w:ascii="Arial" w:hAnsi="Arial" w:cs="Arial"/>
          <w:b/>
        </w:rPr>
        <w:t xml:space="preserve"> Research Procedure</w:t>
      </w:r>
      <w:r w:rsidRPr="00E45CAC">
        <w:rPr>
          <w:rFonts w:ascii="Arial" w:hAnsi="Arial" w:cs="Arial"/>
          <w:b/>
        </w:rPr>
        <w:tab/>
      </w:r>
    </w:p>
    <w:p w14:paraId="0D80E998" w14:textId="50CE2F58" w:rsidR="00D65190" w:rsidRDefault="00D65190" w:rsidP="00E45CAC">
      <w:pPr>
        <w:pStyle w:val="Body"/>
        <w:spacing w:after="0"/>
        <w:rPr>
          <w:rFonts w:ascii="Arial" w:hAnsi="Arial" w:cs="Arial"/>
          <w:b/>
        </w:rPr>
      </w:pPr>
      <w:r>
        <w:rPr>
          <w:rFonts w:ascii="Arial" w:hAnsi="Arial" w:cs="Arial"/>
          <w:b/>
        </w:rPr>
        <w:tab/>
      </w:r>
    </w:p>
    <w:p w14:paraId="2F2844EB" w14:textId="77777777" w:rsidR="00D65190" w:rsidRPr="00D65190" w:rsidRDefault="00D65190" w:rsidP="00D65190">
      <w:pPr>
        <w:pStyle w:val="Body"/>
        <w:rPr>
          <w:rFonts w:ascii="Arial" w:hAnsi="Arial" w:cs="Arial"/>
          <w:bCs/>
        </w:rPr>
      </w:pPr>
      <w:r w:rsidRPr="00D65190">
        <w:rPr>
          <w:rFonts w:ascii="Arial" w:hAnsi="Arial" w:cs="Arial"/>
          <w:bCs/>
        </w:rPr>
        <w:t xml:space="preserve">The data gathering procedures for this study will be meticulously structured to ensure the collection of reliable and valid information from the respondents. Initially, the researcher will seek permission from the school administration and relevant authorities to conduct the study within </w:t>
      </w:r>
      <w:proofErr w:type="spellStart"/>
      <w:r w:rsidRPr="00D65190">
        <w:rPr>
          <w:rFonts w:ascii="Arial" w:hAnsi="Arial" w:cs="Arial"/>
          <w:bCs/>
        </w:rPr>
        <w:t>Pinukpuk</w:t>
      </w:r>
      <w:proofErr w:type="spellEnd"/>
      <w:r w:rsidRPr="00D65190">
        <w:rPr>
          <w:rFonts w:ascii="Arial" w:hAnsi="Arial" w:cs="Arial"/>
          <w:bCs/>
        </w:rPr>
        <w:t xml:space="preserve"> Vocational School (PVS) </w:t>
      </w:r>
      <w:proofErr w:type="spellStart"/>
      <w:r w:rsidRPr="00D65190">
        <w:rPr>
          <w:rFonts w:ascii="Arial" w:hAnsi="Arial" w:cs="Arial"/>
          <w:bCs/>
        </w:rPr>
        <w:t>Taga</w:t>
      </w:r>
      <w:proofErr w:type="spellEnd"/>
      <w:r w:rsidRPr="00D65190">
        <w:rPr>
          <w:rFonts w:ascii="Arial" w:hAnsi="Arial" w:cs="Arial"/>
          <w:bCs/>
        </w:rPr>
        <w:t xml:space="preserve">, </w:t>
      </w:r>
      <w:proofErr w:type="spellStart"/>
      <w:r w:rsidRPr="00D65190">
        <w:rPr>
          <w:rFonts w:ascii="Arial" w:hAnsi="Arial" w:cs="Arial"/>
          <w:bCs/>
        </w:rPr>
        <w:t>Pinukpuk</w:t>
      </w:r>
      <w:proofErr w:type="spellEnd"/>
      <w:r w:rsidRPr="00D65190">
        <w:rPr>
          <w:rFonts w:ascii="Arial" w:hAnsi="Arial" w:cs="Arial"/>
          <w:bCs/>
        </w:rPr>
        <w:t>, Kalinga. Once approval is obtained, the researcher will schedule a convenient time for data collection that aligns with the school’s academic calendar. This step is crucial to minimize disruption to the students' regular learning activities while ensuring that they are available to participate in the survey. Prior to administering the questionnaire, a briefing session will be held to inform the students about the purpose of the study, the significance of their participation, and the confidentiality of their responses.</w:t>
      </w:r>
    </w:p>
    <w:p w14:paraId="36E8B8C6" w14:textId="77777777" w:rsidR="00D65190" w:rsidRPr="00D65190" w:rsidRDefault="00D65190" w:rsidP="00D65190">
      <w:pPr>
        <w:pStyle w:val="Body"/>
        <w:rPr>
          <w:rFonts w:ascii="Arial" w:hAnsi="Arial" w:cs="Arial"/>
          <w:bCs/>
        </w:rPr>
      </w:pPr>
      <w:r w:rsidRPr="00D65190">
        <w:rPr>
          <w:rFonts w:ascii="Arial" w:hAnsi="Arial" w:cs="Arial"/>
          <w:bCs/>
        </w:rPr>
        <w:t>During the data collection phase, the questionnaire will be distributed to the Grade 12 students in their classroom. Researcher will be present to provide assistance and clarify any questions the students may have regarding the survey items. To enhance the response rate and the quality of the data collected, the researcher will emphasize the importance of honest and thoughtful answers, assuring participants that their responses will remain anonymous. The survey will be administered in a standardized manner to ensure consistency, allowing all respondents to complete the questionnaire under similar conditions. This structured approach is vital for maintaining the integrity of the data collection process and ensuring that the findings accurately reflect the students' experiences.</w:t>
      </w:r>
    </w:p>
    <w:p w14:paraId="680E0890" w14:textId="19054FC3" w:rsidR="00E45CAC" w:rsidRPr="00D65190" w:rsidRDefault="00D65190" w:rsidP="00D65190">
      <w:pPr>
        <w:pStyle w:val="Body"/>
        <w:spacing w:after="0"/>
        <w:rPr>
          <w:rFonts w:ascii="Arial" w:hAnsi="Arial" w:cs="Arial"/>
          <w:bCs/>
        </w:rPr>
      </w:pPr>
      <w:r w:rsidRPr="00D65190">
        <w:rPr>
          <w:rFonts w:ascii="Arial" w:hAnsi="Arial" w:cs="Arial"/>
          <w:bCs/>
        </w:rPr>
        <w:t>After the completion of the survey, the collected data will be compiled and organized for analysis. The researcher will conduct a thorough review to check for any incomplete responses or anomalies that may require follow-up. Completed Self- Assessment Survey Questionnaire will now be subjected for statistical treatment and analysis. The use of descriptive statistics will allow the researchers to summarize and interpret the findings effectively.</w:t>
      </w:r>
    </w:p>
    <w:p w14:paraId="30ED9309" w14:textId="2929CA00" w:rsidR="00E45CAC" w:rsidRDefault="00E45CAC" w:rsidP="00E45CAC">
      <w:pPr>
        <w:pStyle w:val="Body"/>
        <w:spacing w:after="0"/>
        <w:rPr>
          <w:rFonts w:ascii="Arial" w:hAnsi="Arial" w:cs="Arial"/>
          <w:b/>
        </w:rPr>
      </w:pPr>
      <w:r>
        <w:rPr>
          <w:rFonts w:ascii="Arial" w:hAnsi="Arial" w:cs="Arial"/>
          <w:b/>
        </w:rPr>
        <w:t xml:space="preserve">3.6. </w:t>
      </w:r>
      <w:r w:rsidRPr="00E45CAC">
        <w:rPr>
          <w:rFonts w:ascii="Arial" w:hAnsi="Arial" w:cs="Arial"/>
          <w:b/>
        </w:rPr>
        <w:t>Statistical Analysis</w:t>
      </w:r>
    </w:p>
    <w:p w14:paraId="7E13F12C" w14:textId="77777777" w:rsidR="00D65190" w:rsidRPr="00D65190" w:rsidRDefault="00D65190" w:rsidP="00A07DBE">
      <w:pPr>
        <w:pStyle w:val="NoSpacing"/>
      </w:pPr>
      <w:r>
        <w:rPr>
          <w:b/>
        </w:rPr>
        <w:tab/>
      </w:r>
      <w:r w:rsidRPr="00D65190">
        <w:t>The following formulas will be used to process data for the research questions:</w:t>
      </w:r>
    </w:p>
    <w:p w14:paraId="5E181CF1" w14:textId="77777777" w:rsidR="00D65190" w:rsidRPr="00D65190" w:rsidRDefault="00D65190" w:rsidP="00A07DBE">
      <w:pPr>
        <w:pStyle w:val="NoSpacing"/>
      </w:pPr>
      <w:r w:rsidRPr="00D65190">
        <w:t>Frequency and Percentage Distribution</w:t>
      </w:r>
    </w:p>
    <w:p w14:paraId="5E1B4269" w14:textId="77777777" w:rsidR="00D65190" w:rsidRPr="00D65190" w:rsidRDefault="00D65190" w:rsidP="00A07DBE">
      <w:pPr>
        <w:pStyle w:val="NoSpacing"/>
      </w:pPr>
      <w:r w:rsidRPr="00D65190">
        <w:t>This will be used to assess the demographic profiles of the respondents.</w:t>
      </w:r>
      <w:r w:rsidRPr="00D65190">
        <w:tab/>
      </w:r>
    </w:p>
    <w:p w14:paraId="56CF8F75" w14:textId="77777777" w:rsidR="00D65190" w:rsidRPr="00D65190" w:rsidRDefault="00D65190" w:rsidP="00A07DBE">
      <w:pPr>
        <w:pStyle w:val="NoSpacing"/>
      </w:pPr>
      <w:r w:rsidRPr="00D65190">
        <w:tab/>
        <w:t>P=f/n*100</w:t>
      </w:r>
    </w:p>
    <w:p w14:paraId="73BF691F" w14:textId="77777777" w:rsidR="00D65190" w:rsidRPr="00D65190" w:rsidRDefault="00D65190" w:rsidP="00A07DBE">
      <w:pPr>
        <w:pStyle w:val="NoSpacing"/>
      </w:pPr>
      <w:r w:rsidRPr="00D65190">
        <w:t xml:space="preserve">Whereas: </w:t>
      </w:r>
    </w:p>
    <w:p w14:paraId="1130C080" w14:textId="77777777" w:rsidR="00D65190" w:rsidRPr="00D65190" w:rsidRDefault="00D65190" w:rsidP="00A07DBE">
      <w:pPr>
        <w:pStyle w:val="NoSpacing"/>
      </w:pPr>
      <w:r w:rsidRPr="00D65190">
        <w:t xml:space="preserve">P = percentage </w:t>
      </w:r>
      <w:r w:rsidRPr="00D65190">
        <w:tab/>
      </w:r>
      <w:r w:rsidRPr="00D65190">
        <w:tab/>
      </w:r>
      <w:r w:rsidRPr="00D65190">
        <w:tab/>
      </w:r>
      <w:r w:rsidRPr="00D65190">
        <w:tab/>
        <w:t xml:space="preserve">        </w:t>
      </w:r>
    </w:p>
    <w:p w14:paraId="1655BA41" w14:textId="77777777" w:rsidR="00D65190" w:rsidRPr="00D65190" w:rsidRDefault="00D65190" w:rsidP="00A07DBE">
      <w:pPr>
        <w:pStyle w:val="NoSpacing"/>
      </w:pPr>
      <w:r w:rsidRPr="00D65190">
        <w:t xml:space="preserve">f = number of respondents’ answers </w:t>
      </w:r>
      <w:r w:rsidRPr="00D65190">
        <w:tab/>
        <w:t xml:space="preserve"> </w:t>
      </w:r>
    </w:p>
    <w:p w14:paraId="71D71B96" w14:textId="77777777" w:rsidR="00D65190" w:rsidRPr="00D65190" w:rsidRDefault="00D65190" w:rsidP="00A07DBE">
      <w:pPr>
        <w:pStyle w:val="NoSpacing"/>
      </w:pPr>
      <w:r w:rsidRPr="00D65190">
        <w:t>n = Total number of respondents</w:t>
      </w:r>
    </w:p>
    <w:p w14:paraId="644A50BC" w14:textId="77777777" w:rsidR="00D65190" w:rsidRPr="00D65190" w:rsidRDefault="00D65190" w:rsidP="00A07DBE">
      <w:pPr>
        <w:pStyle w:val="NoSpacing"/>
      </w:pPr>
      <w:r w:rsidRPr="00D65190">
        <w:t>Weighted Mean</w:t>
      </w:r>
    </w:p>
    <w:p w14:paraId="12083742" w14:textId="77777777" w:rsidR="00D65190" w:rsidRPr="00D65190" w:rsidRDefault="00D65190" w:rsidP="00A07DBE">
      <w:pPr>
        <w:pStyle w:val="NoSpacing"/>
      </w:pPr>
      <w:r w:rsidRPr="00D65190">
        <w:t xml:space="preserve"> This will be used in the assessment of the level of competency and readiness for National Certification II or respondents.</w:t>
      </w:r>
    </w:p>
    <w:p w14:paraId="603C9539" w14:textId="1AD04DB0" w:rsidR="00D65190" w:rsidRPr="00D65190" w:rsidRDefault="00D65190" w:rsidP="00A07DBE">
      <w:pPr>
        <w:pStyle w:val="NoSpacing"/>
      </w:pPr>
      <w:r w:rsidRPr="00D65190">
        <w:t>x ̅=(∑x)/n</w:t>
      </w:r>
    </w:p>
    <w:p w14:paraId="0F359908" w14:textId="77777777" w:rsidR="00D65190" w:rsidRPr="00D65190" w:rsidRDefault="00D65190" w:rsidP="00A07DBE">
      <w:pPr>
        <w:pStyle w:val="NoSpacing"/>
      </w:pPr>
      <w:r w:rsidRPr="00D65190">
        <w:lastRenderedPageBreak/>
        <w:t xml:space="preserve"> Wherein: </w:t>
      </w:r>
    </w:p>
    <w:p w14:paraId="163C7BE9" w14:textId="2ABC363B" w:rsidR="00D65190" w:rsidRPr="00D65190" w:rsidRDefault="00D65190" w:rsidP="00A07DBE">
      <w:pPr>
        <w:pStyle w:val="NoSpacing"/>
      </w:pPr>
      <w:r w:rsidRPr="00D65190">
        <w:t>∑x = sum of the quantitative variable.</w:t>
      </w:r>
    </w:p>
    <w:p w14:paraId="296A4F5F" w14:textId="77777777" w:rsidR="00D65190" w:rsidRPr="00D65190" w:rsidRDefault="00D65190" w:rsidP="00A07DBE">
      <w:pPr>
        <w:pStyle w:val="NoSpacing"/>
      </w:pPr>
      <w:r w:rsidRPr="00D65190">
        <w:t xml:space="preserve">  n = total sample size</w:t>
      </w:r>
    </w:p>
    <w:p w14:paraId="6E73AC0D" w14:textId="77777777" w:rsidR="00D65190" w:rsidRPr="00D65190" w:rsidRDefault="00D65190" w:rsidP="00A07DBE">
      <w:pPr>
        <w:pStyle w:val="NoSpacing"/>
      </w:pPr>
      <w:r w:rsidRPr="00D65190">
        <w:t>Pearson - r</w:t>
      </w:r>
    </w:p>
    <w:p w14:paraId="669C65EE" w14:textId="77777777" w:rsidR="00D65190" w:rsidRPr="00D65190" w:rsidRDefault="00D65190" w:rsidP="00A07DBE">
      <w:pPr>
        <w:pStyle w:val="NoSpacing"/>
      </w:pPr>
      <w:r w:rsidRPr="00D65190">
        <w:t>r</w:t>
      </w:r>
      <w:proofErr w:type="gramStart"/>
      <w:r w:rsidRPr="00D65190">
        <w:t>=(</w:t>
      </w:r>
      <w:proofErr w:type="gramEnd"/>
      <w:r w:rsidRPr="00D65190">
        <w:t>[n(</w:t>
      </w:r>
      <w:proofErr w:type="spellStart"/>
      <w:r w:rsidRPr="00D65190">
        <w:t>Σxy</w:t>
      </w:r>
      <w:proofErr w:type="spellEnd"/>
      <w:r w:rsidRPr="00D65190">
        <w:t xml:space="preserve">) - </w:t>
      </w:r>
      <w:proofErr w:type="spellStart"/>
      <w:r w:rsidRPr="00D65190">
        <w:t>ΣxΣy</w:t>
      </w:r>
      <w:proofErr w:type="spellEnd"/>
      <w:r w:rsidRPr="00D65190">
        <w:t>])/√([n(Σx2) - (</w:t>
      </w:r>
      <w:proofErr w:type="spellStart"/>
      <w:r w:rsidRPr="00D65190">
        <w:t>Σx</w:t>
      </w:r>
      <w:proofErr w:type="spellEnd"/>
      <w:r w:rsidRPr="00D65190">
        <w:t>)2][n(Σy2) - (</w:t>
      </w:r>
      <w:proofErr w:type="spellStart"/>
      <w:r w:rsidRPr="00D65190">
        <w:t>Σy</w:t>
      </w:r>
      <w:proofErr w:type="spellEnd"/>
      <w:r w:rsidRPr="00D65190">
        <w:t>)2)</w:t>
      </w:r>
    </w:p>
    <w:p w14:paraId="18FF5B5E" w14:textId="77777777" w:rsidR="00D65190" w:rsidRPr="00D65190" w:rsidRDefault="00D65190" w:rsidP="00A07DBE">
      <w:pPr>
        <w:pStyle w:val="NoSpacing"/>
      </w:pPr>
      <w:r w:rsidRPr="00D65190">
        <w:t xml:space="preserve">Where: </w:t>
      </w:r>
    </w:p>
    <w:p w14:paraId="1760DAF3" w14:textId="77777777" w:rsidR="00D65190" w:rsidRPr="00D65190" w:rsidRDefault="00D65190" w:rsidP="00A07DBE">
      <w:pPr>
        <w:pStyle w:val="NoSpacing"/>
      </w:pPr>
      <w:r w:rsidRPr="00D65190">
        <w:t>x is the independent variable</w:t>
      </w:r>
    </w:p>
    <w:p w14:paraId="79BC5FC9" w14:textId="77777777" w:rsidR="00D65190" w:rsidRPr="00D65190" w:rsidRDefault="00D65190" w:rsidP="00A07DBE">
      <w:pPr>
        <w:pStyle w:val="NoSpacing"/>
      </w:pPr>
      <w:r w:rsidRPr="00D65190">
        <w:t>y is the dependent variable</w:t>
      </w:r>
    </w:p>
    <w:p w14:paraId="4AB3951C" w14:textId="77777777" w:rsidR="00D65190" w:rsidRPr="00D65190" w:rsidRDefault="00D65190" w:rsidP="00A07DBE">
      <w:pPr>
        <w:pStyle w:val="NoSpacing"/>
      </w:pPr>
      <w:r w:rsidRPr="00D65190">
        <w:t>n is the sample size</w:t>
      </w:r>
    </w:p>
    <w:p w14:paraId="666C2D02" w14:textId="77777777" w:rsidR="00D65190" w:rsidRPr="00D65190" w:rsidRDefault="00D65190" w:rsidP="00A07DBE">
      <w:pPr>
        <w:pStyle w:val="NoSpacing"/>
      </w:pPr>
      <w:r w:rsidRPr="00D65190">
        <w:t>Σ represents a summation of all values.</w:t>
      </w:r>
    </w:p>
    <w:p w14:paraId="4337352C" w14:textId="5D28853B" w:rsidR="00D65190" w:rsidRPr="00037322" w:rsidRDefault="008F7267" w:rsidP="00A07DBE">
      <w:pPr>
        <w:pStyle w:val="NoSpacing"/>
        <w:rPr>
          <w:b/>
          <w:bCs/>
        </w:rPr>
      </w:pPr>
      <w:r>
        <w:rPr>
          <w:b/>
          <w:bCs/>
        </w:rPr>
        <w:t xml:space="preserve">LIST 1: </w:t>
      </w:r>
      <w:r w:rsidR="00D65190" w:rsidRPr="00037322">
        <w:rPr>
          <w:b/>
          <w:bCs/>
        </w:rPr>
        <w:t xml:space="preserve">Likert Scale </w:t>
      </w:r>
    </w:p>
    <w:tbl>
      <w:tblPr>
        <w:tblStyle w:val="PlainTable2"/>
        <w:tblW w:w="9214" w:type="dxa"/>
        <w:tblLook w:val="04A0" w:firstRow="1" w:lastRow="0" w:firstColumn="1" w:lastColumn="0" w:noHBand="0" w:noVBand="1"/>
      </w:tblPr>
      <w:tblGrid>
        <w:gridCol w:w="1134"/>
        <w:gridCol w:w="1985"/>
        <w:gridCol w:w="2693"/>
        <w:gridCol w:w="3402"/>
      </w:tblGrid>
      <w:tr w:rsidR="00ED020C" w:rsidRPr="004E5D36" w14:paraId="4EB4A180" w14:textId="1E13EEA4" w:rsidTr="00994E0A">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134" w:type="dxa"/>
            <w:vMerge w:val="restart"/>
          </w:tcPr>
          <w:p w14:paraId="37948720" w14:textId="77777777" w:rsidR="00ED020C" w:rsidRPr="004E5D36" w:rsidRDefault="00ED020C" w:rsidP="004E5D36">
            <w:pPr>
              <w:pStyle w:val="NoSpacing"/>
            </w:pPr>
            <w:bookmarkStart w:id="3" w:name="_Hlk198909403"/>
            <w:r w:rsidRPr="004E5D36">
              <w:t>SCALE</w:t>
            </w:r>
          </w:p>
        </w:tc>
        <w:tc>
          <w:tcPr>
            <w:tcW w:w="1985" w:type="dxa"/>
            <w:vMerge w:val="restart"/>
          </w:tcPr>
          <w:p w14:paraId="5810B88E" w14:textId="77777777" w:rsidR="00ED020C" w:rsidRPr="004E5D36" w:rsidRDefault="00ED020C" w:rsidP="004E5D36">
            <w:pPr>
              <w:pStyle w:val="NoSpacing"/>
              <w:cnfStyle w:val="100000000000" w:firstRow="1" w:lastRow="0" w:firstColumn="0" w:lastColumn="0" w:oddVBand="0" w:evenVBand="0" w:oddHBand="0" w:evenHBand="0" w:firstRowFirstColumn="0" w:firstRowLastColumn="0" w:lastRowFirstColumn="0" w:lastRowLastColumn="0"/>
            </w:pPr>
            <w:r w:rsidRPr="004E5D36">
              <w:t>MEAN RANGE</w:t>
            </w:r>
          </w:p>
        </w:tc>
        <w:tc>
          <w:tcPr>
            <w:tcW w:w="6095" w:type="dxa"/>
            <w:gridSpan w:val="2"/>
            <w:tcBorders>
              <w:bottom w:val="single" w:sz="4" w:space="0" w:color="auto"/>
            </w:tcBorders>
          </w:tcPr>
          <w:p w14:paraId="7DB6D40E" w14:textId="77777777" w:rsidR="00ED020C" w:rsidRPr="004E5D36" w:rsidRDefault="00ED020C" w:rsidP="00ED020C">
            <w:pPr>
              <w:pStyle w:val="NoSpacing"/>
              <w:ind w:left="22"/>
              <w:jc w:val="center"/>
              <w:cnfStyle w:val="100000000000" w:firstRow="1" w:lastRow="0" w:firstColumn="0" w:lastColumn="0" w:oddVBand="0" w:evenVBand="0" w:oddHBand="0" w:evenHBand="0" w:firstRowFirstColumn="0" w:firstRowLastColumn="0" w:lastRowFirstColumn="0" w:lastRowLastColumn="0"/>
              <w:rPr>
                <w:b w:val="0"/>
                <w:bCs w:val="0"/>
              </w:rPr>
            </w:pPr>
            <w:r w:rsidRPr="004E5D36">
              <w:t>DESCRIPTION</w:t>
            </w:r>
          </w:p>
        </w:tc>
      </w:tr>
      <w:tr w:rsidR="004E5D36" w:rsidRPr="004E5D36" w14:paraId="2EF90A2A" w14:textId="767C8975" w:rsidTr="00ED020C">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134" w:type="dxa"/>
            <w:vMerge/>
          </w:tcPr>
          <w:p w14:paraId="1FD2F6C8" w14:textId="77777777" w:rsidR="004E5D36" w:rsidRPr="004E5D36" w:rsidRDefault="004E5D36" w:rsidP="004E5D36">
            <w:pPr>
              <w:pStyle w:val="NoSpacing"/>
            </w:pPr>
          </w:p>
        </w:tc>
        <w:tc>
          <w:tcPr>
            <w:tcW w:w="1985" w:type="dxa"/>
            <w:vMerge/>
          </w:tcPr>
          <w:p w14:paraId="7B5211FF" w14:textId="77777777" w:rsidR="004E5D36" w:rsidRPr="004E5D36" w:rsidRDefault="004E5D36" w:rsidP="004E5D36">
            <w:pPr>
              <w:pStyle w:val="NoSpacing"/>
              <w:cnfStyle w:val="000000100000" w:firstRow="0" w:lastRow="0" w:firstColumn="0" w:lastColumn="0" w:oddVBand="0" w:evenVBand="0" w:oddHBand="1" w:evenHBand="0" w:firstRowFirstColumn="0" w:firstRowLastColumn="0" w:lastRowFirstColumn="0" w:lastRowLastColumn="0"/>
            </w:pPr>
          </w:p>
        </w:tc>
        <w:tc>
          <w:tcPr>
            <w:tcW w:w="2693" w:type="dxa"/>
            <w:tcBorders>
              <w:top w:val="single" w:sz="4" w:space="0" w:color="auto"/>
              <w:right w:val="single" w:sz="4" w:space="0" w:color="auto"/>
            </w:tcBorders>
          </w:tcPr>
          <w:p w14:paraId="16895E72" w14:textId="213D54DF" w:rsidR="004E5D36" w:rsidRPr="00037322" w:rsidRDefault="00037322" w:rsidP="004E5D36">
            <w:pPr>
              <w:pStyle w:val="NoSpacing"/>
              <w:cnfStyle w:val="000000100000" w:firstRow="0" w:lastRow="0" w:firstColumn="0" w:lastColumn="0" w:oddVBand="0" w:evenVBand="0" w:oddHBand="1" w:evenHBand="0" w:firstRowFirstColumn="0" w:firstRowLastColumn="0" w:lastRowFirstColumn="0" w:lastRowLastColumn="0"/>
              <w:rPr>
                <w:b/>
                <w:bCs/>
              </w:rPr>
            </w:pPr>
            <w:r w:rsidRPr="00037322">
              <w:rPr>
                <w:b/>
                <w:bCs/>
              </w:rPr>
              <w:t xml:space="preserve">Competency </w:t>
            </w:r>
          </w:p>
        </w:tc>
        <w:tc>
          <w:tcPr>
            <w:tcW w:w="3402" w:type="dxa"/>
            <w:tcBorders>
              <w:top w:val="single" w:sz="4" w:space="0" w:color="auto"/>
              <w:left w:val="single" w:sz="4" w:space="0" w:color="auto"/>
            </w:tcBorders>
          </w:tcPr>
          <w:p w14:paraId="22B23D00" w14:textId="1D15FFB4" w:rsidR="004E5D36" w:rsidRPr="00037322" w:rsidRDefault="00037322" w:rsidP="004E5D36">
            <w:pPr>
              <w:pStyle w:val="NoSpacing"/>
              <w:cnfStyle w:val="000000100000" w:firstRow="0" w:lastRow="0" w:firstColumn="0" w:lastColumn="0" w:oddVBand="0" w:evenVBand="0" w:oddHBand="1" w:evenHBand="0" w:firstRowFirstColumn="0" w:firstRowLastColumn="0" w:lastRowFirstColumn="0" w:lastRowLastColumn="0"/>
              <w:rPr>
                <w:b/>
                <w:bCs/>
              </w:rPr>
            </w:pPr>
            <w:r w:rsidRPr="00037322">
              <w:rPr>
                <w:b/>
                <w:bCs/>
              </w:rPr>
              <w:t xml:space="preserve">Readiness </w:t>
            </w:r>
          </w:p>
        </w:tc>
      </w:tr>
      <w:tr w:rsidR="00ED020C" w:rsidRPr="004E5D36" w14:paraId="43691BA0" w14:textId="22708970" w:rsidTr="00ED020C">
        <w:trPr>
          <w:trHeight w:val="315"/>
        </w:trPr>
        <w:tc>
          <w:tcPr>
            <w:cnfStyle w:val="001000000000" w:firstRow="0" w:lastRow="0" w:firstColumn="1" w:lastColumn="0" w:oddVBand="0" w:evenVBand="0" w:oddHBand="0" w:evenHBand="0" w:firstRowFirstColumn="0" w:firstRowLastColumn="0" w:lastRowFirstColumn="0" w:lastRowLastColumn="0"/>
            <w:tcW w:w="1134" w:type="dxa"/>
          </w:tcPr>
          <w:p w14:paraId="02A47BD4" w14:textId="543B44C0" w:rsidR="00ED020C" w:rsidRPr="004E5D36" w:rsidRDefault="00ED020C" w:rsidP="00ED020C">
            <w:pPr>
              <w:pStyle w:val="NoSpacing"/>
            </w:pPr>
            <w:r>
              <w:t>5</w:t>
            </w:r>
          </w:p>
        </w:tc>
        <w:tc>
          <w:tcPr>
            <w:tcW w:w="1985" w:type="dxa"/>
          </w:tcPr>
          <w:p w14:paraId="7B2F1CB3" w14:textId="77777777" w:rsidR="00ED020C" w:rsidRPr="004E5D36" w:rsidRDefault="00ED020C" w:rsidP="00ED020C">
            <w:pPr>
              <w:pStyle w:val="NoSpacing"/>
              <w:cnfStyle w:val="000000000000" w:firstRow="0" w:lastRow="0" w:firstColumn="0" w:lastColumn="0" w:oddVBand="0" w:evenVBand="0" w:oddHBand="0" w:evenHBand="0" w:firstRowFirstColumn="0" w:firstRowLastColumn="0" w:lastRowFirstColumn="0" w:lastRowLastColumn="0"/>
            </w:pPr>
            <w:r w:rsidRPr="004E5D36">
              <w:t>4.20 - 5.00</w:t>
            </w:r>
          </w:p>
        </w:tc>
        <w:tc>
          <w:tcPr>
            <w:tcW w:w="2693" w:type="dxa"/>
            <w:tcBorders>
              <w:right w:val="single" w:sz="4" w:space="0" w:color="auto"/>
            </w:tcBorders>
          </w:tcPr>
          <w:p w14:paraId="596CF112" w14:textId="06BB335B" w:rsidR="00ED020C" w:rsidRPr="004E5D36" w:rsidRDefault="00ED020C" w:rsidP="00ED020C">
            <w:pPr>
              <w:pStyle w:val="NoSpacing"/>
              <w:cnfStyle w:val="000000000000" w:firstRow="0" w:lastRow="0" w:firstColumn="0" w:lastColumn="0" w:oddVBand="0" w:evenVBand="0" w:oddHBand="0" w:evenHBand="0" w:firstRowFirstColumn="0" w:firstRowLastColumn="0" w:lastRowFirstColumn="0" w:lastRowLastColumn="0"/>
            </w:pPr>
            <w:r>
              <w:t xml:space="preserve">Outstanding </w:t>
            </w:r>
          </w:p>
        </w:tc>
        <w:tc>
          <w:tcPr>
            <w:tcW w:w="3402" w:type="dxa"/>
            <w:tcBorders>
              <w:left w:val="single" w:sz="4" w:space="0" w:color="auto"/>
            </w:tcBorders>
          </w:tcPr>
          <w:p w14:paraId="52554C8D" w14:textId="274C40BC" w:rsidR="00ED020C" w:rsidRPr="004E5D36" w:rsidRDefault="00ED020C" w:rsidP="00ED020C">
            <w:pPr>
              <w:pStyle w:val="NoSpacing"/>
              <w:cnfStyle w:val="000000000000" w:firstRow="0" w:lastRow="0" w:firstColumn="0" w:lastColumn="0" w:oddVBand="0" w:evenVBand="0" w:oddHBand="0" w:evenHBand="0" w:firstRowFirstColumn="0" w:firstRowLastColumn="0" w:lastRowFirstColumn="0" w:lastRowLastColumn="0"/>
            </w:pPr>
            <w:r w:rsidRPr="00CE4FD1">
              <w:rPr>
                <w:rFonts w:ascii="Arial" w:hAnsi="Arial" w:cs="Arial"/>
                <w:bCs/>
              </w:rPr>
              <w:t>Outstanding</w:t>
            </w:r>
          </w:p>
        </w:tc>
      </w:tr>
      <w:tr w:rsidR="00ED020C" w:rsidRPr="004E5D36" w14:paraId="2DD14AF6" w14:textId="2367DAAB" w:rsidTr="00ED020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tcPr>
          <w:p w14:paraId="3255AC08" w14:textId="75FF0A4E" w:rsidR="00ED020C" w:rsidRPr="004E5D36" w:rsidRDefault="00ED020C" w:rsidP="00ED020C">
            <w:pPr>
              <w:pStyle w:val="NoSpacing"/>
            </w:pPr>
            <w:r>
              <w:t>4</w:t>
            </w:r>
          </w:p>
        </w:tc>
        <w:tc>
          <w:tcPr>
            <w:tcW w:w="1985" w:type="dxa"/>
          </w:tcPr>
          <w:p w14:paraId="1BB57FC2" w14:textId="77777777" w:rsidR="00ED020C" w:rsidRPr="004E5D36" w:rsidRDefault="00ED020C" w:rsidP="00ED020C">
            <w:pPr>
              <w:pStyle w:val="NoSpacing"/>
              <w:cnfStyle w:val="000000100000" w:firstRow="0" w:lastRow="0" w:firstColumn="0" w:lastColumn="0" w:oddVBand="0" w:evenVBand="0" w:oddHBand="1" w:evenHBand="0" w:firstRowFirstColumn="0" w:firstRowLastColumn="0" w:lastRowFirstColumn="0" w:lastRowLastColumn="0"/>
            </w:pPr>
            <w:r w:rsidRPr="004E5D36">
              <w:t>3.40 – 4.19</w:t>
            </w:r>
          </w:p>
        </w:tc>
        <w:tc>
          <w:tcPr>
            <w:tcW w:w="2693" w:type="dxa"/>
            <w:tcBorders>
              <w:right w:val="single" w:sz="4" w:space="0" w:color="auto"/>
            </w:tcBorders>
          </w:tcPr>
          <w:p w14:paraId="1CF2E895" w14:textId="4FFE2415" w:rsidR="00ED020C" w:rsidRPr="004E5D36" w:rsidRDefault="00ED020C" w:rsidP="00ED020C">
            <w:pPr>
              <w:pStyle w:val="NoSpacing"/>
              <w:cnfStyle w:val="000000100000" w:firstRow="0" w:lastRow="0" w:firstColumn="0" w:lastColumn="0" w:oddVBand="0" w:evenVBand="0" w:oddHBand="1" w:evenHBand="0" w:firstRowFirstColumn="0" w:firstRowLastColumn="0" w:lastRowFirstColumn="0" w:lastRowLastColumn="0"/>
            </w:pPr>
            <w:r>
              <w:t xml:space="preserve">Very Satisfactory </w:t>
            </w:r>
          </w:p>
        </w:tc>
        <w:tc>
          <w:tcPr>
            <w:tcW w:w="3402" w:type="dxa"/>
            <w:tcBorders>
              <w:left w:val="single" w:sz="4" w:space="0" w:color="auto"/>
            </w:tcBorders>
          </w:tcPr>
          <w:p w14:paraId="623C9CD3" w14:textId="660C51B2" w:rsidR="00ED020C" w:rsidRPr="004E5D36" w:rsidRDefault="00ED020C" w:rsidP="00ED020C">
            <w:pPr>
              <w:pStyle w:val="NoSpacing"/>
              <w:cnfStyle w:val="000000100000" w:firstRow="0" w:lastRow="0" w:firstColumn="0" w:lastColumn="0" w:oddVBand="0" w:evenVBand="0" w:oddHBand="1" w:evenHBand="0" w:firstRowFirstColumn="0" w:firstRowLastColumn="0" w:lastRowFirstColumn="0" w:lastRowLastColumn="0"/>
            </w:pPr>
            <w:r w:rsidRPr="00CE4FD1">
              <w:rPr>
                <w:rFonts w:ascii="Arial" w:hAnsi="Arial" w:cs="Arial"/>
                <w:bCs/>
              </w:rPr>
              <w:t>Exceeds Expectation</w:t>
            </w:r>
          </w:p>
        </w:tc>
      </w:tr>
      <w:tr w:rsidR="00ED020C" w:rsidRPr="004E5D36" w14:paraId="6D29805C" w14:textId="145304A6" w:rsidTr="00ED020C">
        <w:trPr>
          <w:trHeight w:val="315"/>
        </w:trPr>
        <w:tc>
          <w:tcPr>
            <w:cnfStyle w:val="001000000000" w:firstRow="0" w:lastRow="0" w:firstColumn="1" w:lastColumn="0" w:oddVBand="0" w:evenVBand="0" w:oddHBand="0" w:evenHBand="0" w:firstRowFirstColumn="0" w:firstRowLastColumn="0" w:lastRowFirstColumn="0" w:lastRowLastColumn="0"/>
            <w:tcW w:w="1134" w:type="dxa"/>
          </w:tcPr>
          <w:p w14:paraId="513586FF" w14:textId="77777777" w:rsidR="00ED020C" w:rsidRPr="004E5D36" w:rsidRDefault="00ED020C" w:rsidP="00ED020C">
            <w:pPr>
              <w:pStyle w:val="NoSpacing"/>
            </w:pPr>
            <w:r w:rsidRPr="004E5D36">
              <w:t>3</w:t>
            </w:r>
          </w:p>
        </w:tc>
        <w:tc>
          <w:tcPr>
            <w:tcW w:w="1985" w:type="dxa"/>
          </w:tcPr>
          <w:p w14:paraId="0D88D75B" w14:textId="77777777" w:rsidR="00ED020C" w:rsidRPr="004E5D36" w:rsidRDefault="00ED020C" w:rsidP="00ED020C">
            <w:pPr>
              <w:pStyle w:val="NoSpacing"/>
              <w:cnfStyle w:val="000000000000" w:firstRow="0" w:lastRow="0" w:firstColumn="0" w:lastColumn="0" w:oddVBand="0" w:evenVBand="0" w:oddHBand="0" w:evenHBand="0" w:firstRowFirstColumn="0" w:firstRowLastColumn="0" w:lastRowFirstColumn="0" w:lastRowLastColumn="0"/>
            </w:pPr>
            <w:r w:rsidRPr="004E5D36">
              <w:t>2.60 – 3.39</w:t>
            </w:r>
          </w:p>
        </w:tc>
        <w:tc>
          <w:tcPr>
            <w:tcW w:w="2693" w:type="dxa"/>
            <w:tcBorders>
              <w:right w:val="single" w:sz="4" w:space="0" w:color="auto"/>
            </w:tcBorders>
          </w:tcPr>
          <w:p w14:paraId="55BA750E" w14:textId="64EAECFF" w:rsidR="00ED020C" w:rsidRPr="004E5D36" w:rsidRDefault="00ED020C" w:rsidP="00ED020C">
            <w:pPr>
              <w:pStyle w:val="NoSpacing"/>
              <w:cnfStyle w:val="000000000000" w:firstRow="0" w:lastRow="0" w:firstColumn="0" w:lastColumn="0" w:oddVBand="0" w:evenVBand="0" w:oddHBand="0" w:evenHBand="0" w:firstRowFirstColumn="0" w:firstRowLastColumn="0" w:lastRowFirstColumn="0" w:lastRowLastColumn="0"/>
            </w:pPr>
            <w:r>
              <w:t>Satisfactory</w:t>
            </w:r>
          </w:p>
        </w:tc>
        <w:tc>
          <w:tcPr>
            <w:tcW w:w="3402" w:type="dxa"/>
            <w:tcBorders>
              <w:left w:val="single" w:sz="4" w:space="0" w:color="auto"/>
            </w:tcBorders>
          </w:tcPr>
          <w:p w14:paraId="4FE61411" w14:textId="0334CA0A" w:rsidR="00ED020C" w:rsidRPr="004E5D36" w:rsidRDefault="00ED020C" w:rsidP="00ED020C">
            <w:pPr>
              <w:pStyle w:val="NoSpacing"/>
              <w:cnfStyle w:val="000000000000" w:firstRow="0" w:lastRow="0" w:firstColumn="0" w:lastColumn="0" w:oddVBand="0" w:evenVBand="0" w:oddHBand="0" w:evenHBand="0" w:firstRowFirstColumn="0" w:firstRowLastColumn="0" w:lastRowFirstColumn="0" w:lastRowLastColumn="0"/>
            </w:pPr>
            <w:r w:rsidRPr="00CE4FD1">
              <w:rPr>
                <w:rFonts w:ascii="Arial" w:hAnsi="Arial" w:cs="Arial"/>
                <w:bCs/>
              </w:rPr>
              <w:t>Meets Expectation</w:t>
            </w:r>
          </w:p>
        </w:tc>
      </w:tr>
      <w:tr w:rsidR="00ED020C" w:rsidRPr="004E5D36" w14:paraId="653ED54F" w14:textId="367AE5D2" w:rsidTr="00ED020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tcPr>
          <w:p w14:paraId="6C2E474D" w14:textId="77777777" w:rsidR="00ED020C" w:rsidRPr="004E5D36" w:rsidRDefault="00ED020C" w:rsidP="00ED020C">
            <w:pPr>
              <w:pStyle w:val="NoSpacing"/>
            </w:pPr>
            <w:r w:rsidRPr="004E5D36">
              <w:t>2</w:t>
            </w:r>
          </w:p>
        </w:tc>
        <w:tc>
          <w:tcPr>
            <w:tcW w:w="1985" w:type="dxa"/>
          </w:tcPr>
          <w:p w14:paraId="467234CE" w14:textId="77777777" w:rsidR="00ED020C" w:rsidRPr="004E5D36" w:rsidRDefault="00ED020C" w:rsidP="00ED020C">
            <w:pPr>
              <w:pStyle w:val="NoSpacing"/>
              <w:cnfStyle w:val="000000100000" w:firstRow="0" w:lastRow="0" w:firstColumn="0" w:lastColumn="0" w:oddVBand="0" w:evenVBand="0" w:oddHBand="1" w:evenHBand="0" w:firstRowFirstColumn="0" w:firstRowLastColumn="0" w:lastRowFirstColumn="0" w:lastRowLastColumn="0"/>
            </w:pPr>
            <w:r w:rsidRPr="004E5D36">
              <w:t>1.80 – 2.59</w:t>
            </w:r>
          </w:p>
        </w:tc>
        <w:tc>
          <w:tcPr>
            <w:tcW w:w="2693" w:type="dxa"/>
            <w:tcBorders>
              <w:right w:val="single" w:sz="4" w:space="0" w:color="auto"/>
            </w:tcBorders>
          </w:tcPr>
          <w:p w14:paraId="2660A8F7" w14:textId="378D69B1" w:rsidR="00ED020C" w:rsidRPr="004E5D36" w:rsidRDefault="00ED020C" w:rsidP="00ED020C">
            <w:pPr>
              <w:pStyle w:val="NoSpacing"/>
              <w:cnfStyle w:val="000000100000" w:firstRow="0" w:lastRow="0" w:firstColumn="0" w:lastColumn="0" w:oddVBand="0" w:evenVBand="0" w:oddHBand="1" w:evenHBand="0" w:firstRowFirstColumn="0" w:firstRowLastColumn="0" w:lastRowFirstColumn="0" w:lastRowLastColumn="0"/>
            </w:pPr>
            <w:r>
              <w:t>Unsatisfactory</w:t>
            </w:r>
          </w:p>
        </w:tc>
        <w:tc>
          <w:tcPr>
            <w:tcW w:w="3402" w:type="dxa"/>
            <w:tcBorders>
              <w:left w:val="single" w:sz="4" w:space="0" w:color="auto"/>
            </w:tcBorders>
          </w:tcPr>
          <w:p w14:paraId="23CF7B1D" w14:textId="338AFFAE" w:rsidR="00ED020C" w:rsidRPr="004E5D36" w:rsidRDefault="00ED020C" w:rsidP="00ED020C">
            <w:pPr>
              <w:pStyle w:val="NoSpacing"/>
              <w:cnfStyle w:val="000000100000" w:firstRow="0" w:lastRow="0" w:firstColumn="0" w:lastColumn="0" w:oddVBand="0" w:evenVBand="0" w:oddHBand="1" w:evenHBand="0" w:firstRowFirstColumn="0" w:firstRowLastColumn="0" w:lastRowFirstColumn="0" w:lastRowLastColumn="0"/>
            </w:pPr>
            <w:r w:rsidRPr="00CE4FD1">
              <w:rPr>
                <w:rFonts w:ascii="Arial" w:hAnsi="Arial" w:cs="Arial"/>
                <w:bCs/>
              </w:rPr>
              <w:t>Needs Improvement</w:t>
            </w:r>
          </w:p>
        </w:tc>
      </w:tr>
      <w:tr w:rsidR="00ED020C" w:rsidRPr="004E5D36" w14:paraId="23F4E9E6" w14:textId="27749F91" w:rsidTr="00ED020C">
        <w:trPr>
          <w:trHeight w:val="315"/>
        </w:trPr>
        <w:tc>
          <w:tcPr>
            <w:cnfStyle w:val="001000000000" w:firstRow="0" w:lastRow="0" w:firstColumn="1" w:lastColumn="0" w:oddVBand="0" w:evenVBand="0" w:oddHBand="0" w:evenHBand="0" w:firstRowFirstColumn="0" w:firstRowLastColumn="0" w:lastRowFirstColumn="0" w:lastRowLastColumn="0"/>
            <w:tcW w:w="1134" w:type="dxa"/>
          </w:tcPr>
          <w:p w14:paraId="368A1FC7" w14:textId="77777777" w:rsidR="00ED020C" w:rsidRPr="004E5D36" w:rsidRDefault="00ED020C" w:rsidP="00ED020C">
            <w:pPr>
              <w:pStyle w:val="NoSpacing"/>
            </w:pPr>
            <w:r w:rsidRPr="004E5D36">
              <w:t>1</w:t>
            </w:r>
          </w:p>
        </w:tc>
        <w:tc>
          <w:tcPr>
            <w:tcW w:w="1985" w:type="dxa"/>
          </w:tcPr>
          <w:p w14:paraId="6BF1D43B" w14:textId="77777777" w:rsidR="00ED020C" w:rsidRPr="004E5D36" w:rsidRDefault="00ED020C" w:rsidP="00ED020C">
            <w:pPr>
              <w:pStyle w:val="NoSpacing"/>
              <w:cnfStyle w:val="000000000000" w:firstRow="0" w:lastRow="0" w:firstColumn="0" w:lastColumn="0" w:oddVBand="0" w:evenVBand="0" w:oddHBand="0" w:evenHBand="0" w:firstRowFirstColumn="0" w:firstRowLastColumn="0" w:lastRowFirstColumn="0" w:lastRowLastColumn="0"/>
            </w:pPr>
            <w:r w:rsidRPr="004E5D36">
              <w:t>1.00 – 1.79</w:t>
            </w:r>
          </w:p>
        </w:tc>
        <w:tc>
          <w:tcPr>
            <w:tcW w:w="2693" w:type="dxa"/>
            <w:tcBorders>
              <w:right w:val="single" w:sz="4" w:space="0" w:color="auto"/>
            </w:tcBorders>
          </w:tcPr>
          <w:p w14:paraId="3767CB74" w14:textId="29412960" w:rsidR="00ED020C" w:rsidRPr="004E5D36" w:rsidRDefault="00ED020C" w:rsidP="00ED020C">
            <w:pPr>
              <w:pStyle w:val="NoSpacing"/>
              <w:cnfStyle w:val="000000000000" w:firstRow="0" w:lastRow="0" w:firstColumn="0" w:lastColumn="0" w:oddVBand="0" w:evenVBand="0" w:oddHBand="0" w:evenHBand="0" w:firstRowFirstColumn="0" w:firstRowLastColumn="0" w:lastRowFirstColumn="0" w:lastRowLastColumn="0"/>
            </w:pPr>
            <w:r>
              <w:t xml:space="preserve">Poor </w:t>
            </w:r>
          </w:p>
        </w:tc>
        <w:tc>
          <w:tcPr>
            <w:tcW w:w="3402" w:type="dxa"/>
            <w:tcBorders>
              <w:left w:val="single" w:sz="4" w:space="0" w:color="auto"/>
            </w:tcBorders>
          </w:tcPr>
          <w:p w14:paraId="401A55F1" w14:textId="172F6845" w:rsidR="00ED020C" w:rsidRPr="004E5D36" w:rsidRDefault="00ED020C" w:rsidP="00ED020C">
            <w:pPr>
              <w:pStyle w:val="NoSpacing"/>
              <w:cnfStyle w:val="000000000000" w:firstRow="0" w:lastRow="0" w:firstColumn="0" w:lastColumn="0" w:oddVBand="0" w:evenVBand="0" w:oddHBand="0" w:evenHBand="0" w:firstRowFirstColumn="0" w:firstRowLastColumn="0" w:lastRowFirstColumn="0" w:lastRowLastColumn="0"/>
            </w:pPr>
            <w:r w:rsidRPr="00CE4FD1">
              <w:rPr>
                <w:rFonts w:ascii="Arial" w:hAnsi="Arial" w:cs="Arial"/>
                <w:bCs/>
              </w:rPr>
              <w:t>Unsatisfactory</w:t>
            </w:r>
          </w:p>
        </w:tc>
      </w:tr>
      <w:bookmarkEnd w:id="3"/>
    </w:tbl>
    <w:p w14:paraId="091AA4B8" w14:textId="77777777" w:rsidR="004E5D36" w:rsidRPr="00D65190" w:rsidRDefault="004E5D36" w:rsidP="00A07DBE">
      <w:pPr>
        <w:pStyle w:val="NoSpacing"/>
      </w:pPr>
    </w:p>
    <w:p w14:paraId="5303511F" w14:textId="77777777" w:rsidR="00E45CAC" w:rsidRDefault="00E45CAC" w:rsidP="00E45CAC">
      <w:pPr>
        <w:pStyle w:val="Body"/>
        <w:spacing w:after="0"/>
        <w:rPr>
          <w:rFonts w:ascii="Arial" w:hAnsi="Arial" w:cs="Arial"/>
          <w:b/>
        </w:rPr>
      </w:pPr>
    </w:p>
    <w:p w14:paraId="708263CE" w14:textId="3A6194EE" w:rsidR="00902823" w:rsidRDefault="00D65190"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results and discussion</w:t>
      </w:r>
    </w:p>
    <w:p w14:paraId="553BBD16" w14:textId="77777777" w:rsidR="00790ADA" w:rsidRPr="00FB3A86" w:rsidRDefault="00790ADA" w:rsidP="00441B6F">
      <w:pPr>
        <w:pStyle w:val="Head1"/>
        <w:spacing w:after="0"/>
        <w:jc w:val="both"/>
        <w:rPr>
          <w:rFonts w:ascii="Arial" w:hAnsi="Arial" w:cs="Arial"/>
        </w:rPr>
      </w:pPr>
    </w:p>
    <w:p w14:paraId="60B8FEE0" w14:textId="24480A43" w:rsidR="00790ADA" w:rsidRDefault="00D65190" w:rsidP="00441B6F">
      <w:pPr>
        <w:pStyle w:val="Body"/>
        <w:spacing w:after="0"/>
        <w:rPr>
          <w:rFonts w:ascii="Arial" w:hAnsi="Arial" w:cs="Arial"/>
        </w:rPr>
      </w:pPr>
      <w:r w:rsidRPr="00D65190">
        <w:rPr>
          <w:rFonts w:ascii="Arial" w:hAnsi="Arial" w:cs="Arial"/>
        </w:rPr>
        <w:t xml:space="preserve">Table 1. </w:t>
      </w:r>
      <w:r w:rsidR="00CF502D">
        <w:rPr>
          <w:rFonts w:ascii="Arial" w:hAnsi="Arial" w:cs="Arial"/>
        </w:rPr>
        <w:t xml:space="preserve">Demographic study </w:t>
      </w:r>
      <w:r w:rsidR="00C475EB">
        <w:rPr>
          <w:rFonts w:ascii="Arial" w:hAnsi="Arial" w:cs="Arial"/>
        </w:rPr>
        <w:t>results</w:t>
      </w:r>
      <w:r w:rsidR="00CF502D">
        <w:rPr>
          <w:rFonts w:ascii="Arial" w:hAnsi="Arial" w:cs="Arial"/>
        </w:rPr>
        <w:t xml:space="preserve"> of respondent</w:t>
      </w:r>
    </w:p>
    <w:p w14:paraId="0A27B24C" w14:textId="77777777" w:rsidR="004848EF" w:rsidRDefault="004848EF" w:rsidP="00441B6F">
      <w:pPr>
        <w:pStyle w:val="Body"/>
        <w:spacing w:after="0"/>
        <w:rPr>
          <w:rFonts w:ascii="Arial" w:hAnsi="Arial" w:cs="Arial"/>
        </w:rPr>
      </w:pPr>
    </w:p>
    <w:p w14:paraId="76AAE654" w14:textId="4B07CA66" w:rsidR="00D65190" w:rsidRDefault="00D65190" w:rsidP="00441B6F">
      <w:pPr>
        <w:pStyle w:val="Body"/>
        <w:spacing w:after="0"/>
        <w:rPr>
          <w:rFonts w:ascii="Arial" w:hAnsi="Arial" w:cs="Arial"/>
        </w:rPr>
      </w:pPr>
    </w:p>
    <w:tbl>
      <w:tblPr>
        <w:tblW w:w="4021" w:type="pct"/>
        <w:tblInd w:w="279" w:type="dxa"/>
        <w:tblBorders>
          <w:top w:val="single" w:sz="4" w:space="0" w:color="auto"/>
          <w:bottom w:val="single" w:sz="4" w:space="0" w:color="auto"/>
        </w:tblBorders>
        <w:tblLayout w:type="fixed"/>
        <w:tblLook w:val="04A0" w:firstRow="1" w:lastRow="0" w:firstColumn="1" w:lastColumn="0" w:noHBand="0" w:noVBand="1"/>
      </w:tblPr>
      <w:tblGrid>
        <w:gridCol w:w="1768"/>
        <w:gridCol w:w="2486"/>
        <w:gridCol w:w="969"/>
        <w:gridCol w:w="1378"/>
      </w:tblGrid>
      <w:tr w:rsidR="004848EF" w:rsidRPr="004848EF" w14:paraId="42BDE9B0" w14:textId="77777777" w:rsidTr="004848EF">
        <w:trPr>
          <w:trHeight w:hRule="exact" w:val="343"/>
        </w:trPr>
        <w:tc>
          <w:tcPr>
            <w:tcW w:w="1339" w:type="pct"/>
            <w:tcBorders>
              <w:top w:val="single" w:sz="4" w:space="0" w:color="auto"/>
              <w:bottom w:val="single" w:sz="4" w:space="0" w:color="auto"/>
            </w:tcBorders>
          </w:tcPr>
          <w:p w14:paraId="72AED5EB" w14:textId="77777777" w:rsidR="004848EF" w:rsidRPr="004848EF" w:rsidRDefault="004848EF" w:rsidP="004848EF">
            <w:pPr>
              <w:pStyle w:val="Body"/>
              <w:rPr>
                <w:rFonts w:ascii="Arial" w:hAnsi="Arial" w:cs="Arial"/>
                <w:b/>
                <w:bCs/>
                <w:lang w:val="en-PH"/>
              </w:rPr>
            </w:pPr>
            <w:r w:rsidRPr="004848EF">
              <w:rPr>
                <w:rFonts w:ascii="Arial" w:hAnsi="Arial" w:cs="Arial"/>
                <w:b/>
                <w:bCs/>
                <w:lang w:val="en-PH"/>
              </w:rPr>
              <w:t>Profile</w:t>
            </w:r>
          </w:p>
        </w:tc>
        <w:tc>
          <w:tcPr>
            <w:tcW w:w="1883" w:type="pct"/>
            <w:tcBorders>
              <w:top w:val="single" w:sz="4" w:space="0" w:color="auto"/>
              <w:bottom w:val="single" w:sz="4" w:space="0" w:color="auto"/>
            </w:tcBorders>
          </w:tcPr>
          <w:p w14:paraId="38517B81" w14:textId="77777777" w:rsidR="004848EF" w:rsidRPr="004848EF" w:rsidRDefault="004848EF" w:rsidP="004848EF">
            <w:pPr>
              <w:pStyle w:val="Body"/>
              <w:rPr>
                <w:rFonts w:ascii="Arial" w:hAnsi="Arial" w:cs="Arial"/>
                <w:lang w:val="en-PH"/>
              </w:rPr>
            </w:pPr>
          </w:p>
        </w:tc>
        <w:tc>
          <w:tcPr>
            <w:tcW w:w="734" w:type="pct"/>
            <w:tcBorders>
              <w:top w:val="single" w:sz="4" w:space="0" w:color="auto"/>
              <w:bottom w:val="single" w:sz="4" w:space="0" w:color="auto"/>
            </w:tcBorders>
            <w:vAlign w:val="center"/>
          </w:tcPr>
          <w:p w14:paraId="28FBC354" w14:textId="77777777" w:rsidR="004848EF" w:rsidRPr="004848EF" w:rsidRDefault="004848EF" w:rsidP="004848EF">
            <w:pPr>
              <w:pStyle w:val="Body"/>
              <w:rPr>
                <w:rFonts w:ascii="Arial" w:hAnsi="Arial" w:cs="Arial"/>
                <w:lang w:val="en-PH"/>
              </w:rPr>
            </w:pPr>
            <w:r w:rsidRPr="004848EF">
              <w:rPr>
                <w:rFonts w:ascii="Arial" w:hAnsi="Arial" w:cs="Arial"/>
                <w:lang w:val="en-PH"/>
              </w:rPr>
              <w:t>f</w:t>
            </w:r>
          </w:p>
        </w:tc>
        <w:tc>
          <w:tcPr>
            <w:tcW w:w="1044" w:type="pct"/>
            <w:tcBorders>
              <w:top w:val="single" w:sz="4" w:space="0" w:color="auto"/>
              <w:bottom w:val="single" w:sz="4" w:space="0" w:color="auto"/>
            </w:tcBorders>
            <w:vAlign w:val="center"/>
          </w:tcPr>
          <w:p w14:paraId="5D814195" w14:textId="77777777" w:rsidR="004848EF" w:rsidRPr="004848EF" w:rsidRDefault="004848EF" w:rsidP="004848EF">
            <w:pPr>
              <w:pStyle w:val="Body"/>
              <w:rPr>
                <w:rFonts w:ascii="Arial" w:hAnsi="Arial" w:cs="Arial"/>
                <w:lang w:val="en-PH"/>
              </w:rPr>
            </w:pPr>
            <w:r w:rsidRPr="004848EF">
              <w:rPr>
                <w:rFonts w:ascii="Arial" w:hAnsi="Arial" w:cs="Arial"/>
                <w:lang w:val="en-PH"/>
              </w:rPr>
              <w:t>P</w:t>
            </w:r>
          </w:p>
        </w:tc>
      </w:tr>
      <w:tr w:rsidR="004848EF" w:rsidRPr="004848EF" w14:paraId="3F7F98C4" w14:textId="77777777" w:rsidTr="004848EF">
        <w:trPr>
          <w:trHeight w:hRule="exact" w:val="402"/>
        </w:trPr>
        <w:tc>
          <w:tcPr>
            <w:tcW w:w="5000" w:type="pct"/>
            <w:gridSpan w:val="4"/>
            <w:tcBorders>
              <w:top w:val="single" w:sz="4" w:space="0" w:color="auto"/>
              <w:bottom w:val="single" w:sz="4" w:space="0" w:color="auto"/>
            </w:tcBorders>
          </w:tcPr>
          <w:p w14:paraId="0ABAE8BF" w14:textId="77777777" w:rsidR="004848EF" w:rsidRPr="004848EF" w:rsidRDefault="004848EF" w:rsidP="004848EF">
            <w:pPr>
              <w:pStyle w:val="Body"/>
              <w:rPr>
                <w:rFonts w:ascii="Arial" w:hAnsi="Arial" w:cs="Arial"/>
                <w:lang w:val="en-PH"/>
              </w:rPr>
            </w:pPr>
            <w:r w:rsidRPr="004848EF">
              <w:rPr>
                <w:rFonts w:ascii="Arial" w:hAnsi="Arial" w:cs="Arial"/>
                <w:lang w:val="en-PH"/>
              </w:rPr>
              <w:t>AGE</w:t>
            </w:r>
          </w:p>
        </w:tc>
      </w:tr>
      <w:tr w:rsidR="004848EF" w:rsidRPr="004848EF" w14:paraId="503F4E39" w14:textId="77777777" w:rsidTr="004848EF">
        <w:trPr>
          <w:trHeight w:hRule="exact" w:val="284"/>
        </w:trPr>
        <w:tc>
          <w:tcPr>
            <w:tcW w:w="1339" w:type="pct"/>
            <w:tcBorders>
              <w:top w:val="single" w:sz="4" w:space="0" w:color="auto"/>
              <w:bottom w:val="single" w:sz="4" w:space="0" w:color="auto"/>
            </w:tcBorders>
          </w:tcPr>
          <w:p w14:paraId="1D146595" w14:textId="77777777" w:rsidR="004848EF" w:rsidRPr="004848EF" w:rsidRDefault="004848EF" w:rsidP="004848EF">
            <w:pPr>
              <w:pStyle w:val="Body"/>
              <w:rPr>
                <w:rFonts w:ascii="Arial" w:hAnsi="Arial" w:cs="Arial"/>
                <w:lang w:val="en-PH"/>
              </w:rPr>
            </w:pPr>
          </w:p>
        </w:tc>
        <w:tc>
          <w:tcPr>
            <w:tcW w:w="1883" w:type="pct"/>
            <w:tcBorders>
              <w:top w:val="single" w:sz="4" w:space="0" w:color="auto"/>
              <w:bottom w:val="single" w:sz="4" w:space="0" w:color="auto"/>
            </w:tcBorders>
          </w:tcPr>
          <w:p w14:paraId="3289B875" w14:textId="77777777" w:rsidR="004848EF" w:rsidRPr="004848EF" w:rsidRDefault="004848EF" w:rsidP="004848EF">
            <w:pPr>
              <w:pStyle w:val="Body"/>
              <w:rPr>
                <w:rFonts w:ascii="Arial" w:hAnsi="Arial" w:cs="Arial"/>
                <w:lang w:val="en-PH"/>
              </w:rPr>
            </w:pPr>
            <w:r w:rsidRPr="004848EF">
              <w:rPr>
                <w:rFonts w:ascii="Arial" w:hAnsi="Arial" w:cs="Arial"/>
                <w:lang w:val="en-PH"/>
              </w:rPr>
              <w:t>17- 18</w:t>
            </w:r>
          </w:p>
        </w:tc>
        <w:tc>
          <w:tcPr>
            <w:tcW w:w="734" w:type="pct"/>
            <w:tcBorders>
              <w:top w:val="single" w:sz="4" w:space="0" w:color="auto"/>
              <w:bottom w:val="single" w:sz="4" w:space="0" w:color="auto"/>
            </w:tcBorders>
            <w:vAlign w:val="center"/>
          </w:tcPr>
          <w:p w14:paraId="6876243D" w14:textId="77777777" w:rsidR="004848EF" w:rsidRPr="004848EF" w:rsidRDefault="004848EF" w:rsidP="004848EF">
            <w:pPr>
              <w:pStyle w:val="Body"/>
              <w:rPr>
                <w:rFonts w:ascii="Arial" w:hAnsi="Arial" w:cs="Arial"/>
                <w:lang w:val="en-PH"/>
              </w:rPr>
            </w:pPr>
            <w:r w:rsidRPr="004848EF">
              <w:rPr>
                <w:rFonts w:ascii="Arial" w:hAnsi="Arial" w:cs="Arial"/>
                <w:lang w:val="en-PH"/>
              </w:rPr>
              <w:t>11</w:t>
            </w:r>
          </w:p>
        </w:tc>
        <w:tc>
          <w:tcPr>
            <w:tcW w:w="1044" w:type="pct"/>
            <w:tcBorders>
              <w:top w:val="single" w:sz="4" w:space="0" w:color="auto"/>
              <w:bottom w:val="single" w:sz="4" w:space="0" w:color="auto"/>
            </w:tcBorders>
            <w:vAlign w:val="center"/>
          </w:tcPr>
          <w:p w14:paraId="175919CB" w14:textId="77777777" w:rsidR="004848EF" w:rsidRPr="004848EF" w:rsidRDefault="004848EF" w:rsidP="004848EF">
            <w:pPr>
              <w:pStyle w:val="Body"/>
              <w:rPr>
                <w:rFonts w:ascii="Arial" w:hAnsi="Arial" w:cs="Arial"/>
                <w:lang w:val="en-PH"/>
              </w:rPr>
            </w:pPr>
            <w:r w:rsidRPr="004848EF">
              <w:rPr>
                <w:rFonts w:ascii="Arial" w:hAnsi="Arial" w:cs="Arial"/>
                <w:lang w:val="en-PH"/>
              </w:rPr>
              <w:t>73.33</w:t>
            </w:r>
          </w:p>
        </w:tc>
      </w:tr>
      <w:tr w:rsidR="004848EF" w:rsidRPr="004848EF" w14:paraId="2C93DA76" w14:textId="77777777" w:rsidTr="004848EF">
        <w:trPr>
          <w:trHeight w:hRule="exact" w:val="301"/>
        </w:trPr>
        <w:tc>
          <w:tcPr>
            <w:tcW w:w="1339" w:type="pct"/>
            <w:tcBorders>
              <w:top w:val="single" w:sz="4" w:space="0" w:color="auto"/>
              <w:bottom w:val="single" w:sz="4" w:space="0" w:color="auto"/>
            </w:tcBorders>
          </w:tcPr>
          <w:p w14:paraId="27A8B381" w14:textId="77777777" w:rsidR="004848EF" w:rsidRPr="004848EF" w:rsidRDefault="004848EF" w:rsidP="004848EF">
            <w:pPr>
              <w:pStyle w:val="Body"/>
              <w:rPr>
                <w:rFonts w:ascii="Arial" w:hAnsi="Arial" w:cs="Arial"/>
                <w:lang w:val="en-PH"/>
              </w:rPr>
            </w:pPr>
          </w:p>
        </w:tc>
        <w:tc>
          <w:tcPr>
            <w:tcW w:w="1883" w:type="pct"/>
            <w:tcBorders>
              <w:top w:val="single" w:sz="4" w:space="0" w:color="auto"/>
              <w:bottom w:val="single" w:sz="4" w:space="0" w:color="auto"/>
            </w:tcBorders>
          </w:tcPr>
          <w:p w14:paraId="0DFB2AB1" w14:textId="77777777" w:rsidR="004848EF" w:rsidRPr="004848EF" w:rsidRDefault="004848EF" w:rsidP="004848EF">
            <w:pPr>
              <w:pStyle w:val="Body"/>
              <w:rPr>
                <w:rFonts w:ascii="Arial" w:hAnsi="Arial" w:cs="Arial"/>
                <w:lang w:val="en-PH"/>
              </w:rPr>
            </w:pPr>
            <w:r w:rsidRPr="004848EF">
              <w:rPr>
                <w:rFonts w:ascii="Arial" w:hAnsi="Arial" w:cs="Arial"/>
                <w:lang w:val="en-PH"/>
              </w:rPr>
              <w:t>19-20</w:t>
            </w:r>
          </w:p>
        </w:tc>
        <w:tc>
          <w:tcPr>
            <w:tcW w:w="734" w:type="pct"/>
            <w:tcBorders>
              <w:top w:val="single" w:sz="4" w:space="0" w:color="auto"/>
              <w:bottom w:val="single" w:sz="4" w:space="0" w:color="auto"/>
            </w:tcBorders>
            <w:vAlign w:val="center"/>
          </w:tcPr>
          <w:p w14:paraId="77A17F12" w14:textId="77777777" w:rsidR="004848EF" w:rsidRPr="004848EF" w:rsidRDefault="004848EF" w:rsidP="004848EF">
            <w:pPr>
              <w:pStyle w:val="Body"/>
              <w:rPr>
                <w:rFonts w:ascii="Arial" w:hAnsi="Arial" w:cs="Arial"/>
                <w:lang w:val="en-PH"/>
              </w:rPr>
            </w:pPr>
            <w:r w:rsidRPr="004848EF">
              <w:rPr>
                <w:rFonts w:ascii="Arial" w:hAnsi="Arial" w:cs="Arial"/>
                <w:lang w:val="en-PH"/>
              </w:rPr>
              <w:t>4</w:t>
            </w:r>
          </w:p>
        </w:tc>
        <w:tc>
          <w:tcPr>
            <w:tcW w:w="1044" w:type="pct"/>
            <w:tcBorders>
              <w:top w:val="single" w:sz="4" w:space="0" w:color="auto"/>
              <w:bottom w:val="single" w:sz="4" w:space="0" w:color="auto"/>
            </w:tcBorders>
            <w:vAlign w:val="center"/>
          </w:tcPr>
          <w:p w14:paraId="0994CD47" w14:textId="77777777" w:rsidR="004848EF" w:rsidRPr="004848EF" w:rsidRDefault="004848EF" w:rsidP="004848EF">
            <w:pPr>
              <w:pStyle w:val="Body"/>
              <w:rPr>
                <w:rFonts w:ascii="Arial" w:hAnsi="Arial" w:cs="Arial"/>
                <w:lang w:val="en-PH"/>
              </w:rPr>
            </w:pPr>
            <w:r w:rsidRPr="004848EF">
              <w:rPr>
                <w:rFonts w:ascii="Arial" w:hAnsi="Arial" w:cs="Arial"/>
                <w:lang w:val="en-PH"/>
              </w:rPr>
              <w:t>26.67</w:t>
            </w:r>
          </w:p>
        </w:tc>
      </w:tr>
      <w:tr w:rsidR="004848EF" w:rsidRPr="004848EF" w14:paraId="4889452E" w14:textId="77777777" w:rsidTr="004848EF">
        <w:trPr>
          <w:trHeight w:hRule="exact" w:val="419"/>
        </w:trPr>
        <w:tc>
          <w:tcPr>
            <w:tcW w:w="5000" w:type="pct"/>
            <w:gridSpan w:val="4"/>
            <w:tcBorders>
              <w:top w:val="single" w:sz="4" w:space="0" w:color="auto"/>
              <w:bottom w:val="single" w:sz="4" w:space="0" w:color="auto"/>
            </w:tcBorders>
          </w:tcPr>
          <w:p w14:paraId="3F30A726" w14:textId="77777777" w:rsidR="004848EF" w:rsidRPr="004848EF" w:rsidRDefault="004848EF" w:rsidP="004848EF">
            <w:pPr>
              <w:pStyle w:val="Body"/>
              <w:rPr>
                <w:rFonts w:ascii="Arial" w:hAnsi="Arial" w:cs="Arial"/>
                <w:lang w:val="en-PH"/>
              </w:rPr>
            </w:pPr>
            <w:r w:rsidRPr="004848EF">
              <w:rPr>
                <w:rFonts w:ascii="Arial" w:hAnsi="Arial" w:cs="Arial"/>
                <w:lang w:val="en-PH"/>
              </w:rPr>
              <w:t>CULTURAL AND LANGUAGE BACKGROUND</w:t>
            </w:r>
          </w:p>
        </w:tc>
      </w:tr>
      <w:tr w:rsidR="004848EF" w:rsidRPr="004848EF" w14:paraId="2F296B9C" w14:textId="77777777" w:rsidTr="004848EF">
        <w:trPr>
          <w:trHeight w:hRule="exact" w:val="283"/>
        </w:trPr>
        <w:tc>
          <w:tcPr>
            <w:tcW w:w="1339" w:type="pct"/>
            <w:tcBorders>
              <w:top w:val="single" w:sz="4" w:space="0" w:color="auto"/>
              <w:bottom w:val="single" w:sz="4" w:space="0" w:color="auto"/>
            </w:tcBorders>
          </w:tcPr>
          <w:p w14:paraId="552FD086" w14:textId="77777777" w:rsidR="004848EF" w:rsidRPr="004848EF" w:rsidRDefault="004848EF" w:rsidP="004848EF">
            <w:pPr>
              <w:pStyle w:val="Body"/>
              <w:rPr>
                <w:rFonts w:ascii="Arial" w:hAnsi="Arial" w:cs="Arial"/>
                <w:lang w:val="en-PH"/>
              </w:rPr>
            </w:pPr>
          </w:p>
        </w:tc>
        <w:tc>
          <w:tcPr>
            <w:tcW w:w="1883" w:type="pct"/>
            <w:tcBorders>
              <w:top w:val="single" w:sz="4" w:space="0" w:color="auto"/>
              <w:bottom w:val="single" w:sz="4" w:space="0" w:color="auto"/>
            </w:tcBorders>
          </w:tcPr>
          <w:p w14:paraId="265F8437" w14:textId="77777777" w:rsidR="004848EF" w:rsidRPr="004848EF" w:rsidRDefault="004848EF" w:rsidP="004848EF">
            <w:pPr>
              <w:pStyle w:val="Body"/>
              <w:rPr>
                <w:rFonts w:ascii="Arial" w:hAnsi="Arial" w:cs="Arial"/>
                <w:lang w:val="en-PH"/>
              </w:rPr>
            </w:pPr>
            <w:r w:rsidRPr="004848EF">
              <w:rPr>
                <w:rFonts w:ascii="Arial" w:hAnsi="Arial" w:cs="Arial"/>
                <w:lang w:val="en-PH"/>
              </w:rPr>
              <w:t xml:space="preserve">a. </w:t>
            </w:r>
            <w:proofErr w:type="spellStart"/>
            <w:r w:rsidRPr="004848EF">
              <w:rPr>
                <w:rFonts w:ascii="Arial" w:hAnsi="Arial" w:cs="Arial"/>
                <w:lang w:val="en-PH"/>
              </w:rPr>
              <w:t>Linimos</w:t>
            </w:r>
            <w:proofErr w:type="spellEnd"/>
            <w:r w:rsidRPr="004848EF">
              <w:rPr>
                <w:rFonts w:ascii="Arial" w:hAnsi="Arial" w:cs="Arial"/>
                <w:lang w:val="en-PH"/>
              </w:rPr>
              <w:t xml:space="preserve">                 </w:t>
            </w:r>
          </w:p>
        </w:tc>
        <w:tc>
          <w:tcPr>
            <w:tcW w:w="734" w:type="pct"/>
            <w:tcBorders>
              <w:top w:val="single" w:sz="4" w:space="0" w:color="auto"/>
              <w:bottom w:val="single" w:sz="4" w:space="0" w:color="auto"/>
            </w:tcBorders>
            <w:vAlign w:val="center"/>
          </w:tcPr>
          <w:p w14:paraId="395FFC29" w14:textId="77777777" w:rsidR="004848EF" w:rsidRPr="004848EF" w:rsidRDefault="004848EF" w:rsidP="004848EF">
            <w:pPr>
              <w:pStyle w:val="Body"/>
              <w:rPr>
                <w:rFonts w:ascii="Arial" w:hAnsi="Arial" w:cs="Arial"/>
                <w:lang w:val="en-PH"/>
              </w:rPr>
            </w:pPr>
            <w:r w:rsidRPr="004848EF">
              <w:rPr>
                <w:rFonts w:ascii="Arial" w:hAnsi="Arial" w:cs="Arial"/>
                <w:lang w:val="en-PH"/>
              </w:rPr>
              <w:t>15</w:t>
            </w:r>
          </w:p>
        </w:tc>
        <w:tc>
          <w:tcPr>
            <w:tcW w:w="1044" w:type="pct"/>
            <w:tcBorders>
              <w:top w:val="single" w:sz="4" w:space="0" w:color="auto"/>
              <w:bottom w:val="single" w:sz="4" w:space="0" w:color="auto"/>
            </w:tcBorders>
            <w:vAlign w:val="center"/>
          </w:tcPr>
          <w:p w14:paraId="325983FE" w14:textId="77777777" w:rsidR="004848EF" w:rsidRPr="004848EF" w:rsidRDefault="004848EF" w:rsidP="004848EF">
            <w:pPr>
              <w:pStyle w:val="Body"/>
              <w:rPr>
                <w:rFonts w:ascii="Arial" w:hAnsi="Arial" w:cs="Arial"/>
                <w:lang w:val="en-PH"/>
              </w:rPr>
            </w:pPr>
            <w:r w:rsidRPr="004848EF">
              <w:rPr>
                <w:rFonts w:ascii="Arial" w:hAnsi="Arial" w:cs="Arial"/>
                <w:lang w:val="en-PH"/>
              </w:rPr>
              <w:t>100.00</w:t>
            </w:r>
          </w:p>
        </w:tc>
      </w:tr>
      <w:tr w:rsidR="004848EF" w:rsidRPr="004848EF" w14:paraId="466F9F06" w14:textId="77777777" w:rsidTr="004848EF">
        <w:trPr>
          <w:trHeight w:hRule="exact" w:val="371"/>
        </w:trPr>
        <w:tc>
          <w:tcPr>
            <w:tcW w:w="5000" w:type="pct"/>
            <w:gridSpan w:val="4"/>
            <w:tcBorders>
              <w:top w:val="single" w:sz="4" w:space="0" w:color="auto"/>
              <w:bottom w:val="single" w:sz="4" w:space="0" w:color="auto"/>
            </w:tcBorders>
          </w:tcPr>
          <w:p w14:paraId="63120C52" w14:textId="77777777" w:rsidR="004848EF" w:rsidRPr="004848EF" w:rsidRDefault="004848EF" w:rsidP="004848EF">
            <w:pPr>
              <w:pStyle w:val="Body"/>
              <w:rPr>
                <w:rFonts w:ascii="Arial" w:hAnsi="Arial" w:cs="Arial"/>
                <w:lang w:val="en-PH"/>
              </w:rPr>
            </w:pPr>
            <w:r w:rsidRPr="004848EF">
              <w:rPr>
                <w:rFonts w:ascii="Arial" w:hAnsi="Arial" w:cs="Arial"/>
                <w:lang w:val="en-PH"/>
              </w:rPr>
              <w:t>FATHER</w:t>
            </w:r>
          </w:p>
        </w:tc>
      </w:tr>
      <w:tr w:rsidR="004848EF" w:rsidRPr="004848EF" w14:paraId="141CDB02" w14:textId="77777777" w:rsidTr="004848EF">
        <w:trPr>
          <w:trHeight w:hRule="exact" w:val="284"/>
        </w:trPr>
        <w:tc>
          <w:tcPr>
            <w:tcW w:w="1339" w:type="pct"/>
            <w:vMerge w:val="restart"/>
            <w:tcBorders>
              <w:top w:val="single" w:sz="4" w:space="0" w:color="auto"/>
              <w:bottom w:val="nil"/>
            </w:tcBorders>
          </w:tcPr>
          <w:p w14:paraId="43347EF9" w14:textId="77777777" w:rsidR="004848EF" w:rsidRPr="004848EF" w:rsidRDefault="004848EF" w:rsidP="004848EF">
            <w:pPr>
              <w:pStyle w:val="Body"/>
              <w:rPr>
                <w:rFonts w:ascii="Arial" w:hAnsi="Arial" w:cs="Arial"/>
                <w:lang w:val="en-PH"/>
              </w:rPr>
            </w:pPr>
          </w:p>
        </w:tc>
        <w:tc>
          <w:tcPr>
            <w:tcW w:w="1883" w:type="pct"/>
            <w:tcBorders>
              <w:top w:val="single" w:sz="4" w:space="0" w:color="auto"/>
              <w:bottom w:val="nil"/>
            </w:tcBorders>
          </w:tcPr>
          <w:p w14:paraId="4FF7EF79" w14:textId="77777777" w:rsidR="004848EF" w:rsidRPr="004848EF" w:rsidRDefault="004848EF" w:rsidP="004848EF">
            <w:pPr>
              <w:pStyle w:val="Body"/>
              <w:rPr>
                <w:rFonts w:ascii="Arial" w:hAnsi="Arial" w:cs="Arial"/>
                <w:lang w:val="en-PH"/>
              </w:rPr>
            </w:pPr>
            <w:r w:rsidRPr="004848EF">
              <w:rPr>
                <w:rFonts w:ascii="Arial" w:hAnsi="Arial" w:cs="Arial"/>
                <w:lang w:val="en-PH"/>
              </w:rPr>
              <w:softHyphen/>
            </w:r>
            <w:r w:rsidRPr="004848EF">
              <w:rPr>
                <w:rFonts w:ascii="Arial" w:hAnsi="Arial" w:cs="Arial"/>
                <w:lang w:val="en-PH"/>
              </w:rPr>
              <w:softHyphen/>
              <w:t>Elementary Level</w:t>
            </w:r>
          </w:p>
        </w:tc>
        <w:tc>
          <w:tcPr>
            <w:tcW w:w="734" w:type="pct"/>
            <w:tcBorders>
              <w:top w:val="single" w:sz="4" w:space="0" w:color="auto"/>
              <w:bottom w:val="nil"/>
            </w:tcBorders>
            <w:vAlign w:val="center"/>
          </w:tcPr>
          <w:p w14:paraId="75AAC6B3" w14:textId="77777777" w:rsidR="004848EF" w:rsidRPr="004848EF" w:rsidRDefault="004848EF" w:rsidP="004848EF">
            <w:pPr>
              <w:pStyle w:val="Body"/>
              <w:rPr>
                <w:rFonts w:ascii="Arial" w:hAnsi="Arial" w:cs="Arial"/>
                <w:lang w:val="en-PH"/>
              </w:rPr>
            </w:pPr>
            <w:r w:rsidRPr="004848EF">
              <w:rPr>
                <w:rFonts w:ascii="Arial" w:hAnsi="Arial" w:cs="Arial"/>
                <w:lang w:val="en-PH"/>
              </w:rPr>
              <w:t>2</w:t>
            </w:r>
          </w:p>
        </w:tc>
        <w:tc>
          <w:tcPr>
            <w:tcW w:w="1044" w:type="pct"/>
            <w:tcBorders>
              <w:top w:val="single" w:sz="4" w:space="0" w:color="auto"/>
              <w:bottom w:val="nil"/>
            </w:tcBorders>
            <w:vAlign w:val="center"/>
          </w:tcPr>
          <w:p w14:paraId="3395C7C0" w14:textId="77777777" w:rsidR="004848EF" w:rsidRPr="004848EF" w:rsidRDefault="004848EF" w:rsidP="004848EF">
            <w:pPr>
              <w:pStyle w:val="Body"/>
              <w:rPr>
                <w:rFonts w:ascii="Arial" w:hAnsi="Arial" w:cs="Arial"/>
                <w:lang w:val="en-PH"/>
              </w:rPr>
            </w:pPr>
            <w:r w:rsidRPr="004848EF">
              <w:rPr>
                <w:rFonts w:ascii="Arial" w:hAnsi="Arial" w:cs="Arial"/>
                <w:lang w:val="en-PH"/>
              </w:rPr>
              <w:t>13.33</w:t>
            </w:r>
          </w:p>
        </w:tc>
      </w:tr>
      <w:tr w:rsidR="004848EF" w:rsidRPr="004848EF" w14:paraId="2EF3AA42" w14:textId="77777777" w:rsidTr="004848EF">
        <w:trPr>
          <w:trHeight w:hRule="exact" w:val="284"/>
        </w:trPr>
        <w:tc>
          <w:tcPr>
            <w:tcW w:w="1339" w:type="pct"/>
            <w:vMerge/>
            <w:tcBorders>
              <w:top w:val="nil"/>
              <w:bottom w:val="nil"/>
            </w:tcBorders>
          </w:tcPr>
          <w:p w14:paraId="320A8F6E" w14:textId="77777777" w:rsidR="004848EF" w:rsidRPr="004848EF" w:rsidRDefault="004848EF" w:rsidP="004848EF">
            <w:pPr>
              <w:pStyle w:val="Body"/>
              <w:rPr>
                <w:rFonts w:ascii="Arial" w:hAnsi="Arial" w:cs="Arial"/>
                <w:lang w:val="en-PH"/>
              </w:rPr>
            </w:pPr>
          </w:p>
        </w:tc>
        <w:tc>
          <w:tcPr>
            <w:tcW w:w="1883" w:type="pct"/>
            <w:tcBorders>
              <w:top w:val="nil"/>
              <w:bottom w:val="nil"/>
            </w:tcBorders>
          </w:tcPr>
          <w:p w14:paraId="5A2D2F2C" w14:textId="77777777" w:rsidR="004848EF" w:rsidRPr="004848EF" w:rsidRDefault="004848EF" w:rsidP="004848EF">
            <w:pPr>
              <w:pStyle w:val="Body"/>
              <w:rPr>
                <w:rFonts w:ascii="Arial" w:hAnsi="Arial" w:cs="Arial"/>
                <w:lang w:val="en-PH"/>
              </w:rPr>
            </w:pPr>
            <w:r w:rsidRPr="004848EF">
              <w:rPr>
                <w:rFonts w:ascii="Arial" w:hAnsi="Arial" w:cs="Arial"/>
                <w:lang w:val="en-PH"/>
              </w:rPr>
              <w:t>Elementary Graduate</w:t>
            </w:r>
          </w:p>
        </w:tc>
        <w:tc>
          <w:tcPr>
            <w:tcW w:w="734" w:type="pct"/>
            <w:tcBorders>
              <w:top w:val="nil"/>
              <w:bottom w:val="nil"/>
            </w:tcBorders>
            <w:vAlign w:val="center"/>
          </w:tcPr>
          <w:p w14:paraId="12779E61" w14:textId="77777777" w:rsidR="004848EF" w:rsidRPr="004848EF" w:rsidRDefault="004848EF" w:rsidP="004848EF">
            <w:pPr>
              <w:pStyle w:val="Body"/>
              <w:rPr>
                <w:rFonts w:ascii="Arial" w:hAnsi="Arial" w:cs="Arial"/>
                <w:lang w:val="en-PH"/>
              </w:rPr>
            </w:pPr>
            <w:r w:rsidRPr="004848EF">
              <w:rPr>
                <w:rFonts w:ascii="Arial" w:hAnsi="Arial" w:cs="Arial"/>
                <w:lang w:val="en-PH"/>
              </w:rPr>
              <w:t>2</w:t>
            </w:r>
          </w:p>
        </w:tc>
        <w:tc>
          <w:tcPr>
            <w:tcW w:w="1044" w:type="pct"/>
            <w:tcBorders>
              <w:top w:val="nil"/>
              <w:bottom w:val="nil"/>
            </w:tcBorders>
            <w:vAlign w:val="center"/>
          </w:tcPr>
          <w:p w14:paraId="1203983A" w14:textId="77777777" w:rsidR="004848EF" w:rsidRPr="004848EF" w:rsidRDefault="004848EF" w:rsidP="004848EF">
            <w:pPr>
              <w:pStyle w:val="Body"/>
              <w:rPr>
                <w:rFonts w:ascii="Arial" w:hAnsi="Arial" w:cs="Arial"/>
                <w:lang w:val="en-PH"/>
              </w:rPr>
            </w:pPr>
            <w:r w:rsidRPr="004848EF">
              <w:rPr>
                <w:rFonts w:ascii="Arial" w:hAnsi="Arial" w:cs="Arial"/>
                <w:lang w:val="en-PH"/>
              </w:rPr>
              <w:t>13.33</w:t>
            </w:r>
          </w:p>
        </w:tc>
      </w:tr>
      <w:tr w:rsidR="004848EF" w:rsidRPr="004848EF" w14:paraId="701C867D" w14:textId="77777777" w:rsidTr="004848EF">
        <w:trPr>
          <w:trHeight w:hRule="exact" w:val="284"/>
        </w:trPr>
        <w:tc>
          <w:tcPr>
            <w:tcW w:w="1339" w:type="pct"/>
            <w:vMerge/>
            <w:tcBorders>
              <w:top w:val="nil"/>
              <w:bottom w:val="nil"/>
            </w:tcBorders>
          </w:tcPr>
          <w:p w14:paraId="54D780DD" w14:textId="77777777" w:rsidR="004848EF" w:rsidRPr="004848EF" w:rsidRDefault="004848EF" w:rsidP="004848EF">
            <w:pPr>
              <w:pStyle w:val="Body"/>
              <w:rPr>
                <w:rFonts w:ascii="Arial" w:hAnsi="Arial" w:cs="Arial"/>
                <w:lang w:val="en-PH"/>
              </w:rPr>
            </w:pPr>
          </w:p>
        </w:tc>
        <w:tc>
          <w:tcPr>
            <w:tcW w:w="1883" w:type="pct"/>
            <w:tcBorders>
              <w:top w:val="nil"/>
              <w:bottom w:val="nil"/>
            </w:tcBorders>
          </w:tcPr>
          <w:p w14:paraId="6A7784C9" w14:textId="77777777" w:rsidR="004848EF" w:rsidRPr="004848EF" w:rsidRDefault="004848EF" w:rsidP="004848EF">
            <w:pPr>
              <w:pStyle w:val="Body"/>
              <w:rPr>
                <w:rFonts w:ascii="Arial" w:hAnsi="Arial" w:cs="Arial"/>
                <w:lang w:val="en-PH"/>
              </w:rPr>
            </w:pPr>
            <w:r w:rsidRPr="004848EF">
              <w:rPr>
                <w:rFonts w:ascii="Arial" w:hAnsi="Arial" w:cs="Arial"/>
                <w:lang w:val="en-PH"/>
              </w:rPr>
              <w:t>High School Level</w:t>
            </w:r>
          </w:p>
        </w:tc>
        <w:tc>
          <w:tcPr>
            <w:tcW w:w="734" w:type="pct"/>
            <w:tcBorders>
              <w:top w:val="nil"/>
              <w:bottom w:val="nil"/>
            </w:tcBorders>
            <w:vAlign w:val="center"/>
          </w:tcPr>
          <w:p w14:paraId="062DFF72" w14:textId="77777777" w:rsidR="004848EF" w:rsidRPr="004848EF" w:rsidRDefault="004848EF" w:rsidP="004848EF">
            <w:pPr>
              <w:pStyle w:val="Body"/>
              <w:rPr>
                <w:rFonts w:ascii="Arial" w:hAnsi="Arial" w:cs="Arial"/>
                <w:lang w:val="en-PH"/>
              </w:rPr>
            </w:pPr>
            <w:r w:rsidRPr="004848EF">
              <w:rPr>
                <w:rFonts w:ascii="Arial" w:hAnsi="Arial" w:cs="Arial"/>
                <w:lang w:val="en-PH"/>
              </w:rPr>
              <w:t>2</w:t>
            </w:r>
          </w:p>
        </w:tc>
        <w:tc>
          <w:tcPr>
            <w:tcW w:w="1044" w:type="pct"/>
            <w:tcBorders>
              <w:top w:val="nil"/>
              <w:bottom w:val="nil"/>
            </w:tcBorders>
            <w:vAlign w:val="center"/>
          </w:tcPr>
          <w:p w14:paraId="2DAD6586" w14:textId="77777777" w:rsidR="004848EF" w:rsidRPr="004848EF" w:rsidRDefault="004848EF" w:rsidP="004848EF">
            <w:pPr>
              <w:pStyle w:val="Body"/>
              <w:rPr>
                <w:rFonts w:ascii="Arial" w:hAnsi="Arial" w:cs="Arial"/>
                <w:lang w:val="en-PH"/>
              </w:rPr>
            </w:pPr>
            <w:r w:rsidRPr="004848EF">
              <w:rPr>
                <w:rFonts w:ascii="Arial" w:hAnsi="Arial" w:cs="Arial"/>
                <w:lang w:val="en-PH"/>
              </w:rPr>
              <w:t>13.33</w:t>
            </w:r>
          </w:p>
        </w:tc>
      </w:tr>
      <w:tr w:rsidR="004848EF" w:rsidRPr="004848EF" w14:paraId="68FC0461" w14:textId="77777777" w:rsidTr="004848EF">
        <w:trPr>
          <w:trHeight w:hRule="exact" w:val="284"/>
        </w:trPr>
        <w:tc>
          <w:tcPr>
            <w:tcW w:w="1339" w:type="pct"/>
            <w:vMerge/>
            <w:tcBorders>
              <w:top w:val="nil"/>
              <w:bottom w:val="nil"/>
            </w:tcBorders>
          </w:tcPr>
          <w:p w14:paraId="11606E30" w14:textId="77777777" w:rsidR="004848EF" w:rsidRPr="004848EF" w:rsidRDefault="004848EF" w:rsidP="004848EF">
            <w:pPr>
              <w:pStyle w:val="Body"/>
              <w:rPr>
                <w:rFonts w:ascii="Arial" w:hAnsi="Arial" w:cs="Arial"/>
                <w:lang w:val="en-PH"/>
              </w:rPr>
            </w:pPr>
          </w:p>
        </w:tc>
        <w:tc>
          <w:tcPr>
            <w:tcW w:w="1883" w:type="pct"/>
            <w:tcBorders>
              <w:top w:val="nil"/>
              <w:bottom w:val="nil"/>
            </w:tcBorders>
          </w:tcPr>
          <w:p w14:paraId="3B6FD5D2" w14:textId="77777777" w:rsidR="004848EF" w:rsidRPr="004848EF" w:rsidRDefault="004848EF" w:rsidP="004848EF">
            <w:pPr>
              <w:pStyle w:val="Body"/>
              <w:rPr>
                <w:rFonts w:ascii="Arial" w:hAnsi="Arial" w:cs="Arial"/>
                <w:lang w:val="en-PH"/>
              </w:rPr>
            </w:pPr>
            <w:r w:rsidRPr="004848EF">
              <w:rPr>
                <w:rFonts w:ascii="Arial" w:hAnsi="Arial" w:cs="Arial"/>
                <w:lang w:val="en-PH"/>
              </w:rPr>
              <w:softHyphen/>
            </w:r>
            <w:r w:rsidRPr="004848EF">
              <w:rPr>
                <w:rFonts w:ascii="Arial" w:hAnsi="Arial" w:cs="Arial"/>
                <w:lang w:val="en-PH"/>
              </w:rPr>
              <w:softHyphen/>
            </w:r>
            <w:r w:rsidRPr="004848EF">
              <w:rPr>
                <w:rFonts w:ascii="Arial" w:hAnsi="Arial" w:cs="Arial"/>
                <w:lang w:val="en-PH"/>
              </w:rPr>
              <w:softHyphen/>
              <w:t xml:space="preserve">High School Graduate  </w:t>
            </w:r>
          </w:p>
        </w:tc>
        <w:tc>
          <w:tcPr>
            <w:tcW w:w="734" w:type="pct"/>
            <w:tcBorders>
              <w:top w:val="nil"/>
              <w:bottom w:val="nil"/>
            </w:tcBorders>
            <w:vAlign w:val="center"/>
          </w:tcPr>
          <w:p w14:paraId="4C6A9D79" w14:textId="77777777" w:rsidR="004848EF" w:rsidRPr="004848EF" w:rsidRDefault="004848EF" w:rsidP="004848EF">
            <w:pPr>
              <w:pStyle w:val="Body"/>
              <w:rPr>
                <w:rFonts w:ascii="Arial" w:hAnsi="Arial" w:cs="Arial"/>
                <w:lang w:val="en-PH"/>
              </w:rPr>
            </w:pPr>
            <w:r w:rsidRPr="004848EF">
              <w:rPr>
                <w:rFonts w:ascii="Arial" w:hAnsi="Arial" w:cs="Arial"/>
                <w:lang w:val="en-PH"/>
              </w:rPr>
              <w:t>5</w:t>
            </w:r>
          </w:p>
        </w:tc>
        <w:tc>
          <w:tcPr>
            <w:tcW w:w="1044" w:type="pct"/>
            <w:tcBorders>
              <w:top w:val="nil"/>
              <w:bottom w:val="nil"/>
            </w:tcBorders>
            <w:vAlign w:val="center"/>
          </w:tcPr>
          <w:p w14:paraId="31281009" w14:textId="77777777" w:rsidR="004848EF" w:rsidRPr="004848EF" w:rsidRDefault="004848EF" w:rsidP="004848EF">
            <w:pPr>
              <w:pStyle w:val="Body"/>
              <w:rPr>
                <w:rFonts w:ascii="Arial" w:hAnsi="Arial" w:cs="Arial"/>
                <w:lang w:val="en-PH"/>
              </w:rPr>
            </w:pPr>
            <w:r w:rsidRPr="004848EF">
              <w:rPr>
                <w:rFonts w:ascii="Arial" w:hAnsi="Arial" w:cs="Arial"/>
                <w:lang w:val="en-PH"/>
              </w:rPr>
              <w:t>33.33</w:t>
            </w:r>
          </w:p>
        </w:tc>
      </w:tr>
      <w:tr w:rsidR="004848EF" w:rsidRPr="004848EF" w14:paraId="28C5EE57" w14:textId="77777777" w:rsidTr="004848EF">
        <w:trPr>
          <w:trHeight w:hRule="exact" w:val="284"/>
        </w:trPr>
        <w:tc>
          <w:tcPr>
            <w:tcW w:w="1339" w:type="pct"/>
            <w:vMerge/>
            <w:tcBorders>
              <w:top w:val="nil"/>
              <w:bottom w:val="nil"/>
            </w:tcBorders>
          </w:tcPr>
          <w:p w14:paraId="2740F8A6" w14:textId="77777777" w:rsidR="004848EF" w:rsidRPr="004848EF" w:rsidRDefault="004848EF" w:rsidP="004848EF">
            <w:pPr>
              <w:pStyle w:val="Body"/>
              <w:rPr>
                <w:rFonts w:ascii="Arial" w:hAnsi="Arial" w:cs="Arial"/>
                <w:lang w:val="en-PH"/>
              </w:rPr>
            </w:pPr>
          </w:p>
        </w:tc>
        <w:tc>
          <w:tcPr>
            <w:tcW w:w="1883" w:type="pct"/>
            <w:tcBorders>
              <w:top w:val="nil"/>
              <w:bottom w:val="nil"/>
            </w:tcBorders>
          </w:tcPr>
          <w:p w14:paraId="028FB201" w14:textId="77777777" w:rsidR="004848EF" w:rsidRPr="004848EF" w:rsidRDefault="004848EF" w:rsidP="004848EF">
            <w:pPr>
              <w:pStyle w:val="Body"/>
              <w:rPr>
                <w:rFonts w:ascii="Arial" w:hAnsi="Arial" w:cs="Arial"/>
                <w:lang w:val="en-PH"/>
              </w:rPr>
            </w:pPr>
            <w:r w:rsidRPr="004848EF">
              <w:rPr>
                <w:rFonts w:ascii="Arial" w:hAnsi="Arial" w:cs="Arial"/>
                <w:lang w:val="en-PH"/>
              </w:rPr>
              <w:softHyphen/>
            </w:r>
            <w:r w:rsidRPr="004848EF">
              <w:rPr>
                <w:rFonts w:ascii="Arial" w:hAnsi="Arial" w:cs="Arial"/>
                <w:lang w:val="en-PH"/>
              </w:rPr>
              <w:softHyphen/>
            </w:r>
            <w:r w:rsidRPr="004848EF">
              <w:rPr>
                <w:rFonts w:ascii="Arial" w:hAnsi="Arial" w:cs="Arial"/>
                <w:lang w:val="en-PH"/>
              </w:rPr>
              <w:softHyphen/>
              <w:t>College Level</w:t>
            </w:r>
          </w:p>
        </w:tc>
        <w:tc>
          <w:tcPr>
            <w:tcW w:w="734" w:type="pct"/>
            <w:tcBorders>
              <w:top w:val="nil"/>
              <w:bottom w:val="nil"/>
            </w:tcBorders>
            <w:vAlign w:val="center"/>
          </w:tcPr>
          <w:p w14:paraId="5DAC7E98" w14:textId="77777777" w:rsidR="004848EF" w:rsidRPr="004848EF" w:rsidRDefault="004848EF" w:rsidP="004848EF">
            <w:pPr>
              <w:pStyle w:val="Body"/>
              <w:rPr>
                <w:rFonts w:ascii="Arial" w:hAnsi="Arial" w:cs="Arial"/>
                <w:lang w:val="en-PH"/>
              </w:rPr>
            </w:pPr>
            <w:r w:rsidRPr="004848EF">
              <w:rPr>
                <w:rFonts w:ascii="Arial" w:hAnsi="Arial" w:cs="Arial"/>
                <w:lang w:val="en-PH"/>
              </w:rPr>
              <w:t>2</w:t>
            </w:r>
          </w:p>
        </w:tc>
        <w:tc>
          <w:tcPr>
            <w:tcW w:w="1044" w:type="pct"/>
            <w:tcBorders>
              <w:top w:val="nil"/>
              <w:bottom w:val="nil"/>
            </w:tcBorders>
            <w:vAlign w:val="center"/>
          </w:tcPr>
          <w:p w14:paraId="3D8169D5" w14:textId="77777777" w:rsidR="004848EF" w:rsidRPr="004848EF" w:rsidRDefault="004848EF" w:rsidP="004848EF">
            <w:pPr>
              <w:pStyle w:val="Body"/>
              <w:rPr>
                <w:rFonts w:ascii="Arial" w:hAnsi="Arial" w:cs="Arial"/>
                <w:lang w:val="en-PH"/>
              </w:rPr>
            </w:pPr>
            <w:r w:rsidRPr="004848EF">
              <w:rPr>
                <w:rFonts w:ascii="Arial" w:hAnsi="Arial" w:cs="Arial"/>
                <w:lang w:val="en-PH"/>
              </w:rPr>
              <w:t>13.33</w:t>
            </w:r>
          </w:p>
        </w:tc>
      </w:tr>
      <w:tr w:rsidR="004848EF" w:rsidRPr="004848EF" w14:paraId="6C9F5856" w14:textId="77777777" w:rsidTr="004848EF">
        <w:trPr>
          <w:trHeight w:hRule="exact" w:val="331"/>
        </w:trPr>
        <w:tc>
          <w:tcPr>
            <w:tcW w:w="1339" w:type="pct"/>
            <w:vMerge/>
            <w:tcBorders>
              <w:top w:val="nil"/>
              <w:bottom w:val="single" w:sz="4" w:space="0" w:color="auto"/>
            </w:tcBorders>
          </w:tcPr>
          <w:p w14:paraId="4C5550E7" w14:textId="77777777" w:rsidR="004848EF" w:rsidRPr="004848EF" w:rsidRDefault="004848EF" w:rsidP="004848EF">
            <w:pPr>
              <w:pStyle w:val="Body"/>
              <w:rPr>
                <w:rFonts w:ascii="Arial" w:hAnsi="Arial" w:cs="Arial"/>
                <w:lang w:val="en-PH"/>
              </w:rPr>
            </w:pPr>
          </w:p>
        </w:tc>
        <w:tc>
          <w:tcPr>
            <w:tcW w:w="1883" w:type="pct"/>
            <w:tcBorders>
              <w:top w:val="nil"/>
              <w:bottom w:val="single" w:sz="4" w:space="0" w:color="auto"/>
            </w:tcBorders>
          </w:tcPr>
          <w:p w14:paraId="000D8AD5" w14:textId="77777777" w:rsidR="004848EF" w:rsidRPr="004848EF" w:rsidRDefault="004848EF" w:rsidP="004848EF">
            <w:pPr>
              <w:pStyle w:val="Body"/>
              <w:rPr>
                <w:rFonts w:ascii="Arial" w:hAnsi="Arial" w:cs="Arial"/>
                <w:lang w:val="en-PH"/>
              </w:rPr>
            </w:pPr>
            <w:r w:rsidRPr="004848EF">
              <w:rPr>
                <w:rFonts w:ascii="Arial" w:hAnsi="Arial" w:cs="Arial"/>
                <w:lang w:val="en-PH"/>
              </w:rPr>
              <w:softHyphen/>
            </w:r>
            <w:r w:rsidRPr="004848EF">
              <w:rPr>
                <w:rFonts w:ascii="Arial" w:hAnsi="Arial" w:cs="Arial"/>
                <w:lang w:val="en-PH"/>
              </w:rPr>
              <w:softHyphen/>
            </w:r>
            <w:r w:rsidRPr="004848EF">
              <w:rPr>
                <w:rFonts w:ascii="Arial" w:hAnsi="Arial" w:cs="Arial"/>
                <w:lang w:val="en-PH"/>
              </w:rPr>
              <w:softHyphen/>
              <w:t>College Graduate</w:t>
            </w:r>
          </w:p>
        </w:tc>
        <w:tc>
          <w:tcPr>
            <w:tcW w:w="734" w:type="pct"/>
            <w:tcBorders>
              <w:top w:val="nil"/>
              <w:bottom w:val="single" w:sz="4" w:space="0" w:color="auto"/>
            </w:tcBorders>
            <w:vAlign w:val="center"/>
          </w:tcPr>
          <w:p w14:paraId="2293C9D9" w14:textId="77777777" w:rsidR="004848EF" w:rsidRPr="004848EF" w:rsidRDefault="004848EF" w:rsidP="004848EF">
            <w:pPr>
              <w:pStyle w:val="Body"/>
              <w:rPr>
                <w:rFonts w:ascii="Arial" w:hAnsi="Arial" w:cs="Arial"/>
                <w:lang w:val="en-PH"/>
              </w:rPr>
            </w:pPr>
            <w:r w:rsidRPr="004848EF">
              <w:rPr>
                <w:rFonts w:ascii="Arial" w:hAnsi="Arial" w:cs="Arial"/>
                <w:lang w:val="en-PH"/>
              </w:rPr>
              <w:t>2</w:t>
            </w:r>
          </w:p>
        </w:tc>
        <w:tc>
          <w:tcPr>
            <w:tcW w:w="1044" w:type="pct"/>
            <w:tcBorders>
              <w:top w:val="nil"/>
              <w:bottom w:val="single" w:sz="4" w:space="0" w:color="auto"/>
            </w:tcBorders>
            <w:vAlign w:val="center"/>
          </w:tcPr>
          <w:p w14:paraId="1AB353B7" w14:textId="77777777" w:rsidR="004848EF" w:rsidRPr="004848EF" w:rsidRDefault="004848EF" w:rsidP="004848EF">
            <w:pPr>
              <w:pStyle w:val="Body"/>
              <w:rPr>
                <w:rFonts w:ascii="Arial" w:hAnsi="Arial" w:cs="Arial"/>
                <w:lang w:val="en-PH"/>
              </w:rPr>
            </w:pPr>
            <w:r w:rsidRPr="004848EF">
              <w:rPr>
                <w:rFonts w:ascii="Arial" w:hAnsi="Arial" w:cs="Arial"/>
                <w:lang w:val="en-PH"/>
              </w:rPr>
              <w:t>13.33</w:t>
            </w:r>
          </w:p>
        </w:tc>
      </w:tr>
      <w:tr w:rsidR="004848EF" w:rsidRPr="004848EF" w14:paraId="5FE11B05" w14:textId="77777777" w:rsidTr="004848EF">
        <w:trPr>
          <w:trHeight w:hRule="exact" w:val="303"/>
        </w:trPr>
        <w:tc>
          <w:tcPr>
            <w:tcW w:w="5000" w:type="pct"/>
            <w:gridSpan w:val="4"/>
            <w:tcBorders>
              <w:top w:val="single" w:sz="4" w:space="0" w:color="auto"/>
              <w:bottom w:val="single" w:sz="4" w:space="0" w:color="auto"/>
            </w:tcBorders>
          </w:tcPr>
          <w:p w14:paraId="380CD8AC" w14:textId="77777777" w:rsidR="004848EF" w:rsidRPr="004848EF" w:rsidRDefault="004848EF" w:rsidP="004848EF">
            <w:pPr>
              <w:pStyle w:val="Body"/>
              <w:rPr>
                <w:rFonts w:ascii="Arial" w:hAnsi="Arial" w:cs="Arial"/>
                <w:lang w:val="en-PH"/>
              </w:rPr>
            </w:pPr>
            <w:r w:rsidRPr="004848EF">
              <w:rPr>
                <w:rFonts w:ascii="Arial" w:hAnsi="Arial" w:cs="Arial"/>
                <w:lang w:val="en-PH"/>
              </w:rPr>
              <w:t xml:space="preserve">MOTHER </w:t>
            </w:r>
          </w:p>
        </w:tc>
      </w:tr>
      <w:tr w:rsidR="004848EF" w:rsidRPr="004848EF" w14:paraId="3867D68D" w14:textId="77777777" w:rsidTr="004848EF">
        <w:trPr>
          <w:trHeight w:hRule="exact" w:val="284"/>
        </w:trPr>
        <w:tc>
          <w:tcPr>
            <w:tcW w:w="1339" w:type="pct"/>
            <w:vMerge w:val="restart"/>
            <w:tcBorders>
              <w:top w:val="single" w:sz="4" w:space="0" w:color="auto"/>
            </w:tcBorders>
          </w:tcPr>
          <w:p w14:paraId="59D6752B" w14:textId="77777777" w:rsidR="004848EF" w:rsidRPr="004848EF" w:rsidRDefault="004848EF" w:rsidP="004848EF">
            <w:pPr>
              <w:pStyle w:val="Body"/>
              <w:rPr>
                <w:rFonts w:ascii="Arial" w:hAnsi="Arial" w:cs="Arial"/>
                <w:lang w:val="en-PH"/>
              </w:rPr>
            </w:pPr>
          </w:p>
        </w:tc>
        <w:tc>
          <w:tcPr>
            <w:tcW w:w="1883" w:type="pct"/>
            <w:tcBorders>
              <w:top w:val="single" w:sz="4" w:space="0" w:color="auto"/>
              <w:bottom w:val="nil"/>
            </w:tcBorders>
          </w:tcPr>
          <w:p w14:paraId="1359D11C" w14:textId="77777777" w:rsidR="004848EF" w:rsidRPr="004848EF" w:rsidRDefault="004848EF" w:rsidP="004848EF">
            <w:pPr>
              <w:pStyle w:val="Body"/>
              <w:rPr>
                <w:rFonts w:ascii="Arial" w:hAnsi="Arial" w:cs="Arial"/>
                <w:lang w:val="en-PH"/>
              </w:rPr>
            </w:pPr>
            <w:r w:rsidRPr="004848EF">
              <w:rPr>
                <w:rFonts w:ascii="Arial" w:hAnsi="Arial" w:cs="Arial"/>
                <w:lang w:val="en-PH"/>
              </w:rPr>
              <w:t>Elementary Level</w:t>
            </w:r>
          </w:p>
        </w:tc>
        <w:tc>
          <w:tcPr>
            <w:tcW w:w="734" w:type="pct"/>
            <w:tcBorders>
              <w:top w:val="single" w:sz="4" w:space="0" w:color="auto"/>
              <w:bottom w:val="nil"/>
            </w:tcBorders>
            <w:vAlign w:val="center"/>
          </w:tcPr>
          <w:p w14:paraId="77B7D485" w14:textId="77777777" w:rsidR="004848EF" w:rsidRPr="004848EF" w:rsidRDefault="004848EF" w:rsidP="004848EF">
            <w:pPr>
              <w:pStyle w:val="Body"/>
              <w:rPr>
                <w:rFonts w:ascii="Arial" w:hAnsi="Arial" w:cs="Arial"/>
                <w:lang w:val="en-PH"/>
              </w:rPr>
            </w:pPr>
          </w:p>
        </w:tc>
        <w:tc>
          <w:tcPr>
            <w:tcW w:w="1044" w:type="pct"/>
            <w:tcBorders>
              <w:top w:val="single" w:sz="4" w:space="0" w:color="auto"/>
              <w:bottom w:val="nil"/>
            </w:tcBorders>
            <w:vAlign w:val="center"/>
          </w:tcPr>
          <w:p w14:paraId="6260D8BE" w14:textId="77777777" w:rsidR="004848EF" w:rsidRPr="004848EF" w:rsidRDefault="004848EF" w:rsidP="004848EF">
            <w:pPr>
              <w:pStyle w:val="Body"/>
              <w:rPr>
                <w:rFonts w:ascii="Arial" w:hAnsi="Arial" w:cs="Arial"/>
                <w:lang w:val="en-PH"/>
              </w:rPr>
            </w:pPr>
          </w:p>
        </w:tc>
      </w:tr>
      <w:tr w:rsidR="004848EF" w:rsidRPr="004848EF" w14:paraId="6F664D4D" w14:textId="77777777" w:rsidTr="004848EF">
        <w:trPr>
          <w:trHeight w:hRule="exact" w:val="284"/>
        </w:trPr>
        <w:tc>
          <w:tcPr>
            <w:tcW w:w="1339" w:type="pct"/>
            <w:vMerge/>
          </w:tcPr>
          <w:p w14:paraId="029EBDC9" w14:textId="77777777" w:rsidR="004848EF" w:rsidRPr="004848EF" w:rsidRDefault="004848EF" w:rsidP="004848EF">
            <w:pPr>
              <w:pStyle w:val="Body"/>
              <w:rPr>
                <w:rFonts w:ascii="Arial" w:hAnsi="Arial" w:cs="Arial"/>
                <w:lang w:val="en-PH"/>
              </w:rPr>
            </w:pPr>
          </w:p>
        </w:tc>
        <w:tc>
          <w:tcPr>
            <w:tcW w:w="1883" w:type="pct"/>
            <w:tcBorders>
              <w:top w:val="nil"/>
              <w:bottom w:val="nil"/>
            </w:tcBorders>
          </w:tcPr>
          <w:p w14:paraId="1EE38457" w14:textId="77777777" w:rsidR="004848EF" w:rsidRPr="004848EF" w:rsidRDefault="004848EF" w:rsidP="004848EF">
            <w:pPr>
              <w:pStyle w:val="Body"/>
              <w:rPr>
                <w:rFonts w:ascii="Arial" w:hAnsi="Arial" w:cs="Arial"/>
                <w:lang w:val="en-PH"/>
              </w:rPr>
            </w:pPr>
            <w:r w:rsidRPr="004848EF">
              <w:rPr>
                <w:rFonts w:ascii="Arial" w:hAnsi="Arial" w:cs="Arial"/>
                <w:lang w:val="en-PH"/>
              </w:rPr>
              <w:t>Elementary Graduate</w:t>
            </w:r>
          </w:p>
        </w:tc>
        <w:tc>
          <w:tcPr>
            <w:tcW w:w="734" w:type="pct"/>
            <w:tcBorders>
              <w:top w:val="nil"/>
              <w:bottom w:val="nil"/>
            </w:tcBorders>
            <w:vAlign w:val="center"/>
          </w:tcPr>
          <w:p w14:paraId="1958B98E" w14:textId="77777777" w:rsidR="004848EF" w:rsidRPr="004848EF" w:rsidRDefault="004848EF" w:rsidP="004848EF">
            <w:pPr>
              <w:pStyle w:val="Body"/>
              <w:rPr>
                <w:rFonts w:ascii="Arial" w:hAnsi="Arial" w:cs="Arial"/>
                <w:lang w:val="en-PH"/>
              </w:rPr>
            </w:pPr>
            <w:r w:rsidRPr="004848EF">
              <w:rPr>
                <w:rFonts w:ascii="Arial" w:hAnsi="Arial" w:cs="Arial"/>
                <w:lang w:val="en-PH"/>
              </w:rPr>
              <w:t>1</w:t>
            </w:r>
          </w:p>
        </w:tc>
        <w:tc>
          <w:tcPr>
            <w:tcW w:w="1044" w:type="pct"/>
            <w:tcBorders>
              <w:top w:val="nil"/>
              <w:bottom w:val="nil"/>
            </w:tcBorders>
            <w:vAlign w:val="center"/>
          </w:tcPr>
          <w:p w14:paraId="7BD32CB0" w14:textId="77777777" w:rsidR="004848EF" w:rsidRPr="004848EF" w:rsidRDefault="004848EF" w:rsidP="004848EF">
            <w:pPr>
              <w:pStyle w:val="Body"/>
              <w:rPr>
                <w:rFonts w:ascii="Arial" w:hAnsi="Arial" w:cs="Arial"/>
                <w:lang w:val="en-PH"/>
              </w:rPr>
            </w:pPr>
            <w:r w:rsidRPr="004848EF">
              <w:rPr>
                <w:rFonts w:ascii="Arial" w:hAnsi="Arial" w:cs="Arial"/>
                <w:lang w:val="en-PH"/>
              </w:rPr>
              <w:t>6.67</w:t>
            </w:r>
          </w:p>
        </w:tc>
      </w:tr>
      <w:tr w:rsidR="004848EF" w:rsidRPr="004848EF" w14:paraId="7A171A80" w14:textId="77777777" w:rsidTr="004848EF">
        <w:trPr>
          <w:trHeight w:hRule="exact" w:val="300"/>
        </w:trPr>
        <w:tc>
          <w:tcPr>
            <w:tcW w:w="1339" w:type="pct"/>
            <w:vMerge/>
          </w:tcPr>
          <w:p w14:paraId="42B07C6E" w14:textId="77777777" w:rsidR="004848EF" w:rsidRPr="004848EF" w:rsidRDefault="004848EF" w:rsidP="004848EF">
            <w:pPr>
              <w:pStyle w:val="Body"/>
              <w:rPr>
                <w:rFonts w:ascii="Arial" w:hAnsi="Arial" w:cs="Arial"/>
                <w:lang w:val="en-PH"/>
              </w:rPr>
            </w:pPr>
          </w:p>
        </w:tc>
        <w:tc>
          <w:tcPr>
            <w:tcW w:w="1883" w:type="pct"/>
            <w:tcBorders>
              <w:top w:val="single" w:sz="4" w:space="0" w:color="auto"/>
              <w:bottom w:val="single" w:sz="4" w:space="0" w:color="auto"/>
            </w:tcBorders>
          </w:tcPr>
          <w:p w14:paraId="07A272BD" w14:textId="77777777" w:rsidR="004848EF" w:rsidRPr="004848EF" w:rsidRDefault="004848EF" w:rsidP="004848EF">
            <w:pPr>
              <w:pStyle w:val="Body"/>
              <w:rPr>
                <w:rFonts w:ascii="Arial" w:hAnsi="Arial" w:cs="Arial"/>
                <w:lang w:val="en-PH"/>
              </w:rPr>
            </w:pPr>
            <w:r w:rsidRPr="004848EF">
              <w:rPr>
                <w:rFonts w:ascii="Arial" w:hAnsi="Arial" w:cs="Arial"/>
                <w:lang w:val="en-PH"/>
              </w:rPr>
              <w:t>High School Level</w:t>
            </w:r>
          </w:p>
        </w:tc>
        <w:tc>
          <w:tcPr>
            <w:tcW w:w="734" w:type="pct"/>
            <w:tcBorders>
              <w:top w:val="single" w:sz="4" w:space="0" w:color="auto"/>
              <w:bottom w:val="single" w:sz="4" w:space="0" w:color="auto"/>
            </w:tcBorders>
            <w:vAlign w:val="center"/>
          </w:tcPr>
          <w:p w14:paraId="7E1869EA" w14:textId="77777777" w:rsidR="004848EF" w:rsidRPr="004848EF" w:rsidRDefault="004848EF" w:rsidP="004848EF">
            <w:pPr>
              <w:pStyle w:val="Body"/>
              <w:rPr>
                <w:rFonts w:ascii="Arial" w:hAnsi="Arial" w:cs="Arial"/>
                <w:lang w:val="en-PH"/>
              </w:rPr>
            </w:pPr>
            <w:r w:rsidRPr="004848EF">
              <w:rPr>
                <w:rFonts w:ascii="Arial" w:hAnsi="Arial" w:cs="Arial"/>
                <w:lang w:val="en-PH"/>
              </w:rPr>
              <w:t>4</w:t>
            </w:r>
          </w:p>
        </w:tc>
        <w:tc>
          <w:tcPr>
            <w:tcW w:w="1044" w:type="pct"/>
            <w:tcBorders>
              <w:top w:val="single" w:sz="4" w:space="0" w:color="auto"/>
              <w:bottom w:val="single" w:sz="4" w:space="0" w:color="auto"/>
            </w:tcBorders>
            <w:vAlign w:val="center"/>
          </w:tcPr>
          <w:p w14:paraId="09A42B20" w14:textId="77777777" w:rsidR="004848EF" w:rsidRPr="004848EF" w:rsidRDefault="004848EF" w:rsidP="004848EF">
            <w:pPr>
              <w:pStyle w:val="Body"/>
              <w:rPr>
                <w:rFonts w:ascii="Arial" w:hAnsi="Arial" w:cs="Arial"/>
                <w:lang w:val="en-PH"/>
              </w:rPr>
            </w:pPr>
            <w:r w:rsidRPr="004848EF">
              <w:rPr>
                <w:rFonts w:ascii="Arial" w:hAnsi="Arial" w:cs="Arial"/>
                <w:lang w:val="en-PH"/>
              </w:rPr>
              <w:t>26.67</w:t>
            </w:r>
          </w:p>
        </w:tc>
      </w:tr>
      <w:tr w:rsidR="004848EF" w:rsidRPr="004848EF" w14:paraId="084CB633" w14:textId="77777777" w:rsidTr="004848EF">
        <w:tc>
          <w:tcPr>
            <w:tcW w:w="1339" w:type="pct"/>
            <w:vMerge/>
            <w:tcBorders>
              <w:bottom w:val="single" w:sz="4" w:space="0" w:color="auto"/>
            </w:tcBorders>
          </w:tcPr>
          <w:p w14:paraId="3B0C002D" w14:textId="77777777" w:rsidR="004848EF" w:rsidRPr="004848EF" w:rsidRDefault="004848EF" w:rsidP="004848EF">
            <w:pPr>
              <w:pStyle w:val="Body"/>
              <w:rPr>
                <w:rFonts w:ascii="Arial" w:hAnsi="Arial" w:cs="Arial"/>
                <w:lang w:val="en-PH"/>
              </w:rPr>
            </w:pPr>
          </w:p>
        </w:tc>
        <w:tc>
          <w:tcPr>
            <w:tcW w:w="1883" w:type="pct"/>
            <w:tcBorders>
              <w:top w:val="single" w:sz="4" w:space="0" w:color="auto"/>
              <w:bottom w:val="single" w:sz="4" w:space="0" w:color="auto"/>
            </w:tcBorders>
          </w:tcPr>
          <w:p w14:paraId="566FA4A0" w14:textId="21AB646F" w:rsidR="004848EF" w:rsidRPr="004848EF" w:rsidRDefault="004848EF" w:rsidP="004848EF">
            <w:pPr>
              <w:pStyle w:val="Body"/>
              <w:rPr>
                <w:rFonts w:ascii="Arial" w:hAnsi="Arial" w:cs="Arial"/>
                <w:lang w:val="en-PH"/>
              </w:rPr>
            </w:pPr>
            <w:r w:rsidRPr="004848EF">
              <w:rPr>
                <w:rFonts w:ascii="Arial" w:hAnsi="Arial" w:cs="Arial"/>
                <w:lang w:val="en-PH"/>
              </w:rPr>
              <w:softHyphen/>
            </w:r>
            <w:r w:rsidRPr="004848EF">
              <w:rPr>
                <w:rFonts w:ascii="Arial" w:hAnsi="Arial" w:cs="Arial"/>
                <w:lang w:val="en-PH"/>
              </w:rPr>
              <w:softHyphen/>
            </w:r>
            <w:r w:rsidRPr="004848EF">
              <w:rPr>
                <w:rFonts w:ascii="Arial" w:hAnsi="Arial" w:cs="Arial"/>
                <w:lang w:val="en-PH"/>
              </w:rPr>
              <w:softHyphen/>
              <w:t xml:space="preserve">High School Graduate  </w:t>
            </w:r>
          </w:p>
        </w:tc>
        <w:tc>
          <w:tcPr>
            <w:tcW w:w="734" w:type="pct"/>
            <w:tcBorders>
              <w:top w:val="single" w:sz="4" w:space="0" w:color="auto"/>
              <w:bottom w:val="single" w:sz="4" w:space="0" w:color="auto"/>
            </w:tcBorders>
            <w:vAlign w:val="center"/>
          </w:tcPr>
          <w:p w14:paraId="140B65A5" w14:textId="4738B603" w:rsidR="004848EF" w:rsidRPr="004848EF" w:rsidRDefault="004848EF" w:rsidP="004848EF">
            <w:pPr>
              <w:pStyle w:val="Body"/>
              <w:rPr>
                <w:rFonts w:ascii="Arial" w:hAnsi="Arial" w:cs="Arial"/>
                <w:lang w:val="en-PH"/>
              </w:rPr>
            </w:pPr>
            <w:r w:rsidRPr="004848EF">
              <w:rPr>
                <w:rFonts w:ascii="Arial" w:hAnsi="Arial" w:cs="Arial"/>
                <w:lang w:val="en-PH"/>
              </w:rPr>
              <w:t>6</w:t>
            </w:r>
          </w:p>
        </w:tc>
        <w:tc>
          <w:tcPr>
            <w:tcW w:w="1044" w:type="pct"/>
            <w:tcBorders>
              <w:top w:val="single" w:sz="4" w:space="0" w:color="auto"/>
              <w:bottom w:val="single" w:sz="4" w:space="0" w:color="auto"/>
            </w:tcBorders>
            <w:vAlign w:val="center"/>
          </w:tcPr>
          <w:p w14:paraId="1447246A" w14:textId="65AB7A10" w:rsidR="004848EF" w:rsidRPr="004848EF" w:rsidRDefault="004848EF" w:rsidP="004848EF">
            <w:pPr>
              <w:pStyle w:val="Body"/>
              <w:rPr>
                <w:rFonts w:ascii="Arial" w:hAnsi="Arial" w:cs="Arial"/>
                <w:lang w:val="en-PH"/>
              </w:rPr>
            </w:pPr>
            <w:r w:rsidRPr="004848EF">
              <w:rPr>
                <w:rFonts w:ascii="Arial" w:hAnsi="Arial" w:cs="Arial"/>
                <w:lang w:val="en-PH"/>
              </w:rPr>
              <w:t>40.00</w:t>
            </w:r>
          </w:p>
        </w:tc>
      </w:tr>
      <w:tr w:rsidR="006A1532" w:rsidRPr="004848EF" w14:paraId="61F5FFF8" w14:textId="77777777" w:rsidTr="004848EF">
        <w:trPr>
          <w:trHeight w:hRule="exact" w:val="284"/>
        </w:trPr>
        <w:tc>
          <w:tcPr>
            <w:tcW w:w="1339" w:type="pct"/>
            <w:tcBorders>
              <w:top w:val="single" w:sz="4" w:space="0" w:color="auto"/>
              <w:bottom w:val="nil"/>
            </w:tcBorders>
          </w:tcPr>
          <w:p w14:paraId="6360A353" w14:textId="77777777" w:rsidR="004848EF" w:rsidRPr="004848EF" w:rsidRDefault="004848EF" w:rsidP="004848EF">
            <w:pPr>
              <w:pStyle w:val="Body"/>
              <w:rPr>
                <w:rFonts w:ascii="Arial" w:hAnsi="Arial" w:cs="Arial"/>
                <w:lang w:val="en-PH"/>
              </w:rPr>
            </w:pPr>
          </w:p>
        </w:tc>
        <w:tc>
          <w:tcPr>
            <w:tcW w:w="1883" w:type="pct"/>
            <w:tcBorders>
              <w:top w:val="nil"/>
              <w:bottom w:val="nil"/>
            </w:tcBorders>
          </w:tcPr>
          <w:p w14:paraId="0D6686B0" w14:textId="287EC5A8" w:rsidR="004848EF" w:rsidRPr="004848EF" w:rsidRDefault="004848EF" w:rsidP="004848EF">
            <w:pPr>
              <w:pStyle w:val="Body"/>
              <w:rPr>
                <w:rFonts w:ascii="Arial" w:hAnsi="Arial" w:cs="Arial"/>
                <w:lang w:val="en-PH"/>
              </w:rPr>
            </w:pPr>
            <w:r w:rsidRPr="004848EF">
              <w:rPr>
                <w:rFonts w:ascii="Arial" w:hAnsi="Arial" w:cs="Arial"/>
                <w:lang w:val="en-PH"/>
              </w:rPr>
              <w:softHyphen/>
            </w:r>
            <w:r w:rsidRPr="004848EF">
              <w:rPr>
                <w:rFonts w:ascii="Arial" w:hAnsi="Arial" w:cs="Arial"/>
                <w:lang w:val="en-PH"/>
              </w:rPr>
              <w:softHyphen/>
            </w:r>
            <w:r w:rsidRPr="004848EF">
              <w:rPr>
                <w:rFonts w:ascii="Arial" w:hAnsi="Arial" w:cs="Arial"/>
                <w:lang w:val="en-PH"/>
              </w:rPr>
              <w:softHyphen/>
              <w:t>College Level</w:t>
            </w:r>
          </w:p>
        </w:tc>
        <w:tc>
          <w:tcPr>
            <w:tcW w:w="734" w:type="pct"/>
            <w:tcBorders>
              <w:top w:val="nil"/>
              <w:bottom w:val="nil"/>
            </w:tcBorders>
            <w:vAlign w:val="center"/>
          </w:tcPr>
          <w:p w14:paraId="3149D81E" w14:textId="78F92D68" w:rsidR="004848EF" w:rsidRPr="004848EF" w:rsidRDefault="004848EF" w:rsidP="004848EF">
            <w:pPr>
              <w:pStyle w:val="Body"/>
              <w:rPr>
                <w:rFonts w:ascii="Arial" w:hAnsi="Arial" w:cs="Arial"/>
                <w:lang w:val="en-PH"/>
              </w:rPr>
            </w:pPr>
            <w:r w:rsidRPr="004848EF">
              <w:rPr>
                <w:rFonts w:ascii="Arial" w:hAnsi="Arial" w:cs="Arial"/>
                <w:lang w:val="en-PH"/>
              </w:rPr>
              <w:t>4</w:t>
            </w:r>
          </w:p>
        </w:tc>
        <w:tc>
          <w:tcPr>
            <w:tcW w:w="1044" w:type="pct"/>
            <w:tcBorders>
              <w:top w:val="nil"/>
              <w:bottom w:val="nil"/>
            </w:tcBorders>
            <w:vAlign w:val="center"/>
          </w:tcPr>
          <w:p w14:paraId="78F4C9FE" w14:textId="37C3C8F7" w:rsidR="004848EF" w:rsidRPr="004848EF" w:rsidRDefault="004848EF" w:rsidP="004848EF">
            <w:pPr>
              <w:pStyle w:val="Body"/>
              <w:rPr>
                <w:rFonts w:ascii="Arial" w:hAnsi="Arial" w:cs="Arial"/>
                <w:lang w:val="en-PH"/>
              </w:rPr>
            </w:pPr>
            <w:r w:rsidRPr="004848EF">
              <w:rPr>
                <w:rFonts w:ascii="Arial" w:hAnsi="Arial" w:cs="Arial"/>
                <w:lang w:val="en-PH"/>
              </w:rPr>
              <w:t>26.67</w:t>
            </w:r>
          </w:p>
        </w:tc>
      </w:tr>
      <w:tr w:rsidR="004848EF" w:rsidRPr="004848EF" w14:paraId="1931962D" w14:textId="77777777" w:rsidTr="004848EF">
        <w:trPr>
          <w:trHeight w:hRule="exact" w:val="383"/>
        </w:trPr>
        <w:tc>
          <w:tcPr>
            <w:tcW w:w="5000" w:type="pct"/>
            <w:gridSpan w:val="4"/>
            <w:tcBorders>
              <w:top w:val="single" w:sz="4" w:space="0" w:color="auto"/>
              <w:bottom w:val="single" w:sz="4" w:space="0" w:color="auto"/>
            </w:tcBorders>
          </w:tcPr>
          <w:p w14:paraId="126CD4D5" w14:textId="77777777" w:rsidR="004848EF" w:rsidRPr="004848EF" w:rsidRDefault="004848EF" w:rsidP="004848EF">
            <w:pPr>
              <w:pStyle w:val="Body"/>
              <w:rPr>
                <w:rFonts w:ascii="Arial" w:hAnsi="Arial" w:cs="Arial"/>
                <w:lang w:val="en-PH"/>
              </w:rPr>
            </w:pPr>
            <w:r w:rsidRPr="004848EF">
              <w:rPr>
                <w:rFonts w:ascii="Arial" w:hAnsi="Arial" w:cs="Arial"/>
                <w:lang w:val="en-PH"/>
              </w:rPr>
              <w:t>Father’s Occupation</w:t>
            </w:r>
          </w:p>
          <w:p w14:paraId="742DB97B" w14:textId="77777777" w:rsidR="004848EF" w:rsidRPr="004848EF" w:rsidRDefault="004848EF" w:rsidP="004848EF">
            <w:pPr>
              <w:pStyle w:val="Body"/>
              <w:rPr>
                <w:rFonts w:ascii="Arial" w:hAnsi="Arial" w:cs="Arial"/>
                <w:lang w:val="en-PH"/>
              </w:rPr>
            </w:pPr>
          </w:p>
        </w:tc>
      </w:tr>
      <w:tr w:rsidR="004848EF" w:rsidRPr="004848EF" w14:paraId="6ADB8E47" w14:textId="77777777" w:rsidTr="004848EF">
        <w:trPr>
          <w:trHeight w:hRule="exact" w:val="284"/>
        </w:trPr>
        <w:tc>
          <w:tcPr>
            <w:tcW w:w="1339" w:type="pct"/>
            <w:vMerge w:val="restart"/>
            <w:tcBorders>
              <w:top w:val="single" w:sz="4" w:space="0" w:color="auto"/>
              <w:bottom w:val="nil"/>
            </w:tcBorders>
          </w:tcPr>
          <w:p w14:paraId="1E5B04CE" w14:textId="77777777" w:rsidR="004848EF" w:rsidRPr="004848EF" w:rsidRDefault="004848EF" w:rsidP="004848EF">
            <w:pPr>
              <w:pStyle w:val="Body"/>
              <w:rPr>
                <w:rFonts w:ascii="Arial" w:hAnsi="Arial" w:cs="Arial"/>
                <w:lang w:val="en-PH"/>
              </w:rPr>
            </w:pPr>
          </w:p>
        </w:tc>
        <w:tc>
          <w:tcPr>
            <w:tcW w:w="1883" w:type="pct"/>
            <w:tcBorders>
              <w:top w:val="single" w:sz="4" w:space="0" w:color="auto"/>
              <w:bottom w:val="nil"/>
            </w:tcBorders>
          </w:tcPr>
          <w:p w14:paraId="24D41F1D" w14:textId="77777777" w:rsidR="004848EF" w:rsidRPr="004848EF" w:rsidRDefault="004848EF" w:rsidP="004848EF">
            <w:pPr>
              <w:pStyle w:val="Body"/>
              <w:rPr>
                <w:rFonts w:ascii="Arial" w:hAnsi="Arial" w:cs="Arial"/>
                <w:lang w:val="en-PH"/>
              </w:rPr>
            </w:pPr>
            <w:r w:rsidRPr="004848EF">
              <w:rPr>
                <w:rFonts w:ascii="Arial" w:hAnsi="Arial" w:cs="Arial"/>
                <w:lang w:val="en-PH"/>
              </w:rPr>
              <w:t xml:space="preserve">Driver </w:t>
            </w:r>
          </w:p>
        </w:tc>
        <w:tc>
          <w:tcPr>
            <w:tcW w:w="734" w:type="pct"/>
            <w:tcBorders>
              <w:top w:val="single" w:sz="4" w:space="0" w:color="auto"/>
              <w:bottom w:val="nil"/>
            </w:tcBorders>
            <w:vAlign w:val="center"/>
          </w:tcPr>
          <w:p w14:paraId="78BA71ED" w14:textId="77777777" w:rsidR="004848EF" w:rsidRPr="004848EF" w:rsidRDefault="004848EF" w:rsidP="004848EF">
            <w:pPr>
              <w:pStyle w:val="Body"/>
              <w:rPr>
                <w:rFonts w:ascii="Arial" w:hAnsi="Arial" w:cs="Arial"/>
                <w:lang w:val="en-PH"/>
              </w:rPr>
            </w:pPr>
            <w:r w:rsidRPr="004848EF">
              <w:rPr>
                <w:rFonts w:ascii="Arial" w:hAnsi="Arial" w:cs="Arial"/>
                <w:lang w:val="en-PH"/>
              </w:rPr>
              <w:t>4</w:t>
            </w:r>
          </w:p>
        </w:tc>
        <w:tc>
          <w:tcPr>
            <w:tcW w:w="1044" w:type="pct"/>
            <w:tcBorders>
              <w:top w:val="single" w:sz="4" w:space="0" w:color="auto"/>
              <w:bottom w:val="nil"/>
            </w:tcBorders>
            <w:vAlign w:val="center"/>
          </w:tcPr>
          <w:p w14:paraId="23B17B7F" w14:textId="77777777" w:rsidR="004848EF" w:rsidRPr="004848EF" w:rsidRDefault="004848EF" w:rsidP="004848EF">
            <w:pPr>
              <w:pStyle w:val="Body"/>
              <w:rPr>
                <w:rFonts w:ascii="Arial" w:hAnsi="Arial" w:cs="Arial"/>
                <w:lang w:val="en-PH"/>
              </w:rPr>
            </w:pPr>
            <w:r w:rsidRPr="004848EF">
              <w:rPr>
                <w:rFonts w:ascii="Arial" w:hAnsi="Arial" w:cs="Arial"/>
                <w:lang w:val="en-PH"/>
              </w:rPr>
              <w:t>26.67</w:t>
            </w:r>
          </w:p>
        </w:tc>
      </w:tr>
      <w:tr w:rsidR="004848EF" w:rsidRPr="004848EF" w14:paraId="653BFC39" w14:textId="77777777" w:rsidTr="004848EF">
        <w:trPr>
          <w:trHeight w:hRule="exact" w:val="284"/>
        </w:trPr>
        <w:tc>
          <w:tcPr>
            <w:tcW w:w="1339" w:type="pct"/>
            <w:vMerge/>
            <w:tcBorders>
              <w:top w:val="single" w:sz="4" w:space="0" w:color="auto"/>
              <w:bottom w:val="nil"/>
            </w:tcBorders>
          </w:tcPr>
          <w:p w14:paraId="03EE1D27" w14:textId="77777777" w:rsidR="004848EF" w:rsidRPr="004848EF" w:rsidRDefault="004848EF" w:rsidP="004848EF">
            <w:pPr>
              <w:pStyle w:val="Body"/>
              <w:rPr>
                <w:rFonts w:ascii="Arial" w:hAnsi="Arial" w:cs="Arial"/>
                <w:lang w:val="en-PH"/>
              </w:rPr>
            </w:pPr>
          </w:p>
        </w:tc>
        <w:tc>
          <w:tcPr>
            <w:tcW w:w="1883" w:type="pct"/>
            <w:tcBorders>
              <w:top w:val="nil"/>
              <w:bottom w:val="nil"/>
            </w:tcBorders>
          </w:tcPr>
          <w:p w14:paraId="60E10F3F" w14:textId="77777777" w:rsidR="004848EF" w:rsidRPr="004848EF" w:rsidRDefault="004848EF" w:rsidP="004848EF">
            <w:pPr>
              <w:pStyle w:val="Body"/>
              <w:rPr>
                <w:rFonts w:ascii="Arial" w:hAnsi="Arial" w:cs="Arial"/>
                <w:lang w:val="en-PH"/>
              </w:rPr>
            </w:pPr>
            <w:r w:rsidRPr="004848EF">
              <w:rPr>
                <w:rFonts w:ascii="Arial" w:hAnsi="Arial" w:cs="Arial"/>
                <w:lang w:val="en-PH"/>
              </w:rPr>
              <w:t xml:space="preserve">Farmer </w:t>
            </w:r>
          </w:p>
        </w:tc>
        <w:tc>
          <w:tcPr>
            <w:tcW w:w="734" w:type="pct"/>
            <w:tcBorders>
              <w:top w:val="nil"/>
              <w:bottom w:val="nil"/>
            </w:tcBorders>
            <w:vAlign w:val="center"/>
          </w:tcPr>
          <w:p w14:paraId="3512D8ED" w14:textId="77777777" w:rsidR="004848EF" w:rsidRPr="004848EF" w:rsidRDefault="004848EF" w:rsidP="004848EF">
            <w:pPr>
              <w:pStyle w:val="Body"/>
              <w:rPr>
                <w:rFonts w:ascii="Arial" w:hAnsi="Arial" w:cs="Arial"/>
                <w:lang w:val="en-PH"/>
              </w:rPr>
            </w:pPr>
            <w:r w:rsidRPr="004848EF">
              <w:rPr>
                <w:rFonts w:ascii="Arial" w:hAnsi="Arial" w:cs="Arial"/>
                <w:lang w:val="en-PH"/>
              </w:rPr>
              <w:t>11</w:t>
            </w:r>
          </w:p>
        </w:tc>
        <w:tc>
          <w:tcPr>
            <w:tcW w:w="1044" w:type="pct"/>
            <w:tcBorders>
              <w:top w:val="nil"/>
              <w:bottom w:val="nil"/>
            </w:tcBorders>
            <w:vAlign w:val="center"/>
          </w:tcPr>
          <w:p w14:paraId="2F18CB4C" w14:textId="77777777" w:rsidR="004848EF" w:rsidRPr="004848EF" w:rsidRDefault="004848EF" w:rsidP="004848EF">
            <w:pPr>
              <w:pStyle w:val="Body"/>
              <w:rPr>
                <w:rFonts w:ascii="Arial" w:hAnsi="Arial" w:cs="Arial"/>
                <w:lang w:val="en-PH"/>
              </w:rPr>
            </w:pPr>
            <w:r w:rsidRPr="004848EF">
              <w:rPr>
                <w:rFonts w:ascii="Arial" w:hAnsi="Arial" w:cs="Arial"/>
                <w:lang w:val="en-PH"/>
              </w:rPr>
              <w:t>73.33</w:t>
            </w:r>
          </w:p>
        </w:tc>
      </w:tr>
      <w:tr w:rsidR="004848EF" w:rsidRPr="004848EF" w14:paraId="1A77113E" w14:textId="77777777" w:rsidTr="004848EF">
        <w:trPr>
          <w:trHeight w:hRule="exact" w:val="289"/>
        </w:trPr>
        <w:tc>
          <w:tcPr>
            <w:tcW w:w="5000" w:type="pct"/>
            <w:gridSpan w:val="4"/>
            <w:tcBorders>
              <w:top w:val="single" w:sz="4" w:space="0" w:color="auto"/>
              <w:bottom w:val="single" w:sz="4" w:space="0" w:color="auto"/>
            </w:tcBorders>
          </w:tcPr>
          <w:p w14:paraId="4947F9D6" w14:textId="77777777" w:rsidR="004848EF" w:rsidRPr="004848EF" w:rsidRDefault="004848EF" w:rsidP="004848EF">
            <w:pPr>
              <w:pStyle w:val="Body"/>
              <w:rPr>
                <w:rFonts w:ascii="Arial" w:hAnsi="Arial" w:cs="Arial"/>
                <w:lang w:val="en-PH"/>
              </w:rPr>
            </w:pPr>
            <w:r w:rsidRPr="004848EF">
              <w:rPr>
                <w:rFonts w:ascii="Arial" w:hAnsi="Arial" w:cs="Arial"/>
                <w:lang w:val="en-PH"/>
              </w:rPr>
              <w:t>Mother’s Occupation:</w:t>
            </w:r>
          </w:p>
          <w:p w14:paraId="69486C7E" w14:textId="77777777" w:rsidR="004848EF" w:rsidRPr="004848EF" w:rsidRDefault="004848EF" w:rsidP="004848EF">
            <w:pPr>
              <w:pStyle w:val="Body"/>
              <w:rPr>
                <w:rFonts w:ascii="Arial" w:hAnsi="Arial" w:cs="Arial"/>
                <w:lang w:val="en-PH"/>
              </w:rPr>
            </w:pPr>
          </w:p>
        </w:tc>
      </w:tr>
      <w:tr w:rsidR="004848EF" w:rsidRPr="004848EF" w14:paraId="1DA9DF5C" w14:textId="77777777" w:rsidTr="004848EF">
        <w:trPr>
          <w:trHeight w:hRule="exact" w:val="284"/>
        </w:trPr>
        <w:tc>
          <w:tcPr>
            <w:tcW w:w="1339" w:type="pct"/>
            <w:vMerge w:val="restart"/>
            <w:tcBorders>
              <w:top w:val="single" w:sz="4" w:space="0" w:color="auto"/>
              <w:bottom w:val="nil"/>
            </w:tcBorders>
          </w:tcPr>
          <w:p w14:paraId="64DD277A" w14:textId="77777777" w:rsidR="004848EF" w:rsidRPr="004848EF" w:rsidRDefault="004848EF" w:rsidP="004848EF">
            <w:pPr>
              <w:pStyle w:val="Body"/>
              <w:rPr>
                <w:rFonts w:ascii="Arial" w:hAnsi="Arial" w:cs="Arial"/>
                <w:lang w:val="en-PH"/>
              </w:rPr>
            </w:pPr>
          </w:p>
        </w:tc>
        <w:tc>
          <w:tcPr>
            <w:tcW w:w="1883" w:type="pct"/>
            <w:tcBorders>
              <w:top w:val="single" w:sz="4" w:space="0" w:color="auto"/>
              <w:bottom w:val="nil"/>
            </w:tcBorders>
          </w:tcPr>
          <w:p w14:paraId="134056C1" w14:textId="77777777" w:rsidR="004848EF" w:rsidRPr="004848EF" w:rsidRDefault="004848EF" w:rsidP="004848EF">
            <w:pPr>
              <w:pStyle w:val="Body"/>
              <w:rPr>
                <w:rFonts w:ascii="Arial" w:hAnsi="Arial" w:cs="Arial"/>
                <w:lang w:val="en-PH"/>
              </w:rPr>
            </w:pPr>
            <w:r w:rsidRPr="004848EF">
              <w:rPr>
                <w:rFonts w:ascii="Arial" w:hAnsi="Arial" w:cs="Arial"/>
                <w:lang w:val="en-PH"/>
              </w:rPr>
              <w:t>Baby sitter</w:t>
            </w:r>
          </w:p>
        </w:tc>
        <w:tc>
          <w:tcPr>
            <w:tcW w:w="734" w:type="pct"/>
            <w:tcBorders>
              <w:top w:val="single" w:sz="4" w:space="0" w:color="auto"/>
              <w:bottom w:val="nil"/>
            </w:tcBorders>
            <w:vAlign w:val="center"/>
          </w:tcPr>
          <w:p w14:paraId="264CDF04" w14:textId="77777777" w:rsidR="004848EF" w:rsidRPr="004848EF" w:rsidRDefault="004848EF" w:rsidP="004848EF">
            <w:pPr>
              <w:pStyle w:val="Body"/>
              <w:rPr>
                <w:rFonts w:ascii="Arial" w:hAnsi="Arial" w:cs="Arial"/>
                <w:lang w:val="en-PH"/>
              </w:rPr>
            </w:pPr>
            <w:r w:rsidRPr="004848EF">
              <w:rPr>
                <w:rFonts w:ascii="Arial" w:hAnsi="Arial" w:cs="Arial"/>
                <w:lang w:val="en-PH"/>
              </w:rPr>
              <w:t>1</w:t>
            </w:r>
          </w:p>
        </w:tc>
        <w:tc>
          <w:tcPr>
            <w:tcW w:w="1044" w:type="pct"/>
            <w:tcBorders>
              <w:top w:val="single" w:sz="4" w:space="0" w:color="auto"/>
              <w:bottom w:val="nil"/>
            </w:tcBorders>
            <w:vAlign w:val="center"/>
          </w:tcPr>
          <w:p w14:paraId="6E145911" w14:textId="77777777" w:rsidR="004848EF" w:rsidRPr="004848EF" w:rsidRDefault="004848EF" w:rsidP="004848EF">
            <w:pPr>
              <w:pStyle w:val="Body"/>
              <w:rPr>
                <w:rFonts w:ascii="Arial" w:hAnsi="Arial" w:cs="Arial"/>
                <w:lang w:val="en-PH"/>
              </w:rPr>
            </w:pPr>
            <w:r w:rsidRPr="004848EF">
              <w:rPr>
                <w:rFonts w:ascii="Arial" w:hAnsi="Arial" w:cs="Arial"/>
                <w:lang w:val="en-PH"/>
              </w:rPr>
              <w:t>6.67</w:t>
            </w:r>
          </w:p>
        </w:tc>
      </w:tr>
      <w:tr w:rsidR="004848EF" w:rsidRPr="004848EF" w14:paraId="434CA934" w14:textId="77777777" w:rsidTr="004848EF">
        <w:trPr>
          <w:trHeight w:hRule="exact" w:val="284"/>
        </w:trPr>
        <w:tc>
          <w:tcPr>
            <w:tcW w:w="1339" w:type="pct"/>
            <w:vMerge/>
            <w:tcBorders>
              <w:top w:val="nil"/>
              <w:bottom w:val="nil"/>
            </w:tcBorders>
          </w:tcPr>
          <w:p w14:paraId="18EA7B68" w14:textId="77777777" w:rsidR="004848EF" w:rsidRPr="004848EF" w:rsidRDefault="004848EF" w:rsidP="004848EF">
            <w:pPr>
              <w:pStyle w:val="Body"/>
              <w:rPr>
                <w:rFonts w:ascii="Arial" w:hAnsi="Arial" w:cs="Arial"/>
                <w:lang w:val="en-PH"/>
              </w:rPr>
            </w:pPr>
          </w:p>
        </w:tc>
        <w:tc>
          <w:tcPr>
            <w:tcW w:w="1883" w:type="pct"/>
            <w:tcBorders>
              <w:top w:val="nil"/>
              <w:bottom w:val="nil"/>
            </w:tcBorders>
          </w:tcPr>
          <w:p w14:paraId="768CF3FC" w14:textId="77777777" w:rsidR="004848EF" w:rsidRPr="004848EF" w:rsidRDefault="004848EF" w:rsidP="004848EF">
            <w:pPr>
              <w:pStyle w:val="Body"/>
              <w:rPr>
                <w:rFonts w:ascii="Arial" w:hAnsi="Arial" w:cs="Arial"/>
                <w:lang w:val="en-PH"/>
              </w:rPr>
            </w:pPr>
            <w:r w:rsidRPr="004848EF">
              <w:rPr>
                <w:rFonts w:ascii="Arial" w:hAnsi="Arial" w:cs="Arial"/>
                <w:lang w:val="en-PH"/>
              </w:rPr>
              <w:t>Housewife</w:t>
            </w:r>
          </w:p>
        </w:tc>
        <w:tc>
          <w:tcPr>
            <w:tcW w:w="734" w:type="pct"/>
            <w:tcBorders>
              <w:top w:val="nil"/>
              <w:bottom w:val="nil"/>
            </w:tcBorders>
            <w:vAlign w:val="center"/>
          </w:tcPr>
          <w:p w14:paraId="1878F506" w14:textId="77777777" w:rsidR="004848EF" w:rsidRPr="004848EF" w:rsidRDefault="004848EF" w:rsidP="004848EF">
            <w:pPr>
              <w:pStyle w:val="Body"/>
              <w:rPr>
                <w:rFonts w:ascii="Arial" w:hAnsi="Arial" w:cs="Arial"/>
                <w:lang w:val="en-PH"/>
              </w:rPr>
            </w:pPr>
            <w:r w:rsidRPr="004848EF">
              <w:rPr>
                <w:rFonts w:ascii="Arial" w:hAnsi="Arial" w:cs="Arial"/>
                <w:lang w:val="en-PH"/>
              </w:rPr>
              <w:t>13</w:t>
            </w:r>
          </w:p>
        </w:tc>
        <w:tc>
          <w:tcPr>
            <w:tcW w:w="1044" w:type="pct"/>
            <w:tcBorders>
              <w:top w:val="nil"/>
              <w:bottom w:val="nil"/>
            </w:tcBorders>
            <w:vAlign w:val="center"/>
          </w:tcPr>
          <w:p w14:paraId="735C9F00" w14:textId="77777777" w:rsidR="004848EF" w:rsidRPr="004848EF" w:rsidRDefault="004848EF" w:rsidP="004848EF">
            <w:pPr>
              <w:pStyle w:val="Body"/>
              <w:rPr>
                <w:rFonts w:ascii="Arial" w:hAnsi="Arial" w:cs="Arial"/>
                <w:lang w:val="en-PH"/>
              </w:rPr>
            </w:pPr>
            <w:r w:rsidRPr="004848EF">
              <w:rPr>
                <w:rFonts w:ascii="Arial" w:hAnsi="Arial" w:cs="Arial"/>
                <w:lang w:val="en-PH"/>
              </w:rPr>
              <w:t>86.67</w:t>
            </w:r>
          </w:p>
        </w:tc>
      </w:tr>
      <w:tr w:rsidR="004848EF" w:rsidRPr="004848EF" w14:paraId="260EFF8B" w14:textId="77777777" w:rsidTr="004848EF">
        <w:trPr>
          <w:trHeight w:hRule="exact" w:val="315"/>
        </w:trPr>
        <w:tc>
          <w:tcPr>
            <w:tcW w:w="1339" w:type="pct"/>
            <w:vMerge/>
            <w:tcBorders>
              <w:top w:val="nil"/>
              <w:bottom w:val="single" w:sz="4" w:space="0" w:color="auto"/>
            </w:tcBorders>
          </w:tcPr>
          <w:p w14:paraId="6F040070" w14:textId="77777777" w:rsidR="004848EF" w:rsidRPr="004848EF" w:rsidRDefault="004848EF" w:rsidP="004848EF">
            <w:pPr>
              <w:pStyle w:val="Body"/>
              <w:rPr>
                <w:rFonts w:ascii="Arial" w:hAnsi="Arial" w:cs="Arial"/>
                <w:lang w:val="en-PH"/>
              </w:rPr>
            </w:pPr>
          </w:p>
        </w:tc>
        <w:tc>
          <w:tcPr>
            <w:tcW w:w="1883" w:type="pct"/>
            <w:tcBorders>
              <w:top w:val="nil"/>
              <w:bottom w:val="single" w:sz="4" w:space="0" w:color="auto"/>
            </w:tcBorders>
          </w:tcPr>
          <w:p w14:paraId="0791ACA5" w14:textId="77777777" w:rsidR="004848EF" w:rsidRPr="004848EF" w:rsidRDefault="004848EF" w:rsidP="004848EF">
            <w:pPr>
              <w:pStyle w:val="Body"/>
              <w:rPr>
                <w:rFonts w:ascii="Arial" w:hAnsi="Arial" w:cs="Arial"/>
                <w:lang w:val="en-PH"/>
              </w:rPr>
            </w:pPr>
            <w:r w:rsidRPr="004848EF">
              <w:rPr>
                <w:rFonts w:ascii="Arial" w:hAnsi="Arial" w:cs="Arial"/>
                <w:lang w:val="en-PH"/>
              </w:rPr>
              <w:t>Businesswoman</w:t>
            </w:r>
          </w:p>
        </w:tc>
        <w:tc>
          <w:tcPr>
            <w:tcW w:w="734" w:type="pct"/>
            <w:tcBorders>
              <w:top w:val="nil"/>
              <w:bottom w:val="single" w:sz="4" w:space="0" w:color="auto"/>
            </w:tcBorders>
            <w:vAlign w:val="center"/>
          </w:tcPr>
          <w:p w14:paraId="7A98F567" w14:textId="77777777" w:rsidR="004848EF" w:rsidRPr="004848EF" w:rsidRDefault="004848EF" w:rsidP="004848EF">
            <w:pPr>
              <w:pStyle w:val="Body"/>
              <w:rPr>
                <w:rFonts w:ascii="Arial" w:hAnsi="Arial" w:cs="Arial"/>
                <w:lang w:val="en-PH"/>
              </w:rPr>
            </w:pPr>
            <w:r w:rsidRPr="004848EF">
              <w:rPr>
                <w:rFonts w:ascii="Arial" w:hAnsi="Arial" w:cs="Arial"/>
                <w:lang w:val="en-PH"/>
              </w:rPr>
              <w:t>1</w:t>
            </w:r>
          </w:p>
        </w:tc>
        <w:tc>
          <w:tcPr>
            <w:tcW w:w="1044" w:type="pct"/>
            <w:tcBorders>
              <w:top w:val="nil"/>
              <w:bottom w:val="single" w:sz="4" w:space="0" w:color="auto"/>
            </w:tcBorders>
            <w:vAlign w:val="center"/>
          </w:tcPr>
          <w:p w14:paraId="590B6AD9" w14:textId="77777777" w:rsidR="004848EF" w:rsidRPr="004848EF" w:rsidRDefault="004848EF" w:rsidP="004848EF">
            <w:pPr>
              <w:pStyle w:val="Body"/>
              <w:rPr>
                <w:rFonts w:ascii="Arial" w:hAnsi="Arial" w:cs="Arial"/>
                <w:lang w:val="en-PH"/>
              </w:rPr>
            </w:pPr>
            <w:r w:rsidRPr="004848EF">
              <w:rPr>
                <w:rFonts w:ascii="Arial" w:hAnsi="Arial" w:cs="Arial"/>
                <w:lang w:val="en-PH"/>
              </w:rPr>
              <w:t>6.67</w:t>
            </w:r>
          </w:p>
        </w:tc>
      </w:tr>
      <w:tr w:rsidR="004848EF" w:rsidRPr="004848EF" w14:paraId="29085AE0" w14:textId="77777777" w:rsidTr="004848EF">
        <w:trPr>
          <w:trHeight w:hRule="exact" w:val="469"/>
        </w:trPr>
        <w:tc>
          <w:tcPr>
            <w:tcW w:w="5000" w:type="pct"/>
            <w:gridSpan w:val="4"/>
            <w:tcBorders>
              <w:top w:val="single" w:sz="4" w:space="0" w:color="auto"/>
              <w:bottom w:val="single" w:sz="4" w:space="0" w:color="auto"/>
            </w:tcBorders>
          </w:tcPr>
          <w:p w14:paraId="286E42E0" w14:textId="77777777" w:rsidR="004848EF" w:rsidRPr="004848EF" w:rsidRDefault="004848EF" w:rsidP="004848EF">
            <w:pPr>
              <w:pStyle w:val="Body"/>
              <w:rPr>
                <w:rFonts w:ascii="Arial" w:hAnsi="Arial" w:cs="Arial"/>
                <w:lang w:val="en-PH"/>
              </w:rPr>
            </w:pPr>
            <w:r w:rsidRPr="004848EF">
              <w:rPr>
                <w:rFonts w:ascii="Arial" w:hAnsi="Arial" w:cs="Arial"/>
                <w:lang w:val="en-PH"/>
              </w:rPr>
              <w:t xml:space="preserve">Parents Annual Income:  </w:t>
            </w:r>
          </w:p>
        </w:tc>
      </w:tr>
      <w:tr w:rsidR="004848EF" w:rsidRPr="004848EF" w14:paraId="312FA66C" w14:textId="77777777" w:rsidTr="004848EF">
        <w:trPr>
          <w:trHeight w:hRule="exact" w:val="284"/>
        </w:trPr>
        <w:tc>
          <w:tcPr>
            <w:tcW w:w="1339" w:type="pct"/>
            <w:vMerge w:val="restart"/>
            <w:tcBorders>
              <w:top w:val="single" w:sz="4" w:space="0" w:color="auto"/>
            </w:tcBorders>
          </w:tcPr>
          <w:p w14:paraId="40931280" w14:textId="77777777" w:rsidR="004848EF" w:rsidRPr="004848EF" w:rsidRDefault="004848EF" w:rsidP="004848EF">
            <w:pPr>
              <w:pStyle w:val="Body"/>
              <w:rPr>
                <w:rFonts w:ascii="Arial" w:hAnsi="Arial" w:cs="Arial"/>
                <w:lang w:val="en-PH"/>
              </w:rPr>
            </w:pPr>
          </w:p>
          <w:p w14:paraId="65398B25" w14:textId="77777777" w:rsidR="004848EF" w:rsidRPr="004848EF" w:rsidRDefault="004848EF" w:rsidP="004848EF">
            <w:pPr>
              <w:pStyle w:val="Body"/>
              <w:rPr>
                <w:rFonts w:ascii="Arial" w:hAnsi="Arial" w:cs="Arial"/>
                <w:lang w:val="en-PH"/>
              </w:rPr>
            </w:pPr>
          </w:p>
          <w:p w14:paraId="6B9BF1B1" w14:textId="77777777" w:rsidR="004848EF" w:rsidRPr="004848EF" w:rsidRDefault="004848EF" w:rsidP="004848EF">
            <w:pPr>
              <w:pStyle w:val="Body"/>
              <w:rPr>
                <w:rFonts w:ascii="Arial" w:hAnsi="Arial" w:cs="Arial"/>
                <w:lang w:val="en-PH"/>
              </w:rPr>
            </w:pPr>
          </w:p>
        </w:tc>
        <w:tc>
          <w:tcPr>
            <w:tcW w:w="1883" w:type="pct"/>
            <w:tcBorders>
              <w:top w:val="single" w:sz="4" w:space="0" w:color="auto"/>
            </w:tcBorders>
          </w:tcPr>
          <w:p w14:paraId="5893F8AD" w14:textId="77777777" w:rsidR="004848EF" w:rsidRPr="004848EF" w:rsidRDefault="004848EF" w:rsidP="004848EF">
            <w:pPr>
              <w:pStyle w:val="Body"/>
              <w:rPr>
                <w:rFonts w:ascii="Arial" w:hAnsi="Arial" w:cs="Arial"/>
                <w:lang w:val="en-PH"/>
              </w:rPr>
            </w:pPr>
            <w:r w:rsidRPr="004848EF">
              <w:rPr>
                <w:rFonts w:ascii="Arial" w:hAnsi="Arial" w:cs="Arial"/>
                <w:lang w:val="en-PH"/>
              </w:rPr>
              <w:t>5,000-10,000</w:t>
            </w:r>
          </w:p>
        </w:tc>
        <w:tc>
          <w:tcPr>
            <w:tcW w:w="734" w:type="pct"/>
            <w:tcBorders>
              <w:top w:val="single" w:sz="4" w:space="0" w:color="auto"/>
            </w:tcBorders>
            <w:vAlign w:val="center"/>
          </w:tcPr>
          <w:p w14:paraId="3FB7FBE9" w14:textId="77777777" w:rsidR="004848EF" w:rsidRPr="004848EF" w:rsidRDefault="004848EF" w:rsidP="004848EF">
            <w:pPr>
              <w:pStyle w:val="Body"/>
              <w:rPr>
                <w:rFonts w:ascii="Arial" w:hAnsi="Arial" w:cs="Arial"/>
                <w:lang w:val="en-PH"/>
              </w:rPr>
            </w:pPr>
            <w:r w:rsidRPr="004848EF">
              <w:rPr>
                <w:rFonts w:ascii="Arial" w:hAnsi="Arial" w:cs="Arial"/>
                <w:lang w:val="en-PH"/>
              </w:rPr>
              <w:t>6</w:t>
            </w:r>
          </w:p>
        </w:tc>
        <w:tc>
          <w:tcPr>
            <w:tcW w:w="1044" w:type="pct"/>
            <w:tcBorders>
              <w:top w:val="single" w:sz="4" w:space="0" w:color="auto"/>
            </w:tcBorders>
            <w:vAlign w:val="center"/>
          </w:tcPr>
          <w:p w14:paraId="1047E52D" w14:textId="77777777" w:rsidR="004848EF" w:rsidRPr="004848EF" w:rsidRDefault="004848EF" w:rsidP="004848EF">
            <w:pPr>
              <w:pStyle w:val="Body"/>
              <w:rPr>
                <w:rFonts w:ascii="Arial" w:hAnsi="Arial" w:cs="Arial"/>
                <w:lang w:val="en-PH"/>
              </w:rPr>
            </w:pPr>
            <w:r w:rsidRPr="004848EF">
              <w:rPr>
                <w:rFonts w:ascii="Arial" w:hAnsi="Arial" w:cs="Arial"/>
                <w:lang w:val="en-PH"/>
              </w:rPr>
              <w:t>40.00</w:t>
            </w:r>
          </w:p>
        </w:tc>
      </w:tr>
      <w:tr w:rsidR="004848EF" w:rsidRPr="004848EF" w14:paraId="339F31DB" w14:textId="77777777" w:rsidTr="004848EF">
        <w:trPr>
          <w:trHeight w:hRule="exact" w:val="284"/>
        </w:trPr>
        <w:tc>
          <w:tcPr>
            <w:tcW w:w="1339" w:type="pct"/>
            <w:vMerge/>
          </w:tcPr>
          <w:p w14:paraId="0C10441F" w14:textId="77777777" w:rsidR="004848EF" w:rsidRPr="004848EF" w:rsidRDefault="004848EF" w:rsidP="004848EF">
            <w:pPr>
              <w:pStyle w:val="Body"/>
              <w:rPr>
                <w:rFonts w:ascii="Arial" w:hAnsi="Arial" w:cs="Arial"/>
                <w:lang w:val="en-PH"/>
              </w:rPr>
            </w:pPr>
          </w:p>
        </w:tc>
        <w:tc>
          <w:tcPr>
            <w:tcW w:w="1883" w:type="pct"/>
          </w:tcPr>
          <w:p w14:paraId="6712064B" w14:textId="77777777" w:rsidR="004848EF" w:rsidRPr="004848EF" w:rsidRDefault="004848EF" w:rsidP="004848EF">
            <w:pPr>
              <w:pStyle w:val="Body"/>
              <w:rPr>
                <w:rFonts w:ascii="Arial" w:hAnsi="Arial" w:cs="Arial"/>
                <w:lang w:val="en-PH"/>
              </w:rPr>
            </w:pPr>
            <w:r w:rsidRPr="004848EF">
              <w:rPr>
                <w:rFonts w:ascii="Arial" w:hAnsi="Arial" w:cs="Arial"/>
                <w:lang w:val="en-PH"/>
              </w:rPr>
              <w:t>11,000-20,000</w:t>
            </w:r>
          </w:p>
        </w:tc>
        <w:tc>
          <w:tcPr>
            <w:tcW w:w="734" w:type="pct"/>
            <w:vAlign w:val="center"/>
          </w:tcPr>
          <w:p w14:paraId="39884B74" w14:textId="77777777" w:rsidR="004848EF" w:rsidRPr="004848EF" w:rsidRDefault="004848EF" w:rsidP="004848EF">
            <w:pPr>
              <w:pStyle w:val="Body"/>
              <w:rPr>
                <w:rFonts w:ascii="Arial" w:hAnsi="Arial" w:cs="Arial"/>
                <w:lang w:val="en-PH"/>
              </w:rPr>
            </w:pPr>
            <w:r w:rsidRPr="004848EF">
              <w:rPr>
                <w:rFonts w:ascii="Arial" w:hAnsi="Arial" w:cs="Arial"/>
                <w:lang w:val="en-PH"/>
              </w:rPr>
              <w:t>4</w:t>
            </w:r>
          </w:p>
        </w:tc>
        <w:tc>
          <w:tcPr>
            <w:tcW w:w="1044" w:type="pct"/>
            <w:vAlign w:val="center"/>
          </w:tcPr>
          <w:p w14:paraId="3CC383AC" w14:textId="77777777" w:rsidR="004848EF" w:rsidRPr="004848EF" w:rsidRDefault="004848EF" w:rsidP="004848EF">
            <w:pPr>
              <w:pStyle w:val="Body"/>
              <w:rPr>
                <w:rFonts w:ascii="Arial" w:hAnsi="Arial" w:cs="Arial"/>
                <w:lang w:val="en-PH"/>
              </w:rPr>
            </w:pPr>
            <w:r w:rsidRPr="004848EF">
              <w:rPr>
                <w:rFonts w:ascii="Arial" w:hAnsi="Arial" w:cs="Arial"/>
                <w:lang w:val="en-PH"/>
              </w:rPr>
              <w:t>26.67</w:t>
            </w:r>
          </w:p>
        </w:tc>
      </w:tr>
      <w:tr w:rsidR="004848EF" w:rsidRPr="004848EF" w14:paraId="1CA40CAD" w14:textId="77777777" w:rsidTr="004848EF">
        <w:trPr>
          <w:trHeight w:hRule="exact" w:val="284"/>
        </w:trPr>
        <w:tc>
          <w:tcPr>
            <w:tcW w:w="1339" w:type="pct"/>
            <w:vMerge/>
          </w:tcPr>
          <w:p w14:paraId="7D486643" w14:textId="77777777" w:rsidR="004848EF" w:rsidRPr="004848EF" w:rsidRDefault="004848EF" w:rsidP="004848EF">
            <w:pPr>
              <w:pStyle w:val="Body"/>
              <w:rPr>
                <w:rFonts w:ascii="Arial" w:hAnsi="Arial" w:cs="Arial"/>
                <w:lang w:val="en-PH"/>
              </w:rPr>
            </w:pPr>
          </w:p>
        </w:tc>
        <w:tc>
          <w:tcPr>
            <w:tcW w:w="1883" w:type="pct"/>
          </w:tcPr>
          <w:p w14:paraId="5D881206" w14:textId="77777777" w:rsidR="004848EF" w:rsidRPr="004848EF" w:rsidRDefault="004848EF" w:rsidP="004848EF">
            <w:pPr>
              <w:pStyle w:val="Body"/>
              <w:rPr>
                <w:rFonts w:ascii="Arial" w:hAnsi="Arial" w:cs="Arial"/>
                <w:lang w:val="en-PH"/>
              </w:rPr>
            </w:pPr>
            <w:r w:rsidRPr="004848EF">
              <w:rPr>
                <w:rFonts w:ascii="Arial" w:hAnsi="Arial" w:cs="Arial"/>
                <w:lang w:val="en-PH"/>
              </w:rPr>
              <w:t>21,000-30,000</w:t>
            </w:r>
          </w:p>
        </w:tc>
        <w:tc>
          <w:tcPr>
            <w:tcW w:w="734" w:type="pct"/>
            <w:vAlign w:val="center"/>
          </w:tcPr>
          <w:p w14:paraId="4828496B" w14:textId="77777777" w:rsidR="004848EF" w:rsidRPr="004848EF" w:rsidRDefault="004848EF" w:rsidP="004848EF">
            <w:pPr>
              <w:pStyle w:val="Body"/>
              <w:rPr>
                <w:rFonts w:ascii="Arial" w:hAnsi="Arial" w:cs="Arial"/>
                <w:lang w:val="en-PH"/>
              </w:rPr>
            </w:pPr>
            <w:r w:rsidRPr="004848EF">
              <w:rPr>
                <w:rFonts w:ascii="Arial" w:hAnsi="Arial" w:cs="Arial"/>
                <w:lang w:val="en-PH"/>
              </w:rPr>
              <w:t>2</w:t>
            </w:r>
          </w:p>
        </w:tc>
        <w:tc>
          <w:tcPr>
            <w:tcW w:w="1044" w:type="pct"/>
            <w:vAlign w:val="center"/>
          </w:tcPr>
          <w:p w14:paraId="4C957486" w14:textId="77777777" w:rsidR="004848EF" w:rsidRPr="004848EF" w:rsidRDefault="004848EF" w:rsidP="004848EF">
            <w:pPr>
              <w:pStyle w:val="Body"/>
              <w:rPr>
                <w:rFonts w:ascii="Arial" w:hAnsi="Arial" w:cs="Arial"/>
                <w:lang w:val="en-PH"/>
              </w:rPr>
            </w:pPr>
            <w:r w:rsidRPr="004848EF">
              <w:rPr>
                <w:rFonts w:ascii="Arial" w:hAnsi="Arial" w:cs="Arial"/>
                <w:lang w:val="en-PH"/>
              </w:rPr>
              <w:t>13.33</w:t>
            </w:r>
          </w:p>
        </w:tc>
      </w:tr>
      <w:tr w:rsidR="004848EF" w:rsidRPr="004848EF" w14:paraId="2B18636F" w14:textId="77777777" w:rsidTr="004848EF">
        <w:trPr>
          <w:trHeight w:hRule="exact" w:val="284"/>
        </w:trPr>
        <w:tc>
          <w:tcPr>
            <w:tcW w:w="1339" w:type="pct"/>
            <w:vMerge/>
          </w:tcPr>
          <w:p w14:paraId="5C871413" w14:textId="77777777" w:rsidR="004848EF" w:rsidRPr="004848EF" w:rsidRDefault="004848EF" w:rsidP="004848EF">
            <w:pPr>
              <w:pStyle w:val="Body"/>
              <w:rPr>
                <w:rFonts w:ascii="Arial" w:hAnsi="Arial" w:cs="Arial"/>
                <w:lang w:val="en-PH"/>
              </w:rPr>
            </w:pPr>
          </w:p>
        </w:tc>
        <w:tc>
          <w:tcPr>
            <w:tcW w:w="1883" w:type="pct"/>
          </w:tcPr>
          <w:p w14:paraId="451A04D4" w14:textId="77777777" w:rsidR="004848EF" w:rsidRPr="004848EF" w:rsidRDefault="004848EF" w:rsidP="004848EF">
            <w:pPr>
              <w:pStyle w:val="Body"/>
              <w:rPr>
                <w:rFonts w:ascii="Arial" w:hAnsi="Arial" w:cs="Arial"/>
                <w:lang w:val="en-PH"/>
              </w:rPr>
            </w:pPr>
            <w:r w:rsidRPr="004848EF">
              <w:rPr>
                <w:rFonts w:ascii="Arial" w:hAnsi="Arial" w:cs="Arial"/>
                <w:lang w:val="en-PH"/>
              </w:rPr>
              <w:t>31,000-40,000</w:t>
            </w:r>
          </w:p>
        </w:tc>
        <w:tc>
          <w:tcPr>
            <w:tcW w:w="734" w:type="pct"/>
            <w:vAlign w:val="center"/>
          </w:tcPr>
          <w:p w14:paraId="12381063" w14:textId="77777777" w:rsidR="004848EF" w:rsidRPr="004848EF" w:rsidRDefault="004848EF" w:rsidP="004848EF">
            <w:pPr>
              <w:pStyle w:val="Body"/>
              <w:rPr>
                <w:rFonts w:ascii="Arial" w:hAnsi="Arial" w:cs="Arial"/>
                <w:lang w:val="en-PH"/>
              </w:rPr>
            </w:pPr>
          </w:p>
        </w:tc>
        <w:tc>
          <w:tcPr>
            <w:tcW w:w="1044" w:type="pct"/>
            <w:vAlign w:val="center"/>
          </w:tcPr>
          <w:p w14:paraId="0BD95180" w14:textId="77777777" w:rsidR="004848EF" w:rsidRPr="004848EF" w:rsidRDefault="004848EF" w:rsidP="004848EF">
            <w:pPr>
              <w:pStyle w:val="Body"/>
              <w:rPr>
                <w:rFonts w:ascii="Arial" w:hAnsi="Arial" w:cs="Arial"/>
                <w:lang w:val="en-PH"/>
              </w:rPr>
            </w:pPr>
          </w:p>
        </w:tc>
      </w:tr>
      <w:tr w:rsidR="004848EF" w:rsidRPr="004848EF" w14:paraId="79D603E8" w14:textId="77777777" w:rsidTr="004848EF">
        <w:trPr>
          <w:trHeight w:hRule="exact" w:val="284"/>
        </w:trPr>
        <w:tc>
          <w:tcPr>
            <w:tcW w:w="1339" w:type="pct"/>
            <w:vMerge/>
          </w:tcPr>
          <w:p w14:paraId="61AB5B2F" w14:textId="77777777" w:rsidR="004848EF" w:rsidRPr="004848EF" w:rsidRDefault="004848EF" w:rsidP="004848EF">
            <w:pPr>
              <w:pStyle w:val="Body"/>
              <w:rPr>
                <w:rFonts w:ascii="Arial" w:hAnsi="Arial" w:cs="Arial"/>
                <w:lang w:val="en-PH"/>
              </w:rPr>
            </w:pPr>
          </w:p>
        </w:tc>
        <w:tc>
          <w:tcPr>
            <w:tcW w:w="1883" w:type="pct"/>
          </w:tcPr>
          <w:p w14:paraId="05D60D51" w14:textId="77777777" w:rsidR="004848EF" w:rsidRPr="004848EF" w:rsidRDefault="004848EF" w:rsidP="004848EF">
            <w:pPr>
              <w:pStyle w:val="Body"/>
              <w:rPr>
                <w:rFonts w:ascii="Arial" w:hAnsi="Arial" w:cs="Arial"/>
                <w:lang w:val="en-PH"/>
              </w:rPr>
            </w:pPr>
            <w:r w:rsidRPr="004848EF">
              <w:rPr>
                <w:rFonts w:ascii="Arial" w:hAnsi="Arial" w:cs="Arial"/>
                <w:lang w:val="en-PH"/>
              </w:rPr>
              <w:t>41,000-50,000</w:t>
            </w:r>
          </w:p>
        </w:tc>
        <w:tc>
          <w:tcPr>
            <w:tcW w:w="734" w:type="pct"/>
            <w:vAlign w:val="center"/>
          </w:tcPr>
          <w:p w14:paraId="7FC99DD6" w14:textId="77777777" w:rsidR="004848EF" w:rsidRPr="004848EF" w:rsidRDefault="004848EF" w:rsidP="004848EF">
            <w:pPr>
              <w:pStyle w:val="Body"/>
              <w:rPr>
                <w:rFonts w:ascii="Arial" w:hAnsi="Arial" w:cs="Arial"/>
                <w:lang w:val="en-PH"/>
              </w:rPr>
            </w:pPr>
            <w:r w:rsidRPr="004848EF">
              <w:rPr>
                <w:rFonts w:ascii="Arial" w:hAnsi="Arial" w:cs="Arial"/>
                <w:lang w:val="en-PH"/>
              </w:rPr>
              <w:t>2</w:t>
            </w:r>
          </w:p>
        </w:tc>
        <w:tc>
          <w:tcPr>
            <w:tcW w:w="1044" w:type="pct"/>
            <w:vAlign w:val="center"/>
          </w:tcPr>
          <w:p w14:paraId="74B90A88" w14:textId="77777777" w:rsidR="004848EF" w:rsidRPr="004848EF" w:rsidRDefault="004848EF" w:rsidP="004848EF">
            <w:pPr>
              <w:pStyle w:val="Body"/>
              <w:rPr>
                <w:rFonts w:ascii="Arial" w:hAnsi="Arial" w:cs="Arial"/>
                <w:lang w:val="en-PH"/>
              </w:rPr>
            </w:pPr>
            <w:r w:rsidRPr="004848EF">
              <w:rPr>
                <w:rFonts w:ascii="Arial" w:hAnsi="Arial" w:cs="Arial"/>
                <w:lang w:val="en-PH"/>
              </w:rPr>
              <w:t>13.33</w:t>
            </w:r>
          </w:p>
        </w:tc>
      </w:tr>
      <w:tr w:rsidR="004848EF" w:rsidRPr="004848EF" w14:paraId="0EB7CF5E" w14:textId="77777777" w:rsidTr="004848EF">
        <w:trPr>
          <w:trHeight w:hRule="exact" w:val="284"/>
        </w:trPr>
        <w:tc>
          <w:tcPr>
            <w:tcW w:w="1339" w:type="pct"/>
            <w:vMerge/>
          </w:tcPr>
          <w:p w14:paraId="2260C8E7" w14:textId="77777777" w:rsidR="004848EF" w:rsidRPr="004848EF" w:rsidRDefault="004848EF" w:rsidP="004848EF">
            <w:pPr>
              <w:pStyle w:val="Body"/>
              <w:rPr>
                <w:rFonts w:ascii="Arial" w:hAnsi="Arial" w:cs="Arial"/>
                <w:lang w:val="en-PH"/>
              </w:rPr>
            </w:pPr>
          </w:p>
        </w:tc>
        <w:tc>
          <w:tcPr>
            <w:tcW w:w="1883" w:type="pct"/>
          </w:tcPr>
          <w:p w14:paraId="760815DD" w14:textId="77777777" w:rsidR="004848EF" w:rsidRPr="004848EF" w:rsidRDefault="004848EF" w:rsidP="004848EF">
            <w:pPr>
              <w:pStyle w:val="Body"/>
              <w:rPr>
                <w:rFonts w:ascii="Arial" w:hAnsi="Arial" w:cs="Arial"/>
                <w:lang w:val="en-PH"/>
              </w:rPr>
            </w:pPr>
            <w:r w:rsidRPr="004848EF">
              <w:rPr>
                <w:rFonts w:ascii="Arial" w:hAnsi="Arial" w:cs="Arial"/>
                <w:lang w:val="en-PH"/>
              </w:rPr>
              <w:t xml:space="preserve">51,000 and above </w:t>
            </w:r>
          </w:p>
        </w:tc>
        <w:tc>
          <w:tcPr>
            <w:tcW w:w="734" w:type="pct"/>
            <w:vAlign w:val="center"/>
          </w:tcPr>
          <w:p w14:paraId="2F3BB839" w14:textId="77777777" w:rsidR="004848EF" w:rsidRPr="004848EF" w:rsidRDefault="004848EF" w:rsidP="004848EF">
            <w:pPr>
              <w:pStyle w:val="Body"/>
              <w:rPr>
                <w:rFonts w:ascii="Arial" w:hAnsi="Arial" w:cs="Arial"/>
                <w:lang w:val="en-PH"/>
              </w:rPr>
            </w:pPr>
            <w:r w:rsidRPr="004848EF">
              <w:rPr>
                <w:rFonts w:ascii="Arial" w:hAnsi="Arial" w:cs="Arial"/>
                <w:lang w:val="en-PH"/>
              </w:rPr>
              <w:t>1</w:t>
            </w:r>
          </w:p>
        </w:tc>
        <w:tc>
          <w:tcPr>
            <w:tcW w:w="1044" w:type="pct"/>
            <w:vAlign w:val="center"/>
          </w:tcPr>
          <w:p w14:paraId="21171CC7" w14:textId="77777777" w:rsidR="004848EF" w:rsidRPr="004848EF" w:rsidRDefault="004848EF" w:rsidP="004848EF">
            <w:pPr>
              <w:pStyle w:val="Body"/>
              <w:rPr>
                <w:rFonts w:ascii="Arial" w:hAnsi="Arial" w:cs="Arial"/>
                <w:lang w:val="en-PH"/>
              </w:rPr>
            </w:pPr>
            <w:r w:rsidRPr="004848EF">
              <w:rPr>
                <w:rFonts w:ascii="Arial" w:hAnsi="Arial" w:cs="Arial"/>
                <w:lang w:val="en-PH"/>
              </w:rPr>
              <w:t>6.67</w:t>
            </w:r>
          </w:p>
        </w:tc>
      </w:tr>
    </w:tbl>
    <w:p w14:paraId="069E2C31" w14:textId="77777777" w:rsidR="00E4072C" w:rsidRPr="00E4072C" w:rsidRDefault="00E4072C" w:rsidP="00E4072C">
      <w:pPr>
        <w:pStyle w:val="Body"/>
        <w:rPr>
          <w:rFonts w:ascii="Arial" w:hAnsi="Arial" w:cs="Arial"/>
        </w:rPr>
      </w:pPr>
    </w:p>
    <w:p w14:paraId="5056C8A6" w14:textId="6FFEE5A5" w:rsidR="00E4072C" w:rsidRDefault="00E4072C" w:rsidP="00A07DBE">
      <w:pPr>
        <w:pStyle w:val="Body"/>
        <w:rPr>
          <w:rFonts w:ascii="Arial" w:hAnsi="Arial" w:cs="Arial"/>
        </w:rPr>
      </w:pPr>
      <w:r w:rsidRPr="00E4072C">
        <w:rPr>
          <w:rFonts w:ascii="Arial" w:hAnsi="Arial" w:cs="Arial"/>
        </w:rPr>
        <w:t xml:space="preserve">As shown on the table above, </w:t>
      </w:r>
      <w:r w:rsidR="00A07DBE" w:rsidRPr="00A07DBE">
        <w:rPr>
          <w:rFonts w:ascii="Arial" w:hAnsi="Arial" w:cs="Arial"/>
        </w:rPr>
        <w:t xml:space="preserve">the respondents are predominantly aged 17–18 years old, with 73.33% falling in this category. All respondents (100%) identified as </w:t>
      </w:r>
      <w:proofErr w:type="spellStart"/>
      <w:r w:rsidR="00A07DBE" w:rsidRPr="00A07DBE">
        <w:rPr>
          <w:rFonts w:ascii="Arial" w:hAnsi="Arial" w:cs="Arial"/>
        </w:rPr>
        <w:t>Linimos</w:t>
      </w:r>
      <w:proofErr w:type="spellEnd"/>
      <w:r w:rsidR="00A07DBE" w:rsidRPr="00A07DBE">
        <w:rPr>
          <w:rFonts w:ascii="Arial" w:hAnsi="Arial" w:cs="Arial"/>
        </w:rPr>
        <w:t>, reflecting a culturally homogenous group. Regarding parents’ education, most fathers had only completed high school (33.33%), while mothers showed a slight edge in educational attainment, with 40% having graduated from high school and 26.67% reaching the college level. This suggests that while some parents have formal education, many still fall short of a college degree.</w:t>
      </w:r>
      <w:r w:rsidR="00A07DBE">
        <w:rPr>
          <w:rFonts w:ascii="Arial" w:hAnsi="Arial" w:cs="Arial"/>
        </w:rPr>
        <w:t xml:space="preserve"> </w:t>
      </w:r>
      <w:r w:rsidR="00A07DBE" w:rsidRPr="00A07DBE">
        <w:rPr>
          <w:rFonts w:ascii="Arial" w:hAnsi="Arial" w:cs="Arial"/>
        </w:rPr>
        <w:t>In terms of employment, the majority of fathers work as farmers (73.33%), while mothers are mostly housewives (86.67%), showing a traditional division of labor. The income levels reported are relatively low, with 40% earning only PHP 5,000–10,000 annually, reflecting a socioeconomically disadvantaged background. Such conditions could influence students' academic focus, access to resources, and aspirations, emphasizing the importance of school-based support systems in helping learners achieve career readiness and success in technical-vocational tracks.</w:t>
      </w:r>
    </w:p>
    <w:p w14:paraId="1E8FAE80" w14:textId="38CD1F2A" w:rsidR="00E4072C" w:rsidRDefault="00E4072C" w:rsidP="00441B6F">
      <w:pPr>
        <w:pStyle w:val="Body"/>
        <w:spacing w:after="0"/>
        <w:rPr>
          <w:rFonts w:ascii="Arial" w:hAnsi="Arial" w:cs="Arial"/>
        </w:rPr>
      </w:pPr>
      <w:r w:rsidRPr="00E4072C">
        <w:rPr>
          <w:rFonts w:ascii="Arial" w:hAnsi="Arial" w:cs="Arial"/>
        </w:rPr>
        <w:t xml:space="preserve">Table 2: </w:t>
      </w:r>
      <w:r w:rsidR="00DA0E79">
        <w:rPr>
          <w:rFonts w:ascii="Arial" w:hAnsi="Arial" w:cs="Arial"/>
        </w:rPr>
        <w:t>L</w:t>
      </w:r>
      <w:r w:rsidRPr="00E4072C">
        <w:rPr>
          <w:rFonts w:ascii="Arial" w:hAnsi="Arial" w:cs="Arial"/>
        </w:rPr>
        <w:t>evel of competency of students in TVL-Automotive</w:t>
      </w:r>
    </w:p>
    <w:tbl>
      <w:tblPr>
        <w:tblW w:w="4895" w:type="pct"/>
        <w:tblInd w:w="279" w:type="dxa"/>
        <w:tblBorders>
          <w:top w:val="single" w:sz="4" w:space="0" w:color="auto"/>
          <w:bottom w:val="single" w:sz="4" w:space="0" w:color="auto"/>
        </w:tblBorders>
        <w:tblLayout w:type="fixed"/>
        <w:tblLook w:val="04A0" w:firstRow="1" w:lastRow="0" w:firstColumn="1" w:lastColumn="0" w:noHBand="0" w:noVBand="1"/>
      </w:tblPr>
      <w:tblGrid>
        <w:gridCol w:w="6452"/>
        <w:gridCol w:w="792"/>
        <w:gridCol w:w="792"/>
      </w:tblGrid>
      <w:tr w:rsidR="001537BA" w:rsidRPr="001537BA" w14:paraId="0C2A3EFC" w14:textId="77777777" w:rsidTr="005430FA">
        <w:trPr>
          <w:trHeight w:hRule="exact" w:val="284"/>
          <w:tblHeader/>
        </w:trPr>
        <w:tc>
          <w:tcPr>
            <w:tcW w:w="4014" w:type="pct"/>
            <w:tcBorders>
              <w:top w:val="single" w:sz="4" w:space="0" w:color="auto"/>
              <w:bottom w:val="single" w:sz="4" w:space="0" w:color="auto"/>
            </w:tcBorders>
          </w:tcPr>
          <w:p w14:paraId="4450F85B"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Level Competency</w:t>
            </w:r>
          </w:p>
        </w:tc>
        <w:tc>
          <w:tcPr>
            <w:tcW w:w="493" w:type="pct"/>
            <w:tcBorders>
              <w:top w:val="single" w:sz="4" w:space="0" w:color="auto"/>
              <w:bottom w:val="single" w:sz="4" w:space="0" w:color="auto"/>
            </w:tcBorders>
          </w:tcPr>
          <w:p w14:paraId="71548D1A" w14:textId="11337447" w:rsidR="001537BA" w:rsidRPr="001537BA" w:rsidRDefault="00F95595" w:rsidP="001537BA">
            <w:pPr>
              <w:pStyle w:val="Body"/>
              <w:spacing w:after="0"/>
              <w:rPr>
                <w:rFonts w:ascii="Arial" w:hAnsi="Arial" w:cs="Arial"/>
                <w:lang w:val="en-PH"/>
              </w:rPr>
            </w:pPr>
            <m:oMathPara>
              <m:oMath>
                <m:acc>
                  <m:accPr>
                    <m:chr m:val="̅"/>
                    <m:ctrlPr>
                      <w:rPr>
                        <w:rFonts w:ascii="Cambria Math" w:hAnsi="Cambria Math" w:cs="Arial"/>
                        <w:i/>
                        <w:lang w:val="en-PH"/>
                      </w:rPr>
                    </m:ctrlPr>
                  </m:accPr>
                  <m:e>
                    <m:r>
                      <w:rPr>
                        <w:rFonts w:ascii="Cambria Math" w:hAnsi="Cambria Math" w:cs="Arial"/>
                        <w:lang w:val="en-PH"/>
                      </w:rPr>
                      <m:t>x</m:t>
                    </m:r>
                  </m:e>
                </m:acc>
              </m:oMath>
            </m:oMathPara>
          </w:p>
        </w:tc>
        <w:tc>
          <w:tcPr>
            <w:tcW w:w="493" w:type="pct"/>
            <w:tcBorders>
              <w:top w:val="single" w:sz="4" w:space="0" w:color="auto"/>
              <w:bottom w:val="single" w:sz="4" w:space="0" w:color="auto"/>
            </w:tcBorders>
          </w:tcPr>
          <w:p w14:paraId="53B61AAD"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DI</w:t>
            </w:r>
          </w:p>
        </w:tc>
      </w:tr>
      <w:tr w:rsidR="001537BA" w:rsidRPr="001537BA" w14:paraId="26621162" w14:textId="77777777" w:rsidTr="005430FA">
        <w:trPr>
          <w:trHeight w:hRule="exact" w:val="284"/>
        </w:trPr>
        <w:tc>
          <w:tcPr>
            <w:tcW w:w="4014" w:type="pct"/>
            <w:tcBorders>
              <w:top w:val="single" w:sz="4" w:space="0" w:color="auto"/>
            </w:tcBorders>
          </w:tcPr>
          <w:p w14:paraId="4BBEFEBF" w14:textId="77777777" w:rsidR="001537BA" w:rsidRPr="001537BA" w:rsidRDefault="001537BA" w:rsidP="001537BA">
            <w:pPr>
              <w:pStyle w:val="Body"/>
              <w:spacing w:after="0"/>
              <w:rPr>
                <w:rFonts w:ascii="Arial" w:hAnsi="Arial" w:cs="Arial"/>
                <w:lang w:val="en-PH"/>
              </w:rPr>
            </w:pPr>
            <w:r w:rsidRPr="001537BA">
              <w:rPr>
                <w:rFonts w:ascii="Arial" w:hAnsi="Arial" w:cs="Arial"/>
              </w:rPr>
              <w:t>1. Service Automotive Battery</w:t>
            </w:r>
          </w:p>
        </w:tc>
        <w:tc>
          <w:tcPr>
            <w:tcW w:w="493" w:type="pct"/>
            <w:tcBorders>
              <w:top w:val="single" w:sz="4" w:space="0" w:color="auto"/>
            </w:tcBorders>
            <w:vAlign w:val="center"/>
          </w:tcPr>
          <w:p w14:paraId="793FBDE0"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3.47</w:t>
            </w:r>
          </w:p>
        </w:tc>
        <w:tc>
          <w:tcPr>
            <w:tcW w:w="493" w:type="pct"/>
            <w:tcBorders>
              <w:top w:val="single" w:sz="4" w:space="0" w:color="auto"/>
            </w:tcBorders>
            <w:vAlign w:val="center"/>
          </w:tcPr>
          <w:p w14:paraId="1D642813"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VS</w:t>
            </w:r>
          </w:p>
        </w:tc>
      </w:tr>
      <w:tr w:rsidR="001537BA" w:rsidRPr="001537BA" w14:paraId="38185221" w14:textId="77777777" w:rsidTr="005430FA">
        <w:trPr>
          <w:trHeight w:hRule="exact" w:val="284"/>
        </w:trPr>
        <w:tc>
          <w:tcPr>
            <w:tcW w:w="4014" w:type="pct"/>
          </w:tcPr>
          <w:p w14:paraId="1B41A416"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2. Service Ignition System</w:t>
            </w:r>
          </w:p>
        </w:tc>
        <w:tc>
          <w:tcPr>
            <w:tcW w:w="493" w:type="pct"/>
            <w:vAlign w:val="center"/>
          </w:tcPr>
          <w:p w14:paraId="40409E68"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2.70</w:t>
            </w:r>
          </w:p>
        </w:tc>
        <w:tc>
          <w:tcPr>
            <w:tcW w:w="493" w:type="pct"/>
            <w:vAlign w:val="center"/>
          </w:tcPr>
          <w:p w14:paraId="0A09E163"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S</w:t>
            </w:r>
          </w:p>
        </w:tc>
      </w:tr>
      <w:tr w:rsidR="001537BA" w:rsidRPr="001537BA" w14:paraId="59208584" w14:textId="77777777" w:rsidTr="005430FA">
        <w:trPr>
          <w:trHeight w:hRule="exact" w:val="284"/>
        </w:trPr>
        <w:tc>
          <w:tcPr>
            <w:tcW w:w="4014" w:type="pct"/>
          </w:tcPr>
          <w:p w14:paraId="18139A8D"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3. Test and Repair Wiring/Lighting System</w:t>
            </w:r>
          </w:p>
        </w:tc>
        <w:tc>
          <w:tcPr>
            <w:tcW w:w="493" w:type="pct"/>
            <w:vAlign w:val="center"/>
          </w:tcPr>
          <w:p w14:paraId="431CCF8A"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2.22</w:t>
            </w:r>
          </w:p>
        </w:tc>
        <w:tc>
          <w:tcPr>
            <w:tcW w:w="493" w:type="pct"/>
            <w:vAlign w:val="center"/>
          </w:tcPr>
          <w:p w14:paraId="4352C370"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U</w:t>
            </w:r>
          </w:p>
        </w:tc>
      </w:tr>
      <w:tr w:rsidR="001537BA" w:rsidRPr="001537BA" w14:paraId="35A371F4" w14:textId="77777777" w:rsidTr="005430FA">
        <w:trPr>
          <w:trHeight w:hRule="exact" w:val="284"/>
        </w:trPr>
        <w:tc>
          <w:tcPr>
            <w:tcW w:w="4014" w:type="pct"/>
          </w:tcPr>
          <w:p w14:paraId="4FAEED06"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4. Service Starting System</w:t>
            </w:r>
          </w:p>
        </w:tc>
        <w:tc>
          <w:tcPr>
            <w:tcW w:w="493" w:type="pct"/>
            <w:vAlign w:val="center"/>
          </w:tcPr>
          <w:p w14:paraId="04C7D161"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2.50</w:t>
            </w:r>
          </w:p>
        </w:tc>
        <w:tc>
          <w:tcPr>
            <w:tcW w:w="493" w:type="pct"/>
            <w:vAlign w:val="center"/>
          </w:tcPr>
          <w:p w14:paraId="00B833AF"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U</w:t>
            </w:r>
          </w:p>
        </w:tc>
      </w:tr>
      <w:tr w:rsidR="001537BA" w:rsidRPr="001537BA" w14:paraId="1D150341" w14:textId="77777777" w:rsidTr="005430FA">
        <w:trPr>
          <w:trHeight w:hRule="exact" w:val="284"/>
        </w:trPr>
        <w:tc>
          <w:tcPr>
            <w:tcW w:w="4014" w:type="pct"/>
          </w:tcPr>
          <w:p w14:paraId="5A576C04"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5. Service Charging Systems</w:t>
            </w:r>
          </w:p>
        </w:tc>
        <w:tc>
          <w:tcPr>
            <w:tcW w:w="493" w:type="pct"/>
            <w:vAlign w:val="center"/>
          </w:tcPr>
          <w:p w14:paraId="66D7BA9B"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2.43</w:t>
            </w:r>
          </w:p>
        </w:tc>
        <w:tc>
          <w:tcPr>
            <w:tcW w:w="493" w:type="pct"/>
            <w:vAlign w:val="center"/>
          </w:tcPr>
          <w:p w14:paraId="7D1EAE63"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U</w:t>
            </w:r>
          </w:p>
        </w:tc>
      </w:tr>
      <w:tr w:rsidR="001537BA" w:rsidRPr="001537BA" w14:paraId="64846DE4" w14:textId="77777777" w:rsidTr="005430FA">
        <w:trPr>
          <w:trHeight w:hRule="exact" w:val="284"/>
        </w:trPr>
        <w:tc>
          <w:tcPr>
            <w:tcW w:w="4014" w:type="pct"/>
          </w:tcPr>
          <w:p w14:paraId="4A2A8EAF"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6. Service Engine Mechanical System</w:t>
            </w:r>
          </w:p>
        </w:tc>
        <w:tc>
          <w:tcPr>
            <w:tcW w:w="493" w:type="pct"/>
            <w:vAlign w:val="center"/>
          </w:tcPr>
          <w:p w14:paraId="5DB0A0A5"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2.61</w:t>
            </w:r>
          </w:p>
        </w:tc>
        <w:tc>
          <w:tcPr>
            <w:tcW w:w="493" w:type="pct"/>
            <w:vAlign w:val="center"/>
          </w:tcPr>
          <w:p w14:paraId="5C0FC84F"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S</w:t>
            </w:r>
          </w:p>
        </w:tc>
      </w:tr>
      <w:tr w:rsidR="001537BA" w:rsidRPr="001537BA" w14:paraId="174FE19A" w14:textId="77777777" w:rsidTr="005430FA">
        <w:trPr>
          <w:trHeight w:hRule="exact" w:val="284"/>
        </w:trPr>
        <w:tc>
          <w:tcPr>
            <w:tcW w:w="4014" w:type="pct"/>
          </w:tcPr>
          <w:p w14:paraId="4778B2F2"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7. Service Clutch System</w:t>
            </w:r>
          </w:p>
        </w:tc>
        <w:tc>
          <w:tcPr>
            <w:tcW w:w="493" w:type="pct"/>
            <w:vAlign w:val="center"/>
          </w:tcPr>
          <w:p w14:paraId="7C75D610"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2.62</w:t>
            </w:r>
          </w:p>
        </w:tc>
        <w:tc>
          <w:tcPr>
            <w:tcW w:w="493" w:type="pct"/>
            <w:vAlign w:val="center"/>
          </w:tcPr>
          <w:p w14:paraId="4FA21015"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S</w:t>
            </w:r>
          </w:p>
        </w:tc>
      </w:tr>
      <w:tr w:rsidR="001537BA" w:rsidRPr="001537BA" w14:paraId="74046EE8" w14:textId="77777777" w:rsidTr="005430FA">
        <w:trPr>
          <w:trHeight w:hRule="exact" w:val="284"/>
        </w:trPr>
        <w:tc>
          <w:tcPr>
            <w:tcW w:w="4014" w:type="pct"/>
          </w:tcPr>
          <w:p w14:paraId="6E8EA0F7"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8. Service Differential and Front/Rear Axle</w:t>
            </w:r>
          </w:p>
        </w:tc>
        <w:tc>
          <w:tcPr>
            <w:tcW w:w="493" w:type="pct"/>
            <w:vAlign w:val="center"/>
          </w:tcPr>
          <w:p w14:paraId="70C223A1"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2.66</w:t>
            </w:r>
          </w:p>
        </w:tc>
        <w:tc>
          <w:tcPr>
            <w:tcW w:w="493" w:type="pct"/>
            <w:vAlign w:val="center"/>
          </w:tcPr>
          <w:p w14:paraId="62DDDA16"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S</w:t>
            </w:r>
          </w:p>
        </w:tc>
      </w:tr>
      <w:tr w:rsidR="001537BA" w:rsidRPr="001537BA" w14:paraId="4A66A82D" w14:textId="77777777" w:rsidTr="005430FA">
        <w:trPr>
          <w:trHeight w:hRule="exact" w:val="284"/>
        </w:trPr>
        <w:tc>
          <w:tcPr>
            <w:tcW w:w="4014" w:type="pct"/>
          </w:tcPr>
          <w:p w14:paraId="691FB037"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9. Service Manual Steering System</w:t>
            </w:r>
          </w:p>
        </w:tc>
        <w:tc>
          <w:tcPr>
            <w:tcW w:w="493" w:type="pct"/>
            <w:vAlign w:val="center"/>
          </w:tcPr>
          <w:p w14:paraId="7FB82A95"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2.85</w:t>
            </w:r>
          </w:p>
        </w:tc>
        <w:tc>
          <w:tcPr>
            <w:tcW w:w="493" w:type="pct"/>
            <w:vAlign w:val="center"/>
          </w:tcPr>
          <w:p w14:paraId="574698F4"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S</w:t>
            </w:r>
          </w:p>
        </w:tc>
      </w:tr>
      <w:tr w:rsidR="001537BA" w:rsidRPr="001537BA" w14:paraId="361E6229" w14:textId="77777777" w:rsidTr="005430FA">
        <w:trPr>
          <w:trHeight w:hRule="exact" w:val="284"/>
        </w:trPr>
        <w:tc>
          <w:tcPr>
            <w:tcW w:w="4014" w:type="pct"/>
          </w:tcPr>
          <w:p w14:paraId="5F4E9086"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10. Service Brake System</w:t>
            </w:r>
          </w:p>
        </w:tc>
        <w:tc>
          <w:tcPr>
            <w:tcW w:w="493" w:type="pct"/>
            <w:vAlign w:val="center"/>
          </w:tcPr>
          <w:p w14:paraId="640B5E23"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2.84</w:t>
            </w:r>
          </w:p>
        </w:tc>
        <w:tc>
          <w:tcPr>
            <w:tcW w:w="493" w:type="pct"/>
            <w:vAlign w:val="center"/>
          </w:tcPr>
          <w:p w14:paraId="23274F6A"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S</w:t>
            </w:r>
          </w:p>
        </w:tc>
      </w:tr>
      <w:tr w:rsidR="001537BA" w:rsidRPr="001537BA" w14:paraId="6F05F46A" w14:textId="77777777" w:rsidTr="005430FA">
        <w:trPr>
          <w:trHeight w:hRule="exact" w:val="284"/>
        </w:trPr>
        <w:tc>
          <w:tcPr>
            <w:tcW w:w="4014" w:type="pct"/>
          </w:tcPr>
          <w:p w14:paraId="46A891C4"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11. Service Suspension System</w:t>
            </w:r>
          </w:p>
        </w:tc>
        <w:tc>
          <w:tcPr>
            <w:tcW w:w="493" w:type="pct"/>
            <w:vAlign w:val="center"/>
          </w:tcPr>
          <w:p w14:paraId="4BECE1FF"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2.45</w:t>
            </w:r>
          </w:p>
        </w:tc>
        <w:tc>
          <w:tcPr>
            <w:tcW w:w="493" w:type="pct"/>
            <w:vAlign w:val="center"/>
          </w:tcPr>
          <w:p w14:paraId="59A6CCA6"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U</w:t>
            </w:r>
          </w:p>
        </w:tc>
      </w:tr>
      <w:tr w:rsidR="001537BA" w:rsidRPr="001537BA" w14:paraId="3EC1BAC3" w14:textId="77777777" w:rsidTr="005430FA">
        <w:trPr>
          <w:trHeight w:hRule="exact" w:val="284"/>
        </w:trPr>
        <w:tc>
          <w:tcPr>
            <w:tcW w:w="4014" w:type="pct"/>
          </w:tcPr>
          <w:p w14:paraId="527E66DD"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12. Perform Under chassis Preventive Maintenance</w:t>
            </w:r>
          </w:p>
        </w:tc>
        <w:tc>
          <w:tcPr>
            <w:tcW w:w="493" w:type="pct"/>
            <w:vAlign w:val="center"/>
          </w:tcPr>
          <w:p w14:paraId="563D1CE7"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2.72</w:t>
            </w:r>
          </w:p>
        </w:tc>
        <w:tc>
          <w:tcPr>
            <w:tcW w:w="493" w:type="pct"/>
            <w:vAlign w:val="center"/>
          </w:tcPr>
          <w:p w14:paraId="018AA3FC"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S</w:t>
            </w:r>
          </w:p>
        </w:tc>
      </w:tr>
      <w:tr w:rsidR="001537BA" w:rsidRPr="001537BA" w14:paraId="6C1C1998" w14:textId="77777777" w:rsidTr="005430FA">
        <w:trPr>
          <w:trHeight w:hRule="exact" w:val="284"/>
        </w:trPr>
        <w:tc>
          <w:tcPr>
            <w:tcW w:w="4014" w:type="pct"/>
          </w:tcPr>
          <w:p w14:paraId="292697DE"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lastRenderedPageBreak/>
              <w:t>13. Overhaul Manual Transmission</w:t>
            </w:r>
          </w:p>
        </w:tc>
        <w:tc>
          <w:tcPr>
            <w:tcW w:w="493" w:type="pct"/>
            <w:vAlign w:val="center"/>
          </w:tcPr>
          <w:p w14:paraId="489CFA76"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2.92</w:t>
            </w:r>
          </w:p>
        </w:tc>
        <w:tc>
          <w:tcPr>
            <w:tcW w:w="493" w:type="pct"/>
            <w:vAlign w:val="center"/>
          </w:tcPr>
          <w:p w14:paraId="49416067"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S</w:t>
            </w:r>
          </w:p>
        </w:tc>
      </w:tr>
      <w:tr w:rsidR="001537BA" w:rsidRPr="001537BA" w14:paraId="3622215A" w14:textId="77777777" w:rsidTr="005430FA">
        <w:trPr>
          <w:trHeight w:hRule="exact" w:val="284"/>
        </w:trPr>
        <w:tc>
          <w:tcPr>
            <w:tcW w:w="4014" w:type="pct"/>
          </w:tcPr>
          <w:p w14:paraId="0D0ED5AE" w14:textId="77777777" w:rsidR="001537BA" w:rsidRPr="001537BA" w:rsidRDefault="001537BA" w:rsidP="001537BA">
            <w:pPr>
              <w:pStyle w:val="Body"/>
              <w:spacing w:after="0"/>
              <w:rPr>
                <w:rFonts w:ascii="Arial" w:hAnsi="Arial" w:cs="Arial"/>
                <w:b/>
                <w:bCs/>
                <w:lang w:val="en-PH"/>
              </w:rPr>
            </w:pPr>
            <w:r w:rsidRPr="001537BA">
              <w:rPr>
                <w:rFonts w:ascii="Arial" w:hAnsi="Arial" w:cs="Arial"/>
                <w:lang w:val="en-PH"/>
              </w:rPr>
              <w:t>Overall Mean</w:t>
            </w:r>
          </w:p>
        </w:tc>
        <w:tc>
          <w:tcPr>
            <w:tcW w:w="493" w:type="pct"/>
            <w:vAlign w:val="center"/>
          </w:tcPr>
          <w:p w14:paraId="0D2838A0"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2.67</w:t>
            </w:r>
          </w:p>
        </w:tc>
        <w:tc>
          <w:tcPr>
            <w:tcW w:w="493" w:type="pct"/>
            <w:vAlign w:val="center"/>
          </w:tcPr>
          <w:p w14:paraId="5B10FF61"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S</w:t>
            </w:r>
          </w:p>
        </w:tc>
      </w:tr>
    </w:tbl>
    <w:p w14:paraId="67A777C6" w14:textId="77777777" w:rsidR="00ED020C" w:rsidRDefault="00ED020C" w:rsidP="001537BA">
      <w:pPr>
        <w:pStyle w:val="NoSpacing"/>
      </w:pPr>
    </w:p>
    <w:tbl>
      <w:tblPr>
        <w:tblStyle w:val="PlainTable2"/>
        <w:tblW w:w="7088" w:type="dxa"/>
        <w:tblLook w:val="04A0" w:firstRow="1" w:lastRow="0" w:firstColumn="1" w:lastColumn="0" w:noHBand="0" w:noVBand="1"/>
      </w:tblPr>
      <w:tblGrid>
        <w:gridCol w:w="3119"/>
        <w:gridCol w:w="3969"/>
      </w:tblGrid>
      <w:tr w:rsidR="00ED020C" w:rsidRPr="00ED020C" w14:paraId="351FAFAC" w14:textId="77777777" w:rsidTr="00ED020C">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119" w:type="dxa"/>
            <w:vMerge w:val="restart"/>
          </w:tcPr>
          <w:p w14:paraId="4580EFC4" w14:textId="77777777" w:rsidR="00ED020C" w:rsidRPr="00ED020C" w:rsidRDefault="00ED020C" w:rsidP="00ED020C">
            <w:pPr>
              <w:pStyle w:val="NoSpacing"/>
              <w:rPr>
                <w:b w:val="0"/>
                <w:bCs w:val="0"/>
              </w:rPr>
            </w:pPr>
            <w:r w:rsidRPr="00ED020C">
              <w:rPr>
                <w:b w:val="0"/>
                <w:bCs w:val="0"/>
              </w:rPr>
              <w:t>MEAN RANGE</w:t>
            </w:r>
          </w:p>
        </w:tc>
        <w:tc>
          <w:tcPr>
            <w:tcW w:w="3969" w:type="dxa"/>
            <w:tcBorders>
              <w:bottom w:val="single" w:sz="4" w:space="0" w:color="auto"/>
              <w:right w:val="single" w:sz="4" w:space="0" w:color="auto"/>
            </w:tcBorders>
          </w:tcPr>
          <w:p w14:paraId="7E7B1900" w14:textId="29618E07" w:rsidR="00ED020C" w:rsidRPr="00ED020C" w:rsidRDefault="00ED020C" w:rsidP="00ED020C">
            <w:pPr>
              <w:pStyle w:val="NoSpacing"/>
              <w:cnfStyle w:val="100000000000" w:firstRow="1" w:lastRow="0" w:firstColumn="0" w:lastColumn="0" w:oddVBand="0" w:evenVBand="0" w:oddHBand="0" w:evenHBand="0" w:firstRowFirstColumn="0" w:firstRowLastColumn="0" w:lastRowFirstColumn="0" w:lastRowLastColumn="0"/>
              <w:rPr>
                <w:b w:val="0"/>
                <w:bCs w:val="0"/>
              </w:rPr>
            </w:pPr>
            <w:r w:rsidRPr="00ED020C">
              <w:rPr>
                <w:b w:val="0"/>
                <w:bCs w:val="0"/>
              </w:rPr>
              <w:t>DESCRIPTION</w:t>
            </w:r>
          </w:p>
        </w:tc>
      </w:tr>
      <w:tr w:rsidR="00ED020C" w:rsidRPr="00ED020C" w14:paraId="7D3DADE8" w14:textId="77777777" w:rsidTr="00ED020C">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3119" w:type="dxa"/>
            <w:vMerge/>
          </w:tcPr>
          <w:p w14:paraId="5C798567" w14:textId="77777777" w:rsidR="00ED020C" w:rsidRPr="00ED020C" w:rsidRDefault="00ED020C" w:rsidP="00ED020C">
            <w:pPr>
              <w:pStyle w:val="NoSpacing"/>
            </w:pPr>
          </w:p>
        </w:tc>
        <w:tc>
          <w:tcPr>
            <w:tcW w:w="3969" w:type="dxa"/>
            <w:tcBorders>
              <w:top w:val="single" w:sz="4" w:space="0" w:color="auto"/>
              <w:right w:val="single" w:sz="4" w:space="0" w:color="auto"/>
            </w:tcBorders>
          </w:tcPr>
          <w:p w14:paraId="3CFFB635" w14:textId="737E5B7F" w:rsidR="00ED020C" w:rsidRPr="00ED020C" w:rsidRDefault="00ED020C" w:rsidP="00ED020C">
            <w:pPr>
              <w:pStyle w:val="NoSpacing"/>
              <w:cnfStyle w:val="000000100000" w:firstRow="0" w:lastRow="0" w:firstColumn="0" w:lastColumn="0" w:oddVBand="0" w:evenVBand="0" w:oddHBand="1" w:evenHBand="0" w:firstRowFirstColumn="0" w:firstRowLastColumn="0" w:lastRowFirstColumn="0" w:lastRowLastColumn="0"/>
              <w:rPr>
                <w:b/>
                <w:bCs/>
              </w:rPr>
            </w:pPr>
            <w:r w:rsidRPr="00ED020C">
              <w:rPr>
                <w:b/>
                <w:bCs/>
              </w:rPr>
              <w:t xml:space="preserve">Readiness </w:t>
            </w:r>
          </w:p>
        </w:tc>
      </w:tr>
      <w:tr w:rsidR="00ED020C" w:rsidRPr="00ED020C" w14:paraId="4FA57757" w14:textId="77777777" w:rsidTr="00ED020C">
        <w:trPr>
          <w:trHeight w:val="315"/>
        </w:trPr>
        <w:tc>
          <w:tcPr>
            <w:cnfStyle w:val="001000000000" w:firstRow="0" w:lastRow="0" w:firstColumn="1" w:lastColumn="0" w:oddVBand="0" w:evenVBand="0" w:oddHBand="0" w:evenHBand="0" w:firstRowFirstColumn="0" w:firstRowLastColumn="0" w:lastRowFirstColumn="0" w:lastRowLastColumn="0"/>
            <w:tcW w:w="3119" w:type="dxa"/>
          </w:tcPr>
          <w:p w14:paraId="05AB994B" w14:textId="77777777" w:rsidR="00ED020C" w:rsidRPr="00ED020C" w:rsidRDefault="00ED020C" w:rsidP="00ED020C">
            <w:pPr>
              <w:pStyle w:val="NoSpacing"/>
            </w:pPr>
            <w:r w:rsidRPr="00ED020C">
              <w:t>4.20 - 5.00</w:t>
            </w:r>
          </w:p>
        </w:tc>
        <w:tc>
          <w:tcPr>
            <w:tcW w:w="3969" w:type="dxa"/>
            <w:tcBorders>
              <w:right w:val="single" w:sz="4" w:space="0" w:color="auto"/>
            </w:tcBorders>
          </w:tcPr>
          <w:p w14:paraId="23249815" w14:textId="77777777" w:rsidR="00ED020C" w:rsidRPr="00ED020C" w:rsidRDefault="00ED020C" w:rsidP="00ED020C">
            <w:pPr>
              <w:pStyle w:val="NoSpacing"/>
              <w:cnfStyle w:val="000000000000" w:firstRow="0" w:lastRow="0" w:firstColumn="0" w:lastColumn="0" w:oddVBand="0" w:evenVBand="0" w:oddHBand="0" w:evenHBand="0" w:firstRowFirstColumn="0" w:firstRowLastColumn="0" w:lastRowFirstColumn="0" w:lastRowLastColumn="0"/>
            </w:pPr>
            <w:r w:rsidRPr="00ED020C">
              <w:t xml:space="preserve">Outstanding </w:t>
            </w:r>
          </w:p>
        </w:tc>
      </w:tr>
      <w:tr w:rsidR="00ED020C" w:rsidRPr="00ED020C" w14:paraId="54B3BABE" w14:textId="77777777" w:rsidTr="00ED020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19" w:type="dxa"/>
          </w:tcPr>
          <w:p w14:paraId="46810723" w14:textId="77777777" w:rsidR="00ED020C" w:rsidRPr="00ED020C" w:rsidRDefault="00ED020C" w:rsidP="00ED020C">
            <w:pPr>
              <w:pStyle w:val="NoSpacing"/>
            </w:pPr>
            <w:r w:rsidRPr="00ED020C">
              <w:t>3.40 – 4.19</w:t>
            </w:r>
          </w:p>
        </w:tc>
        <w:tc>
          <w:tcPr>
            <w:tcW w:w="3969" w:type="dxa"/>
            <w:tcBorders>
              <w:right w:val="single" w:sz="4" w:space="0" w:color="auto"/>
            </w:tcBorders>
          </w:tcPr>
          <w:p w14:paraId="5EFBA55A" w14:textId="77777777" w:rsidR="00ED020C" w:rsidRPr="00ED020C" w:rsidRDefault="00ED020C" w:rsidP="00ED020C">
            <w:pPr>
              <w:pStyle w:val="NoSpacing"/>
              <w:cnfStyle w:val="000000100000" w:firstRow="0" w:lastRow="0" w:firstColumn="0" w:lastColumn="0" w:oddVBand="0" w:evenVBand="0" w:oddHBand="1" w:evenHBand="0" w:firstRowFirstColumn="0" w:firstRowLastColumn="0" w:lastRowFirstColumn="0" w:lastRowLastColumn="0"/>
            </w:pPr>
            <w:r w:rsidRPr="00ED020C">
              <w:t xml:space="preserve">Very Satisfactory </w:t>
            </w:r>
          </w:p>
        </w:tc>
      </w:tr>
      <w:tr w:rsidR="00ED020C" w:rsidRPr="00ED020C" w14:paraId="61267793" w14:textId="77777777" w:rsidTr="00ED020C">
        <w:trPr>
          <w:trHeight w:val="315"/>
        </w:trPr>
        <w:tc>
          <w:tcPr>
            <w:cnfStyle w:val="001000000000" w:firstRow="0" w:lastRow="0" w:firstColumn="1" w:lastColumn="0" w:oddVBand="0" w:evenVBand="0" w:oddHBand="0" w:evenHBand="0" w:firstRowFirstColumn="0" w:firstRowLastColumn="0" w:lastRowFirstColumn="0" w:lastRowLastColumn="0"/>
            <w:tcW w:w="3119" w:type="dxa"/>
          </w:tcPr>
          <w:p w14:paraId="126A085B" w14:textId="77777777" w:rsidR="00ED020C" w:rsidRPr="00ED020C" w:rsidRDefault="00ED020C" w:rsidP="00ED020C">
            <w:pPr>
              <w:pStyle w:val="NoSpacing"/>
            </w:pPr>
            <w:r w:rsidRPr="00ED020C">
              <w:t>2.60 – 3.39</w:t>
            </w:r>
          </w:p>
        </w:tc>
        <w:tc>
          <w:tcPr>
            <w:tcW w:w="3969" w:type="dxa"/>
            <w:tcBorders>
              <w:right w:val="single" w:sz="4" w:space="0" w:color="auto"/>
            </w:tcBorders>
          </w:tcPr>
          <w:p w14:paraId="08CF571D" w14:textId="77777777" w:rsidR="00ED020C" w:rsidRPr="00ED020C" w:rsidRDefault="00ED020C" w:rsidP="00ED020C">
            <w:pPr>
              <w:pStyle w:val="NoSpacing"/>
              <w:cnfStyle w:val="000000000000" w:firstRow="0" w:lastRow="0" w:firstColumn="0" w:lastColumn="0" w:oddVBand="0" w:evenVBand="0" w:oddHBand="0" w:evenHBand="0" w:firstRowFirstColumn="0" w:firstRowLastColumn="0" w:lastRowFirstColumn="0" w:lastRowLastColumn="0"/>
            </w:pPr>
            <w:r w:rsidRPr="00ED020C">
              <w:t>Satisfactory</w:t>
            </w:r>
          </w:p>
        </w:tc>
      </w:tr>
      <w:tr w:rsidR="00ED020C" w:rsidRPr="00ED020C" w14:paraId="68D2246B" w14:textId="77777777" w:rsidTr="00ED020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19" w:type="dxa"/>
          </w:tcPr>
          <w:p w14:paraId="1F636C94" w14:textId="77777777" w:rsidR="00ED020C" w:rsidRPr="00ED020C" w:rsidRDefault="00ED020C" w:rsidP="00ED020C">
            <w:pPr>
              <w:pStyle w:val="NoSpacing"/>
            </w:pPr>
            <w:r w:rsidRPr="00ED020C">
              <w:t>1.80 – 2.59</w:t>
            </w:r>
          </w:p>
        </w:tc>
        <w:tc>
          <w:tcPr>
            <w:tcW w:w="3969" w:type="dxa"/>
            <w:tcBorders>
              <w:right w:val="single" w:sz="4" w:space="0" w:color="auto"/>
            </w:tcBorders>
          </w:tcPr>
          <w:p w14:paraId="44492F26" w14:textId="77777777" w:rsidR="00ED020C" w:rsidRPr="00ED020C" w:rsidRDefault="00ED020C" w:rsidP="00ED020C">
            <w:pPr>
              <w:pStyle w:val="NoSpacing"/>
              <w:cnfStyle w:val="000000100000" w:firstRow="0" w:lastRow="0" w:firstColumn="0" w:lastColumn="0" w:oddVBand="0" w:evenVBand="0" w:oddHBand="1" w:evenHBand="0" w:firstRowFirstColumn="0" w:firstRowLastColumn="0" w:lastRowFirstColumn="0" w:lastRowLastColumn="0"/>
            </w:pPr>
            <w:r w:rsidRPr="00ED020C">
              <w:t>Unsatisfactory</w:t>
            </w:r>
          </w:p>
        </w:tc>
      </w:tr>
      <w:tr w:rsidR="00ED020C" w:rsidRPr="00ED020C" w14:paraId="2498261E" w14:textId="77777777" w:rsidTr="00ED020C">
        <w:trPr>
          <w:trHeight w:val="315"/>
        </w:trPr>
        <w:tc>
          <w:tcPr>
            <w:cnfStyle w:val="001000000000" w:firstRow="0" w:lastRow="0" w:firstColumn="1" w:lastColumn="0" w:oddVBand="0" w:evenVBand="0" w:oddHBand="0" w:evenHBand="0" w:firstRowFirstColumn="0" w:firstRowLastColumn="0" w:lastRowFirstColumn="0" w:lastRowLastColumn="0"/>
            <w:tcW w:w="3119" w:type="dxa"/>
          </w:tcPr>
          <w:p w14:paraId="11B23182" w14:textId="77777777" w:rsidR="00ED020C" w:rsidRPr="00ED020C" w:rsidRDefault="00ED020C" w:rsidP="00ED020C">
            <w:pPr>
              <w:pStyle w:val="NoSpacing"/>
            </w:pPr>
            <w:r w:rsidRPr="00ED020C">
              <w:t>1.00 – 1.79</w:t>
            </w:r>
          </w:p>
        </w:tc>
        <w:tc>
          <w:tcPr>
            <w:tcW w:w="3969" w:type="dxa"/>
            <w:tcBorders>
              <w:right w:val="single" w:sz="4" w:space="0" w:color="auto"/>
            </w:tcBorders>
          </w:tcPr>
          <w:p w14:paraId="7C22060A" w14:textId="77777777" w:rsidR="00ED020C" w:rsidRPr="00ED020C" w:rsidRDefault="00ED020C" w:rsidP="00ED020C">
            <w:pPr>
              <w:pStyle w:val="NoSpacing"/>
              <w:cnfStyle w:val="000000000000" w:firstRow="0" w:lastRow="0" w:firstColumn="0" w:lastColumn="0" w:oddVBand="0" w:evenVBand="0" w:oddHBand="0" w:evenHBand="0" w:firstRowFirstColumn="0" w:firstRowLastColumn="0" w:lastRowFirstColumn="0" w:lastRowLastColumn="0"/>
            </w:pPr>
            <w:r w:rsidRPr="00ED020C">
              <w:t xml:space="preserve">Poor </w:t>
            </w:r>
          </w:p>
        </w:tc>
      </w:tr>
    </w:tbl>
    <w:p w14:paraId="5F34CB99" w14:textId="77777777" w:rsidR="00E4072C" w:rsidRDefault="00E4072C" w:rsidP="00ED020C">
      <w:pPr>
        <w:pStyle w:val="Body"/>
        <w:spacing w:after="0"/>
        <w:rPr>
          <w:rFonts w:ascii="Arial" w:hAnsi="Arial" w:cs="Arial"/>
        </w:rPr>
      </w:pPr>
    </w:p>
    <w:p w14:paraId="6B763207" w14:textId="3C33D409" w:rsidR="00E4072C" w:rsidRDefault="00A07DBE" w:rsidP="00A07DBE">
      <w:pPr>
        <w:pStyle w:val="Body"/>
        <w:ind w:firstLine="720"/>
        <w:rPr>
          <w:rFonts w:ascii="Arial" w:hAnsi="Arial" w:cs="Arial"/>
        </w:rPr>
      </w:pPr>
      <w:r w:rsidRPr="00A07DBE">
        <w:rPr>
          <w:rFonts w:ascii="Arial" w:hAnsi="Arial" w:cs="Arial"/>
        </w:rPr>
        <w:t xml:space="preserve">The competency levels of students in TVL-Automotive show a satisfactory overall performance, with an overall mean of 2.67. Tasks such as "Service Automotive Battery" (3.47) reached a very satisfactory level, while most skills, including "Service Ignition System," "Service Engine Mechanical System," and "Overhaul Manual Transmission," fell within the satisfactory range. However, skills like "Test and Repair Wiring/Lighting System" (2.22), "Service Starting System" (2.50), and "Service Charging System" (2.43) were rated as unsatisfactory, indicating areas needing focused improvement and additional </w:t>
      </w:r>
      <w:proofErr w:type="spellStart"/>
      <w:r w:rsidRPr="00A07DBE">
        <w:rPr>
          <w:rFonts w:ascii="Arial" w:hAnsi="Arial" w:cs="Arial"/>
        </w:rPr>
        <w:t>training.The</w:t>
      </w:r>
      <w:proofErr w:type="spellEnd"/>
      <w:r w:rsidRPr="00A07DBE">
        <w:rPr>
          <w:rFonts w:ascii="Arial" w:hAnsi="Arial" w:cs="Arial"/>
        </w:rPr>
        <w:t xml:space="preserve"> spread of scores suggests students are moderately prepared but exhibit varied proficiency across different competencies. While foundational skills in mechanics are generally well-developed, some specialized systems—particularly electrical components—pose greater challenges. This highlights the need for more targeted instructional strategies, increased hands-on experience, and perhaps curriculum adjustments to reinforce weaker skill areas. Addressing these gaps will be vital for improving both confidence and performance in actual workplace environments.</w:t>
      </w:r>
    </w:p>
    <w:p w14:paraId="3DDA6B24" w14:textId="770C6330" w:rsidR="00E4072C" w:rsidRDefault="00E4072C" w:rsidP="00E4072C">
      <w:pPr>
        <w:pStyle w:val="Body"/>
        <w:spacing w:after="0"/>
        <w:ind w:firstLine="720"/>
        <w:rPr>
          <w:rFonts w:ascii="Arial" w:hAnsi="Arial" w:cs="Arial"/>
        </w:rPr>
      </w:pPr>
      <w:r w:rsidRPr="00E4072C">
        <w:rPr>
          <w:rFonts w:ascii="Arial" w:hAnsi="Arial" w:cs="Arial"/>
        </w:rPr>
        <w:t xml:space="preserve">Table 3: </w:t>
      </w:r>
      <w:r w:rsidR="00DA0E79">
        <w:rPr>
          <w:rFonts w:ascii="Arial" w:hAnsi="Arial" w:cs="Arial"/>
        </w:rPr>
        <w:t>L</w:t>
      </w:r>
      <w:r w:rsidRPr="00E4072C">
        <w:rPr>
          <w:rFonts w:ascii="Arial" w:hAnsi="Arial" w:cs="Arial"/>
        </w:rPr>
        <w:t>evel of readiness of TVL-Automotive Grade 12 for National Certification II</w:t>
      </w:r>
    </w:p>
    <w:p w14:paraId="79F0C17B" w14:textId="67D1E0A8" w:rsidR="00E4072C" w:rsidRDefault="00E4072C" w:rsidP="00E4072C">
      <w:pPr>
        <w:pStyle w:val="Body"/>
        <w:spacing w:after="0"/>
        <w:ind w:firstLine="720"/>
        <w:rPr>
          <w:rFonts w:ascii="Arial" w:hAnsi="Arial" w:cs="Arial"/>
        </w:rPr>
      </w:pPr>
    </w:p>
    <w:tbl>
      <w:tblPr>
        <w:tblW w:w="8790" w:type="dxa"/>
        <w:tblInd w:w="-5" w:type="dxa"/>
        <w:tblBorders>
          <w:top w:val="single" w:sz="4" w:space="0" w:color="auto"/>
          <w:bottom w:val="single" w:sz="4" w:space="0" w:color="auto"/>
        </w:tblBorders>
        <w:tblLook w:val="04A0" w:firstRow="1" w:lastRow="0" w:firstColumn="1" w:lastColumn="0" w:noHBand="0" w:noVBand="1"/>
      </w:tblPr>
      <w:tblGrid>
        <w:gridCol w:w="5642"/>
        <w:gridCol w:w="1559"/>
        <w:gridCol w:w="1589"/>
      </w:tblGrid>
      <w:tr w:rsidR="001537BA" w:rsidRPr="001537BA" w14:paraId="59825B4A" w14:textId="77777777" w:rsidTr="001537BA">
        <w:trPr>
          <w:trHeight w:hRule="exact" w:val="247"/>
        </w:trPr>
        <w:tc>
          <w:tcPr>
            <w:tcW w:w="5642" w:type="dxa"/>
            <w:tcBorders>
              <w:top w:val="single" w:sz="4" w:space="0" w:color="auto"/>
              <w:bottom w:val="single" w:sz="4" w:space="0" w:color="auto"/>
            </w:tcBorders>
          </w:tcPr>
          <w:p w14:paraId="39047976" w14:textId="77777777" w:rsidR="001537BA" w:rsidRPr="001537BA" w:rsidRDefault="001537BA" w:rsidP="001537BA">
            <w:pPr>
              <w:pStyle w:val="Body"/>
              <w:ind w:firstLine="720"/>
              <w:rPr>
                <w:rFonts w:ascii="Arial" w:hAnsi="Arial" w:cs="Arial"/>
                <w:lang w:val="en-PH"/>
              </w:rPr>
            </w:pPr>
            <w:r w:rsidRPr="001537BA">
              <w:rPr>
                <w:rFonts w:ascii="Arial" w:hAnsi="Arial" w:cs="Arial"/>
              </w:rPr>
              <w:t>LEVEL OF READINESS</w:t>
            </w:r>
          </w:p>
        </w:tc>
        <w:tc>
          <w:tcPr>
            <w:tcW w:w="1559" w:type="dxa"/>
            <w:tcBorders>
              <w:top w:val="single" w:sz="4" w:space="0" w:color="auto"/>
              <w:bottom w:val="single" w:sz="4" w:space="0" w:color="auto"/>
            </w:tcBorders>
            <w:vAlign w:val="center"/>
          </w:tcPr>
          <w:p w14:paraId="7BB46FD7" w14:textId="1718C8E4" w:rsidR="001537BA" w:rsidRPr="001537BA" w:rsidRDefault="00F95595" w:rsidP="001537BA">
            <w:pPr>
              <w:pStyle w:val="Body"/>
              <w:ind w:firstLine="720"/>
              <w:rPr>
                <w:rFonts w:ascii="Arial" w:hAnsi="Arial" w:cs="Arial"/>
                <w:lang w:val="en-PH"/>
              </w:rPr>
            </w:pPr>
            <m:oMathPara>
              <m:oMath>
                <m:acc>
                  <m:accPr>
                    <m:chr m:val="̅"/>
                    <m:ctrlPr>
                      <w:rPr>
                        <w:rFonts w:ascii="Cambria Math" w:hAnsi="Cambria Math" w:cs="Arial"/>
                        <w:i/>
                        <w:lang w:val="en-PH"/>
                      </w:rPr>
                    </m:ctrlPr>
                  </m:accPr>
                  <m:e>
                    <m:r>
                      <w:rPr>
                        <w:rFonts w:ascii="Cambria Math" w:hAnsi="Cambria Math" w:cs="Arial"/>
                        <w:lang w:val="en-PH"/>
                      </w:rPr>
                      <m:t>x</m:t>
                    </m:r>
                  </m:e>
                </m:acc>
              </m:oMath>
            </m:oMathPara>
          </w:p>
        </w:tc>
        <w:tc>
          <w:tcPr>
            <w:tcW w:w="1589" w:type="dxa"/>
            <w:tcBorders>
              <w:top w:val="single" w:sz="4" w:space="0" w:color="auto"/>
              <w:bottom w:val="single" w:sz="4" w:space="0" w:color="auto"/>
            </w:tcBorders>
            <w:vAlign w:val="center"/>
          </w:tcPr>
          <w:p w14:paraId="5433925A" w14:textId="77777777" w:rsidR="001537BA" w:rsidRPr="001537BA" w:rsidRDefault="001537BA" w:rsidP="001537BA">
            <w:pPr>
              <w:pStyle w:val="Body"/>
              <w:ind w:firstLine="720"/>
              <w:rPr>
                <w:rFonts w:ascii="Arial" w:hAnsi="Arial" w:cs="Arial"/>
                <w:lang w:val="en-PH"/>
              </w:rPr>
            </w:pPr>
            <w:r w:rsidRPr="001537BA">
              <w:rPr>
                <w:rFonts w:ascii="Arial" w:hAnsi="Arial" w:cs="Arial"/>
                <w:lang w:val="en-PH"/>
              </w:rPr>
              <w:t>DI</w:t>
            </w:r>
          </w:p>
        </w:tc>
      </w:tr>
      <w:tr w:rsidR="001537BA" w:rsidRPr="001537BA" w14:paraId="06443997" w14:textId="77777777" w:rsidTr="001537BA">
        <w:trPr>
          <w:trHeight w:hRule="exact" w:val="397"/>
        </w:trPr>
        <w:tc>
          <w:tcPr>
            <w:tcW w:w="5642" w:type="dxa"/>
            <w:tcBorders>
              <w:top w:val="single" w:sz="4" w:space="0" w:color="auto"/>
            </w:tcBorders>
          </w:tcPr>
          <w:p w14:paraId="78F5027E" w14:textId="77777777" w:rsidR="001537BA" w:rsidRPr="001537BA" w:rsidRDefault="001537BA" w:rsidP="001537BA">
            <w:pPr>
              <w:pStyle w:val="Body"/>
              <w:ind w:firstLine="720"/>
              <w:rPr>
                <w:rFonts w:ascii="Arial" w:hAnsi="Arial" w:cs="Arial"/>
                <w:lang w:val="en-PH"/>
              </w:rPr>
            </w:pPr>
            <w:r w:rsidRPr="001537BA">
              <w:rPr>
                <w:rFonts w:ascii="Arial" w:hAnsi="Arial" w:cs="Arial"/>
                <w:lang w:val="en-PH"/>
              </w:rPr>
              <w:t>Theoretical Knowledge</w:t>
            </w:r>
          </w:p>
        </w:tc>
        <w:tc>
          <w:tcPr>
            <w:tcW w:w="1559" w:type="dxa"/>
            <w:tcBorders>
              <w:top w:val="single" w:sz="4" w:space="0" w:color="auto"/>
            </w:tcBorders>
            <w:vAlign w:val="center"/>
          </w:tcPr>
          <w:p w14:paraId="6A6D8917" w14:textId="77777777" w:rsidR="001537BA" w:rsidRPr="001537BA" w:rsidRDefault="001537BA" w:rsidP="001537BA">
            <w:pPr>
              <w:pStyle w:val="Body"/>
              <w:ind w:firstLine="720"/>
              <w:rPr>
                <w:rFonts w:ascii="Arial" w:hAnsi="Arial" w:cs="Arial"/>
              </w:rPr>
            </w:pPr>
            <w:r w:rsidRPr="001537BA">
              <w:rPr>
                <w:rFonts w:ascii="Arial" w:hAnsi="Arial" w:cs="Arial"/>
              </w:rPr>
              <w:t>4.05</w:t>
            </w:r>
          </w:p>
        </w:tc>
        <w:tc>
          <w:tcPr>
            <w:tcW w:w="1589" w:type="dxa"/>
            <w:tcBorders>
              <w:top w:val="single" w:sz="4" w:space="0" w:color="auto"/>
            </w:tcBorders>
            <w:vAlign w:val="center"/>
          </w:tcPr>
          <w:p w14:paraId="07313829" w14:textId="77777777" w:rsidR="001537BA" w:rsidRPr="001537BA" w:rsidRDefault="001537BA" w:rsidP="001537BA">
            <w:pPr>
              <w:pStyle w:val="Body"/>
              <w:ind w:firstLine="720"/>
              <w:rPr>
                <w:rFonts w:ascii="Arial" w:hAnsi="Arial" w:cs="Arial"/>
              </w:rPr>
            </w:pPr>
            <w:r w:rsidRPr="001537BA">
              <w:rPr>
                <w:rFonts w:ascii="Arial" w:hAnsi="Arial" w:cs="Arial"/>
              </w:rPr>
              <w:t>EE</w:t>
            </w:r>
          </w:p>
        </w:tc>
      </w:tr>
      <w:tr w:rsidR="001537BA" w:rsidRPr="001537BA" w14:paraId="001D96A4" w14:textId="77777777" w:rsidTr="001537BA">
        <w:trPr>
          <w:trHeight w:hRule="exact" w:val="405"/>
        </w:trPr>
        <w:tc>
          <w:tcPr>
            <w:tcW w:w="5642" w:type="dxa"/>
          </w:tcPr>
          <w:p w14:paraId="02620E48" w14:textId="77777777" w:rsidR="001537BA" w:rsidRPr="001537BA" w:rsidRDefault="001537BA" w:rsidP="001537BA">
            <w:pPr>
              <w:pStyle w:val="Body"/>
              <w:ind w:firstLine="720"/>
              <w:rPr>
                <w:rFonts w:ascii="Arial" w:hAnsi="Arial" w:cs="Arial"/>
                <w:lang w:val="en-PH"/>
              </w:rPr>
            </w:pPr>
            <w:r w:rsidRPr="001537BA">
              <w:rPr>
                <w:rFonts w:ascii="Arial" w:hAnsi="Arial" w:cs="Arial"/>
                <w:lang w:val="en-PH"/>
              </w:rPr>
              <w:t>Practical Knowledge</w:t>
            </w:r>
          </w:p>
        </w:tc>
        <w:tc>
          <w:tcPr>
            <w:tcW w:w="1559" w:type="dxa"/>
            <w:vAlign w:val="center"/>
          </w:tcPr>
          <w:p w14:paraId="06CA8B05" w14:textId="77777777" w:rsidR="001537BA" w:rsidRPr="001537BA" w:rsidRDefault="001537BA" w:rsidP="001537BA">
            <w:pPr>
              <w:pStyle w:val="Body"/>
              <w:ind w:firstLine="720"/>
              <w:rPr>
                <w:rFonts w:ascii="Arial" w:hAnsi="Arial" w:cs="Arial"/>
                <w:lang w:val="en-PH"/>
              </w:rPr>
            </w:pPr>
            <w:r w:rsidRPr="001537BA">
              <w:rPr>
                <w:rFonts w:ascii="Arial" w:hAnsi="Arial" w:cs="Arial"/>
                <w:lang w:val="en-PH"/>
              </w:rPr>
              <w:t>3.67</w:t>
            </w:r>
          </w:p>
        </w:tc>
        <w:tc>
          <w:tcPr>
            <w:tcW w:w="1589" w:type="dxa"/>
            <w:vAlign w:val="center"/>
          </w:tcPr>
          <w:p w14:paraId="2343EE66" w14:textId="77777777" w:rsidR="001537BA" w:rsidRPr="001537BA" w:rsidRDefault="001537BA" w:rsidP="001537BA">
            <w:pPr>
              <w:pStyle w:val="Body"/>
              <w:spacing w:after="0"/>
              <w:ind w:firstLine="720"/>
              <w:rPr>
                <w:rFonts w:ascii="Arial" w:hAnsi="Arial" w:cs="Arial"/>
                <w:lang w:val="en-PH"/>
              </w:rPr>
            </w:pPr>
            <w:r w:rsidRPr="001537BA">
              <w:rPr>
                <w:rFonts w:ascii="Arial" w:hAnsi="Arial" w:cs="Arial"/>
                <w:lang w:val="en-PH"/>
              </w:rPr>
              <w:t>EE</w:t>
            </w:r>
          </w:p>
        </w:tc>
      </w:tr>
      <w:tr w:rsidR="001537BA" w:rsidRPr="001537BA" w14:paraId="530601E2" w14:textId="77777777" w:rsidTr="001537BA">
        <w:trPr>
          <w:trHeight w:hRule="exact" w:val="311"/>
        </w:trPr>
        <w:tc>
          <w:tcPr>
            <w:tcW w:w="5642" w:type="dxa"/>
          </w:tcPr>
          <w:p w14:paraId="0A28C2C6" w14:textId="77777777" w:rsidR="001537BA" w:rsidRPr="001537BA" w:rsidRDefault="001537BA" w:rsidP="001537BA">
            <w:pPr>
              <w:pStyle w:val="Body"/>
              <w:ind w:firstLine="720"/>
              <w:rPr>
                <w:rFonts w:ascii="Arial" w:hAnsi="Arial" w:cs="Arial"/>
                <w:lang w:val="en-PH"/>
              </w:rPr>
            </w:pPr>
            <w:r w:rsidRPr="001537BA">
              <w:rPr>
                <w:rFonts w:ascii="Arial" w:hAnsi="Arial" w:cs="Arial"/>
                <w:lang w:val="en-PH"/>
              </w:rPr>
              <w:t>Category Mean</w:t>
            </w:r>
          </w:p>
        </w:tc>
        <w:tc>
          <w:tcPr>
            <w:tcW w:w="1559" w:type="dxa"/>
            <w:vAlign w:val="center"/>
          </w:tcPr>
          <w:p w14:paraId="58C4CFB4" w14:textId="77777777" w:rsidR="001537BA" w:rsidRPr="001537BA" w:rsidRDefault="001537BA" w:rsidP="001537BA">
            <w:pPr>
              <w:pStyle w:val="Body"/>
              <w:ind w:firstLine="720"/>
              <w:rPr>
                <w:rFonts w:ascii="Arial" w:hAnsi="Arial" w:cs="Arial"/>
              </w:rPr>
            </w:pPr>
            <w:r w:rsidRPr="001537BA">
              <w:rPr>
                <w:rFonts w:ascii="Arial" w:hAnsi="Arial" w:cs="Arial"/>
              </w:rPr>
              <w:t>3.86</w:t>
            </w:r>
          </w:p>
        </w:tc>
        <w:tc>
          <w:tcPr>
            <w:tcW w:w="1589" w:type="dxa"/>
            <w:vAlign w:val="center"/>
          </w:tcPr>
          <w:p w14:paraId="11610B95" w14:textId="77777777" w:rsidR="001537BA" w:rsidRPr="001537BA" w:rsidRDefault="001537BA" w:rsidP="001537BA">
            <w:pPr>
              <w:pStyle w:val="Body"/>
              <w:ind w:firstLine="720"/>
              <w:rPr>
                <w:rFonts w:ascii="Arial" w:hAnsi="Arial" w:cs="Arial"/>
              </w:rPr>
            </w:pPr>
            <w:r w:rsidRPr="001537BA">
              <w:rPr>
                <w:rFonts w:ascii="Arial" w:hAnsi="Arial" w:cs="Arial"/>
              </w:rPr>
              <w:t>EE</w:t>
            </w:r>
          </w:p>
        </w:tc>
      </w:tr>
    </w:tbl>
    <w:p w14:paraId="79A47807" w14:textId="6E63D196" w:rsidR="001537BA" w:rsidRDefault="001537BA" w:rsidP="00E4072C">
      <w:pPr>
        <w:pStyle w:val="Body"/>
        <w:spacing w:after="0"/>
        <w:ind w:firstLine="720"/>
        <w:rPr>
          <w:rFonts w:ascii="Arial" w:hAnsi="Arial" w:cs="Arial"/>
        </w:rPr>
      </w:pPr>
    </w:p>
    <w:tbl>
      <w:tblPr>
        <w:tblStyle w:val="PlainTable2"/>
        <w:tblW w:w="5387" w:type="dxa"/>
        <w:tblLook w:val="04A0" w:firstRow="1" w:lastRow="0" w:firstColumn="1" w:lastColumn="0" w:noHBand="0" w:noVBand="1"/>
      </w:tblPr>
      <w:tblGrid>
        <w:gridCol w:w="1985"/>
        <w:gridCol w:w="3402"/>
      </w:tblGrid>
      <w:tr w:rsidR="00ED020C" w:rsidRPr="00ED020C" w14:paraId="1D797CF0" w14:textId="77777777" w:rsidTr="00ED020C">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85" w:type="dxa"/>
            <w:vMerge w:val="restart"/>
          </w:tcPr>
          <w:p w14:paraId="1886A6D6" w14:textId="77777777" w:rsidR="00ED020C" w:rsidRPr="00ED020C" w:rsidRDefault="00ED020C" w:rsidP="00ED020C">
            <w:pPr>
              <w:jc w:val="both"/>
              <w:rPr>
                <w:rFonts w:ascii="Arial" w:hAnsi="Arial" w:cs="Arial"/>
              </w:rPr>
            </w:pPr>
            <w:r w:rsidRPr="00ED020C">
              <w:rPr>
                <w:rFonts w:ascii="Arial" w:hAnsi="Arial" w:cs="Arial"/>
              </w:rPr>
              <w:t>MEAN RANGE</w:t>
            </w:r>
          </w:p>
        </w:tc>
        <w:tc>
          <w:tcPr>
            <w:tcW w:w="3402" w:type="dxa"/>
            <w:tcBorders>
              <w:left w:val="single" w:sz="4" w:space="0" w:color="auto"/>
              <w:bottom w:val="single" w:sz="4" w:space="0" w:color="auto"/>
            </w:tcBorders>
          </w:tcPr>
          <w:p w14:paraId="273E5617" w14:textId="77777777" w:rsidR="00ED020C" w:rsidRPr="00ED020C" w:rsidRDefault="00ED020C" w:rsidP="00ED020C">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D020C">
              <w:rPr>
                <w:rFonts w:ascii="Arial" w:hAnsi="Arial" w:cs="Arial"/>
              </w:rPr>
              <w:t>DESCRIPTION</w:t>
            </w:r>
          </w:p>
        </w:tc>
      </w:tr>
      <w:tr w:rsidR="00ED020C" w:rsidRPr="00ED020C" w14:paraId="3BF34920" w14:textId="77777777" w:rsidTr="00ED020C">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985" w:type="dxa"/>
            <w:vMerge/>
          </w:tcPr>
          <w:p w14:paraId="0DA0FDA3" w14:textId="77777777" w:rsidR="00ED020C" w:rsidRPr="00ED020C" w:rsidRDefault="00ED020C" w:rsidP="00ED020C">
            <w:pPr>
              <w:jc w:val="both"/>
              <w:rPr>
                <w:rFonts w:ascii="Arial" w:hAnsi="Arial" w:cs="Arial"/>
              </w:rPr>
            </w:pPr>
          </w:p>
        </w:tc>
        <w:tc>
          <w:tcPr>
            <w:tcW w:w="3402" w:type="dxa"/>
            <w:tcBorders>
              <w:top w:val="single" w:sz="4" w:space="0" w:color="auto"/>
              <w:left w:val="single" w:sz="4" w:space="0" w:color="auto"/>
            </w:tcBorders>
          </w:tcPr>
          <w:p w14:paraId="4B73FE65" w14:textId="77777777" w:rsidR="00ED020C" w:rsidRPr="00ED020C" w:rsidRDefault="00ED020C" w:rsidP="00ED02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D020C">
              <w:rPr>
                <w:rFonts w:ascii="Arial" w:hAnsi="Arial" w:cs="Arial"/>
                <w:b/>
                <w:bCs/>
              </w:rPr>
              <w:t xml:space="preserve">Readiness </w:t>
            </w:r>
          </w:p>
        </w:tc>
      </w:tr>
      <w:tr w:rsidR="00ED020C" w:rsidRPr="00ED020C" w14:paraId="1449D692" w14:textId="77777777" w:rsidTr="00ED020C">
        <w:trPr>
          <w:trHeight w:val="315"/>
        </w:trPr>
        <w:tc>
          <w:tcPr>
            <w:cnfStyle w:val="001000000000" w:firstRow="0" w:lastRow="0" w:firstColumn="1" w:lastColumn="0" w:oddVBand="0" w:evenVBand="0" w:oddHBand="0" w:evenHBand="0" w:firstRowFirstColumn="0" w:firstRowLastColumn="0" w:lastRowFirstColumn="0" w:lastRowLastColumn="0"/>
            <w:tcW w:w="1985" w:type="dxa"/>
          </w:tcPr>
          <w:p w14:paraId="339E9809" w14:textId="77777777" w:rsidR="00ED020C" w:rsidRPr="00ED020C" w:rsidRDefault="00ED020C" w:rsidP="00ED020C">
            <w:pPr>
              <w:jc w:val="both"/>
              <w:rPr>
                <w:rFonts w:ascii="Arial" w:hAnsi="Arial" w:cs="Arial"/>
              </w:rPr>
            </w:pPr>
            <w:r w:rsidRPr="00ED020C">
              <w:rPr>
                <w:rFonts w:ascii="Arial" w:hAnsi="Arial" w:cs="Arial"/>
              </w:rPr>
              <w:t>4.20 - 5.00</w:t>
            </w:r>
          </w:p>
        </w:tc>
        <w:tc>
          <w:tcPr>
            <w:tcW w:w="3402" w:type="dxa"/>
            <w:tcBorders>
              <w:left w:val="single" w:sz="4" w:space="0" w:color="auto"/>
            </w:tcBorders>
          </w:tcPr>
          <w:p w14:paraId="0DFF4013" w14:textId="77777777" w:rsidR="00ED020C" w:rsidRPr="00ED020C" w:rsidRDefault="00ED020C" w:rsidP="00ED020C">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D020C">
              <w:rPr>
                <w:rFonts w:ascii="Arial" w:hAnsi="Arial" w:cs="Arial"/>
                <w:bCs/>
              </w:rPr>
              <w:t>Outstanding</w:t>
            </w:r>
          </w:p>
        </w:tc>
      </w:tr>
      <w:tr w:rsidR="00ED020C" w:rsidRPr="00ED020C" w14:paraId="474D5BF9" w14:textId="77777777" w:rsidTr="00ED020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5" w:type="dxa"/>
          </w:tcPr>
          <w:p w14:paraId="3670E32A" w14:textId="77777777" w:rsidR="00ED020C" w:rsidRPr="00ED020C" w:rsidRDefault="00ED020C" w:rsidP="00ED020C">
            <w:pPr>
              <w:jc w:val="both"/>
              <w:rPr>
                <w:rFonts w:ascii="Arial" w:hAnsi="Arial" w:cs="Arial"/>
              </w:rPr>
            </w:pPr>
            <w:r w:rsidRPr="00ED020C">
              <w:rPr>
                <w:rFonts w:ascii="Arial" w:hAnsi="Arial" w:cs="Arial"/>
              </w:rPr>
              <w:t>3.40 – 4.19</w:t>
            </w:r>
          </w:p>
        </w:tc>
        <w:tc>
          <w:tcPr>
            <w:tcW w:w="3402" w:type="dxa"/>
            <w:tcBorders>
              <w:left w:val="single" w:sz="4" w:space="0" w:color="auto"/>
            </w:tcBorders>
          </w:tcPr>
          <w:p w14:paraId="3BE47AF2" w14:textId="77777777" w:rsidR="00ED020C" w:rsidRPr="00ED020C" w:rsidRDefault="00ED020C" w:rsidP="00ED020C">
            <w:pPr>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ED020C">
              <w:rPr>
                <w:rFonts w:ascii="Arial" w:hAnsi="Arial" w:cs="Arial"/>
                <w:bCs/>
              </w:rPr>
              <w:t>Exceeds Expectation</w:t>
            </w:r>
          </w:p>
        </w:tc>
      </w:tr>
      <w:tr w:rsidR="00ED020C" w:rsidRPr="00ED020C" w14:paraId="791D9144" w14:textId="77777777" w:rsidTr="00ED020C">
        <w:trPr>
          <w:trHeight w:val="315"/>
        </w:trPr>
        <w:tc>
          <w:tcPr>
            <w:cnfStyle w:val="001000000000" w:firstRow="0" w:lastRow="0" w:firstColumn="1" w:lastColumn="0" w:oddVBand="0" w:evenVBand="0" w:oddHBand="0" w:evenHBand="0" w:firstRowFirstColumn="0" w:firstRowLastColumn="0" w:lastRowFirstColumn="0" w:lastRowLastColumn="0"/>
            <w:tcW w:w="1985" w:type="dxa"/>
          </w:tcPr>
          <w:p w14:paraId="6A849546" w14:textId="77777777" w:rsidR="00ED020C" w:rsidRPr="00ED020C" w:rsidRDefault="00ED020C" w:rsidP="00ED020C">
            <w:pPr>
              <w:jc w:val="both"/>
              <w:rPr>
                <w:rFonts w:ascii="Arial" w:hAnsi="Arial" w:cs="Arial"/>
              </w:rPr>
            </w:pPr>
            <w:r w:rsidRPr="00ED020C">
              <w:rPr>
                <w:rFonts w:ascii="Arial" w:hAnsi="Arial" w:cs="Arial"/>
              </w:rPr>
              <w:t>2.60 – 3.39</w:t>
            </w:r>
          </w:p>
        </w:tc>
        <w:tc>
          <w:tcPr>
            <w:tcW w:w="3402" w:type="dxa"/>
            <w:tcBorders>
              <w:left w:val="single" w:sz="4" w:space="0" w:color="auto"/>
            </w:tcBorders>
          </w:tcPr>
          <w:p w14:paraId="1947F8B9" w14:textId="77777777" w:rsidR="00ED020C" w:rsidRPr="00ED020C" w:rsidRDefault="00ED020C" w:rsidP="00ED020C">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D020C">
              <w:rPr>
                <w:rFonts w:ascii="Arial" w:hAnsi="Arial" w:cs="Arial"/>
                <w:bCs/>
              </w:rPr>
              <w:t>Meets Expectation</w:t>
            </w:r>
          </w:p>
        </w:tc>
      </w:tr>
      <w:tr w:rsidR="00ED020C" w:rsidRPr="00ED020C" w14:paraId="410D4D22" w14:textId="77777777" w:rsidTr="00ED020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5" w:type="dxa"/>
          </w:tcPr>
          <w:p w14:paraId="00BD6B10" w14:textId="77777777" w:rsidR="00ED020C" w:rsidRPr="00ED020C" w:rsidRDefault="00ED020C" w:rsidP="00ED020C">
            <w:pPr>
              <w:jc w:val="both"/>
              <w:rPr>
                <w:rFonts w:ascii="Arial" w:hAnsi="Arial" w:cs="Arial"/>
              </w:rPr>
            </w:pPr>
            <w:r w:rsidRPr="00ED020C">
              <w:rPr>
                <w:rFonts w:ascii="Arial" w:hAnsi="Arial" w:cs="Arial"/>
              </w:rPr>
              <w:t>1.80 – 2.59</w:t>
            </w:r>
          </w:p>
        </w:tc>
        <w:tc>
          <w:tcPr>
            <w:tcW w:w="3402" w:type="dxa"/>
            <w:tcBorders>
              <w:left w:val="single" w:sz="4" w:space="0" w:color="auto"/>
            </w:tcBorders>
          </w:tcPr>
          <w:p w14:paraId="6D4D1436" w14:textId="77777777" w:rsidR="00ED020C" w:rsidRPr="00ED020C" w:rsidRDefault="00ED020C" w:rsidP="00ED020C">
            <w:pPr>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ED020C">
              <w:rPr>
                <w:rFonts w:ascii="Arial" w:hAnsi="Arial" w:cs="Arial"/>
                <w:bCs/>
              </w:rPr>
              <w:t>Needs Improvement</w:t>
            </w:r>
          </w:p>
        </w:tc>
      </w:tr>
      <w:tr w:rsidR="00ED020C" w:rsidRPr="00ED020C" w14:paraId="393CAC12" w14:textId="77777777" w:rsidTr="00ED020C">
        <w:trPr>
          <w:trHeight w:val="315"/>
        </w:trPr>
        <w:tc>
          <w:tcPr>
            <w:cnfStyle w:val="001000000000" w:firstRow="0" w:lastRow="0" w:firstColumn="1" w:lastColumn="0" w:oddVBand="0" w:evenVBand="0" w:oddHBand="0" w:evenHBand="0" w:firstRowFirstColumn="0" w:firstRowLastColumn="0" w:lastRowFirstColumn="0" w:lastRowLastColumn="0"/>
            <w:tcW w:w="1985" w:type="dxa"/>
          </w:tcPr>
          <w:p w14:paraId="73E37C0E" w14:textId="77777777" w:rsidR="00ED020C" w:rsidRPr="00ED020C" w:rsidRDefault="00ED020C" w:rsidP="00ED020C">
            <w:pPr>
              <w:jc w:val="both"/>
              <w:rPr>
                <w:rFonts w:ascii="Arial" w:hAnsi="Arial" w:cs="Arial"/>
              </w:rPr>
            </w:pPr>
            <w:r w:rsidRPr="00ED020C">
              <w:rPr>
                <w:rFonts w:ascii="Arial" w:hAnsi="Arial" w:cs="Arial"/>
              </w:rPr>
              <w:t>1.00 – 1.79</w:t>
            </w:r>
          </w:p>
        </w:tc>
        <w:tc>
          <w:tcPr>
            <w:tcW w:w="3402" w:type="dxa"/>
            <w:tcBorders>
              <w:left w:val="single" w:sz="4" w:space="0" w:color="auto"/>
            </w:tcBorders>
          </w:tcPr>
          <w:p w14:paraId="1F952F1A" w14:textId="77777777" w:rsidR="00ED020C" w:rsidRPr="00ED020C" w:rsidRDefault="00ED020C" w:rsidP="00ED020C">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D020C">
              <w:rPr>
                <w:rFonts w:ascii="Arial" w:hAnsi="Arial" w:cs="Arial"/>
                <w:bCs/>
              </w:rPr>
              <w:t>Unsatisfactory</w:t>
            </w:r>
          </w:p>
        </w:tc>
      </w:tr>
    </w:tbl>
    <w:p w14:paraId="6A6226D0" w14:textId="3D521B69" w:rsidR="001537BA" w:rsidRPr="001537BA" w:rsidRDefault="001537BA" w:rsidP="001537BA">
      <w:pPr>
        <w:jc w:val="both"/>
        <w:rPr>
          <w:rFonts w:ascii="Times New Roman" w:hAnsi="Times New Roman"/>
          <w:bCs/>
          <w:sz w:val="24"/>
          <w:szCs w:val="24"/>
        </w:rPr>
      </w:pPr>
    </w:p>
    <w:p w14:paraId="066C63A7" w14:textId="77777777" w:rsidR="001537BA" w:rsidRDefault="001537BA" w:rsidP="00E4072C">
      <w:pPr>
        <w:pStyle w:val="Body"/>
        <w:spacing w:after="0"/>
        <w:ind w:firstLine="720"/>
        <w:rPr>
          <w:rFonts w:ascii="Arial" w:hAnsi="Arial" w:cs="Arial"/>
        </w:rPr>
      </w:pPr>
    </w:p>
    <w:p w14:paraId="6D87C51D" w14:textId="038595DC" w:rsidR="00A07DBE" w:rsidRDefault="00A07DBE" w:rsidP="00A07DBE">
      <w:pPr>
        <w:pStyle w:val="Body"/>
        <w:rPr>
          <w:rFonts w:ascii="Arial" w:hAnsi="Arial" w:cs="Arial"/>
        </w:rPr>
      </w:pPr>
      <w:r w:rsidRPr="00A07DBE">
        <w:rPr>
          <w:rFonts w:ascii="Arial" w:hAnsi="Arial" w:cs="Arial"/>
        </w:rPr>
        <w:t xml:space="preserve">The data reveals that Grade 12 TVL-Automotive students demonstrate a high level of readiness for National Certification II, with a category mean of 3.86, falling under the "Exceeds Expectation" rating. Theoretical knowledge scored 4.05, indicating students are well-versed in </w:t>
      </w:r>
      <w:r w:rsidRPr="00A07DBE">
        <w:rPr>
          <w:rFonts w:ascii="Arial" w:hAnsi="Arial" w:cs="Arial"/>
        </w:rPr>
        <w:lastRenderedPageBreak/>
        <w:t>conceptual understanding. Practical knowledge scored slightly lower at 3.67, though still within the "Exceeds Expectation" category, showing competence in applying what they've learned in hands-on settings.</w:t>
      </w:r>
      <w:r>
        <w:rPr>
          <w:rFonts w:ascii="Arial" w:hAnsi="Arial" w:cs="Arial"/>
        </w:rPr>
        <w:t xml:space="preserve"> </w:t>
      </w:r>
      <w:r w:rsidRPr="00A07DBE">
        <w:rPr>
          <w:rFonts w:ascii="Arial" w:hAnsi="Arial" w:cs="Arial"/>
        </w:rPr>
        <w:t>This high level of readiness reflects well on the training and preparation provided by the school, suggesting that the curriculum is effective in aligning students’ competencies with certification standards. However, the slight gap between theoretical and practical knowledge implies that while students understand concepts well, additional reinforcement through practice may enhance their confidence and skill execution. Emphasizing experiential learning can bridge this gap, ensuring graduates are fully prepared for industry demands and certification exams.</w:t>
      </w:r>
      <w:r>
        <w:rPr>
          <w:rFonts w:ascii="Arial" w:hAnsi="Arial" w:cs="Arial"/>
        </w:rPr>
        <w:t xml:space="preserve"> </w:t>
      </w:r>
    </w:p>
    <w:p w14:paraId="6D0ED0DB" w14:textId="77777777" w:rsidR="00A07DBE" w:rsidRDefault="00A07DBE" w:rsidP="00A07DBE">
      <w:pPr>
        <w:pStyle w:val="Body"/>
        <w:spacing w:after="0"/>
        <w:rPr>
          <w:rFonts w:ascii="Arial" w:hAnsi="Arial" w:cs="Arial"/>
        </w:rPr>
      </w:pPr>
    </w:p>
    <w:p w14:paraId="66F24D22" w14:textId="7A532617" w:rsidR="00790ADA" w:rsidRDefault="00C153D1" w:rsidP="00A07DBE">
      <w:pPr>
        <w:pStyle w:val="Body"/>
        <w:spacing w:after="0"/>
        <w:rPr>
          <w:rFonts w:ascii="Arial" w:hAnsi="Arial" w:cs="Arial"/>
        </w:rPr>
      </w:pPr>
      <w:r w:rsidRPr="00C153D1">
        <w:rPr>
          <w:rFonts w:ascii="Arial" w:hAnsi="Arial" w:cs="Arial"/>
        </w:rPr>
        <w:t xml:space="preserve">Table 4: </w:t>
      </w:r>
      <w:r w:rsidR="00DA0E79">
        <w:rPr>
          <w:rFonts w:ascii="Arial" w:hAnsi="Arial" w:cs="Arial"/>
        </w:rPr>
        <w:t>R</w:t>
      </w:r>
      <w:r w:rsidRPr="00C153D1">
        <w:rPr>
          <w:rFonts w:ascii="Arial" w:hAnsi="Arial" w:cs="Arial"/>
        </w:rPr>
        <w:t>elationship between the level of competency and level of readiness of grade 12 TVL-Automotive students</w:t>
      </w:r>
    </w:p>
    <w:p w14:paraId="65F21A4A" w14:textId="0AEEF103" w:rsidR="00C153D1" w:rsidRDefault="00C153D1" w:rsidP="00441B6F">
      <w:pPr>
        <w:pStyle w:val="Body"/>
        <w:spacing w:after="0"/>
        <w:rPr>
          <w:rFonts w:ascii="Arial" w:hAnsi="Arial" w:cs="Arial"/>
        </w:rPr>
      </w:pPr>
    </w:p>
    <w:tbl>
      <w:tblPr>
        <w:tblStyle w:val="TableGrid"/>
        <w:tblW w:w="856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173"/>
        <w:gridCol w:w="2067"/>
        <w:gridCol w:w="1276"/>
        <w:gridCol w:w="2053"/>
      </w:tblGrid>
      <w:tr w:rsidR="001537BA" w:rsidRPr="001537BA" w14:paraId="2D97A576" w14:textId="77777777" w:rsidTr="005430FA">
        <w:trPr>
          <w:trHeight w:hRule="exact" w:val="454"/>
        </w:trPr>
        <w:tc>
          <w:tcPr>
            <w:tcW w:w="3173" w:type="dxa"/>
            <w:tcBorders>
              <w:top w:val="single" w:sz="4" w:space="0" w:color="auto"/>
              <w:bottom w:val="single" w:sz="4" w:space="0" w:color="auto"/>
            </w:tcBorders>
          </w:tcPr>
          <w:p w14:paraId="1D9B615C" w14:textId="77777777" w:rsidR="001537BA" w:rsidRPr="001537BA" w:rsidRDefault="001537BA" w:rsidP="001537BA">
            <w:pPr>
              <w:pStyle w:val="Body"/>
              <w:rPr>
                <w:rFonts w:ascii="Arial" w:hAnsi="Arial" w:cs="Arial"/>
                <w:b/>
                <w:sz w:val="20"/>
              </w:rPr>
            </w:pPr>
            <w:r w:rsidRPr="001537BA">
              <w:rPr>
                <w:rFonts w:ascii="Arial" w:hAnsi="Arial" w:cs="Arial"/>
                <w:b/>
                <w:sz w:val="20"/>
              </w:rPr>
              <w:t xml:space="preserve">Variable </w:t>
            </w:r>
          </w:p>
        </w:tc>
        <w:tc>
          <w:tcPr>
            <w:tcW w:w="2067" w:type="dxa"/>
            <w:tcBorders>
              <w:top w:val="single" w:sz="4" w:space="0" w:color="auto"/>
              <w:bottom w:val="single" w:sz="4" w:space="0" w:color="auto"/>
            </w:tcBorders>
            <w:vAlign w:val="center"/>
          </w:tcPr>
          <w:p w14:paraId="6CF2CEBA" w14:textId="77777777" w:rsidR="001537BA" w:rsidRPr="001537BA" w:rsidRDefault="001537BA" w:rsidP="001537BA">
            <w:pPr>
              <w:pStyle w:val="Body"/>
              <w:rPr>
                <w:rFonts w:ascii="Arial" w:hAnsi="Arial" w:cs="Arial"/>
                <w:b/>
                <w:sz w:val="20"/>
              </w:rPr>
            </w:pPr>
            <w:r w:rsidRPr="001537BA">
              <w:rPr>
                <w:rFonts w:ascii="Arial" w:hAnsi="Arial" w:cs="Arial"/>
                <w:b/>
                <w:sz w:val="20"/>
              </w:rPr>
              <w:t>r - value</w:t>
            </w:r>
          </w:p>
        </w:tc>
        <w:tc>
          <w:tcPr>
            <w:tcW w:w="1276" w:type="dxa"/>
            <w:tcBorders>
              <w:top w:val="single" w:sz="4" w:space="0" w:color="auto"/>
              <w:bottom w:val="single" w:sz="4" w:space="0" w:color="auto"/>
            </w:tcBorders>
            <w:vAlign w:val="center"/>
          </w:tcPr>
          <w:p w14:paraId="39F19A46" w14:textId="720A419D" w:rsidR="001537BA" w:rsidRPr="001537BA" w:rsidRDefault="001537BA" w:rsidP="001537BA">
            <w:pPr>
              <w:pStyle w:val="Body"/>
              <w:rPr>
                <w:rFonts w:ascii="Arial" w:hAnsi="Arial" w:cs="Arial"/>
                <w:b/>
                <w:sz w:val="20"/>
              </w:rPr>
            </w:pPr>
            <m:oMathPara>
              <m:oMath>
                <m:r>
                  <m:rPr>
                    <m:sty m:val="bi"/>
                  </m:rPr>
                  <w:rPr>
                    <w:rFonts w:ascii="Cambria Math" w:hAnsi="Cambria Math" w:cs="Arial"/>
                  </w:rPr>
                  <m:t>α</m:t>
                </m:r>
              </m:oMath>
            </m:oMathPara>
          </w:p>
        </w:tc>
        <w:tc>
          <w:tcPr>
            <w:tcW w:w="2053" w:type="dxa"/>
            <w:tcBorders>
              <w:top w:val="single" w:sz="4" w:space="0" w:color="auto"/>
              <w:bottom w:val="single" w:sz="4" w:space="0" w:color="auto"/>
            </w:tcBorders>
            <w:vAlign w:val="center"/>
          </w:tcPr>
          <w:p w14:paraId="04B84E11" w14:textId="77777777" w:rsidR="001537BA" w:rsidRPr="001537BA" w:rsidRDefault="001537BA" w:rsidP="001537BA">
            <w:pPr>
              <w:pStyle w:val="Body"/>
              <w:rPr>
                <w:rFonts w:ascii="Arial" w:hAnsi="Arial" w:cs="Arial"/>
                <w:b/>
                <w:sz w:val="20"/>
              </w:rPr>
            </w:pPr>
            <w:r w:rsidRPr="001537BA">
              <w:rPr>
                <w:rFonts w:ascii="Arial" w:hAnsi="Arial" w:cs="Arial"/>
                <w:b/>
                <w:sz w:val="20"/>
              </w:rPr>
              <w:t>decision</w:t>
            </w:r>
          </w:p>
        </w:tc>
      </w:tr>
      <w:tr w:rsidR="001537BA" w:rsidRPr="001537BA" w14:paraId="2F6349DF" w14:textId="77777777" w:rsidTr="005430FA">
        <w:trPr>
          <w:trHeight w:hRule="exact" w:val="454"/>
        </w:trPr>
        <w:tc>
          <w:tcPr>
            <w:tcW w:w="3173" w:type="dxa"/>
            <w:tcBorders>
              <w:top w:val="single" w:sz="4" w:space="0" w:color="auto"/>
            </w:tcBorders>
          </w:tcPr>
          <w:p w14:paraId="2DB37E0E" w14:textId="77777777" w:rsidR="001537BA" w:rsidRPr="001537BA" w:rsidRDefault="001537BA" w:rsidP="001537BA">
            <w:pPr>
              <w:pStyle w:val="Body"/>
              <w:rPr>
                <w:rFonts w:ascii="Arial" w:hAnsi="Arial" w:cs="Arial"/>
                <w:bCs/>
                <w:sz w:val="20"/>
              </w:rPr>
            </w:pPr>
            <w:r w:rsidRPr="001537BA">
              <w:rPr>
                <w:rFonts w:ascii="Arial" w:hAnsi="Arial" w:cs="Arial"/>
                <w:bCs/>
                <w:sz w:val="20"/>
              </w:rPr>
              <w:t>Level of Competency</w:t>
            </w:r>
          </w:p>
        </w:tc>
        <w:tc>
          <w:tcPr>
            <w:tcW w:w="2067" w:type="dxa"/>
            <w:vMerge w:val="restart"/>
            <w:tcBorders>
              <w:top w:val="single" w:sz="4" w:space="0" w:color="auto"/>
            </w:tcBorders>
            <w:vAlign w:val="center"/>
          </w:tcPr>
          <w:p w14:paraId="59F79EEC" w14:textId="77777777" w:rsidR="001537BA" w:rsidRPr="001537BA" w:rsidRDefault="001537BA" w:rsidP="001537BA">
            <w:pPr>
              <w:pStyle w:val="Body"/>
              <w:rPr>
                <w:rFonts w:ascii="Arial" w:hAnsi="Arial" w:cs="Arial"/>
                <w:bCs/>
                <w:sz w:val="20"/>
              </w:rPr>
            </w:pPr>
            <w:r w:rsidRPr="001537BA">
              <w:rPr>
                <w:rFonts w:ascii="Arial" w:hAnsi="Arial" w:cs="Arial"/>
                <w:bCs/>
                <w:sz w:val="20"/>
              </w:rPr>
              <w:t>0.013388</w:t>
            </w:r>
          </w:p>
        </w:tc>
        <w:tc>
          <w:tcPr>
            <w:tcW w:w="1276" w:type="dxa"/>
            <w:vMerge w:val="restart"/>
            <w:tcBorders>
              <w:top w:val="single" w:sz="4" w:space="0" w:color="auto"/>
            </w:tcBorders>
            <w:vAlign w:val="center"/>
          </w:tcPr>
          <w:p w14:paraId="0B98BAA6" w14:textId="77777777" w:rsidR="001537BA" w:rsidRPr="001537BA" w:rsidRDefault="001537BA" w:rsidP="001537BA">
            <w:pPr>
              <w:pStyle w:val="Body"/>
              <w:rPr>
                <w:rFonts w:ascii="Arial" w:hAnsi="Arial" w:cs="Arial"/>
                <w:bCs/>
                <w:sz w:val="20"/>
              </w:rPr>
            </w:pPr>
            <w:r w:rsidRPr="001537BA">
              <w:rPr>
                <w:rFonts w:ascii="Arial" w:hAnsi="Arial" w:cs="Arial"/>
                <w:bCs/>
                <w:sz w:val="20"/>
              </w:rPr>
              <w:t>0.05</w:t>
            </w:r>
          </w:p>
        </w:tc>
        <w:tc>
          <w:tcPr>
            <w:tcW w:w="2053" w:type="dxa"/>
            <w:vMerge w:val="restart"/>
            <w:tcBorders>
              <w:top w:val="single" w:sz="4" w:space="0" w:color="auto"/>
            </w:tcBorders>
            <w:vAlign w:val="center"/>
          </w:tcPr>
          <w:p w14:paraId="7D3D2FE4" w14:textId="77777777" w:rsidR="001537BA" w:rsidRPr="001537BA" w:rsidRDefault="001537BA" w:rsidP="001537BA">
            <w:pPr>
              <w:pStyle w:val="Body"/>
              <w:rPr>
                <w:rFonts w:ascii="Arial" w:hAnsi="Arial" w:cs="Arial"/>
                <w:bCs/>
                <w:sz w:val="20"/>
              </w:rPr>
            </w:pPr>
            <w:r w:rsidRPr="001537BA">
              <w:rPr>
                <w:rFonts w:ascii="Arial" w:hAnsi="Arial" w:cs="Arial"/>
                <w:bCs/>
                <w:sz w:val="20"/>
              </w:rPr>
              <w:t>Accept Ho</w:t>
            </w:r>
          </w:p>
        </w:tc>
      </w:tr>
      <w:tr w:rsidR="001537BA" w:rsidRPr="001537BA" w14:paraId="04F86500" w14:textId="77777777" w:rsidTr="001537BA">
        <w:trPr>
          <w:trHeight w:hRule="exact" w:val="313"/>
        </w:trPr>
        <w:tc>
          <w:tcPr>
            <w:tcW w:w="3173" w:type="dxa"/>
          </w:tcPr>
          <w:p w14:paraId="0F15B639" w14:textId="77777777" w:rsidR="001537BA" w:rsidRPr="001537BA" w:rsidRDefault="001537BA" w:rsidP="001537BA">
            <w:pPr>
              <w:pStyle w:val="Body"/>
              <w:rPr>
                <w:rFonts w:ascii="Arial" w:hAnsi="Arial" w:cs="Arial"/>
                <w:bCs/>
                <w:sz w:val="20"/>
              </w:rPr>
            </w:pPr>
            <w:r w:rsidRPr="001537BA">
              <w:rPr>
                <w:rFonts w:ascii="Arial" w:hAnsi="Arial" w:cs="Arial"/>
                <w:bCs/>
                <w:sz w:val="20"/>
              </w:rPr>
              <w:t xml:space="preserve">Level of Readiness </w:t>
            </w:r>
          </w:p>
        </w:tc>
        <w:tc>
          <w:tcPr>
            <w:tcW w:w="2067" w:type="dxa"/>
            <w:vMerge/>
          </w:tcPr>
          <w:p w14:paraId="4EFC63C0" w14:textId="77777777" w:rsidR="001537BA" w:rsidRPr="001537BA" w:rsidRDefault="001537BA" w:rsidP="001537BA">
            <w:pPr>
              <w:pStyle w:val="Body"/>
              <w:rPr>
                <w:rFonts w:ascii="Arial" w:hAnsi="Arial" w:cs="Arial"/>
                <w:b/>
                <w:sz w:val="20"/>
              </w:rPr>
            </w:pPr>
          </w:p>
        </w:tc>
        <w:tc>
          <w:tcPr>
            <w:tcW w:w="1276" w:type="dxa"/>
            <w:vMerge/>
          </w:tcPr>
          <w:p w14:paraId="438B9BAF" w14:textId="77777777" w:rsidR="001537BA" w:rsidRPr="001537BA" w:rsidRDefault="001537BA" w:rsidP="001537BA">
            <w:pPr>
              <w:pStyle w:val="Body"/>
              <w:rPr>
                <w:rFonts w:ascii="Arial" w:hAnsi="Arial" w:cs="Arial"/>
                <w:b/>
                <w:sz w:val="20"/>
              </w:rPr>
            </w:pPr>
          </w:p>
        </w:tc>
        <w:tc>
          <w:tcPr>
            <w:tcW w:w="2053" w:type="dxa"/>
            <w:vMerge/>
          </w:tcPr>
          <w:p w14:paraId="5DE067BB" w14:textId="77777777" w:rsidR="001537BA" w:rsidRPr="001537BA" w:rsidRDefault="001537BA" w:rsidP="001537BA">
            <w:pPr>
              <w:pStyle w:val="Body"/>
              <w:rPr>
                <w:rFonts w:ascii="Arial" w:hAnsi="Arial" w:cs="Arial"/>
                <w:b/>
                <w:sz w:val="20"/>
              </w:rPr>
            </w:pPr>
          </w:p>
        </w:tc>
      </w:tr>
    </w:tbl>
    <w:p w14:paraId="0BA0B106" w14:textId="77777777" w:rsidR="001537BA" w:rsidRDefault="001537BA" w:rsidP="00441B6F">
      <w:pPr>
        <w:pStyle w:val="Body"/>
        <w:spacing w:after="0"/>
        <w:rPr>
          <w:rFonts w:ascii="Arial" w:hAnsi="Arial" w:cs="Arial"/>
        </w:rPr>
      </w:pPr>
    </w:p>
    <w:p w14:paraId="2658FC21" w14:textId="642393EB" w:rsidR="00C153D1" w:rsidRDefault="00C153D1" w:rsidP="00441B6F">
      <w:pPr>
        <w:pStyle w:val="Body"/>
        <w:spacing w:after="0"/>
        <w:rPr>
          <w:rFonts w:ascii="Arial" w:hAnsi="Arial" w:cs="Arial"/>
        </w:rPr>
      </w:pPr>
    </w:p>
    <w:p w14:paraId="34AE990E" w14:textId="6486727C" w:rsidR="00A07DBE" w:rsidRPr="00A07DBE" w:rsidRDefault="00A07DBE" w:rsidP="00A07DBE">
      <w:pPr>
        <w:pStyle w:val="Body"/>
        <w:rPr>
          <w:rFonts w:ascii="Arial" w:hAnsi="Arial" w:cs="Arial"/>
          <w:lang w:val="en-PH"/>
        </w:rPr>
      </w:pPr>
      <w:r w:rsidRPr="00A07DBE">
        <w:rPr>
          <w:rFonts w:ascii="Arial" w:hAnsi="Arial" w:cs="Arial"/>
          <w:lang w:val="en-PH"/>
        </w:rPr>
        <w:t>The correlation coefficient (r = 0.013388) between the level of competency and readiness of the students is very low, and the decision to accept the null hypothesis (Ho) indicates that there is no significant relationship between these two variables. This implies that a student's competency in specific technical skills does not strongly correlate with their overall readiness for National Certification II, at least within this sample.</w:t>
      </w:r>
    </w:p>
    <w:p w14:paraId="2932903E" w14:textId="77777777" w:rsidR="00A07DBE" w:rsidRPr="00A07DBE" w:rsidRDefault="00A07DBE" w:rsidP="00A07DBE">
      <w:pPr>
        <w:pStyle w:val="Body"/>
        <w:rPr>
          <w:rFonts w:ascii="Arial" w:hAnsi="Arial" w:cs="Arial"/>
          <w:lang w:val="en-PH"/>
        </w:rPr>
      </w:pPr>
      <w:r w:rsidRPr="00A07DBE">
        <w:rPr>
          <w:rFonts w:ascii="Arial" w:hAnsi="Arial" w:cs="Arial"/>
          <w:lang w:val="en-PH"/>
        </w:rPr>
        <w:t>This finding may suggest that other factors beyond direct competency—such as confidence, motivation, support systems, or theoretical preparation—may play a significant role in shaping students' readiness for certification. It emphasizes the complexity of educational outcomes and the importance of addressing both hard skills and soft skills. Future interventions might benefit from a holistic approach that combines skill mastery with personal development, assessment preparation, and career guidance.</w:t>
      </w:r>
    </w:p>
    <w:p w14:paraId="19B6C2DB" w14:textId="77777777" w:rsidR="00790ADA" w:rsidRPr="00FB3A86" w:rsidRDefault="00790ADA" w:rsidP="00441B6F">
      <w:pPr>
        <w:pStyle w:val="Body"/>
        <w:spacing w:after="0"/>
        <w:rPr>
          <w:rFonts w:ascii="Arial" w:hAnsi="Arial" w:cs="Arial"/>
        </w:rPr>
      </w:pPr>
    </w:p>
    <w:p w14:paraId="135DFCB7"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7B4B1F4" w14:textId="77777777" w:rsidR="00790ADA" w:rsidRPr="00FB3A86" w:rsidRDefault="00790ADA" w:rsidP="00441B6F">
      <w:pPr>
        <w:pStyle w:val="ConcHead"/>
        <w:spacing w:after="0"/>
        <w:jc w:val="both"/>
        <w:rPr>
          <w:rFonts w:ascii="Arial" w:hAnsi="Arial" w:cs="Arial"/>
        </w:rPr>
      </w:pPr>
    </w:p>
    <w:p w14:paraId="0534E81C" w14:textId="1EA1D896" w:rsidR="00C153D1" w:rsidRPr="00C153D1" w:rsidRDefault="00C153D1" w:rsidP="00C153D1">
      <w:pPr>
        <w:pStyle w:val="Body"/>
        <w:ind w:firstLine="720"/>
        <w:rPr>
          <w:rFonts w:ascii="Arial" w:hAnsi="Arial" w:cs="Arial"/>
        </w:rPr>
      </w:pPr>
      <w:r w:rsidRPr="00C153D1">
        <w:rPr>
          <w:rFonts w:ascii="Arial" w:hAnsi="Arial" w:cs="Arial"/>
        </w:rPr>
        <w:t>The study provides valuable insights into the demographic characteristics, competencies, and readiness of students in the TVL-Automotive program. The findings highlight that the majority of respondents are young (17-18 years), with a background of relatively low parental education and employment status. This demographic suggests a need for increased support, both financially and educationally, to ensure that these students can fully access and benefit from the opportunities available to them.</w:t>
      </w:r>
    </w:p>
    <w:p w14:paraId="30E241ED" w14:textId="5ACE3A7D" w:rsidR="00C153D1" w:rsidRPr="00C153D1" w:rsidRDefault="00C153D1" w:rsidP="00C153D1">
      <w:pPr>
        <w:pStyle w:val="Body"/>
        <w:ind w:firstLine="720"/>
        <w:rPr>
          <w:rFonts w:ascii="Arial" w:hAnsi="Arial" w:cs="Arial"/>
        </w:rPr>
      </w:pPr>
      <w:r w:rsidRPr="00C153D1">
        <w:rPr>
          <w:rFonts w:ascii="Arial" w:hAnsi="Arial" w:cs="Arial"/>
        </w:rPr>
        <w:t>In terms of competency, students demonstrated proficiency in fundamental automotive tasks such as servicing automotive batteries and ignition systems. However, there were notable gaps in more complex mechanical tasks, including electrical system testing and manual transmission diagnostics. These gaps indicate areas where the curriculum and training may need to be enhanced to better prepare students for the challenges they will face in the industry.</w:t>
      </w:r>
    </w:p>
    <w:p w14:paraId="1124BE0A" w14:textId="1B59E727" w:rsidR="00C153D1" w:rsidRPr="00C153D1" w:rsidRDefault="00C153D1" w:rsidP="00C153D1">
      <w:pPr>
        <w:pStyle w:val="Body"/>
        <w:ind w:firstLine="720"/>
        <w:rPr>
          <w:rFonts w:ascii="Arial" w:hAnsi="Arial" w:cs="Arial"/>
        </w:rPr>
      </w:pPr>
      <w:r w:rsidRPr="00C153D1">
        <w:rPr>
          <w:rFonts w:ascii="Arial" w:hAnsi="Arial" w:cs="Arial"/>
        </w:rPr>
        <w:t xml:space="preserve">Regarding readiness for the National Certification II, students exhibited a high level of theoretical understanding, particularly in automotive concepts and industry-standard </w:t>
      </w:r>
      <w:r w:rsidRPr="00C153D1">
        <w:rPr>
          <w:rFonts w:ascii="Arial" w:hAnsi="Arial" w:cs="Arial"/>
        </w:rPr>
        <w:lastRenderedPageBreak/>
        <w:t>diagnostic protocols. However, their practical readiness, while generally strong, showed lower scores in specific areas such as servicing clutch systems and suspension systems. This suggests that while students are well-prepared in many aspects, there are still areas requiring further development to ensure they are fully ready for certification and the demands of the automotive industry.</w:t>
      </w:r>
    </w:p>
    <w:p w14:paraId="606F887D" w14:textId="499B4133" w:rsidR="00790ADA" w:rsidRPr="00FB3A86" w:rsidRDefault="00C153D1" w:rsidP="00C153D1">
      <w:pPr>
        <w:pStyle w:val="Body"/>
        <w:spacing w:after="0"/>
        <w:ind w:firstLine="720"/>
        <w:rPr>
          <w:rFonts w:ascii="Arial" w:hAnsi="Arial" w:cs="Arial"/>
        </w:rPr>
      </w:pPr>
      <w:r w:rsidRPr="00C153D1">
        <w:rPr>
          <w:rFonts w:ascii="Arial" w:hAnsi="Arial" w:cs="Arial"/>
        </w:rPr>
        <w:t>Overall, the study underscores the need for targeted interventions to address the areas where students show lower competency and readiness, particularly in more advanced technical skills. These findings also emphasize the importance of strengthening the connection between theoretical knowledge and practical application to ensure students are equipped with the skills necessary for success in the automotive field.</w:t>
      </w:r>
    </w:p>
    <w:p w14:paraId="18B3B90C" w14:textId="77777777" w:rsidR="00C153D1" w:rsidRDefault="00C153D1" w:rsidP="00441B6F">
      <w:pPr>
        <w:pStyle w:val="AcknHead"/>
        <w:spacing w:after="0"/>
        <w:jc w:val="both"/>
        <w:rPr>
          <w:rFonts w:ascii="Arial" w:hAnsi="Arial" w:cs="Arial"/>
        </w:rPr>
      </w:pPr>
    </w:p>
    <w:p w14:paraId="09763ADE" w14:textId="77777777" w:rsidR="000325BA" w:rsidRPr="000325BA" w:rsidRDefault="000325BA" w:rsidP="00441B6F">
      <w:pPr>
        <w:pStyle w:val="ReferHead"/>
        <w:spacing w:after="0"/>
        <w:jc w:val="both"/>
        <w:rPr>
          <w:rFonts w:ascii="Arial" w:hAnsi="Arial" w:cs="Arial"/>
          <w:b w:val="0"/>
          <w:caps w:val="0"/>
          <w:sz w:val="20"/>
        </w:rPr>
      </w:pPr>
    </w:p>
    <w:p w14:paraId="31BE6D2D"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716F2CC3" w14:textId="77777777" w:rsidR="002B685A" w:rsidRPr="002B685A" w:rsidRDefault="002B685A" w:rsidP="00441B6F">
      <w:pPr>
        <w:pStyle w:val="ReferHead"/>
        <w:spacing w:after="0"/>
        <w:jc w:val="both"/>
        <w:rPr>
          <w:rFonts w:ascii="Arial" w:hAnsi="Arial" w:cs="Arial"/>
          <w:bCs/>
        </w:rPr>
      </w:pPr>
    </w:p>
    <w:p w14:paraId="4B5CACDE" w14:textId="31E77D98" w:rsidR="005C784C" w:rsidRDefault="000325BA" w:rsidP="00441B6F">
      <w:pPr>
        <w:pStyle w:val="ReferHead"/>
        <w:spacing w:after="0"/>
        <w:jc w:val="both"/>
        <w:rPr>
          <w:rFonts w:ascii="Arial" w:hAnsi="Arial" w:cs="Arial"/>
          <w:b w:val="0"/>
          <w:caps w:val="0"/>
          <w:sz w:val="20"/>
        </w:rPr>
      </w:pPr>
      <w:r w:rsidRPr="000325BA">
        <w:rPr>
          <w:rFonts w:ascii="Arial" w:hAnsi="Arial" w:cs="Arial"/>
          <w:b w:val="0"/>
          <w:caps w:val="0"/>
          <w:sz w:val="20"/>
        </w:rPr>
        <w:t xml:space="preserve">I confirm that all </w:t>
      </w:r>
      <w:r>
        <w:rPr>
          <w:rFonts w:ascii="Arial" w:hAnsi="Arial" w:cs="Arial"/>
          <w:b w:val="0"/>
          <w:caps w:val="0"/>
          <w:sz w:val="20"/>
        </w:rPr>
        <w:t>respondent</w:t>
      </w:r>
      <w:r w:rsidRPr="000325BA">
        <w:rPr>
          <w:rFonts w:ascii="Arial" w:hAnsi="Arial" w:cs="Arial"/>
          <w:b w:val="0"/>
          <w:caps w:val="0"/>
          <w:sz w:val="20"/>
        </w:rPr>
        <w:t>s voluntarily agreed to take part in this study after being thoroughly informed about its purpose, procedures, and potential impacts. Their participation was entirely voluntary, and they were assured of their right to withdraw at any time without any negative consequences. All data collected from respondents were handled with the highest regard for their privacy and confidentiality, adhering strictly to ethical research standards.</w:t>
      </w:r>
    </w:p>
    <w:p w14:paraId="18CA08B6" w14:textId="77777777" w:rsidR="00A8506E" w:rsidRDefault="00A8506E" w:rsidP="00441B6F">
      <w:pPr>
        <w:pStyle w:val="ReferHead"/>
        <w:spacing w:after="0"/>
        <w:jc w:val="both"/>
        <w:rPr>
          <w:rFonts w:ascii="Arial" w:hAnsi="Arial" w:cs="Arial"/>
          <w:b w:val="0"/>
          <w:caps w:val="0"/>
          <w:sz w:val="20"/>
        </w:rPr>
      </w:pPr>
    </w:p>
    <w:p w14:paraId="3D608E33"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3C3C144B" w14:textId="77777777" w:rsidR="005C784C" w:rsidRPr="002B685A" w:rsidRDefault="005C784C" w:rsidP="00441B6F">
      <w:pPr>
        <w:pStyle w:val="ReferHead"/>
        <w:spacing w:after="0"/>
        <w:jc w:val="both"/>
        <w:rPr>
          <w:rFonts w:ascii="Arial" w:hAnsi="Arial" w:cs="Arial"/>
          <w:bCs/>
        </w:rPr>
      </w:pPr>
    </w:p>
    <w:p w14:paraId="41DA5DC1" w14:textId="30D729E5" w:rsidR="00860000" w:rsidRDefault="000325BA" w:rsidP="00441B6F">
      <w:pPr>
        <w:pStyle w:val="ReferHead"/>
        <w:spacing w:after="0"/>
        <w:jc w:val="both"/>
        <w:rPr>
          <w:rFonts w:ascii="Arial" w:hAnsi="Arial" w:cs="Arial"/>
          <w:b w:val="0"/>
          <w:caps w:val="0"/>
          <w:sz w:val="20"/>
        </w:rPr>
      </w:pPr>
      <w:r w:rsidRPr="000325BA">
        <w:rPr>
          <w:rFonts w:ascii="Arial" w:hAnsi="Arial" w:cs="Arial"/>
          <w:b w:val="0"/>
          <w:caps w:val="0"/>
          <w:sz w:val="20"/>
        </w:rPr>
        <w:t>The study was conducted with the approval and in accordance with the standards of the college. No ethical approval was required, as the research followed all applicable ethical guidelines, ensuring respect for the respondents' privacy and confidentiality.</w:t>
      </w:r>
    </w:p>
    <w:p w14:paraId="496F06AA" w14:textId="435F84BE" w:rsidR="00470E87" w:rsidRDefault="00470E87" w:rsidP="00441B6F">
      <w:pPr>
        <w:pStyle w:val="ReferHead"/>
        <w:spacing w:after="0"/>
        <w:jc w:val="both"/>
        <w:rPr>
          <w:rFonts w:ascii="Arial" w:hAnsi="Arial" w:cs="Arial"/>
          <w:b w:val="0"/>
          <w:caps w:val="0"/>
          <w:sz w:val="20"/>
        </w:rPr>
      </w:pPr>
    </w:p>
    <w:p w14:paraId="0433A26A" w14:textId="125ECC1A" w:rsidR="00470E87" w:rsidRPr="00BA62FB" w:rsidRDefault="00470E87" w:rsidP="00470E87">
      <w:pPr>
        <w:rPr>
          <w:rFonts w:ascii="Arial" w:hAnsi="Arial" w:cs="Arial"/>
          <w:b/>
          <w:bCs/>
        </w:rPr>
      </w:pPr>
      <w:r w:rsidRPr="00BA62FB">
        <w:rPr>
          <w:rFonts w:ascii="Arial" w:hAnsi="Arial" w:cs="Arial"/>
          <w:b/>
          <w:bCs/>
        </w:rPr>
        <w:t>D</w:t>
      </w:r>
      <w:r w:rsidR="0000349B" w:rsidRPr="00BA62FB">
        <w:rPr>
          <w:rFonts w:ascii="Arial" w:hAnsi="Arial" w:cs="Arial"/>
          <w:b/>
          <w:bCs/>
        </w:rPr>
        <w:t xml:space="preserve">ISCLAIMER </w:t>
      </w:r>
      <w:r w:rsidRPr="00BA62FB">
        <w:rPr>
          <w:rFonts w:ascii="Arial" w:hAnsi="Arial" w:cs="Arial"/>
          <w:b/>
          <w:bCs/>
        </w:rPr>
        <w:t>(</w:t>
      </w:r>
      <w:r w:rsidR="0000349B" w:rsidRPr="00BA62FB">
        <w:rPr>
          <w:rFonts w:ascii="Arial" w:hAnsi="Arial" w:cs="Arial"/>
          <w:b/>
          <w:bCs/>
        </w:rPr>
        <w:t>ARTIFICIAL INTELIGENCE</w:t>
      </w:r>
      <w:r w:rsidRPr="00BA62FB">
        <w:rPr>
          <w:rFonts w:ascii="Arial" w:hAnsi="Arial" w:cs="Arial"/>
          <w:b/>
          <w:bCs/>
        </w:rPr>
        <w:t>)</w:t>
      </w:r>
    </w:p>
    <w:p w14:paraId="2FB845B9" w14:textId="77777777" w:rsidR="00470E87" w:rsidRPr="00394842" w:rsidRDefault="00470E87" w:rsidP="00470E87">
      <w:pPr>
        <w:rPr>
          <w:highlight w:val="yellow"/>
        </w:rPr>
      </w:pPr>
    </w:p>
    <w:p w14:paraId="4B5786AC" w14:textId="77777777" w:rsidR="00470E87" w:rsidRPr="0000349B" w:rsidRDefault="00470E87" w:rsidP="00470E87">
      <w:pPr>
        <w:rPr>
          <w:rFonts w:ascii="Arial" w:hAnsi="Arial" w:cs="Arial"/>
        </w:rPr>
      </w:pPr>
      <w:r w:rsidRPr="0000349B">
        <w:rPr>
          <w:rFonts w:ascii="Arial" w:hAnsi="Arial" w:cs="Arial"/>
        </w:rPr>
        <w:t>Author(s) hereby declare that NO generative AI technologies such as Large Language Models (</w:t>
      </w:r>
      <w:proofErr w:type="spellStart"/>
      <w:r w:rsidRPr="0000349B">
        <w:rPr>
          <w:rFonts w:ascii="Arial" w:hAnsi="Arial" w:cs="Arial"/>
        </w:rPr>
        <w:t>ChatGPT</w:t>
      </w:r>
      <w:proofErr w:type="spellEnd"/>
      <w:r w:rsidRPr="0000349B">
        <w:rPr>
          <w:rFonts w:ascii="Arial" w:hAnsi="Arial" w:cs="Arial"/>
        </w:rPr>
        <w:t xml:space="preserve">, COPILOT, etc.) and text-to-image generators have been used during the writing or editing of this manuscript. </w:t>
      </w:r>
    </w:p>
    <w:p w14:paraId="0F11E1B1" w14:textId="77777777" w:rsidR="00421F76" w:rsidRDefault="00421F76" w:rsidP="00441B6F">
      <w:pPr>
        <w:pStyle w:val="ReferHead"/>
        <w:spacing w:after="0"/>
        <w:jc w:val="both"/>
        <w:rPr>
          <w:rFonts w:ascii="Arial" w:hAnsi="Arial" w:cs="Arial"/>
        </w:rPr>
      </w:pPr>
    </w:p>
    <w:p w14:paraId="714B9086" w14:textId="17180203" w:rsidR="00B01FCD" w:rsidRDefault="00B01FCD" w:rsidP="00441B6F">
      <w:pPr>
        <w:pStyle w:val="ReferHead"/>
        <w:spacing w:after="0"/>
        <w:jc w:val="both"/>
        <w:rPr>
          <w:rFonts w:ascii="Arial" w:hAnsi="Arial" w:cs="Arial"/>
        </w:rPr>
      </w:pPr>
      <w:r w:rsidRPr="00FB3A86">
        <w:rPr>
          <w:rFonts w:ascii="Arial" w:hAnsi="Arial" w:cs="Arial"/>
        </w:rPr>
        <w:t>References</w:t>
      </w:r>
    </w:p>
    <w:p w14:paraId="7AF45598" w14:textId="77777777" w:rsidR="00790ADA" w:rsidRPr="00FB3A86" w:rsidRDefault="00790ADA" w:rsidP="00441B6F">
      <w:pPr>
        <w:pStyle w:val="ReferHead"/>
        <w:spacing w:after="0"/>
        <w:jc w:val="both"/>
        <w:rPr>
          <w:rFonts w:ascii="Arial" w:hAnsi="Arial" w:cs="Arial"/>
        </w:rPr>
      </w:pPr>
    </w:p>
    <w:p w14:paraId="56F2A603" w14:textId="0079B765" w:rsidR="00BA62FB" w:rsidRDefault="000325BA" w:rsidP="00BA62FB">
      <w:r>
        <w:t>Republic Act No. 10533, otherwise known as the Enhanced Basic Education Act of 2013</w:t>
      </w:r>
    </w:p>
    <w:p w14:paraId="587D4A93" w14:textId="562B6473" w:rsidR="00BA62FB" w:rsidRDefault="00F95595" w:rsidP="00BA62FB">
      <w:hyperlink r:id="rId14" w:history="1">
        <w:r w:rsidR="00BA62FB" w:rsidRPr="00876B5F">
          <w:rPr>
            <w:rStyle w:val="Hyperlink"/>
          </w:rPr>
          <w:t>https://www.officialgazette.gov.ph/2013/05/15/republic-act-no-10533/</w:t>
        </w:r>
      </w:hyperlink>
      <w:r w:rsidR="00BA62FB">
        <w:t xml:space="preserve"> </w:t>
      </w:r>
    </w:p>
    <w:p w14:paraId="31DFA243" w14:textId="6489638E" w:rsidR="000D689F" w:rsidRDefault="000D689F" w:rsidP="00441B6F">
      <w:pPr>
        <w:pStyle w:val="Body"/>
        <w:spacing w:after="0"/>
      </w:pPr>
    </w:p>
    <w:p w14:paraId="05BD2158" w14:textId="094CA532" w:rsidR="006F229A" w:rsidRDefault="006F229A" w:rsidP="00441B6F">
      <w:pPr>
        <w:pStyle w:val="Body"/>
        <w:spacing w:after="0"/>
      </w:pPr>
      <w:proofErr w:type="spellStart"/>
      <w:r w:rsidRPr="006F229A">
        <w:t>Rahmah</w:t>
      </w:r>
      <w:proofErr w:type="spellEnd"/>
      <w:r w:rsidRPr="006F229A">
        <w:t>, L., &amp; Muslim, S. (2019, December). Implementation of Competence Certification Test for the Improvement of Vocational School of Work Graduation Readiness. In 1st Vocational Education International Conference (VEIC 2019) (pp. 230-237). Atlantis Press.</w:t>
      </w:r>
    </w:p>
    <w:p w14:paraId="5C6A29C2" w14:textId="77777777" w:rsidR="006F229A" w:rsidRDefault="006F229A" w:rsidP="00441B6F">
      <w:pPr>
        <w:pStyle w:val="Body"/>
        <w:spacing w:after="0"/>
      </w:pPr>
    </w:p>
    <w:p w14:paraId="782F60E0" w14:textId="702B18FB" w:rsidR="006F229A" w:rsidRDefault="006F229A" w:rsidP="00441B6F">
      <w:pPr>
        <w:pStyle w:val="Body"/>
        <w:spacing w:after="0"/>
      </w:pPr>
      <w:r w:rsidRPr="006F229A">
        <w:t>Torres, R. G. (2023). Complementation of Automotive Technology Programs and Industry Standards of State Universities and Colleges in the Philippines. JETT, 14(4), 166-189.</w:t>
      </w:r>
    </w:p>
    <w:p w14:paraId="406A5696" w14:textId="03FD7E30" w:rsidR="006F229A" w:rsidRDefault="006F229A" w:rsidP="00441B6F">
      <w:pPr>
        <w:pStyle w:val="Body"/>
        <w:spacing w:after="0"/>
      </w:pPr>
    </w:p>
    <w:p w14:paraId="2EDE9AA8" w14:textId="5432CDFD" w:rsidR="006F229A" w:rsidRDefault="006F229A" w:rsidP="00441B6F">
      <w:pPr>
        <w:pStyle w:val="Body"/>
        <w:spacing w:after="0"/>
      </w:pPr>
      <w:proofErr w:type="spellStart"/>
      <w:r w:rsidRPr="006F229A">
        <w:t>Frovihandika</w:t>
      </w:r>
      <w:proofErr w:type="spellEnd"/>
      <w:r w:rsidRPr="006F229A">
        <w:t xml:space="preserve">, D., Arifin, Z., &amp; </w:t>
      </w:r>
      <w:proofErr w:type="spellStart"/>
      <w:r w:rsidRPr="006F229A">
        <w:t>Widiastuti</w:t>
      </w:r>
      <w:proofErr w:type="spellEnd"/>
      <w:r w:rsidRPr="006F229A">
        <w:t>, E. (2019, June). A Suitability Of Competency Certification Scheme For Automotive Vocational High School With LSP P1 Against Business and Industrial World Needs In Semarang City. In Proceedings of the International Conference on Educational Research and Innovation (ICERI 2019) (pp. 119-127).</w:t>
      </w:r>
    </w:p>
    <w:p w14:paraId="3C15357C" w14:textId="184E7241" w:rsidR="006F229A" w:rsidRDefault="006F229A" w:rsidP="00441B6F">
      <w:pPr>
        <w:pStyle w:val="Body"/>
        <w:spacing w:after="0"/>
      </w:pPr>
    </w:p>
    <w:p w14:paraId="1481E20F" w14:textId="00907ED2" w:rsidR="006F229A" w:rsidRDefault="006F229A" w:rsidP="00441B6F">
      <w:pPr>
        <w:pStyle w:val="Body"/>
        <w:spacing w:after="0"/>
      </w:pPr>
      <w:proofErr w:type="spellStart"/>
      <w:r w:rsidRPr="006F229A">
        <w:t>Nurtanto</w:t>
      </w:r>
      <w:proofErr w:type="spellEnd"/>
      <w:r w:rsidRPr="006F229A">
        <w:t xml:space="preserve">, M., </w:t>
      </w:r>
      <w:proofErr w:type="spellStart"/>
      <w:r w:rsidRPr="006F229A">
        <w:t>Sofyan</w:t>
      </w:r>
      <w:proofErr w:type="spellEnd"/>
      <w:r w:rsidRPr="006F229A">
        <w:t xml:space="preserve">, H., </w:t>
      </w:r>
      <w:proofErr w:type="spellStart"/>
      <w:r w:rsidRPr="006F229A">
        <w:t>Pardjono</w:t>
      </w:r>
      <w:proofErr w:type="spellEnd"/>
      <w:r w:rsidRPr="006F229A">
        <w:t xml:space="preserve">, P., &amp; </w:t>
      </w:r>
      <w:proofErr w:type="spellStart"/>
      <w:r w:rsidRPr="006F229A">
        <w:t>Suyitno</w:t>
      </w:r>
      <w:proofErr w:type="spellEnd"/>
      <w:r w:rsidRPr="006F229A">
        <w:t>, S. (2020). Development model for competency improvement and national vocational qualification support frames in automotive technology. International Journal of Evaluation and Research in Education, 9(1), 168-176.</w:t>
      </w:r>
    </w:p>
    <w:p w14:paraId="425DF596" w14:textId="391DD6DC" w:rsidR="006F229A" w:rsidRDefault="006F229A" w:rsidP="00441B6F">
      <w:pPr>
        <w:pStyle w:val="Body"/>
        <w:spacing w:after="0"/>
      </w:pPr>
    </w:p>
    <w:p w14:paraId="48C8929C" w14:textId="57F7EDBB" w:rsidR="006F229A" w:rsidRDefault="006F229A" w:rsidP="00441B6F">
      <w:pPr>
        <w:pStyle w:val="Body"/>
        <w:spacing w:after="0"/>
      </w:pPr>
      <w:proofErr w:type="spellStart"/>
      <w:r w:rsidRPr="006F229A">
        <w:t>Puchert</w:t>
      </w:r>
      <w:proofErr w:type="spellEnd"/>
      <w:r w:rsidRPr="006F229A">
        <w:t>, J. I., Dodd, N., &amp; Viljoen, K. (2017). The relationship between type of secondary education and subject choice with technically oriented aptitudes for automotive operators. SA Journal of Industrial Psychology, 43(1), 1-13.</w:t>
      </w:r>
    </w:p>
    <w:p w14:paraId="5D67F480" w14:textId="77777777" w:rsidR="006F229A" w:rsidRDefault="006F229A" w:rsidP="00441B6F">
      <w:pPr>
        <w:pStyle w:val="Body"/>
        <w:spacing w:after="0"/>
      </w:pPr>
    </w:p>
    <w:p w14:paraId="0A2FCBAA" w14:textId="40B4E407" w:rsidR="006F229A" w:rsidRDefault="006F229A" w:rsidP="00441B6F">
      <w:pPr>
        <w:pStyle w:val="Body"/>
        <w:spacing w:after="0"/>
      </w:pPr>
      <w:r w:rsidRPr="006F229A">
        <w:t xml:space="preserve">Abd Samad, N., Rashid, W. M., </w:t>
      </w:r>
      <w:proofErr w:type="spellStart"/>
      <w:r w:rsidRPr="006F229A">
        <w:t>Sern</w:t>
      </w:r>
      <w:proofErr w:type="spellEnd"/>
      <w:r w:rsidRPr="006F229A">
        <w:t xml:space="preserve">, L. C., Harun, H., &amp; </w:t>
      </w:r>
      <w:proofErr w:type="spellStart"/>
      <w:r w:rsidRPr="006F229A">
        <w:t>Fazelah</w:t>
      </w:r>
      <w:proofErr w:type="spellEnd"/>
      <w:r w:rsidRPr="006F229A">
        <w:t xml:space="preserve">, S. N. (2017). Confirmatory of </w:t>
      </w:r>
      <w:proofErr w:type="spellStart"/>
      <w:r w:rsidRPr="006F229A">
        <w:t>behaviour</w:t>
      </w:r>
      <w:proofErr w:type="spellEnd"/>
      <w:r w:rsidRPr="006F229A">
        <w:t xml:space="preserve"> competency and employability skills domains and elements for industry’s automotive trainees. </w:t>
      </w:r>
      <w:proofErr w:type="spellStart"/>
      <w:r w:rsidRPr="006F229A">
        <w:t>Pertanika</w:t>
      </w:r>
      <w:proofErr w:type="spellEnd"/>
      <w:r w:rsidRPr="006F229A">
        <w:t xml:space="preserve"> Journal of Social Sciences and Humanities, 25, 127-137.</w:t>
      </w:r>
    </w:p>
    <w:p w14:paraId="769CC5B1" w14:textId="77591FBE" w:rsidR="0058535F" w:rsidRDefault="0058535F" w:rsidP="00441B6F">
      <w:pPr>
        <w:pStyle w:val="Body"/>
        <w:spacing w:after="0"/>
      </w:pPr>
    </w:p>
    <w:p w14:paraId="09557617" w14:textId="2EA0016F" w:rsidR="0058535F" w:rsidRDefault="0058535F" w:rsidP="00441B6F">
      <w:pPr>
        <w:pStyle w:val="Body"/>
        <w:spacing w:after="0"/>
      </w:pPr>
    </w:p>
    <w:p w14:paraId="4B63D830" w14:textId="7694F3D5" w:rsidR="0058535F" w:rsidRDefault="0058535F" w:rsidP="00441B6F">
      <w:pPr>
        <w:pStyle w:val="Body"/>
        <w:spacing w:after="0"/>
        <w:rPr>
          <w:rFonts w:ascii="Arial" w:hAnsi="Arial" w:cs="Arial"/>
          <w:color w:val="222222"/>
          <w:shd w:val="clear" w:color="auto" w:fill="FFFFFF"/>
        </w:rPr>
      </w:pPr>
      <w:proofErr w:type="spellStart"/>
      <w:r>
        <w:rPr>
          <w:rFonts w:ascii="Arial" w:hAnsi="Arial" w:cs="Arial"/>
          <w:color w:val="222222"/>
          <w:shd w:val="clear" w:color="auto" w:fill="FFFFFF"/>
        </w:rPr>
        <w:t>Pecaso</w:t>
      </w:r>
      <w:proofErr w:type="spellEnd"/>
      <w:r>
        <w:rPr>
          <w:rFonts w:ascii="Arial" w:hAnsi="Arial" w:cs="Arial"/>
          <w:color w:val="222222"/>
          <w:shd w:val="clear" w:color="auto" w:fill="FFFFFF"/>
        </w:rPr>
        <w:t xml:space="preserve">, J. P., &amp; </w:t>
      </w:r>
      <w:proofErr w:type="spellStart"/>
      <w:r>
        <w:rPr>
          <w:rFonts w:ascii="Arial" w:hAnsi="Arial" w:cs="Arial"/>
          <w:color w:val="222222"/>
          <w:shd w:val="clear" w:color="auto" w:fill="FFFFFF"/>
        </w:rPr>
        <w:t>Pecaso</w:t>
      </w:r>
      <w:proofErr w:type="spellEnd"/>
      <w:r>
        <w:rPr>
          <w:rFonts w:ascii="Arial" w:hAnsi="Arial" w:cs="Arial"/>
          <w:color w:val="222222"/>
          <w:shd w:val="clear" w:color="auto" w:fill="FFFFFF"/>
        </w:rPr>
        <w:t xml:space="preserve"> Jr, J. P. (2018). Justifiably improved model for car engine and lighting simulation: a teaching device for automotive servicing, National Competency Level 1 (NC 1). </w:t>
      </w:r>
      <w:proofErr w:type="spellStart"/>
      <w:r>
        <w:rPr>
          <w:rFonts w:ascii="Arial" w:hAnsi="Arial" w:cs="Arial"/>
          <w:i/>
          <w:iCs/>
          <w:color w:val="222222"/>
          <w:shd w:val="clear" w:color="auto" w:fill="FFFFFF"/>
        </w:rPr>
        <w:t>KnE</w:t>
      </w:r>
      <w:proofErr w:type="spellEnd"/>
      <w:r>
        <w:rPr>
          <w:rFonts w:ascii="Arial" w:hAnsi="Arial" w:cs="Arial"/>
          <w:i/>
          <w:iCs/>
          <w:color w:val="222222"/>
          <w:shd w:val="clear" w:color="auto" w:fill="FFFFFF"/>
        </w:rPr>
        <w:t xml:space="preserve"> Social Sciences</w:t>
      </w:r>
      <w:r>
        <w:rPr>
          <w:rFonts w:ascii="Arial" w:hAnsi="Arial" w:cs="Arial"/>
          <w:color w:val="222222"/>
          <w:shd w:val="clear" w:color="auto" w:fill="FFFFFF"/>
        </w:rPr>
        <w:t>, 647-658.</w:t>
      </w:r>
    </w:p>
    <w:p w14:paraId="4B5B2EE9" w14:textId="0423764B" w:rsidR="0058535F" w:rsidRDefault="0058535F" w:rsidP="00441B6F">
      <w:pPr>
        <w:pStyle w:val="Body"/>
        <w:spacing w:after="0"/>
      </w:pPr>
    </w:p>
    <w:p w14:paraId="2F1C07C6" w14:textId="77777777" w:rsidR="00441B6F" w:rsidRDefault="00441B6F" w:rsidP="00441B6F">
      <w:pPr>
        <w:pStyle w:val="Body"/>
        <w:spacing w:after="0"/>
        <w:jc w:val="left"/>
        <w:rPr>
          <w:rFonts w:ascii="Arial" w:hAnsi="Arial" w:cs="Arial"/>
        </w:rPr>
      </w:pPr>
    </w:p>
    <w:p w14:paraId="6162FB30" w14:textId="694DCC01" w:rsidR="00B01FCD" w:rsidRDefault="0058535F" w:rsidP="00441B6F">
      <w:pPr>
        <w:pStyle w:val="Reference"/>
        <w:numPr>
          <w:ilvl w:val="0"/>
          <w:numId w:val="0"/>
        </w:numPr>
        <w:spacing w:line="240" w:lineRule="auto"/>
        <w:rPr>
          <w:rFonts w:ascii="Arial" w:hAnsi="Arial" w:cs="Arial"/>
          <w:color w:val="222222"/>
          <w:shd w:val="clear" w:color="auto" w:fill="FFFFFF"/>
        </w:rPr>
      </w:pPr>
      <w:r>
        <w:rPr>
          <w:rFonts w:ascii="Arial" w:hAnsi="Arial" w:cs="Arial"/>
          <w:color w:val="222222"/>
          <w:shd w:val="clear" w:color="auto" w:fill="FFFFFF"/>
        </w:rPr>
        <w:t>Bell, R. H. (2011). National curricula, certification and credentialing. </w:t>
      </w:r>
      <w:r>
        <w:rPr>
          <w:rFonts w:ascii="Arial" w:hAnsi="Arial" w:cs="Arial"/>
          <w:i/>
          <w:iCs/>
          <w:color w:val="222222"/>
          <w:shd w:val="clear" w:color="auto" w:fill="FFFFFF"/>
        </w:rPr>
        <w:t>the surgeon</w:t>
      </w:r>
      <w:r>
        <w:rPr>
          <w:rFonts w:ascii="Arial" w:hAnsi="Arial" w:cs="Arial"/>
          <w:color w:val="222222"/>
          <w:shd w:val="clear" w:color="auto" w:fill="FFFFFF"/>
        </w:rPr>
        <w:t>, </w:t>
      </w:r>
      <w:r>
        <w:rPr>
          <w:rFonts w:ascii="Arial" w:hAnsi="Arial" w:cs="Arial"/>
          <w:i/>
          <w:iCs/>
          <w:color w:val="222222"/>
          <w:shd w:val="clear" w:color="auto" w:fill="FFFFFF"/>
        </w:rPr>
        <w:t>9</w:t>
      </w:r>
      <w:r>
        <w:rPr>
          <w:rFonts w:ascii="Arial" w:hAnsi="Arial" w:cs="Arial"/>
          <w:color w:val="222222"/>
          <w:shd w:val="clear" w:color="auto" w:fill="FFFFFF"/>
        </w:rPr>
        <w:t>, S10-S11.</w:t>
      </w:r>
    </w:p>
    <w:p w14:paraId="689830E1" w14:textId="319824DF" w:rsidR="0058535F" w:rsidRDefault="0058535F" w:rsidP="00441B6F">
      <w:pPr>
        <w:pStyle w:val="Reference"/>
        <w:numPr>
          <w:ilvl w:val="0"/>
          <w:numId w:val="0"/>
        </w:numPr>
        <w:spacing w:line="240" w:lineRule="auto"/>
        <w:rPr>
          <w:rFonts w:ascii="Arial" w:hAnsi="Arial" w:cs="Arial"/>
        </w:rPr>
      </w:pPr>
    </w:p>
    <w:p w14:paraId="34CB3F87" w14:textId="31F844A6" w:rsidR="0058535F" w:rsidRPr="00FB3A86" w:rsidRDefault="0058535F" w:rsidP="00441B6F">
      <w:pPr>
        <w:pStyle w:val="Reference"/>
        <w:numPr>
          <w:ilvl w:val="0"/>
          <w:numId w:val="0"/>
        </w:numPr>
        <w:spacing w:line="240" w:lineRule="auto"/>
        <w:rPr>
          <w:rFonts w:ascii="Arial" w:hAnsi="Arial" w:cs="Arial"/>
        </w:rPr>
      </w:pPr>
      <w:r>
        <w:rPr>
          <w:rFonts w:ascii="Arial" w:hAnsi="Arial" w:cs="Arial"/>
          <w:color w:val="222222"/>
          <w:shd w:val="clear" w:color="auto" w:fill="FFFFFF"/>
        </w:rPr>
        <w:t>Park, J. H., Choi, S. H., &amp; Jung, Y. D. (2020). A Study on Improving National Competency Standard. </w:t>
      </w:r>
      <w:r>
        <w:rPr>
          <w:rFonts w:ascii="Arial" w:hAnsi="Arial" w:cs="Arial"/>
          <w:i/>
          <w:iCs/>
          <w:color w:val="222222"/>
          <w:shd w:val="clear" w:color="auto" w:fill="FFFFFF"/>
        </w:rPr>
        <w:t>Journal of the Korea Safety Management &amp; Science</w:t>
      </w:r>
      <w:r>
        <w:rPr>
          <w:rFonts w:ascii="Arial" w:hAnsi="Arial" w:cs="Arial"/>
          <w:color w:val="222222"/>
          <w:shd w:val="clear" w:color="auto" w:fill="FFFFFF"/>
        </w:rPr>
        <w:t>, </w:t>
      </w:r>
      <w:r>
        <w:rPr>
          <w:rFonts w:ascii="Arial" w:hAnsi="Arial" w:cs="Arial"/>
          <w:i/>
          <w:iCs/>
          <w:color w:val="222222"/>
          <w:shd w:val="clear" w:color="auto" w:fill="FFFFFF"/>
        </w:rPr>
        <w:t>22</w:t>
      </w:r>
      <w:r>
        <w:rPr>
          <w:rFonts w:ascii="Arial" w:hAnsi="Arial" w:cs="Arial"/>
          <w:color w:val="222222"/>
          <w:shd w:val="clear" w:color="auto" w:fill="FFFFFF"/>
        </w:rPr>
        <w:t>(4), 17-26.</w:t>
      </w:r>
    </w:p>
    <w:sectPr w:rsidR="0058535F" w:rsidRPr="00FB3A86" w:rsidSect="003F08B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D4823" w14:textId="77777777" w:rsidR="00F95595" w:rsidRDefault="00F95595" w:rsidP="00C37E61">
      <w:r>
        <w:separator/>
      </w:r>
    </w:p>
  </w:endnote>
  <w:endnote w:type="continuationSeparator" w:id="0">
    <w:p w14:paraId="56FE16EE" w14:textId="77777777" w:rsidR="00F95595" w:rsidRDefault="00F9559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EDEDA" w14:textId="77777777" w:rsidR="003F08B9" w:rsidRDefault="003F0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CB82F" w14:textId="77777777" w:rsidR="003F08B9" w:rsidRDefault="003F08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DE3D5" w14:textId="2F959A56" w:rsidR="00754C9A" w:rsidRPr="003F08B9" w:rsidRDefault="00754C9A" w:rsidP="003F0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F9EB0" w14:textId="77777777" w:rsidR="00F95595" w:rsidRDefault="00F95595" w:rsidP="00C37E61">
      <w:r>
        <w:separator/>
      </w:r>
    </w:p>
  </w:footnote>
  <w:footnote w:type="continuationSeparator" w:id="0">
    <w:p w14:paraId="5E2AF0FB" w14:textId="77777777" w:rsidR="00F95595" w:rsidRDefault="00F9559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21239" w14:textId="1E6D6D46" w:rsidR="003F08B9" w:rsidRDefault="00F95595">
    <w:pPr>
      <w:pStyle w:val="Header"/>
    </w:pPr>
    <w:r>
      <w:rPr>
        <w:noProof/>
      </w:rPr>
      <w:pict w14:anchorId="2B5CB3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39434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4AB75" w14:textId="77310B90" w:rsidR="003F08B9" w:rsidRDefault="00F95595">
    <w:pPr>
      <w:pStyle w:val="Header"/>
    </w:pPr>
    <w:r>
      <w:rPr>
        <w:noProof/>
      </w:rPr>
      <w:pict w14:anchorId="68CF63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39434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A229C" w14:textId="3D75FB2F" w:rsidR="00296529" w:rsidRPr="00296529" w:rsidRDefault="00F95595" w:rsidP="00296529">
    <w:pPr>
      <w:ind w:left="2160"/>
      <w:jc w:val="center"/>
      <w:rPr>
        <w:rFonts w:ascii="Times New Roman" w:eastAsia="Calibri" w:hAnsi="Times New Roman"/>
        <w:i/>
        <w:sz w:val="18"/>
        <w:szCs w:val="22"/>
      </w:rPr>
    </w:pPr>
    <w:r>
      <w:rPr>
        <w:noProof/>
      </w:rPr>
      <w:pict w14:anchorId="47A5C4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39434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32E89A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B636A0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FE6E49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7DC0CC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FE2463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6ACA0B8"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a1tDS1tDAxNrQ0NbRU0lEKTi0uzszPAymwqAUAZr13OiwAAAA="/>
  </w:docVars>
  <w:rsids>
    <w:rsidRoot w:val="00AA6219"/>
    <w:rsid w:val="00000F8F"/>
    <w:rsid w:val="0000349B"/>
    <w:rsid w:val="00003EF8"/>
    <w:rsid w:val="00030174"/>
    <w:rsid w:val="000325BA"/>
    <w:rsid w:val="00037322"/>
    <w:rsid w:val="00040AB0"/>
    <w:rsid w:val="0004579C"/>
    <w:rsid w:val="00055D98"/>
    <w:rsid w:val="00063071"/>
    <w:rsid w:val="00063963"/>
    <w:rsid w:val="000A47FA"/>
    <w:rsid w:val="000A65D3"/>
    <w:rsid w:val="000B1E33"/>
    <w:rsid w:val="000D689F"/>
    <w:rsid w:val="000E7B7B"/>
    <w:rsid w:val="000E7D62"/>
    <w:rsid w:val="00103357"/>
    <w:rsid w:val="00123C9F"/>
    <w:rsid w:val="00126190"/>
    <w:rsid w:val="00130F17"/>
    <w:rsid w:val="001320BF"/>
    <w:rsid w:val="00146962"/>
    <w:rsid w:val="001537BA"/>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3302"/>
    <w:rsid w:val="002460DC"/>
    <w:rsid w:val="00250985"/>
    <w:rsid w:val="002556F6"/>
    <w:rsid w:val="00283105"/>
    <w:rsid w:val="00284C4C"/>
    <w:rsid w:val="00287E68"/>
    <w:rsid w:val="00296529"/>
    <w:rsid w:val="002A28B4"/>
    <w:rsid w:val="002B27FB"/>
    <w:rsid w:val="002B685A"/>
    <w:rsid w:val="002C57D2"/>
    <w:rsid w:val="002E0D56"/>
    <w:rsid w:val="00315186"/>
    <w:rsid w:val="0033343E"/>
    <w:rsid w:val="003512C2"/>
    <w:rsid w:val="00371FB6"/>
    <w:rsid w:val="003763C1"/>
    <w:rsid w:val="00376BBE"/>
    <w:rsid w:val="0039224F"/>
    <w:rsid w:val="003A43A4"/>
    <w:rsid w:val="003A7A8D"/>
    <w:rsid w:val="003A7E18"/>
    <w:rsid w:val="003C4C86"/>
    <w:rsid w:val="003C6258"/>
    <w:rsid w:val="003E0C6E"/>
    <w:rsid w:val="003E2904"/>
    <w:rsid w:val="003F08B9"/>
    <w:rsid w:val="00401927"/>
    <w:rsid w:val="0041027F"/>
    <w:rsid w:val="00412475"/>
    <w:rsid w:val="0041562A"/>
    <w:rsid w:val="00421F76"/>
    <w:rsid w:val="00423789"/>
    <w:rsid w:val="00440F43"/>
    <w:rsid w:val="00441B6F"/>
    <w:rsid w:val="00446221"/>
    <w:rsid w:val="00446B93"/>
    <w:rsid w:val="00450E62"/>
    <w:rsid w:val="004539DB"/>
    <w:rsid w:val="00470E87"/>
    <w:rsid w:val="00471A80"/>
    <w:rsid w:val="00477BD1"/>
    <w:rsid w:val="004848EF"/>
    <w:rsid w:val="004D305E"/>
    <w:rsid w:val="004D4277"/>
    <w:rsid w:val="004E5D36"/>
    <w:rsid w:val="00502516"/>
    <w:rsid w:val="00505F06"/>
    <w:rsid w:val="00506828"/>
    <w:rsid w:val="0052604E"/>
    <w:rsid w:val="0053056E"/>
    <w:rsid w:val="00554FDA"/>
    <w:rsid w:val="0058535F"/>
    <w:rsid w:val="005C784C"/>
    <w:rsid w:val="005D17F6"/>
    <w:rsid w:val="005E5539"/>
    <w:rsid w:val="005F683F"/>
    <w:rsid w:val="00602BF5"/>
    <w:rsid w:val="00604DD0"/>
    <w:rsid w:val="00617FDD"/>
    <w:rsid w:val="00623ECB"/>
    <w:rsid w:val="00633614"/>
    <w:rsid w:val="00633F68"/>
    <w:rsid w:val="00636EB2"/>
    <w:rsid w:val="006375B8"/>
    <w:rsid w:val="0066510A"/>
    <w:rsid w:val="00673F9F"/>
    <w:rsid w:val="00677119"/>
    <w:rsid w:val="00686953"/>
    <w:rsid w:val="00687DEA"/>
    <w:rsid w:val="00687E67"/>
    <w:rsid w:val="006967F7"/>
    <w:rsid w:val="006A1532"/>
    <w:rsid w:val="006A250C"/>
    <w:rsid w:val="006B21D3"/>
    <w:rsid w:val="006B57D0"/>
    <w:rsid w:val="006D30FF"/>
    <w:rsid w:val="006D6940"/>
    <w:rsid w:val="006F11EC"/>
    <w:rsid w:val="006F229A"/>
    <w:rsid w:val="0070082C"/>
    <w:rsid w:val="00733304"/>
    <w:rsid w:val="007369E6"/>
    <w:rsid w:val="00746E59"/>
    <w:rsid w:val="00754C9A"/>
    <w:rsid w:val="0075599A"/>
    <w:rsid w:val="00761D52"/>
    <w:rsid w:val="0077749E"/>
    <w:rsid w:val="00790ADA"/>
    <w:rsid w:val="007C2CBA"/>
    <w:rsid w:val="007D2288"/>
    <w:rsid w:val="007E088F"/>
    <w:rsid w:val="007F7B32"/>
    <w:rsid w:val="00804BC2"/>
    <w:rsid w:val="0081431A"/>
    <w:rsid w:val="00821282"/>
    <w:rsid w:val="0083216F"/>
    <w:rsid w:val="00833D85"/>
    <w:rsid w:val="00840150"/>
    <w:rsid w:val="00840469"/>
    <w:rsid w:val="00860000"/>
    <w:rsid w:val="00863BD3"/>
    <w:rsid w:val="008641ED"/>
    <w:rsid w:val="00866D66"/>
    <w:rsid w:val="008671C6"/>
    <w:rsid w:val="00875803"/>
    <w:rsid w:val="00881B4F"/>
    <w:rsid w:val="00893529"/>
    <w:rsid w:val="008B459E"/>
    <w:rsid w:val="008D5407"/>
    <w:rsid w:val="008E13AE"/>
    <w:rsid w:val="008E1506"/>
    <w:rsid w:val="008E710C"/>
    <w:rsid w:val="008F69D6"/>
    <w:rsid w:val="008F7267"/>
    <w:rsid w:val="00902823"/>
    <w:rsid w:val="00915CA6"/>
    <w:rsid w:val="00927834"/>
    <w:rsid w:val="009500A6"/>
    <w:rsid w:val="00957C18"/>
    <w:rsid w:val="009659BA"/>
    <w:rsid w:val="00983040"/>
    <w:rsid w:val="00984A3F"/>
    <w:rsid w:val="009B3FB9"/>
    <w:rsid w:val="009B48F2"/>
    <w:rsid w:val="009B491D"/>
    <w:rsid w:val="009C2465"/>
    <w:rsid w:val="009D35A0"/>
    <w:rsid w:val="009D7EB7"/>
    <w:rsid w:val="009E048A"/>
    <w:rsid w:val="009E08E9"/>
    <w:rsid w:val="009E3DB9"/>
    <w:rsid w:val="009E6E35"/>
    <w:rsid w:val="009F0EDA"/>
    <w:rsid w:val="00A03B96"/>
    <w:rsid w:val="00A05B19"/>
    <w:rsid w:val="00A07DBE"/>
    <w:rsid w:val="00A1134E"/>
    <w:rsid w:val="00A24E7E"/>
    <w:rsid w:val="00A258C3"/>
    <w:rsid w:val="00A347C0"/>
    <w:rsid w:val="00A51431"/>
    <w:rsid w:val="00A539AD"/>
    <w:rsid w:val="00A8506E"/>
    <w:rsid w:val="00A94063"/>
    <w:rsid w:val="00AA6219"/>
    <w:rsid w:val="00AA74E0"/>
    <w:rsid w:val="00AB703F"/>
    <w:rsid w:val="00AC6BB8"/>
    <w:rsid w:val="00AE008F"/>
    <w:rsid w:val="00B01FCD"/>
    <w:rsid w:val="00B11DF6"/>
    <w:rsid w:val="00B1776C"/>
    <w:rsid w:val="00B43B8F"/>
    <w:rsid w:val="00B52583"/>
    <w:rsid w:val="00B52896"/>
    <w:rsid w:val="00B95236"/>
    <w:rsid w:val="00B96BD9"/>
    <w:rsid w:val="00BA1B01"/>
    <w:rsid w:val="00BA2641"/>
    <w:rsid w:val="00BA62FB"/>
    <w:rsid w:val="00BB37AA"/>
    <w:rsid w:val="00BC53A0"/>
    <w:rsid w:val="00BD5737"/>
    <w:rsid w:val="00BE62AD"/>
    <w:rsid w:val="00BF121F"/>
    <w:rsid w:val="00BF1F80"/>
    <w:rsid w:val="00C153D1"/>
    <w:rsid w:val="00C166EF"/>
    <w:rsid w:val="00C17EB0"/>
    <w:rsid w:val="00C27F5F"/>
    <w:rsid w:val="00C30A0F"/>
    <w:rsid w:val="00C37E61"/>
    <w:rsid w:val="00C475EB"/>
    <w:rsid w:val="00C6382C"/>
    <w:rsid w:val="00C64C72"/>
    <w:rsid w:val="00C70F1B"/>
    <w:rsid w:val="00C71A47"/>
    <w:rsid w:val="00C7464C"/>
    <w:rsid w:val="00C82272"/>
    <w:rsid w:val="00C85588"/>
    <w:rsid w:val="00C9171C"/>
    <w:rsid w:val="00CD2C44"/>
    <w:rsid w:val="00CD6755"/>
    <w:rsid w:val="00CD6856"/>
    <w:rsid w:val="00CE0089"/>
    <w:rsid w:val="00CE793C"/>
    <w:rsid w:val="00CF193C"/>
    <w:rsid w:val="00CF502D"/>
    <w:rsid w:val="00D03A62"/>
    <w:rsid w:val="00D173F1"/>
    <w:rsid w:val="00D21F35"/>
    <w:rsid w:val="00D64F29"/>
    <w:rsid w:val="00D65190"/>
    <w:rsid w:val="00D74CB0"/>
    <w:rsid w:val="00D8295D"/>
    <w:rsid w:val="00DA0E79"/>
    <w:rsid w:val="00DC2A65"/>
    <w:rsid w:val="00DD1D47"/>
    <w:rsid w:val="00DE15F0"/>
    <w:rsid w:val="00DE5663"/>
    <w:rsid w:val="00DE78AA"/>
    <w:rsid w:val="00E053D0"/>
    <w:rsid w:val="00E15994"/>
    <w:rsid w:val="00E3114E"/>
    <w:rsid w:val="00E31A70"/>
    <w:rsid w:val="00E35B02"/>
    <w:rsid w:val="00E4072C"/>
    <w:rsid w:val="00E45CAC"/>
    <w:rsid w:val="00E66496"/>
    <w:rsid w:val="00E66B35"/>
    <w:rsid w:val="00E66E10"/>
    <w:rsid w:val="00E755A2"/>
    <w:rsid w:val="00E769F6"/>
    <w:rsid w:val="00E8407C"/>
    <w:rsid w:val="00E84F3C"/>
    <w:rsid w:val="00EA012C"/>
    <w:rsid w:val="00EA2967"/>
    <w:rsid w:val="00EB09F7"/>
    <w:rsid w:val="00EC6A55"/>
    <w:rsid w:val="00ED020C"/>
    <w:rsid w:val="00ED0288"/>
    <w:rsid w:val="00EE52CB"/>
    <w:rsid w:val="00EF581D"/>
    <w:rsid w:val="00EF7FD8"/>
    <w:rsid w:val="00F06F59"/>
    <w:rsid w:val="00F17988"/>
    <w:rsid w:val="00F46688"/>
    <w:rsid w:val="00F469F0"/>
    <w:rsid w:val="00F53273"/>
    <w:rsid w:val="00F755E4"/>
    <w:rsid w:val="00F77D02"/>
    <w:rsid w:val="00F80CC4"/>
    <w:rsid w:val="00F95595"/>
    <w:rsid w:val="00FB3A86"/>
    <w:rsid w:val="00FB77D4"/>
    <w:rsid w:val="00FC601E"/>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EB6699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20C"/>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Grid2">
    <w:name w:val="Table Grid2"/>
    <w:basedOn w:val="TableNormal"/>
    <w:next w:val="TableGrid"/>
    <w:uiPriority w:val="39"/>
    <w:rsid w:val="00E4072C"/>
    <w:rPr>
      <w:rFonts w:ascii="Calibri" w:eastAsia="Calibri" w:hAnsi="Calibri"/>
      <w:sz w:val="22"/>
      <w:szCs w:val="22"/>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072C"/>
    <w:rPr>
      <w:rFonts w:ascii="Helvetica" w:hAnsi="Helvetica"/>
    </w:rPr>
  </w:style>
  <w:style w:type="table" w:customStyle="1" w:styleId="TableGrid1">
    <w:name w:val="Table Grid1"/>
    <w:basedOn w:val="TableNormal"/>
    <w:next w:val="TableGrid"/>
    <w:uiPriority w:val="39"/>
    <w:qFormat/>
    <w:rsid w:val="00C15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4E5D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2">
    <w:name w:val="Unresolved Mention2"/>
    <w:basedOn w:val="DefaultParagraphFont"/>
    <w:uiPriority w:val="99"/>
    <w:semiHidden/>
    <w:unhideWhenUsed/>
    <w:rsid w:val="00BA6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04834667">
      <w:bodyDiv w:val="1"/>
      <w:marLeft w:val="0"/>
      <w:marRight w:val="0"/>
      <w:marTop w:val="0"/>
      <w:marBottom w:val="0"/>
      <w:divBdr>
        <w:top w:val="none" w:sz="0" w:space="0" w:color="auto"/>
        <w:left w:val="none" w:sz="0" w:space="0" w:color="auto"/>
        <w:bottom w:val="none" w:sz="0" w:space="0" w:color="auto"/>
        <w:right w:val="none" w:sz="0" w:space="0" w:color="auto"/>
      </w:divBdr>
      <w:divsChild>
        <w:div w:id="1982684664">
          <w:marLeft w:val="0"/>
          <w:marRight w:val="0"/>
          <w:marTop w:val="0"/>
          <w:marBottom w:val="0"/>
          <w:divBdr>
            <w:top w:val="none" w:sz="0" w:space="0" w:color="auto"/>
            <w:left w:val="none" w:sz="0" w:space="0" w:color="auto"/>
            <w:bottom w:val="none" w:sz="0" w:space="0" w:color="auto"/>
            <w:right w:val="none" w:sz="0" w:space="0" w:color="auto"/>
          </w:divBdr>
        </w:div>
        <w:div w:id="472910799">
          <w:marLeft w:val="0"/>
          <w:marRight w:val="0"/>
          <w:marTop w:val="0"/>
          <w:marBottom w:val="0"/>
          <w:divBdr>
            <w:top w:val="none" w:sz="0" w:space="0" w:color="auto"/>
            <w:left w:val="none" w:sz="0" w:space="0" w:color="auto"/>
            <w:bottom w:val="none" w:sz="0" w:space="0" w:color="auto"/>
            <w:right w:val="none" w:sz="0" w:space="0" w:color="auto"/>
          </w:divBdr>
        </w:div>
        <w:div w:id="67727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fficialgazette.gov.ph/2013/05/15/republic-act-no-105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3D962-E1F4-42FD-A0E9-41C44868F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168</TotalTime>
  <Pages>10</Pages>
  <Words>3830</Words>
  <Characters>21832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25611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CPU SDI 1080</cp:lastModifiedBy>
  <cp:revision>26</cp:revision>
  <cp:lastPrinted>1999-07-06T11:00:00Z</cp:lastPrinted>
  <dcterms:created xsi:type="dcterms:W3CDTF">2025-05-23T07:01:00Z</dcterms:created>
  <dcterms:modified xsi:type="dcterms:W3CDTF">2025-06-07T10:59:00Z</dcterms:modified>
</cp:coreProperties>
</file>