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91CE6" w14:textId="220E683A" w:rsidR="00754C9A" w:rsidRDefault="00135CA2" w:rsidP="00441B6F">
      <w:pPr>
        <w:pStyle w:val="Title"/>
        <w:spacing w:after="0"/>
        <w:jc w:val="both"/>
        <w:rPr>
          <w:rFonts w:ascii="Arial" w:hAnsi="Arial" w:cs="Arial"/>
        </w:rPr>
      </w:pPr>
      <w:r w:rsidRPr="00135CA2">
        <w:rPr>
          <w:rFonts w:ascii="Arial" w:hAnsi="Arial" w:cs="Arial"/>
        </w:rPr>
        <w:t>Review Article</w:t>
      </w:r>
    </w:p>
    <w:p w14:paraId="349B667F" w14:textId="77777777" w:rsidR="00135CA2" w:rsidRDefault="00135CA2" w:rsidP="00441B6F">
      <w:pPr>
        <w:pStyle w:val="Title"/>
        <w:spacing w:after="0"/>
        <w:jc w:val="both"/>
        <w:rPr>
          <w:rFonts w:ascii="Arial" w:hAnsi="Arial" w:cs="Arial"/>
        </w:rPr>
      </w:pPr>
    </w:p>
    <w:p w14:paraId="6EB68422" w14:textId="16C1D418" w:rsidR="00163BC4" w:rsidRPr="00163BC4" w:rsidRDefault="00AD0C97" w:rsidP="00441B6F">
      <w:pPr>
        <w:pStyle w:val="Author"/>
        <w:spacing w:line="240" w:lineRule="auto"/>
        <w:rPr>
          <w:rFonts w:ascii="Arial" w:hAnsi="Arial" w:cs="Arial"/>
          <w:bCs/>
          <w:iCs/>
          <w:kern w:val="28"/>
          <w:sz w:val="36"/>
        </w:rPr>
      </w:pPr>
      <w:r w:rsidRPr="00AD0C97">
        <w:rPr>
          <w:rFonts w:ascii="Arial" w:hAnsi="Arial" w:cs="Arial"/>
          <w:bCs/>
          <w:iCs/>
          <w:kern w:val="28"/>
          <w:sz w:val="36"/>
        </w:rPr>
        <w:t>Review of Component-Specific Modelling, Optimization, and Grid Integration Strategies for Hybrid Renewable Microgrids</w:t>
      </w:r>
      <w:r w:rsidR="00231920">
        <w:rPr>
          <w:rFonts w:ascii="Arial" w:hAnsi="Arial" w:cs="Arial"/>
          <w:bCs/>
          <w:iCs/>
          <w:kern w:val="28"/>
          <w:sz w:val="36"/>
        </w:rPr>
        <w:t xml:space="preserve"> </w:t>
      </w:r>
    </w:p>
    <w:p w14:paraId="6AF811B9" w14:textId="77777777" w:rsidR="00A258C3" w:rsidRPr="00790ADA" w:rsidRDefault="00A258C3" w:rsidP="00441B6F">
      <w:pPr>
        <w:pStyle w:val="Author"/>
        <w:spacing w:line="240" w:lineRule="auto"/>
        <w:jc w:val="both"/>
        <w:rPr>
          <w:rFonts w:ascii="Arial" w:hAnsi="Arial" w:cs="Arial"/>
          <w:sz w:val="36"/>
        </w:rPr>
      </w:pPr>
    </w:p>
    <w:p w14:paraId="4B9CDDA1" w14:textId="40A69A0B" w:rsidR="0047534A" w:rsidRPr="00FB3A86" w:rsidRDefault="0047534A" w:rsidP="0047534A">
      <w:pPr>
        <w:pStyle w:val="Affiliation"/>
        <w:spacing w:after="0" w:line="240" w:lineRule="auto"/>
        <w:jc w:val="both"/>
        <w:rPr>
          <w:rFonts w:ascii="Arial" w:hAnsi="Arial" w:cs="Arial"/>
        </w:rPr>
      </w:pPr>
      <w:r>
        <w:rPr>
          <w:rFonts w:ascii="Arial" w:hAnsi="Arial" w:cs="Arial"/>
        </w:rPr>
        <w:t xml:space="preserve"> </w:t>
      </w:r>
    </w:p>
    <w:p w14:paraId="1A1F29F0" w14:textId="11AED85C" w:rsidR="00B01FCD" w:rsidRPr="00FB3A86" w:rsidRDefault="007536C7" w:rsidP="00441B6F">
      <w:pPr>
        <w:pStyle w:val="Copyright"/>
        <w:spacing w:after="0" w:line="240" w:lineRule="auto"/>
        <w:jc w:val="both"/>
        <w:rPr>
          <w:rFonts w:ascii="Arial" w:hAnsi="Arial" w:cs="Arial"/>
        </w:rPr>
        <w:sectPr w:rsidR="00B01FCD" w:rsidRPr="00FB3A86" w:rsidSect="00FA47D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271C6DD" wp14:editId="3D982ACD">
                <wp:extent cx="5303520" cy="635"/>
                <wp:effectExtent l="13335" t="17145" r="17145" b="11430"/>
                <wp:docPr id="60568684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xmlns:w16sdtfl="http://schemas.microsoft.com/office/word/2024/wordml/sdtformatlock">
            <w:pict>
              <v:shapetype w14:anchorId="205A4AD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8988FBD" w14:textId="077DC7C6"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FCF1E4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3A7A3E7" w14:textId="77777777" w:rsidTr="001E44FE">
        <w:tc>
          <w:tcPr>
            <w:tcW w:w="9576" w:type="dxa"/>
            <w:shd w:val="clear" w:color="auto" w:fill="F2F2F2"/>
          </w:tcPr>
          <w:p w14:paraId="7219D259" w14:textId="76409611" w:rsidR="00505F06" w:rsidRPr="00BA1B01" w:rsidRDefault="006431F9" w:rsidP="006431F9">
            <w:pPr>
              <w:pStyle w:val="Body"/>
              <w:spacing w:after="0"/>
              <w:rPr>
                <w:rFonts w:ascii="Arial" w:eastAsia="Calibri" w:hAnsi="Arial" w:cs="Arial"/>
                <w:szCs w:val="22"/>
              </w:rPr>
            </w:pPr>
            <w:r w:rsidRPr="006431F9">
              <w:rPr>
                <w:rFonts w:ascii="Arial" w:eastAsia="Calibri" w:hAnsi="Arial" w:cs="Arial"/>
                <w:szCs w:val="22"/>
              </w:rPr>
              <w:t>Hybrid renewable microgrids (HRMs) integrating solar photovoltaic (PV), wind turbines, diesel generators, and battery storage systems are critical for resilient, low-carbon energy transitions. However, their inherent complexity</w:t>
            </w:r>
            <w:r w:rsidR="0083004F">
              <w:rPr>
                <w:rFonts w:ascii="Arial" w:eastAsia="Calibri" w:hAnsi="Arial" w:cs="Arial"/>
                <w:szCs w:val="22"/>
              </w:rPr>
              <w:t xml:space="preserve"> </w:t>
            </w:r>
            <w:r w:rsidRPr="006431F9">
              <w:rPr>
                <w:rFonts w:ascii="Arial" w:eastAsia="Calibri" w:hAnsi="Arial" w:cs="Arial"/>
                <w:szCs w:val="22"/>
              </w:rPr>
              <w:t>driven by intermittent generation, multi-objective optimization, and dynamic grid interactions</w:t>
            </w:r>
            <w:r w:rsidR="0083004F">
              <w:rPr>
                <w:rFonts w:ascii="Arial" w:eastAsia="Calibri" w:hAnsi="Arial" w:cs="Arial"/>
                <w:szCs w:val="22"/>
              </w:rPr>
              <w:t xml:space="preserve"> </w:t>
            </w:r>
            <w:r w:rsidRPr="006431F9">
              <w:rPr>
                <w:rFonts w:ascii="Arial" w:eastAsia="Calibri" w:hAnsi="Arial" w:cs="Arial"/>
                <w:szCs w:val="22"/>
              </w:rPr>
              <w:t xml:space="preserve">necessitates advanced modelling and control strategies to balance techno-economic and operational demands. This review synthesizes advancements in component-specific modelling, including non-linear fuel consumption curves for diesel generators, Weibull-distributed wind resource analysis, and Kalman filter-enhanced state-of-charge estimation for batteries. It </w:t>
            </w:r>
            <w:r w:rsidRPr="00E2462F">
              <w:rPr>
                <w:rFonts w:ascii="Arial" w:eastAsia="Calibri" w:hAnsi="Arial" w:cs="Arial"/>
                <w:szCs w:val="22"/>
                <w:highlight w:val="yellow"/>
              </w:rPr>
              <w:t>highlight</w:t>
            </w:r>
            <w:r w:rsidR="00E2462F" w:rsidRPr="00E2462F">
              <w:rPr>
                <w:rFonts w:ascii="Arial" w:eastAsia="Calibri" w:hAnsi="Arial" w:cs="Arial"/>
                <w:szCs w:val="22"/>
                <w:highlight w:val="yellow"/>
              </w:rPr>
              <w:t>ed</w:t>
            </w:r>
            <w:r w:rsidRPr="006431F9">
              <w:rPr>
                <w:rFonts w:ascii="Arial" w:eastAsia="Calibri" w:hAnsi="Arial" w:cs="Arial"/>
                <w:szCs w:val="22"/>
              </w:rPr>
              <w:t xml:space="preserve"> the transformative role of artificial intelligence (AI)-driven energy management systems and digital twin frameworks in optimizing dispatch, fault recovery, and predictive maintenance. Critical gaps in real-time adaptability, bidirectional grid synchronization, and standardized regulatory frameworks for peer-to-peer energy trading are examined. By bridging global innovations in adaptive control, blockchain-enabled transactive energy, and next-generation storage (e.g., solid-state batteries) with socio-technical insights, this review provides a roadmap for deploying HRMs that align with decarbonization targets and energy equity goals, particularly in underserved regions with volatile demand and resource constraints.</w:t>
            </w:r>
          </w:p>
        </w:tc>
      </w:tr>
    </w:tbl>
    <w:p w14:paraId="3147D39F" w14:textId="77777777" w:rsidR="00636EB2" w:rsidRDefault="00636EB2" w:rsidP="00441B6F">
      <w:pPr>
        <w:pStyle w:val="Body"/>
        <w:spacing w:after="0"/>
        <w:rPr>
          <w:rFonts w:ascii="Arial" w:hAnsi="Arial" w:cs="Arial"/>
          <w:i/>
        </w:rPr>
      </w:pPr>
    </w:p>
    <w:p w14:paraId="2B8E5A86" w14:textId="7FD85603" w:rsidR="00A24E7E" w:rsidRDefault="00A24E7E" w:rsidP="006431F9">
      <w:pPr>
        <w:pStyle w:val="Body"/>
        <w:spacing w:after="0"/>
        <w:ind w:left="1080" w:hanging="1080"/>
        <w:rPr>
          <w:rFonts w:ascii="Arial" w:hAnsi="Arial" w:cs="Arial"/>
          <w:i/>
        </w:rPr>
      </w:pPr>
      <w:r>
        <w:rPr>
          <w:rFonts w:ascii="Arial" w:hAnsi="Arial" w:cs="Arial"/>
          <w:i/>
        </w:rPr>
        <w:t xml:space="preserve">Keywords: </w:t>
      </w:r>
      <w:r w:rsidR="006431F9" w:rsidRPr="006431F9">
        <w:rPr>
          <w:rFonts w:ascii="Arial" w:hAnsi="Arial" w:cs="Arial"/>
          <w:iCs/>
        </w:rPr>
        <w:t>Hybrid renewable microgrids, artificial intelligence, grid integration, adaptive control, decarbonization, Kalman filter.</w:t>
      </w:r>
    </w:p>
    <w:p w14:paraId="0F337F67" w14:textId="77777777" w:rsidR="00790ADA" w:rsidRDefault="00790ADA" w:rsidP="00441B6F">
      <w:pPr>
        <w:pStyle w:val="Body"/>
        <w:spacing w:after="0"/>
        <w:rPr>
          <w:rFonts w:ascii="Arial" w:hAnsi="Arial" w:cs="Arial"/>
          <w:i/>
        </w:rPr>
      </w:pPr>
    </w:p>
    <w:p w14:paraId="38DFB77D" w14:textId="77777777" w:rsidR="00505F06" w:rsidRPr="00A24E7E" w:rsidRDefault="00505F06" w:rsidP="00441B6F">
      <w:pPr>
        <w:pStyle w:val="Body"/>
        <w:spacing w:after="0"/>
        <w:rPr>
          <w:rFonts w:ascii="Arial" w:hAnsi="Arial" w:cs="Arial"/>
          <w:i/>
        </w:rPr>
      </w:pPr>
    </w:p>
    <w:p w14:paraId="798F00F6" w14:textId="7D53389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E24D34D" w14:textId="77777777" w:rsidR="00790ADA" w:rsidRPr="00FB3A86" w:rsidRDefault="00790ADA" w:rsidP="00441B6F">
      <w:pPr>
        <w:pStyle w:val="AbstHead"/>
        <w:spacing w:after="0"/>
        <w:jc w:val="both"/>
        <w:rPr>
          <w:rFonts w:ascii="Arial" w:hAnsi="Arial" w:cs="Arial"/>
        </w:rPr>
      </w:pPr>
    </w:p>
    <w:p w14:paraId="5F68BECB" w14:textId="3CB3C634" w:rsidR="00B12D49" w:rsidRPr="00B12D49" w:rsidRDefault="00B12D49" w:rsidP="004F6625">
      <w:pPr>
        <w:pStyle w:val="Body"/>
        <w:spacing w:after="0"/>
        <w:rPr>
          <w:rFonts w:ascii="Arial" w:hAnsi="Arial" w:cs="Arial"/>
        </w:rPr>
      </w:pPr>
      <w:r w:rsidRPr="00B12D49">
        <w:rPr>
          <w:rFonts w:ascii="Arial" w:hAnsi="Arial" w:cs="Arial"/>
        </w:rPr>
        <w:t>The global energy transition toward decarbonization and resilience has intensified the deployment of hybrid renewable microgrids (HRMs), which integrate solar photovoltaic (PV), wind turbines, diesel generators, battery storage, and grid interconnections [1]. These systems address the limitations of standalone renewable sources by adopting complementary energy generation and storage technologies, enhancing reliability and reducing dependency on fossil fuels [2]. HRMs are particularly critical for remote electrification, grid stability in urban areas, and industrial decarbonization, offering a scalable framework to balance sustainability with energy security [3]. However, the inherent complexity of HRMs</w:t>
      </w:r>
      <w:r w:rsidR="00441A44">
        <w:rPr>
          <w:rFonts w:ascii="Arial" w:hAnsi="Arial" w:cs="Arial"/>
        </w:rPr>
        <w:t xml:space="preserve"> </w:t>
      </w:r>
      <w:r w:rsidRPr="00B12D49">
        <w:rPr>
          <w:rFonts w:ascii="Arial" w:hAnsi="Arial" w:cs="Arial"/>
        </w:rPr>
        <w:t>arising from intermittent renewable generation, dynamic load profiles, and multi-objective operational constraints</w:t>
      </w:r>
      <w:r w:rsidR="0038496C">
        <w:rPr>
          <w:rFonts w:ascii="Arial" w:hAnsi="Arial" w:cs="Arial"/>
        </w:rPr>
        <w:t xml:space="preserve"> </w:t>
      </w:r>
      <w:r w:rsidRPr="00B12D49">
        <w:rPr>
          <w:rFonts w:ascii="Arial" w:hAnsi="Arial" w:cs="Arial"/>
        </w:rPr>
        <w:t>demands advanced modelling and optimization strategies to achieve techno-economic viability [4].</w:t>
      </w:r>
    </w:p>
    <w:p w14:paraId="506C6D4D" w14:textId="77777777" w:rsidR="00B12D49" w:rsidRPr="00B12D49" w:rsidRDefault="00B12D49" w:rsidP="0044055C">
      <w:pPr>
        <w:pStyle w:val="Body"/>
        <w:spacing w:after="0"/>
        <w:rPr>
          <w:rFonts w:ascii="Arial" w:hAnsi="Arial" w:cs="Arial"/>
        </w:rPr>
      </w:pPr>
    </w:p>
    <w:p w14:paraId="6AAA10F7" w14:textId="77777777" w:rsidR="00B12D49" w:rsidRPr="00B12D49" w:rsidRDefault="00B12D49" w:rsidP="0044055C">
      <w:pPr>
        <w:pStyle w:val="Body"/>
        <w:spacing w:after="0"/>
        <w:rPr>
          <w:rFonts w:ascii="Arial" w:hAnsi="Arial" w:cs="Arial"/>
        </w:rPr>
      </w:pPr>
      <w:r w:rsidRPr="00B12D49">
        <w:rPr>
          <w:rFonts w:ascii="Arial" w:hAnsi="Arial" w:cs="Arial"/>
        </w:rPr>
        <w:lastRenderedPageBreak/>
        <w:t xml:space="preserve">Modelling HRMs requires a holistic approach to capture the transient interactions between distributed energy resources (DERs) and storage systems. Solar PV and wind generation exhibit stochastic </w:t>
      </w:r>
      <w:proofErr w:type="spellStart"/>
      <w:r w:rsidRPr="00B12D49">
        <w:rPr>
          <w:rFonts w:ascii="Arial" w:hAnsi="Arial" w:cs="Arial"/>
        </w:rPr>
        <w:t>behaviour</w:t>
      </w:r>
      <w:proofErr w:type="spellEnd"/>
      <w:r w:rsidRPr="00B12D49">
        <w:rPr>
          <w:rFonts w:ascii="Arial" w:hAnsi="Arial" w:cs="Arial"/>
        </w:rPr>
        <w:t xml:space="preserve"> influenced by weather variability, necessitating probabilistic forecasting models to predict output fluctuations [5]. Battery storage systems (BSS), while pivotal for load-levelling and backup power, introduce challenges such as degradation dynamics and state-of-charge (SOC) management [6]. Concurrently, diesel generators serve as dispatchable backups but contribute to emissions, requiring optimization frameworks that minimize their runtime without compromising reliability [7]. Recent studies emphasize digital twin models and real-time simulations to replicate HRM </w:t>
      </w:r>
      <w:proofErr w:type="spellStart"/>
      <w:r w:rsidRPr="00B12D49">
        <w:rPr>
          <w:rFonts w:ascii="Arial" w:hAnsi="Arial" w:cs="Arial"/>
        </w:rPr>
        <w:t>behaviour</w:t>
      </w:r>
      <w:proofErr w:type="spellEnd"/>
      <w:r w:rsidRPr="00B12D49">
        <w:rPr>
          <w:rFonts w:ascii="Arial" w:hAnsi="Arial" w:cs="Arial"/>
        </w:rPr>
        <w:t xml:space="preserve"> under diverse scenarios, enabling predictive maintenance and adaptive control [8].</w:t>
      </w:r>
    </w:p>
    <w:p w14:paraId="1959C673" w14:textId="77777777" w:rsidR="00B12D49" w:rsidRPr="00B12D49" w:rsidRDefault="00B12D49" w:rsidP="0044055C">
      <w:pPr>
        <w:pStyle w:val="Body"/>
        <w:spacing w:after="0"/>
        <w:rPr>
          <w:rFonts w:ascii="Arial" w:hAnsi="Arial" w:cs="Arial"/>
        </w:rPr>
      </w:pPr>
    </w:p>
    <w:p w14:paraId="241EE0C7" w14:textId="77777777" w:rsidR="00B12D49" w:rsidRPr="00B12D49" w:rsidRDefault="00B12D49" w:rsidP="0044055C">
      <w:pPr>
        <w:pStyle w:val="Body"/>
        <w:spacing w:after="0"/>
        <w:rPr>
          <w:rFonts w:ascii="Arial" w:hAnsi="Arial" w:cs="Arial"/>
        </w:rPr>
      </w:pPr>
      <w:r w:rsidRPr="00B12D49">
        <w:rPr>
          <w:rFonts w:ascii="Arial" w:hAnsi="Arial" w:cs="Arial"/>
        </w:rPr>
        <w:t>Optimization of HRMs hinges on multi-objective algorithms that reconcile conflicting goals, including levelized cost of energy (LCOE) minimization, carbon footprint reduction, and reliability enhancement [9]. Metaheuristic techniques such as genetic algorithms (GA) and particle swarm optimization (PSO) have gained prominence for their ability to handle non-linear constraints and Pareto-optimal solutions [10]. Machine learning (ML) approaches, including reinforcement learning (RL) and neural networks, further refine dispatch strategies by learning from historical data and adapting to real-time grid conditions [11]. For instance, hybrid ML-PSO frameworks have demonstrated a 12–18% improvement in cost efficiency compared to rule-based strategies in islanded microgrids [12]. Despite these advancements, gaps persist in standardizing optimization benchmarks and scalability for large-scale HRMs with bidirectional grid interactions [13].</w:t>
      </w:r>
    </w:p>
    <w:p w14:paraId="4FA1F235" w14:textId="77777777" w:rsidR="00B12D49" w:rsidRPr="00B12D49" w:rsidRDefault="00B12D49" w:rsidP="0044055C">
      <w:pPr>
        <w:pStyle w:val="Body"/>
        <w:spacing w:after="0"/>
        <w:rPr>
          <w:rFonts w:ascii="Arial" w:hAnsi="Arial" w:cs="Arial"/>
        </w:rPr>
      </w:pPr>
    </w:p>
    <w:p w14:paraId="2A0E6754" w14:textId="12D5B2C6" w:rsidR="00B01FCD" w:rsidRDefault="00B12D49" w:rsidP="0044055C">
      <w:pPr>
        <w:pStyle w:val="Body"/>
        <w:spacing w:after="0"/>
        <w:rPr>
          <w:rFonts w:ascii="Arial" w:hAnsi="Arial" w:cs="Arial"/>
        </w:rPr>
      </w:pPr>
      <w:r w:rsidRPr="00B12D49">
        <w:rPr>
          <w:rFonts w:ascii="Arial" w:hAnsi="Arial" w:cs="Arial"/>
        </w:rPr>
        <w:t>Grid integration remains a pivotal challenge for HRMs, particularly in maintaining stability and compliance with grid codes such as IEEE 1547-2018 [14]. Bidirectional power flow between HRMs and utility grids introduces voltage fluctuations, harmonic distortions, and synchronization issues, necessitating advanced power electronics and adaptive protection schemes [15]. Recent innovations in grid-forming inverters and virtual synchronous generators (VSGs) have improved frequency regulation and fault ride-through capabilities in HRMs [16]. Furthermore, blockchain-enabled peer-to-peer (P2P) energy trading platforms are emerging as disruptive solutions to enhance grid flexibility and economic returns [17]. This review synthesizes advancements in HRM modelling, optimization, and grid integration, providing a roadmap for researchers and policymakers to accelerate the adoption of resilient, low-carbon energy systems.</w:t>
      </w:r>
    </w:p>
    <w:p w14:paraId="059EB9A4" w14:textId="77777777" w:rsidR="00790ADA" w:rsidRPr="00FB3A86" w:rsidRDefault="00790ADA" w:rsidP="00441B6F">
      <w:pPr>
        <w:pStyle w:val="Body"/>
        <w:spacing w:after="0"/>
        <w:rPr>
          <w:rFonts w:ascii="Arial" w:hAnsi="Arial" w:cs="Arial"/>
        </w:rPr>
      </w:pPr>
    </w:p>
    <w:p w14:paraId="35447DEE" w14:textId="423E71FB" w:rsidR="007F7B32" w:rsidRDefault="00902823" w:rsidP="00441B6F">
      <w:pPr>
        <w:pStyle w:val="AbstHead"/>
        <w:spacing w:after="0"/>
        <w:jc w:val="both"/>
        <w:rPr>
          <w:rFonts w:ascii="Arial" w:hAnsi="Arial" w:cs="Arial"/>
        </w:rPr>
      </w:pPr>
      <w:r>
        <w:rPr>
          <w:rFonts w:ascii="Arial" w:hAnsi="Arial" w:cs="Arial"/>
        </w:rPr>
        <w:t xml:space="preserve">2. </w:t>
      </w:r>
      <w:r w:rsidR="00F87695" w:rsidRPr="00F87695">
        <w:rPr>
          <w:rFonts w:ascii="Arial" w:hAnsi="Arial" w:cs="Arial"/>
        </w:rPr>
        <w:t>BACKGROUND</w:t>
      </w:r>
      <w:r w:rsidR="00F87695">
        <w:rPr>
          <w:rFonts w:ascii="Arial" w:hAnsi="Arial" w:cs="Arial"/>
        </w:rPr>
        <w:t xml:space="preserve"> OF THE sTUDY</w:t>
      </w:r>
      <w:r w:rsidR="00F87695" w:rsidRPr="00F87695">
        <w:rPr>
          <w:rFonts w:ascii="Arial" w:hAnsi="Arial" w:cs="Arial"/>
        </w:rPr>
        <w:t xml:space="preserve"> AND RELATED WORKS</w:t>
      </w:r>
    </w:p>
    <w:p w14:paraId="1F9FD387" w14:textId="77777777" w:rsidR="00790ADA" w:rsidRPr="00FB3A86" w:rsidRDefault="00790ADA" w:rsidP="00441B6F">
      <w:pPr>
        <w:pStyle w:val="AbstHead"/>
        <w:spacing w:after="0"/>
        <w:jc w:val="both"/>
        <w:rPr>
          <w:rFonts w:ascii="Arial" w:hAnsi="Arial" w:cs="Arial"/>
        </w:rPr>
      </w:pPr>
    </w:p>
    <w:p w14:paraId="2C2EF48D" w14:textId="08427C1E" w:rsidR="00BE4593" w:rsidRDefault="00BE4593" w:rsidP="00441B6F">
      <w:pPr>
        <w:pStyle w:val="Body"/>
        <w:spacing w:after="0"/>
        <w:rPr>
          <w:rFonts w:ascii="Arial" w:hAnsi="Arial" w:cs="Arial"/>
        </w:rPr>
      </w:pPr>
      <w:r w:rsidRPr="00C30A0F">
        <w:rPr>
          <w:rFonts w:ascii="Arial" w:hAnsi="Arial" w:cs="Arial"/>
          <w:b/>
          <w:caps/>
          <w:sz w:val="22"/>
        </w:rPr>
        <w:t xml:space="preserve">2.1 </w:t>
      </w:r>
      <w:r w:rsidRPr="00BE4593">
        <w:rPr>
          <w:rFonts w:ascii="Arial" w:hAnsi="Arial" w:cs="Arial"/>
          <w:b/>
          <w:sz w:val="22"/>
        </w:rPr>
        <w:t>Renewable Microgrid</w:t>
      </w:r>
      <w:r w:rsidRPr="00FB3A86">
        <w:rPr>
          <w:rFonts w:ascii="Arial" w:hAnsi="Arial" w:cs="Arial"/>
        </w:rPr>
        <w:t xml:space="preserve"> </w:t>
      </w:r>
    </w:p>
    <w:p w14:paraId="5D18D231" w14:textId="77777777" w:rsidR="00BE4593" w:rsidRDefault="00BE4593" w:rsidP="00441B6F">
      <w:pPr>
        <w:pStyle w:val="Body"/>
        <w:spacing w:after="0"/>
        <w:rPr>
          <w:rFonts w:ascii="Arial" w:hAnsi="Arial" w:cs="Arial"/>
        </w:rPr>
      </w:pPr>
    </w:p>
    <w:p w14:paraId="299C405B" w14:textId="5CCDEFFF" w:rsidR="00502516" w:rsidRDefault="00BE4593" w:rsidP="00441B6F">
      <w:pPr>
        <w:pStyle w:val="Body"/>
        <w:spacing w:after="0"/>
        <w:rPr>
          <w:rFonts w:ascii="Arial" w:hAnsi="Arial" w:cs="Arial"/>
        </w:rPr>
      </w:pPr>
      <w:r w:rsidRPr="00BE4593">
        <w:rPr>
          <w:rFonts w:ascii="Arial" w:hAnsi="Arial" w:cs="Arial"/>
        </w:rPr>
        <w:t xml:space="preserve">A renewable microgrid is a localized energy system composed of distributed energy resources (DERs), primarily renewable sources such as solar photovoltaics, wind turbines, small hydro, and biomass generators. These microgrids operate autonomously or in coordination with the primary grid to enhance energy reliability, flexibility, and sustainability. Unlike centralized grids, renewable microgrids are designed for scalability and adaptability, often tailored to serve specific communities, campuses, or industrial zones. In addition to generation units, they include energy storage systems (ESS), smart meters, and intelligent controllers for real-time operation and monitoring. The core appeal of renewable microgrids lies in their ability to provide energy access in remote or disaster-prone areas where conventional grid extension is technically or economically infeasible [18]. Figure 1 </w:t>
      </w:r>
      <w:r w:rsidR="006139AE" w:rsidRPr="00BE4593">
        <w:rPr>
          <w:rFonts w:ascii="Arial" w:hAnsi="Arial" w:cs="Arial"/>
        </w:rPr>
        <w:t>shows</w:t>
      </w:r>
      <w:r w:rsidRPr="00BE4593">
        <w:rPr>
          <w:rFonts w:ascii="Arial" w:hAnsi="Arial" w:cs="Arial"/>
        </w:rPr>
        <w:t xml:space="preserve"> a typical microgrid network while Fig. 2 </w:t>
      </w:r>
      <w:r w:rsidR="006139AE" w:rsidRPr="00BE4593">
        <w:rPr>
          <w:rFonts w:ascii="Arial" w:hAnsi="Arial" w:cs="Arial"/>
        </w:rPr>
        <w:t>represents</w:t>
      </w:r>
      <w:r w:rsidRPr="00BE4593">
        <w:rPr>
          <w:rFonts w:ascii="Arial" w:hAnsi="Arial" w:cs="Arial"/>
        </w:rPr>
        <w:t xml:space="preserve"> a DC microgrid.</w:t>
      </w:r>
    </w:p>
    <w:p w14:paraId="57B0AF7B" w14:textId="77777777" w:rsidR="00BE4593" w:rsidRDefault="00BE4593" w:rsidP="00441B6F">
      <w:pPr>
        <w:pStyle w:val="Body"/>
        <w:spacing w:after="0"/>
        <w:rPr>
          <w:rFonts w:ascii="Arial" w:hAnsi="Arial" w:cs="Arial"/>
        </w:rPr>
      </w:pPr>
    </w:p>
    <w:p w14:paraId="4D0ECC35" w14:textId="77777777" w:rsidR="00BE4593" w:rsidRPr="00BE4593" w:rsidRDefault="00BE4593" w:rsidP="00BE4593">
      <w:pPr>
        <w:pStyle w:val="Body"/>
        <w:spacing w:after="0"/>
        <w:rPr>
          <w:rFonts w:ascii="Arial" w:hAnsi="Arial" w:cs="Arial"/>
          <w:lang w:val="en-GB"/>
        </w:rPr>
      </w:pPr>
    </w:p>
    <w:p w14:paraId="4BBCE1D9" w14:textId="77777777" w:rsidR="00BE4593" w:rsidRPr="00BE4593" w:rsidRDefault="00BE4593" w:rsidP="00BE4593">
      <w:pPr>
        <w:pStyle w:val="Body"/>
        <w:spacing w:after="0"/>
        <w:jc w:val="center"/>
        <w:rPr>
          <w:rFonts w:ascii="Arial" w:hAnsi="Arial" w:cs="Arial"/>
          <w:lang w:val="en-GB"/>
        </w:rPr>
      </w:pPr>
      <w:r w:rsidRPr="00BE4593">
        <w:rPr>
          <w:rFonts w:ascii="Arial" w:hAnsi="Arial" w:cs="Arial"/>
          <w:noProof/>
        </w:rPr>
        <w:lastRenderedPageBreak/>
        <w:drawing>
          <wp:inline distT="0" distB="0" distL="0" distR="0" wp14:anchorId="7F69C25E" wp14:editId="62E46955">
            <wp:extent cx="3756424" cy="2616200"/>
            <wp:effectExtent l="0" t="0" r="0" b="0"/>
            <wp:docPr id="1223277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3040" cy="2634737"/>
                    </a:xfrm>
                    <a:prstGeom prst="rect">
                      <a:avLst/>
                    </a:prstGeom>
                    <a:noFill/>
                    <a:ln>
                      <a:noFill/>
                    </a:ln>
                  </pic:spPr>
                </pic:pic>
              </a:graphicData>
            </a:graphic>
          </wp:inline>
        </w:drawing>
      </w:r>
    </w:p>
    <w:p w14:paraId="205B1384" w14:textId="0BA2ABED" w:rsidR="00BE4593" w:rsidRDefault="00BE4593" w:rsidP="00BE4593">
      <w:pPr>
        <w:pStyle w:val="Body"/>
        <w:spacing w:after="0"/>
        <w:jc w:val="center"/>
        <w:rPr>
          <w:rFonts w:ascii="Arial" w:hAnsi="Arial" w:cs="Arial"/>
        </w:rPr>
      </w:pPr>
      <w:r w:rsidRPr="00BE4593">
        <w:rPr>
          <w:rFonts w:ascii="Arial" w:hAnsi="Arial" w:cs="Arial"/>
          <w:b/>
          <w:bCs/>
          <w:lang w:val="en-GB"/>
        </w:rPr>
        <w:t xml:space="preserve">Fig. 1: Typical microgrid network </w:t>
      </w:r>
      <w:r w:rsidR="000F141E">
        <w:rPr>
          <w:rFonts w:ascii="Arial" w:hAnsi="Arial" w:cs="Arial"/>
          <w:b/>
          <w:bCs/>
          <w:lang w:val="en-GB"/>
        </w:rPr>
        <w:t>[19]</w:t>
      </w:r>
    </w:p>
    <w:p w14:paraId="6A5D9EA0" w14:textId="77777777" w:rsidR="002E0D56" w:rsidRDefault="002E0D56" w:rsidP="00441B6F">
      <w:pPr>
        <w:pStyle w:val="Body"/>
        <w:spacing w:after="0"/>
        <w:rPr>
          <w:rFonts w:ascii="Arial" w:hAnsi="Arial" w:cs="Arial"/>
        </w:rPr>
      </w:pPr>
    </w:p>
    <w:p w14:paraId="6048ADA6" w14:textId="75AA7AB5" w:rsidR="000F141E" w:rsidRPr="000F141E" w:rsidRDefault="000F141E" w:rsidP="000F141E">
      <w:pPr>
        <w:pStyle w:val="Body"/>
        <w:spacing w:after="0"/>
        <w:rPr>
          <w:rFonts w:ascii="Arial" w:hAnsi="Arial" w:cs="Arial"/>
          <w:lang w:val="en-GB"/>
        </w:rPr>
      </w:pPr>
      <w:r w:rsidRPr="000F141E">
        <w:rPr>
          <w:rFonts w:ascii="Arial" w:hAnsi="Arial" w:cs="Arial"/>
          <w:lang w:val="en-GB"/>
        </w:rPr>
        <w:t>Operational efficiency and reliability are achieved through intelligent control strategies that manage the intermittent nature of renewable energy sources. Deploying hybrid configurations</w:t>
      </w:r>
      <w:r w:rsidR="00901F72">
        <w:rPr>
          <w:rFonts w:ascii="Arial" w:hAnsi="Arial" w:cs="Arial"/>
          <w:lang w:val="en-GB"/>
        </w:rPr>
        <w:t xml:space="preserve"> </w:t>
      </w:r>
      <w:r w:rsidRPr="000F141E">
        <w:rPr>
          <w:rFonts w:ascii="Arial" w:hAnsi="Arial" w:cs="Arial"/>
          <w:lang w:val="en-GB"/>
        </w:rPr>
        <w:t>comprising multiple renewable sources alongside batteries or diesel backups</w:t>
      </w:r>
      <w:r w:rsidR="00901F72">
        <w:rPr>
          <w:rFonts w:ascii="Arial" w:hAnsi="Arial" w:cs="Arial"/>
          <w:lang w:val="en-GB"/>
        </w:rPr>
        <w:t xml:space="preserve"> that </w:t>
      </w:r>
      <w:r w:rsidRPr="000F141E">
        <w:rPr>
          <w:rFonts w:ascii="Arial" w:hAnsi="Arial" w:cs="Arial"/>
          <w:lang w:val="en-GB"/>
        </w:rPr>
        <w:t>enables a more stable power output. Control techniques such as droop control, model predictive control, and hierarchical energy management systems are widely applied to balance power generation and consumption [</w:t>
      </w:r>
      <w:r>
        <w:rPr>
          <w:rFonts w:ascii="Arial" w:hAnsi="Arial" w:cs="Arial"/>
          <w:lang w:val="en-GB"/>
        </w:rPr>
        <w:t>20</w:t>
      </w:r>
      <w:r w:rsidRPr="000F141E">
        <w:rPr>
          <w:rFonts w:ascii="Arial" w:hAnsi="Arial" w:cs="Arial"/>
          <w:lang w:val="en-GB"/>
        </w:rPr>
        <w:t>]. Furthermore, optimization algorithms determine the most cost-effective operation schedule based on forecasted generation and load profiles. These approaches ensure system stability during transitions between islanded and grid-connected modes. Recent advancements in machine learning and Internet of Things (IoT) integration enable microgrids to become increasingly autonomous and resilient [2</w:t>
      </w:r>
      <w:r>
        <w:rPr>
          <w:rFonts w:ascii="Arial" w:hAnsi="Arial" w:cs="Arial"/>
          <w:lang w:val="en-GB"/>
        </w:rPr>
        <w:t>1</w:t>
      </w:r>
      <w:r w:rsidRPr="000F141E">
        <w:rPr>
          <w:rFonts w:ascii="Arial" w:hAnsi="Arial" w:cs="Arial"/>
          <w:lang w:val="en-GB"/>
        </w:rPr>
        <w:t>].</w:t>
      </w:r>
    </w:p>
    <w:p w14:paraId="249B497A" w14:textId="3E7D1984" w:rsidR="00502516" w:rsidRDefault="00502516" w:rsidP="00441B6F">
      <w:pPr>
        <w:pStyle w:val="Body"/>
        <w:spacing w:after="0"/>
        <w:rPr>
          <w:rFonts w:ascii="Arial" w:hAnsi="Arial" w:cs="Arial"/>
        </w:rPr>
      </w:pPr>
      <w:r w:rsidRPr="00502516">
        <w:rPr>
          <w:rFonts w:ascii="Arial" w:hAnsi="Arial" w:cs="Arial"/>
        </w:rPr>
        <w:t xml:space="preserve">  </w:t>
      </w:r>
    </w:p>
    <w:p w14:paraId="2404D8CB" w14:textId="77777777" w:rsidR="00833BFF" w:rsidRPr="00833BFF" w:rsidRDefault="00833BFF" w:rsidP="00833BFF">
      <w:pPr>
        <w:pStyle w:val="Body"/>
        <w:spacing w:after="0"/>
        <w:jc w:val="center"/>
        <w:rPr>
          <w:rFonts w:ascii="Arial" w:hAnsi="Arial" w:cs="Arial"/>
          <w:lang w:val="en-GB"/>
        </w:rPr>
      </w:pPr>
      <w:r w:rsidRPr="00833BFF">
        <w:rPr>
          <w:rFonts w:ascii="Arial" w:hAnsi="Arial" w:cs="Arial"/>
          <w:noProof/>
        </w:rPr>
        <w:drawing>
          <wp:inline distT="0" distB="0" distL="0" distR="0" wp14:anchorId="1D56398E" wp14:editId="5BB04E7F">
            <wp:extent cx="3916483" cy="2692400"/>
            <wp:effectExtent l="0" t="0" r="0" b="0"/>
            <wp:docPr id="519800942" name="Picture 3" descr="Typical DC microgrid with sources and l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ypical DC microgrid with sources and load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0922" cy="2709200"/>
                    </a:xfrm>
                    <a:prstGeom prst="rect">
                      <a:avLst/>
                    </a:prstGeom>
                    <a:noFill/>
                    <a:ln>
                      <a:noFill/>
                    </a:ln>
                  </pic:spPr>
                </pic:pic>
              </a:graphicData>
            </a:graphic>
          </wp:inline>
        </w:drawing>
      </w:r>
    </w:p>
    <w:p w14:paraId="68FD98A5" w14:textId="77777777" w:rsidR="00833BFF" w:rsidRPr="00833BFF" w:rsidRDefault="00833BFF" w:rsidP="00833BFF">
      <w:pPr>
        <w:pStyle w:val="Body"/>
        <w:spacing w:after="0"/>
        <w:rPr>
          <w:rFonts w:ascii="Arial" w:hAnsi="Arial" w:cs="Arial"/>
          <w:lang w:val="en-GB"/>
        </w:rPr>
      </w:pPr>
    </w:p>
    <w:p w14:paraId="63D5D4EB" w14:textId="5CE3A9E4" w:rsidR="00833BFF" w:rsidRPr="00833BFF" w:rsidRDefault="00833BFF" w:rsidP="00833BFF">
      <w:pPr>
        <w:pStyle w:val="Body"/>
        <w:spacing w:after="0"/>
        <w:jc w:val="center"/>
        <w:rPr>
          <w:rFonts w:ascii="Arial" w:hAnsi="Arial" w:cs="Arial"/>
          <w:lang w:val="en-GB"/>
        </w:rPr>
      </w:pPr>
      <w:r w:rsidRPr="00833BFF">
        <w:rPr>
          <w:rFonts w:ascii="Arial" w:hAnsi="Arial" w:cs="Arial"/>
          <w:b/>
          <w:bCs/>
          <w:lang w:val="en-GB"/>
        </w:rPr>
        <w:t>Fig. 2. A DC microgrid [2</w:t>
      </w:r>
      <w:r w:rsidR="006D2A6A">
        <w:rPr>
          <w:rFonts w:ascii="Arial" w:hAnsi="Arial" w:cs="Arial"/>
          <w:b/>
          <w:bCs/>
          <w:lang w:val="en-GB"/>
        </w:rPr>
        <w:t>2</w:t>
      </w:r>
      <w:r w:rsidRPr="00833BFF">
        <w:rPr>
          <w:rFonts w:ascii="Arial" w:hAnsi="Arial" w:cs="Arial"/>
          <w:b/>
          <w:bCs/>
          <w:lang w:val="en-GB"/>
        </w:rPr>
        <w:t>]</w:t>
      </w:r>
    </w:p>
    <w:p w14:paraId="745E8FA1" w14:textId="77777777" w:rsidR="00790ADA" w:rsidRDefault="00790ADA" w:rsidP="00441B6F">
      <w:pPr>
        <w:pStyle w:val="Body"/>
        <w:spacing w:after="0"/>
        <w:rPr>
          <w:rFonts w:ascii="Arial" w:hAnsi="Arial" w:cs="Arial"/>
        </w:rPr>
      </w:pPr>
    </w:p>
    <w:p w14:paraId="6AB90A2C" w14:textId="258F9406" w:rsidR="00B01FCD" w:rsidRDefault="001E6497" w:rsidP="00441B6F">
      <w:pPr>
        <w:pStyle w:val="Body"/>
        <w:spacing w:after="0"/>
        <w:rPr>
          <w:rFonts w:ascii="Arial" w:hAnsi="Arial" w:cs="Arial"/>
        </w:rPr>
      </w:pPr>
      <w:r w:rsidRPr="001E6497">
        <w:rPr>
          <w:rFonts w:ascii="Arial" w:hAnsi="Arial" w:cs="Arial"/>
          <w:lang w:val="en-GB"/>
        </w:rPr>
        <w:lastRenderedPageBreak/>
        <w:t>Regarding broader impacts, renewable microgrids contribute significantly to climate change mitigation, sustainable development, and energy equity. They reduce greenhouse gas emissions by displacing diesel-based generation and decrease the vulnerability of power supply systems to environmental and geopolitical disruptions. In developing countries, microgrids can promote socio-economic development by supporting local entrepreneurship and creating green jobs [2</w:t>
      </w:r>
      <w:r w:rsidR="000D5099">
        <w:rPr>
          <w:rFonts w:ascii="Arial" w:hAnsi="Arial" w:cs="Arial"/>
          <w:lang w:val="en-GB"/>
        </w:rPr>
        <w:t>3</w:t>
      </w:r>
      <w:r w:rsidRPr="001E6497">
        <w:rPr>
          <w:rFonts w:ascii="Arial" w:hAnsi="Arial" w:cs="Arial"/>
          <w:lang w:val="en-GB"/>
        </w:rPr>
        <w:t>]. Policy incentives, robust regulatory frameworks, and innovative financial models—such as pay-as-you-go or community-owned energy schemes—are essential to encourage widespread deployment. As renewable technologies and energy storage costs continue to decline, renewable microgrids are expected to play a central role in the global transition toward a decentralized, low-carbon energy future [2</w:t>
      </w:r>
      <w:r w:rsidR="000D5099">
        <w:rPr>
          <w:rFonts w:ascii="Arial" w:hAnsi="Arial" w:cs="Arial"/>
          <w:lang w:val="en-GB"/>
        </w:rPr>
        <w:t>4</w:t>
      </w:r>
      <w:r w:rsidRPr="001E6497">
        <w:rPr>
          <w:rFonts w:ascii="Arial" w:hAnsi="Arial" w:cs="Arial"/>
          <w:lang w:val="en-GB"/>
        </w:rPr>
        <w:t>].</w:t>
      </w:r>
    </w:p>
    <w:p w14:paraId="57C82F65" w14:textId="77777777" w:rsidR="00A03B96" w:rsidRDefault="00A03B96" w:rsidP="00441B6F">
      <w:pPr>
        <w:pStyle w:val="Body"/>
        <w:spacing w:after="0"/>
        <w:rPr>
          <w:rFonts w:ascii="Arial" w:hAnsi="Arial" w:cs="Arial"/>
        </w:rPr>
      </w:pPr>
    </w:p>
    <w:p w14:paraId="1C74DA10" w14:textId="39FC7727" w:rsidR="00AA74E0" w:rsidRDefault="00AA74E0" w:rsidP="00441B6F">
      <w:pPr>
        <w:pStyle w:val="Body"/>
        <w:spacing w:after="0"/>
        <w:rPr>
          <w:rFonts w:ascii="Arial" w:hAnsi="Arial" w:cs="Arial"/>
        </w:rPr>
      </w:pPr>
      <w:r w:rsidRPr="00C30A0F">
        <w:rPr>
          <w:rFonts w:ascii="Arial" w:hAnsi="Arial" w:cs="Arial"/>
          <w:b/>
          <w:caps/>
          <w:sz w:val="22"/>
        </w:rPr>
        <w:t>2.</w:t>
      </w:r>
      <w:r w:rsidR="001942CF">
        <w:rPr>
          <w:rFonts w:ascii="Arial" w:hAnsi="Arial" w:cs="Arial"/>
          <w:b/>
          <w:caps/>
          <w:sz w:val="22"/>
        </w:rPr>
        <w:t>2</w:t>
      </w:r>
      <w:r w:rsidRPr="00C30A0F">
        <w:rPr>
          <w:rFonts w:ascii="Arial" w:hAnsi="Arial" w:cs="Arial"/>
          <w:b/>
          <w:caps/>
          <w:sz w:val="22"/>
        </w:rPr>
        <w:t xml:space="preserve"> </w:t>
      </w:r>
      <w:r w:rsidR="001568DC" w:rsidRPr="001568DC">
        <w:rPr>
          <w:rFonts w:ascii="Arial" w:hAnsi="Arial" w:cs="Arial"/>
          <w:b/>
          <w:sz w:val="22"/>
        </w:rPr>
        <w:t>Hybrid Renewable Microgrid</w:t>
      </w:r>
      <w:r w:rsidRPr="00FB3A86">
        <w:rPr>
          <w:rFonts w:ascii="Arial" w:hAnsi="Arial" w:cs="Arial"/>
        </w:rPr>
        <w:t xml:space="preserve">  </w:t>
      </w:r>
    </w:p>
    <w:p w14:paraId="49DE5661" w14:textId="77777777" w:rsidR="00505F06" w:rsidRDefault="00505F06" w:rsidP="00441B6F">
      <w:pPr>
        <w:pStyle w:val="Body"/>
        <w:spacing w:after="0"/>
        <w:rPr>
          <w:rFonts w:ascii="Arial" w:hAnsi="Arial" w:cs="Arial"/>
        </w:rPr>
      </w:pPr>
    </w:p>
    <w:p w14:paraId="3EEF6BAF" w14:textId="76085C48" w:rsidR="001568DC" w:rsidRDefault="001568DC" w:rsidP="00441B6F">
      <w:pPr>
        <w:pStyle w:val="Body"/>
        <w:spacing w:after="0"/>
        <w:rPr>
          <w:rFonts w:ascii="Arial" w:hAnsi="Arial" w:cs="Arial"/>
        </w:rPr>
      </w:pPr>
      <w:r w:rsidRPr="001568DC">
        <w:rPr>
          <w:rFonts w:ascii="Arial" w:hAnsi="Arial" w:cs="Arial"/>
          <w:lang w:val="en-GB"/>
        </w:rPr>
        <w:t xml:space="preserve">A </w:t>
      </w:r>
      <w:bookmarkStart w:id="0" w:name="_Hlk198143966"/>
      <w:r w:rsidRPr="001568DC">
        <w:rPr>
          <w:rFonts w:ascii="Arial" w:hAnsi="Arial" w:cs="Arial"/>
          <w:lang w:val="en-GB"/>
        </w:rPr>
        <w:t xml:space="preserve">hybrid renewable microgrid </w:t>
      </w:r>
      <w:bookmarkEnd w:id="0"/>
      <w:r w:rsidRPr="001568DC">
        <w:rPr>
          <w:rFonts w:ascii="Arial" w:hAnsi="Arial" w:cs="Arial"/>
          <w:lang w:val="en-GB"/>
        </w:rPr>
        <w:t>is an advanced microgrid that integrates two or more renewable energy sources—such as solar, wind, hydro, or biomass—along with conventional energy sources and energy storage systems. The hybrid configuration leverages the complementary characteristics of different energy sources to improve the power supply’s overall reliability, stability, and efficiency. For example, solar and wind are often combined because their generation profiles are inversely correlated: solar output is highest during the day, while wind speeds may peak at night or during cloudy conditions [2</w:t>
      </w:r>
      <w:r w:rsidR="000D5099">
        <w:rPr>
          <w:rFonts w:ascii="Arial" w:hAnsi="Arial" w:cs="Arial"/>
          <w:lang w:val="en-GB"/>
        </w:rPr>
        <w:t>5</w:t>
      </w:r>
      <w:r w:rsidRPr="001568DC">
        <w:rPr>
          <w:rFonts w:ascii="Arial" w:hAnsi="Arial" w:cs="Arial"/>
          <w:lang w:val="en-GB"/>
        </w:rPr>
        <w:t>]. This synergistic integration reduces reliance on fossil fuel-based backup generators and minimizes the intermittency and variability that individual renewable sources exhibit. Hybrid renewable microgrids are increasingly adopted in remote areas, island communities, and critical infrastructures where energy security and resilience are paramount [2</w:t>
      </w:r>
      <w:r w:rsidR="000D5099">
        <w:rPr>
          <w:rFonts w:ascii="Arial" w:hAnsi="Arial" w:cs="Arial"/>
          <w:lang w:val="en-GB"/>
        </w:rPr>
        <w:t>6</w:t>
      </w:r>
      <w:r w:rsidRPr="001568DC">
        <w:rPr>
          <w:rFonts w:ascii="Arial" w:hAnsi="Arial" w:cs="Arial"/>
          <w:lang w:val="en-GB"/>
        </w:rPr>
        <w:t xml:space="preserve">]. An illustration of a sustainability-focused grid is presented in Fig. </w:t>
      </w:r>
      <w:r w:rsidR="0047534A">
        <w:rPr>
          <w:rFonts w:ascii="Arial" w:hAnsi="Arial" w:cs="Arial"/>
          <w:lang w:val="en-GB"/>
        </w:rPr>
        <w:t>3</w:t>
      </w:r>
      <w:r w:rsidRPr="001568DC">
        <w:rPr>
          <w:rFonts w:ascii="Arial" w:hAnsi="Arial" w:cs="Arial"/>
          <w:lang w:val="en-GB"/>
        </w:rPr>
        <w:t>.</w:t>
      </w:r>
    </w:p>
    <w:p w14:paraId="65C06961" w14:textId="77777777" w:rsidR="001568DC" w:rsidRDefault="001568DC" w:rsidP="00441B6F">
      <w:pPr>
        <w:pStyle w:val="Body"/>
        <w:spacing w:after="0"/>
        <w:rPr>
          <w:rFonts w:ascii="Arial" w:hAnsi="Arial" w:cs="Arial"/>
        </w:rPr>
      </w:pPr>
    </w:p>
    <w:p w14:paraId="59D33787" w14:textId="506205E4" w:rsidR="00FC4E03" w:rsidRDefault="00FC4E03" w:rsidP="00FC4E03">
      <w:pPr>
        <w:pStyle w:val="Body"/>
        <w:spacing w:after="0"/>
        <w:jc w:val="center"/>
        <w:rPr>
          <w:rFonts w:ascii="Arial" w:hAnsi="Arial" w:cs="Arial"/>
        </w:rPr>
      </w:pPr>
      <w:r>
        <w:rPr>
          <w:noProof/>
        </w:rPr>
        <w:drawing>
          <wp:inline distT="0" distB="0" distL="0" distR="0" wp14:anchorId="5B88E660" wp14:editId="31ED6284">
            <wp:extent cx="4564380" cy="2633642"/>
            <wp:effectExtent l="0" t="0" r="0" b="0"/>
            <wp:docPr id="787105897" name="Picture 2" descr="Survey of Sustainable Energy Sources for Microgrid Energy Management: A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rvey of Sustainable Energy Sources for Microgrid Energy Management: A  Revie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7256" cy="2635301"/>
                    </a:xfrm>
                    <a:prstGeom prst="rect">
                      <a:avLst/>
                    </a:prstGeom>
                    <a:noFill/>
                    <a:ln>
                      <a:noFill/>
                    </a:ln>
                  </pic:spPr>
                </pic:pic>
              </a:graphicData>
            </a:graphic>
          </wp:inline>
        </w:drawing>
      </w:r>
    </w:p>
    <w:p w14:paraId="4A4EB84A" w14:textId="313D2EC0" w:rsidR="00FC4E03" w:rsidRPr="00FC4E03" w:rsidRDefault="00FC4E03" w:rsidP="00FC4E03">
      <w:pPr>
        <w:pStyle w:val="Body"/>
        <w:spacing w:after="0"/>
        <w:jc w:val="center"/>
        <w:rPr>
          <w:rFonts w:ascii="Arial" w:hAnsi="Arial" w:cs="Arial"/>
          <w:b/>
          <w:bCs/>
          <w:lang w:val="en-GB"/>
        </w:rPr>
      </w:pPr>
      <w:r w:rsidRPr="00FC4E03">
        <w:rPr>
          <w:rFonts w:ascii="Arial" w:hAnsi="Arial" w:cs="Arial"/>
          <w:b/>
          <w:bCs/>
          <w:lang w:val="en-GB"/>
        </w:rPr>
        <w:t xml:space="preserve">Fig. </w:t>
      </w:r>
      <w:r w:rsidR="0047534A">
        <w:rPr>
          <w:rFonts w:ascii="Arial" w:hAnsi="Arial" w:cs="Arial"/>
          <w:b/>
          <w:bCs/>
          <w:lang w:val="en-GB"/>
        </w:rPr>
        <w:t>3</w:t>
      </w:r>
      <w:r w:rsidRPr="00FC4E03">
        <w:rPr>
          <w:rFonts w:ascii="Arial" w:hAnsi="Arial" w:cs="Arial"/>
          <w:b/>
          <w:bCs/>
          <w:lang w:val="en-GB"/>
        </w:rPr>
        <w:t>. Sustainable energy sources for microgrid [2</w:t>
      </w:r>
      <w:r w:rsidR="000D5099">
        <w:rPr>
          <w:rFonts w:ascii="Arial" w:hAnsi="Arial" w:cs="Arial"/>
          <w:b/>
          <w:bCs/>
          <w:lang w:val="en-GB"/>
        </w:rPr>
        <w:t>7</w:t>
      </w:r>
      <w:r w:rsidRPr="00FC4E03">
        <w:rPr>
          <w:rFonts w:ascii="Arial" w:hAnsi="Arial" w:cs="Arial"/>
          <w:b/>
          <w:bCs/>
          <w:lang w:val="en-GB"/>
        </w:rPr>
        <w:t>]</w:t>
      </w:r>
    </w:p>
    <w:p w14:paraId="7B2F35F2" w14:textId="77777777" w:rsidR="00FC4E03" w:rsidRDefault="00FC4E03" w:rsidP="00FC4E03">
      <w:pPr>
        <w:pStyle w:val="Body"/>
        <w:spacing w:after="0"/>
        <w:jc w:val="center"/>
        <w:rPr>
          <w:rFonts w:ascii="Arial" w:hAnsi="Arial" w:cs="Arial"/>
        </w:rPr>
      </w:pPr>
    </w:p>
    <w:p w14:paraId="6410DCAD" w14:textId="25DE6907" w:rsidR="000D5099" w:rsidRDefault="000D5099" w:rsidP="000D5099">
      <w:pPr>
        <w:pStyle w:val="Body"/>
        <w:spacing w:after="0"/>
        <w:rPr>
          <w:rFonts w:ascii="Arial" w:hAnsi="Arial" w:cs="Arial"/>
          <w:lang w:val="en-GB"/>
        </w:rPr>
      </w:pPr>
      <w:r w:rsidRPr="000D5099">
        <w:rPr>
          <w:rFonts w:ascii="Arial" w:hAnsi="Arial" w:cs="Arial"/>
          <w:lang w:val="en-GB"/>
        </w:rPr>
        <w:t>The design and optimization of hybrid renewable microgrids involve complex multi-objective decision-making processes that account for technical, economic, and environmental factors. Vital considerations include optimal sizing of generation and storage components, real-time control strategies, and load management. Advanced optimization techniques such as genetic algorithms, particle swarm optimization, and mixed-integer linear programming have been used to determine the best configuration of resources to minimize lifecycle cost and emissions while ensuring reliable operation [2</w:t>
      </w:r>
      <w:r>
        <w:rPr>
          <w:rFonts w:ascii="Arial" w:hAnsi="Arial" w:cs="Arial"/>
          <w:lang w:val="en-GB"/>
        </w:rPr>
        <w:t>8</w:t>
      </w:r>
      <w:r w:rsidRPr="000D5099">
        <w:rPr>
          <w:rFonts w:ascii="Arial" w:hAnsi="Arial" w:cs="Arial"/>
          <w:lang w:val="en-GB"/>
        </w:rPr>
        <w:t xml:space="preserve">]. In addition, EMS plays a pivotal role by coordinating the </w:t>
      </w:r>
      <w:r w:rsidRPr="000D5099">
        <w:rPr>
          <w:rFonts w:ascii="Arial" w:hAnsi="Arial" w:cs="Arial"/>
          <w:lang w:val="en-GB"/>
        </w:rPr>
        <w:lastRenderedPageBreak/>
        <w:t>dispatch of different energy resources based on weather forecasts, demand predictions, and battery state-of-charge levels. These systems enable the microgrid to operate efficiently in grid-connected and islanded modes, providing uninterrupted power supply even during grid disturbances or outages [2</w:t>
      </w:r>
      <w:r>
        <w:rPr>
          <w:rFonts w:ascii="Arial" w:hAnsi="Arial" w:cs="Arial"/>
          <w:lang w:val="en-GB"/>
        </w:rPr>
        <w:t>9</w:t>
      </w:r>
      <w:r w:rsidRPr="000D5099">
        <w:rPr>
          <w:rFonts w:ascii="Arial" w:hAnsi="Arial" w:cs="Arial"/>
          <w:lang w:val="en-GB"/>
        </w:rPr>
        <w:t>].</w:t>
      </w:r>
    </w:p>
    <w:p w14:paraId="2DD1C8AE" w14:textId="77777777" w:rsidR="000D5099" w:rsidRPr="000D5099" w:rsidRDefault="000D5099" w:rsidP="000D5099">
      <w:pPr>
        <w:pStyle w:val="Body"/>
        <w:spacing w:after="0"/>
        <w:rPr>
          <w:rFonts w:ascii="Arial" w:hAnsi="Arial" w:cs="Arial"/>
          <w:lang w:val="en-GB"/>
        </w:rPr>
      </w:pPr>
    </w:p>
    <w:p w14:paraId="0172DECF" w14:textId="7F0E10A6" w:rsidR="001568DC" w:rsidRDefault="000D5099" w:rsidP="000D5099">
      <w:pPr>
        <w:pStyle w:val="Body"/>
        <w:spacing w:after="0"/>
        <w:rPr>
          <w:rFonts w:ascii="Arial" w:hAnsi="Arial" w:cs="Arial"/>
          <w:lang w:val="en-GB"/>
        </w:rPr>
      </w:pPr>
      <w:r w:rsidRPr="000D5099">
        <w:rPr>
          <w:rFonts w:ascii="Arial" w:hAnsi="Arial" w:cs="Arial"/>
          <w:lang w:val="en-GB"/>
        </w:rPr>
        <w:t>From a sustainability and implementation perspective, hybrid renewable microgrids offer a pragmatic pathway toward decarbonization, particularly in areas with high energy poverty or vulnerable to climate change impacts. They enable the integration of local energy resources, promote community involvement, and foster energy independence. However, challenges persist, such as high initial capital investment, lack of standardized regulatory frameworks, and the need for skilled technical personnel for operation and maintenance. Policy support and financial mechanisms such as feed-in tariffs, green bonds, and public-private partnerships are critical for scaling deployment. With ongoing advancements in power electronics, control systems, and forecasting tools, hybrid renewable microgrids are expected to be essential in achieving global clean energy targets and enhancing grid flexibility [</w:t>
      </w:r>
      <w:r w:rsidR="001942CF">
        <w:rPr>
          <w:rFonts w:ascii="Arial" w:hAnsi="Arial" w:cs="Arial"/>
          <w:lang w:val="en-GB"/>
        </w:rPr>
        <w:t>30</w:t>
      </w:r>
      <w:r w:rsidRPr="000D5099">
        <w:rPr>
          <w:rFonts w:ascii="Arial" w:hAnsi="Arial" w:cs="Arial"/>
          <w:lang w:val="en-GB"/>
        </w:rPr>
        <w:t>].</w:t>
      </w:r>
    </w:p>
    <w:p w14:paraId="64060F16" w14:textId="77777777" w:rsidR="001942CF" w:rsidRDefault="001942CF" w:rsidP="000D5099">
      <w:pPr>
        <w:pStyle w:val="Body"/>
        <w:spacing w:after="0"/>
        <w:rPr>
          <w:rFonts w:ascii="Arial" w:hAnsi="Arial" w:cs="Arial"/>
          <w:lang w:val="en-GB"/>
        </w:rPr>
      </w:pPr>
    </w:p>
    <w:p w14:paraId="2BBEAACF" w14:textId="7AC0EFD6" w:rsidR="001942CF" w:rsidRDefault="001942CF" w:rsidP="001942CF">
      <w:pPr>
        <w:pStyle w:val="Body"/>
        <w:spacing w:after="0"/>
        <w:rPr>
          <w:rFonts w:ascii="Arial" w:hAnsi="Arial" w:cs="Arial"/>
        </w:rPr>
      </w:pPr>
      <w:bookmarkStart w:id="1" w:name="_Hlk199104887"/>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sidRPr="001942CF">
        <w:rPr>
          <w:rFonts w:ascii="Arial" w:hAnsi="Arial" w:cs="Arial"/>
          <w:b/>
          <w:sz w:val="22"/>
        </w:rPr>
        <w:t>Hybrid Renewable Microgrid (HRM) Modelling</w:t>
      </w:r>
      <w:r w:rsidRPr="00FB3A86">
        <w:rPr>
          <w:rFonts w:ascii="Arial" w:hAnsi="Arial" w:cs="Arial"/>
        </w:rPr>
        <w:t xml:space="preserve">  </w:t>
      </w:r>
    </w:p>
    <w:p w14:paraId="4CAB9FFD" w14:textId="77777777" w:rsidR="001942CF" w:rsidRDefault="001942CF" w:rsidP="001942CF">
      <w:pPr>
        <w:pStyle w:val="Body"/>
        <w:spacing w:after="0"/>
        <w:rPr>
          <w:rFonts w:ascii="Arial" w:hAnsi="Arial" w:cs="Arial"/>
        </w:rPr>
      </w:pPr>
    </w:p>
    <w:p w14:paraId="51D178F1" w14:textId="6BB3B8F3" w:rsidR="001942CF" w:rsidRDefault="001942CF" w:rsidP="001942CF">
      <w:pPr>
        <w:pStyle w:val="Body"/>
        <w:spacing w:after="0"/>
        <w:rPr>
          <w:rFonts w:ascii="Arial" w:hAnsi="Arial" w:cs="Arial"/>
          <w:lang w:val="en-GB"/>
        </w:rPr>
      </w:pPr>
      <w:r w:rsidRPr="001942CF">
        <w:rPr>
          <w:rFonts w:ascii="Arial" w:hAnsi="Arial" w:cs="Arial"/>
          <w:lang w:val="en-GB"/>
        </w:rPr>
        <w:t>Accurate Hybrid Renewable Microgrids (HRMs) modelling is essential to replicate real-world dynamics, assess operational viability, and facilitate optimal control across diverse and variable energy sources. HRM models must integrate component-level behaviour (e.g., generation units, energy storage, inverters) and system-wide interactions (e.g., power balance, control strategies, grid synchronization). Due to the stochastic nature of renewable sources and varying load demands, these models must incorporate probabilistic frameworks, degradation mechanisms, and multi-domain co-simulation capabilities. Comprehensive modelling supports critical tasks such as performance forecasting, reliability analysis, and techno-economic optimization, all of which are central to effective HRM planning and deployment [3</w:t>
      </w:r>
      <w:r w:rsidR="00DA3BED">
        <w:rPr>
          <w:rFonts w:ascii="Arial" w:hAnsi="Arial" w:cs="Arial"/>
          <w:lang w:val="en-GB"/>
        </w:rPr>
        <w:t>1</w:t>
      </w:r>
      <w:r w:rsidRPr="001942CF">
        <w:rPr>
          <w:rFonts w:ascii="Arial" w:hAnsi="Arial" w:cs="Arial"/>
          <w:lang w:val="en-GB"/>
        </w:rPr>
        <w:t>].</w:t>
      </w:r>
      <w:bookmarkEnd w:id="1"/>
    </w:p>
    <w:p w14:paraId="65C305A9" w14:textId="77777777" w:rsidR="00DA3BED" w:rsidRDefault="00DA3BED" w:rsidP="001942CF">
      <w:pPr>
        <w:pStyle w:val="Body"/>
        <w:spacing w:after="0"/>
        <w:rPr>
          <w:rFonts w:ascii="Arial" w:hAnsi="Arial" w:cs="Arial"/>
          <w:lang w:val="en-GB"/>
        </w:rPr>
      </w:pPr>
    </w:p>
    <w:p w14:paraId="3F23188F" w14:textId="0D30F48A"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DA3BED" w:rsidRPr="00DA3BED">
        <w:rPr>
          <w:rFonts w:ascii="Arial" w:hAnsi="Arial" w:cs="Arial"/>
        </w:rPr>
        <w:t>COMPONENT MODELLING</w:t>
      </w:r>
    </w:p>
    <w:p w14:paraId="4071E989" w14:textId="77777777" w:rsidR="00790ADA" w:rsidRPr="00FB3A86" w:rsidRDefault="00790ADA" w:rsidP="00441B6F">
      <w:pPr>
        <w:pStyle w:val="Head1"/>
        <w:spacing w:after="0"/>
        <w:jc w:val="both"/>
        <w:rPr>
          <w:rFonts w:ascii="Arial" w:hAnsi="Arial" w:cs="Arial"/>
        </w:rPr>
      </w:pPr>
    </w:p>
    <w:p w14:paraId="020049CC" w14:textId="35F59D28" w:rsidR="00DA3BED" w:rsidRDefault="00DA3BED" w:rsidP="00DA3BED">
      <w:pPr>
        <w:pStyle w:val="Body"/>
        <w:spacing w:after="0"/>
        <w:rPr>
          <w:rFonts w:ascii="Arial" w:hAnsi="Arial" w:cs="Arial"/>
        </w:rPr>
      </w:pPr>
      <w:bookmarkStart w:id="2" w:name="_Hlk199105072"/>
      <w:r>
        <w:rPr>
          <w:rFonts w:ascii="Arial" w:hAnsi="Arial" w:cs="Arial"/>
          <w:b/>
          <w:caps/>
          <w:sz w:val="22"/>
        </w:rPr>
        <w:t>3</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sidRPr="00DA3BED">
        <w:rPr>
          <w:rFonts w:ascii="Arial" w:hAnsi="Arial" w:cs="Arial"/>
          <w:b/>
          <w:sz w:val="22"/>
        </w:rPr>
        <w:t>Solar Photovoltaic (PV) Systems</w:t>
      </w:r>
      <w:r w:rsidRPr="00FB3A86">
        <w:rPr>
          <w:rFonts w:ascii="Arial" w:hAnsi="Arial" w:cs="Arial"/>
        </w:rPr>
        <w:t xml:space="preserve">  </w:t>
      </w:r>
    </w:p>
    <w:p w14:paraId="601BC650" w14:textId="77777777" w:rsidR="00DA3BED" w:rsidRDefault="00DA3BED" w:rsidP="00DA3BED">
      <w:pPr>
        <w:pStyle w:val="Body"/>
        <w:spacing w:after="0"/>
        <w:rPr>
          <w:rFonts w:ascii="Arial" w:hAnsi="Arial" w:cs="Arial"/>
        </w:rPr>
      </w:pPr>
    </w:p>
    <w:p w14:paraId="56F9230A" w14:textId="71163D97" w:rsidR="00DA3BED" w:rsidRPr="00DA3BED" w:rsidRDefault="00DA3BED" w:rsidP="00DA3BED">
      <w:pPr>
        <w:pStyle w:val="Body"/>
        <w:spacing w:after="0"/>
        <w:rPr>
          <w:rFonts w:ascii="Arial" w:hAnsi="Arial" w:cs="Arial"/>
          <w:lang w:val="en-GB"/>
        </w:rPr>
      </w:pPr>
      <w:r w:rsidRPr="00DA3BED">
        <w:rPr>
          <w:rFonts w:ascii="Arial" w:hAnsi="Arial" w:cs="Arial"/>
          <w:lang w:val="en-GB"/>
        </w:rPr>
        <w:t>Irradiance Forecasting: A cornerstone of PV system modelling is accurate irradiance forecasting, which directly impacts power output estimation [3</w:t>
      </w:r>
      <w:r>
        <w:rPr>
          <w:rFonts w:ascii="Arial" w:hAnsi="Arial" w:cs="Arial"/>
          <w:lang w:val="en-GB"/>
        </w:rPr>
        <w:t>2</w:t>
      </w:r>
      <w:r w:rsidRPr="00DA3BED">
        <w:rPr>
          <w:rFonts w:ascii="Arial" w:hAnsi="Arial" w:cs="Arial"/>
          <w:lang w:val="en-GB"/>
        </w:rPr>
        <w:t>]. Probabilistic methods, such as Markov Chain Models, simulate transitions between irradiance states, capturing temporal weather variations effectively. Markov Chain Transition Probability is expressed in (1).</w:t>
      </w:r>
      <w:bookmarkEnd w:id="2"/>
    </w:p>
    <w:p w14:paraId="2EC21B43" w14:textId="0E405D7F" w:rsidR="00DA3BED" w:rsidRPr="00DA3BED" w:rsidRDefault="00DA3BED" w:rsidP="00DA3BED">
      <w:pPr>
        <w:pStyle w:val="Body"/>
        <w:spacing w:after="0"/>
        <w:rPr>
          <w:rFonts w:ascii="Arial" w:hAnsi="Arial" w:cs="Arial"/>
          <w:lang w:val="en-GB"/>
        </w:rPr>
      </w:pPr>
      <w:r w:rsidRPr="00DA3BED">
        <w:rPr>
          <w:rFonts w:ascii="Arial" w:hAnsi="Arial" w:cs="Arial"/>
          <w:lang w:val="en-GB"/>
        </w:rPr>
        <w:tab/>
      </w:r>
      <w:bookmarkStart w:id="3" w:name="_Hlk198406248"/>
      <m:oMath>
        <m:sSub>
          <m:sSubPr>
            <m:ctrlPr>
              <w:rPr>
                <w:rFonts w:ascii="Cambria Math" w:hAnsi="Cambria Math" w:cs="Arial"/>
                <w:i/>
                <w:iCs/>
                <w:lang w:val="en-GB"/>
              </w:rPr>
            </m:ctrlPr>
          </m:sSubPr>
          <m:e>
            <m:r>
              <w:rPr>
                <w:rFonts w:ascii="Cambria Math" w:hAnsi="Cambria Math" w:cs="Arial"/>
                <w:lang w:val="en-GB"/>
              </w:rPr>
              <m:t>P</m:t>
            </m:r>
          </m:e>
          <m:sub>
            <m:r>
              <w:rPr>
                <w:rFonts w:ascii="Cambria Math" w:hAnsi="Cambria Math" w:cs="Arial"/>
                <w:lang w:val="en-GB"/>
              </w:rPr>
              <m:t>ij</m:t>
            </m:r>
          </m:sub>
        </m:sSub>
        <w:bookmarkEnd w:id="3"/>
        <m:r>
          <w:rPr>
            <w:rFonts w:ascii="Cambria Math" w:hAnsi="Cambria Math" w:cs="Arial"/>
            <w:lang w:val="en-GB"/>
          </w:rPr>
          <m:t>​=</m:t>
        </m:r>
        <m:f>
          <m:fPr>
            <m:ctrlPr>
              <w:rPr>
                <w:rFonts w:ascii="Cambria Math" w:hAnsi="Cambria Math" w:cs="Arial"/>
                <w:i/>
                <w:lang w:val="en-GB"/>
              </w:rPr>
            </m:ctrlPr>
          </m:fPr>
          <m:num>
            <m:sSub>
              <m:sSubPr>
                <m:ctrlPr>
                  <w:rPr>
                    <w:rFonts w:ascii="Cambria Math" w:hAnsi="Cambria Math" w:cs="Arial"/>
                    <w:i/>
                    <w:iCs/>
                    <w:lang w:val="en-GB"/>
                  </w:rPr>
                </m:ctrlPr>
              </m:sSubPr>
              <m:e>
                <m:r>
                  <w:rPr>
                    <w:rFonts w:ascii="Cambria Math" w:hAnsi="Cambria Math" w:cs="Arial"/>
                    <w:lang w:val="en-GB"/>
                  </w:rPr>
                  <m:t>N</m:t>
                </m:r>
              </m:e>
              <m:sub>
                <m:r>
                  <w:rPr>
                    <w:rFonts w:ascii="Cambria Math" w:hAnsi="Cambria Math" w:cs="Arial"/>
                    <w:lang w:val="en-GB"/>
                  </w:rPr>
                  <m:t>ij</m:t>
                </m:r>
              </m:sub>
            </m:sSub>
            <m:r>
              <w:rPr>
                <w:rFonts w:ascii="Cambria Math" w:hAnsi="Cambria Math" w:cs="Arial"/>
                <w:lang w:val="en-GB"/>
              </w:rPr>
              <m:t>​</m:t>
            </m:r>
          </m:num>
          <m:den>
            <m:sSub>
              <m:sSubPr>
                <m:ctrlPr>
                  <w:rPr>
                    <w:rFonts w:ascii="Cambria Math" w:hAnsi="Cambria Math" w:cs="Arial"/>
                    <w:i/>
                    <w:iCs/>
                    <w:lang w:val="en-GB"/>
                  </w:rPr>
                </m:ctrlPr>
              </m:sSubPr>
              <m:e>
                <m:r>
                  <w:rPr>
                    <w:rFonts w:ascii="Cambria Math" w:hAnsi="Cambria Math" w:cs="Arial"/>
                    <w:lang w:val="en-GB"/>
                  </w:rPr>
                  <m:t>N</m:t>
                </m:r>
              </m:e>
              <m:sub>
                <m:r>
                  <w:rPr>
                    <w:rFonts w:ascii="Cambria Math" w:hAnsi="Cambria Math" w:cs="Arial"/>
                    <w:lang w:val="en-GB"/>
                  </w:rPr>
                  <m:t>i</m:t>
                </m:r>
              </m:sub>
            </m:sSub>
            <m:r>
              <w:rPr>
                <w:rFonts w:ascii="Cambria Math" w:hAnsi="Cambria Math" w:cs="Arial"/>
                <w:lang w:val="en-GB"/>
              </w:rPr>
              <m:t>​</m:t>
            </m:r>
          </m:den>
        </m:f>
        <m:r>
          <w:rPr>
            <w:rFonts w:ascii="Cambria Math" w:hAnsi="Cambria Math" w:cs="Arial"/>
            <w:lang w:val="en-GB"/>
          </w:rPr>
          <m:t>​​</m:t>
        </m:r>
      </m:oMath>
      <w:r w:rsidRPr="00DA3BED">
        <w:rPr>
          <w:rFonts w:ascii="Arial" w:hAnsi="Arial" w:cs="Arial"/>
          <w:lang w:val="en-GB"/>
        </w:rPr>
        <w:tab/>
      </w:r>
      <w:r w:rsidRPr="00DA3BED">
        <w:rPr>
          <w:rFonts w:ascii="Arial" w:hAnsi="Arial" w:cs="Arial"/>
          <w:lang w:val="en-GB"/>
        </w:rPr>
        <w:tab/>
      </w:r>
      <w:r w:rsidRPr="00DA3BED">
        <w:rPr>
          <w:rFonts w:ascii="Arial" w:hAnsi="Arial" w:cs="Arial"/>
          <w:lang w:val="en-GB"/>
        </w:rPr>
        <w:tab/>
      </w:r>
      <w:r w:rsidRPr="00DA3BED">
        <w:rPr>
          <w:rFonts w:ascii="Arial" w:hAnsi="Arial" w:cs="Arial"/>
          <w:lang w:val="en-GB"/>
        </w:rPr>
        <w:tab/>
      </w:r>
      <w:r w:rsidRPr="00DA3BED">
        <w:rPr>
          <w:rFonts w:ascii="Arial" w:hAnsi="Arial" w:cs="Arial"/>
          <w:lang w:val="en-GB"/>
        </w:rPr>
        <w:tab/>
      </w:r>
      <w:r w:rsidRPr="00DA3BED">
        <w:rPr>
          <w:rFonts w:ascii="Arial" w:hAnsi="Arial" w:cs="Arial"/>
          <w:lang w:val="en-GB"/>
        </w:rPr>
        <w:tab/>
      </w:r>
      <w:r w:rsidRPr="00DA3BED">
        <w:rPr>
          <w:rFonts w:ascii="Arial" w:hAnsi="Arial" w:cs="Arial"/>
          <w:lang w:val="en-GB"/>
        </w:rPr>
        <w:tab/>
      </w:r>
      <w:r w:rsidRPr="00DA3BED">
        <w:rPr>
          <w:rFonts w:ascii="Arial" w:hAnsi="Arial" w:cs="Arial"/>
          <w:lang w:val="en-GB"/>
        </w:rPr>
        <w:tab/>
        <w:t>(1)</w:t>
      </w:r>
    </w:p>
    <w:p w14:paraId="679CB101" w14:textId="72C31A23" w:rsidR="00DA3BED" w:rsidRPr="00DA3BED" w:rsidRDefault="00DA3BED" w:rsidP="00DA3BED">
      <w:pPr>
        <w:pStyle w:val="Body"/>
        <w:spacing w:after="0"/>
        <w:rPr>
          <w:rFonts w:ascii="Arial" w:hAnsi="Arial" w:cs="Arial"/>
          <w:lang w:val="en-GB"/>
        </w:rPr>
      </w:pPr>
      <w:r w:rsidRPr="00DA3BED">
        <w:rPr>
          <w:rFonts w:ascii="Arial" w:hAnsi="Arial" w:cs="Arial"/>
          <w:lang w:val="en-GB"/>
        </w:rPr>
        <w:t>where </w:t>
      </w:r>
      <m:oMath>
        <m:sSub>
          <m:sSubPr>
            <m:ctrlPr>
              <w:rPr>
                <w:rFonts w:ascii="Cambria Math" w:hAnsi="Cambria Math" w:cs="Arial"/>
                <w:i/>
                <w:iCs/>
                <w:lang w:val="en-GB"/>
              </w:rPr>
            </m:ctrlPr>
          </m:sSubPr>
          <m:e>
            <m:r>
              <w:rPr>
                <w:rFonts w:ascii="Cambria Math" w:hAnsi="Cambria Math" w:cs="Arial"/>
                <w:lang w:val="en-GB"/>
              </w:rPr>
              <m:t>P</m:t>
            </m:r>
          </m:e>
          <m:sub>
            <m:r>
              <w:rPr>
                <w:rFonts w:ascii="Cambria Math" w:hAnsi="Cambria Math" w:cs="Arial"/>
                <w:lang w:val="en-GB"/>
              </w:rPr>
              <m:t>ij</m:t>
            </m:r>
          </m:sub>
        </m:sSub>
      </m:oMath>
      <w:r w:rsidRPr="00DA3BED">
        <w:rPr>
          <w:rFonts w:ascii="Arial" w:hAnsi="Arial" w:cs="Arial"/>
          <w:lang w:val="en-GB"/>
        </w:rPr>
        <w:t xml:space="preserve"> = probability of transitioning from state </w:t>
      </w:r>
      <w:proofErr w:type="spellStart"/>
      <w:r w:rsidRPr="00DA3BED">
        <w:rPr>
          <w:rFonts w:ascii="Arial" w:hAnsi="Arial" w:cs="Arial"/>
          <w:i/>
          <w:iCs/>
          <w:lang w:val="en-GB"/>
        </w:rPr>
        <w:t>i</w:t>
      </w:r>
      <w:proofErr w:type="spellEnd"/>
      <w:r w:rsidRPr="00DA3BED">
        <w:rPr>
          <w:rFonts w:ascii="Arial" w:hAnsi="Arial" w:cs="Arial"/>
          <w:lang w:val="en-GB"/>
        </w:rPr>
        <w:t> (cloudy, for example) to </w:t>
      </w:r>
      <w:r w:rsidRPr="00DA3BED">
        <w:rPr>
          <w:rFonts w:ascii="Arial" w:hAnsi="Arial" w:cs="Arial"/>
          <w:i/>
          <w:iCs/>
          <w:lang w:val="en-GB"/>
        </w:rPr>
        <w:t>j</w:t>
      </w:r>
      <w:r w:rsidRPr="00DA3BED">
        <w:rPr>
          <w:rFonts w:ascii="Arial" w:hAnsi="Arial" w:cs="Arial"/>
          <w:lang w:val="en-GB"/>
        </w:rPr>
        <w:t> (sunny, for example), </w:t>
      </w:r>
      <w:r w:rsidRPr="00DA3BED">
        <w:rPr>
          <w:rFonts w:ascii="Arial" w:hAnsi="Arial" w:cs="Arial"/>
          <w:i/>
          <w:iCs/>
          <w:lang w:val="en-GB"/>
        </w:rPr>
        <w:t>Nij</w:t>
      </w:r>
      <w:r w:rsidRPr="00DA3BED">
        <w:rPr>
          <w:rFonts w:ascii="Arial" w:hAnsi="Arial" w:cs="Arial"/>
          <w:lang w:val="en-GB"/>
        </w:rPr>
        <w:t>​ = observed transitions, </w:t>
      </w:r>
      <w:r w:rsidRPr="00DA3BED">
        <w:rPr>
          <w:rFonts w:ascii="Arial" w:hAnsi="Arial" w:cs="Arial"/>
          <w:i/>
          <w:iCs/>
          <w:lang w:val="en-GB"/>
        </w:rPr>
        <w:t>Ni</w:t>
      </w:r>
      <w:r w:rsidRPr="00DA3BED">
        <w:rPr>
          <w:rFonts w:ascii="Arial" w:hAnsi="Arial" w:cs="Arial"/>
          <w:lang w:val="en-GB"/>
        </w:rPr>
        <w:t>​ = total occurrences of state </w:t>
      </w:r>
      <w:proofErr w:type="spellStart"/>
      <w:r w:rsidRPr="00DA3BED">
        <w:rPr>
          <w:rFonts w:ascii="Arial" w:hAnsi="Arial" w:cs="Arial"/>
          <w:i/>
          <w:iCs/>
          <w:lang w:val="en-GB"/>
        </w:rPr>
        <w:t>i</w:t>
      </w:r>
      <w:proofErr w:type="spellEnd"/>
      <w:r w:rsidRPr="00DA3BED">
        <w:rPr>
          <w:rFonts w:ascii="Arial" w:hAnsi="Arial" w:cs="Arial"/>
          <w:lang w:val="en-GB"/>
        </w:rPr>
        <w:t>.</w:t>
      </w:r>
    </w:p>
    <w:p w14:paraId="013F6123" w14:textId="289C1EF9" w:rsidR="00DA3BED" w:rsidRPr="00DA3BED" w:rsidRDefault="00DA3BED" w:rsidP="00DA3BED">
      <w:pPr>
        <w:pStyle w:val="Body"/>
        <w:spacing w:after="0"/>
        <w:rPr>
          <w:rFonts w:ascii="Arial" w:hAnsi="Arial" w:cs="Arial"/>
          <w:lang w:val="en-GB"/>
        </w:rPr>
      </w:pPr>
      <w:r w:rsidRPr="00DA3BED">
        <w:rPr>
          <w:rFonts w:ascii="Arial" w:hAnsi="Arial" w:cs="Arial"/>
          <w:lang w:val="en-GB"/>
        </w:rPr>
        <w:t>Artificial Neural Networks (ANNs) and hybrid AI models have recently shown higher prediction accuracy by learning complex non-linear relationships between solar irradiance, temperature, and historical meteorological patterns [3</w:t>
      </w:r>
      <w:r w:rsidR="00EC24BF">
        <w:rPr>
          <w:rFonts w:ascii="Arial" w:hAnsi="Arial" w:cs="Arial"/>
          <w:lang w:val="en-GB"/>
        </w:rPr>
        <w:t>3</w:t>
      </w:r>
      <w:r w:rsidRPr="00DA3BED">
        <w:rPr>
          <w:rFonts w:ascii="Arial" w:hAnsi="Arial" w:cs="Arial"/>
          <w:lang w:val="en-GB"/>
        </w:rPr>
        <w:t>]. ANN-based irradiance prediction, as proposed by [3</w:t>
      </w:r>
      <w:r w:rsidR="00EC24BF">
        <w:rPr>
          <w:rFonts w:ascii="Arial" w:hAnsi="Arial" w:cs="Arial"/>
          <w:lang w:val="en-GB"/>
        </w:rPr>
        <w:t>4</w:t>
      </w:r>
      <w:r w:rsidRPr="00DA3BED">
        <w:rPr>
          <w:rFonts w:ascii="Arial" w:hAnsi="Arial" w:cs="Arial"/>
          <w:lang w:val="en-GB"/>
        </w:rPr>
        <w:t>], is expressed in (2).</w:t>
      </w:r>
    </w:p>
    <w:p w14:paraId="777E3329" w14:textId="2449B2D5" w:rsidR="00DA3BED" w:rsidRPr="00DA3BED" w:rsidRDefault="00DA3BED" w:rsidP="00DA3BED">
      <w:pPr>
        <w:pStyle w:val="Body"/>
        <w:spacing w:after="0"/>
        <w:rPr>
          <w:rFonts w:ascii="Arial" w:hAnsi="Arial" w:cs="Arial"/>
          <w:lang w:val="en-GB"/>
        </w:rPr>
      </w:pPr>
      <w:r w:rsidRPr="00DA3BED">
        <w:rPr>
          <w:rFonts w:ascii="Arial" w:hAnsi="Arial" w:cs="Arial"/>
          <w:lang w:val="en-GB"/>
        </w:rPr>
        <w:tab/>
      </w:r>
      <m:oMath>
        <m:r>
          <w:rPr>
            <w:rFonts w:ascii="Cambria Math" w:hAnsi="Cambria Math" w:cs="Arial"/>
            <w:lang w:val="en-GB"/>
          </w:rPr>
          <m:t>G(t)=</m:t>
        </m:r>
        <w:bookmarkStart w:id="4" w:name="_Hlk198408059"/>
        <m:sSub>
          <m:sSubPr>
            <m:ctrlPr>
              <w:rPr>
                <w:rFonts w:ascii="Cambria Math" w:hAnsi="Cambria Math" w:cs="Arial"/>
                <w:i/>
                <w:iCs/>
                <w:lang w:val="en-GB"/>
              </w:rPr>
            </m:ctrlPr>
          </m:sSubPr>
          <m:e>
            <m:r>
              <w:rPr>
                <w:rFonts w:ascii="Cambria Math" w:hAnsi="Cambria Math" w:cs="Arial"/>
                <w:lang w:val="en-GB"/>
              </w:rPr>
              <m:t>f</m:t>
            </m:r>
          </m:e>
          <m:sub>
            <m:r>
              <w:rPr>
                <w:rFonts w:ascii="Cambria Math" w:hAnsi="Cambria Math" w:cs="Arial"/>
                <w:lang w:val="en-GB"/>
              </w:rPr>
              <m:t>ANN</m:t>
            </m:r>
          </m:sub>
        </m:sSub>
        <w:bookmarkEnd w:id="4"/>
        <m:r>
          <w:rPr>
            <w:rFonts w:ascii="Cambria Math" w:hAnsi="Cambria Math" w:cs="Arial"/>
            <w:lang w:val="en-GB"/>
          </w:rPr>
          <m:t>​(G(t-1),</m:t>
        </m:r>
        <m:sSub>
          <m:sSubPr>
            <m:ctrlPr>
              <w:rPr>
                <w:rFonts w:ascii="Cambria Math" w:hAnsi="Cambria Math" w:cs="Arial"/>
                <w:i/>
                <w:iCs/>
                <w:lang w:val="en-GB"/>
              </w:rPr>
            </m:ctrlPr>
          </m:sSubPr>
          <m:e>
            <m:r>
              <w:rPr>
                <w:rFonts w:ascii="Cambria Math" w:hAnsi="Cambria Math" w:cs="Arial"/>
                <w:lang w:val="en-GB"/>
              </w:rPr>
              <m:t>T</m:t>
            </m:r>
          </m:e>
          <m:sub>
            <m:r>
              <w:rPr>
                <w:rFonts w:ascii="Cambria Math" w:hAnsi="Cambria Math" w:cs="Arial"/>
                <w:lang w:val="en-GB"/>
              </w:rPr>
              <m:t>AMB</m:t>
            </m:r>
          </m:sub>
        </m:sSub>
        <m:r>
          <w:rPr>
            <w:rFonts w:ascii="Cambria Math" w:hAnsi="Cambria Math" w:cs="Arial"/>
            <w:lang w:val="en-GB"/>
          </w:rPr>
          <m:t>​,cloud_cover,…)</m:t>
        </m:r>
      </m:oMath>
      <w:r w:rsidRPr="00DA3BED">
        <w:rPr>
          <w:rFonts w:ascii="Arial" w:hAnsi="Arial" w:cs="Arial"/>
          <w:lang w:val="en-GB"/>
        </w:rPr>
        <w:tab/>
      </w:r>
      <w:r w:rsidRPr="00DA3BED">
        <w:rPr>
          <w:rFonts w:ascii="Arial" w:hAnsi="Arial" w:cs="Arial"/>
          <w:lang w:val="en-GB"/>
        </w:rPr>
        <w:tab/>
      </w:r>
      <w:r w:rsidRPr="00DA3BED">
        <w:rPr>
          <w:rFonts w:ascii="Arial" w:hAnsi="Arial" w:cs="Arial"/>
          <w:lang w:val="en-GB"/>
        </w:rPr>
        <w:tab/>
      </w:r>
      <w:r w:rsidRPr="00DA3BED">
        <w:rPr>
          <w:rFonts w:ascii="Arial" w:hAnsi="Arial" w:cs="Arial"/>
          <w:lang w:val="en-GB"/>
        </w:rPr>
        <w:tab/>
        <w:t>(2)</w:t>
      </w:r>
    </w:p>
    <w:p w14:paraId="3F7D959F" w14:textId="70FDA07C" w:rsidR="00DA3BED" w:rsidRPr="00DA3BED" w:rsidRDefault="00DA3BED" w:rsidP="00DA3BED">
      <w:pPr>
        <w:pStyle w:val="Body"/>
        <w:spacing w:after="0"/>
        <w:rPr>
          <w:rFonts w:ascii="Arial" w:hAnsi="Arial" w:cs="Arial"/>
          <w:lang w:val="en-GB"/>
        </w:rPr>
      </w:pPr>
      <w:r w:rsidRPr="00DA3BED">
        <w:rPr>
          <w:rFonts w:ascii="Arial" w:hAnsi="Arial" w:cs="Arial"/>
          <w:i/>
          <w:iCs/>
          <w:lang w:val="en-GB"/>
        </w:rPr>
        <w:t>G</w:t>
      </w:r>
      <w:r w:rsidRPr="00DA3BED">
        <w:rPr>
          <w:rFonts w:ascii="Arial" w:hAnsi="Arial" w:cs="Arial"/>
          <w:lang w:val="en-GB"/>
        </w:rPr>
        <w:t>(</w:t>
      </w:r>
      <w:r w:rsidRPr="00DA3BED">
        <w:rPr>
          <w:rFonts w:ascii="Arial" w:hAnsi="Arial" w:cs="Arial"/>
          <w:i/>
          <w:iCs/>
          <w:lang w:val="en-GB"/>
        </w:rPr>
        <w:t>t</w:t>
      </w:r>
      <w:r w:rsidRPr="00DA3BED">
        <w:rPr>
          <w:rFonts w:ascii="Arial" w:hAnsi="Arial" w:cs="Arial"/>
          <w:lang w:val="en-GB"/>
        </w:rPr>
        <w:t>) = forecasted irradiance at time </w:t>
      </w:r>
      <w:r w:rsidRPr="00DA3BED">
        <w:rPr>
          <w:rFonts w:ascii="Arial" w:hAnsi="Arial" w:cs="Arial"/>
          <w:i/>
          <w:iCs/>
          <w:lang w:val="en-GB"/>
        </w:rPr>
        <w:t>t</w:t>
      </w:r>
      <w:r w:rsidRPr="00DA3BED">
        <w:rPr>
          <w:rFonts w:ascii="Arial" w:hAnsi="Arial" w:cs="Arial"/>
          <w:lang w:val="en-GB"/>
        </w:rPr>
        <w:t>; </w:t>
      </w:r>
      <m:oMath>
        <m:sSub>
          <m:sSubPr>
            <m:ctrlPr>
              <w:rPr>
                <w:rFonts w:ascii="Cambria Math" w:hAnsi="Cambria Math" w:cs="Arial"/>
                <w:i/>
                <w:iCs/>
                <w:lang w:val="en-GB"/>
              </w:rPr>
            </m:ctrlPr>
          </m:sSubPr>
          <m:e>
            <m:r>
              <w:rPr>
                <w:rFonts w:ascii="Cambria Math" w:hAnsi="Cambria Math" w:cs="Arial"/>
                <w:lang w:val="en-GB"/>
              </w:rPr>
              <m:t>f</m:t>
            </m:r>
          </m:e>
          <m:sub>
            <m:r>
              <w:rPr>
                <w:rFonts w:ascii="Cambria Math" w:hAnsi="Cambria Math" w:cs="Arial"/>
                <w:lang w:val="en-GB"/>
              </w:rPr>
              <m:t>ANN</m:t>
            </m:r>
          </m:sub>
        </m:sSub>
      </m:oMath>
      <w:r w:rsidRPr="00DA3BED">
        <w:rPr>
          <w:rFonts w:ascii="Arial" w:hAnsi="Arial" w:cs="Arial"/>
          <w:lang w:val="en-GB"/>
        </w:rPr>
        <w:t xml:space="preserve"> ​ = neural network function trained on historical data.</w:t>
      </w:r>
    </w:p>
    <w:p w14:paraId="4FE1BF2A" w14:textId="77777777" w:rsidR="00DA3BED" w:rsidRDefault="00DA3BED" w:rsidP="00DA3BED">
      <w:pPr>
        <w:pStyle w:val="Body"/>
        <w:spacing w:after="0"/>
        <w:rPr>
          <w:rFonts w:ascii="Arial" w:hAnsi="Arial" w:cs="Arial"/>
          <w:lang w:val="en-GB"/>
        </w:rPr>
      </w:pPr>
      <w:r w:rsidRPr="00DA3BED">
        <w:rPr>
          <w:rFonts w:ascii="Arial" w:hAnsi="Arial" w:cs="Arial"/>
          <w:lang w:val="en-GB"/>
        </w:rPr>
        <w:t>These models are often trained with satellite data, sky imaging, or ground-based sensor arrays.</w:t>
      </w:r>
    </w:p>
    <w:p w14:paraId="42A46F0C" w14:textId="77777777" w:rsidR="00EC24BF" w:rsidRPr="00DA3BED" w:rsidRDefault="00EC24BF" w:rsidP="00DA3BED">
      <w:pPr>
        <w:pStyle w:val="Body"/>
        <w:spacing w:after="0"/>
        <w:rPr>
          <w:rFonts w:ascii="Arial" w:hAnsi="Arial" w:cs="Arial"/>
          <w:lang w:val="en-GB"/>
        </w:rPr>
      </w:pPr>
    </w:p>
    <w:p w14:paraId="226F9643" w14:textId="3C975A70" w:rsidR="00DA3BED" w:rsidRDefault="00DA3BED" w:rsidP="00DA3BED">
      <w:pPr>
        <w:pStyle w:val="Body"/>
        <w:spacing w:after="0"/>
        <w:rPr>
          <w:rFonts w:ascii="Arial" w:hAnsi="Arial" w:cs="Arial"/>
          <w:lang w:val="en-GB"/>
        </w:rPr>
      </w:pPr>
      <w:r w:rsidRPr="00DA3BED">
        <w:rPr>
          <w:rFonts w:ascii="Arial" w:hAnsi="Arial" w:cs="Arial"/>
          <w:lang w:val="en-GB"/>
        </w:rPr>
        <w:t xml:space="preserve">Degradation Modelling: Long-term PV performance declines due to thermal cycling, humidity ingress, UV exposure, and potential-induced degradation (PID). Linear models typically assume a 0.5% to 1% annual power degradation, simplifying lifetime yield estimation. </w:t>
      </w:r>
      <w:r w:rsidRPr="00DA3BED">
        <w:rPr>
          <w:rFonts w:ascii="Arial" w:hAnsi="Arial" w:cs="Arial"/>
          <w:lang w:val="en-GB"/>
        </w:rPr>
        <w:lastRenderedPageBreak/>
        <w:t>However, more robust non-linear models incorporate operational stress factors and real-time environmental conditions to adjust the degradation rate dynamically. These physics-based or data-driven models are increasingly adopted in bankability studies and performance guarantees [3</w:t>
      </w:r>
      <w:r w:rsidR="00EC24BF">
        <w:rPr>
          <w:rFonts w:ascii="Arial" w:hAnsi="Arial" w:cs="Arial"/>
          <w:lang w:val="en-GB"/>
        </w:rPr>
        <w:t>5</w:t>
      </w:r>
      <w:r w:rsidRPr="00DA3BED">
        <w:rPr>
          <w:rFonts w:ascii="Arial" w:hAnsi="Arial" w:cs="Arial"/>
          <w:lang w:val="en-GB"/>
        </w:rPr>
        <w:t>].</w:t>
      </w:r>
      <w:r w:rsidR="00BE17E2">
        <w:rPr>
          <w:rFonts w:ascii="Arial" w:hAnsi="Arial" w:cs="Arial"/>
          <w:lang w:val="en-GB"/>
        </w:rPr>
        <w:t xml:space="preserve"> Components of PV system is shown in Fig. 4.</w:t>
      </w:r>
    </w:p>
    <w:p w14:paraId="6C1307D0" w14:textId="77777777" w:rsidR="001B5C58" w:rsidRDefault="001B5C58" w:rsidP="00DA3BED">
      <w:pPr>
        <w:pStyle w:val="Body"/>
        <w:spacing w:after="0"/>
        <w:rPr>
          <w:rFonts w:ascii="Arial" w:hAnsi="Arial" w:cs="Arial"/>
          <w:lang w:val="en-GB"/>
        </w:rPr>
      </w:pPr>
    </w:p>
    <w:p w14:paraId="4317DEAE" w14:textId="19AF7C03" w:rsidR="00E4298C" w:rsidRDefault="001433A5" w:rsidP="001433A5">
      <w:pPr>
        <w:pStyle w:val="Body"/>
        <w:spacing w:after="0"/>
        <w:jc w:val="center"/>
        <w:rPr>
          <w:rFonts w:ascii="Arial" w:hAnsi="Arial" w:cs="Arial"/>
          <w:lang w:val="en-GB"/>
        </w:rPr>
      </w:pPr>
      <w:r>
        <w:rPr>
          <w:noProof/>
        </w:rPr>
        <w:drawing>
          <wp:inline distT="0" distB="0" distL="0" distR="0" wp14:anchorId="2DBD5510" wp14:editId="4351E825">
            <wp:extent cx="4808220" cy="2316480"/>
            <wp:effectExtent l="0" t="0" r="0" b="7620"/>
            <wp:docPr id="1138068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8220" cy="2316480"/>
                    </a:xfrm>
                    <a:prstGeom prst="rect">
                      <a:avLst/>
                    </a:prstGeom>
                    <a:noFill/>
                    <a:ln>
                      <a:noFill/>
                    </a:ln>
                  </pic:spPr>
                </pic:pic>
              </a:graphicData>
            </a:graphic>
          </wp:inline>
        </w:drawing>
      </w:r>
    </w:p>
    <w:p w14:paraId="2414C5FB" w14:textId="12F82BD2" w:rsidR="001433A5" w:rsidRPr="001433A5" w:rsidRDefault="001433A5" w:rsidP="001433A5">
      <w:pPr>
        <w:pStyle w:val="Body"/>
        <w:spacing w:after="0"/>
        <w:jc w:val="center"/>
        <w:rPr>
          <w:rFonts w:ascii="Arial" w:hAnsi="Arial" w:cs="Arial"/>
          <w:b/>
          <w:bCs/>
          <w:lang w:val="en-GB"/>
        </w:rPr>
      </w:pPr>
      <w:r w:rsidRPr="002D3728">
        <w:rPr>
          <w:rFonts w:ascii="Arial" w:hAnsi="Arial" w:cs="Arial"/>
          <w:b/>
          <w:bCs/>
          <w:highlight w:val="yellow"/>
          <w:lang w:val="en-GB"/>
        </w:rPr>
        <w:t>Fig. 4. Solar PV system components [</w:t>
      </w:r>
      <w:r w:rsidR="0088792B">
        <w:rPr>
          <w:rFonts w:ascii="Arial" w:hAnsi="Arial" w:cs="Arial"/>
          <w:b/>
          <w:bCs/>
          <w:highlight w:val="yellow"/>
          <w:lang w:val="en-GB"/>
        </w:rPr>
        <w:t>36</w:t>
      </w:r>
      <w:r w:rsidRPr="002D3728">
        <w:rPr>
          <w:rFonts w:ascii="Arial" w:hAnsi="Arial" w:cs="Arial"/>
          <w:b/>
          <w:bCs/>
          <w:highlight w:val="yellow"/>
          <w:lang w:val="en-GB"/>
        </w:rPr>
        <w:t>]</w:t>
      </w:r>
    </w:p>
    <w:p w14:paraId="2DE44050" w14:textId="77777777" w:rsidR="00DA3BED" w:rsidRPr="00DA3BED" w:rsidRDefault="00DA3BED" w:rsidP="00DA3BED">
      <w:pPr>
        <w:pStyle w:val="Body"/>
        <w:spacing w:after="0"/>
        <w:rPr>
          <w:rFonts w:ascii="Arial" w:hAnsi="Arial" w:cs="Arial"/>
          <w:lang w:val="en-GB"/>
        </w:rPr>
      </w:pPr>
      <w:r w:rsidRPr="00DA3BED">
        <w:rPr>
          <w:rFonts w:ascii="Arial" w:hAnsi="Arial" w:cs="Arial"/>
          <w:lang w:val="en-GB"/>
        </w:rPr>
        <w:t>Regarding degradation modelling, (3) and (4) give the mathematical expressions for linear and non-linear degradation.</w:t>
      </w:r>
    </w:p>
    <w:p w14:paraId="28840AD7" w14:textId="77777777" w:rsidR="00DA3BED" w:rsidRPr="00DA3BED" w:rsidRDefault="00DA3BED" w:rsidP="00DA3BED">
      <w:pPr>
        <w:pStyle w:val="Body"/>
        <w:spacing w:after="0"/>
        <w:rPr>
          <w:rFonts w:ascii="Arial" w:hAnsi="Arial" w:cs="Arial"/>
          <w:lang w:val="en-GB"/>
        </w:rPr>
      </w:pPr>
      <w:r w:rsidRPr="00DA3BED">
        <w:rPr>
          <w:rFonts w:ascii="Arial" w:hAnsi="Arial" w:cs="Arial"/>
          <w:lang w:val="en-GB"/>
        </w:rPr>
        <w:t>Linear degradation:</w:t>
      </w:r>
    </w:p>
    <w:p w14:paraId="6CA0A269" w14:textId="124C0CDD" w:rsidR="00DA3BED" w:rsidRPr="00DA3BED" w:rsidRDefault="00000000" w:rsidP="00DA3BED">
      <w:pPr>
        <w:pStyle w:val="Body"/>
        <w:spacing w:after="0"/>
        <w:rPr>
          <w:rFonts w:ascii="Arial" w:hAnsi="Arial" w:cs="Arial"/>
          <w:lang w:val="en-GB"/>
        </w:rPr>
      </w:pPr>
      <m:oMath>
        <m:sSub>
          <m:sSubPr>
            <m:ctrlPr>
              <w:rPr>
                <w:rFonts w:ascii="Cambria Math" w:hAnsi="Cambria Math" w:cs="Arial"/>
                <w:i/>
                <w:lang w:val="en-GB"/>
              </w:rPr>
            </m:ctrlPr>
          </m:sSubPr>
          <m:e>
            <m:r>
              <w:rPr>
                <w:rFonts w:ascii="Cambria Math" w:hAnsi="Cambria Math" w:cs="Arial"/>
                <w:lang w:val="en-GB"/>
              </w:rPr>
              <m:t>η</m:t>
            </m:r>
          </m:e>
          <m:sub>
            <m:r>
              <w:rPr>
                <w:rFonts w:ascii="Cambria Math" w:hAnsi="Cambria Math" w:cs="Arial"/>
                <w:lang w:val="en-GB"/>
              </w:rPr>
              <m:t>PV</m:t>
            </m:r>
          </m:sub>
        </m:sSub>
        <m:d>
          <m:dPr>
            <m:ctrlPr>
              <w:rPr>
                <w:rFonts w:ascii="Cambria Math" w:hAnsi="Cambria Math" w:cs="Arial"/>
                <w:lang w:val="en-GB"/>
              </w:rPr>
            </m:ctrlPr>
          </m:dPr>
          <m:e>
            <m:r>
              <m:rPr>
                <m:sty m:val="p"/>
              </m:rPr>
              <w:rPr>
                <w:rFonts w:ascii="Cambria Math" w:hAnsi="Cambria Math" w:cs="Arial"/>
                <w:lang w:val="en-GB"/>
              </w:rPr>
              <m:t>t</m:t>
            </m:r>
          </m:e>
        </m:d>
        <m:r>
          <m:rPr>
            <m:sty m:val="p"/>
          </m:rP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η</m:t>
            </m:r>
          </m:e>
          <m:sub>
            <m:r>
              <w:rPr>
                <w:rFonts w:ascii="Cambria Math" w:hAnsi="Cambria Math" w:cs="Arial"/>
                <w:lang w:val="en-GB"/>
              </w:rPr>
              <m:t>0</m:t>
            </m:r>
          </m:sub>
        </m:sSub>
        <m:r>
          <m:rPr>
            <m:sty m:val="p"/>
          </m:rPr>
          <w:rPr>
            <w:rFonts w:ascii="Cambria Math" w:hAnsi="Cambria Math" w:cs="Arial"/>
            <w:lang w:val="en-GB"/>
          </w:rPr>
          <m:t>​⋅(1-αt)</m:t>
        </m:r>
      </m:oMath>
      <w:r w:rsidR="00DA3BED" w:rsidRPr="00DA3BED">
        <w:rPr>
          <w:rFonts w:ascii="Arial" w:hAnsi="Arial" w:cs="Arial"/>
          <w:lang w:val="en-GB"/>
        </w:rPr>
        <w:tab/>
      </w:r>
      <w:r w:rsidR="00DA3BED" w:rsidRPr="00DA3BED">
        <w:rPr>
          <w:rFonts w:ascii="Arial" w:hAnsi="Arial" w:cs="Arial"/>
          <w:lang w:val="en-GB"/>
        </w:rPr>
        <w:tab/>
      </w:r>
      <w:r w:rsidR="00DA3BED" w:rsidRPr="00DA3BED">
        <w:rPr>
          <w:rFonts w:ascii="Arial" w:hAnsi="Arial" w:cs="Arial"/>
          <w:lang w:val="en-GB"/>
        </w:rPr>
        <w:tab/>
      </w:r>
      <w:r w:rsidR="00DA3BED" w:rsidRPr="00DA3BED">
        <w:rPr>
          <w:rFonts w:ascii="Arial" w:hAnsi="Arial" w:cs="Arial"/>
          <w:lang w:val="en-GB"/>
        </w:rPr>
        <w:tab/>
      </w:r>
      <w:r w:rsidR="00DA3BED" w:rsidRPr="00DA3BED">
        <w:rPr>
          <w:rFonts w:ascii="Arial" w:hAnsi="Arial" w:cs="Arial"/>
          <w:lang w:val="en-GB"/>
        </w:rPr>
        <w:tab/>
      </w:r>
      <w:r w:rsidR="00DA3BED" w:rsidRPr="00DA3BED">
        <w:rPr>
          <w:rFonts w:ascii="Arial" w:hAnsi="Arial" w:cs="Arial"/>
          <w:lang w:val="en-GB"/>
        </w:rPr>
        <w:tab/>
      </w:r>
      <w:r w:rsidR="00DA3BED" w:rsidRPr="00DA3BED">
        <w:rPr>
          <w:rFonts w:ascii="Arial" w:hAnsi="Arial" w:cs="Arial"/>
          <w:lang w:val="en-GB"/>
        </w:rPr>
        <w:tab/>
      </w:r>
      <w:r w:rsidR="00DA3BED" w:rsidRPr="00DA3BED">
        <w:rPr>
          <w:rFonts w:ascii="Arial" w:hAnsi="Arial" w:cs="Arial"/>
          <w:lang w:val="en-GB"/>
        </w:rPr>
        <w:tab/>
        <w:t>(3)</w:t>
      </w:r>
    </w:p>
    <w:p w14:paraId="69837AD9" w14:textId="7D2CF82C" w:rsidR="00DA3BED" w:rsidRDefault="00DA3BED" w:rsidP="00DA3BED">
      <w:pPr>
        <w:pStyle w:val="Body"/>
        <w:spacing w:after="0"/>
        <w:rPr>
          <w:rFonts w:ascii="Arial" w:hAnsi="Arial" w:cs="Arial"/>
          <w:lang w:val="en-GB"/>
        </w:rPr>
      </w:pPr>
      <w:r w:rsidRPr="00DA3BED">
        <w:rPr>
          <w:rFonts w:ascii="Arial" w:hAnsi="Arial" w:cs="Arial"/>
          <w:lang w:val="en-GB"/>
        </w:rPr>
        <w:t xml:space="preserve">where </w:t>
      </w:r>
      <m:oMath>
        <m:sSub>
          <m:sSubPr>
            <m:ctrlPr>
              <w:rPr>
                <w:rFonts w:ascii="Cambria Math" w:hAnsi="Cambria Math" w:cs="Arial"/>
                <w:i/>
                <w:lang w:val="en-GB"/>
              </w:rPr>
            </m:ctrlPr>
          </m:sSubPr>
          <m:e>
            <m:r>
              <w:rPr>
                <w:rFonts w:ascii="Cambria Math" w:hAnsi="Cambria Math" w:cs="Arial"/>
                <w:lang w:val="en-GB"/>
              </w:rPr>
              <m:t>η</m:t>
            </m:r>
          </m:e>
          <m:sub>
            <m:r>
              <w:rPr>
                <w:rFonts w:ascii="Cambria Math" w:hAnsi="Cambria Math" w:cs="Arial"/>
                <w:lang w:val="en-GB"/>
              </w:rPr>
              <m:t>0</m:t>
            </m:r>
          </m:sub>
        </m:sSub>
        <m:r>
          <w:rPr>
            <w:rFonts w:ascii="Cambria Math" w:hAnsi="Cambria Math" w:cs="Arial"/>
            <w:lang w:val="en-GB"/>
          </w:rPr>
          <m:t>=</m:t>
        </m:r>
      </m:oMath>
      <w:r w:rsidRPr="00DA3BED">
        <w:rPr>
          <w:rFonts w:ascii="Arial" w:hAnsi="Arial" w:cs="Arial"/>
          <w:lang w:val="en-GB"/>
        </w:rPr>
        <w:t xml:space="preserve"> initial efficiency; α = annual degradation rate.</w:t>
      </w:r>
    </w:p>
    <w:p w14:paraId="2B3CD69F" w14:textId="77777777" w:rsidR="00EC24BF" w:rsidRPr="00DA3BED" w:rsidRDefault="00EC24BF" w:rsidP="00DA3BED">
      <w:pPr>
        <w:pStyle w:val="Body"/>
        <w:spacing w:after="0"/>
        <w:rPr>
          <w:rFonts w:ascii="Arial" w:hAnsi="Arial" w:cs="Arial"/>
          <w:lang w:val="en-GB"/>
        </w:rPr>
      </w:pPr>
    </w:p>
    <w:p w14:paraId="740CB577" w14:textId="38DD6223" w:rsidR="00DA3BED" w:rsidRPr="00DA3BED" w:rsidRDefault="00DA3BED" w:rsidP="00DA3BED">
      <w:pPr>
        <w:pStyle w:val="Body"/>
        <w:spacing w:after="0"/>
        <w:rPr>
          <w:rFonts w:ascii="Arial" w:hAnsi="Arial" w:cs="Arial"/>
          <w:lang w:val="en-GB"/>
        </w:rPr>
      </w:pPr>
      <w:r w:rsidRPr="00DA3BED">
        <w:rPr>
          <w:rFonts w:ascii="Arial" w:hAnsi="Arial" w:cs="Arial"/>
          <w:lang w:val="en-GB"/>
        </w:rPr>
        <w:t>Non-Linear Degradation [3</w:t>
      </w:r>
      <w:r w:rsidR="0088792B">
        <w:rPr>
          <w:rFonts w:ascii="Arial" w:hAnsi="Arial" w:cs="Arial"/>
          <w:lang w:val="en-GB"/>
        </w:rPr>
        <w:t>7</w:t>
      </w:r>
      <w:r w:rsidRPr="00DA3BED">
        <w:rPr>
          <w:rFonts w:ascii="Arial" w:hAnsi="Arial" w:cs="Arial"/>
          <w:lang w:val="en-GB"/>
        </w:rPr>
        <w:t>]:</w:t>
      </w:r>
    </w:p>
    <w:p w14:paraId="269A7FE2" w14:textId="23A419E0" w:rsidR="00DA3BED" w:rsidRPr="00DA3BED" w:rsidRDefault="00000000" w:rsidP="00DA3BED">
      <w:pPr>
        <w:pStyle w:val="Body"/>
        <w:spacing w:after="0"/>
        <w:rPr>
          <w:rFonts w:ascii="Arial" w:hAnsi="Arial" w:cs="Arial"/>
          <w:lang w:val="en-GB"/>
        </w:rPr>
      </w:pPr>
      <m:oMath>
        <m:sSub>
          <m:sSubPr>
            <m:ctrlPr>
              <w:rPr>
                <w:rFonts w:ascii="Cambria Math" w:hAnsi="Cambria Math" w:cs="Arial"/>
                <w:i/>
                <w:lang w:val="en-GB"/>
              </w:rPr>
            </m:ctrlPr>
          </m:sSubPr>
          <m:e>
            <m:r>
              <w:rPr>
                <w:rFonts w:ascii="Cambria Math" w:hAnsi="Cambria Math" w:cs="Arial"/>
                <w:lang w:val="en-GB"/>
              </w:rPr>
              <m:t>η</m:t>
            </m:r>
          </m:e>
          <m:sub>
            <m:r>
              <w:rPr>
                <w:rFonts w:ascii="Cambria Math" w:hAnsi="Cambria Math" w:cs="Arial"/>
                <w:lang w:val="en-GB"/>
              </w:rPr>
              <m:t>PV</m:t>
            </m:r>
          </m:sub>
        </m:sSub>
        <m:d>
          <m:dPr>
            <m:ctrlPr>
              <w:rPr>
                <w:rFonts w:ascii="Cambria Math" w:hAnsi="Cambria Math" w:cs="Arial"/>
                <w:lang w:val="en-GB"/>
              </w:rPr>
            </m:ctrlPr>
          </m:dPr>
          <m:e>
            <m:r>
              <m:rPr>
                <m:sty m:val="p"/>
              </m:rPr>
              <w:rPr>
                <w:rFonts w:ascii="Cambria Math" w:hAnsi="Cambria Math" w:cs="Arial"/>
                <w:lang w:val="en-GB"/>
              </w:rPr>
              <m:t>t</m:t>
            </m:r>
          </m:e>
        </m:d>
        <m:r>
          <m:rPr>
            <m:sty m:val="p"/>
          </m:rP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η</m:t>
            </m:r>
          </m:e>
          <m:sub>
            <m:r>
              <w:rPr>
                <w:rFonts w:ascii="Cambria Math" w:hAnsi="Cambria Math" w:cs="Arial"/>
                <w:lang w:val="en-GB"/>
              </w:rPr>
              <m:t>0</m:t>
            </m:r>
          </m:sub>
        </m:sSub>
        <m:r>
          <m:rPr>
            <m:sty m:val="p"/>
          </m:rPr>
          <w:rPr>
            <w:rFonts w:ascii="Cambria Math" w:hAnsi="Cambria Math" w:cs="Arial"/>
            <w:lang w:val="en-GB"/>
          </w:rPr>
          <m:t>​⋅</m:t>
        </m:r>
        <m:sSup>
          <m:sSupPr>
            <m:ctrlPr>
              <w:rPr>
                <w:rFonts w:ascii="Cambria Math" w:hAnsi="Cambria Math" w:cs="Arial"/>
                <w:lang w:val="en-GB"/>
              </w:rPr>
            </m:ctrlPr>
          </m:sSupPr>
          <m:e>
            <m:r>
              <m:rPr>
                <m:sty m:val="p"/>
              </m:rPr>
              <w:rPr>
                <w:rFonts w:ascii="Cambria Math" w:hAnsi="Cambria Math" w:cs="Arial"/>
                <w:lang w:val="en-GB"/>
              </w:rPr>
              <m:t>e</m:t>
            </m:r>
          </m:e>
          <m:sup>
            <m:r>
              <m:rPr>
                <m:sty m:val="p"/>
              </m:rPr>
              <w:rPr>
                <w:rFonts w:ascii="Cambria Math" w:hAnsi="Cambria Math" w:cs="Arial"/>
                <w:lang w:val="en-GB"/>
              </w:rPr>
              <m:t>-β.Stresss</m:t>
            </m:r>
            <m:d>
              <m:dPr>
                <m:ctrlPr>
                  <w:rPr>
                    <w:rFonts w:ascii="Cambria Math" w:hAnsi="Cambria Math" w:cs="Arial"/>
                    <w:lang w:val="en-GB"/>
                  </w:rPr>
                </m:ctrlPr>
              </m:dPr>
              <m:e>
                <m:r>
                  <w:rPr>
                    <w:rFonts w:ascii="Cambria Math" w:hAnsi="Cambria Math" w:cs="Arial"/>
                    <w:lang w:val="en-GB"/>
                  </w:rPr>
                  <m:t>T, humidity, …</m:t>
                </m:r>
              </m:e>
            </m:d>
          </m:sup>
        </m:sSup>
      </m:oMath>
      <w:r w:rsidR="00DA3BED" w:rsidRPr="00DA3BED">
        <w:rPr>
          <w:rFonts w:ascii="Arial" w:hAnsi="Arial" w:cs="Arial"/>
          <w:lang w:val="en-GB"/>
        </w:rPr>
        <w:tab/>
      </w:r>
      <w:r w:rsidR="00DA3BED" w:rsidRPr="00DA3BED">
        <w:rPr>
          <w:rFonts w:ascii="Arial" w:hAnsi="Arial" w:cs="Arial"/>
          <w:lang w:val="en-GB"/>
        </w:rPr>
        <w:tab/>
      </w:r>
      <w:r w:rsidR="00DA3BED" w:rsidRPr="00DA3BED">
        <w:rPr>
          <w:rFonts w:ascii="Arial" w:hAnsi="Arial" w:cs="Arial"/>
          <w:lang w:val="en-GB"/>
        </w:rPr>
        <w:tab/>
      </w:r>
      <w:r w:rsidR="00DA3BED" w:rsidRPr="00DA3BED">
        <w:rPr>
          <w:rFonts w:ascii="Arial" w:hAnsi="Arial" w:cs="Arial"/>
          <w:lang w:val="en-GB"/>
        </w:rPr>
        <w:tab/>
      </w:r>
      <w:r w:rsidR="00DA3BED" w:rsidRPr="00DA3BED">
        <w:rPr>
          <w:rFonts w:ascii="Arial" w:hAnsi="Arial" w:cs="Arial"/>
          <w:lang w:val="en-GB"/>
        </w:rPr>
        <w:tab/>
      </w:r>
      <w:r w:rsidR="00DA3BED" w:rsidRPr="00DA3BED">
        <w:rPr>
          <w:rFonts w:ascii="Arial" w:hAnsi="Arial" w:cs="Arial"/>
          <w:lang w:val="en-GB"/>
        </w:rPr>
        <w:tab/>
        <w:t>(4)</w:t>
      </w:r>
    </w:p>
    <w:p w14:paraId="1028B914" w14:textId="77777777" w:rsidR="00DA3BED" w:rsidRDefault="00DA3BED" w:rsidP="00DA3BED">
      <w:pPr>
        <w:pStyle w:val="Body"/>
        <w:spacing w:after="0"/>
        <w:rPr>
          <w:rFonts w:ascii="Arial" w:hAnsi="Arial" w:cs="Arial"/>
          <w:lang w:val="en-GB"/>
        </w:rPr>
      </w:pPr>
      <w:r w:rsidRPr="00DA3BED">
        <w:rPr>
          <w:rFonts w:ascii="Arial" w:hAnsi="Arial" w:cs="Arial"/>
          <w:lang w:val="en-GB"/>
        </w:rPr>
        <w:t>where β = stress coefficient; Stress = environmental stress factor.</w:t>
      </w:r>
    </w:p>
    <w:p w14:paraId="17178361" w14:textId="77777777" w:rsidR="00EC24BF" w:rsidRPr="00DA3BED" w:rsidRDefault="00EC24BF" w:rsidP="00DA3BED">
      <w:pPr>
        <w:pStyle w:val="Body"/>
        <w:spacing w:after="0"/>
        <w:rPr>
          <w:rFonts w:ascii="Arial" w:hAnsi="Arial" w:cs="Arial"/>
          <w:lang w:val="en-GB"/>
        </w:rPr>
      </w:pPr>
    </w:p>
    <w:p w14:paraId="0550DBAF" w14:textId="6DA5C57F" w:rsidR="00DA3BED" w:rsidRPr="00DA3BED" w:rsidRDefault="00DA3BED" w:rsidP="00DA3BED">
      <w:pPr>
        <w:pStyle w:val="Body"/>
        <w:spacing w:after="0"/>
        <w:rPr>
          <w:rFonts w:ascii="Arial" w:hAnsi="Arial" w:cs="Arial"/>
          <w:lang w:val="en-GB"/>
        </w:rPr>
      </w:pPr>
      <w:r w:rsidRPr="00DA3BED">
        <w:rPr>
          <w:rFonts w:ascii="Arial" w:hAnsi="Arial" w:cs="Arial"/>
          <w:lang w:val="en-GB"/>
        </w:rPr>
        <w:t>Inverter Dynamics: The inverter is a critical component that converts DC output from PV panels into usable AC power. Modelling inverter behaviour involves simulating conversion losses, typically between 3–7%, depending on load conditions and inverter design. Furthermore, total harmonic distortion (THD) is a key parameter that must be kept below regulatory thresholds, commonly &lt;5%, to prevent power quality issues. Accurate inverter models must also simulate dynamic responses to fluctuating solar input, grid disturbances, and maximum power point tracking (MPPT) efficiency [3</w:t>
      </w:r>
      <w:r w:rsidR="0088792B">
        <w:rPr>
          <w:rFonts w:ascii="Arial" w:hAnsi="Arial" w:cs="Arial"/>
          <w:lang w:val="en-GB"/>
        </w:rPr>
        <w:t>8</w:t>
      </w:r>
      <w:r w:rsidRPr="00DA3BED">
        <w:rPr>
          <w:rFonts w:ascii="Arial" w:hAnsi="Arial" w:cs="Arial"/>
          <w:lang w:val="en-GB"/>
        </w:rPr>
        <w:t>]. Inverter efficiency is determined from (5) [3</w:t>
      </w:r>
      <w:r w:rsidR="0088792B">
        <w:rPr>
          <w:rFonts w:ascii="Arial" w:hAnsi="Arial" w:cs="Arial"/>
          <w:lang w:val="en-GB"/>
        </w:rPr>
        <w:t>9</w:t>
      </w:r>
      <w:r w:rsidRPr="00DA3BED">
        <w:rPr>
          <w:rFonts w:ascii="Arial" w:hAnsi="Arial" w:cs="Arial"/>
          <w:lang w:val="en-GB"/>
        </w:rPr>
        <w:t xml:space="preserve">]: </w:t>
      </w:r>
    </w:p>
    <w:p w14:paraId="0A086A85" w14:textId="67894B72" w:rsidR="00DA3BED" w:rsidRPr="00DA3BED" w:rsidRDefault="00DA3BED" w:rsidP="00DA3BED">
      <w:pPr>
        <w:pStyle w:val="Body"/>
        <w:spacing w:after="0"/>
        <w:rPr>
          <w:rFonts w:ascii="Arial" w:hAnsi="Arial" w:cs="Arial"/>
          <w:lang w:val="en-GB"/>
        </w:rPr>
      </w:pPr>
      <w:r w:rsidRPr="00DA3BED">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η</m:t>
            </m:r>
          </m:e>
          <m:sub>
            <m:r>
              <w:rPr>
                <w:rFonts w:ascii="Cambria Math" w:hAnsi="Cambria Math" w:cs="Arial"/>
                <w:lang w:val="en-GB"/>
              </w:rPr>
              <m:t>PV</m:t>
            </m:r>
          </m:sub>
        </m:sSub>
        <m:r>
          <w:rPr>
            <w:rFonts w:ascii="Cambria Math" w:hAnsi="Cambria Math" w:cs="Arial"/>
            <w:lang w:val="en-GB"/>
          </w:rPr>
          <m:t>=</m:t>
        </m:r>
        <m:f>
          <m:fPr>
            <m:ctrlPr>
              <w:rPr>
                <w:rFonts w:ascii="Cambria Math" w:hAnsi="Cambria Math" w:cs="Arial"/>
                <w:i/>
                <w:lang w:val="en-GB"/>
              </w:rPr>
            </m:ctrlPr>
          </m:fPr>
          <m:num>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AC</m:t>
                </m:r>
              </m:sub>
            </m:sSub>
          </m:num>
          <m:den>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DC</m:t>
                </m:r>
              </m:sub>
            </m:sSub>
          </m:den>
        </m:f>
        <m:r>
          <w:rPr>
            <w:rFonts w:ascii="Cambria Math" w:hAnsi="Cambria Math" w:cs="Arial"/>
            <w:lang w:val="en-GB"/>
          </w:rPr>
          <m:t>=1-</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1</m:t>
                </m:r>
              </m:sub>
            </m:sSub>
            <m:r>
              <w:rPr>
                <w:rFonts w:ascii="Cambria Math" w:hAnsi="Cambria Math" w:cs="Arial"/>
                <w:lang w:val="en-GB"/>
              </w:rPr>
              <m:t>.THD-</m:t>
            </m:r>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2</m:t>
                </m:r>
              </m:sub>
            </m:sSub>
            <m:r>
              <w:rPr>
                <w:rFonts w:ascii="Cambria Math" w:hAnsi="Cambria Math" w:cs="Arial"/>
                <w:lang w:val="en-GB"/>
              </w:rPr>
              <m:t>.</m:t>
            </m:r>
            <m:f>
              <m:fPr>
                <m:ctrlPr>
                  <w:rPr>
                    <w:rFonts w:ascii="Cambria Math" w:hAnsi="Cambria Math" w:cs="Arial"/>
                    <w:i/>
                    <w:lang w:val="en-GB"/>
                  </w:rPr>
                </m:ctrlPr>
              </m:fPr>
              <m:num>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AC</m:t>
                    </m:r>
                  </m:sub>
                </m:sSub>
              </m:num>
              <m:den>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rated</m:t>
                    </m:r>
                  </m:sub>
                </m:sSub>
              </m:den>
            </m:f>
          </m:e>
        </m:d>
      </m:oMath>
      <w:r w:rsidRPr="00DA3BED">
        <w:rPr>
          <w:rFonts w:ascii="Arial" w:hAnsi="Arial" w:cs="Arial"/>
          <w:lang w:val="en-GB"/>
        </w:rPr>
        <w:tab/>
      </w:r>
      <w:r w:rsidRPr="00DA3BED">
        <w:rPr>
          <w:rFonts w:ascii="Arial" w:hAnsi="Arial" w:cs="Arial"/>
          <w:lang w:val="en-GB"/>
        </w:rPr>
        <w:tab/>
      </w:r>
      <w:r w:rsidRPr="00DA3BED">
        <w:rPr>
          <w:rFonts w:ascii="Arial" w:hAnsi="Arial" w:cs="Arial"/>
          <w:lang w:val="en-GB"/>
        </w:rPr>
        <w:tab/>
      </w:r>
      <w:r w:rsidRPr="00DA3BED">
        <w:rPr>
          <w:rFonts w:ascii="Arial" w:hAnsi="Arial" w:cs="Arial"/>
          <w:lang w:val="en-GB"/>
        </w:rPr>
        <w:tab/>
      </w:r>
      <w:r w:rsidRPr="00DA3BED">
        <w:rPr>
          <w:rFonts w:ascii="Arial" w:hAnsi="Arial" w:cs="Arial"/>
          <w:lang w:val="en-GB"/>
        </w:rPr>
        <w:tab/>
        <w:t>(5)</w:t>
      </w:r>
    </w:p>
    <w:p w14:paraId="7FEB2EA7" w14:textId="45497749" w:rsidR="00DA3BED" w:rsidRDefault="000B2C0C" w:rsidP="00DA3BED">
      <w:pPr>
        <w:pStyle w:val="Body"/>
        <w:spacing w:after="0"/>
        <w:rPr>
          <w:rFonts w:ascii="Arial" w:hAnsi="Arial" w:cs="Arial"/>
          <w:lang w:val="en-GB"/>
        </w:rPr>
      </w:pPr>
      <w:r>
        <w:rPr>
          <w:rFonts w:ascii="Arial" w:hAnsi="Arial" w:cs="Arial"/>
          <w:lang w:val="en-GB"/>
        </w:rPr>
        <w:t>w</w:t>
      </w:r>
      <w:r w:rsidR="00DA3BED" w:rsidRPr="00DA3BED">
        <w:rPr>
          <w:rFonts w:ascii="Arial" w:hAnsi="Arial" w:cs="Arial"/>
          <w:lang w:val="en-GB"/>
        </w:rPr>
        <w:t xml:space="preserve">here </w:t>
      </w:r>
      <m:oMath>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1</m:t>
            </m:r>
          </m:sub>
        </m:sSub>
      </m:oMath>
      <w:r w:rsidR="00DA3BED" w:rsidRPr="00DA3BED">
        <w:rPr>
          <w:rFonts w:ascii="Arial" w:hAnsi="Arial" w:cs="Arial"/>
          <w:lang w:val="en-GB"/>
        </w:rPr>
        <w:t xml:space="preserve">, </w:t>
      </w:r>
      <m:oMath>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2</m:t>
            </m:r>
          </m:sub>
        </m:sSub>
      </m:oMath>
      <w:r w:rsidR="00DA3BED" w:rsidRPr="00DA3BED">
        <w:rPr>
          <w:rFonts w:ascii="Arial" w:hAnsi="Arial" w:cs="Arial"/>
          <w:lang w:val="en-GB"/>
        </w:rPr>
        <w:t xml:space="preserve"> are loss coefficients, </w:t>
      </w:r>
      <m:oMath>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rated</m:t>
            </m:r>
          </m:sub>
        </m:sSub>
      </m:oMath>
      <w:r w:rsidR="00DA3BED" w:rsidRPr="00DA3BED">
        <w:rPr>
          <w:rFonts w:ascii="Arial" w:hAnsi="Arial" w:cs="Arial"/>
          <w:lang w:val="en-GB"/>
        </w:rPr>
        <w:t xml:space="preserve"> is the inverter-rated power output, </w:t>
      </w:r>
      <m:oMath>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AC</m:t>
            </m:r>
          </m:sub>
        </m:sSub>
      </m:oMath>
      <w:r w:rsidR="00DA3BED" w:rsidRPr="00DA3BED">
        <w:rPr>
          <w:rFonts w:ascii="Arial" w:hAnsi="Arial" w:cs="Arial"/>
          <w:lang w:val="en-GB"/>
        </w:rPr>
        <w:t xml:space="preserve"> is the AC power and </w:t>
      </w:r>
      <m:oMath>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DC</m:t>
            </m:r>
          </m:sub>
        </m:sSub>
      </m:oMath>
      <w:r w:rsidR="00DA3BED" w:rsidRPr="00DA3BED">
        <w:rPr>
          <w:rFonts w:ascii="Arial" w:hAnsi="Arial" w:cs="Arial"/>
          <w:lang w:val="en-GB"/>
        </w:rPr>
        <w:t xml:space="preserve"> is the DC power. </w:t>
      </w:r>
    </w:p>
    <w:p w14:paraId="1FF399BC" w14:textId="77777777" w:rsidR="00EC24BF" w:rsidRPr="00DA3BED" w:rsidRDefault="00EC24BF" w:rsidP="00DA3BED">
      <w:pPr>
        <w:pStyle w:val="Body"/>
        <w:spacing w:after="0"/>
        <w:rPr>
          <w:rFonts w:ascii="Arial" w:hAnsi="Arial" w:cs="Arial"/>
          <w:lang w:val="en-GB"/>
        </w:rPr>
      </w:pPr>
    </w:p>
    <w:p w14:paraId="673C4B9A" w14:textId="4CA8E02C" w:rsidR="00DA3BED" w:rsidRDefault="00DA3BED" w:rsidP="00DA3BED">
      <w:pPr>
        <w:pStyle w:val="Body"/>
        <w:spacing w:after="0"/>
        <w:rPr>
          <w:rFonts w:ascii="Arial" w:hAnsi="Arial" w:cs="Arial"/>
          <w:lang w:val="en-GB"/>
        </w:rPr>
      </w:pPr>
      <w:r w:rsidRPr="00DA3BED">
        <w:rPr>
          <w:rFonts w:ascii="Arial" w:hAnsi="Arial" w:cs="Arial"/>
          <w:lang w:val="en-GB"/>
        </w:rPr>
        <w:t xml:space="preserve">System-Wide Modelling Considerations: Beyond individual components, HRM modelling requires system-level integration to simulate energy flow, control coordination, and interoperability between heterogeneous resources (such as solar, wind, diesel generators, and battery storage). Tools like MATLAB/Simulink, HOMER Pro, and </w:t>
      </w:r>
      <w:proofErr w:type="spellStart"/>
      <w:r w:rsidRPr="00DA3BED">
        <w:rPr>
          <w:rFonts w:ascii="Arial" w:hAnsi="Arial" w:cs="Arial"/>
          <w:lang w:val="en-GB"/>
        </w:rPr>
        <w:t>OpenDSS</w:t>
      </w:r>
      <w:proofErr w:type="spellEnd"/>
      <w:r w:rsidRPr="00DA3BED">
        <w:rPr>
          <w:rFonts w:ascii="Arial" w:hAnsi="Arial" w:cs="Arial"/>
          <w:lang w:val="en-GB"/>
        </w:rPr>
        <w:t xml:space="preserve"> are commonly used for dynamic simulation, economic optimization, and load flow analysis. These platforms support hybrid configurations and allow the integration of custom stochastic models, energy management algorithms, and fault conditions. Incorporating Monte Carlo simulations enables risk assessment under uncertain renewable generation and load demand scenarios. Co-</w:t>
      </w:r>
      <w:r w:rsidRPr="00DA3BED">
        <w:rPr>
          <w:rFonts w:ascii="Arial" w:hAnsi="Arial" w:cs="Arial"/>
          <w:lang w:val="en-GB"/>
        </w:rPr>
        <w:lastRenderedPageBreak/>
        <w:t xml:space="preserve">simulation frameworks (like FMI or </w:t>
      </w:r>
      <w:proofErr w:type="spellStart"/>
      <w:r w:rsidRPr="00DA3BED">
        <w:rPr>
          <w:rFonts w:ascii="Arial" w:hAnsi="Arial" w:cs="Arial"/>
          <w:lang w:val="en-GB"/>
        </w:rPr>
        <w:t>Modelica</w:t>
      </w:r>
      <w:proofErr w:type="spellEnd"/>
      <w:r w:rsidRPr="00DA3BED">
        <w:rPr>
          <w:rFonts w:ascii="Arial" w:hAnsi="Arial" w:cs="Arial"/>
          <w:lang w:val="en-GB"/>
        </w:rPr>
        <w:t>-based systems) are also gaining prominence for coupling electrical, thermal, and control domains in a unified simulation environment [</w:t>
      </w:r>
      <w:r w:rsidR="0088792B">
        <w:rPr>
          <w:rFonts w:ascii="Arial" w:hAnsi="Arial" w:cs="Arial"/>
          <w:lang w:val="en-GB"/>
        </w:rPr>
        <w:t>40</w:t>
      </w:r>
      <w:r w:rsidRPr="00DA3BED">
        <w:rPr>
          <w:rFonts w:ascii="Arial" w:hAnsi="Arial" w:cs="Arial"/>
          <w:lang w:val="en-GB"/>
        </w:rPr>
        <w:t>].</w:t>
      </w:r>
    </w:p>
    <w:p w14:paraId="358098EB" w14:textId="77777777" w:rsidR="003C4317" w:rsidRDefault="003C4317" w:rsidP="00DA3BED">
      <w:pPr>
        <w:pStyle w:val="Body"/>
        <w:spacing w:after="0"/>
        <w:rPr>
          <w:rFonts w:ascii="Arial" w:hAnsi="Arial" w:cs="Arial"/>
          <w:lang w:val="en-GB"/>
        </w:rPr>
      </w:pPr>
    </w:p>
    <w:p w14:paraId="45EF00D8" w14:textId="6A88E46D" w:rsidR="000B2C0C" w:rsidRDefault="000B2C0C" w:rsidP="000B2C0C">
      <w:pPr>
        <w:pStyle w:val="Body"/>
        <w:spacing w:after="0"/>
        <w:rPr>
          <w:rFonts w:ascii="Arial" w:hAnsi="Arial" w:cs="Arial"/>
        </w:rPr>
      </w:pPr>
      <w:bookmarkStart w:id="5" w:name="_Hlk199105227"/>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Pr="000B2C0C">
        <w:rPr>
          <w:rFonts w:ascii="Arial" w:hAnsi="Arial" w:cs="Arial"/>
          <w:b/>
          <w:bCs/>
          <w:sz w:val="22"/>
          <w:lang w:val="en-GB"/>
        </w:rPr>
        <w:t>Wind Turbines</w:t>
      </w:r>
      <w:r w:rsidRPr="00FB3A86">
        <w:rPr>
          <w:rFonts w:ascii="Arial" w:hAnsi="Arial" w:cs="Arial"/>
        </w:rPr>
        <w:t xml:space="preserve">  </w:t>
      </w:r>
    </w:p>
    <w:p w14:paraId="7D00427F" w14:textId="77777777" w:rsidR="000B2C0C" w:rsidRDefault="000B2C0C" w:rsidP="000B2C0C">
      <w:pPr>
        <w:pStyle w:val="Body"/>
        <w:spacing w:after="0"/>
        <w:rPr>
          <w:rFonts w:ascii="Arial" w:hAnsi="Arial" w:cs="Arial"/>
        </w:rPr>
      </w:pPr>
    </w:p>
    <w:p w14:paraId="1E99ACBC" w14:textId="311F9AF8" w:rsidR="005D69A9" w:rsidRDefault="000B2C0C" w:rsidP="000B2C0C">
      <w:pPr>
        <w:pStyle w:val="Body"/>
        <w:spacing w:after="0"/>
        <w:rPr>
          <w:rFonts w:ascii="Arial" w:hAnsi="Arial" w:cs="Arial"/>
          <w:lang w:val="en-GB"/>
        </w:rPr>
      </w:pPr>
      <w:r w:rsidRPr="000B2C0C">
        <w:rPr>
          <w:rFonts w:ascii="Arial" w:hAnsi="Arial" w:cs="Arial"/>
          <w:lang w:val="en-GB"/>
        </w:rPr>
        <w:t>Wind turbines are integral to Hybrid Renewable Microgrids (HRMs), offering clean, distributed power that complements solar and diesel sources. Accurate modelling of wind energy systems is essential for performance prediction, resource assessment, and reliable grid integration. Wind speed, being inherently stochastic and location-dependent, significantly affects the output of wind turbines. Therefore, system-level simulations rely on accurate wind speed modelling, turbine dynamics, and advanced control strategies to maintain operational stability and efficiency under variable atmospheric conditions [</w:t>
      </w:r>
      <w:r w:rsidR="0066118A">
        <w:rPr>
          <w:rFonts w:ascii="Arial" w:hAnsi="Arial" w:cs="Arial"/>
          <w:lang w:val="en-GB"/>
        </w:rPr>
        <w:t>4</w:t>
      </w:r>
      <w:r w:rsidR="005D69A9">
        <w:rPr>
          <w:rFonts w:ascii="Arial" w:hAnsi="Arial" w:cs="Arial"/>
          <w:lang w:val="en-GB"/>
        </w:rPr>
        <w:t>1</w:t>
      </w:r>
      <w:r w:rsidRPr="000B2C0C">
        <w:rPr>
          <w:rFonts w:ascii="Arial" w:hAnsi="Arial" w:cs="Arial"/>
          <w:lang w:val="en-GB"/>
        </w:rPr>
        <w:t>].</w:t>
      </w:r>
      <w:bookmarkEnd w:id="5"/>
      <w:r w:rsidR="008019CA">
        <w:rPr>
          <w:rFonts w:ascii="Arial" w:hAnsi="Arial" w:cs="Arial"/>
          <w:lang w:val="en-GB"/>
        </w:rPr>
        <w:t xml:space="preserve"> A typical wind turbine energy generation system is depicted in Fig. 5.</w:t>
      </w:r>
    </w:p>
    <w:p w14:paraId="5A98F764" w14:textId="0B4AA594" w:rsidR="005D69A9" w:rsidRDefault="005D69A9" w:rsidP="005D69A9">
      <w:pPr>
        <w:pStyle w:val="Body"/>
        <w:spacing w:after="0"/>
        <w:jc w:val="center"/>
        <w:rPr>
          <w:rFonts w:ascii="Arial" w:hAnsi="Arial" w:cs="Arial"/>
          <w:lang w:val="en-GB"/>
        </w:rPr>
      </w:pPr>
      <w:r>
        <w:rPr>
          <w:noProof/>
        </w:rPr>
        <w:drawing>
          <wp:inline distT="0" distB="0" distL="0" distR="0" wp14:anchorId="49BEE546" wp14:editId="56AB9725">
            <wp:extent cx="5212080" cy="2514600"/>
            <wp:effectExtent l="0" t="0" r="7620" b="0"/>
            <wp:docPr id="500962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962638" name=""/>
                    <pic:cNvPicPr/>
                  </pic:nvPicPr>
                  <pic:blipFill>
                    <a:blip r:embed="rId18"/>
                    <a:stretch>
                      <a:fillRect/>
                    </a:stretch>
                  </pic:blipFill>
                  <pic:spPr>
                    <a:xfrm>
                      <a:off x="0" y="0"/>
                      <a:ext cx="5212080" cy="2514600"/>
                    </a:xfrm>
                    <a:prstGeom prst="rect">
                      <a:avLst/>
                    </a:prstGeom>
                  </pic:spPr>
                </pic:pic>
              </a:graphicData>
            </a:graphic>
          </wp:inline>
        </w:drawing>
      </w:r>
    </w:p>
    <w:p w14:paraId="66F4F692" w14:textId="248FBFA1" w:rsidR="005D69A9" w:rsidRPr="00C17970" w:rsidRDefault="005D69A9" w:rsidP="005D69A9">
      <w:pPr>
        <w:pStyle w:val="Body"/>
        <w:spacing w:after="0"/>
        <w:jc w:val="center"/>
        <w:rPr>
          <w:rFonts w:ascii="Arial" w:hAnsi="Arial" w:cs="Arial"/>
          <w:b/>
          <w:bCs/>
          <w:lang w:val="en-GB"/>
        </w:rPr>
      </w:pPr>
      <w:r w:rsidRPr="00800D25">
        <w:rPr>
          <w:rFonts w:ascii="Arial" w:hAnsi="Arial" w:cs="Arial"/>
          <w:b/>
          <w:bCs/>
          <w:highlight w:val="yellow"/>
          <w:lang w:val="en-GB"/>
        </w:rPr>
        <w:t xml:space="preserve">Fig. 5. </w:t>
      </w:r>
      <w:r w:rsidR="00C17970" w:rsidRPr="00800D25">
        <w:rPr>
          <w:rFonts w:ascii="Arial" w:hAnsi="Arial" w:cs="Arial"/>
          <w:b/>
          <w:bCs/>
          <w:highlight w:val="yellow"/>
          <w:lang w:val="en-GB"/>
        </w:rPr>
        <w:t>Wind turbine system [42]</w:t>
      </w:r>
    </w:p>
    <w:p w14:paraId="0899FD4C" w14:textId="77777777" w:rsidR="0066118A" w:rsidRPr="000B2C0C" w:rsidRDefault="0066118A" w:rsidP="000B2C0C">
      <w:pPr>
        <w:pStyle w:val="Body"/>
        <w:spacing w:after="0"/>
        <w:rPr>
          <w:rFonts w:ascii="Arial" w:hAnsi="Arial" w:cs="Arial"/>
          <w:lang w:val="en-GB"/>
        </w:rPr>
      </w:pPr>
    </w:p>
    <w:p w14:paraId="03A7C983" w14:textId="78D30673" w:rsidR="000B2C0C" w:rsidRPr="000B2C0C" w:rsidRDefault="000B2C0C" w:rsidP="000B2C0C">
      <w:pPr>
        <w:pStyle w:val="Body"/>
        <w:spacing w:after="0"/>
        <w:rPr>
          <w:rFonts w:ascii="Arial" w:hAnsi="Arial" w:cs="Arial"/>
          <w:lang w:val="en-GB"/>
        </w:rPr>
      </w:pPr>
      <w:r w:rsidRPr="000B2C0C">
        <w:rPr>
          <w:rFonts w:ascii="Arial" w:hAnsi="Arial" w:cs="Arial"/>
          <w:lang w:val="en-GB"/>
        </w:rPr>
        <w:t>Power curve modelling is fundamental in wind turbine simulation. The power output is a non-linear function of wind speed and turbine-specific characteristics such as cut-in, rated, and cut-out speeds. The Weibull distribution is often applied to historical wind speed data to represent wind resource availability accurately. The two-parameter Weibull model provides a good statistical fit for most geographic locations and allows estimation of the frequency and intensity of wind speeds over time. In addition, turbulence intensity, a measure of short-term wind speed fluctuation, is crucial in determining mechanical stress and fatigue on turbine blades and shafts. Elevated turbulence increases component wear and reduces the lifespan of turbines, which is thus incorporated into mechanical stress models and maintenance schedules [4</w:t>
      </w:r>
      <w:r w:rsidR="004038E3">
        <w:rPr>
          <w:rFonts w:ascii="Arial" w:hAnsi="Arial" w:cs="Arial"/>
          <w:lang w:val="en-GB"/>
        </w:rPr>
        <w:t>3</w:t>
      </w:r>
      <w:r w:rsidRPr="000B2C0C">
        <w:rPr>
          <w:rFonts w:ascii="Arial" w:hAnsi="Arial" w:cs="Arial"/>
          <w:lang w:val="en-GB"/>
        </w:rPr>
        <w:t xml:space="preserve">]. Weibull wind speed distribution is as expressed in (6) </w:t>
      </w:r>
      <w:r w:rsidRPr="000B2C0C">
        <w:rPr>
          <w:rFonts w:ascii="Arial" w:hAnsi="Arial" w:cs="Arial"/>
          <w:iCs/>
          <w:lang w:val="en-GB"/>
        </w:rPr>
        <w:t>[4</w:t>
      </w:r>
      <w:r w:rsidR="004038E3">
        <w:rPr>
          <w:rFonts w:ascii="Arial" w:hAnsi="Arial" w:cs="Arial"/>
          <w:iCs/>
          <w:lang w:val="en-GB"/>
        </w:rPr>
        <w:t>4</w:t>
      </w:r>
      <w:r w:rsidRPr="000B2C0C">
        <w:rPr>
          <w:rFonts w:ascii="Arial" w:hAnsi="Arial" w:cs="Arial"/>
          <w:iCs/>
          <w:lang w:val="en-GB"/>
        </w:rPr>
        <w:t>]</w:t>
      </w:r>
      <w:r w:rsidRPr="000B2C0C">
        <w:rPr>
          <w:rFonts w:ascii="Arial" w:hAnsi="Arial" w:cs="Arial"/>
          <w:lang w:val="en-GB"/>
        </w:rPr>
        <w:t>:</w:t>
      </w:r>
    </w:p>
    <w:p w14:paraId="56EA5425" w14:textId="449597C0" w:rsidR="000B2C0C" w:rsidRPr="000B2C0C" w:rsidRDefault="000B2C0C" w:rsidP="000B2C0C">
      <w:pPr>
        <w:pStyle w:val="Body"/>
        <w:spacing w:after="0"/>
        <w:rPr>
          <w:rFonts w:ascii="Arial" w:hAnsi="Arial" w:cs="Arial"/>
          <w:iCs/>
          <w:lang w:val="en-GB"/>
        </w:rPr>
      </w:pPr>
      <w:r w:rsidRPr="000B2C0C">
        <w:rPr>
          <w:rFonts w:ascii="Arial" w:hAnsi="Arial" w:cs="Arial"/>
          <w:lang w:val="en-GB"/>
        </w:rPr>
        <w:tab/>
      </w:r>
      <m:oMath>
        <m:r>
          <w:rPr>
            <w:rFonts w:ascii="Cambria Math" w:hAnsi="Cambria Math" w:cs="Arial"/>
            <w:lang w:val="en-GB"/>
          </w:rPr>
          <m:t>f</m:t>
        </m:r>
        <m:d>
          <m:dPr>
            <m:ctrlPr>
              <w:rPr>
                <w:rFonts w:ascii="Cambria Math" w:hAnsi="Cambria Math" w:cs="Arial"/>
                <w:i/>
                <w:lang w:val="en-GB"/>
              </w:rPr>
            </m:ctrlPr>
          </m:dPr>
          <m:e>
            <m:r>
              <w:rPr>
                <w:rFonts w:ascii="Cambria Math" w:hAnsi="Cambria Math" w:cs="Arial"/>
                <w:lang w:val="en-GB"/>
              </w:rPr>
              <m:t>v</m:t>
            </m:r>
          </m:e>
        </m:d>
        <m:r>
          <w:rPr>
            <w:rFonts w:ascii="Cambria Math" w:hAnsi="Cambria Math" w:cs="Arial"/>
            <w:lang w:val="en-GB"/>
          </w:rPr>
          <m:t>=</m:t>
        </m:r>
        <m:f>
          <m:fPr>
            <m:ctrlPr>
              <w:rPr>
                <w:rFonts w:ascii="Cambria Math" w:hAnsi="Cambria Math" w:cs="Arial"/>
                <w:i/>
                <w:lang w:val="en-GB"/>
              </w:rPr>
            </m:ctrlPr>
          </m:fPr>
          <m:num>
            <m:r>
              <w:rPr>
                <w:rFonts w:ascii="Cambria Math" w:hAnsi="Cambria Math" w:cs="Arial"/>
                <w:lang w:val="en-GB"/>
              </w:rPr>
              <m:t>k</m:t>
            </m:r>
          </m:num>
          <m:den>
            <m:r>
              <w:rPr>
                <w:rFonts w:ascii="Cambria Math" w:hAnsi="Cambria Math" w:cs="Arial"/>
                <w:lang w:val="en-GB"/>
              </w:rPr>
              <m:t>c</m:t>
            </m:r>
          </m:den>
        </m:f>
        <m:sSup>
          <m:sSupPr>
            <m:ctrlPr>
              <w:rPr>
                <w:rFonts w:ascii="Cambria Math" w:hAnsi="Cambria Math" w:cs="Arial"/>
                <w:i/>
                <w:lang w:val="en-GB"/>
              </w:rPr>
            </m:ctrlPr>
          </m:sSupPr>
          <m:e>
            <m:d>
              <m:dPr>
                <m:ctrlPr>
                  <w:rPr>
                    <w:rFonts w:ascii="Cambria Math" w:hAnsi="Cambria Math" w:cs="Arial"/>
                    <w:i/>
                    <w:lang w:val="en-GB"/>
                  </w:rPr>
                </m:ctrlPr>
              </m:dPr>
              <m:e>
                <m:f>
                  <m:fPr>
                    <m:ctrlPr>
                      <w:rPr>
                        <w:rFonts w:ascii="Cambria Math" w:hAnsi="Cambria Math" w:cs="Arial"/>
                        <w:i/>
                        <w:lang w:val="en-GB"/>
                      </w:rPr>
                    </m:ctrlPr>
                  </m:fPr>
                  <m:num>
                    <m:r>
                      <w:rPr>
                        <w:rFonts w:ascii="Cambria Math" w:hAnsi="Cambria Math" w:cs="Arial"/>
                        <w:lang w:val="en-GB"/>
                      </w:rPr>
                      <m:t>v</m:t>
                    </m:r>
                  </m:num>
                  <m:den>
                    <m:r>
                      <w:rPr>
                        <w:rFonts w:ascii="Cambria Math" w:hAnsi="Cambria Math" w:cs="Arial"/>
                        <w:lang w:val="en-GB"/>
                      </w:rPr>
                      <m:t>c</m:t>
                    </m:r>
                  </m:den>
                </m:f>
              </m:e>
            </m:d>
          </m:e>
          <m:sup>
            <m:r>
              <w:rPr>
                <w:rFonts w:ascii="Cambria Math" w:hAnsi="Cambria Math" w:cs="Arial"/>
                <w:lang w:val="en-GB"/>
              </w:rPr>
              <m:t>k-1</m:t>
            </m:r>
          </m:sup>
        </m:sSup>
        <m:sSup>
          <m:sSupPr>
            <m:ctrlPr>
              <w:rPr>
                <w:rFonts w:ascii="Cambria Math" w:hAnsi="Cambria Math" w:cs="Arial"/>
                <w:i/>
                <w:iCs/>
                <w:lang w:val="en-GB"/>
              </w:rPr>
            </m:ctrlPr>
          </m:sSupPr>
          <m:e>
            <m:r>
              <w:rPr>
                <w:rFonts w:ascii="Cambria Math" w:hAnsi="Cambria Math" w:cs="Arial"/>
                <w:lang w:val="en-GB"/>
              </w:rPr>
              <m:t>e</m:t>
            </m:r>
          </m:e>
          <m:sup>
            <m:r>
              <w:rPr>
                <w:rFonts w:ascii="Cambria Math" w:hAnsi="Cambria Math" w:cs="Arial"/>
                <w:lang w:val="en-GB"/>
              </w:rPr>
              <m:t>-</m:t>
            </m:r>
            <m:sSup>
              <m:sSupPr>
                <m:ctrlPr>
                  <w:rPr>
                    <w:rFonts w:ascii="Cambria Math" w:hAnsi="Cambria Math" w:cs="Arial"/>
                    <w:i/>
                    <w:iCs/>
                    <w:lang w:val="en-GB"/>
                  </w:rPr>
                </m:ctrlPr>
              </m:sSupPr>
              <m:e>
                <m:d>
                  <m:dPr>
                    <m:ctrlPr>
                      <w:rPr>
                        <w:rFonts w:ascii="Cambria Math" w:hAnsi="Cambria Math" w:cs="Arial"/>
                        <w:i/>
                        <w:lang w:val="en-GB"/>
                      </w:rPr>
                    </m:ctrlPr>
                  </m:dPr>
                  <m:e>
                    <m:f>
                      <m:fPr>
                        <m:ctrlPr>
                          <w:rPr>
                            <w:rFonts w:ascii="Cambria Math" w:hAnsi="Cambria Math" w:cs="Arial"/>
                            <w:i/>
                            <w:lang w:val="en-GB"/>
                          </w:rPr>
                        </m:ctrlPr>
                      </m:fPr>
                      <m:num>
                        <m:r>
                          <w:rPr>
                            <w:rFonts w:ascii="Cambria Math" w:hAnsi="Cambria Math" w:cs="Arial"/>
                            <w:lang w:val="en-GB"/>
                          </w:rPr>
                          <m:t>v</m:t>
                        </m:r>
                      </m:num>
                      <m:den>
                        <m:r>
                          <w:rPr>
                            <w:rFonts w:ascii="Cambria Math" w:hAnsi="Cambria Math" w:cs="Arial"/>
                            <w:lang w:val="en-GB"/>
                          </w:rPr>
                          <m:t>c</m:t>
                        </m:r>
                      </m:den>
                    </m:f>
                  </m:e>
                </m:d>
              </m:e>
              <m:sup>
                <m:r>
                  <w:rPr>
                    <w:rFonts w:ascii="Cambria Math" w:hAnsi="Cambria Math" w:cs="Arial"/>
                    <w:lang w:val="en-GB"/>
                  </w:rPr>
                  <m:t>k</m:t>
                </m:r>
              </m:sup>
            </m:sSup>
          </m:sup>
        </m:sSup>
      </m:oMath>
      <w:r w:rsidRPr="000B2C0C">
        <w:rPr>
          <w:rFonts w:ascii="Arial" w:hAnsi="Arial" w:cs="Arial"/>
          <w:iCs/>
          <w:lang w:val="en-GB"/>
        </w:rPr>
        <w:tab/>
      </w:r>
      <w:r w:rsidRPr="000B2C0C">
        <w:rPr>
          <w:rFonts w:ascii="Arial" w:hAnsi="Arial" w:cs="Arial"/>
          <w:iCs/>
          <w:lang w:val="en-GB"/>
        </w:rPr>
        <w:tab/>
      </w:r>
      <w:r w:rsidRPr="000B2C0C">
        <w:rPr>
          <w:rFonts w:ascii="Arial" w:hAnsi="Arial" w:cs="Arial"/>
          <w:iCs/>
          <w:lang w:val="en-GB"/>
        </w:rPr>
        <w:tab/>
      </w:r>
      <w:r w:rsidRPr="000B2C0C">
        <w:rPr>
          <w:rFonts w:ascii="Arial" w:hAnsi="Arial" w:cs="Arial"/>
          <w:iCs/>
          <w:lang w:val="en-GB"/>
        </w:rPr>
        <w:tab/>
      </w:r>
      <w:r w:rsidRPr="000B2C0C">
        <w:rPr>
          <w:rFonts w:ascii="Arial" w:hAnsi="Arial" w:cs="Arial"/>
          <w:iCs/>
          <w:lang w:val="en-GB"/>
        </w:rPr>
        <w:tab/>
      </w:r>
      <w:r w:rsidRPr="000B2C0C">
        <w:rPr>
          <w:rFonts w:ascii="Arial" w:hAnsi="Arial" w:cs="Arial"/>
          <w:iCs/>
          <w:lang w:val="en-GB"/>
        </w:rPr>
        <w:tab/>
      </w:r>
      <w:r w:rsidRPr="000B2C0C">
        <w:rPr>
          <w:rFonts w:ascii="Arial" w:hAnsi="Arial" w:cs="Arial"/>
          <w:iCs/>
          <w:lang w:val="en-GB"/>
        </w:rPr>
        <w:tab/>
        <w:t>(6)</w:t>
      </w:r>
    </w:p>
    <w:p w14:paraId="76AAFA10" w14:textId="7A44E6AD" w:rsidR="000B2C0C" w:rsidRPr="000B2C0C" w:rsidRDefault="000B2C0C" w:rsidP="000B2C0C">
      <w:pPr>
        <w:pStyle w:val="Body"/>
        <w:spacing w:after="0"/>
        <w:rPr>
          <w:rFonts w:ascii="Arial" w:hAnsi="Arial" w:cs="Arial"/>
          <w:iCs/>
          <w:lang w:val="en-GB"/>
        </w:rPr>
      </w:pPr>
      <w:r w:rsidRPr="000B2C0C">
        <w:rPr>
          <w:rFonts w:ascii="Arial" w:hAnsi="Arial" w:cs="Arial"/>
          <w:iCs/>
          <w:lang w:val="en-GB"/>
        </w:rPr>
        <w:t xml:space="preserve">where v is wind speed, k is the shape factor, and </w:t>
      </w:r>
      <m:oMath>
        <m:r>
          <w:rPr>
            <w:rFonts w:ascii="Cambria Math" w:hAnsi="Cambria Math" w:cs="Arial"/>
            <w:lang w:val="en-GB"/>
          </w:rPr>
          <m:t>c</m:t>
        </m:r>
      </m:oMath>
      <w:r w:rsidRPr="000B2C0C">
        <w:rPr>
          <w:rFonts w:ascii="Arial" w:hAnsi="Arial" w:cs="Arial"/>
          <w:iCs/>
          <w:lang w:val="en-GB"/>
        </w:rPr>
        <w:t xml:space="preserve"> is the scale factor.</w:t>
      </w:r>
    </w:p>
    <w:p w14:paraId="184823DD" w14:textId="4420E1A9" w:rsidR="000B2C0C" w:rsidRPr="000B2C0C" w:rsidRDefault="000B2C0C" w:rsidP="000B2C0C">
      <w:pPr>
        <w:pStyle w:val="Body"/>
        <w:spacing w:after="0"/>
        <w:rPr>
          <w:rFonts w:ascii="Arial" w:hAnsi="Arial" w:cs="Arial"/>
          <w:iCs/>
          <w:lang w:val="en-GB"/>
        </w:rPr>
      </w:pPr>
      <w:r w:rsidRPr="000B2C0C">
        <w:rPr>
          <w:rFonts w:ascii="Arial" w:hAnsi="Arial" w:cs="Arial"/>
          <w:iCs/>
          <w:lang w:val="en-GB"/>
        </w:rPr>
        <w:t>Wind turbine output is approximated from (7) [4</w:t>
      </w:r>
      <w:r w:rsidR="004F707C">
        <w:rPr>
          <w:rFonts w:ascii="Arial" w:hAnsi="Arial" w:cs="Arial"/>
          <w:iCs/>
          <w:lang w:val="en-GB"/>
        </w:rPr>
        <w:t>5</w:t>
      </w:r>
      <w:r w:rsidRPr="000B2C0C">
        <w:rPr>
          <w:rFonts w:ascii="Arial" w:hAnsi="Arial" w:cs="Arial"/>
          <w:iCs/>
          <w:lang w:val="en-GB"/>
        </w:rPr>
        <w:t>]:</w:t>
      </w:r>
    </w:p>
    <w:p w14:paraId="22948611" w14:textId="79C2B816" w:rsidR="000B2C0C" w:rsidRPr="000B2C0C" w:rsidRDefault="000B2C0C" w:rsidP="000B2C0C">
      <w:pPr>
        <w:pStyle w:val="Body"/>
        <w:spacing w:after="0"/>
        <w:rPr>
          <w:rFonts w:ascii="Arial" w:hAnsi="Arial" w:cs="Arial"/>
          <w:iCs/>
          <w:lang w:val="en-GB"/>
        </w:rPr>
      </w:pPr>
      <w:r w:rsidRPr="000B2C0C">
        <w:rPr>
          <w:rFonts w:ascii="Arial" w:hAnsi="Arial" w:cs="Arial"/>
          <w:iCs/>
          <w:lang w:val="en-GB"/>
        </w:rPr>
        <w:tab/>
      </w:r>
      <m:oMath>
        <m:sSub>
          <m:sSubPr>
            <m:ctrlPr>
              <w:rPr>
                <w:rFonts w:ascii="Cambria Math" w:hAnsi="Cambria Math" w:cs="Arial"/>
                <w:i/>
                <w:iCs/>
                <w:lang w:val="en-GB"/>
              </w:rPr>
            </m:ctrlPr>
          </m:sSubPr>
          <m:e>
            <m:r>
              <w:rPr>
                <w:rFonts w:ascii="Cambria Math" w:hAnsi="Cambria Math" w:cs="Arial"/>
                <w:lang w:val="en-GB"/>
              </w:rPr>
              <m:t>P</m:t>
            </m:r>
          </m:e>
          <m:sub>
            <m:r>
              <w:rPr>
                <w:rFonts w:ascii="Cambria Math" w:hAnsi="Cambria Math" w:cs="Arial"/>
                <w:lang w:val="en-GB"/>
              </w:rPr>
              <m:t>wind</m:t>
            </m:r>
          </m:sub>
        </m:sSub>
        <m:r>
          <w:rPr>
            <w:rFonts w:ascii="Cambria Math" w:hAnsi="Cambria Math" w:cs="Arial"/>
            <w:lang w:val="en-GB"/>
          </w:rPr>
          <m:t>=</m:t>
        </m:r>
        <m:d>
          <m:dPr>
            <m:begChr m:val="{"/>
            <m:endChr m:val=""/>
            <m:ctrlPr>
              <w:rPr>
                <w:rFonts w:ascii="Cambria Math" w:hAnsi="Cambria Math" w:cs="Arial"/>
                <w:i/>
                <w:iCs/>
                <w:lang w:val="en-GB"/>
              </w:rPr>
            </m:ctrlPr>
          </m:dPr>
          <m:e>
            <m:m>
              <m:mPr>
                <m:mcs>
                  <m:mc>
                    <m:mcPr>
                      <m:count m:val="1"/>
                      <m:mcJc m:val="center"/>
                    </m:mcPr>
                  </m:mc>
                </m:mcs>
                <m:ctrlPr>
                  <w:rPr>
                    <w:rFonts w:ascii="Cambria Math" w:hAnsi="Cambria Math" w:cs="Arial"/>
                    <w:i/>
                    <w:iCs/>
                    <w:lang w:val="en-GB"/>
                  </w:rPr>
                </m:ctrlPr>
              </m:mPr>
              <m:mr>
                <m:e>
                  <m:r>
                    <w:rPr>
                      <w:rFonts w:ascii="Cambria Math" w:hAnsi="Cambria Math" w:cs="Arial"/>
                      <w:lang w:val="en-GB"/>
                    </w:rPr>
                    <m:t>0</m:t>
                  </m:r>
                </m:e>
              </m:mr>
              <m:mr>
                <m:e>
                  <m:f>
                    <m:fPr>
                      <m:ctrlPr>
                        <w:rPr>
                          <w:rFonts w:ascii="Cambria Math" w:hAnsi="Cambria Math" w:cs="Arial"/>
                          <w:i/>
                          <w:iCs/>
                          <w:lang w:val="en-GB"/>
                        </w:rPr>
                      </m:ctrlPr>
                    </m:fPr>
                    <m:num>
                      <m:r>
                        <w:rPr>
                          <w:rFonts w:ascii="Cambria Math" w:hAnsi="Cambria Math" w:cs="Arial"/>
                          <w:lang w:val="en-GB"/>
                        </w:rPr>
                        <m:t>1</m:t>
                      </m:r>
                    </m:num>
                    <m:den>
                      <m:r>
                        <w:rPr>
                          <w:rFonts w:ascii="Cambria Math" w:hAnsi="Cambria Math" w:cs="Arial"/>
                          <w:lang w:val="en-GB"/>
                        </w:rPr>
                        <m:t>2</m:t>
                      </m:r>
                    </m:den>
                  </m:f>
                  <m:r>
                    <w:rPr>
                      <w:rFonts w:ascii="Cambria Math" w:hAnsi="Cambria Math" w:cs="Arial"/>
                      <w:lang w:val="en-GB"/>
                    </w:rPr>
                    <m:t>ρ</m:t>
                  </m:r>
                  <m:sSub>
                    <m:sSubPr>
                      <m:ctrlPr>
                        <w:rPr>
                          <w:rFonts w:ascii="Cambria Math" w:hAnsi="Cambria Math" w:cs="Arial"/>
                          <w:i/>
                          <w:iCs/>
                          <w:lang w:val="en-GB"/>
                        </w:rPr>
                      </m:ctrlPr>
                    </m:sSubPr>
                    <m:e>
                      <m:r>
                        <w:rPr>
                          <w:rFonts w:ascii="Cambria Math" w:hAnsi="Cambria Math" w:cs="Arial"/>
                          <w:lang w:val="en-GB"/>
                        </w:rPr>
                        <m:t>AC</m:t>
                      </m:r>
                    </m:e>
                    <m:sub>
                      <m:r>
                        <w:rPr>
                          <w:rFonts w:ascii="Cambria Math" w:hAnsi="Cambria Math" w:cs="Arial"/>
                          <w:lang w:val="en-GB"/>
                        </w:rPr>
                        <m:t>p</m:t>
                      </m:r>
                    </m:sub>
                  </m:sSub>
                  <m:sSub>
                    <m:sSubPr>
                      <m:ctrlPr>
                        <w:rPr>
                          <w:rFonts w:ascii="Cambria Math" w:hAnsi="Cambria Math" w:cs="Arial"/>
                          <w:i/>
                          <w:iCs/>
                          <w:lang w:val="en-GB"/>
                        </w:rPr>
                      </m:ctrlPr>
                    </m:sSubPr>
                    <m:e>
                      <m:r>
                        <w:rPr>
                          <w:rFonts w:ascii="Cambria Math" w:hAnsi="Cambria Math" w:cs="Arial"/>
                          <w:lang w:val="en-GB"/>
                        </w:rPr>
                        <m:t>η</m:t>
                      </m:r>
                    </m:e>
                    <m:sub>
                      <m:r>
                        <w:rPr>
                          <w:rFonts w:ascii="Cambria Math" w:hAnsi="Cambria Math" w:cs="Arial"/>
                          <w:lang w:val="en-GB"/>
                        </w:rPr>
                        <m:t>mech</m:t>
                      </m:r>
                    </m:sub>
                  </m:sSub>
                  <m:sSup>
                    <m:sSupPr>
                      <m:ctrlPr>
                        <w:rPr>
                          <w:rFonts w:ascii="Cambria Math" w:hAnsi="Cambria Math" w:cs="Arial"/>
                          <w:i/>
                          <w:iCs/>
                          <w:lang w:val="en-GB"/>
                        </w:rPr>
                      </m:ctrlPr>
                    </m:sSupPr>
                    <m:e>
                      <m:r>
                        <w:rPr>
                          <w:rFonts w:ascii="Cambria Math" w:hAnsi="Cambria Math" w:cs="Arial"/>
                          <w:lang w:val="en-GB"/>
                        </w:rPr>
                        <m:t>v</m:t>
                      </m:r>
                    </m:e>
                    <m:sup>
                      <m:r>
                        <w:rPr>
                          <w:rFonts w:ascii="Cambria Math" w:hAnsi="Cambria Math" w:cs="Arial"/>
                          <w:lang w:val="en-GB"/>
                        </w:rPr>
                        <m:t>3</m:t>
                      </m:r>
                    </m:sup>
                  </m:sSup>
                </m:e>
              </m:mr>
              <m:mr>
                <m:e>
                  <m:m>
                    <m:mPr>
                      <m:mcs>
                        <m:mc>
                          <m:mcPr>
                            <m:count m:val="1"/>
                            <m:mcJc m:val="center"/>
                          </m:mcPr>
                        </m:mc>
                      </m:mcs>
                      <m:ctrlPr>
                        <w:rPr>
                          <w:rFonts w:ascii="Cambria Math" w:hAnsi="Cambria Math" w:cs="Arial"/>
                          <w:i/>
                          <w:iCs/>
                          <w:lang w:val="en-GB"/>
                        </w:rPr>
                      </m:ctrlPr>
                    </m:mPr>
                    <m:mr>
                      <m:e>
                        <m:sSub>
                          <m:sSubPr>
                            <m:ctrlPr>
                              <w:rPr>
                                <w:rFonts w:ascii="Cambria Math" w:hAnsi="Cambria Math" w:cs="Arial"/>
                                <w:i/>
                                <w:iCs/>
                                <w:lang w:val="en-GB"/>
                              </w:rPr>
                            </m:ctrlPr>
                          </m:sSubPr>
                          <m:e>
                            <m:r>
                              <w:rPr>
                                <w:rFonts w:ascii="Cambria Math" w:hAnsi="Cambria Math" w:cs="Arial"/>
                                <w:lang w:val="en-GB"/>
                              </w:rPr>
                              <m:t>P</m:t>
                            </m:r>
                          </m:e>
                          <m:sub>
                            <m:r>
                              <w:rPr>
                                <w:rFonts w:ascii="Cambria Math" w:hAnsi="Cambria Math" w:cs="Arial"/>
                                <w:lang w:val="en-GB"/>
                              </w:rPr>
                              <m:t>rated</m:t>
                            </m:r>
                          </m:sub>
                        </m:sSub>
                      </m:e>
                    </m:mr>
                    <m:mr>
                      <m:e>
                        <m:r>
                          <w:rPr>
                            <w:rFonts w:ascii="Cambria Math" w:hAnsi="Cambria Math" w:cs="Arial"/>
                            <w:lang w:val="en-GB"/>
                          </w:rPr>
                          <m:t>0</m:t>
                        </m:r>
                      </m:e>
                    </m:mr>
                  </m:m>
                </m:e>
              </m:mr>
            </m:m>
          </m:e>
        </m:d>
        <m:r>
          <w:rPr>
            <w:rFonts w:ascii="Cambria Math" w:hAnsi="Cambria Math" w:cs="Arial"/>
            <w:lang w:val="en-GB"/>
          </w:rPr>
          <m:t xml:space="preserve">     </m:t>
        </m:r>
        <m:m>
          <m:mPr>
            <m:mcs>
              <m:mc>
                <m:mcPr>
                  <m:count m:val="1"/>
                  <m:mcJc m:val="center"/>
                </m:mcPr>
              </m:mc>
            </m:mcs>
            <m:ctrlPr>
              <w:rPr>
                <w:rFonts w:ascii="Cambria Math" w:hAnsi="Cambria Math" w:cs="Arial"/>
                <w:i/>
                <w:iCs/>
                <w:lang w:val="en-GB"/>
              </w:rPr>
            </m:ctrlPr>
          </m:mPr>
          <m:mr>
            <m:e>
              <m:r>
                <w:rPr>
                  <w:rFonts w:ascii="Cambria Math" w:hAnsi="Cambria Math" w:cs="Arial"/>
                  <w:lang w:val="en-GB"/>
                </w:rPr>
                <m:t>v&lt;</m:t>
              </m:r>
              <m:sSub>
                <m:sSubPr>
                  <m:ctrlPr>
                    <w:rPr>
                      <w:rFonts w:ascii="Cambria Math" w:hAnsi="Cambria Math" w:cs="Arial"/>
                      <w:i/>
                      <w:iCs/>
                      <w:lang w:val="en-GB"/>
                    </w:rPr>
                  </m:ctrlPr>
                </m:sSubPr>
                <m:e>
                  <m:r>
                    <w:rPr>
                      <w:rFonts w:ascii="Cambria Math" w:hAnsi="Cambria Math" w:cs="Arial"/>
                      <w:lang w:val="en-GB"/>
                    </w:rPr>
                    <m:t>v</m:t>
                  </m:r>
                </m:e>
                <m:sub>
                  <m:r>
                    <w:rPr>
                      <w:rFonts w:ascii="Cambria Math" w:hAnsi="Cambria Math" w:cs="Arial"/>
                      <w:lang w:val="en-GB"/>
                    </w:rPr>
                    <m:t>cut-in</m:t>
                  </m:r>
                </m:sub>
              </m:sSub>
            </m:e>
          </m:mr>
          <m:mr>
            <m:e>
              <m:sSub>
                <m:sSubPr>
                  <m:ctrlPr>
                    <w:rPr>
                      <w:rFonts w:ascii="Cambria Math" w:hAnsi="Cambria Math" w:cs="Arial"/>
                      <w:i/>
                      <w:iCs/>
                      <w:lang w:val="en-GB"/>
                    </w:rPr>
                  </m:ctrlPr>
                </m:sSubPr>
                <m:e>
                  <m:r>
                    <w:rPr>
                      <w:rFonts w:ascii="Cambria Math" w:hAnsi="Cambria Math" w:cs="Arial"/>
                      <w:lang w:val="en-GB"/>
                    </w:rPr>
                    <m:t>v</m:t>
                  </m:r>
                </m:e>
                <m:sub>
                  <m:r>
                    <w:rPr>
                      <w:rFonts w:ascii="Cambria Math" w:hAnsi="Cambria Math" w:cs="Arial"/>
                      <w:lang w:val="en-GB"/>
                    </w:rPr>
                    <m:t>cut-in</m:t>
                  </m:r>
                </m:sub>
              </m:sSub>
              <m:r>
                <w:rPr>
                  <w:rFonts w:ascii="Cambria Math" w:hAnsi="Cambria Math" w:cs="Arial"/>
                  <w:lang w:val="en-GB"/>
                </w:rPr>
                <m:t>≤v&lt;</m:t>
              </m:r>
              <m:sSub>
                <m:sSubPr>
                  <m:ctrlPr>
                    <w:rPr>
                      <w:rFonts w:ascii="Cambria Math" w:hAnsi="Cambria Math" w:cs="Arial"/>
                      <w:i/>
                      <w:iCs/>
                      <w:lang w:val="en-GB"/>
                    </w:rPr>
                  </m:ctrlPr>
                </m:sSubPr>
                <m:e>
                  <m:r>
                    <w:rPr>
                      <w:rFonts w:ascii="Cambria Math" w:hAnsi="Cambria Math" w:cs="Arial"/>
                      <w:lang w:val="en-GB"/>
                    </w:rPr>
                    <m:t>v</m:t>
                  </m:r>
                </m:e>
                <m:sub>
                  <m:r>
                    <w:rPr>
                      <w:rFonts w:ascii="Cambria Math" w:hAnsi="Cambria Math" w:cs="Arial"/>
                      <w:lang w:val="en-GB"/>
                    </w:rPr>
                    <m:t>rated</m:t>
                  </m:r>
                </m:sub>
              </m:sSub>
            </m:e>
          </m:mr>
          <m:mr>
            <m:e>
              <m:m>
                <m:mPr>
                  <m:mcs>
                    <m:mc>
                      <m:mcPr>
                        <m:count m:val="1"/>
                        <m:mcJc m:val="center"/>
                      </m:mcPr>
                    </m:mc>
                  </m:mcs>
                  <m:ctrlPr>
                    <w:rPr>
                      <w:rFonts w:ascii="Cambria Math" w:hAnsi="Cambria Math" w:cs="Arial"/>
                      <w:i/>
                      <w:iCs/>
                      <w:lang w:val="en-GB"/>
                    </w:rPr>
                  </m:ctrlPr>
                </m:mPr>
                <m:mr>
                  <m:e>
                    <m:sSub>
                      <m:sSubPr>
                        <m:ctrlPr>
                          <w:rPr>
                            <w:rFonts w:ascii="Cambria Math" w:hAnsi="Cambria Math" w:cs="Arial"/>
                            <w:i/>
                            <w:iCs/>
                            <w:lang w:val="en-GB"/>
                          </w:rPr>
                        </m:ctrlPr>
                      </m:sSubPr>
                      <m:e>
                        <m:r>
                          <w:rPr>
                            <w:rFonts w:ascii="Cambria Math" w:hAnsi="Cambria Math" w:cs="Arial"/>
                            <w:lang w:val="en-GB"/>
                          </w:rPr>
                          <m:t>v</m:t>
                        </m:r>
                      </m:e>
                      <m:sub>
                        <m:r>
                          <w:rPr>
                            <w:rFonts w:ascii="Cambria Math" w:hAnsi="Cambria Math" w:cs="Arial"/>
                            <w:lang w:val="en-GB"/>
                          </w:rPr>
                          <m:t>rated</m:t>
                        </m:r>
                      </m:sub>
                    </m:sSub>
                    <m:r>
                      <w:rPr>
                        <w:rFonts w:ascii="Cambria Math" w:hAnsi="Cambria Math" w:cs="Arial"/>
                        <w:lang w:val="en-GB"/>
                      </w:rPr>
                      <m:t>≤v&lt;</m:t>
                    </m:r>
                    <m:sSub>
                      <m:sSubPr>
                        <m:ctrlPr>
                          <w:rPr>
                            <w:rFonts w:ascii="Cambria Math" w:hAnsi="Cambria Math" w:cs="Arial"/>
                            <w:i/>
                            <w:iCs/>
                            <w:lang w:val="en-GB"/>
                          </w:rPr>
                        </m:ctrlPr>
                      </m:sSubPr>
                      <m:e>
                        <m:r>
                          <w:rPr>
                            <w:rFonts w:ascii="Cambria Math" w:hAnsi="Cambria Math" w:cs="Arial"/>
                            <w:lang w:val="en-GB"/>
                          </w:rPr>
                          <m:t>v</m:t>
                        </m:r>
                      </m:e>
                      <m:sub>
                        <m:r>
                          <w:rPr>
                            <w:rFonts w:ascii="Cambria Math" w:hAnsi="Cambria Math" w:cs="Arial"/>
                            <w:lang w:val="en-GB"/>
                          </w:rPr>
                          <m:t>cut-in</m:t>
                        </m:r>
                      </m:sub>
                    </m:sSub>
                  </m:e>
                </m:mr>
                <m:mr>
                  <m:e>
                    <m:r>
                      <w:rPr>
                        <w:rFonts w:ascii="Cambria Math" w:hAnsi="Cambria Math" w:cs="Arial"/>
                        <w:lang w:val="en-GB"/>
                      </w:rPr>
                      <m:t>v≥</m:t>
                    </m:r>
                    <m:sSub>
                      <m:sSubPr>
                        <m:ctrlPr>
                          <w:rPr>
                            <w:rFonts w:ascii="Cambria Math" w:hAnsi="Cambria Math" w:cs="Arial"/>
                            <w:i/>
                            <w:iCs/>
                            <w:lang w:val="en-GB"/>
                          </w:rPr>
                        </m:ctrlPr>
                      </m:sSubPr>
                      <m:e>
                        <m:r>
                          <w:rPr>
                            <w:rFonts w:ascii="Cambria Math" w:hAnsi="Cambria Math" w:cs="Arial"/>
                            <w:lang w:val="en-GB"/>
                          </w:rPr>
                          <m:t>v</m:t>
                        </m:r>
                      </m:e>
                      <m:sub>
                        <m:r>
                          <w:rPr>
                            <w:rFonts w:ascii="Cambria Math" w:hAnsi="Cambria Math" w:cs="Arial"/>
                            <w:lang w:val="en-GB"/>
                          </w:rPr>
                          <m:t>cut-out</m:t>
                        </m:r>
                      </m:sub>
                    </m:sSub>
                  </m:e>
                </m:mr>
              </m:m>
            </m:e>
          </m:mr>
        </m:m>
      </m:oMath>
      <w:r w:rsidRPr="000B2C0C">
        <w:rPr>
          <w:rFonts w:ascii="Arial" w:hAnsi="Arial" w:cs="Arial"/>
          <w:iCs/>
          <w:lang w:val="en-GB"/>
        </w:rPr>
        <w:tab/>
      </w:r>
      <w:r w:rsidRPr="000B2C0C">
        <w:rPr>
          <w:rFonts w:ascii="Arial" w:hAnsi="Arial" w:cs="Arial"/>
          <w:iCs/>
          <w:lang w:val="en-GB"/>
        </w:rPr>
        <w:tab/>
      </w:r>
      <w:r w:rsidRPr="000B2C0C">
        <w:rPr>
          <w:rFonts w:ascii="Arial" w:hAnsi="Arial" w:cs="Arial"/>
          <w:iCs/>
          <w:lang w:val="en-GB"/>
        </w:rPr>
        <w:tab/>
      </w:r>
      <w:r w:rsidRPr="000B2C0C">
        <w:rPr>
          <w:rFonts w:ascii="Arial" w:hAnsi="Arial" w:cs="Arial"/>
          <w:iCs/>
          <w:lang w:val="en-GB"/>
        </w:rPr>
        <w:tab/>
        <w:t>(7)</w:t>
      </w:r>
    </w:p>
    <w:p w14:paraId="36E7F72B" w14:textId="00DEEFE2" w:rsidR="000B2C0C" w:rsidRDefault="000B2C0C" w:rsidP="000B2C0C">
      <w:pPr>
        <w:pStyle w:val="Body"/>
        <w:spacing w:after="0"/>
        <w:rPr>
          <w:rFonts w:ascii="Arial" w:hAnsi="Arial" w:cs="Arial"/>
          <w:iCs/>
          <w:lang w:val="en-GB"/>
        </w:rPr>
      </w:pPr>
      <w:r w:rsidRPr="000B2C0C">
        <w:rPr>
          <w:rFonts w:ascii="Arial" w:hAnsi="Arial" w:cs="Arial"/>
          <w:iCs/>
          <w:lang w:val="en-GB"/>
        </w:rPr>
        <w:t xml:space="preserve">where </w:t>
      </w:r>
      <m:oMath>
        <m:r>
          <w:rPr>
            <w:rFonts w:ascii="Cambria Math" w:hAnsi="Cambria Math" w:cs="Arial"/>
            <w:lang w:val="en-GB"/>
          </w:rPr>
          <m:t>ρ</m:t>
        </m:r>
      </m:oMath>
      <w:r w:rsidRPr="000B2C0C">
        <w:rPr>
          <w:rFonts w:ascii="Arial" w:hAnsi="Arial" w:cs="Arial"/>
          <w:iCs/>
          <w:lang w:val="en-GB"/>
        </w:rPr>
        <w:t xml:space="preserve"> is the air density, A is the rotor-swept area, </w:t>
      </w:r>
      <m:oMath>
        <m:sSub>
          <m:sSubPr>
            <m:ctrlPr>
              <w:rPr>
                <w:rFonts w:ascii="Cambria Math" w:hAnsi="Cambria Math" w:cs="Arial"/>
                <w:i/>
                <w:iCs/>
                <w:lang w:val="en-GB"/>
              </w:rPr>
            </m:ctrlPr>
          </m:sSubPr>
          <m:e>
            <m:r>
              <w:rPr>
                <w:rFonts w:ascii="Cambria Math" w:hAnsi="Cambria Math" w:cs="Arial"/>
                <w:lang w:val="en-GB"/>
              </w:rPr>
              <m:t>C</m:t>
            </m:r>
          </m:e>
          <m:sub>
            <m:r>
              <w:rPr>
                <w:rFonts w:ascii="Cambria Math" w:hAnsi="Cambria Math" w:cs="Arial"/>
                <w:lang w:val="en-GB"/>
              </w:rPr>
              <m:t>p</m:t>
            </m:r>
          </m:sub>
        </m:sSub>
      </m:oMath>
      <w:r w:rsidRPr="000B2C0C">
        <w:rPr>
          <w:rFonts w:ascii="Arial" w:hAnsi="Arial" w:cs="Arial"/>
          <w:iCs/>
          <w:lang w:val="en-GB"/>
        </w:rPr>
        <w:t xml:space="preserve"> is the power coefficient, </w:t>
      </w:r>
      <m:oMath>
        <m:sSub>
          <m:sSubPr>
            <m:ctrlPr>
              <w:rPr>
                <w:rFonts w:ascii="Cambria Math" w:hAnsi="Cambria Math" w:cs="Arial"/>
                <w:i/>
                <w:iCs/>
                <w:lang w:val="en-GB"/>
              </w:rPr>
            </m:ctrlPr>
          </m:sSubPr>
          <m:e>
            <m:r>
              <w:rPr>
                <w:rFonts w:ascii="Cambria Math" w:hAnsi="Cambria Math" w:cs="Arial"/>
                <w:lang w:val="en-GB"/>
              </w:rPr>
              <m:t>η</m:t>
            </m:r>
          </m:e>
          <m:sub>
            <m:r>
              <w:rPr>
                <w:rFonts w:ascii="Cambria Math" w:hAnsi="Cambria Math" w:cs="Arial"/>
                <w:lang w:val="en-GB"/>
              </w:rPr>
              <m:t>mech</m:t>
            </m:r>
          </m:sub>
        </m:sSub>
      </m:oMath>
      <w:r w:rsidRPr="000B2C0C">
        <w:rPr>
          <w:rFonts w:ascii="Arial" w:hAnsi="Arial" w:cs="Arial"/>
          <w:iCs/>
          <w:lang w:val="en-GB"/>
        </w:rPr>
        <w:t xml:space="preserve"> is the mechanical efficiency, </w:t>
      </w:r>
      <m:oMath>
        <m:sSub>
          <m:sSubPr>
            <m:ctrlPr>
              <w:rPr>
                <w:rFonts w:ascii="Cambria Math" w:hAnsi="Cambria Math" w:cs="Arial"/>
                <w:i/>
                <w:iCs/>
                <w:lang w:val="en-GB"/>
              </w:rPr>
            </m:ctrlPr>
          </m:sSubPr>
          <m:e>
            <m:r>
              <w:rPr>
                <w:rFonts w:ascii="Cambria Math" w:hAnsi="Cambria Math" w:cs="Arial"/>
                <w:lang w:val="en-GB"/>
              </w:rPr>
              <m:t>v</m:t>
            </m:r>
          </m:e>
          <m:sub>
            <m:r>
              <w:rPr>
                <w:rFonts w:ascii="Cambria Math" w:hAnsi="Cambria Math" w:cs="Arial"/>
                <w:lang w:val="en-GB"/>
              </w:rPr>
              <m:t>cut-in</m:t>
            </m:r>
          </m:sub>
        </m:sSub>
      </m:oMath>
      <w:r w:rsidRPr="000B2C0C">
        <w:rPr>
          <w:rFonts w:ascii="Arial" w:hAnsi="Arial" w:cs="Arial"/>
          <w:iCs/>
          <w:lang w:val="en-GB"/>
        </w:rPr>
        <w:t xml:space="preserve">, </w:t>
      </w:r>
      <m:oMath>
        <m:sSub>
          <m:sSubPr>
            <m:ctrlPr>
              <w:rPr>
                <w:rFonts w:ascii="Cambria Math" w:hAnsi="Cambria Math" w:cs="Arial"/>
                <w:i/>
                <w:iCs/>
                <w:lang w:val="en-GB"/>
              </w:rPr>
            </m:ctrlPr>
          </m:sSubPr>
          <m:e>
            <m:r>
              <w:rPr>
                <w:rFonts w:ascii="Cambria Math" w:hAnsi="Cambria Math" w:cs="Arial"/>
                <w:lang w:val="en-GB"/>
              </w:rPr>
              <m:t>v</m:t>
            </m:r>
          </m:e>
          <m:sub>
            <m:r>
              <w:rPr>
                <w:rFonts w:ascii="Cambria Math" w:hAnsi="Cambria Math" w:cs="Arial"/>
                <w:lang w:val="en-GB"/>
              </w:rPr>
              <m:t>rated</m:t>
            </m:r>
          </m:sub>
        </m:sSub>
      </m:oMath>
      <w:r w:rsidRPr="000B2C0C">
        <w:rPr>
          <w:rFonts w:ascii="Arial" w:hAnsi="Arial" w:cs="Arial"/>
          <w:iCs/>
          <w:lang w:val="en-GB"/>
        </w:rPr>
        <w:t xml:space="preserve">,  and </w:t>
      </w:r>
      <m:oMath>
        <m:sSub>
          <m:sSubPr>
            <m:ctrlPr>
              <w:rPr>
                <w:rFonts w:ascii="Cambria Math" w:hAnsi="Cambria Math" w:cs="Arial"/>
                <w:i/>
                <w:iCs/>
                <w:lang w:val="en-GB"/>
              </w:rPr>
            </m:ctrlPr>
          </m:sSubPr>
          <m:e>
            <m:r>
              <w:rPr>
                <w:rFonts w:ascii="Cambria Math" w:hAnsi="Cambria Math" w:cs="Arial"/>
                <w:lang w:val="en-GB"/>
              </w:rPr>
              <m:t>v</m:t>
            </m:r>
          </m:e>
          <m:sub>
            <m:r>
              <w:rPr>
                <w:rFonts w:ascii="Cambria Math" w:hAnsi="Cambria Math" w:cs="Arial"/>
                <w:lang w:val="en-GB"/>
              </w:rPr>
              <m:t>cut-out</m:t>
            </m:r>
          </m:sub>
        </m:sSub>
      </m:oMath>
      <w:r w:rsidRPr="000B2C0C">
        <w:rPr>
          <w:rFonts w:ascii="Arial" w:hAnsi="Arial" w:cs="Arial"/>
          <w:iCs/>
          <w:lang w:val="en-GB"/>
        </w:rPr>
        <w:t xml:space="preserve"> are turbine operational thresholds. </w:t>
      </w:r>
    </w:p>
    <w:p w14:paraId="5A97C30E" w14:textId="77777777" w:rsidR="0066118A" w:rsidRPr="000B2C0C" w:rsidRDefault="0066118A" w:rsidP="000B2C0C">
      <w:pPr>
        <w:pStyle w:val="Body"/>
        <w:spacing w:after="0"/>
        <w:rPr>
          <w:rFonts w:ascii="Arial" w:hAnsi="Arial" w:cs="Arial"/>
          <w:iCs/>
          <w:lang w:val="en-GB"/>
        </w:rPr>
      </w:pPr>
    </w:p>
    <w:p w14:paraId="7C0200E9" w14:textId="5481341D" w:rsidR="000B2C0C" w:rsidRPr="000B2C0C" w:rsidRDefault="000B2C0C" w:rsidP="000B2C0C">
      <w:pPr>
        <w:pStyle w:val="Body"/>
        <w:spacing w:after="0"/>
        <w:rPr>
          <w:rFonts w:ascii="Arial" w:hAnsi="Arial" w:cs="Arial"/>
          <w:iCs/>
          <w:lang w:val="en-GB"/>
        </w:rPr>
      </w:pPr>
      <w:r w:rsidRPr="000B2C0C">
        <w:rPr>
          <w:rFonts w:ascii="Arial" w:hAnsi="Arial" w:cs="Arial"/>
          <w:lang w:val="en-GB"/>
        </w:rPr>
        <w:lastRenderedPageBreak/>
        <w:t>Pitch control mechanisms optimize performance and protect components under variable wind conditions. These systems adjust the blade pitch angle to regulate the aerodynamic force the rotor captures, especially when wind speeds exceed rated values</w:t>
      </w:r>
      <w:r w:rsidR="008019CA">
        <w:rPr>
          <w:rFonts w:ascii="Arial" w:hAnsi="Arial" w:cs="Arial"/>
          <w:lang w:val="en-GB"/>
        </w:rPr>
        <w:t xml:space="preserve"> as illustrated in Fig. 6</w:t>
      </w:r>
      <w:r w:rsidRPr="000B2C0C">
        <w:rPr>
          <w:rFonts w:ascii="Arial" w:hAnsi="Arial" w:cs="Arial"/>
          <w:lang w:val="en-GB"/>
        </w:rPr>
        <w:t xml:space="preserve">. The most common strategy is the Proportional-Integral-Derivative (PID) controller, which minimizes the error between the desired and actual rotor speed. More advanced schemes, such as fuzzy logic controllers, adapt flexibly to rapid gusts and uncertain environmental changes, improving energy capture and reducing overloading risks. Control models are integrated into dynamic simulations to </w:t>
      </w:r>
      <w:proofErr w:type="spellStart"/>
      <w:r w:rsidRPr="000B2C0C">
        <w:rPr>
          <w:rFonts w:ascii="Arial" w:hAnsi="Arial" w:cs="Arial"/>
          <w:lang w:val="en-GB"/>
        </w:rPr>
        <w:t>analyze</w:t>
      </w:r>
      <w:proofErr w:type="spellEnd"/>
      <w:r w:rsidRPr="000B2C0C">
        <w:rPr>
          <w:rFonts w:ascii="Arial" w:hAnsi="Arial" w:cs="Arial"/>
          <w:lang w:val="en-GB"/>
        </w:rPr>
        <w:t xml:space="preserve"> system response during transients, load sharing, and fault conditions in HRMs [4</w:t>
      </w:r>
      <w:r w:rsidR="00717FC6">
        <w:rPr>
          <w:rFonts w:ascii="Arial" w:hAnsi="Arial" w:cs="Arial"/>
          <w:lang w:val="en-GB"/>
        </w:rPr>
        <w:t>6</w:t>
      </w:r>
      <w:r w:rsidRPr="000B2C0C">
        <w:rPr>
          <w:rFonts w:ascii="Arial" w:hAnsi="Arial" w:cs="Arial"/>
          <w:lang w:val="en-GB"/>
        </w:rPr>
        <w:t xml:space="preserve">]. </w:t>
      </w:r>
      <w:r w:rsidRPr="000B2C0C">
        <w:rPr>
          <w:rFonts w:ascii="Arial" w:hAnsi="Arial" w:cs="Arial"/>
          <w:iCs/>
          <w:lang w:val="en-GB"/>
        </w:rPr>
        <w:t>Typically, PID controllers are used for pitch control dynamics and are modelled using (8) [4</w:t>
      </w:r>
      <w:r w:rsidR="00717FC6">
        <w:rPr>
          <w:rFonts w:ascii="Arial" w:hAnsi="Arial" w:cs="Arial"/>
          <w:iCs/>
          <w:lang w:val="en-GB"/>
        </w:rPr>
        <w:t>6</w:t>
      </w:r>
      <w:r w:rsidRPr="000B2C0C">
        <w:rPr>
          <w:rFonts w:ascii="Arial" w:hAnsi="Arial" w:cs="Arial"/>
          <w:iCs/>
          <w:lang w:val="en-GB"/>
        </w:rPr>
        <w:t>].</w:t>
      </w:r>
    </w:p>
    <w:p w14:paraId="73E9F81B" w14:textId="49AA07DE" w:rsidR="000B2C0C" w:rsidRPr="000B2C0C" w:rsidRDefault="000B2C0C" w:rsidP="000B2C0C">
      <w:pPr>
        <w:pStyle w:val="Body"/>
        <w:spacing w:after="0"/>
        <w:rPr>
          <w:rFonts w:ascii="Arial" w:hAnsi="Arial" w:cs="Arial"/>
          <w:iCs/>
          <w:lang w:val="en-GB"/>
        </w:rPr>
      </w:pPr>
      <w:r w:rsidRPr="000B2C0C">
        <w:rPr>
          <w:rFonts w:ascii="Arial" w:hAnsi="Arial" w:cs="Arial"/>
          <w:iCs/>
          <w:lang w:val="en-GB"/>
        </w:rPr>
        <w:tab/>
      </w:r>
      <m:oMath>
        <m:r>
          <w:rPr>
            <w:rFonts w:ascii="Cambria Math" w:hAnsi="Cambria Math" w:cs="Arial"/>
            <w:lang w:val="en-GB"/>
          </w:rPr>
          <m:t>θ</m:t>
        </m:r>
        <m:d>
          <m:dPr>
            <m:ctrlPr>
              <w:rPr>
                <w:rFonts w:ascii="Cambria Math" w:hAnsi="Cambria Math" w:cs="Arial"/>
                <w:i/>
                <w:iCs/>
                <w:lang w:val="en-GB"/>
              </w:rPr>
            </m:ctrlPr>
          </m:dPr>
          <m:e>
            <m:r>
              <w:rPr>
                <w:rFonts w:ascii="Cambria Math" w:hAnsi="Cambria Math" w:cs="Arial"/>
                <w:lang w:val="en-GB"/>
              </w:rPr>
              <m:t>t</m:t>
            </m:r>
          </m:e>
        </m:d>
        <m:r>
          <w:rPr>
            <w:rFonts w:ascii="Cambria Math" w:hAnsi="Cambria Math" w:cs="Arial"/>
            <w:lang w:val="en-GB"/>
          </w:rPr>
          <m:t>=</m:t>
        </m:r>
        <m:sSub>
          <m:sSubPr>
            <m:ctrlPr>
              <w:rPr>
                <w:rFonts w:ascii="Cambria Math" w:hAnsi="Cambria Math" w:cs="Arial"/>
                <w:i/>
                <w:iCs/>
                <w:lang w:val="en-GB"/>
              </w:rPr>
            </m:ctrlPr>
          </m:sSubPr>
          <m:e>
            <m:r>
              <w:rPr>
                <w:rFonts w:ascii="Cambria Math" w:hAnsi="Cambria Math" w:cs="Arial"/>
                <w:lang w:val="en-GB"/>
              </w:rPr>
              <m:t>K</m:t>
            </m:r>
          </m:e>
          <m:sub>
            <m:r>
              <w:rPr>
                <w:rFonts w:ascii="Cambria Math" w:hAnsi="Cambria Math" w:cs="Arial"/>
                <w:lang w:val="en-GB"/>
              </w:rPr>
              <m:t>p</m:t>
            </m:r>
          </m:sub>
        </m:sSub>
        <m:r>
          <w:rPr>
            <w:rFonts w:ascii="Cambria Math" w:hAnsi="Cambria Math" w:cs="Arial"/>
            <w:lang w:val="en-GB"/>
          </w:rPr>
          <m:t>e</m:t>
        </m:r>
        <m:d>
          <m:dPr>
            <m:ctrlPr>
              <w:rPr>
                <w:rFonts w:ascii="Cambria Math" w:hAnsi="Cambria Math" w:cs="Arial"/>
                <w:i/>
                <w:iCs/>
                <w:lang w:val="en-GB"/>
              </w:rPr>
            </m:ctrlPr>
          </m:dPr>
          <m:e>
            <m:r>
              <w:rPr>
                <w:rFonts w:ascii="Cambria Math" w:hAnsi="Cambria Math" w:cs="Arial"/>
                <w:lang w:val="en-GB"/>
              </w:rPr>
              <m:t>t</m:t>
            </m:r>
          </m:e>
        </m:d>
        <m:r>
          <w:rPr>
            <w:rFonts w:ascii="Cambria Math" w:hAnsi="Cambria Math" w:cs="Arial"/>
            <w:lang w:val="en-GB"/>
          </w:rPr>
          <m:t>+</m:t>
        </m:r>
        <m:sSub>
          <m:sSubPr>
            <m:ctrlPr>
              <w:rPr>
                <w:rFonts w:ascii="Cambria Math" w:hAnsi="Cambria Math" w:cs="Arial"/>
                <w:i/>
                <w:iCs/>
                <w:lang w:val="en-GB"/>
              </w:rPr>
            </m:ctrlPr>
          </m:sSubPr>
          <m:e>
            <m:r>
              <w:rPr>
                <w:rFonts w:ascii="Cambria Math" w:hAnsi="Cambria Math" w:cs="Arial"/>
                <w:lang w:val="en-GB"/>
              </w:rPr>
              <m:t>K</m:t>
            </m:r>
          </m:e>
          <m:sub>
            <m:r>
              <w:rPr>
                <w:rFonts w:ascii="Cambria Math" w:hAnsi="Cambria Math" w:cs="Arial"/>
                <w:lang w:val="en-GB"/>
              </w:rPr>
              <m:t>i</m:t>
            </m:r>
          </m:sub>
        </m:sSub>
        <m:nary>
          <m:naryPr>
            <m:limLoc m:val="subSup"/>
            <m:ctrlPr>
              <w:rPr>
                <w:rFonts w:ascii="Cambria Math" w:hAnsi="Cambria Math" w:cs="Arial"/>
                <w:i/>
                <w:iCs/>
                <w:lang w:val="en-GB"/>
              </w:rPr>
            </m:ctrlPr>
          </m:naryPr>
          <m:sub>
            <m:r>
              <w:rPr>
                <w:rFonts w:ascii="Cambria Math" w:hAnsi="Cambria Math" w:cs="Arial"/>
                <w:lang w:val="en-GB"/>
              </w:rPr>
              <m:t>0</m:t>
            </m:r>
          </m:sub>
          <m:sup>
            <m:r>
              <w:rPr>
                <w:rFonts w:ascii="Cambria Math" w:hAnsi="Cambria Math" w:cs="Arial"/>
                <w:lang w:val="en-GB"/>
              </w:rPr>
              <m:t>t</m:t>
            </m:r>
          </m:sup>
          <m:e>
            <m:r>
              <w:rPr>
                <w:rFonts w:ascii="Cambria Math" w:hAnsi="Cambria Math" w:cs="Arial"/>
                <w:lang w:val="en-GB"/>
              </w:rPr>
              <m:t>e</m:t>
            </m:r>
            <m:d>
              <m:dPr>
                <m:ctrlPr>
                  <w:rPr>
                    <w:rFonts w:ascii="Cambria Math" w:hAnsi="Cambria Math" w:cs="Arial"/>
                    <w:i/>
                    <w:iCs/>
                    <w:lang w:val="en-GB"/>
                  </w:rPr>
                </m:ctrlPr>
              </m:dPr>
              <m:e>
                <m:r>
                  <w:rPr>
                    <w:rFonts w:ascii="Cambria Math" w:hAnsi="Cambria Math" w:cs="Arial"/>
                    <w:lang w:val="en-GB"/>
                  </w:rPr>
                  <m:t>τ</m:t>
                </m:r>
              </m:e>
            </m:d>
            <m:r>
              <w:rPr>
                <w:rFonts w:ascii="Cambria Math" w:hAnsi="Cambria Math" w:cs="Arial"/>
                <w:lang w:val="en-GB"/>
              </w:rPr>
              <m:t>dτ+</m:t>
            </m:r>
            <m:sSub>
              <m:sSubPr>
                <m:ctrlPr>
                  <w:rPr>
                    <w:rFonts w:ascii="Cambria Math" w:hAnsi="Cambria Math" w:cs="Arial"/>
                    <w:i/>
                    <w:iCs/>
                    <w:lang w:val="en-GB"/>
                  </w:rPr>
                </m:ctrlPr>
              </m:sSubPr>
              <m:e>
                <m:r>
                  <w:rPr>
                    <w:rFonts w:ascii="Cambria Math" w:hAnsi="Cambria Math" w:cs="Arial"/>
                    <w:lang w:val="en-GB"/>
                  </w:rPr>
                  <m:t>K</m:t>
                </m:r>
              </m:e>
              <m:sub>
                <m:r>
                  <w:rPr>
                    <w:rFonts w:ascii="Cambria Math" w:hAnsi="Cambria Math" w:cs="Arial"/>
                    <w:lang w:val="en-GB"/>
                  </w:rPr>
                  <m:t>d</m:t>
                </m:r>
              </m:sub>
            </m:sSub>
            <m:f>
              <m:fPr>
                <m:ctrlPr>
                  <w:rPr>
                    <w:rFonts w:ascii="Cambria Math" w:hAnsi="Cambria Math" w:cs="Arial"/>
                    <w:i/>
                    <w:iCs/>
                    <w:lang w:val="en-GB"/>
                  </w:rPr>
                </m:ctrlPr>
              </m:fPr>
              <m:num>
                <m:r>
                  <w:rPr>
                    <w:rFonts w:ascii="Cambria Math" w:hAnsi="Cambria Math" w:cs="Arial"/>
                    <w:lang w:val="en-GB"/>
                  </w:rPr>
                  <m:t>de</m:t>
                </m:r>
                <m:d>
                  <m:dPr>
                    <m:ctrlPr>
                      <w:rPr>
                        <w:rFonts w:ascii="Cambria Math" w:hAnsi="Cambria Math" w:cs="Arial"/>
                        <w:i/>
                        <w:iCs/>
                        <w:lang w:val="en-GB"/>
                      </w:rPr>
                    </m:ctrlPr>
                  </m:dPr>
                  <m:e>
                    <m:r>
                      <w:rPr>
                        <w:rFonts w:ascii="Cambria Math" w:hAnsi="Cambria Math" w:cs="Arial"/>
                        <w:lang w:val="en-GB"/>
                      </w:rPr>
                      <m:t>t</m:t>
                    </m:r>
                  </m:e>
                </m:d>
              </m:num>
              <m:den>
                <m:r>
                  <w:rPr>
                    <w:rFonts w:ascii="Cambria Math" w:hAnsi="Cambria Math" w:cs="Arial"/>
                    <w:lang w:val="en-GB"/>
                  </w:rPr>
                  <m:t>dt</m:t>
                </m:r>
              </m:den>
            </m:f>
          </m:e>
        </m:nary>
      </m:oMath>
      <w:r w:rsidRPr="000B2C0C">
        <w:rPr>
          <w:rFonts w:ascii="Arial" w:hAnsi="Arial" w:cs="Arial"/>
          <w:iCs/>
          <w:lang w:val="en-GB"/>
        </w:rPr>
        <w:tab/>
      </w:r>
      <w:r w:rsidRPr="000B2C0C">
        <w:rPr>
          <w:rFonts w:ascii="Arial" w:hAnsi="Arial" w:cs="Arial"/>
          <w:iCs/>
          <w:lang w:val="en-GB"/>
        </w:rPr>
        <w:tab/>
      </w:r>
      <w:r w:rsidRPr="000B2C0C">
        <w:rPr>
          <w:rFonts w:ascii="Arial" w:hAnsi="Arial" w:cs="Arial"/>
          <w:iCs/>
          <w:lang w:val="en-GB"/>
        </w:rPr>
        <w:tab/>
      </w:r>
      <w:r w:rsidRPr="000B2C0C">
        <w:rPr>
          <w:rFonts w:ascii="Arial" w:hAnsi="Arial" w:cs="Arial"/>
          <w:iCs/>
          <w:lang w:val="en-GB"/>
        </w:rPr>
        <w:tab/>
      </w:r>
      <w:r w:rsidRPr="000B2C0C">
        <w:rPr>
          <w:rFonts w:ascii="Arial" w:hAnsi="Arial" w:cs="Arial"/>
          <w:iCs/>
          <w:lang w:val="en-GB"/>
        </w:rPr>
        <w:tab/>
        <w:t>(8)</w:t>
      </w:r>
    </w:p>
    <w:p w14:paraId="64CC7EAA" w14:textId="5968AD9D" w:rsidR="000B2C0C" w:rsidRDefault="000B2C0C" w:rsidP="000B2C0C">
      <w:pPr>
        <w:pStyle w:val="Body"/>
        <w:spacing w:after="0"/>
        <w:rPr>
          <w:rFonts w:ascii="Arial" w:hAnsi="Arial" w:cs="Arial"/>
          <w:iCs/>
          <w:lang w:val="en-GB"/>
        </w:rPr>
      </w:pPr>
      <w:r w:rsidRPr="000B2C0C">
        <w:rPr>
          <w:rFonts w:ascii="Arial" w:hAnsi="Arial" w:cs="Arial"/>
          <w:iCs/>
          <w:lang w:val="en-GB"/>
        </w:rPr>
        <w:t xml:space="preserve">where </w:t>
      </w:r>
      <m:oMath>
        <m:r>
          <w:rPr>
            <w:rFonts w:ascii="Cambria Math" w:hAnsi="Cambria Math" w:cs="Arial"/>
            <w:lang w:val="en-GB"/>
          </w:rPr>
          <m:t>θ</m:t>
        </m:r>
        <m:d>
          <m:dPr>
            <m:ctrlPr>
              <w:rPr>
                <w:rFonts w:ascii="Cambria Math" w:hAnsi="Cambria Math" w:cs="Arial"/>
                <w:i/>
                <w:iCs/>
                <w:lang w:val="en-GB"/>
              </w:rPr>
            </m:ctrlPr>
          </m:dPr>
          <m:e>
            <m:r>
              <w:rPr>
                <w:rFonts w:ascii="Cambria Math" w:hAnsi="Cambria Math" w:cs="Arial"/>
                <w:lang w:val="en-GB"/>
              </w:rPr>
              <m:t>t</m:t>
            </m:r>
          </m:e>
        </m:d>
      </m:oMath>
      <w:r w:rsidRPr="000B2C0C">
        <w:rPr>
          <w:rFonts w:ascii="Arial" w:hAnsi="Arial" w:cs="Arial"/>
          <w:iCs/>
          <w:lang w:val="en-GB"/>
        </w:rPr>
        <w:t xml:space="preserve"> is the blade pitch angle, e</w:t>
      </w:r>
      <m:oMath>
        <m:d>
          <m:dPr>
            <m:ctrlPr>
              <w:rPr>
                <w:rFonts w:ascii="Cambria Math" w:hAnsi="Cambria Math" w:cs="Arial"/>
                <w:i/>
                <w:iCs/>
                <w:lang w:val="en-GB"/>
              </w:rPr>
            </m:ctrlPr>
          </m:dPr>
          <m:e>
            <m:r>
              <w:rPr>
                <w:rFonts w:ascii="Cambria Math" w:hAnsi="Cambria Math" w:cs="Arial"/>
                <w:lang w:val="en-GB"/>
              </w:rPr>
              <m:t>t</m:t>
            </m:r>
          </m:e>
        </m:d>
      </m:oMath>
      <w:r w:rsidRPr="000B2C0C">
        <w:rPr>
          <w:rFonts w:ascii="Arial" w:hAnsi="Arial" w:cs="Arial"/>
          <w:iCs/>
          <w:lang w:val="en-GB"/>
        </w:rPr>
        <w:t xml:space="preserve"> is the error between the actual and desired rotor speed and </w:t>
      </w:r>
      <m:oMath>
        <m:sSub>
          <m:sSubPr>
            <m:ctrlPr>
              <w:rPr>
                <w:rFonts w:ascii="Cambria Math" w:hAnsi="Cambria Math" w:cs="Arial"/>
                <w:i/>
                <w:iCs/>
                <w:lang w:val="en-GB"/>
              </w:rPr>
            </m:ctrlPr>
          </m:sSubPr>
          <m:e>
            <m:r>
              <w:rPr>
                <w:rFonts w:ascii="Cambria Math" w:hAnsi="Cambria Math" w:cs="Arial"/>
                <w:lang w:val="en-GB"/>
              </w:rPr>
              <m:t>K</m:t>
            </m:r>
          </m:e>
          <m:sub>
            <m:r>
              <w:rPr>
                <w:rFonts w:ascii="Cambria Math" w:hAnsi="Cambria Math" w:cs="Arial"/>
                <w:lang w:val="en-GB"/>
              </w:rPr>
              <m:t>p</m:t>
            </m:r>
          </m:sub>
        </m:sSub>
      </m:oMath>
      <w:r w:rsidRPr="000B2C0C">
        <w:rPr>
          <w:rFonts w:ascii="Arial" w:hAnsi="Arial" w:cs="Arial"/>
          <w:iCs/>
          <w:lang w:val="en-GB"/>
        </w:rPr>
        <w:t xml:space="preserve">, </w:t>
      </w:r>
      <m:oMath>
        <m:sSub>
          <m:sSubPr>
            <m:ctrlPr>
              <w:rPr>
                <w:rFonts w:ascii="Cambria Math" w:hAnsi="Cambria Math" w:cs="Arial"/>
                <w:i/>
                <w:iCs/>
                <w:lang w:val="en-GB"/>
              </w:rPr>
            </m:ctrlPr>
          </m:sSubPr>
          <m:e>
            <m:r>
              <w:rPr>
                <w:rFonts w:ascii="Cambria Math" w:hAnsi="Cambria Math" w:cs="Arial"/>
                <w:lang w:val="en-GB"/>
              </w:rPr>
              <m:t>K</m:t>
            </m:r>
          </m:e>
          <m:sub>
            <m:r>
              <w:rPr>
                <w:rFonts w:ascii="Cambria Math" w:hAnsi="Cambria Math" w:cs="Arial"/>
                <w:lang w:val="en-GB"/>
              </w:rPr>
              <m:t>i</m:t>
            </m:r>
          </m:sub>
        </m:sSub>
      </m:oMath>
      <w:r w:rsidRPr="000B2C0C">
        <w:rPr>
          <w:rFonts w:ascii="Arial" w:hAnsi="Arial" w:cs="Arial"/>
          <w:iCs/>
          <w:lang w:val="en-GB"/>
        </w:rPr>
        <w:t xml:space="preserve">, </w:t>
      </w:r>
      <m:oMath>
        <m:sSub>
          <m:sSubPr>
            <m:ctrlPr>
              <w:rPr>
                <w:rFonts w:ascii="Cambria Math" w:hAnsi="Cambria Math" w:cs="Arial"/>
                <w:i/>
                <w:iCs/>
                <w:lang w:val="en-GB"/>
              </w:rPr>
            </m:ctrlPr>
          </m:sSubPr>
          <m:e>
            <m:r>
              <w:rPr>
                <w:rFonts w:ascii="Cambria Math" w:hAnsi="Cambria Math" w:cs="Arial"/>
                <w:lang w:val="en-GB"/>
              </w:rPr>
              <m:t>K</m:t>
            </m:r>
          </m:e>
          <m:sub>
            <m:r>
              <w:rPr>
                <w:rFonts w:ascii="Cambria Math" w:hAnsi="Cambria Math" w:cs="Arial"/>
                <w:lang w:val="en-GB"/>
              </w:rPr>
              <m:t>d</m:t>
            </m:r>
          </m:sub>
        </m:sSub>
      </m:oMath>
      <w:r w:rsidRPr="000B2C0C">
        <w:rPr>
          <w:rFonts w:ascii="Arial" w:hAnsi="Arial" w:cs="Arial"/>
          <w:iCs/>
          <w:lang w:val="en-GB"/>
        </w:rPr>
        <w:t xml:space="preserve"> are proportional, integral and derivative gains.</w:t>
      </w:r>
    </w:p>
    <w:p w14:paraId="2B6DD96A" w14:textId="77A847AB" w:rsidR="007E3B6D" w:rsidRDefault="007E3B6D" w:rsidP="007E3B6D">
      <w:pPr>
        <w:pStyle w:val="Body"/>
        <w:spacing w:after="0"/>
        <w:jc w:val="center"/>
        <w:rPr>
          <w:rFonts w:ascii="Arial" w:hAnsi="Arial" w:cs="Arial"/>
        </w:rPr>
      </w:pPr>
      <w:r>
        <w:rPr>
          <w:noProof/>
        </w:rPr>
        <w:drawing>
          <wp:inline distT="0" distB="0" distL="0" distR="0" wp14:anchorId="0DD26ABA" wp14:editId="374DB098">
            <wp:extent cx="5212080" cy="3291840"/>
            <wp:effectExtent l="0" t="0" r="7620" b="3810"/>
            <wp:docPr id="1587789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789311" name=""/>
                    <pic:cNvPicPr/>
                  </pic:nvPicPr>
                  <pic:blipFill>
                    <a:blip r:embed="rId19"/>
                    <a:stretch>
                      <a:fillRect/>
                    </a:stretch>
                  </pic:blipFill>
                  <pic:spPr>
                    <a:xfrm>
                      <a:off x="0" y="0"/>
                      <a:ext cx="5212080" cy="3291840"/>
                    </a:xfrm>
                    <a:prstGeom prst="rect">
                      <a:avLst/>
                    </a:prstGeom>
                  </pic:spPr>
                </pic:pic>
              </a:graphicData>
            </a:graphic>
          </wp:inline>
        </w:drawing>
      </w:r>
    </w:p>
    <w:p w14:paraId="2C1146AE" w14:textId="289C5C5A" w:rsidR="007E3B6D" w:rsidRPr="00717FC6" w:rsidRDefault="007E3B6D" w:rsidP="007E3B6D">
      <w:pPr>
        <w:pStyle w:val="Body"/>
        <w:spacing w:after="0"/>
        <w:jc w:val="center"/>
        <w:rPr>
          <w:rFonts w:ascii="Arial" w:hAnsi="Arial" w:cs="Arial"/>
          <w:b/>
          <w:bCs/>
        </w:rPr>
      </w:pPr>
      <w:r w:rsidRPr="00717FC6">
        <w:rPr>
          <w:rFonts w:ascii="Arial" w:hAnsi="Arial" w:cs="Arial"/>
          <w:b/>
          <w:bCs/>
        </w:rPr>
        <w:t xml:space="preserve">Fig. 6. Pitch control </w:t>
      </w:r>
      <w:r w:rsidR="00717FC6">
        <w:rPr>
          <w:rFonts w:ascii="Arial" w:hAnsi="Arial" w:cs="Arial"/>
          <w:b/>
          <w:bCs/>
        </w:rPr>
        <w:t>scheme</w:t>
      </w:r>
      <w:r w:rsidRPr="00717FC6">
        <w:rPr>
          <w:rFonts w:ascii="Arial" w:hAnsi="Arial" w:cs="Arial"/>
          <w:b/>
          <w:bCs/>
        </w:rPr>
        <w:t xml:space="preserve"> in wind turbine </w:t>
      </w:r>
      <w:r w:rsidR="00BB4E18" w:rsidRPr="00717FC6">
        <w:rPr>
          <w:rFonts w:ascii="Arial" w:hAnsi="Arial" w:cs="Arial"/>
          <w:b/>
          <w:bCs/>
        </w:rPr>
        <w:t>[</w:t>
      </w:r>
      <w:r w:rsidR="00717FC6" w:rsidRPr="00717FC6">
        <w:rPr>
          <w:rFonts w:ascii="Arial" w:hAnsi="Arial" w:cs="Arial"/>
          <w:b/>
          <w:bCs/>
        </w:rPr>
        <w:t>47</w:t>
      </w:r>
      <w:r w:rsidR="00BB4E18" w:rsidRPr="00717FC6">
        <w:rPr>
          <w:rFonts w:ascii="Arial" w:hAnsi="Arial" w:cs="Arial"/>
          <w:b/>
          <w:bCs/>
        </w:rPr>
        <w:t>]</w:t>
      </w:r>
    </w:p>
    <w:p w14:paraId="17C97A74" w14:textId="77777777" w:rsidR="00DA3BED" w:rsidRDefault="00DA3BED" w:rsidP="00441B6F">
      <w:pPr>
        <w:pStyle w:val="Body"/>
        <w:spacing w:after="0"/>
        <w:rPr>
          <w:rFonts w:ascii="Arial" w:hAnsi="Arial" w:cs="Arial"/>
        </w:rPr>
      </w:pPr>
    </w:p>
    <w:p w14:paraId="7D2BA9C0" w14:textId="1DA37609" w:rsidR="007378AB" w:rsidRDefault="007378AB" w:rsidP="007378AB">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sidRPr="007378AB">
        <w:rPr>
          <w:rFonts w:ascii="Arial" w:hAnsi="Arial" w:cs="Arial"/>
          <w:b/>
          <w:bCs/>
          <w:sz w:val="22"/>
          <w:lang w:val="en-GB"/>
        </w:rPr>
        <w:t>Diesel Generators</w:t>
      </w:r>
      <w:r w:rsidRPr="00FB3A86">
        <w:rPr>
          <w:rFonts w:ascii="Arial" w:hAnsi="Arial" w:cs="Arial"/>
        </w:rPr>
        <w:t xml:space="preserve">  </w:t>
      </w:r>
    </w:p>
    <w:p w14:paraId="0F1C1D05" w14:textId="77777777" w:rsidR="007378AB" w:rsidRDefault="007378AB" w:rsidP="007378AB">
      <w:pPr>
        <w:pStyle w:val="Body"/>
        <w:spacing w:after="0"/>
        <w:rPr>
          <w:rFonts w:ascii="Arial" w:hAnsi="Arial" w:cs="Arial"/>
        </w:rPr>
      </w:pPr>
    </w:p>
    <w:p w14:paraId="5A09560B" w14:textId="1983731F" w:rsidR="007378AB" w:rsidRPr="007378AB" w:rsidRDefault="007378AB" w:rsidP="007378AB">
      <w:pPr>
        <w:pStyle w:val="Body"/>
        <w:spacing w:after="0"/>
        <w:rPr>
          <w:rFonts w:ascii="Arial" w:hAnsi="Arial" w:cs="Arial"/>
          <w:lang w:val="en-GB"/>
        </w:rPr>
      </w:pPr>
      <w:r w:rsidRPr="007378AB">
        <w:rPr>
          <w:rFonts w:ascii="Arial" w:hAnsi="Arial" w:cs="Arial"/>
          <w:lang w:val="en-GB"/>
        </w:rPr>
        <w:t>Diesel generators (DGs) serve as backup or primary generation units in Hybrid Renewable Microgrids (HRMs), particularly during periods of low renewable output or peak demand. Accurate modelling of DGs is crucial to reflect their dynamic behaviour, optimize fuel usage, and mitigate environmental impacts. The performance of diesel generators is susceptible to the load profile and operational scheduling; thus, a precise mathematical representation is required for system simulation and economic dispatch optimization. In hybrid systems, DGs often complement intermittent sources like solar or wind, but their inclusion introduces operational trade-offs regarding fuel costs, emissions, and maintenance requirements [4</w:t>
      </w:r>
      <w:r w:rsidR="005021EE">
        <w:rPr>
          <w:rFonts w:ascii="Arial" w:hAnsi="Arial" w:cs="Arial"/>
          <w:lang w:val="en-GB"/>
        </w:rPr>
        <w:t>8</w:t>
      </w:r>
      <w:r w:rsidRPr="007378AB">
        <w:rPr>
          <w:rFonts w:ascii="Arial" w:hAnsi="Arial" w:cs="Arial"/>
          <w:lang w:val="en-GB"/>
        </w:rPr>
        <w:t>].</w:t>
      </w:r>
    </w:p>
    <w:p w14:paraId="3336D66A" w14:textId="6942B20C" w:rsidR="007378AB" w:rsidRPr="007378AB" w:rsidRDefault="007378AB" w:rsidP="007378AB">
      <w:pPr>
        <w:pStyle w:val="Body"/>
        <w:spacing w:after="0"/>
        <w:rPr>
          <w:rFonts w:ascii="Arial" w:hAnsi="Arial" w:cs="Arial"/>
          <w:lang w:val="en-GB"/>
        </w:rPr>
      </w:pPr>
      <w:r w:rsidRPr="007378AB">
        <w:rPr>
          <w:rFonts w:ascii="Arial" w:hAnsi="Arial" w:cs="Arial"/>
          <w:lang w:val="en-GB"/>
        </w:rPr>
        <w:t>A vital aspect of DG modelling involves fuel efficiency curves, which capture the non-linear relationship between output power and fuel consumption. The fuel usage in litres per kilowatt-hour (L/kWh) is typically expressed as a second-order polynomial, as given in (9) [4</w:t>
      </w:r>
      <w:r w:rsidR="005021EE">
        <w:rPr>
          <w:rFonts w:ascii="Arial" w:hAnsi="Arial" w:cs="Arial"/>
          <w:lang w:val="en-GB"/>
        </w:rPr>
        <w:t>9</w:t>
      </w:r>
      <w:r w:rsidRPr="007378AB">
        <w:rPr>
          <w:rFonts w:ascii="Arial" w:hAnsi="Arial" w:cs="Arial"/>
          <w:lang w:val="en-GB"/>
        </w:rPr>
        <w:t>]:</w:t>
      </w:r>
    </w:p>
    <w:p w14:paraId="59CC61FE" w14:textId="6B40A886" w:rsidR="007378AB" w:rsidRPr="007378AB" w:rsidRDefault="007378AB" w:rsidP="007378AB">
      <w:pPr>
        <w:pStyle w:val="Body"/>
        <w:spacing w:after="0"/>
        <w:ind w:left="720"/>
        <w:rPr>
          <w:rFonts w:ascii="Arial" w:hAnsi="Arial" w:cs="Arial"/>
          <w:lang w:val="en-GB"/>
        </w:rPr>
      </w:pPr>
      <m:oMath>
        <m:r>
          <w:rPr>
            <w:rFonts w:ascii="Cambria Math" w:hAnsi="Cambria Math" w:cs="Arial"/>
            <w:lang w:val="en-GB"/>
          </w:rPr>
          <m:t>F(P) = aP² + bP + c</m:t>
        </m:r>
      </m:oMath>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t>(9)</w:t>
      </w:r>
    </w:p>
    <w:p w14:paraId="10D8440A" w14:textId="10BB3A6D" w:rsidR="007378AB" w:rsidRPr="007378AB" w:rsidRDefault="007378AB" w:rsidP="007378AB">
      <w:pPr>
        <w:pStyle w:val="Body"/>
        <w:spacing w:after="0"/>
        <w:rPr>
          <w:rFonts w:ascii="Arial" w:hAnsi="Arial" w:cs="Arial"/>
          <w:lang w:val="en-GB"/>
        </w:rPr>
      </w:pPr>
      <w:r w:rsidRPr="007378AB">
        <w:rPr>
          <w:rFonts w:ascii="Arial" w:hAnsi="Arial" w:cs="Arial"/>
          <w:lang w:val="en-GB"/>
        </w:rPr>
        <w:lastRenderedPageBreak/>
        <w:t xml:space="preserve">where </w:t>
      </w:r>
      <w:r w:rsidRPr="007378AB">
        <w:rPr>
          <w:rFonts w:ascii="Arial" w:hAnsi="Arial" w:cs="Arial"/>
          <w:i/>
          <w:iCs/>
          <w:lang w:val="en-GB"/>
        </w:rPr>
        <w:t>F(P)</w:t>
      </w:r>
      <w:r w:rsidRPr="007378AB">
        <w:rPr>
          <w:rFonts w:ascii="Arial" w:hAnsi="Arial" w:cs="Arial"/>
          <w:lang w:val="en-GB"/>
        </w:rPr>
        <w:t xml:space="preserve"> is the fuel consumption rate and, </w:t>
      </w:r>
      <w:r w:rsidRPr="007378AB">
        <w:rPr>
          <w:rFonts w:ascii="Arial" w:hAnsi="Arial" w:cs="Arial"/>
          <w:i/>
          <w:iCs/>
          <w:lang w:val="en-GB"/>
        </w:rPr>
        <w:t>P</w:t>
      </w:r>
      <w:r w:rsidRPr="007378AB">
        <w:rPr>
          <w:rFonts w:ascii="Arial" w:hAnsi="Arial" w:cs="Arial"/>
          <w:lang w:val="en-GB"/>
        </w:rPr>
        <w:t xml:space="preserve"> is the generator output power, the coefficients </w:t>
      </w:r>
      <w:r w:rsidRPr="007378AB">
        <w:rPr>
          <w:rFonts w:ascii="Arial" w:hAnsi="Arial" w:cs="Arial"/>
          <w:i/>
          <w:iCs/>
          <w:lang w:val="en-GB"/>
        </w:rPr>
        <w:t>a</w:t>
      </w:r>
      <w:r w:rsidRPr="007378AB">
        <w:rPr>
          <w:rFonts w:ascii="Arial" w:hAnsi="Arial" w:cs="Arial"/>
          <w:lang w:val="en-GB"/>
        </w:rPr>
        <w:t>, </w:t>
      </w:r>
      <w:r w:rsidRPr="007378AB">
        <w:rPr>
          <w:rFonts w:ascii="Arial" w:hAnsi="Arial" w:cs="Arial"/>
          <w:i/>
          <w:iCs/>
          <w:lang w:val="en-GB"/>
        </w:rPr>
        <w:t>b</w:t>
      </w:r>
      <w:r w:rsidRPr="007378AB">
        <w:rPr>
          <w:rFonts w:ascii="Arial" w:hAnsi="Arial" w:cs="Arial"/>
          <w:lang w:val="en-GB"/>
        </w:rPr>
        <w:t>, and </w:t>
      </w:r>
      <w:r w:rsidRPr="007378AB">
        <w:rPr>
          <w:rFonts w:ascii="Arial" w:hAnsi="Arial" w:cs="Arial"/>
          <w:i/>
          <w:iCs/>
          <w:lang w:val="en-GB"/>
        </w:rPr>
        <w:t>c</w:t>
      </w:r>
      <w:r w:rsidRPr="007378AB">
        <w:rPr>
          <w:rFonts w:ascii="Arial" w:hAnsi="Arial" w:cs="Arial"/>
          <w:lang w:val="en-GB"/>
        </w:rPr>
        <w:t xml:space="preserve"> are empirical constants specific to the modelled DG. They define the non-linear relationship between </w:t>
      </w:r>
      <w:r w:rsidRPr="007378AB">
        <w:rPr>
          <w:rFonts w:ascii="Arial" w:hAnsi="Arial" w:cs="Arial"/>
          <w:i/>
          <w:iCs/>
          <w:lang w:val="en-GB"/>
        </w:rPr>
        <w:t>P</w:t>
      </w:r>
      <w:r w:rsidRPr="007378AB">
        <w:rPr>
          <w:rFonts w:ascii="Arial" w:hAnsi="Arial" w:cs="Arial"/>
          <w:lang w:val="en-GB"/>
        </w:rPr>
        <w:t xml:space="preserve"> and </w:t>
      </w:r>
      <w:r w:rsidRPr="007378AB">
        <w:rPr>
          <w:rFonts w:ascii="Arial" w:hAnsi="Arial" w:cs="Arial"/>
          <w:i/>
          <w:iCs/>
          <w:lang w:val="en-GB"/>
        </w:rPr>
        <w:t>F</w:t>
      </w:r>
      <w:r w:rsidRPr="007378AB">
        <w:rPr>
          <w:rFonts w:ascii="Arial" w:hAnsi="Arial" w:cs="Arial"/>
          <w:lang w:val="en-GB"/>
        </w:rPr>
        <w:t>(</w:t>
      </w:r>
      <w:r w:rsidRPr="007378AB">
        <w:rPr>
          <w:rFonts w:ascii="Arial" w:hAnsi="Arial" w:cs="Arial"/>
          <w:i/>
          <w:iCs/>
          <w:lang w:val="en-GB"/>
        </w:rPr>
        <w:t>P</w:t>
      </w:r>
      <w:r w:rsidRPr="007378AB">
        <w:rPr>
          <w:rFonts w:ascii="Arial" w:hAnsi="Arial" w:cs="Arial"/>
          <w:lang w:val="en-GB"/>
        </w:rPr>
        <w:t xml:space="preserve">).   </w:t>
      </w:r>
      <w:r w:rsidRPr="007378AB">
        <w:rPr>
          <w:rFonts w:ascii="Arial" w:hAnsi="Arial" w:cs="Arial"/>
          <w:i/>
          <w:iCs/>
          <w:lang w:val="en-GB"/>
        </w:rPr>
        <w:t>F(P)</w:t>
      </w:r>
      <w:r w:rsidRPr="007378AB">
        <w:rPr>
          <w:rFonts w:ascii="Arial" w:hAnsi="Arial" w:cs="Arial"/>
          <w:lang w:val="en-GB"/>
        </w:rPr>
        <w:t xml:space="preserve"> accounts for diesel engines operating most efficiently at a specific load range (typically 70–85% of rated capacity), while efficiency drops significantly at lower loads. </w:t>
      </w:r>
    </w:p>
    <w:p w14:paraId="53B6E349" w14:textId="77777777" w:rsidR="007378AB" w:rsidRPr="007378AB" w:rsidRDefault="007378AB" w:rsidP="007378AB">
      <w:pPr>
        <w:pStyle w:val="Body"/>
        <w:spacing w:after="0"/>
        <w:rPr>
          <w:rFonts w:ascii="Arial" w:hAnsi="Arial" w:cs="Arial"/>
          <w:lang w:val="en-GB"/>
        </w:rPr>
      </w:pPr>
    </w:p>
    <w:p w14:paraId="1AEC9570" w14:textId="5FF61FD4" w:rsidR="007378AB" w:rsidRPr="007378AB" w:rsidRDefault="003E7BED" w:rsidP="007378AB">
      <w:pPr>
        <w:pStyle w:val="Body"/>
        <w:spacing w:after="0"/>
        <w:rPr>
          <w:rFonts w:ascii="Arial" w:hAnsi="Arial" w:cs="Arial"/>
          <w:lang w:val="en-GB"/>
        </w:rPr>
      </w:pPr>
      <w:r w:rsidRPr="007378AB">
        <w:rPr>
          <w:rFonts w:ascii="Arial" w:hAnsi="Arial" w:cs="Arial"/>
          <w:lang w:val="en-GB"/>
        </w:rPr>
        <w:t>Correct</w:t>
      </w:r>
      <w:r w:rsidR="007378AB" w:rsidRPr="007378AB">
        <w:rPr>
          <w:rFonts w:ascii="Arial" w:hAnsi="Arial" w:cs="Arial"/>
          <w:lang w:val="en-GB"/>
        </w:rPr>
        <w:t xml:space="preserve"> parameterization of the curve in (1) using empirical data enables realistic simulation of fuel demand under different load conditions and dispatch strategies [</w:t>
      </w:r>
      <w:r w:rsidR="005021EE">
        <w:rPr>
          <w:rFonts w:ascii="Arial" w:hAnsi="Arial" w:cs="Arial"/>
          <w:lang w:val="en-GB"/>
        </w:rPr>
        <w:t>50</w:t>
      </w:r>
      <w:r w:rsidR="007378AB" w:rsidRPr="007378AB">
        <w:rPr>
          <w:rFonts w:ascii="Arial" w:hAnsi="Arial" w:cs="Arial"/>
          <w:lang w:val="en-GB"/>
        </w:rPr>
        <w:t xml:space="preserve">]. Some models further integrate startup fuel consumption, ramp rate limitations, and engine wear considerations for enhanced reliability analysis. Startup fuel penalty, </w:t>
      </w:r>
      <m:oMath>
        <m:sSub>
          <m:sSubPr>
            <m:ctrlPr>
              <w:rPr>
                <w:rFonts w:ascii="Cambria Math" w:hAnsi="Cambria Math" w:cs="Arial"/>
                <w:i/>
                <w:lang w:val="en-GB"/>
              </w:rPr>
            </m:ctrlPr>
          </m:sSubPr>
          <m:e>
            <m:r>
              <w:rPr>
                <w:rFonts w:ascii="Cambria Math" w:hAnsi="Cambria Math" w:cs="Arial"/>
                <w:lang w:val="en-GB"/>
              </w:rPr>
              <m:t>F</m:t>
            </m:r>
          </m:e>
          <m:sub>
            <m:r>
              <w:rPr>
                <w:rFonts w:ascii="Cambria Math" w:hAnsi="Cambria Math" w:cs="Arial"/>
                <w:lang w:val="en-GB"/>
              </w:rPr>
              <m:t>startup</m:t>
            </m:r>
          </m:sub>
        </m:sSub>
      </m:oMath>
      <w:r w:rsidR="007378AB" w:rsidRPr="007378AB">
        <w:rPr>
          <w:rFonts w:ascii="Arial" w:hAnsi="Arial" w:cs="Arial"/>
          <w:lang w:val="en-GB"/>
        </w:rPr>
        <w:t xml:space="preserve">  is approximated from (10) [</w:t>
      </w:r>
      <w:r w:rsidR="005021EE">
        <w:rPr>
          <w:rFonts w:ascii="Arial" w:hAnsi="Arial" w:cs="Arial"/>
          <w:lang w:val="en-GB"/>
        </w:rPr>
        <w:t>51</w:t>
      </w:r>
      <w:r w:rsidR="007378AB" w:rsidRPr="007378AB">
        <w:rPr>
          <w:rFonts w:ascii="Arial" w:hAnsi="Arial" w:cs="Arial"/>
          <w:lang w:val="en-GB"/>
        </w:rPr>
        <w:t>].</w:t>
      </w:r>
    </w:p>
    <w:p w14:paraId="4F1858BD" w14:textId="18963D89" w:rsidR="007378AB" w:rsidRPr="007378AB" w:rsidRDefault="007378AB" w:rsidP="007378AB">
      <w:pPr>
        <w:pStyle w:val="Body"/>
        <w:spacing w:after="0"/>
        <w:rPr>
          <w:rFonts w:ascii="Arial" w:hAnsi="Arial" w:cs="Arial"/>
          <w:lang w:val="en-GB"/>
        </w:rPr>
      </w:pPr>
      <w:r w:rsidRPr="007378AB">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F</m:t>
            </m:r>
          </m:e>
          <m:sub>
            <m:r>
              <w:rPr>
                <w:rFonts w:ascii="Cambria Math" w:hAnsi="Cambria Math" w:cs="Arial"/>
                <w:lang w:val="en-GB"/>
              </w:rPr>
              <m:t>startup</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F</m:t>
            </m:r>
          </m:e>
          <m:sub>
            <m:r>
              <w:rPr>
                <w:rFonts w:ascii="Cambria Math" w:hAnsi="Cambria Math" w:cs="Arial"/>
                <w:lang w:val="en-GB"/>
              </w:rPr>
              <m:t>0</m:t>
            </m:r>
          </m:sub>
        </m:sSub>
        <m:r>
          <w:rPr>
            <w:rFonts w:ascii="Cambria Math" w:hAnsi="Cambria Math" w:cs="Arial"/>
            <w:lang w:val="en-GB"/>
          </w:rPr>
          <m:t>.</m:t>
        </m:r>
        <m:sSup>
          <m:sSupPr>
            <m:ctrlPr>
              <w:rPr>
                <w:rFonts w:ascii="Cambria Math" w:hAnsi="Cambria Math" w:cs="Arial"/>
                <w:i/>
                <w:lang w:val="en-GB"/>
              </w:rPr>
            </m:ctrlPr>
          </m:sSupPr>
          <m:e>
            <m:r>
              <w:rPr>
                <w:rFonts w:ascii="Cambria Math" w:hAnsi="Cambria Math" w:cs="Arial"/>
                <w:lang w:val="en-GB"/>
              </w:rPr>
              <m:t>e</m:t>
            </m:r>
          </m:e>
          <m:sup>
            <m:r>
              <w:rPr>
                <w:rFonts w:ascii="Cambria Math" w:hAnsi="Cambria Math" w:cs="Arial"/>
                <w:lang w:val="en-GB"/>
              </w:rPr>
              <m:t>-λt</m:t>
            </m:r>
          </m:sup>
        </m:sSup>
      </m:oMath>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t>(10)</w:t>
      </w:r>
    </w:p>
    <w:p w14:paraId="741125B2" w14:textId="2FE5646A" w:rsidR="007378AB" w:rsidRPr="007378AB" w:rsidRDefault="00381B07" w:rsidP="007378AB">
      <w:pPr>
        <w:pStyle w:val="Body"/>
        <w:spacing w:after="0"/>
        <w:rPr>
          <w:rFonts w:ascii="Arial" w:hAnsi="Arial" w:cs="Arial"/>
          <w:lang w:val="en-GB"/>
        </w:rPr>
      </w:pPr>
      <w:r>
        <w:rPr>
          <w:rFonts w:ascii="Arial" w:hAnsi="Arial" w:cs="Arial"/>
          <w:lang w:val="en-GB"/>
        </w:rPr>
        <w:t>w</w:t>
      </w:r>
      <w:r w:rsidR="007378AB" w:rsidRPr="007378AB">
        <w:rPr>
          <w:rFonts w:ascii="Arial" w:hAnsi="Arial" w:cs="Arial"/>
          <w:lang w:val="en-GB"/>
        </w:rPr>
        <w:t xml:space="preserve">here </w:t>
      </w:r>
      <m:oMath>
        <m:sSub>
          <m:sSubPr>
            <m:ctrlPr>
              <w:rPr>
                <w:rFonts w:ascii="Cambria Math" w:hAnsi="Cambria Math" w:cs="Arial"/>
                <w:i/>
                <w:lang w:val="en-GB"/>
              </w:rPr>
            </m:ctrlPr>
          </m:sSubPr>
          <m:e>
            <m:r>
              <w:rPr>
                <w:rFonts w:ascii="Cambria Math" w:hAnsi="Cambria Math" w:cs="Arial"/>
                <w:lang w:val="en-GB"/>
              </w:rPr>
              <m:t>F</m:t>
            </m:r>
          </m:e>
          <m:sub>
            <m:r>
              <w:rPr>
                <w:rFonts w:ascii="Cambria Math" w:hAnsi="Cambria Math" w:cs="Arial"/>
                <w:lang w:val="en-GB"/>
              </w:rPr>
              <m:t>0</m:t>
            </m:r>
          </m:sub>
        </m:sSub>
      </m:oMath>
      <w:r w:rsidR="007378AB" w:rsidRPr="007378AB">
        <w:rPr>
          <w:rFonts w:ascii="Arial" w:hAnsi="Arial" w:cs="Arial"/>
          <w:lang w:val="en-GB"/>
        </w:rPr>
        <w:t xml:space="preserve"> base fuel consumed during startup, </w:t>
      </w:r>
      <m:oMath>
        <m:r>
          <w:rPr>
            <w:rFonts w:ascii="Cambria Math" w:hAnsi="Cambria Math" w:cs="Arial"/>
            <w:lang w:val="en-GB"/>
          </w:rPr>
          <m:t>λ</m:t>
        </m:r>
      </m:oMath>
      <w:r w:rsidR="007378AB" w:rsidRPr="007378AB">
        <w:rPr>
          <w:rFonts w:ascii="Arial" w:hAnsi="Arial" w:cs="Arial"/>
          <w:lang w:val="en-GB"/>
        </w:rPr>
        <w:t xml:space="preserve"> is the fuel decay rate, and </w:t>
      </w:r>
      <m:oMath>
        <m:r>
          <w:rPr>
            <w:rFonts w:ascii="Cambria Math" w:hAnsi="Cambria Math" w:cs="Arial"/>
            <w:lang w:val="en-GB"/>
          </w:rPr>
          <m:t>t</m:t>
        </m:r>
      </m:oMath>
      <w:r w:rsidR="007378AB" w:rsidRPr="007378AB">
        <w:rPr>
          <w:rFonts w:ascii="Arial" w:hAnsi="Arial" w:cs="Arial"/>
          <w:lang w:val="en-GB"/>
        </w:rPr>
        <w:t xml:space="preserve"> is the time since the last shutdown. </w:t>
      </w:r>
    </w:p>
    <w:p w14:paraId="50E01D91" w14:textId="77777777" w:rsidR="007378AB" w:rsidRPr="007378AB" w:rsidRDefault="007378AB" w:rsidP="00381B07">
      <w:pPr>
        <w:pStyle w:val="Body"/>
        <w:spacing w:after="0"/>
        <w:rPr>
          <w:rFonts w:ascii="Arial" w:hAnsi="Arial" w:cs="Arial"/>
          <w:lang w:val="en-GB"/>
        </w:rPr>
      </w:pPr>
    </w:p>
    <w:p w14:paraId="40DB1FEA" w14:textId="0585CC95" w:rsidR="007378AB" w:rsidRPr="007378AB" w:rsidRDefault="007378AB" w:rsidP="007378AB">
      <w:pPr>
        <w:pStyle w:val="Body"/>
        <w:spacing w:after="0"/>
        <w:rPr>
          <w:rFonts w:ascii="Arial" w:hAnsi="Arial" w:cs="Arial"/>
          <w:lang w:val="en-GB"/>
        </w:rPr>
      </w:pPr>
      <w:r w:rsidRPr="007378AB">
        <w:rPr>
          <w:rFonts w:ascii="Arial" w:hAnsi="Arial" w:cs="Arial"/>
          <w:lang w:val="en-GB"/>
        </w:rPr>
        <w:t>In addition to fuel usage, emission modelling is essential to evaluate the environmental footprint of diesel generators in HRMs. Diesel combustion emits significant amounts of carbon dioxide (CO</w:t>
      </w:r>
      <w:r w:rsidRPr="007378AB">
        <w:rPr>
          <w:rFonts w:ascii="Cambria Math" w:hAnsi="Cambria Math" w:cs="Cambria Math"/>
          <w:lang w:val="en-GB"/>
        </w:rPr>
        <w:t>₂</w:t>
      </w:r>
      <w:r w:rsidRPr="007378AB">
        <w:rPr>
          <w:rFonts w:ascii="Arial" w:hAnsi="Arial" w:cs="Arial"/>
          <w:lang w:val="en-GB"/>
        </w:rPr>
        <w:t>), characteristically 650–1000 g/kWh, and nitrogen oxides (NOx), both regulated pollutants. Emission rates depend on generator loading, maintenance conditions, and fuel quality. As the load factor decreases, the specific emissions per unit energy tend to increase due to incomplete combustion and lower thermal efficiency. Therefore, emissions are often modelled as a function of output power and operational cycles, sometimes incorporating degradation factors and engine-specific emission coefficients derived from lab or field tests [</w:t>
      </w:r>
      <w:r w:rsidR="005021EE">
        <w:rPr>
          <w:rFonts w:ascii="Arial" w:hAnsi="Arial" w:cs="Arial"/>
          <w:lang w:val="en-GB"/>
        </w:rPr>
        <w:t>52</w:t>
      </w:r>
      <w:r w:rsidRPr="007378AB">
        <w:rPr>
          <w:rFonts w:ascii="Arial" w:hAnsi="Arial" w:cs="Arial"/>
          <w:lang w:val="en-GB"/>
        </w:rPr>
        <w:t>]. Accurate emission profiles are necessary for lifecycle assessment (LCA), regulatory compliance, and optimizing microgrid dispatch to minimize environmental impacts, especially in grid-isolated or environmentally sensitive areas. CO</w:t>
      </w:r>
      <w:r w:rsidRPr="007378AB">
        <w:rPr>
          <w:rFonts w:ascii="Cambria Math" w:hAnsi="Cambria Math" w:cs="Cambria Math"/>
          <w:lang w:val="en-GB"/>
        </w:rPr>
        <w:t>₂</w:t>
      </w:r>
      <w:r w:rsidRPr="007378AB">
        <w:rPr>
          <w:rFonts w:ascii="Arial" w:hAnsi="Arial" w:cs="Arial"/>
          <w:lang w:val="en-GB"/>
        </w:rPr>
        <w:t xml:space="preserve"> emissions are approximated using the expression in (11) [</w:t>
      </w:r>
      <w:r w:rsidR="005021EE">
        <w:rPr>
          <w:rFonts w:ascii="Arial" w:hAnsi="Arial" w:cs="Arial"/>
          <w:lang w:val="en-GB"/>
        </w:rPr>
        <w:t>52</w:t>
      </w:r>
      <w:r w:rsidRPr="007378AB">
        <w:rPr>
          <w:rFonts w:ascii="Arial" w:hAnsi="Arial" w:cs="Arial"/>
          <w:lang w:val="en-GB"/>
        </w:rPr>
        <w:t>]:</w:t>
      </w:r>
    </w:p>
    <w:p w14:paraId="31641E7D" w14:textId="027150EF" w:rsidR="007378AB" w:rsidRPr="007378AB" w:rsidRDefault="007378AB" w:rsidP="007378AB">
      <w:pPr>
        <w:pStyle w:val="Body"/>
        <w:spacing w:after="0"/>
        <w:rPr>
          <w:rFonts w:ascii="Arial" w:hAnsi="Arial" w:cs="Arial"/>
          <w:lang w:val="en-GB"/>
        </w:rPr>
      </w:pPr>
      <w:r w:rsidRPr="007378AB">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E</m:t>
            </m:r>
          </m:e>
          <m:sub>
            <m:sSub>
              <m:sSubPr>
                <m:ctrlPr>
                  <w:rPr>
                    <w:rFonts w:ascii="Cambria Math" w:hAnsi="Cambria Math" w:cs="Arial"/>
                    <w:i/>
                    <w:lang w:val="en-GB"/>
                  </w:rPr>
                </m:ctrlPr>
              </m:sSubPr>
              <m:e>
                <m:r>
                  <w:rPr>
                    <w:rFonts w:ascii="Cambria Math" w:hAnsi="Cambria Math" w:cs="Arial"/>
                    <w:lang w:val="en-GB"/>
                  </w:rPr>
                  <m:t>CO</m:t>
                </m:r>
              </m:e>
              <m:sub>
                <m:r>
                  <w:rPr>
                    <w:rFonts w:ascii="Cambria Math" w:hAnsi="Cambria Math" w:cs="Arial"/>
                    <w:lang w:val="en-GB"/>
                  </w:rPr>
                  <m:t>2</m:t>
                </m:r>
              </m:sub>
            </m:sSub>
          </m:sub>
        </m:sSub>
        <m:r>
          <w:rPr>
            <w:rFonts w:ascii="Cambria Math" w:hAnsi="Cambria Math" w:cs="Arial"/>
            <w:lang w:val="en-GB"/>
          </w:rPr>
          <m:t xml:space="preserve">=γ.F(P) </m:t>
        </m:r>
      </m:oMath>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r>
      <w:r w:rsidRPr="007378AB">
        <w:rPr>
          <w:rFonts w:ascii="Arial" w:hAnsi="Arial" w:cs="Arial"/>
          <w:lang w:val="en-GB"/>
        </w:rPr>
        <w:tab/>
        <w:t>(11)</w:t>
      </w:r>
    </w:p>
    <w:p w14:paraId="42E37022" w14:textId="5A070190" w:rsidR="007378AB" w:rsidRDefault="00CD079B" w:rsidP="007378AB">
      <w:pPr>
        <w:pStyle w:val="Body"/>
        <w:spacing w:after="0"/>
        <w:rPr>
          <w:rFonts w:ascii="Arial" w:hAnsi="Arial" w:cs="Arial"/>
        </w:rPr>
      </w:pPr>
      <w:r>
        <w:rPr>
          <w:rFonts w:ascii="Arial" w:hAnsi="Arial" w:cs="Arial"/>
          <w:lang w:val="en-GB"/>
        </w:rPr>
        <w:t>w</w:t>
      </w:r>
      <w:r w:rsidR="007378AB" w:rsidRPr="007378AB">
        <w:rPr>
          <w:rFonts w:ascii="Arial" w:hAnsi="Arial" w:cs="Arial"/>
          <w:lang w:val="en-GB"/>
        </w:rPr>
        <w:t xml:space="preserve">here </w:t>
      </w:r>
      <m:oMath>
        <m:r>
          <w:rPr>
            <w:rFonts w:ascii="Cambria Math" w:hAnsi="Cambria Math" w:cs="Arial"/>
            <w:lang w:val="en-GB"/>
          </w:rPr>
          <m:t>γ</m:t>
        </m:r>
      </m:oMath>
      <w:r w:rsidR="007378AB" w:rsidRPr="007378AB">
        <w:rPr>
          <w:rFonts w:ascii="Arial" w:hAnsi="Arial" w:cs="Arial"/>
          <w:lang w:val="en-GB"/>
        </w:rPr>
        <w:t xml:space="preserve"> is the CO</w:t>
      </w:r>
      <w:r w:rsidR="007378AB" w:rsidRPr="007378AB">
        <w:rPr>
          <w:rFonts w:ascii="Cambria Math" w:hAnsi="Cambria Math" w:cs="Cambria Math"/>
          <w:lang w:val="en-GB"/>
        </w:rPr>
        <w:t>₂</w:t>
      </w:r>
      <w:r w:rsidR="007378AB" w:rsidRPr="007378AB">
        <w:rPr>
          <w:rFonts w:ascii="Arial" w:hAnsi="Arial" w:cs="Arial"/>
          <w:lang w:val="en-GB"/>
        </w:rPr>
        <w:t xml:space="preserve"> emission factor, linking fuel use to carbon output.</w:t>
      </w:r>
    </w:p>
    <w:p w14:paraId="041CCB73" w14:textId="77777777" w:rsidR="007378AB" w:rsidRDefault="007378AB" w:rsidP="00441B6F">
      <w:pPr>
        <w:pStyle w:val="Body"/>
        <w:spacing w:after="0"/>
        <w:rPr>
          <w:rFonts w:ascii="Arial" w:hAnsi="Arial" w:cs="Arial"/>
        </w:rPr>
      </w:pPr>
    </w:p>
    <w:p w14:paraId="2D3B083D" w14:textId="6AD7AD40" w:rsidR="007860F3" w:rsidRDefault="007860F3" w:rsidP="007860F3">
      <w:pPr>
        <w:pStyle w:val="Body"/>
        <w:spacing w:after="0"/>
        <w:rPr>
          <w:rFonts w:ascii="Arial" w:hAnsi="Arial" w:cs="Arial"/>
        </w:rPr>
      </w:pPr>
      <w:bookmarkStart w:id="6" w:name="_Hlk199105883"/>
      <w:r>
        <w:rPr>
          <w:rFonts w:ascii="Arial" w:hAnsi="Arial" w:cs="Arial"/>
          <w:b/>
          <w:caps/>
          <w:sz w:val="22"/>
        </w:rPr>
        <w:t>3</w:t>
      </w:r>
      <w:r w:rsidRPr="00C30A0F">
        <w:rPr>
          <w:rFonts w:ascii="Arial" w:hAnsi="Arial" w:cs="Arial"/>
          <w:b/>
          <w:caps/>
          <w:sz w:val="22"/>
        </w:rPr>
        <w:t>.</w:t>
      </w:r>
      <w:r>
        <w:rPr>
          <w:rFonts w:ascii="Arial" w:hAnsi="Arial" w:cs="Arial"/>
          <w:b/>
          <w:caps/>
          <w:sz w:val="22"/>
        </w:rPr>
        <w:t>4</w:t>
      </w:r>
      <w:r w:rsidRPr="00C30A0F">
        <w:rPr>
          <w:rFonts w:ascii="Arial" w:hAnsi="Arial" w:cs="Arial"/>
          <w:b/>
          <w:caps/>
          <w:sz w:val="22"/>
        </w:rPr>
        <w:t xml:space="preserve"> </w:t>
      </w:r>
      <w:r w:rsidRPr="007860F3">
        <w:rPr>
          <w:rFonts w:ascii="Arial" w:hAnsi="Arial" w:cs="Arial"/>
          <w:b/>
          <w:bCs/>
          <w:sz w:val="22"/>
          <w:lang w:val="en-GB"/>
        </w:rPr>
        <w:t>Battery Storage Systems (BSS)</w:t>
      </w:r>
      <w:r w:rsidRPr="00FB3A86">
        <w:rPr>
          <w:rFonts w:ascii="Arial" w:hAnsi="Arial" w:cs="Arial"/>
        </w:rPr>
        <w:t xml:space="preserve">  </w:t>
      </w:r>
    </w:p>
    <w:p w14:paraId="4CB7E4BA" w14:textId="77777777" w:rsidR="007860F3" w:rsidRDefault="007860F3" w:rsidP="007860F3">
      <w:pPr>
        <w:pStyle w:val="Body"/>
        <w:spacing w:after="0"/>
        <w:rPr>
          <w:rFonts w:ascii="Arial" w:hAnsi="Arial" w:cs="Arial"/>
        </w:rPr>
      </w:pPr>
    </w:p>
    <w:p w14:paraId="7D45DFE2" w14:textId="26690345" w:rsidR="007860F3" w:rsidRPr="007860F3" w:rsidRDefault="007860F3" w:rsidP="00572FE2">
      <w:pPr>
        <w:pStyle w:val="Body"/>
        <w:spacing w:after="0"/>
        <w:rPr>
          <w:rFonts w:ascii="Arial" w:hAnsi="Arial" w:cs="Arial"/>
          <w:lang w:val="en-GB"/>
        </w:rPr>
      </w:pPr>
      <w:r w:rsidRPr="007860F3">
        <w:rPr>
          <w:rFonts w:ascii="Arial" w:hAnsi="Arial" w:cs="Arial"/>
          <w:lang w:val="en-GB"/>
        </w:rPr>
        <w:t>Battery storage systems (BSS) are essential for enhancing the flexibility and reliability of HRMs. They enable energy balancing, frequency regulation, and load shifting by storing excess energy from intermittent sources like wind and solar and discharging during peak demand or renewable shortfalls. Accurate modelling of BSS behaviour is critical to ensure operational efficiency, lifecycle optimization, and safe integration into microgrids. Two central considerations in battery modelling are degradation mechanisms and state of charge (SOC) estimation, which influence control strategies and economic dispatch algorithms [</w:t>
      </w:r>
      <w:r w:rsidR="00AF2566">
        <w:rPr>
          <w:rFonts w:ascii="Arial" w:hAnsi="Arial" w:cs="Arial"/>
          <w:lang w:val="en-GB"/>
        </w:rPr>
        <w:t>53</w:t>
      </w:r>
      <w:r w:rsidRPr="007860F3">
        <w:rPr>
          <w:rFonts w:ascii="Arial" w:hAnsi="Arial" w:cs="Arial"/>
          <w:lang w:val="en-GB"/>
        </w:rPr>
        <w:t>]. The expression for SOC is given in (12) [</w:t>
      </w:r>
      <w:r w:rsidR="00572FE2">
        <w:rPr>
          <w:rFonts w:ascii="Arial" w:hAnsi="Arial" w:cs="Arial"/>
          <w:lang w:val="en-GB"/>
        </w:rPr>
        <w:t>5</w:t>
      </w:r>
      <w:r w:rsidR="00AF2566">
        <w:rPr>
          <w:rFonts w:ascii="Arial" w:hAnsi="Arial" w:cs="Arial"/>
          <w:lang w:val="en-GB"/>
        </w:rPr>
        <w:t>3</w:t>
      </w:r>
      <w:r w:rsidRPr="007860F3">
        <w:rPr>
          <w:rFonts w:ascii="Arial" w:hAnsi="Arial" w:cs="Arial"/>
          <w:lang w:val="en-GB"/>
        </w:rPr>
        <w:t>].</w:t>
      </w:r>
      <w:bookmarkEnd w:id="6"/>
    </w:p>
    <w:p w14:paraId="7CAAE87E" w14:textId="0E6F34C7" w:rsidR="007860F3" w:rsidRPr="007860F3" w:rsidRDefault="007860F3" w:rsidP="00572FE2">
      <w:pPr>
        <w:pStyle w:val="Body"/>
        <w:spacing w:after="0"/>
        <w:rPr>
          <w:rFonts w:ascii="Arial" w:hAnsi="Arial" w:cs="Arial"/>
          <w:lang w:val="en-GB"/>
        </w:rPr>
      </w:pPr>
      <w:r w:rsidRPr="007860F3">
        <w:rPr>
          <w:rFonts w:ascii="Arial" w:hAnsi="Arial" w:cs="Arial"/>
          <w:lang w:val="en-GB"/>
        </w:rPr>
        <w:tab/>
      </w:r>
      <m:oMath>
        <m:r>
          <w:rPr>
            <w:rFonts w:ascii="Cambria Math" w:hAnsi="Cambria Math" w:cs="Arial"/>
            <w:lang w:val="en-GB"/>
          </w:rPr>
          <m:t>SOC</m:t>
        </m:r>
        <m:d>
          <m:dPr>
            <m:ctrlPr>
              <w:rPr>
                <w:rFonts w:ascii="Cambria Math" w:hAnsi="Cambria Math" w:cs="Arial"/>
                <w:i/>
                <w:lang w:val="en-GB"/>
              </w:rPr>
            </m:ctrlPr>
          </m:dPr>
          <m:e>
            <m:r>
              <w:rPr>
                <w:rFonts w:ascii="Cambria Math" w:hAnsi="Cambria Math" w:cs="Arial"/>
                <w:lang w:val="en-GB"/>
              </w:rPr>
              <m:t>t</m:t>
            </m:r>
          </m:e>
        </m:d>
        <m:r>
          <w:rPr>
            <w:rFonts w:ascii="Cambria Math" w:hAnsi="Cambria Math" w:cs="Arial"/>
            <w:lang w:val="en-GB"/>
          </w:rPr>
          <m:t>=SOC</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0</m:t>
                </m:r>
              </m:sub>
            </m:sSub>
          </m:e>
        </m:d>
        <m:r>
          <w:rPr>
            <w:rFonts w:ascii="Cambria Math" w:hAnsi="Cambria Math" w:cs="Arial"/>
            <w:lang w:val="en-GB"/>
          </w:rPr>
          <m:t>-</m:t>
        </m:r>
        <m:f>
          <m:fPr>
            <m:ctrlPr>
              <w:rPr>
                <w:rFonts w:ascii="Cambria Math" w:hAnsi="Cambria Math" w:cs="Arial"/>
                <w:i/>
                <w:lang w:val="en-GB"/>
              </w:rPr>
            </m:ctrlPr>
          </m:fPr>
          <m:num>
            <m:r>
              <w:rPr>
                <w:rFonts w:ascii="Cambria Math" w:hAnsi="Cambria Math" w:cs="Arial"/>
                <w:lang w:val="en-GB"/>
              </w:rPr>
              <m:t>1</m:t>
            </m:r>
          </m:num>
          <m:den>
            <m:r>
              <w:rPr>
                <w:rFonts w:ascii="Cambria Math" w:hAnsi="Cambria Math" w:cs="Arial"/>
                <w:lang w:val="en-GB"/>
              </w:rPr>
              <m:t>Q</m:t>
            </m:r>
          </m:den>
        </m:f>
        <m:nary>
          <m:naryPr>
            <m:limLoc m:val="undOvr"/>
            <m:ctrlPr>
              <w:rPr>
                <w:rFonts w:ascii="Cambria Math" w:hAnsi="Cambria Math" w:cs="Arial"/>
                <w:i/>
                <w:lang w:val="en-GB"/>
              </w:rPr>
            </m:ctrlPr>
          </m:naryPr>
          <m:sub>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0</m:t>
                </m:r>
              </m:sub>
            </m:sSub>
          </m:sub>
          <m:sup>
            <m:r>
              <w:rPr>
                <w:rFonts w:ascii="Cambria Math" w:hAnsi="Cambria Math" w:cs="Arial"/>
                <w:lang w:val="en-GB"/>
              </w:rPr>
              <m:t>t</m:t>
            </m:r>
          </m:sup>
          <m:e>
            <m:r>
              <w:rPr>
                <w:rFonts w:ascii="Cambria Math" w:hAnsi="Cambria Math" w:cs="Arial"/>
                <w:lang w:val="en-GB"/>
              </w:rPr>
              <m:t>ηI</m:t>
            </m:r>
            <m:d>
              <m:dPr>
                <m:ctrlPr>
                  <w:rPr>
                    <w:rFonts w:ascii="Cambria Math" w:hAnsi="Cambria Math" w:cs="Arial"/>
                    <w:i/>
                    <w:lang w:val="en-GB"/>
                  </w:rPr>
                </m:ctrlPr>
              </m:dPr>
              <m:e>
                <m:r>
                  <w:rPr>
                    <w:rFonts w:ascii="Cambria Math" w:hAnsi="Cambria Math" w:cs="Arial"/>
                    <w:lang w:val="en-GB"/>
                  </w:rPr>
                  <m:t>τ</m:t>
                </m:r>
              </m:e>
            </m:d>
            <m:r>
              <w:rPr>
                <w:rFonts w:ascii="Cambria Math" w:hAnsi="Cambria Math" w:cs="Arial"/>
                <w:lang w:val="en-GB"/>
              </w:rPr>
              <m:t>dτ</m:t>
            </m:r>
          </m:e>
        </m:nary>
      </m:oMath>
      <w:r w:rsidRPr="007860F3">
        <w:rPr>
          <w:rFonts w:ascii="Arial" w:hAnsi="Arial" w:cs="Arial"/>
          <w:lang w:val="en-GB"/>
        </w:rPr>
        <w:tab/>
      </w:r>
      <w:r w:rsidRPr="007860F3">
        <w:rPr>
          <w:rFonts w:ascii="Arial" w:hAnsi="Arial" w:cs="Arial"/>
          <w:lang w:val="en-GB"/>
        </w:rPr>
        <w:tab/>
      </w:r>
      <w:r w:rsidRPr="007860F3">
        <w:rPr>
          <w:rFonts w:ascii="Arial" w:hAnsi="Arial" w:cs="Arial"/>
          <w:lang w:val="en-GB"/>
        </w:rPr>
        <w:tab/>
      </w:r>
      <w:r w:rsidRPr="007860F3">
        <w:rPr>
          <w:rFonts w:ascii="Arial" w:hAnsi="Arial" w:cs="Arial"/>
          <w:lang w:val="en-GB"/>
        </w:rPr>
        <w:tab/>
      </w:r>
      <w:r w:rsidRPr="007860F3">
        <w:rPr>
          <w:rFonts w:ascii="Arial" w:hAnsi="Arial" w:cs="Arial"/>
          <w:lang w:val="en-GB"/>
        </w:rPr>
        <w:tab/>
      </w:r>
      <w:r w:rsidRPr="007860F3">
        <w:rPr>
          <w:rFonts w:ascii="Arial" w:hAnsi="Arial" w:cs="Arial"/>
          <w:lang w:val="en-GB"/>
        </w:rPr>
        <w:tab/>
        <w:t>(12)</w:t>
      </w:r>
    </w:p>
    <w:p w14:paraId="43A632AB" w14:textId="04BCF8E8" w:rsidR="007860F3" w:rsidRPr="007860F3" w:rsidRDefault="007860F3" w:rsidP="00572FE2">
      <w:pPr>
        <w:pStyle w:val="Body"/>
        <w:spacing w:after="0"/>
        <w:rPr>
          <w:rFonts w:ascii="Arial" w:hAnsi="Arial" w:cs="Arial"/>
          <w:lang w:val="en-GB"/>
        </w:rPr>
      </w:pPr>
      <w:r w:rsidRPr="007860F3">
        <w:rPr>
          <w:rFonts w:ascii="Arial" w:hAnsi="Arial" w:cs="Arial"/>
          <w:lang w:val="en-GB"/>
        </w:rPr>
        <w:t xml:space="preserve">Q is the battery capacity, </w:t>
      </w:r>
      <m:oMath>
        <m:r>
          <w:rPr>
            <w:rFonts w:ascii="Cambria Math" w:hAnsi="Cambria Math" w:cs="Arial"/>
            <w:lang w:val="en-GB"/>
          </w:rPr>
          <m:t>η</m:t>
        </m:r>
      </m:oMath>
      <w:r w:rsidRPr="007860F3">
        <w:rPr>
          <w:rFonts w:ascii="Arial" w:hAnsi="Arial" w:cs="Arial"/>
          <w:lang w:val="en-GB"/>
        </w:rPr>
        <w:t xml:space="preserve"> is Coulombic efficiency, and I is the current. </w:t>
      </w:r>
    </w:p>
    <w:p w14:paraId="59F29E90" w14:textId="77777777" w:rsidR="007860F3" w:rsidRPr="007860F3" w:rsidRDefault="007860F3" w:rsidP="00572FE2">
      <w:pPr>
        <w:pStyle w:val="Body"/>
        <w:spacing w:after="0"/>
        <w:rPr>
          <w:rFonts w:ascii="Arial" w:hAnsi="Arial" w:cs="Arial"/>
          <w:lang w:val="en-GB"/>
        </w:rPr>
      </w:pPr>
    </w:p>
    <w:p w14:paraId="4BB9EF5A" w14:textId="4E66B7F9" w:rsidR="007860F3" w:rsidRPr="007860F3" w:rsidRDefault="007860F3" w:rsidP="00572FE2">
      <w:pPr>
        <w:pStyle w:val="Body"/>
        <w:spacing w:after="0"/>
        <w:rPr>
          <w:rFonts w:ascii="Arial" w:hAnsi="Arial" w:cs="Arial"/>
          <w:lang w:val="en-GB"/>
        </w:rPr>
      </w:pPr>
      <w:r w:rsidRPr="007860F3">
        <w:rPr>
          <w:rFonts w:ascii="Arial" w:hAnsi="Arial" w:cs="Arial"/>
          <w:lang w:val="en-GB"/>
        </w:rPr>
        <w:t>Degradation mechanisms in lithium-ion and other advanced batteries are typically categorized into cycle ageing and calendar ageing. Cycle ageing depends on the depth-of-discharge (DoD), charge/discharge rates, and frequency of cycles, while calendar ageing is primarily influenced by temperature and storage conditions. Studies indicate that capacity can be reduced by approximately 10–20% over five years due to these mechanisms, even under moderate cycling conditions. Capacity fade (cycle ageing) of batteries is estimated using (13) [5</w:t>
      </w:r>
      <w:r w:rsidR="00AF2566">
        <w:rPr>
          <w:rFonts w:ascii="Arial" w:hAnsi="Arial" w:cs="Arial"/>
          <w:lang w:val="en-GB"/>
        </w:rPr>
        <w:t>4</w:t>
      </w:r>
      <w:r w:rsidRPr="007860F3">
        <w:rPr>
          <w:rFonts w:ascii="Arial" w:hAnsi="Arial" w:cs="Arial"/>
          <w:lang w:val="en-GB"/>
        </w:rPr>
        <w:t>].</w:t>
      </w:r>
    </w:p>
    <w:p w14:paraId="37201EE5" w14:textId="32FEF0B5" w:rsidR="007860F3" w:rsidRPr="007860F3" w:rsidRDefault="007860F3" w:rsidP="00572FE2">
      <w:pPr>
        <w:pStyle w:val="Body"/>
        <w:spacing w:after="0"/>
        <w:rPr>
          <w:rFonts w:ascii="Arial" w:hAnsi="Arial" w:cs="Arial"/>
          <w:lang w:val="en-GB"/>
        </w:rPr>
      </w:pPr>
      <w:r w:rsidRPr="007860F3">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loss</m:t>
            </m:r>
          </m:sub>
        </m:sSub>
        <m:r>
          <w:rPr>
            <w:rFonts w:ascii="Cambria Math" w:hAnsi="Cambria Math" w:cs="Arial"/>
            <w:lang w:val="en-GB"/>
          </w:rPr>
          <m:t>=α.</m:t>
        </m:r>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cycles</m:t>
            </m:r>
          </m:sub>
        </m:sSub>
        <m:sSup>
          <m:sSupPr>
            <m:ctrlPr>
              <w:rPr>
                <w:rFonts w:ascii="Cambria Math" w:hAnsi="Cambria Math" w:cs="Arial"/>
                <w:i/>
                <w:lang w:val="en-GB"/>
              </w:rPr>
            </m:ctrlPr>
          </m:sSupPr>
          <m:e>
            <m:d>
              <m:dPr>
                <m:ctrlPr>
                  <w:rPr>
                    <w:rFonts w:ascii="Cambria Math" w:hAnsi="Cambria Math" w:cs="Arial"/>
                    <w:i/>
                    <w:lang w:val="en-GB"/>
                  </w:rPr>
                </m:ctrlPr>
              </m:dPr>
              <m:e>
                <m:r>
                  <w:rPr>
                    <w:rFonts w:ascii="Cambria Math" w:hAnsi="Cambria Math" w:cs="Arial"/>
                    <w:lang w:val="en-GB"/>
                  </w:rPr>
                  <m:t>DoD</m:t>
                </m:r>
              </m:e>
            </m:d>
          </m:e>
          <m:sup>
            <m:r>
              <w:rPr>
                <w:rFonts w:ascii="Cambria Math" w:hAnsi="Cambria Math" w:cs="Arial"/>
                <w:lang w:val="en-GB"/>
              </w:rPr>
              <m:t>β</m:t>
            </m:r>
          </m:sup>
        </m:sSup>
      </m:oMath>
      <w:r w:rsidRPr="007860F3">
        <w:rPr>
          <w:rFonts w:ascii="Arial" w:hAnsi="Arial" w:cs="Arial"/>
          <w:lang w:val="en-GB"/>
        </w:rPr>
        <w:tab/>
      </w:r>
      <w:r w:rsidRPr="007860F3">
        <w:rPr>
          <w:rFonts w:ascii="Arial" w:hAnsi="Arial" w:cs="Arial"/>
          <w:lang w:val="en-GB"/>
        </w:rPr>
        <w:tab/>
      </w:r>
      <w:r w:rsidRPr="007860F3">
        <w:rPr>
          <w:rFonts w:ascii="Arial" w:hAnsi="Arial" w:cs="Arial"/>
          <w:lang w:val="en-GB"/>
        </w:rPr>
        <w:tab/>
      </w:r>
      <w:r w:rsidRPr="007860F3">
        <w:rPr>
          <w:rFonts w:ascii="Arial" w:hAnsi="Arial" w:cs="Arial"/>
          <w:lang w:val="en-GB"/>
        </w:rPr>
        <w:tab/>
      </w:r>
      <w:r w:rsidRPr="007860F3">
        <w:rPr>
          <w:rFonts w:ascii="Arial" w:hAnsi="Arial" w:cs="Arial"/>
          <w:lang w:val="en-GB"/>
        </w:rPr>
        <w:tab/>
      </w:r>
      <w:r w:rsidRPr="007860F3">
        <w:rPr>
          <w:rFonts w:ascii="Arial" w:hAnsi="Arial" w:cs="Arial"/>
          <w:lang w:val="en-GB"/>
        </w:rPr>
        <w:tab/>
      </w:r>
      <w:r w:rsidRPr="007860F3">
        <w:rPr>
          <w:rFonts w:ascii="Arial" w:hAnsi="Arial" w:cs="Arial"/>
          <w:lang w:val="en-GB"/>
        </w:rPr>
        <w:tab/>
        <w:t>(13)</w:t>
      </w:r>
    </w:p>
    <w:p w14:paraId="664E10CE" w14:textId="400E97F0" w:rsidR="007860F3" w:rsidRPr="007860F3" w:rsidRDefault="007860F3" w:rsidP="00572FE2">
      <w:pPr>
        <w:pStyle w:val="Body"/>
        <w:spacing w:after="0"/>
        <w:rPr>
          <w:rFonts w:ascii="Arial" w:hAnsi="Arial" w:cs="Arial"/>
          <w:lang w:val="en-GB"/>
        </w:rPr>
      </w:pPr>
      <w:r w:rsidRPr="007860F3">
        <w:rPr>
          <w:rFonts w:ascii="Arial" w:hAnsi="Arial" w:cs="Arial"/>
          <w:lang w:val="en-GB"/>
        </w:rPr>
        <w:lastRenderedPageBreak/>
        <w:t xml:space="preserve">where </w:t>
      </w:r>
      <w:r w:rsidRPr="007860F3">
        <w:rPr>
          <w:rFonts w:ascii="Arial" w:hAnsi="Arial" w:cs="Arial"/>
          <w:lang w:val="en-GB"/>
        </w:rPr>
        <w:tab/>
      </w:r>
      <m:oMath>
        <m:r>
          <w:rPr>
            <w:rFonts w:ascii="Cambria Math" w:hAnsi="Cambria Math" w:cs="Arial"/>
            <w:lang w:val="en-GB"/>
          </w:rPr>
          <m:t>α</m:t>
        </m:r>
      </m:oMath>
      <w:r w:rsidRPr="007860F3">
        <w:rPr>
          <w:rFonts w:ascii="Arial" w:hAnsi="Arial" w:cs="Arial"/>
          <w:lang w:val="en-GB"/>
        </w:rPr>
        <w:t xml:space="preserve">, </w:t>
      </w:r>
      <m:oMath>
        <m:r>
          <w:rPr>
            <w:rFonts w:ascii="Cambria Math" w:hAnsi="Cambria Math" w:cs="Arial"/>
            <w:lang w:val="en-GB"/>
          </w:rPr>
          <m:t>β</m:t>
        </m:r>
      </m:oMath>
      <w:r w:rsidRPr="007860F3">
        <w:rPr>
          <w:rFonts w:ascii="Arial" w:hAnsi="Arial" w:cs="Arial"/>
          <w:lang w:val="en-GB"/>
        </w:rPr>
        <w:t xml:space="preserve"> are empirical constants, </w:t>
      </w:r>
      <m:oMath>
        <m:sSub>
          <m:sSubPr>
            <m:ctrlPr>
              <w:rPr>
                <w:rFonts w:ascii="Cambria Math" w:hAnsi="Cambria Math" w:cs="Arial"/>
                <w:i/>
                <w:lang w:val="en-GB"/>
              </w:rPr>
            </m:ctrlPr>
          </m:sSubPr>
          <m:e>
            <m:r>
              <w:rPr>
                <w:rFonts w:ascii="Cambria Math" w:hAnsi="Cambria Math" w:cs="Arial"/>
                <w:lang w:val="en-GB"/>
              </w:rPr>
              <m:t>N</m:t>
            </m:r>
          </m:e>
          <m:sub>
            <m:r>
              <w:rPr>
                <w:rFonts w:ascii="Cambria Math" w:hAnsi="Cambria Math" w:cs="Arial"/>
                <w:lang w:val="en-GB"/>
              </w:rPr>
              <m:t>cycles</m:t>
            </m:r>
          </m:sub>
        </m:sSub>
      </m:oMath>
      <w:r w:rsidRPr="007860F3">
        <w:rPr>
          <w:rFonts w:ascii="Arial" w:hAnsi="Arial" w:cs="Arial"/>
          <w:lang w:val="en-GB"/>
        </w:rPr>
        <w:t xml:space="preserve"> is the number of charges/discharge cycles, and DoD is the depth of discharge.</w:t>
      </w:r>
    </w:p>
    <w:p w14:paraId="5BE791F7" w14:textId="5BEF1F0A" w:rsidR="007860F3" w:rsidRPr="007860F3" w:rsidRDefault="007860F3" w:rsidP="00572FE2">
      <w:pPr>
        <w:pStyle w:val="Body"/>
        <w:spacing w:after="0"/>
        <w:rPr>
          <w:rFonts w:ascii="Arial" w:hAnsi="Arial" w:cs="Arial"/>
          <w:lang w:val="en-GB"/>
        </w:rPr>
      </w:pPr>
      <w:r w:rsidRPr="007860F3">
        <w:rPr>
          <w:rFonts w:ascii="Arial" w:hAnsi="Arial" w:cs="Arial"/>
          <w:lang w:val="en-GB"/>
        </w:rPr>
        <w:t>Some authors have also used the Kalman filter for SOC estimation, as given in (14) [5</w:t>
      </w:r>
      <w:r w:rsidR="00AF2566">
        <w:rPr>
          <w:rFonts w:ascii="Arial" w:hAnsi="Arial" w:cs="Arial"/>
          <w:lang w:val="en-GB"/>
        </w:rPr>
        <w:t>5</w:t>
      </w:r>
      <w:r w:rsidRPr="007860F3">
        <w:rPr>
          <w:rFonts w:ascii="Arial" w:hAnsi="Arial" w:cs="Arial"/>
          <w:lang w:val="en-GB"/>
        </w:rPr>
        <w:t>].</w:t>
      </w:r>
    </w:p>
    <w:p w14:paraId="5DD7967B" w14:textId="29DB81D3" w:rsidR="007860F3" w:rsidRPr="007860F3" w:rsidRDefault="007860F3" w:rsidP="00572FE2">
      <w:pPr>
        <w:pStyle w:val="Body"/>
        <w:spacing w:after="0"/>
        <w:rPr>
          <w:rFonts w:ascii="Arial" w:hAnsi="Arial" w:cs="Arial"/>
          <w:lang w:val="en-GB"/>
        </w:rPr>
      </w:pPr>
      <w:r w:rsidRPr="007860F3">
        <w:rPr>
          <w:rFonts w:ascii="Arial" w:hAnsi="Arial" w:cs="Arial"/>
          <w:lang w:val="en-GB"/>
        </w:rPr>
        <w:tab/>
      </w:r>
      <m:oMath>
        <m:sSub>
          <m:sSubPr>
            <m:ctrlPr>
              <w:rPr>
                <w:rFonts w:ascii="Cambria Math" w:hAnsi="Cambria Math" w:cs="Arial"/>
                <w:i/>
                <w:lang w:val="en-GB"/>
              </w:rPr>
            </m:ctrlPr>
          </m:sSubPr>
          <m:e>
            <m:acc>
              <m:accPr>
                <m:ctrlPr>
                  <w:rPr>
                    <w:rFonts w:ascii="Cambria Math" w:hAnsi="Cambria Math" w:cs="Arial"/>
                    <w:i/>
                    <w:lang w:val="en-GB"/>
                  </w:rPr>
                </m:ctrlPr>
              </m:accPr>
              <m:e>
                <m:r>
                  <w:rPr>
                    <w:rFonts w:ascii="Cambria Math" w:hAnsi="Cambria Math" w:cs="Arial"/>
                    <w:lang w:val="en-GB"/>
                  </w:rPr>
                  <m:t>x</m:t>
                </m:r>
              </m:e>
            </m:acc>
          </m:e>
          <m:sub>
            <m:r>
              <w:rPr>
                <w:rFonts w:ascii="Cambria Math" w:hAnsi="Cambria Math" w:cs="Arial"/>
                <w:lang w:val="en-GB"/>
              </w:rPr>
              <m:t>k</m:t>
            </m:r>
          </m:sub>
        </m:sSub>
        <m:r>
          <w:rPr>
            <w:rFonts w:ascii="Cambria Math" w:hAnsi="Cambria Math" w:cs="Arial"/>
            <w:lang w:val="en-GB"/>
          </w:rPr>
          <m:t>=A</m:t>
        </m:r>
        <m:sSub>
          <m:sSubPr>
            <m:ctrlPr>
              <w:rPr>
                <w:rFonts w:ascii="Cambria Math" w:hAnsi="Cambria Math" w:cs="Arial"/>
                <w:i/>
                <w:lang w:val="en-GB"/>
              </w:rPr>
            </m:ctrlPr>
          </m:sSubPr>
          <m:e>
            <m:acc>
              <m:accPr>
                <m:ctrlPr>
                  <w:rPr>
                    <w:rFonts w:ascii="Cambria Math" w:hAnsi="Cambria Math" w:cs="Arial"/>
                    <w:i/>
                    <w:lang w:val="en-GB"/>
                  </w:rPr>
                </m:ctrlPr>
              </m:accPr>
              <m:e>
                <m:r>
                  <w:rPr>
                    <w:rFonts w:ascii="Cambria Math" w:hAnsi="Cambria Math" w:cs="Arial"/>
                    <w:lang w:val="en-GB"/>
                  </w:rPr>
                  <m:t>x</m:t>
                </m:r>
              </m:e>
            </m:acc>
          </m:e>
          <m:sub>
            <m:r>
              <w:rPr>
                <w:rFonts w:ascii="Cambria Math" w:hAnsi="Cambria Math" w:cs="Arial"/>
                <w:lang w:val="en-GB"/>
              </w:rPr>
              <m:t>k-1</m:t>
            </m:r>
          </m:sub>
        </m:sSub>
        <m:r>
          <w:rPr>
            <w:rFonts w:ascii="Cambria Math" w:hAnsi="Cambria Math" w:cs="Arial"/>
            <w:lang w:val="en-GB"/>
          </w:rPr>
          <m:t>+B</m:t>
        </m:r>
        <m:sSub>
          <m:sSubPr>
            <m:ctrlPr>
              <w:rPr>
                <w:rFonts w:ascii="Cambria Math" w:hAnsi="Cambria Math" w:cs="Arial"/>
                <w:i/>
                <w:lang w:val="en-GB"/>
              </w:rPr>
            </m:ctrlPr>
          </m:sSubPr>
          <m:e>
            <m:r>
              <w:rPr>
                <w:rFonts w:ascii="Cambria Math" w:hAnsi="Cambria Math" w:cs="Arial"/>
                <w:lang w:val="en-GB"/>
              </w:rPr>
              <m:t>u</m:t>
            </m:r>
          </m:e>
          <m:sub>
            <m:r>
              <w:rPr>
                <w:rFonts w:ascii="Cambria Math" w:hAnsi="Cambria Math" w:cs="Arial"/>
                <w:lang w:val="en-GB"/>
              </w:rPr>
              <m:t>k</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k</m:t>
            </m:r>
          </m:sub>
        </m:sSub>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z</m:t>
                </m:r>
              </m:e>
              <m:sub>
                <m:r>
                  <w:rPr>
                    <w:rFonts w:ascii="Cambria Math" w:hAnsi="Cambria Math" w:cs="Arial"/>
                    <w:lang w:val="en-GB"/>
                  </w:rPr>
                  <m:t>k</m:t>
                </m:r>
              </m:sub>
            </m:sSub>
            <m:r>
              <w:rPr>
                <w:rFonts w:ascii="Cambria Math" w:hAnsi="Cambria Math" w:cs="Arial"/>
                <w:lang w:val="en-GB"/>
              </w:rPr>
              <m:t>-H</m:t>
            </m:r>
            <m:sSub>
              <m:sSubPr>
                <m:ctrlPr>
                  <w:rPr>
                    <w:rFonts w:ascii="Cambria Math" w:hAnsi="Cambria Math" w:cs="Arial"/>
                    <w:i/>
                    <w:lang w:val="en-GB"/>
                  </w:rPr>
                </m:ctrlPr>
              </m:sSubPr>
              <m:e>
                <m:acc>
                  <m:accPr>
                    <m:ctrlPr>
                      <w:rPr>
                        <w:rFonts w:ascii="Cambria Math" w:hAnsi="Cambria Math" w:cs="Arial"/>
                        <w:i/>
                        <w:lang w:val="en-GB"/>
                      </w:rPr>
                    </m:ctrlPr>
                  </m:accPr>
                  <m:e>
                    <m:r>
                      <w:rPr>
                        <w:rFonts w:ascii="Cambria Math" w:hAnsi="Cambria Math" w:cs="Arial"/>
                        <w:lang w:val="en-GB"/>
                      </w:rPr>
                      <m:t>x</m:t>
                    </m:r>
                  </m:e>
                </m:acc>
              </m:e>
              <m:sub>
                <m:r>
                  <w:rPr>
                    <w:rFonts w:ascii="Cambria Math" w:hAnsi="Cambria Math" w:cs="Arial"/>
                    <w:lang w:val="en-GB"/>
                  </w:rPr>
                  <m:t>k-1</m:t>
                </m:r>
              </m:sub>
            </m:sSub>
          </m:e>
        </m:d>
      </m:oMath>
      <w:r w:rsidRPr="007860F3">
        <w:rPr>
          <w:rFonts w:ascii="Arial" w:hAnsi="Arial" w:cs="Arial"/>
          <w:lang w:val="en-GB"/>
        </w:rPr>
        <w:tab/>
      </w:r>
      <w:r w:rsidRPr="007860F3">
        <w:rPr>
          <w:rFonts w:ascii="Arial" w:hAnsi="Arial" w:cs="Arial"/>
          <w:lang w:val="en-GB"/>
        </w:rPr>
        <w:tab/>
      </w:r>
      <w:r w:rsidRPr="007860F3">
        <w:rPr>
          <w:rFonts w:ascii="Arial" w:hAnsi="Arial" w:cs="Arial"/>
          <w:lang w:val="en-GB"/>
        </w:rPr>
        <w:tab/>
      </w:r>
      <w:r w:rsidRPr="007860F3">
        <w:rPr>
          <w:rFonts w:ascii="Arial" w:hAnsi="Arial" w:cs="Arial"/>
          <w:lang w:val="en-GB"/>
        </w:rPr>
        <w:tab/>
      </w:r>
      <w:r w:rsidRPr="007860F3">
        <w:rPr>
          <w:rFonts w:ascii="Arial" w:hAnsi="Arial" w:cs="Arial"/>
          <w:lang w:val="en-GB"/>
        </w:rPr>
        <w:tab/>
        <w:t>(14)</w:t>
      </w:r>
    </w:p>
    <w:p w14:paraId="32B4E026" w14:textId="548A85B8" w:rsidR="007860F3" w:rsidRDefault="007860F3" w:rsidP="00572FE2">
      <w:pPr>
        <w:pStyle w:val="Body"/>
        <w:spacing w:after="0"/>
        <w:rPr>
          <w:rFonts w:ascii="Arial" w:hAnsi="Arial" w:cs="Arial"/>
          <w:lang w:val="en-GB"/>
        </w:rPr>
      </w:pPr>
      <w:r w:rsidRPr="007860F3">
        <w:rPr>
          <w:rFonts w:ascii="Arial" w:hAnsi="Arial" w:cs="Arial"/>
          <w:lang w:val="en-GB"/>
        </w:rPr>
        <w:t xml:space="preserve">where </w:t>
      </w:r>
      <m:oMath>
        <m:sSub>
          <m:sSubPr>
            <m:ctrlPr>
              <w:rPr>
                <w:rFonts w:ascii="Cambria Math" w:hAnsi="Cambria Math" w:cs="Arial"/>
                <w:i/>
                <w:lang w:val="en-GB"/>
              </w:rPr>
            </m:ctrlPr>
          </m:sSubPr>
          <m:e>
            <m:acc>
              <m:accPr>
                <m:ctrlPr>
                  <w:rPr>
                    <w:rFonts w:ascii="Cambria Math" w:hAnsi="Cambria Math" w:cs="Arial"/>
                    <w:i/>
                    <w:lang w:val="en-GB"/>
                  </w:rPr>
                </m:ctrlPr>
              </m:accPr>
              <m:e>
                <m:r>
                  <w:rPr>
                    <w:rFonts w:ascii="Cambria Math" w:hAnsi="Cambria Math" w:cs="Arial"/>
                    <w:lang w:val="en-GB"/>
                  </w:rPr>
                  <m:t>x</m:t>
                </m:r>
              </m:e>
            </m:acc>
          </m:e>
          <m:sub>
            <m:r>
              <w:rPr>
                <w:rFonts w:ascii="Cambria Math" w:hAnsi="Cambria Math" w:cs="Arial"/>
                <w:lang w:val="en-GB"/>
              </w:rPr>
              <m:t>k</m:t>
            </m:r>
          </m:sub>
        </m:sSub>
      </m:oMath>
      <w:r w:rsidRPr="007860F3">
        <w:rPr>
          <w:rFonts w:ascii="Arial" w:hAnsi="Arial" w:cs="Arial"/>
          <w:lang w:val="en-GB"/>
        </w:rPr>
        <w:t xml:space="preserve"> is the updated SOC estimate, </w:t>
      </w:r>
      <m:oMath>
        <m:sSub>
          <m:sSubPr>
            <m:ctrlPr>
              <w:rPr>
                <w:rFonts w:ascii="Cambria Math" w:hAnsi="Cambria Math" w:cs="Arial"/>
                <w:i/>
                <w:lang w:val="en-GB"/>
              </w:rPr>
            </m:ctrlPr>
          </m:sSubPr>
          <m:e>
            <m:r>
              <w:rPr>
                <w:rFonts w:ascii="Cambria Math" w:hAnsi="Cambria Math" w:cs="Arial"/>
                <w:lang w:val="en-GB"/>
              </w:rPr>
              <m:t>z</m:t>
            </m:r>
          </m:e>
          <m:sub>
            <m:r>
              <w:rPr>
                <w:rFonts w:ascii="Cambria Math" w:hAnsi="Cambria Math" w:cs="Arial"/>
                <w:lang w:val="en-GB"/>
              </w:rPr>
              <m:t>k</m:t>
            </m:r>
          </m:sub>
        </m:sSub>
      </m:oMath>
      <w:r w:rsidRPr="007860F3">
        <w:rPr>
          <w:rFonts w:ascii="Arial" w:hAnsi="Arial" w:cs="Arial"/>
          <w:lang w:val="en-GB"/>
        </w:rPr>
        <w:t xml:space="preserve"> is the sensor measurements (voltage and current) and </w:t>
      </w:r>
      <m:oMath>
        <m:sSub>
          <m:sSubPr>
            <m:ctrlPr>
              <w:rPr>
                <w:rFonts w:ascii="Cambria Math" w:hAnsi="Cambria Math" w:cs="Arial"/>
                <w:i/>
                <w:lang w:val="en-GB"/>
              </w:rPr>
            </m:ctrlPr>
          </m:sSubPr>
          <m:e>
            <m:r>
              <w:rPr>
                <w:rFonts w:ascii="Cambria Math" w:hAnsi="Cambria Math" w:cs="Arial"/>
                <w:lang w:val="en-GB"/>
              </w:rPr>
              <m:t>K</m:t>
            </m:r>
          </m:e>
          <m:sub>
            <m:r>
              <w:rPr>
                <w:rFonts w:ascii="Cambria Math" w:hAnsi="Cambria Math" w:cs="Arial"/>
                <w:lang w:val="en-GB"/>
              </w:rPr>
              <m:t>k</m:t>
            </m:r>
          </m:sub>
        </m:sSub>
      </m:oMath>
      <w:r w:rsidRPr="007860F3">
        <w:rPr>
          <w:rFonts w:ascii="Arial" w:hAnsi="Arial" w:cs="Arial"/>
          <w:lang w:val="en-GB"/>
        </w:rPr>
        <w:t xml:space="preserve"> is the Kalman gain matrix.</w:t>
      </w:r>
    </w:p>
    <w:p w14:paraId="734BA0E0" w14:textId="77777777" w:rsidR="00572FE2" w:rsidRPr="007860F3" w:rsidRDefault="00572FE2" w:rsidP="00572FE2">
      <w:pPr>
        <w:pStyle w:val="Body"/>
        <w:spacing w:after="0"/>
        <w:rPr>
          <w:rFonts w:ascii="Arial" w:hAnsi="Arial" w:cs="Arial"/>
          <w:lang w:val="en-GB"/>
        </w:rPr>
      </w:pPr>
    </w:p>
    <w:p w14:paraId="6007E81F" w14:textId="7E43B24A" w:rsidR="007860F3" w:rsidRPr="007860F3" w:rsidRDefault="007860F3" w:rsidP="00572FE2">
      <w:pPr>
        <w:pStyle w:val="Body"/>
        <w:spacing w:after="0"/>
        <w:rPr>
          <w:rFonts w:ascii="Arial" w:hAnsi="Arial" w:cs="Arial"/>
          <w:lang w:val="en-GB"/>
        </w:rPr>
      </w:pPr>
      <w:r w:rsidRPr="007860F3">
        <w:rPr>
          <w:rFonts w:ascii="Arial" w:hAnsi="Arial" w:cs="Arial"/>
          <w:lang w:val="en-GB"/>
        </w:rPr>
        <w:t>Therefore, modern battery models incorporate empirical or semi-empirical degradation functions that dynamically update internal resistance, capacity fade, and efficiency over time. This allows more realistic performance and maintenance scheduling prediction in HRMs, especially for long-term planning [5</w:t>
      </w:r>
      <w:r w:rsidR="008E5764">
        <w:rPr>
          <w:rFonts w:ascii="Arial" w:hAnsi="Arial" w:cs="Arial"/>
          <w:lang w:val="en-GB"/>
        </w:rPr>
        <w:t>6</w:t>
      </w:r>
      <w:r w:rsidRPr="007860F3">
        <w:rPr>
          <w:rFonts w:ascii="Arial" w:hAnsi="Arial" w:cs="Arial"/>
          <w:lang w:val="en-GB"/>
        </w:rPr>
        <w:t>].</w:t>
      </w:r>
    </w:p>
    <w:p w14:paraId="2A60D0B1" w14:textId="77777777" w:rsidR="007860F3" w:rsidRPr="007860F3" w:rsidRDefault="007860F3" w:rsidP="00572FE2">
      <w:pPr>
        <w:pStyle w:val="Body"/>
        <w:spacing w:after="0"/>
        <w:rPr>
          <w:rFonts w:ascii="Arial" w:hAnsi="Arial" w:cs="Arial"/>
          <w:lang w:val="en-GB"/>
        </w:rPr>
      </w:pPr>
    </w:p>
    <w:p w14:paraId="75142AFB" w14:textId="71F938AB" w:rsidR="00CD079B" w:rsidRDefault="007860F3" w:rsidP="007860F3">
      <w:pPr>
        <w:pStyle w:val="Body"/>
        <w:spacing w:after="0"/>
        <w:rPr>
          <w:rFonts w:ascii="Arial" w:hAnsi="Arial" w:cs="Arial"/>
          <w:lang w:val="en-GB"/>
        </w:rPr>
      </w:pPr>
      <w:r w:rsidRPr="007860F3">
        <w:rPr>
          <w:rFonts w:ascii="Arial" w:hAnsi="Arial" w:cs="Arial"/>
          <w:lang w:val="en-GB"/>
        </w:rPr>
        <w:t>Accurate SOC management is equally vital, as errors in estimating the battery’s charge level can lead to overcharging, deep discharging, and reduced battery life. Coulomb counting is the most widely adopted technique, integrating current over time to estimate SOC. However, due to sensor drift and non-linear behaviour under varying temperatures and loads, Coulomb counting alone may yield significant errors. To overcome this, Kalman filter-based algorithms correct and refine SOC estimates in real-time. These methods have demonstrated SOC estimation errors of less than 2%, making them highly reliable for embedded EMS. Incorporating such algorithms in HRM simulations ensures robust control, extends battery lifespan, and improves system-wide efficiency [5</w:t>
      </w:r>
      <w:r w:rsidR="008E5764">
        <w:rPr>
          <w:rFonts w:ascii="Arial" w:hAnsi="Arial" w:cs="Arial"/>
          <w:lang w:val="en-GB"/>
        </w:rPr>
        <w:t>7</w:t>
      </w:r>
      <w:r w:rsidRPr="007860F3">
        <w:rPr>
          <w:rFonts w:ascii="Arial" w:hAnsi="Arial" w:cs="Arial"/>
          <w:lang w:val="en-GB"/>
        </w:rPr>
        <w:t>].</w:t>
      </w:r>
    </w:p>
    <w:p w14:paraId="4E1DCDAF" w14:textId="77777777" w:rsidR="00D145E8" w:rsidRDefault="00D145E8" w:rsidP="007860F3">
      <w:pPr>
        <w:pStyle w:val="Body"/>
        <w:spacing w:after="0"/>
        <w:rPr>
          <w:rFonts w:ascii="Arial" w:hAnsi="Arial" w:cs="Arial"/>
          <w:lang w:val="en-GB"/>
        </w:rPr>
      </w:pPr>
    </w:p>
    <w:p w14:paraId="0690BB8B" w14:textId="4DE86620" w:rsidR="000916FE" w:rsidRDefault="000916FE" w:rsidP="000916FE">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5</w:t>
      </w:r>
      <w:r w:rsidRPr="00C30A0F">
        <w:rPr>
          <w:rFonts w:ascii="Arial" w:hAnsi="Arial" w:cs="Arial"/>
          <w:b/>
          <w:caps/>
          <w:sz w:val="22"/>
        </w:rPr>
        <w:t xml:space="preserve"> </w:t>
      </w:r>
      <w:r w:rsidRPr="000916FE">
        <w:rPr>
          <w:rFonts w:ascii="Arial" w:hAnsi="Arial" w:cs="Arial"/>
          <w:b/>
          <w:bCs/>
          <w:sz w:val="22"/>
          <w:lang w:val="en-GB"/>
        </w:rPr>
        <w:t>Load Demand</w:t>
      </w:r>
      <w:r w:rsidRPr="00FB3A86">
        <w:rPr>
          <w:rFonts w:ascii="Arial" w:hAnsi="Arial" w:cs="Arial"/>
        </w:rPr>
        <w:t xml:space="preserve"> </w:t>
      </w:r>
    </w:p>
    <w:p w14:paraId="797784AE" w14:textId="77777777" w:rsidR="000916FE" w:rsidRDefault="000916FE" w:rsidP="000916FE">
      <w:pPr>
        <w:pStyle w:val="Body"/>
        <w:spacing w:after="0"/>
        <w:rPr>
          <w:rFonts w:ascii="Arial" w:hAnsi="Arial" w:cs="Arial"/>
        </w:rPr>
      </w:pPr>
    </w:p>
    <w:p w14:paraId="2F28650D" w14:textId="56B32C3D" w:rsidR="000916FE" w:rsidRPr="000916FE" w:rsidRDefault="000916FE" w:rsidP="00C37F9E">
      <w:pPr>
        <w:pStyle w:val="Body"/>
        <w:spacing w:after="0"/>
        <w:rPr>
          <w:rFonts w:ascii="Arial" w:hAnsi="Arial" w:cs="Arial"/>
          <w:lang w:val="en-GB"/>
        </w:rPr>
      </w:pPr>
      <w:r w:rsidRPr="000916FE">
        <w:rPr>
          <w:rFonts w:ascii="Arial" w:hAnsi="Arial" w:cs="Arial"/>
          <w:lang w:val="en-GB"/>
        </w:rPr>
        <w:t>Load demand modelling is a cornerstone of Hybrid Renewable Microgrid (HRM) design and operation. It directly influences the sizing of generation and storage units, dispatch optimization, and system stability. Unlike centralized grids with more predictable aggregate loads, microgrids often serve small, localized communities or industrial clusters, where demand profiles can be highly variable and non-linear. Precise load forecasting and adaptive demand response (DR) mechanisms are critical for maintaining supply-demand balance and minimizing operational costs. These models must also capture socio-economic factors, occupancy behaviour, and seasonal or temporal consumption trends [5</w:t>
      </w:r>
      <w:r w:rsidR="007C46E8">
        <w:rPr>
          <w:rFonts w:ascii="Arial" w:hAnsi="Arial" w:cs="Arial"/>
          <w:lang w:val="en-GB"/>
        </w:rPr>
        <w:t>8</w:t>
      </w:r>
      <w:r w:rsidRPr="000916FE">
        <w:rPr>
          <w:rFonts w:ascii="Arial" w:hAnsi="Arial" w:cs="Arial"/>
          <w:lang w:val="en-GB"/>
        </w:rPr>
        <w:t>].</w:t>
      </w:r>
    </w:p>
    <w:p w14:paraId="3BB9649C" w14:textId="77777777" w:rsidR="000916FE" w:rsidRPr="000916FE" w:rsidRDefault="000916FE" w:rsidP="00C37F9E">
      <w:pPr>
        <w:pStyle w:val="Body"/>
        <w:spacing w:after="0"/>
        <w:rPr>
          <w:rFonts w:ascii="Arial" w:hAnsi="Arial" w:cs="Arial"/>
          <w:lang w:val="en-GB"/>
        </w:rPr>
      </w:pPr>
    </w:p>
    <w:p w14:paraId="52559A0D" w14:textId="677F7A49" w:rsidR="000916FE" w:rsidRPr="000916FE" w:rsidRDefault="000916FE" w:rsidP="00C37F9E">
      <w:pPr>
        <w:pStyle w:val="Body"/>
        <w:spacing w:after="0"/>
        <w:rPr>
          <w:rFonts w:ascii="Arial" w:hAnsi="Arial" w:cs="Arial"/>
          <w:lang w:val="en-GB"/>
        </w:rPr>
      </w:pPr>
      <w:r w:rsidRPr="000916FE">
        <w:rPr>
          <w:rFonts w:ascii="Arial" w:hAnsi="Arial" w:cs="Arial"/>
          <w:lang w:val="en-GB"/>
        </w:rPr>
        <w:t>Probabilistic forecasting methods such as Monte Carlo simulations represent variability and uncertainty in load patterns. These simulations generate thousands of possible load profiles based on historical data distributions and stochastic variables, capturing uncertainties arising from daily usage habits, appliance scheduling, and industrial processes. Typically, residential and commercial loads can fluctuate within a ±15% margin, and Monte Carlo methods enable planners to evaluate worst-case, average, and best-case scenarios as mathematically represented in (15) [5</w:t>
      </w:r>
      <w:r w:rsidR="007C46E8">
        <w:rPr>
          <w:rFonts w:ascii="Arial" w:hAnsi="Arial" w:cs="Arial"/>
          <w:lang w:val="en-GB"/>
        </w:rPr>
        <w:t>9</w:t>
      </w:r>
      <w:r w:rsidRPr="000916FE">
        <w:rPr>
          <w:rFonts w:ascii="Arial" w:hAnsi="Arial" w:cs="Arial"/>
          <w:lang w:val="en-GB"/>
        </w:rPr>
        <w:t>].</w:t>
      </w:r>
    </w:p>
    <w:p w14:paraId="3903B559" w14:textId="615F80D5" w:rsidR="000916FE" w:rsidRPr="000916FE" w:rsidRDefault="000916FE" w:rsidP="00C37F9E">
      <w:pPr>
        <w:pStyle w:val="Body"/>
        <w:spacing w:after="0"/>
        <w:rPr>
          <w:rFonts w:ascii="Arial" w:hAnsi="Arial" w:cs="Arial"/>
          <w:lang w:val="en-GB"/>
        </w:rPr>
      </w:pPr>
      <w:r w:rsidRPr="000916FE">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load</m:t>
            </m:r>
          </m:sub>
        </m:sSub>
        <m:d>
          <m:dPr>
            <m:ctrlPr>
              <w:rPr>
                <w:rFonts w:ascii="Cambria Math" w:hAnsi="Cambria Math" w:cs="Arial"/>
                <w:i/>
                <w:lang w:val="en-GB"/>
              </w:rPr>
            </m:ctrlPr>
          </m:dPr>
          <m:e>
            <m:r>
              <w:rPr>
                <w:rFonts w:ascii="Cambria Math" w:hAnsi="Cambria Math" w:cs="Arial"/>
                <w:lang w:val="en-GB"/>
              </w:rPr>
              <m:t>t</m:t>
            </m:r>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base</m:t>
            </m:r>
          </m:sub>
        </m:sSub>
        <m:r>
          <w:rPr>
            <w:rFonts w:ascii="Cambria Math" w:hAnsi="Cambria Math" w:cs="Arial"/>
            <w:lang w:val="en-GB"/>
          </w:rPr>
          <m:t>+</m:t>
        </m:r>
        <m:nary>
          <m:naryPr>
            <m:chr m:val="∑"/>
            <m:limLoc m:val="undOvr"/>
            <m:ctrlPr>
              <w:rPr>
                <w:rFonts w:ascii="Cambria Math" w:hAnsi="Cambria Math" w:cs="Arial"/>
                <w:i/>
                <w:lang w:val="en-GB"/>
              </w:rPr>
            </m:ctrlPr>
          </m:naryPr>
          <m:sub>
            <m:r>
              <w:rPr>
                <w:rFonts w:ascii="Cambria Math" w:hAnsi="Cambria Math" w:cs="Arial"/>
                <w:lang w:val="en-GB"/>
              </w:rPr>
              <m:t>i=1</m:t>
            </m:r>
          </m:sub>
          <m:sup>
            <m:r>
              <w:rPr>
                <w:rFonts w:ascii="Cambria Math" w:hAnsi="Cambria Math" w:cs="Arial"/>
                <w:lang w:val="en-GB"/>
              </w:rPr>
              <m:t>n</m:t>
            </m:r>
          </m:sup>
          <m:e>
            <m:sSub>
              <m:sSubPr>
                <m:ctrlPr>
                  <w:rPr>
                    <w:rFonts w:ascii="Cambria Math" w:hAnsi="Cambria Math" w:cs="Arial"/>
                    <w:i/>
                    <w:lang w:val="en-GB"/>
                  </w:rPr>
                </m:ctrlPr>
              </m:sSubPr>
              <m:e>
                <m:r>
                  <w:rPr>
                    <w:rFonts w:ascii="Cambria Math" w:hAnsi="Cambria Math" w:cs="Arial"/>
                    <w:lang w:val="en-GB"/>
                  </w:rPr>
                  <m:t>ϵ</m:t>
                </m:r>
              </m:e>
              <m:sub>
                <m:r>
                  <w:rPr>
                    <w:rFonts w:ascii="Cambria Math" w:hAnsi="Cambria Math" w:cs="Arial"/>
                    <w:lang w:val="en-GB"/>
                  </w:rPr>
                  <m:t>i</m:t>
                </m:r>
              </m:sub>
            </m:sSub>
            <m:d>
              <m:dPr>
                <m:ctrlPr>
                  <w:rPr>
                    <w:rFonts w:ascii="Cambria Math" w:hAnsi="Cambria Math" w:cs="Arial"/>
                    <w:i/>
                    <w:lang w:val="en-GB"/>
                  </w:rPr>
                </m:ctrlPr>
              </m:dPr>
              <m:e>
                <m:r>
                  <w:rPr>
                    <w:rFonts w:ascii="Cambria Math" w:hAnsi="Cambria Math" w:cs="Arial"/>
                    <w:lang w:val="en-GB"/>
                  </w:rPr>
                  <m:t>t</m:t>
                </m:r>
              </m:e>
            </m:d>
          </m:e>
        </m:nary>
      </m:oMath>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t>(15)</w:t>
      </w:r>
    </w:p>
    <w:p w14:paraId="5E50DBE4" w14:textId="1296A70C" w:rsidR="000916FE" w:rsidRPr="000916FE" w:rsidRDefault="000916FE" w:rsidP="00C37F9E">
      <w:pPr>
        <w:pStyle w:val="Body"/>
        <w:spacing w:after="0"/>
        <w:rPr>
          <w:rFonts w:ascii="Arial" w:hAnsi="Arial" w:cs="Arial"/>
          <w:lang w:val="en-GB"/>
        </w:rPr>
      </w:pPr>
      <w:r w:rsidRPr="000916FE">
        <w:rPr>
          <w:rFonts w:ascii="Arial" w:hAnsi="Arial" w:cs="Arial"/>
          <w:lang w:val="en-GB"/>
        </w:rPr>
        <w:t xml:space="preserve">where </w:t>
      </w:r>
      <m:oMath>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base</m:t>
            </m:r>
          </m:sub>
        </m:sSub>
      </m:oMath>
      <w:r w:rsidRPr="000916FE">
        <w:rPr>
          <w:rFonts w:ascii="Arial" w:hAnsi="Arial" w:cs="Arial"/>
          <w:lang w:val="en-GB"/>
        </w:rPr>
        <w:t xml:space="preserve"> is the deterministic base load, </w:t>
      </w:r>
      <m:oMath>
        <m:sSub>
          <m:sSubPr>
            <m:ctrlPr>
              <w:rPr>
                <w:rFonts w:ascii="Cambria Math" w:hAnsi="Cambria Math" w:cs="Arial"/>
                <w:i/>
                <w:lang w:val="en-GB"/>
              </w:rPr>
            </m:ctrlPr>
          </m:sSubPr>
          <m:e>
            <m:r>
              <w:rPr>
                <w:rFonts w:ascii="Cambria Math" w:hAnsi="Cambria Math" w:cs="Arial"/>
                <w:lang w:val="en-GB"/>
              </w:rPr>
              <m:t>ϵ</m:t>
            </m:r>
          </m:e>
          <m:sub>
            <m:r>
              <w:rPr>
                <w:rFonts w:ascii="Cambria Math" w:hAnsi="Cambria Math" w:cs="Arial"/>
                <w:lang w:val="en-GB"/>
              </w:rPr>
              <m:t>i</m:t>
            </m:r>
          </m:sub>
        </m:sSub>
        <m:r>
          <m:rPr>
            <m:scr m:val="script"/>
          </m:rPr>
          <w:rPr>
            <w:rFonts w:ascii="Cambria Math" w:hAnsi="Cambria Math" w:cs="Arial"/>
            <w:lang w:val="en-GB"/>
          </w:rPr>
          <m:t>~N</m:t>
        </m:r>
        <m:d>
          <m:dPr>
            <m:ctrlPr>
              <w:rPr>
                <w:rFonts w:ascii="Cambria Math" w:hAnsi="Cambria Math" w:cs="Arial"/>
                <w:i/>
                <w:lang w:val="en-GB"/>
              </w:rPr>
            </m:ctrlPr>
          </m:dPr>
          <m:e>
            <m:r>
              <w:rPr>
                <w:rFonts w:ascii="Cambria Math" w:hAnsi="Cambria Math" w:cs="Arial"/>
                <w:lang w:val="en-GB"/>
              </w:rPr>
              <m:t>0,</m:t>
            </m:r>
            <m:sSup>
              <m:sSupPr>
                <m:ctrlPr>
                  <w:rPr>
                    <w:rFonts w:ascii="Cambria Math" w:hAnsi="Cambria Math" w:cs="Arial"/>
                    <w:i/>
                    <w:lang w:val="en-GB"/>
                  </w:rPr>
                </m:ctrlPr>
              </m:sSupPr>
              <m:e>
                <m:r>
                  <w:rPr>
                    <w:rFonts w:ascii="Cambria Math" w:hAnsi="Cambria Math" w:cs="Arial"/>
                    <w:lang w:val="en-GB"/>
                  </w:rPr>
                  <m:t>σ</m:t>
                </m:r>
              </m:e>
              <m:sup>
                <m:r>
                  <w:rPr>
                    <w:rFonts w:ascii="Cambria Math" w:hAnsi="Cambria Math" w:cs="Arial"/>
                    <w:lang w:val="en-GB"/>
                  </w:rPr>
                  <m:t>2</m:t>
                </m:r>
              </m:sup>
            </m:sSup>
          </m:e>
        </m:d>
      </m:oMath>
      <w:r w:rsidRPr="000916FE">
        <w:rPr>
          <w:rFonts w:ascii="Arial" w:hAnsi="Arial" w:cs="Arial"/>
          <w:lang w:val="en-GB"/>
        </w:rPr>
        <w:t xml:space="preserve"> is the stochastic load deviation, and </w:t>
      </w:r>
      <m:oMath>
        <m:r>
          <w:rPr>
            <w:rFonts w:ascii="Cambria Math" w:hAnsi="Cambria Math" w:cs="Arial"/>
            <w:lang w:val="en-GB"/>
          </w:rPr>
          <m:t>σ</m:t>
        </m:r>
      </m:oMath>
      <w:r w:rsidRPr="000916FE">
        <w:rPr>
          <w:rFonts w:ascii="Arial" w:hAnsi="Arial" w:cs="Arial"/>
          <w:lang w:val="en-GB"/>
        </w:rPr>
        <w:t xml:space="preserve"> is the standard deviation of load variability.</w:t>
      </w:r>
    </w:p>
    <w:p w14:paraId="5F109B62" w14:textId="77777777" w:rsidR="000916FE" w:rsidRPr="000916FE" w:rsidRDefault="000916FE" w:rsidP="00C37F9E">
      <w:pPr>
        <w:pStyle w:val="Body"/>
        <w:spacing w:after="0"/>
        <w:rPr>
          <w:rFonts w:ascii="Arial" w:hAnsi="Arial" w:cs="Arial"/>
          <w:lang w:val="en-GB"/>
        </w:rPr>
      </w:pPr>
    </w:p>
    <w:p w14:paraId="1B25EB7A" w14:textId="22530911" w:rsidR="000916FE" w:rsidRPr="000916FE" w:rsidRDefault="000916FE" w:rsidP="00C37F9E">
      <w:pPr>
        <w:pStyle w:val="Body"/>
        <w:spacing w:after="0"/>
        <w:rPr>
          <w:rFonts w:ascii="Arial" w:hAnsi="Arial" w:cs="Arial"/>
          <w:lang w:val="en-GB"/>
        </w:rPr>
      </w:pPr>
      <w:r w:rsidRPr="000916FE">
        <w:rPr>
          <w:rFonts w:ascii="Arial" w:hAnsi="Arial" w:cs="Arial"/>
          <w:lang w:val="en-GB"/>
        </w:rPr>
        <w:t>The resulting synthetic profiles are used to stress-test microgrid reliability, evaluate spinning reserve requirements, and inform battery dispatch algorithms under variable demand conditions [</w:t>
      </w:r>
      <w:r w:rsidR="007C46E8">
        <w:rPr>
          <w:rFonts w:ascii="Arial" w:hAnsi="Arial" w:cs="Arial"/>
          <w:lang w:val="en-GB"/>
        </w:rPr>
        <w:t>60</w:t>
      </w:r>
      <w:r w:rsidRPr="000916FE">
        <w:rPr>
          <w:rFonts w:ascii="Arial" w:hAnsi="Arial" w:cs="Arial"/>
          <w:lang w:val="en-GB"/>
        </w:rPr>
        <w:t>].</w:t>
      </w:r>
    </w:p>
    <w:p w14:paraId="18C757E0" w14:textId="77777777" w:rsidR="000916FE" w:rsidRPr="000916FE" w:rsidRDefault="000916FE" w:rsidP="00C37F9E">
      <w:pPr>
        <w:pStyle w:val="Body"/>
        <w:spacing w:after="0"/>
        <w:rPr>
          <w:rFonts w:ascii="Arial" w:hAnsi="Arial" w:cs="Arial"/>
          <w:lang w:val="en-GB"/>
        </w:rPr>
      </w:pPr>
    </w:p>
    <w:p w14:paraId="3282FAD3" w14:textId="75ABFECE" w:rsidR="000916FE" w:rsidRPr="000916FE" w:rsidRDefault="000916FE" w:rsidP="00C37F9E">
      <w:pPr>
        <w:pStyle w:val="Body"/>
        <w:spacing w:after="0"/>
        <w:rPr>
          <w:rFonts w:ascii="Arial" w:hAnsi="Arial" w:cs="Arial"/>
          <w:lang w:val="en-GB"/>
        </w:rPr>
      </w:pPr>
      <w:r w:rsidRPr="000916FE">
        <w:rPr>
          <w:rFonts w:ascii="Arial" w:hAnsi="Arial" w:cs="Arial"/>
          <w:lang w:val="en-GB"/>
        </w:rPr>
        <w:t>On the control side, demand response (DR) programs are integrated into HRM management systems to reshape consumption patterns based on grid conditions or price signals. Price elasticity models, which quantify consumer responsiveness to changes in electricity pricing, are central to these strategies. The price elasticity model on load demand, as put forward by [</w:t>
      </w:r>
      <w:r w:rsidR="007C46E8">
        <w:rPr>
          <w:rFonts w:ascii="Arial" w:hAnsi="Arial" w:cs="Arial"/>
          <w:lang w:val="en-GB"/>
        </w:rPr>
        <w:t>61</w:t>
      </w:r>
      <w:r w:rsidRPr="000916FE">
        <w:rPr>
          <w:rFonts w:ascii="Arial" w:hAnsi="Arial" w:cs="Arial"/>
          <w:lang w:val="en-GB"/>
        </w:rPr>
        <w:t>], is expressed in (16).</w:t>
      </w:r>
    </w:p>
    <w:p w14:paraId="65DD514F" w14:textId="4DB9DBEC" w:rsidR="000916FE" w:rsidRPr="000916FE" w:rsidRDefault="000916FE" w:rsidP="00C37F9E">
      <w:pPr>
        <w:pStyle w:val="Body"/>
        <w:spacing w:after="0"/>
        <w:rPr>
          <w:rFonts w:ascii="Arial" w:hAnsi="Arial" w:cs="Arial"/>
          <w:lang w:val="en-GB"/>
        </w:rPr>
      </w:pPr>
      <w:r w:rsidRPr="000916FE">
        <w:rPr>
          <w:rFonts w:ascii="Arial" w:hAnsi="Arial" w:cs="Arial"/>
          <w:lang w:val="en-GB"/>
        </w:rPr>
        <w:lastRenderedPageBreak/>
        <w:tab/>
      </w:r>
      <m:oMath>
        <m:r>
          <w:rPr>
            <w:rFonts w:ascii="Cambria Math" w:hAnsi="Cambria Math" w:cs="Arial"/>
            <w:lang w:val="en-GB"/>
          </w:rPr>
          <m:t>∆D=ϵ∆</m:t>
        </m:r>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elec</m:t>
            </m:r>
          </m:sub>
        </m:sSub>
      </m:oMath>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t>(16)</w:t>
      </w:r>
    </w:p>
    <w:p w14:paraId="768529AC" w14:textId="7302E7AA" w:rsidR="000916FE" w:rsidRPr="000916FE" w:rsidRDefault="000916FE" w:rsidP="00C37F9E">
      <w:pPr>
        <w:pStyle w:val="Body"/>
        <w:spacing w:after="0"/>
        <w:rPr>
          <w:rFonts w:ascii="Arial" w:hAnsi="Arial" w:cs="Arial"/>
          <w:lang w:val="en-GB"/>
        </w:rPr>
      </w:pPr>
      <w:r w:rsidRPr="000916FE">
        <w:rPr>
          <w:rFonts w:ascii="Arial" w:hAnsi="Arial" w:cs="Arial"/>
          <w:lang w:val="en-GB"/>
        </w:rPr>
        <w:t xml:space="preserve">where </w:t>
      </w:r>
      <m:oMath>
        <m:r>
          <w:rPr>
            <w:rFonts w:ascii="Cambria Math" w:hAnsi="Cambria Math" w:cs="Arial"/>
            <w:lang w:val="en-GB"/>
          </w:rPr>
          <m:t>∆D</m:t>
        </m:r>
      </m:oMath>
      <w:r w:rsidRPr="000916FE">
        <w:rPr>
          <w:rFonts w:ascii="Arial" w:hAnsi="Arial" w:cs="Arial"/>
          <w:lang w:val="en-GB"/>
        </w:rPr>
        <w:t xml:space="preserve"> is the change in demand, </w:t>
      </w:r>
      <m:oMath>
        <m:r>
          <w:rPr>
            <w:rFonts w:ascii="Cambria Math" w:hAnsi="Cambria Math" w:cs="Arial"/>
            <w:lang w:val="en-GB"/>
          </w:rPr>
          <m:t>ϵ</m:t>
        </m:r>
      </m:oMath>
      <w:r w:rsidRPr="000916FE">
        <w:rPr>
          <w:rFonts w:ascii="Arial" w:hAnsi="Arial" w:cs="Arial"/>
          <w:lang w:val="en-GB"/>
        </w:rPr>
        <w:t xml:space="preserve"> is the elasticity coefficient, and </w:t>
      </w:r>
      <m:oMath>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elec</m:t>
            </m:r>
          </m:sub>
        </m:sSub>
      </m:oMath>
      <w:r w:rsidRPr="000916FE">
        <w:rPr>
          <w:rFonts w:ascii="Arial" w:hAnsi="Arial" w:cs="Arial"/>
          <w:lang w:val="en-GB"/>
        </w:rPr>
        <w:t xml:space="preserve"> is the change in the electricity price.</w:t>
      </w:r>
    </w:p>
    <w:p w14:paraId="6D9CB3DA" w14:textId="77777777" w:rsidR="000916FE" w:rsidRPr="000916FE" w:rsidRDefault="000916FE" w:rsidP="00C37F9E">
      <w:pPr>
        <w:pStyle w:val="Body"/>
        <w:spacing w:after="0"/>
        <w:rPr>
          <w:rFonts w:ascii="Arial" w:hAnsi="Arial" w:cs="Arial"/>
          <w:lang w:val="en-GB"/>
        </w:rPr>
      </w:pPr>
    </w:p>
    <w:p w14:paraId="2FACA284" w14:textId="54C73A61" w:rsidR="000916FE" w:rsidRPr="000916FE" w:rsidRDefault="000916FE" w:rsidP="00C37F9E">
      <w:pPr>
        <w:pStyle w:val="Body"/>
        <w:spacing w:after="0"/>
        <w:rPr>
          <w:rFonts w:ascii="Arial" w:hAnsi="Arial" w:cs="Arial"/>
          <w:lang w:val="en-GB"/>
        </w:rPr>
      </w:pPr>
      <w:r w:rsidRPr="000916FE">
        <w:rPr>
          <w:rFonts w:ascii="Arial" w:hAnsi="Arial" w:cs="Arial"/>
          <w:lang w:val="en-GB"/>
        </w:rPr>
        <w:t>Through real-time pricing, time-of-use tariffs, or incentive-based load curtailment schemes, peak loads can often be reduced by 10–30%, lowering system stress and operational costs. DR modelling considers elastic load components—such as HVAC systems or deferrable appliance loads—that can be shifted without significantly impacting end-user satisfaction. These models are embedded into energy management systems to enable dynamic load shifting in response to renewable generation variability and grid contingencies [</w:t>
      </w:r>
      <w:r w:rsidR="00777A08">
        <w:rPr>
          <w:rFonts w:ascii="Arial" w:hAnsi="Arial" w:cs="Arial"/>
          <w:lang w:val="en-GB"/>
        </w:rPr>
        <w:t>62</w:t>
      </w:r>
      <w:r w:rsidRPr="000916FE">
        <w:rPr>
          <w:rFonts w:ascii="Arial" w:hAnsi="Arial" w:cs="Arial"/>
          <w:lang w:val="en-GB"/>
        </w:rPr>
        <w:t xml:space="preserve">]. </w:t>
      </w:r>
    </w:p>
    <w:p w14:paraId="0CE36039" w14:textId="77777777" w:rsidR="000916FE" w:rsidRPr="000916FE" w:rsidRDefault="000916FE" w:rsidP="00C37F9E">
      <w:pPr>
        <w:pStyle w:val="Body"/>
        <w:spacing w:after="0"/>
        <w:rPr>
          <w:rFonts w:ascii="Arial" w:hAnsi="Arial" w:cs="Arial"/>
          <w:lang w:val="en-GB"/>
        </w:rPr>
      </w:pPr>
    </w:p>
    <w:p w14:paraId="09EF1C03" w14:textId="111C1E85" w:rsidR="000916FE" w:rsidRPr="000916FE" w:rsidRDefault="000916FE" w:rsidP="00C37F9E">
      <w:pPr>
        <w:pStyle w:val="Body"/>
        <w:spacing w:after="0"/>
        <w:rPr>
          <w:rFonts w:ascii="Arial" w:hAnsi="Arial" w:cs="Arial"/>
          <w:lang w:val="en-GB"/>
        </w:rPr>
      </w:pPr>
      <w:r w:rsidRPr="000916FE">
        <w:rPr>
          <w:rFonts w:ascii="Arial" w:hAnsi="Arial" w:cs="Arial"/>
          <w:lang w:val="en-GB"/>
        </w:rPr>
        <w:t>For energy balance, (17) is used for the approximation [</w:t>
      </w:r>
      <w:r w:rsidR="00777A08">
        <w:rPr>
          <w:rFonts w:ascii="Arial" w:hAnsi="Arial" w:cs="Arial"/>
          <w:lang w:val="en-GB"/>
        </w:rPr>
        <w:t>61</w:t>
      </w:r>
      <w:r w:rsidRPr="000916FE">
        <w:rPr>
          <w:rFonts w:ascii="Arial" w:hAnsi="Arial" w:cs="Arial"/>
          <w:lang w:val="en-GB"/>
        </w:rPr>
        <w:t xml:space="preserve">, </w:t>
      </w:r>
      <w:r w:rsidR="00777A08">
        <w:rPr>
          <w:rFonts w:ascii="Arial" w:hAnsi="Arial" w:cs="Arial"/>
          <w:lang w:val="en-GB"/>
        </w:rPr>
        <w:t>62</w:t>
      </w:r>
      <w:r w:rsidRPr="000916FE">
        <w:rPr>
          <w:rFonts w:ascii="Arial" w:hAnsi="Arial" w:cs="Arial"/>
          <w:lang w:val="en-GB"/>
        </w:rPr>
        <w:t>].</w:t>
      </w:r>
    </w:p>
    <w:p w14:paraId="3512667F" w14:textId="2B984BD2" w:rsidR="000916FE" w:rsidRPr="000916FE" w:rsidRDefault="000916FE" w:rsidP="00C37F9E">
      <w:pPr>
        <w:pStyle w:val="Body"/>
        <w:spacing w:after="0"/>
        <w:rPr>
          <w:rFonts w:ascii="Arial" w:hAnsi="Arial" w:cs="Arial"/>
          <w:lang w:val="en-GB"/>
        </w:rPr>
      </w:pPr>
      <w:r w:rsidRPr="000916FE">
        <w:rPr>
          <w:rFonts w:ascii="Arial" w:hAnsi="Arial" w:cs="Arial"/>
          <w:lang w:val="en-GB"/>
        </w:rPr>
        <w:tab/>
      </w:r>
      <m:oMath>
        <m:nary>
          <m:naryPr>
            <m:chr m:val="∑"/>
            <m:limLoc m:val="undOvr"/>
            <m:subHide m:val="1"/>
            <m:supHide m:val="1"/>
            <m:ctrlPr>
              <w:rPr>
                <w:rFonts w:ascii="Cambria Math" w:hAnsi="Cambria Math" w:cs="Arial"/>
                <w:i/>
                <w:lang w:val="en-GB"/>
              </w:rPr>
            </m:ctrlPr>
          </m:naryPr>
          <m:sub/>
          <m:sup/>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gen</m:t>
                </m:r>
              </m:sub>
            </m:sSub>
          </m:e>
        </m:nary>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BSS,disch</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load</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BSS,ch</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losses</m:t>
            </m:r>
          </m:sub>
        </m:sSub>
      </m:oMath>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t>(17)</w:t>
      </w:r>
    </w:p>
    <w:p w14:paraId="1DF2F3F3" w14:textId="77777777" w:rsidR="000916FE" w:rsidRDefault="000916FE" w:rsidP="00C37F9E">
      <w:pPr>
        <w:pStyle w:val="Body"/>
        <w:spacing w:after="0"/>
        <w:rPr>
          <w:rFonts w:ascii="Arial" w:hAnsi="Arial" w:cs="Arial"/>
          <w:lang w:val="en-GB"/>
        </w:rPr>
      </w:pPr>
      <w:r w:rsidRPr="000916FE">
        <w:rPr>
          <w:rFonts w:ascii="Arial" w:hAnsi="Arial" w:cs="Arial"/>
          <w:lang w:val="en-GB"/>
        </w:rPr>
        <w:t xml:space="preserve">The expression in (17) ensures that the power supply matches demand, including storage and losses. </w:t>
      </w:r>
    </w:p>
    <w:p w14:paraId="37F1F0C8" w14:textId="77777777" w:rsidR="00C34CC7" w:rsidRPr="000916FE" w:rsidRDefault="00C34CC7" w:rsidP="00C37F9E">
      <w:pPr>
        <w:pStyle w:val="Body"/>
        <w:spacing w:after="0"/>
        <w:rPr>
          <w:rFonts w:ascii="Arial" w:hAnsi="Arial" w:cs="Arial"/>
          <w:lang w:val="en-GB"/>
        </w:rPr>
      </w:pPr>
    </w:p>
    <w:p w14:paraId="0C8574A4" w14:textId="77777777" w:rsidR="000916FE" w:rsidRPr="000916FE" w:rsidRDefault="000916FE" w:rsidP="00C37F9E">
      <w:pPr>
        <w:pStyle w:val="Body"/>
        <w:spacing w:after="0"/>
        <w:rPr>
          <w:rFonts w:ascii="Arial" w:hAnsi="Arial" w:cs="Arial"/>
          <w:lang w:val="en-GB"/>
        </w:rPr>
      </w:pPr>
      <w:r w:rsidRPr="000916FE">
        <w:rPr>
          <w:rFonts w:ascii="Arial" w:hAnsi="Arial" w:cs="Arial"/>
          <w:lang w:val="en-GB"/>
        </w:rPr>
        <w:t>However, the priority is ensuring minimal cost is maintained for the energy balance. This is achieved by setting a cost-minimization objective as outlined in (18).</w:t>
      </w:r>
    </w:p>
    <w:p w14:paraId="76D8765D" w14:textId="788128ED" w:rsidR="000916FE" w:rsidRPr="000916FE" w:rsidRDefault="000916FE" w:rsidP="00C37F9E">
      <w:pPr>
        <w:pStyle w:val="Body"/>
        <w:spacing w:after="0"/>
        <w:rPr>
          <w:rFonts w:ascii="Arial" w:hAnsi="Arial" w:cs="Arial"/>
          <w:lang w:val="en-GB"/>
        </w:rPr>
      </w:pPr>
      <w:r w:rsidRPr="000916FE">
        <w:rPr>
          <w:rFonts w:ascii="Arial" w:hAnsi="Arial" w:cs="Arial"/>
          <w:lang w:val="en-GB"/>
        </w:rPr>
        <w:tab/>
      </w:r>
      <m:oMath>
        <m:func>
          <m:funcPr>
            <m:ctrlPr>
              <w:rPr>
                <w:rFonts w:ascii="Cambria Math" w:hAnsi="Cambria Math" w:cs="Arial"/>
                <w:i/>
                <w:lang w:val="en-GB"/>
              </w:rPr>
            </m:ctrlPr>
          </m:funcPr>
          <m:fName>
            <m:r>
              <m:rPr>
                <m:sty m:val="p"/>
              </m:rPr>
              <w:rPr>
                <w:rFonts w:ascii="Cambria Math" w:hAnsi="Cambria Math" w:cs="Arial"/>
                <w:lang w:val="en-GB"/>
              </w:rPr>
              <m:t>min</m:t>
            </m:r>
          </m:fName>
          <m:e>
            <m:nary>
              <m:naryPr>
                <m:chr m:val="∑"/>
                <m:limLoc m:val="undOvr"/>
                <m:ctrlPr>
                  <w:rPr>
                    <w:rFonts w:ascii="Cambria Math" w:hAnsi="Cambria Math" w:cs="Arial"/>
                    <w:i/>
                    <w:lang w:val="en-GB"/>
                  </w:rPr>
                </m:ctrlPr>
              </m:naryPr>
              <m:sub>
                <m:r>
                  <w:rPr>
                    <w:rFonts w:ascii="Cambria Math" w:hAnsi="Cambria Math" w:cs="Arial"/>
                    <w:lang w:val="en-GB"/>
                  </w:rPr>
                  <m:t>t=1</m:t>
                </m:r>
              </m:sub>
              <m:sup>
                <m:r>
                  <w:rPr>
                    <w:rFonts w:ascii="Cambria Math" w:hAnsi="Cambria Math" w:cs="Arial"/>
                    <w:lang w:val="en-GB"/>
                  </w:rPr>
                  <m:t>T</m:t>
                </m:r>
              </m:sup>
              <m:e>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fuel</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emissions</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degradation</m:t>
                        </m:r>
                      </m:sub>
                    </m:sSub>
                  </m:e>
                </m:d>
              </m:e>
            </m:nary>
          </m:e>
        </m:func>
      </m:oMath>
      <w:r w:rsidRPr="000916FE">
        <w:rPr>
          <w:rFonts w:ascii="Arial" w:hAnsi="Arial" w:cs="Arial"/>
          <w:lang w:val="en-GB"/>
        </w:rPr>
        <w:t xml:space="preserve"> </w:t>
      </w:r>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r>
      <w:r w:rsidRPr="000916FE">
        <w:rPr>
          <w:rFonts w:ascii="Arial" w:hAnsi="Arial" w:cs="Arial"/>
          <w:lang w:val="en-GB"/>
        </w:rPr>
        <w:tab/>
        <w:t>(18)</w:t>
      </w:r>
    </w:p>
    <w:p w14:paraId="6941D63A" w14:textId="77777777" w:rsidR="000916FE" w:rsidRPr="000916FE" w:rsidRDefault="000916FE" w:rsidP="00C37F9E">
      <w:pPr>
        <w:pStyle w:val="Body"/>
        <w:spacing w:after="0"/>
        <w:rPr>
          <w:rFonts w:ascii="Arial" w:hAnsi="Arial" w:cs="Arial"/>
          <w:lang w:val="en-GB"/>
        </w:rPr>
      </w:pPr>
      <w:r w:rsidRPr="000916FE">
        <w:rPr>
          <w:rFonts w:ascii="Arial" w:hAnsi="Arial" w:cs="Arial"/>
          <w:lang w:val="en-GB"/>
        </w:rPr>
        <w:t xml:space="preserve">where: </w:t>
      </w:r>
    </w:p>
    <w:p w14:paraId="1DC4666F" w14:textId="44ED90DD" w:rsidR="000916FE" w:rsidRPr="000916FE" w:rsidRDefault="00000000" w:rsidP="00C34CC7">
      <w:pPr>
        <w:pStyle w:val="Body"/>
        <w:spacing w:after="0"/>
        <w:ind w:firstLine="720"/>
        <w:rPr>
          <w:rFonts w:ascii="Arial" w:hAnsi="Arial" w:cs="Arial"/>
          <w:lang w:val="en-GB"/>
        </w:rPr>
      </w:pPr>
      <m:oMath>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fuel</m:t>
            </m:r>
          </m:sub>
        </m:sSub>
        <m:r>
          <w:rPr>
            <w:rFonts w:ascii="Cambria Math" w:hAnsi="Cambria Math" w:cs="Arial"/>
            <w:lang w:val="en-GB"/>
          </w:rPr>
          <m:t>=F</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DG</m:t>
                </m:r>
              </m:sub>
            </m:sSub>
          </m:e>
        </m:d>
        <m:r>
          <w:rPr>
            <w:rFonts w:ascii="Cambria Math" w:hAnsi="Cambria Math" w:cs="Arial"/>
            <w:lang w:val="en-GB"/>
          </w:rPr>
          <m:t>.fuel_price</m:t>
        </m:r>
      </m:oMath>
      <w:r w:rsidR="000916FE" w:rsidRPr="000916FE">
        <w:rPr>
          <w:rFonts w:ascii="Arial" w:hAnsi="Arial" w:cs="Arial"/>
          <w:lang w:val="en-GB"/>
        </w:rPr>
        <w:tab/>
      </w:r>
      <w:r w:rsidR="000916FE" w:rsidRPr="000916FE">
        <w:rPr>
          <w:rFonts w:ascii="Arial" w:hAnsi="Arial" w:cs="Arial"/>
          <w:lang w:val="en-GB"/>
        </w:rPr>
        <w:tab/>
      </w:r>
      <w:r w:rsidR="000916FE" w:rsidRPr="000916FE">
        <w:rPr>
          <w:rFonts w:ascii="Arial" w:hAnsi="Arial" w:cs="Arial"/>
          <w:lang w:val="en-GB"/>
        </w:rPr>
        <w:tab/>
      </w:r>
      <w:r w:rsidR="000916FE" w:rsidRPr="000916FE">
        <w:rPr>
          <w:rFonts w:ascii="Arial" w:hAnsi="Arial" w:cs="Arial"/>
          <w:lang w:val="en-GB"/>
        </w:rPr>
        <w:tab/>
      </w:r>
      <w:r w:rsidR="000916FE" w:rsidRPr="000916FE">
        <w:rPr>
          <w:rFonts w:ascii="Arial" w:hAnsi="Arial" w:cs="Arial"/>
          <w:lang w:val="en-GB"/>
        </w:rPr>
        <w:tab/>
      </w:r>
      <w:r w:rsidR="000916FE" w:rsidRPr="000916FE">
        <w:rPr>
          <w:rFonts w:ascii="Arial" w:hAnsi="Arial" w:cs="Arial"/>
          <w:lang w:val="en-GB"/>
        </w:rPr>
        <w:tab/>
        <w:t>(19)</w:t>
      </w:r>
    </w:p>
    <w:p w14:paraId="129A715D" w14:textId="423D3E24" w:rsidR="000916FE" w:rsidRPr="000916FE" w:rsidRDefault="00000000" w:rsidP="00C34CC7">
      <w:pPr>
        <w:pStyle w:val="Body"/>
        <w:spacing w:after="0"/>
        <w:ind w:firstLine="720"/>
        <w:rPr>
          <w:rFonts w:ascii="Arial" w:hAnsi="Arial" w:cs="Arial"/>
          <w:lang w:val="en-GB"/>
        </w:rPr>
      </w:pPr>
      <m:oMath>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emissions</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E</m:t>
            </m:r>
          </m:e>
          <m:sub>
            <m:sSub>
              <m:sSubPr>
                <m:ctrlPr>
                  <w:rPr>
                    <w:rFonts w:ascii="Cambria Math" w:hAnsi="Cambria Math" w:cs="Arial"/>
                    <w:i/>
                    <w:lang w:val="en-GB"/>
                  </w:rPr>
                </m:ctrlPr>
              </m:sSubPr>
              <m:e>
                <m:r>
                  <w:rPr>
                    <w:rFonts w:ascii="Cambria Math" w:hAnsi="Cambria Math" w:cs="Arial"/>
                    <w:lang w:val="en-GB"/>
                  </w:rPr>
                  <m:t>CO</m:t>
                </m:r>
              </m:e>
              <m:sub>
                <m:r>
                  <w:rPr>
                    <w:rFonts w:ascii="Cambria Math" w:hAnsi="Cambria Math" w:cs="Arial"/>
                    <w:lang w:val="en-GB"/>
                  </w:rPr>
                  <m:t>2</m:t>
                </m:r>
              </m:sub>
            </m:sSub>
          </m:sub>
        </m:sSub>
        <m:r>
          <w:rPr>
            <w:rFonts w:ascii="Cambria Math" w:hAnsi="Cambria Math" w:cs="Arial"/>
            <w:lang w:val="en-GB"/>
          </w:rPr>
          <m:t>.carbon_tax</m:t>
        </m:r>
      </m:oMath>
      <w:r w:rsidR="000916FE" w:rsidRPr="000916FE">
        <w:rPr>
          <w:rFonts w:ascii="Arial" w:hAnsi="Arial" w:cs="Arial"/>
          <w:lang w:val="en-GB"/>
        </w:rPr>
        <w:tab/>
      </w:r>
      <w:r w:rsidR="000916FE" w:rsidRPr="000916FE">
        <w:rPr>
          <w:rFonts w:ascii="Arial" w:hAnsi="Arial" w:cs="Arial"/>
          <w:lang w:val="en-GB"/>
        </w:rPr>
        <w:tab/>
      </w:r>
      <w:r w:rsidR="000916FE" w:rsidRPr="000916FE">
        <w:rPr>
          <w:rFonts w:ascii="Arial" w:hAnsi="Arial" w:cs="Arial"/>
          <w:lang w:val="en-GB"/>
        </w:rPr>
        <w:tab/>
      </w:r>
      <w:r w:rsidR="000916FE" w:rsidRPr="000916FE">
        <w:rPr>
          <w:rFonts w:ascii="Arial" w:hAnsi="Arial" w:cs="Arial"/>
          <w:lang w:val="en-GB"/>
        </w:rPr>
        <w:tab/>
      </w:r>
      <w:r w:rsidR="000916FE" w:rsidRPr="000916FE">
        <w:rPr>
          <w:rFonts w:ascii="Arial" w:hAnsi="Arial" w:cs="Arial"/>
          <w:lang w:val="en-GB"/>
        </w:rPr>
        <w:tab/>
      </w:r>
      <w:r w:rsidR="000916FE" w:rsidRPr="000916FE">
        <w:rPr>
          <w:rFonts w:ascii="Arial" w:hAnsi="Arial" w:cs="Arial"/>
          <w:lang w:val="en-GB"/>
        </w:rPr>
        <w:tab/>
        <w:t>(20)</w:t>
      </w:r>
    </w:p>
    <w:p w14:paraId="49FBC9BC" w14:textId="0358B457" w:rsidR="000916FE" w:rsidRPr="000916FE" w:rsidRDefault="00000000" w:rsidP="00C34CC7">
      <w:pPr>
        <w:pStyle w:val="Body"/>
        <w:spacing w:after="0"/>
        <w:ind w:firstLine="720"/>
        <w:rPr>
          <w:rFonts w:ascii="Arial" w:hAnsi="Arial" w:cs="Arial"/>
          <w:lang w:val="en-GB"/>
        </w:rPr>
      </w:pPr>
      <m:oMath>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degradation</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loss</m:t>
            </m:r>
          </m:sub>
        </m:sSub>
        <m:r>
          <w:rPr>
            <w:rFonts w:ascii="Cambria Math" w:hAnsi="Cambria Math" w:cs="Arial"/>
            <w:lang w:val="en-GB"/>
          </w:rPr>
          <m:t>. battery_replacement_cost</m:t>
        </m:r>
      </m:oMath>
      <w:r w:rsidR="000916FE" w:rsidRPr="000916FE">
        <w:rPr>
          <w:rFonts w:ascii="Arial" w:hAnsi="Arial" w:cs="Arial"/>
          <w:lang w:val="en-GB"/>
        </w:rPr>
        <w:tab/>
      </w:r>
      <w:r w:rsidR="000916FE" w:rsidRPr="000916FE">
        <w:rPr>
          <w:rFonts w:ascii="Arial" w:hAnsi="Arial" w:cs="Arial"/>
          <w:lang w:val="en-GB"/>
        </w:rPr>
        <w:tab/>
      </w:r>
      <w:r w:rsidR="000916FE" w:rsidRPr="000916FE">
        <w:rPr>
          <w:rFonts w:ascii="Arial" w:hAnsi="Arial" w:cs="Arial"/>
          <w:lang w:val="en-GB"/>
        </w:rPr>
        <w:tab/>
      </w:r>
      <w:r w:rsidR="000916FE" w:rsidRPr="000916FE">
        <w:rPr>
          <w:rFonts w:ascii="Arial" w:hAnsi="Arial" w:cs="Arial"/>
          <w:lang w:val="en-GB"/>
        </w:rPr>
        <w:tab/>
        <w:t>(21)</w:t>
      </w:r>
    </w:p>
    <w:p w14:paraId="6F914AF8" w14:textId="1D4D0793" w:rsidR="00D145E8" w:rsidRDefault="00D145E8" w:rsidP="000916FE">
      <w:pPr>
        <w:pStyle w:val="Body"/>
        <w:spacing w:after="0"/>
        <w:rPr>
          <w:rFonts w:ascii="Arial" w:hAnsi="Arial" w:cs="Arial"/>
        </w:rPr>
      </w:pPr>
    </w:p>
    <w:p w14:paraId="3F4DAC8C" w14:textId="5046DD51" w:rsidR="006D6DF8" w:rsidRDefault="006D6DF8" w:rsidP="006D6DF8">
      <w:pPr>
        <w:pStyle w:val="Head1"/>
        <w:spacing w:after="0"/>
        <w:jc w:val="both"/>
        <w:rPr>
          <w:rFonts w:ascii="Arial" w:hAnsi="Arial" w:cs="Arial"/>
        </w:rPr>
      </w:pPr>
      <w:r>
        <w:rPr>
          <w:rFonts w:ascii="Arial" w:hAnsi="Arial" w:cs="Arial"/>
        </w:rPr>
        <w:t xml:space="preserve">4. </w:t>
      </w:r>
      <w:r w:rsidRPr="006D6DF8">
        <w:rPr>
          <w:rFonts w:ascii="Arial" w:hAnsi="Arial" w:cs="Arial"/>
        </w:rPr>
        <w:t>LITERATURE SURVEY AND FUTURE PROSPECTS</w:t>
      </w:r>
    </w:p>
    <w:p w14:paraId="21E15CFD" w14:textId="77777777" w:rsidR="006D6DF8" w:rsidRPr="00FB3A86" w:rsidRDefault="006D6DF8" w:rsidP="006D6DF8">
      <w:pPr>
        <w:pStyle w:val="Head1"/>
        <w:spacing w:after="0"/>
        <w:jc w:val="both"/>
        <w:rPr>
          <w:rFonts w:ascii="Arial" w:hAnsi="Arial" w:cs="Arial"/>
        </w:rPr>
      </w:pPr>
    </w:p>
    <w:p w14:paraId="5DB91F7D" w14:textId="33A44B7C" w:rsidR="006D6DF8" w:rsidRDefault="006D6DF8" w:rsidP="006D6DF8">
      <w:pPr>
        <w:pStyle w:val="Body"/>
        <w:spacing w:after="0"/>
        <w:rPr>
          <w:rFonts w:ascii="Arial" w:hAnsi="Arial" w:cs="Arial"/>
        </w:rPr>
      </w:pPr>
      <w:bookmarkStart w:id="7" w:name="_Hlk199107100"/>
      <w:r>
        <w:rPr>
          <w:rFonts w:ascii="Arial" w:hAnsi="Arial" w:cs="Arial"/>
          <w:b/>
          <w:caps/>
          <w:sz w:val="22"/>
        </w:rPr>
        <w:t>4</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sidRPr="006D6DF8">
        <w:rPr>
          <w:rFonts w:ascii="Arial" w:hAnsi="Arial" w:cs="Arial"/>
          <w:b/>
          <w:sz w:val="22"/>
        </w:rPr>
        <w:t>Literature Survey</w:t>
      </w:r>
      <w:r w:rsidRPr="00FB3A86">
        <w:rPr>
          <w:rFonts w:ascii="Arial" w:hAnsi="Arial" w:cs="Arial"/>
        </w:rPr>
        <w:t xml:space="preserve">  </w:t>
      </w:r>
    </w:p>
    <w:p w14:paraId="21F9E67D" w14:textId="77777777" w:rsidR="006D6DF8" w:rsidRDefault="006D6DF8" w:rsidP="006D6DF8">
      <w:pPr>
        <w:pStyle w:val="Body"/>
        <w:spacing w:after="0"/>
        <w:rPr>
          <w:rFonts w:ascii="Arial" w:hAnsi="Arial" w:cs="Arial"/>
        </w:rPr>
      </w:pPr>
    </w:p>
    <w:p w14:paraId="16C22A3D" w14:textId="7588BE2C" w:rsidR="00FA1AA6" w:rsidRDefault="00FA1AA6" w:rsidP="00FA1AA6">
      <w:pPr>
        <w:pStyle w:val="Body"/>
        <w:spacing w:after="0"/>
        <w:rPr>
          <w:rFonts w:ascii="Arial" w:hAnsi="Arial" w:cs="Arial"/>
          <w:lang w:val="en-GB"/>
        </w:rPr>
      </w:pPr>
      <w:r w:rsidRPr="00FA1AA6">
        <w:rPr>
          <w:rFonts w:ascii="Arial" w:hAnsi="Arial" w:cs="Arial"/>
          <w:lang w:val="en-GB"/>
        </w:rPr>
        <w:t xml:space="preserve">Table 1 is an exhaustive review of </w:t>
      </w:r>
      <w:r w:rsidR="000427B6">
        <w:rPr>
          <w:rFonts w:ascii="Arial" w:hAnsi="Arial" w:cs="Arial"/>
          <w:lang w:val="en-GB"/>
        </w:rPr>
        <w:t>previous</w:t>
      </w:r>
      <w:r w:rsidRPr="00FA1AA6">
        <w:rPr>
          <w:rFonts w:ascii="Arial" w:hAnsi="Arial" w:cs="Arial"/>
          <w:lang w:val="en-GB"/>
        </w:rPr>
        <w:t xml:space="preserve"> works on modelling, optimization, and grid integration. The table summarizes methodologies, objectives, and research gaps.</w:t>
      </w:r>
      <w:bookmarkEnd w:id="7"/>
    </w:p>
    <w:p w14:paraId="069AA234" w14:textId="77777777" w:rsidR="002E74DD" w:rsidRPr="00FA1AA6" w:rsidRDefault="002E74DD" w:rsidP="00FA1AA6">
      <w:pPr>
        <w:pStyle w:val="Body"/>
        <w:spacing w:after="0"/>
        <w:rPr>
          <w:rFonts w:ascii="Arial" w:hAnsi="Arial" w:cs="Arial"/>
          <w:lang w:val="en-GB"/>
        </w:rPr>
      </w:pPr>
    </w:p>
    <w:p w14:paraId="31DB2361" w14:textId="795B8236" w:rsidR="00FA1AA6" w:rsidRDefault="00FA1AA6" w:rsidP="00FA1AA6">
      <w:pPr>
        <w:pStyle w:val="Body"/>
        <w:spacing w:after="0"/>
        <w:rPr>
          <w:rFonts w:ascii="Arial" w:hAnsi="Arial" w:cs="Arial"/>
          <w:b/>
          <w:bCs/>
          <w:lang w:val="en-GB"/>
        </w:rPr>
      </w:pPr>
      <w:r w:rsidRPr="00FA1AA6">
        <w:rPr>
          <w:rFonts w:ascii="Arial" w:hAnsi="Arial" w:cs="Arial"/>
          <w:b/>
          <w:bCs/>
          <w:lang w:val="en-GB"/>
        </w:rPr>
        <w:t>Table 1</w:t>
      </w:r>
      <w:r w:rsidR="002E74DD">
        <w:rPr>
          <w:rFonts w:ascii="Arial" w:hAnsi="Arial" w:cs="Arial"/>
          <w:b/>
          <w:bCs/>
          <w:lang w:val="en-GB"/>
        </w:rPr>
        <w:t>.</w:t>
      </w:r>
      <w:r w:rsidRPr="00FA1AA6">
        <w:rPr>
          <w:rFonts w:ascii="Arial" w:hAnsi="Arial" w:cs="Arial"/>
          <w:b/>
          <w:bCs/>
          <w:lang w:val="en-GB"/>
        </w:rPr>
        <w:t xml:space="preserve"> Review of related past works </w:t>
      </w:r>
    </w:p>
    <w:p w14:paraId="1A828A81" w14:textId="77777777" w:rsidR="002E74DD" w:rsidRPr="00FA1AA6" w:rsidRDefault="002E74DD" w:rsidP="00FA1AA6">
      <w:pPr>
        <w:pStyle w:val="Body"/>
        <w:spacing w:after="0"/>
        <w:rPr>
          <w:rFonts w:ascii="Arial" w:hAnsi="Arial" w:cs="Arial"/>
          <w:b/>
          <w:bCs/>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2086"/>
        <w:gridCol w:w="2160"/>
        <w:gridCol w:w="2087"/>
      </w:tblGrid>
      <w:tr w:rsidR="00FA1AA6" w:rsidRPr="00FA1AA6" w14:paraId="7FBE5ED1" w14:textId="77777777" w:rsidTr="00BB7C0C">
        <w:trPr>
          <w:tblHeader/>
        </w:trPr>
        <w:tc>
          <w:tcPr>
            <w:tcW w:w="2422" w:type="dxa"/>
            <w:tcBorders>
              <w:top w:val="single" w:sz="4" w:space="0" w:color="auto"/>
              <w:bottom w:val="single" w:sz="4" w:space="0" w:color="auto"/>
            </w:tcBorders>
          </w:tcPr>
          <w:p w14:paraId="3EE90313" w14:textId="77777777" w:rsidR="00FA1AA6" w:rsidRPr="00FA1AA6" w:rsidRDefault="00FA1AA6" w:rsidP="002E74DD">
            <w:pPr>
              <w:pStyle w:val="Body"/>
              <w:spacing w:after="0"/>
              <w:rPr>
                <w:rFonts w:ascii="Arial" w:eastAsia="Times New Roman" w:hAnsi="Arial" w:cs="Arial"/>
                <w:b/>
                <w:bCs/>
                <w:sz w:val="20"/>
                <w:lang w:val="en-GB"/>
              </w:rPr>
            </w:pPr>
            <w:r w:rsidRPr="00FA1AA6">
              <w:rPr>
                <w:rFonts w:ascii="Arial" w:eastAsia="Times New Roman" w:hAnsi="Arial" w:cs="Arial"/>
                <w:b/>
                <w:bCs/>
                <w:sz w:val="20"/>
                <w:lang w:val="en-GB"/>
              </w:rPr>
              <w:t>Reference</w:t>
            </w:r>
            <w:r w:rsidRPr="00FA1AA6">
              <w:rPr>
                <w:rFonts w:ascii="Arial" w:eastAsia="Times New Roman" w:hAnsi="Arial" w:cs="Arial"/>
                <w:b/>
                <w:bCs/>
                <w:sz w:val="20"/>
                <w:lang w:val="en-GB"/>
              </w:rPr>
              <w:tab/>
            </w:r>
          </w:p>
        </w:tc>
        <w:tc>
          <w:tcPr>
            <w:tcW w:w="2423" w:type="dxa"/>
            <w:tcBorders>
              <w:top w:val="single" w:sz="4" w:space="0" w:color="auto"/>
              <w:bottom w:val="single" w:sz="4" w:space="0" w:color="auto"/>
            </w:tcBorders>
          </w:tcPr>
          <w:p w14:paraId="0C27CAA5" w14:textId="77777777" w:rsidR="00FA1AA6" w:rsidRPr="00FA1AA6" w:rsidRDefault="00FA1AA6" w:rsidP="002E74DD">
            <w:pPr>
              <w:pStyle w:val="Body"/>
              <w:spacing w:after="0"/>
              <w:rPr>
                <w:rFonts w:ascii="Arial" w:eastAsia="Times New Roman" w:hAnsi="Arial" w:cs="Arial"/>
                <w:b/>
                <w:bCs/>
                <w:sz w:val="20"/>
                <w:lang w:val="en-GB"/>
              </w:rPr>
            </w:pPr>
            <w:r w:rsidRPr="00FA1AA6">
              <w:rPr>
                <w:rFonts w:ascii="Arial" w:eastAsia="Times New Roman" w:hAnsi="Arial" w:cs="Arial"/>
                <w:b/>
                <w:bCs/>
                <w:sz w:val="20"/>
                <w:lang w:val="en-GB"/>
              </w:rPr>
              <w:t>What Was Done</w:t>
            </w:r>
          </w:p>
        </w:tc>
        <w:tc>
          <w:tcPr>
            <w:tcW w:w="2423" w:type="dxa"/>
            <w:tcBorders>
              <w:top w:val="single" w:sz="4" w:space="0" w:color="auto"/>
              <w:bottom w:val="single" w:sz="4" w:space="0" w:color="auto"/>
            </w:tcBorders>
          </w:tcPr>
          <w:p w14:paraId="6D95CE24" w14:textId="77777777" w:rsidR="00FA1AA6" w:rsidRPr="00FA1AA6" w:rsidRDefault="00FA1AA6" w:rsidP="002E74DD">
            <w:pPr>
              <w:pStyle w:val="Body"/>
              <w:spacing w:after="0"/>
              <w:rPr>
                <w:rFonts w:ascii="Arial" w:eastAsia="Times New Roman" w:hAnsi="Arial" w:cs="Arial"/>
                <w:b/>
                <w:bCs/>
                <w:sz w:val="20"/>
                <w:lang w:val="en-GB"/>
              </w:rPr>
            </w:pPr>
            <w:r w:rsidRPr="00FA1AA6">
              <w:rPr>
                <w:rFonts w:ascii="Arial" w:eastAsia="Times New Roman" w:hAnsi="Arial" w:cs="Arial"/>
                <w:b/>
                <w:bCs/>
                <w:sz w:val="20"/>
                <w:lang w:val="en-GB"/>
              </w:rPr>
              <w:t>Method Used</w:t>
            </w:r>
          </w:p>
        </w:tc>
        <w:tc>
          <w:tcPr>
            <w:tcW w:w="2423" w:type="dxa"/>
            <w:tcBorders>
              <w:top w:val="single" w:sz="4" w:space="0" w:color="auto"/>
              <w:bottom w:val="single" w:sz="4" w:space="0" w:color="auto"/>
            </w:tcBorders>
          </w:tcPr>
          <w:p w14:paraId="27122FBE" w14:textId="77777777" w:rsidR="00FA1AA6" w:rsidRPr="00FA1AA6" w:rsidRDefault="00FA1AA6" w:rsidP="002E74DD">
            <w:pPr>
              <w:pStyle w:val="Body"/>
              <w:spacing w:after="0"/>
              <w:rPr>
                <w:rFonts w:ascii="Arial" w:eastAsia="Times New Roman" w:hAnsi="Arial" w:cs="Arial"/>
                <w:b/>
                <w:bCs/>
                <w:sz w:val="20"/>
                <w:lang w:val="en-GB"/>
              </w:rPr>
            </w:pPr>
            <w:r w:rsidRPr="00FA1AA6">
              <w:rPr>
                <w:rFonts w:ascii="Arial" w:eastAsia="Times New Roman" w:hAnsi="Arial" w:cs="Arial"/>
                <w:b/>
                <w:bCs/>
                <w:sz w:val="20"/>
                <w:lang w:val="en-GB"/>
              </w:rPr>
              <w:t>Research Gap</w:t>
            </w:r>
          </w:p>
        </w:tc>
      </w:tr>
      <w:tr w:rsidR="00FA1AA6" w:rsidRPr="00FA1AA6" w14:paraId="3717FD66" w14:textId="77777777" w:rsidTr="00BB7C0C">
        <w:tc>
          <w:tcPr>
            <w:tcW w:w="2422" w:type="dxa"/>
            <w:tcBorders>
              <w:top w:val="single" w:sz="4" w:space="0" w:color="auto"/>
            </w:tcBorders>
          </w:tcPr>
          <w:p w14:paraId="45486D1D" w14:textId="65D67FEF"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w:t>
            </w:r>
            <w:r w:rsidR="002E4BD1">
              <w:rPr>
                <w:rFonts w:ascii="Arial" w:eastAsia="Times New Roman" w:hAnsi="Arial" w:cs="Arial"/>
                <w:sz w:val="20"/>
                <w:lang w:val="en-GB"/>
              </w:rPr>
              <w:t>6</w:t>
            </w:r>
            <w:r w:rsidR="00AE50E5">
              <w:rPr>
                <w:rFonts w:ascii="Arial" w:eastAsia="Times New Roman" w:hAnsi="Arial" w:cs="Arial"/>
                <w:sz w:val="20"/>
                <w:lang w:val="en-GB"/>
              </w:rPr>
              <w:t>3</w:t>
            </w:r>
            <w:r w:rsidRPr="00FA1AA6">
              <w:rPr>
                <w:rFonts w:ascii="Arial" w:eastAsia="Times New Roman" w:hAnsi="Arial" w:cs="Arial"/>
                <w:sz w:val="20"/>
                <w:lang w:val="en-GB"/>
              </w:rPr>
              <w:t>]</w:t>
            </w:r>
          </w:p>
        </w:tc>
        <w:tc>
          <w:tcPr>
            <w:tcW w:w="2423" w:type="dxa"/>
            <w:tcBorders>
              <w:top w:val="single" w:sz="4" w:space="0" w:color="auto"/>
            </w:tcBorders>
          </w:tcPr>
          <w:p w14:paraId="068ECEAD"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Developed a wavelet-SVM model for transient fault detection in grids.</w:t>
            </w:r>
          </w:p>
        </w:tc>
        <w:tc>
          <w:tcPr>
            <w:tcW w:w="2423" w:type="dxa"/>
            <w:tcBorders>
              <w:top w:val="single" w:sz="4" w:space="0" w:color="auto"/>
            </w:tcBorders>
          </w:tcPr>
          <w:p w14:paraId="2F9B6DDC"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Wavelet transform + SVM</w:t>
            </w:r>
          </w:p>
        </w:tc>
        <w:tc>
          <w:tcPr>
            <w:tcW w:w="2423" w:type="dxa"/>
            <w:tcBorders>
              <w:top w:val="single" w:sz="4" w:space="0" w:color="auto"/>
            </w:tcBorders>
          </w:tcPr>
          <w:p w14:paraId="78D24E6F"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Limited to fault detection; no integration with energy management systems.</w:t>
            </w:r>
          </w:p>
        </w:tc>
      </w:tr>
      <w:tr w:rsidR="00FA1AA6" w:rsidRPr="00FA1AA6" w14:paraId="0DC92AE8" w14:textId="77777777" w:rsidTr="002E74DD">
        <w:tc>
          <w:tcPr>
            <w:tcW w:w="2422" w:type="dxa"/>
          </w:tcPr>
          <w:p w14:paraId="2E60FC4F" w14:textId="49C0A776"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[6</w:t>
            </w:r>
            <w:r w:rsidR="00AE50E5">
              <w:rPr>
                <w:rFonts w:ascii="Arial" w:eastAsia="Times New Roman" w:hAnsi="Arial" w:cs="Arial"/>
                <w:sz w:val="20"/>
                <w:lang w:val="en-GB"/>
              </w:rPr>
              <w:t>4</w:t>
            </w:r>
            <w:r w:rsidRPr="00FA1AA6">
              <w:rPr>
                <w:rFonts w:ascii="Arial" w:eastAsia="Times New Roman" w:hAnsi="Arial" w:cs="Arial"/>
                <w:sz w:val="20"/>
                <w:lang w:val="en-GB"/>
              </w:rPr>
              <w:t>]</w:t>
            </w:r>
          </w:p>
        </w:tc>
        <w:tc>
          <w:tcPr>
            <w:tcW w:w="2423" w:type="dxa"/>
          </w:tcPr>
          <w:p w14:paraId="59BC3CC3"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ANN-based fault detection in PMU-enabled grids.</w:t>
            </w:r>
          </w:p>
        </w:tc>
        <w:tc>
          <w:tcPr>
            <w:tcW w:w="2423" w:type="dxa"/>
          </w:tcPr>
          <w:p w14:paraId="2573EB6B"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Artificial Neural Networks (ANN)</w:t>
            </w:r>
          </w:p>
        </w:tc>
        <w:tc>
          <w:tcPr>
            <w:tcW w:w="2423" w:type="dxa"/>
          </w:tcPr>
          <w:p w14:paraId="6B1B34E5"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Focused only on fault detection; ignored economic dispatch.</w:t>
            </w:r>
          </w:p>
        </w:tc>
      </w:tr>
      <w:tr w:rsidR="00FA1AA6" w:rsidRPr="00FA1AA6" w14:paraId="1EBFA3C2" w14:textId="77777777" w:rsidTr="002E74DD">
        <w:tc>
          <w:tcPr>
            <w:tcW w:w="2422" w:type="dxa"/>
          </w:tcPr>
          <w:p w14:paraId="797FC78A" w14:textId="3995FD15"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[6</w:t>
            </w:r>
            <w:r w:rsidR="00AE50E5">
              <w:rPr>
                <w:rFonts w:ascii="Arial" w:eastAsia="Times New Roman" w:hAnsi="Arial" w:cs="Arial"/>
                <w:sz w:val="20"/>
                <w:lang w:val="en-GB"/>
              </w:rPr>
              <w:t>5</w:t>
            </w:r>
            <w:r w:rsidRPr="00FA1AA6">
              <w:rPr>
                <w:rFonts w:ascii="Arial" w:eastAsia="Times New Roman" w:hAnsi="Arial" w:cs="Arial"/>
                <w:sz w:val="20"/>
                <w:lang w:val="en-GB"/>
              </w:rPr>
              <w:t>]</w:t>
            </w:r>
          </w:p>
        </w:tc>
        <w:tc>
          <w:tcPr>
            <w:tcW w:w="2423" w:type="dxa"/>
          </w:tcPr>
          <w:p w14:paraId="3617015A"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Hybrid SVM-ANN models for real-time fault classification.</w:t>
            </w:r>
          </w:p>
        </w:tc>
        <w:tc>
          <w:tcPr>
            <w:tcW w:w="2423" w:type="dxa"/>
          </w:tcPr>
          <w:p w14:paraId="2B9BBC3A"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SVM + ANN</w:t>
            </w:r>
          </w:p>
        </w:tc>
        <w:tc>
          <w:tcPr>
            <w:tcW w:w="2423" w:type="dxa"/>
          </w:tcPr>
          <w:p w14:paraId="1090D171"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It did not address scalability for large-scale HRMs.</w:t>
            </w:r>
          </w:p>
        </w:tc>
      </w:tr>
      <w:tr w:rsidR="00FA1AA6" w:rsidRPr="00FA1AA6" w14:paraId="32BD4977" w14:textId="77777777" w:rsidTr="002E74DD">
        <w:tc>
          <w:tcPr>
            <w:tcW w:w="2422" w:type="dxa"/>
          </w:tcPr>
          <w:p w14:paraId="38FA1CCC" w14:textId="04861E95"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[6</w:t>
            </w:r>
            <w:r w:rsidR="00AE50E5">
              <w:rPr>
                <w:rFonts w:ascii="Arial" w:eastAsia="Times New Roman" w:hAnsi="Arial" w:cs="Arial"/>
                <w:sz w:val="20"/>
                <w:lang w:val="en-GB"/>
              </w:rPr>
              <w:t>6</w:t>
            </w:r>
            <w:r w:rsidRPr="00FA1AA6">
              <w:rPr>
                <w:rFonts w:ascii="Arial" w:eastAsia="Times New Roman" w:hAnsi="Arial" w:cs="Arial"/>
                <w:sz w:val="20"/>
                <w:lang w:val="en-GB"/>
              </w:rPr>
              <w:t>]</w:t>
            </w:r>
          </w:p>
        </w:tc>
        <w:tc>
          <w:tcPr>
            <w:tcW w:w="2423" w:type="dxa"/>
          </w:tcPr>
          <w:p w14:paraId="6E2F9759"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ANN-based power quality compensator for voltage sag mitigation.</w:t>
            </w:r>
          </w:p>
        </w:tc>
        <w:tc>
          <w:tcPr>
            <w:tcW w:w="2423" w:type="dxa"/>
          </w:tcPr>
          <w:p w14:paraId="32CE17FC"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ANN + Rule-based control</w:t>
            </w:r>
          </w:p>
        </w:tc>
        <w:tc>
          <w:tcPr>
            <w:tcW w:w="2423" w:type="dxa"/>
          </w:tcPr>
          <w:p w14:paraId="277AF2B1"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There is no integration with renewable sources or storage.</w:t>
            </w:r>
          </w:p>
        </w:tc>
      </w:tr>
      <w:tr w:rsidR="00FA1AA6" w:rsidRPr="00FA1AA6" w14:paraId="55EBAE2C" w14:textId="77777777" w:rsidTr="002E74DD">
        <w:tc>
          <w:tcPr>
            <w:tcW w:w="2422" w:type="dxa"/>
          </w:tcPr>
          <w:p w14:paraId="22B839EA" w14:textId="1BC2F759"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[6</w:t>
            </w:r>
            <w:r w:rsidR="00AE50E5">
              <w:rPr>
                <w:rFonts w:ascii="Arial" w:eastAsia="Times New Roman" w:hAnsi="Arial" w:cs="Arial"/>
                <w:sz w:val="20"/>
                <w:lang w:val="en-GB"/>
              </w:rPr>
              <w:t>7</w:t>
            </w:r>
            <w:r w:rsidRPr="00FA1AA6">
              <w:rPr>
                <w:rFonts w:ascii="Arial" w:eastAsia="Times New Roman" w:hAnsi="Arial" w:cs="Arial"/>
                <w:sz w:val="20"/>
                <w:lang w:val="en-GB"/>
              </w:rPr>
              <w:t>]</w:t>
            </w:r>
          </w:p>
        </w:tc>
        <w:tc>
          <w:tcPr>
            <w:tcW w:w="2423" w:type="dxa"/>
          </w:tcPr>
          <w:p w14:paraId="10929E20"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 xml:space="preserve">Reviewed AI applications in power </w:t>
            </w:r>
            <w:r w:rsidRPr="00FA1AA6">
              <w:rPr>
                <w:rFonts w:ascii="Arial" w:eastAsia="Times New Roman" w:hAnsi="Arial" w:cs="Arial"/>
                <w:sz w:val="20"/>
                <w:lang w:val="en-GB"/>
              </w:rPr>
              <w:lastRenderedPageBreak/>
              <w:t>system stability and control.</w:t>
            </w:r>
          </w:p>
        </w:tc>
        <w:tc>
          <w:tcPr>
            <w:tcW w:w="2423" w:type="dxa"/>
          </w:tcPr>
          <w:p w14:paraId="63C8FC7A"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lastRenderedPageBreak/>
              <w:t>Literature review + Comparative analysis</w:t>
            </w:r>
          </w:p>
        </w:tc>
        <w:tc>
          <w:tcPr>
            <w:tcW w:w="2423" w:type="dxa"/>
          </w:tcPr>
          <w:p w14:paraId="308ABFC5"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Focused on stability; lacked HRM-specific optimization insights.</w:t>
            </w:r>
          </w:p>
        </w:tc>
      </w:tr>
      <w:tr w:rsidR="00FA1AA6" w:rsidRPr="00FA1AA6" w14:paraId="3A38BE8C" w14:textId="77777777" w:rsidTr="002E74DD">
        <w:tc>
          <w:tcPr>
            <w:tcW w:w="2422" w:type="dxa"/>
          </w:tcPr>
          <w:p w14:paraId="4D85C45F" w14:textId="66828189"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[6</w:t>
            </w:r>
            <w:r w:rsidR="009E1525">
              <w:rPr>
                <w:rFonts w:ascii="Arial" w:eastAsia="Times New Roman" w:hAnsi="Arial" w:cs="Arial"/>
                <w:sz w:val="20"/>
                <w:lang w:val="en-GB"/>
              </w:rPr>
              <w:t>8</w:t>
            </w:r>
            <w:r w:rsidRPr="00FA1AA6">
              <w:rPr>
                <w:rFonts w:ascii="Arial" w:eastAsia="Times New Roman" w:hAnsi="Arial" w:cs="Arial"/>
                <w:sz w:val="20"/>
                <w:lang w:val="en-GB"/>
              </w:rPr>
              <w:t>]</w:t>
            </w:r>
          </w:p>
        </w:tc>
        <w:tc>
          <w:tcPr>
            <w:tcW w:w="2423" w:type="dxa"/>
          </w:tcPr>
          <w:p w14:paraId="1FCB4A0E"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Deep learning for transient stability assessment in power systems.</w:t>
            </w:r>
          </w:p>
        </w:tc>
        <w:tc>
          <w:tcPr>
            <w:tcW w:w="2423" w:type="dxa"/>
          </w:tcPr>
          <w:p w14:paraId="54E4B0E2"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Convolutional Neural Networks (CNN)</w:t>
            </w:r>
          </w:p>
        </w:tc>
        <w:tc>
          <w:tcPr>
            <w:tcW w:w="2423" w:type="dxa"/>
          </w:tcPr>
          <w:p w14:paraId="6462B7F9"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Limited to stability analysis; excluded cost or emission optimization.</w:t>
            </w:r>
          </w:p>
        </w:tc>
      </w:tr>
      <w:tr w:rsidR="00FA1AA6" w:rsidRPr="00FA1AA6" w14:paraId="5176DFD5" w14:textId="77777777" w:rsidTr="002E74DD">
        <w:tc>
          <w:tcPr>
            <w:tcW w:w="2422" w:type="dxa"/>
          </w:tcPr>
          <w:p w14:paraId="2DF2DAB3" w14:textId="047A9D81"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[6</w:t>
            </w:r>
            <w:r w:rsidR="009E1525">
              <w:rPr>
                <w:rFonts w:ascii="Arial" w:eastAsia="Times New Roman" w:hAnsi="Arial" w:cs="Arial"/>
                <w:sz w:val="20"/>
                <w:lang w:val="en-GB"/>
              </w:rPr>
              <w:t>9</w:t>
            </w:r>
            <w:r w:rsidRPr="00FA1AA6">
              <w:rPr>
                <w:rFonts w:ascii="Arial" w:eastAsia="Times New Roman" w:hAnsi="Arial" w:cs="Arial"/>
                <w:sz w:val="20"/>
                <w:lang w:val="en-GB"/>
              </w:rPr>
              <w:t>]</w:t>
            </w:r>
          </w:p>
        </w:tc>
        <w:tc>
          <w:tcPr>
            <w:tcW w:w="2423" w:type="dxa"/>
          </w:tcPr>
          <w:p w14:paraId="58BCD6B3"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Combined TCN-LSTM for short-term voltage stability.</w:t>
            </w:r>
          </w:p>
        </w:tc>
        <w:tc>
          <w:tcPr>
            <w:tcW w:w="2423" w:type="dxa"/>
          </w:tcPr>
          <w:p w14:paraId="5F856A6A"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Temporal CNN + LSTM</w:t>
            </w:r>
          </w:p>
        </w:tc>
        <w:tc>
          <w:tcPr>
            <w:tcW w:w="2423" w:type="dxa"/>
          </w:tcPr>
          <w:p w14:paraId="1C505919"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Did not integrate DERs or storage systems.</w:t>
            </w:r>
          </w:p>
        </w:tc>
      </w:tr>
      <w:tr w:rsidR="00FA1AA6" w:rsidRPr="00FA1AA6" w14:paraId="167E6615" w14:textId="77777777" w:rsidTr="002E74DD">
        <w:tc>
          <w:tcPr>
            <w:tcW w:w="2422" w:type="dxa"/>
          </w:tcPr>
          <w:p w14:paraId="5875E0B8" w14:textId="1BB4B3AC"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w:t>
            </w:r>
            <w:r w:rsidR="00E024AE">
              <w:rPr>
                <w:rFonts w:ascii="Arial" w:eastAsia="Times New Roman" w:hAnsi="Arial" w:cs="Arial"/>
                <w:sz w:val="20"/>
                <w:lang w:val="en-GB"/>
              </w:rPr>
              <w:t>70</w:t>
            </w:r>
            <w:r w:rsidRPr="00FA1AA6">
              <w:rPr>
                <w:rFonts w:ascii="Arial" w:eastAsia="Times New Roman" w:hAnsi="Arial" w:cs="Arial"/>
                <w:sz w:val="20"/>
                <w:lang w:val="en-GB"/>
              </w:rPr>
              <w:t>]</w:t>
            </w:r>
          </w:p>
        </w:tc>
        <w:tc>
          <w:tcPr>
            <w:tcW w:w="2423" w:type="dxa"/>
          </w:tcPr>
          <w:p w14:paraId="3D3AD3BA"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ANN-based fault detection for Nigerian 330kV lines.</w:t>
            </w:r>
          </w:p>
        </w:tc>
        <w:tc>
          <w:tcPr>
            <w:tcW w:w="2423" w:type="dxa"/>
          </w:tcPr>
          <w:p w14:paraId="14D95B18"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ANN + Travelling wave theory</w:t>
            </w:r>
          </w:p>
        </w:tc>
        <w:tc>
          <w:tcPr>
            <w:tcW w:w="2423" w:type="dxa"/>
          </w:tcPr>
          <w:p w14:paraId="718856FF"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Limited to fault detection; no grid interconnection analysis.</w:t>
            </w:r>
          </w:p>
        </w:tc>
      </w:tr>
      <w:tr w:rsidR="00FA1AA6" w:rsidRPr="00FA1AA6" w14:paraId="65EE3637" w14:textId="77777777" w:rsidTr="002E74DD">
        <w:tc>
          <w:tcPr>
            <w:tcW w:w="2422" w:type="dxa"/>
          </w:tcPr>
          <w:p w14:paraId="0A1EE768" w14:textId="093B0694"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w:t>
            </w:r>
            <w:r w:rsidR="00EC67BB">
              <w:rPr>
                <w:rFonts w:ascii="Arial" w:eastAsia="Times New Roman" w:hAnsi="Arial" w:cs="Arial"/>
                <w:sz w:val="20"/>
                <w:lang w:val="en-GB"/>
              </w:rPr>
              <w:t>71</w:t>
            </w:r>
            <w:r w:rsidRPr="00FA1AA6">
              <w:rPr>
                <w:rFonts w:ascii="Arial" w:eastAsia="Times New Roman" w:hAnsi="Arial" w:cs="Arial"/>
                <w:sz w:val="20"/>
                <w:lang w:val="en-GB"/>
              </w:rPr>
              <w:t>]</w:t>
            </w:r>
          </w:p>
        </w:tc>
        <w:tc>
          <w:tcPr>
            <w:tcW w:w="2423" w:type="dxa"/>
          </w:tcPr>
          <w:p w14:paraId="5EA047F6"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ANN-based fault identification in Onitsha-New Haven line.</w:t>
            </w:r>
          </w:p>
        </w:tc>
        <w:tc>
          <w:tcPr>
            <w:tcW w:w="2423" w:type="dxa"/>
          </w:tcPr>
          <w:p w14:paraId="45F597A3"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ANN + Signal processing</w:t>
            </w:r>
          </w:p>
        </w:tc>
        <w:tc>
          <w:tcPr>
            <w:tcW w:w="2423" w:type="dxa"/>
          </w:tcPr>
          <w:p w14:paraId="79C717EF"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Narrow focus on faults; no optimization or cost analysis.</w:t>
            </w:r>
          </w:p>
        </w:tc>
      </w:tr>
      <w:tr w:rsidR="00FA1AA6" w:rsidRPr="00FA1AA6" w14:paraId="307311EA" w14:textId="77777777" w:rsidTr="002E74DD">
        <w:tc>
          <w:tcPr>
            <w:tcW w:w="2422" w:type="dxa"/>
          </w:tcPr>
          <w:p w14:paraId="7EA2C8B3" w14:textId="58A4318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w:t>
            </w:r>
            <w:r w:rsidR="00EC67BB">
              <w:rPr>
                <w:rFonts w:ascii="Arial" w:eastAsia="Times New Roman" w:hAnsi="Arial" w:cs="Arial"/>
                <w:sz w:val="20"/>
                <w:lang w:val="en-GB"/>
              </w:rPr>
              <w:t>72</w:t>
            </w:r>
            <w:r w:rsidRPr="00FA1AA6">
              <w:rPr>
                <w:rFonts w:ascii="Arial" w:eastAsia="Times New Roman" w:hAnsi="Arial" w:cs="Arial"/>
                <w:sz w:val="20"/>
                <w:lang w:val="en-GB"/>
              </w:rPr>
              <w:t>]</w:t>
            </w:r>
          </w:p>
        </w:tc>
        <w:tc>
          <w:tcPr>
            <w:tcW w:w="2423" w:type="dxa"/>
          </w:tcPr>
          <w:p w14:paraId="45FA6A5F"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Modelled insulation defects in the Onitsha-New Haven line.</w:t>
            </w:r>
          </w:p>
        </w:tc>
        <w:tc>
          <w:tcPr>
            <w:tcW w:w="2423" w:type="dxa"/>
          </w:tcPr>
          <w:p w14:paraId="32CF955B"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MATLAB/Simulink simulations</w:t>
            </w:r>
          </w:p>
        </w:tc>
        <w:tc>
          <w:tcPr>
            <w:tcW w:w="2423" w:type="dxa"/>
          </w:tcPr>
          <w:p w14:paraId="60A18B8A"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Did not propose mitigation strategies or optimization frameworks.</w:t>
            </w:r>
          </w:p>
        </w:tc>
      </w:tr>
      <w:tr w:rsidR="00FA1AA6" w:rsidRPr="00FA1AA6" w14:paraId="71886DF0" w14:textId="77777777" w:rsidTr="002E74DD">
        <w:tc>
          <w:tcPr>
            <w:tcW w:w="2422" w:type="dxa"/>
          </w:tcPr>
          <w:p w14:paraId="4982FD3F" w14:textId="40480101"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w:t>
            </w:r>
            <w:r w:rsidR="009B64E1">
              <w:rPr>
                <w:rFonts w:ascii="Arial" w:eastAsia="Times New Roman" w:hAnsi="Arial" w:cs="Arial"/>
                <w:sz w:val="20"/>
                <w:lang w:val="en-GB"/>
              </w:rPr>
              <w:t>7</w:t>
            </w:r>
            <w:r w:rsidR="00EC67BB">
              <w:rPr>
                <w:rFonts w:ascii="Arial" w:eastAsia="Times New Roman" w:hAnsi="Arial" w:cs="Arial"/>
                <w:sz w:val="20"/>
                <w:lang w:val="en-GB"/>
              </w:rPr>
              <w:t>3</w:t>
            </w:r>
            <w:r w:rsidRPr="00FA1AA6">
              <w:rPr>
                <w:rFonts w:ascii="Arial" w:eastAsia="Times New Roman" w:hAnsi="Arial" w:cs="Arial"/>
                <w:sz w:val="20"/>
                <w:lang w:val="en-GB"/>
              </w:rPr>
              <w:t>]</w:t>
            </w:r>
          </w:p>
        </w:tc>
        <w:tc>
          <w:tcPr>
            <w:tcW w:w="2423" w:type="dxa"/>
          </w:tcPr>
          <w:p w14:paraId="413A3F6A"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Transient stability analysis of Nigeria’s 330 kV grid.</w:t>
            </w:r>
          </w:p>
        </w:tc>
        <w:tc>
          <w:tcPr>
            <w:tcW w:w="2423" w:type="dxa"/>
          </w:tcPr>
          <w:p w14:paraId="729FA411"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PSCAD/EMTDC simulations</w:t>
            </w:r>
          </w:p>
        </w:tc>
        <w:tc>
          <w:tcPr>
            <w:tcW w:w="2423" w:type="dxa"/>
          </w:tcPr>
          <w:p w14:paraId="716602DB"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Outdated; no integration of ML/AI techniques.</w:t>
            </w:r>
          </w:p>
        </w:tc>
      </w:tr>
      <w:tr w:rsidR="00FA1AA6" w:rsidRPr="00FA1AA6" w14:paraId="3BE3AF57" w14:textId="77777777" w:rsidTr="002E74DD">
        <w:tc>
          <w:tcPr>
            <w:tcW w:w="2422" w:type="dxa"/>
          </w:tcPr>
          <w:p w14:paraId="19EE7D10" w14:textId="3E4CB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[7</w:t>
            </w:r>
            <w:r w:rsidR="00EC67BB">
              <w:rPr>
                <w:rFonts w:ascii="Arial" w:eastAsia="Times New Roman" w:hAnsi="Arial" w:cs="Arial"/>
                <w:sz w:val="20"/>
                <w:lang w:val="en-GB"/>
              </w:rPr>
              <w:t>4</w:t>
            </w:r>
            <w:r w:rsidRPr="00FA1AA6">
              <w:rPr>
                <w:rFonts w:ascii="Arial" w:eastAsia="Times New Roman" w:hAnsi="Arial" w:cs="Arial"/>
                <w:sz w:val="20"/>
                <w:lang w:val="en-GB"/>
              </w:rPr>
              <w:t>]</w:t>
            </w:r>
          </w:p>
        </w:tc>
        <w:tc>
          <w:tcPr>
            <w:tcW w:w="2423" w:type="dxa"/>
          </w:tcPr>
          <w:p w14:paraId="6D407F70"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Adaptive auto-reclosing using harmonic signatures.</w:t>
            </w:r>
          </w:p>
        </w:tc>
        <w:tc>
          <w:tcPr>
            <w:tcW w:w="2423" w:type="dxa"/>
          </w:tcPr>
          <w:p w14:paraId="5E65E778"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Harmonic analysis + Adaptive logic</w:t>
            </w:r>
          </w:p>
        </w:tc>
        <w:tc>
          <w:tcPr>
            <w:tcW w:w="2423" w:type="dxa"/>
          </w:tcPr>
          <w:p w14:paraId="066DC322"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Limited to transmission lines; excluded microgrids or DERs.</w:t>
            </w:r>
          </w:p>
        </w:tc>
      </w:tr>
      <w:tr w:rsidR="00FA1AA6" w:rsidRPr="00FA1AA6" w14:paraId="357DE884" w14:textId="77777777" w:rsidTr="002E74DD">
        <w:tc>
          <w:tcPr>
            <w:tcW w:w="2422" w:type="dxa"/>
          </w:tcPr>
          <w:p w14:paraId="28CA7B17" w14:textId="22F026FC"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[7</w:t>
            </w:r>
            <w:r w:rsidR="00DD15CB">
              <w:rPr>
                <w:rFonts w:ascii="Arial" w:eastAsia="Times New Roman" w:hAnsi="Arial" w:cs="Arial"/>
                <w:sz w:val="20"/>
                <w:lang w:val="en-GB"/>
              </w:rPr>
              <w:t>5</w:t>
            </w:r>
            <w:r w:rsidRPr="00FA1AA6">
              <w:rPr>
                <w:rFonts w:ascii="Arial" w:eastAsia="Times New Roman" w:hAnsi="Arial" w:cs="Arial"/>
                <w:sz w:val="20"/>
                <w:lang w:val="en-GB"/>
              </w:rPr>
              <w:t>]</w:t>
            </w:r>
          </w:p>
        </w:tc>
        <w:tc>
          <w:tcPr>
            <w:tcW w:w="2423" w:type="dxa"/>
          </w:tcPr>
          <w:p w14:paraId="7AE0FD10"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Multifunctional DVR for power quality improvement.</w:t>
            </w:r>
          </w:p>
        </w:tc>
        <w:tc>
          <w:tcPr>
            <w:tcW w:w="2423" w:type="dxa"/>
          </w:tcPr>
          <w:p w14:paraId="24595B9B"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Dynamic Voltage Restorer (DVR) + PI control</w:t>
            </w:r>
          </w:p>
        </w:tc>
        <w:tc>
          <w:tcPr>
            <w:tcW w:w="2423" w:type="dxa"/>
          </w:tcPr>
          <w:p w14:paraId="131C087A"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No renewable energy integration.</w:t>
            </w:r>
          </w:p>
        </w:tc>
      </w:tr>
      <w:tr w:rsidR="00FA1AA6" w:rsidRPr="00FA1AA6" w14:paraId="48041FF8" w14:textId="77777777" w:rsidTr="002E74DD">
        <w:tc>
          <w:tcPr>
            <w:tcW w:w="2422" w:type="dxa"/>
          </w:tcPr>
          <w:p w14:paraId="3A4DF2A2" w14:textId="0F668052"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[7</w:t>
            </w:r>
            <w:r w:rsidR="00DD15CB">
              <w:rPr>
                <w:rFonts w:ascii="Arial" w:eastAsia="Times New Roman" w:hAnsi="Arial" w:cs="Arial"/>
                <w:sz w:val="20"/>
                <w:lang w:val="en-GB"/>
              </w:rPr>
              <w:t>6</w:t>
            </w:r>
            <w:r w:rsidRPr="00FA1AA6">
              <w:rPr>
                <w:rFonts w:ascii="Arial" w:eastAsia="Times New Roman" w:hAnsi="Arial" w:cs="Arial"/>
                <w:sz w:val="20"/>
                <w:lang w:val="en-GB"/>
              </w:rPr>
              <w:t>]</w:t>
            </w:r>
          </w:p>
        </w:tc>
        <w:tc>
          <w:tcPr>
            <w:tcW w:w="2423" w:type="dxa"/>
          </w:tcPr>
          <w:p w14:paraId="5B621328"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PSO-ANN for voltage sag mitigation in HRMs.</w:t>
            </w:r>
          </w:p>
        </w:tc>
        <w:tc>
          <w:tcPr>
            <w:tcW w:w="2423" w:type="dxa"/>
          </w:tcPr>
          <w:p w14:paraId="5C85CB5B"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PSO + ANN</w:t>
            </w:r>
          </w:p>
        </w:tc>
        <w:tc>
          <w:tcPr>
            <w:tcW w:w="2423" w:type="dxa"/>
          </w:tcPr>
          <w:p w14:paraId="13D75C7F"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Ignored battery degradation and grid synchronization.</w:t>
            </w:r>
          </w:p>
        </w:tc>
      </w:tr>
      <w:tr w:rsidR="00FA1AA6" w:rsidRPr="00FA1AA6" w14:paraId="074344E6" w14:textId="77777777" w:rsidTr="002E74DD">
        <w:tc>
          <w:tcPr>
            <w:tcW w:w="2422" w:type="dxa"/>
          </w:tcPr>
          <w:p w14:paraId="614B50E6" w14:textId="6C1DF219"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[7</w:t>
            </w:r>
            <w:r w:rsidR="00DD15CB">
              <w:rPr>
                <w:rFonts w:ascii="Arial" w:eastAsia="Times New Roman" w:hAnsi="Arial" w:cs="Arial"/>
                <w:sz w:val="20"/>
                <w:lang w:val="en-GB"/>
              </w:rPr>
              <w:t>7</w:t>
            </w:r>
            <w:r w:rsidRPr="00FA1AA6">
              <w:rPr>
                <w:rFonts w:ascii="Arial" w:eastAsia="Times New Roman" w:hAnsi="Arial" w:cs="Arial"/>
                <w:sz w:val="20"/>
                <w:lang w:val="en-GB"/>
              </w:rPr>
              <w:t>]</w:t>
            </w:r>
          </w:p>
        </w:tc>
        <w:tc>
          <w:tcPr>
            <w:tcW w:w="2423" w:type="dxa"/>
          </w:tcPr>
          <w:p w14:paraId="216B5F4C"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BOA-based unified power quality conditioner for DG systems.</w:t>
            </w:r>
          </w:p>
        </w:tc>
        <w:tc>
          <w:tcPr>
            <w:tcW w:w="2423" w:type="dxa"/>
          </w:tcPr>
          <w:p w14:paraId="2F33B4FC"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Butterfly Optimization Algorithm (BOA)</w:t>
            </w:r>
          </w:p>
        </w:tc>
        <w:tc>
          <w:tcPr>
            <w:tcW w:w="2423" w:type="dxa"/>
          </w:tcPr>
          <w:p w14:paraId="6DB3013C"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Limited to single-objective optimization.</w:t>
            </w:r>
          </w:p>
        </w:tc>
      </w:tr>
      <w:tr w:rsidR="00FA1AA6" w:rsidRPr="00FA1AA6" w14:paraId="79B41A9A" w14:textId="77777777" w:rsidTr="002E74DD">
        <w:tc>
          <w:tcPr>
            <w:tcW w:w="2422" w:type="dxa"/>
          </w:tcPr>
          <w:p w14:paraId="3AB6E6D3" w14:textId="77418375"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[7</w:t>
            </w:r>
            <w:r w:rsidR="00DD15CB">
              <w:rPr>
                <w:rFonts w:ascii="Arial" w:eastAsia="Times New Roman" w:hAnsi="Arial" w:cs="Arial"/>
                <w:sz w:val="20"/>
                <w:lang w:val="en-GB"/>
              </w:rPr>
              <w:t>8</w:t>
            </w:r>
            <w:r w:rsidRPr="00FA1AA6">
              <w:rPr>
                <w:rFonts w:ascii="Arial" w:eastAsia="Times New Roman" w:hAnsi="Arial" w:cs="Arial"/>
                <w:sz w:val="20"/>
                <w:lang w:val="en-GB"/>
              </w:rPr>
              <w:t>]</w:t>
            </w:r>
          </w:p>
        </w:tc>
        <w:tc>
          <w:tcPr>
            <w:tcW w:w="2423" w:type="dxa"/>
          </w:tcPr>
          <w:p w14:paraId="15C1FA22"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DVR for voltage quality improvement.</w:t>
            </w:r>
          </w:p>
        </w:tc>
        <w:tc>
          <w:tcPr>
            <w:tcW w:w="2423" w:type="dxa"/>
          </w:tcPr>
          <w:p w14:paraId="4DA596C9"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PI control + DVR</w:t>
            </w:r>
          </w:p>
        </w:tc>
        <w:tc>
          <w:tcPr>
            <w:tcW w:w="2423" w:type="dxa"/>
          </w:tcPr>
          <w:p w14:paraId="64966BD8"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It did not consider renewable sources or hybrid systems.</w:t>
            </w:r>
          </w:p>
        </w:tc>
      </w:tr>
      <w:tr w:rsidR="00FA1AA6" w:rsidRPr="00FA1AA6" w14:paraId="2911AD6F" w14:textId="77777777" w:rsidTr="002E74DD">
        <w:tc>
          <w:tcPr>
            <w:tcW w:w="2422" w:type="dxa"/>
          </w:tcPr>
          <w:p w14:paraId="0D6D7DAF" w14:textId="3837AFB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[7</w:t>
            </w:r>
            <w:r w:rsidR="00DD15CB">
              <w:rPr>
                <w:rFonts w:ascii="Arial" w:eastAsia="Times New Roman" w:hAnsi="Arial" w:cs="Arial"/>
                <w:sz w:val="20"/>
                <w:lang w:val="en-GB"/>
              </w:rPr>
              <w:t>9</w:t>
            </w:r>
            <w:r w:rsidRPr="00FA1AA6">
              <w:rPr>
                <w:rFonts w:ascii="Arial" w:eastAsia="Times New Roman" w:hAnsi="Arial" w:cs="Arial"/>
                <w:sz w:val="20"/>
                <w:lang w:val="en-GB"/>
              </w:rPr>
              <w:t>]</w:t>
            </w:r>
          </w:p>
        </w:tc>
        <w:tc>
          <w:tcPr>
            <w:tcW w:w="2423" w:type="dxa"/>
          </w:tcPr>
          <w:p w14:paraId="3C7B603E" w14:textId="77777777" w:rsidR="00FA1AA6" w:rsidRPr="00FA1AA6" w:rsidRDefault="00FA1AA6" w:rsidP="002E74DD">
            <w:pPr>
              <w:pStyle w:val="Body"/>
              <w:spacing w:after="0"/>
              <w:rPr>
                <w:rFonts w:ascii="Arial" w:eastAsia="Times New Roman" w:hAnsi="Arial" w:cs="Arial"/>
                <w:sz w:val="20"/>
                <w:lang w:val="en-GB"/>
              </w:rPr>
            </w:pPr>
            <w:proofErr w:type="spellStart"/>
            <w:r w:rsidRPr="00FA1AA6">
              <w:rPr>
                <w:rFonts w:ascii="Arial" w:eastAsia="Times New Roman" w:hAnsi="Arial" w:cs="Arial"/>
                <w:sz w:val="20"/>
                <w:lang w:val="en-GB"/>
              </w:rPr>
              <w:t>Transformerless</w:t>
            </w:r>
            <w:proofErr w:type="spellEnd"/>
            <w:r w:rsidRPr="00FA1AA6">
              <w:rPr>
                <w:rFonts w:ascii="Arial" w:eastAsia="Times New Roman" w:hAnsi="Arial" w:cs="Arial"/>
                <w:sz w:val="20"/>
                <w:lang w:val="en-GB"/>
              </w:rPr>
              <w:t xml:space="preserve"> DVR topology for voltage sag mitigation.</w:t>
            </w:r>
          </w:p>
        </w:tc>
        <w:tc>
          <w:tcPr>
            <w:tcW w:w="2423" w:type="dxa"/>
          </w:tcPr>
          <w:p w14:paraId="6427F0CE"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Multilevel inverter design</w:t>
            </w:r>
          </w:p>
        </w:tc>
        <w:tc>
          <w:tcPr>
            <w:tcW w:w="2423" w:type="dxa"/>
          </w:tcPr>
          <w:p w14:paraId="6B4DF735"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No integration with HRMs or optimization frameworks.</w:t>
            </w:r>
          </w:p>
        </w:tc>
      </w:tr>
      <w:tr w:rsidR="00FA1AA6" w:rsidRPr="00FA1AA6" w14:paraId="7715EF1A" w14:textId="77777777" w:rsidTr="002E74DD">
        <w:tc>
          <w:tcPr>
            <w:tcW w:w="2422" w:type="dxa"/>
          </w:tcPr>
          <w:p w14:paraId="2637347F" w14:textId="07981651"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w:t>
            </w:r>
            <w:r w:rsidR="00DD15CB">
              <w:rPr>
                <w:rFonts w:ascii="Arial" w:eastAsia="Times New Roman" w:hAnsi="Arial" w:cs="Arial"/>
                <w:sz w:val="20"/>
                <w:lang w:val="en-GB"/>
              </w:rPr>
              <w:t>80</w:t>
            </w:r>
            <w:r w:rsidRPr="00FA1AA6">
              <w:rPr>
                <w:rFonts w:ascii="Arial" w:eastAsia="Times New Roman" w:hAnsi="Arial" w:cs="Arial"/>
                <w:sz w:val="20"/>
                <w:lang w:val="en-GB"/>
              </w:rPr>
              <w:t>]</w:t>
            </w:r>
          </w:p>
        </w:tc>
        <w:tc>
          <w:tcPr>
            <w:tcW w:w="2423" w:type="dxa"/>
          </w:tcPr>
          <w:p w14:paraId="2EE5B651"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Fuzzy-PI controller for DVR in distribution systems.</w:t>
            </w:r>
          </w:p>
        </w:tc>
        <w:tc>
          <w:tcPr>
            <w:tcW w:w="2423" w:type="dxa"/>
          </w:tcPr>
          <w:p w14:paraId="3D901486"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Fuzzy logic + PI control</w:t>
            </w:r>
          </w:p>
        </w:tc>
        <w:tc>
          <w:tcPr>
            <w:tcW w:w="2423" w:type="dxa"/>
          </w:tcPr>
          <w:p w14:paraId="5B701D03"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Limited to distribution networks; excluded transmission-level HRMs.</w:t>
            </w:r>
          </w:p>
        </w:tc>
      </w:tr>
      <w:tr w:rsidR="00FA1AA6" w:rsidRPr="00FA1AA6" w14:paraId="0847FB0E" w14:textId="77777777" w:rsidTr="002E74DD">
        <w:tc>
          <w:tcPr>
            <w:tcW w:w="2422" w:type="dxa"/>
          </w:tcPr>
          <w:p w14:paraId="1F82B1AE" w14:textId="14CA9F9E"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w:t>
            </w:r>
            <w:r w:rsidR="006723A0">
              <w:rPr>
                <w:rFonts w:ascii="Arial" w:eastAsia="Times New Roman" w:hAnsi="Arial" w:cs="Arial"/>
                <w:sz w:val="20"/>
                <w:lang w:val="en-GB"/>
              </w:rPr>
              <w:t>8</w:t>
            </w:r>
            <w:r w:rsidR="00DD15CB">
              <w:rPr>
                <w:rFonts w:ascii="Arial" w:eastAsia="Times New Roman" w:hAnsi="Arial" w:cs="Arial"/>
                <w:sz w:val="20"/>
                <w:lang w:val="en-GB"/>
              </w:rPr>
              <w:t>1</w:t>
            </w:r>
            <w:r w:rsidRPr="00FA1AA6">
              <w:rPr>
                <w:rFonts w:ascii="Arial" w:eastAsia="Times New Roman" w:hAnsi="Arial" w:cs="Arial"/>
                <w:sz w:val="20"/>
                <w:lang w:val="en-GB"/>
              </w:rPr>
              <w:t>]</w:t>
            </w:r>
          </w:p>
        </w:tc>
        <w:tc>
          <w:tcPr>
            <w:tcW w:w="2423" w:type="dxa"/>
          </w:tcPr>
          <w:p w14:paraId="73E73627"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Fuzzy neural controller for DVR in HRMs.</w:t>
            </w:r>
          </w:p>
        </w:tc>
        <w:tc>
          <w:tcPr>
            <w:tcW w:w="2423" w:type="dxa"/>
          </w:tcPr>
          <w:p w14:paraId="08155D20"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Fuzzy logic + ANN</w:t>
            </w:r>
          </w:p>
        </w:tc>
        <w:tc>
          <w:tcPr>
            <w:tcW w:w="2423" w:type="dxa"/>
          </w:tcPr>
          <w:p w14:paraId="36A237EB"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It did not address grid interconnection stability.</w:t>
            </w:r>
          </w:p>
        </w:tc>
      </w:tr>
      <w:tr w:rsidR="00FA1AA6" w:rsidRPr="00FA1AA6" w14:paraId="30411193" w14:textId="77777777" w:rsidTr="002E74DD">
        <w:tc>
          <w:tcPr>
            <w:tcW w:w="2422" w:type="dxa"/>
          </w:tcPr>
          <w:p w14:paraId="4C7702E7" w14:textId="54AAFBF4"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lastRenderedPageBreak/>
              <w:t>[</w:t>
            </w:r>
            <w:r w:rsidR="00DD15CB">
              <w:rPr>
                <w:rFonts w:ascii="Arial" w:eastAsia="Times New Roman" w:hAnsi="Arial" w:cs="Arial"/>
                <w:sz w:val="20"/>
                <w:lang w:val="en-GB"/>
              </w:rPr>
              <w:t>82</w:t>
            </w:r>
            <w:r w:rsidRPr="00FA1AA6">
              <w:rPr>
                <w:rFonts w:ascii="Arial" w:eastAsia="Times New Roman" w:hAnsi="Arial" w:cs="Arial"/>
                <w:sz w:val="20"/>
                <w:lang w:val="en-GB"/>
              </w:rPr>
              <w:t>]</w:t>
            </w:r>
          </w:p>
        </w:tc>
        <w:tc>
          <w:tcPr>
            <w:tcW w:w="2423" w:type="dxa"/>
          </w:tcPr>
          <w:p w14:paraId="0CB74850"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AI-based energy prediction for solar systems.</w:t>
            </w:r>
          </w:p>
        </w:tc>
        <w:tc>
          <w:tcPr>
            <w:tcW w:w="2423" w:type="dxa"/>
          </w:tcPr>
          <w:p w14:paraId="6E5DEA38"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ANN + Regression models</w:t>
            </w:r>
          </w:p>
        </w:tc>
        <w:tc>
          <w:tcPr>
            <w:tcW w:w="2423" w:type="dxa"/>
          </w:tcPr>
          <w:p w14:paraId="23EF5949"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Focused only on solar; excluded wind, storage, or hybrid optimization.</w:t>
            </w:r>
          </w:p>
        </w:tc>
      </w:tr>
      <w:tr w:rsidR="00FA1AA6" w:rsidRPr="00FA1AA6" w14:paraId="7FB57676" w14:textId="77777777" w:rsidTr="002E74DD">
        <w:tc>
          <w:tcPr>
            <w:tcW w:w="2422" w:type="dxa"/>
          </w:tcPr>
          <w:p w14:paraId="4B4BF5E4" w14:textId="3C41A3B8"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w:t>
            </w:r>
            <w:r w:rsidR="006723A0">
              <w:rPr>
                <w:rFonts w:ascii="Arial" w:eastAsia="Times New Roman" w:hAnsi="Arial" w:cs="Arial"/>
                <w:sz w:val="20"/>
                <w:lang w:val="en-GB"/>
              </w:rPr>
              <w:t>8</w:t>
            </w:r>
            <w:r w:rsidR="0001677F">
              <w:rPr>
                <w:rFonts w:ascii="Arial" w:eastAsia="Times New Roman" w:hAnsi="Arial" w:cs="Arial"/>
                <w:sz w:val="20"/>
                <w:lang w:val="en-GB"/>
              </w:rPr>
              <w:t>3</w:t>
            </w:r>
            <w:r w:rsidRPr="00FA1AA6">
              <w:rPr>
                <w:rFonts w:ascii="Arial" w:eastAsia="Times New Roman" w:hAnsi="Arial" w:cs="Arial"/>
                <w:sz w:val="20"/>
                <w:lang w:val="en-GB"/>
              </w:rPr>
              <w:t>]</w:t>
            </w:r>
          </w:p>
        </w:tc>
        <w:tc>
          <w:tcPr>
            <w:tcW w:w="2423" w:type="dxa"/>
          </w:tcPr>
          <w:p w14:paraId="3C24FC3A"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Hybrid classification for student performance (non-energy).</w:t>
            </w:r>
          </w:p>
        </w:tc>
        <w:tc>
          <w:tcPr>
            <w:tcW w:w="2423" w:type="dxa"/>
          </w:tcPr>
          <w:p w14:paraId="71ED1316"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ML classifiers (SVM, DT)</w:t>
            </w:r>
          </w:p>
        </w:tc>
        <w:tc>
          <w:tcPr>
            <w:tcW w:w="2423" w:type="dxa"/>
          </w:tcPr>
          <w:p w14:paraId="2F0220EA"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Irrelevant to HRMs; included for methodology comparison.</w:t>
            </w:r>
          </w:p>
        </w:tc>
      </w:tr>
      <w:tr w:rsidR="00FA1AA6" w:rsidRPr="00FA1AA6" w14:paraId="6B1ACFA4" w14:textId="77777777" w:rsidTr="002E74DD">
        <w:tc>
          <w:tcPr>
            <w:tcW w:w="2422" w:type="dxa"/>
          </w:tcPr>
          <w:p w14:paraId="6F8E9BAE" w14:textId="5C1732BA"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[8</w:t>
            </w:r>
            <w:r w:rsidR="0001677F">
              <w:rPr>
                <w:rFonts w:ascii="Arial" w:eastAsia="Times New Roman" w:hAnsi="Arial" w:cs="Arial"/>
                <w:sz w:val="20"/>
                <w:lang w:val="en-GB"/>
              </w:rPr>
              <w:t>4</w:t>
            </w:r>
            <w:r w:rsidRPr="00FA1AA6">
              <w:rPr>
                <w:rFonts w:ascii="Arial" w:eastAsia="Times New Roman" w:hAnsi="Arial" w:cs="Arial"/>
                <w:sz w:val="20"/>
                <w:lang w:val="en-GB"/>
              </w:rPr>
              <w:t>]</w:t>
            </w:r>
          </w:p>
        </w:tc>
        <w:tc>
          <w:tcPr>
            <w:tcW w:w="2423" w:type="dxa"/>
          </w:tcPr>
          <w:p w14:paraId="4CF74424"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Adaptive ant colony clustering in WSNs.</w:t>
            </w:r>
          </w:p>
        </w:tc>
        <w:tc>
          <w:tcPr>
            <w:tcW w:w="2423" w:type="dxa"/>
          </w:tcPr>
          <w:p w14:paraId="44FE0281"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Ant Colony Optimization (ACO)</w:t>
            </w:r>
          </w:p>
        </w:tc>
        <w:tc>
          <w:tcPr>
            <w:tcW w:w="2423" w:type="dxa"/>
          </w:tcPr>
          <w:p w14:paraId="5FB2D824"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Focused on WSNs; no link to HRM energy management.</w:t>
            </w:r>
          </w:p>
        </w:tc>
      </w:tr>
      <w:tr w:rsidR="00FA1AA6" w:rsidRPr="00FA1AA6" w14:paraId="643E8994" w14:textId="77777777" w:rsidTr="002E74DD">
        <w:tc>
          <w:tcPr>
            <w:tcW w:w="2422" w:type="dxa"/>
          </w:tcPr>
          <w:p w14:paraId="7E9CBC5D" w14:textId="410DBE5A"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[8</w:t>
            </w:r>
            <w:r w:rsidR="0001677F">
              <w:rPr>
                <w:rFonts w:ascii="Arial" w:eastAsia="Times New Roman" w:hAnsi="Arial" w:cs="Arial"/>
                <w:sz w:val="20"/>
                <w:lang w:val="en-GB"/>
              </w:rPr>
              <w:t>5</w:t>
            </w:r>
            <w:r w:rsidRPr="00FA1AA6">
              <w:rPr>
                <w:rFonts w:ascii="Arial" w:eastAsia="Times New Roman" w:hAnsi="Arial" w:cs="Arial"/>
                <w:sz w:val="20"/>
                <w:lang w:val="en-GB"/>
              </w:rPr>
              <w:t>]</w:t>
            </w:r>
          </w:p>
        </w:tc>
        <w:tc>
          <w:tcPr>
            <w:tcW w:w="2423" w:type="dxa"/>
          </w:tcPr>
          <w:p w14:paraId="5DF32A4E"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Semi-supervised ML for power system security.</w:t>
            </w:r>
          </w:p>
        </w:tc>
        <w:tc>
          <w:tcPr>
            <w:tcW w:w="2423" w:type="dxa"/>
          </w:tcPr>
          <w:p w14:paraId="54AAC92D"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Multi-task learning</w:t>
            </w:r>
          </w:p>
        </w:tc>
        <w:tc>
          <w:tcPr>
            <w:tcW w:w="2423" w:type="dxa"/>
          </w:tcPr>
          <w:p w14:paraId="36F4B132"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It did not address HRM-specific challenges like bidirectional power flow.</w:t>
            </w:r>
          </w:p>
        </w:tc>
      </w:tr>
      <w:tr w:rsidR="00FA1AA6" w:rsidRPr="00FA1AA6" w14:paraId="1201CB2D" w14:textId="77777777" w:rsidTr="002E74DD">
        <w:tc>
          <w:tcPr>
            <w:tcW w:w="2422" w:type="dxa"/>
          </w:tcPr>
          <w:p w14:paraId="4E30D85E" w14:textId="55536A41"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[8</w:t>
            </w:r>
            <w:r w:rsidR="0001677F">
              <w:rPr>
                <w:rFonts w:ascii="Arial" w:eastAsia="Times New Roman" w:hAnsi="Arial" w:cs="Arial"/>
                <w:sz w:val="20"/>
                <w:lang w:val="en-GB"/>
              </w:rPr>
              <w:t>6</w:t>
            </w:r>
            <w:r w:rsidRPr="00FA1AA6">
              <w:rPr>
                <w:rFonts w:ascii="Arial" w:eastAsia="Times New Roman" w:hAnsi="Arial" w:cs="Arial"/>
                <w:sz w:val="20"/>
                <w:lang w:val="en-GB"/>
              </w:rPr>
              <w:t>]</w:t>
            </w:r>
          </w:p>
        </w:tc>
        <w:tc>
          <w:tcPr>
            <w:tcW w:w="2423" w:type="dxa"/>
          </w:tcPr>
          <w:p w14:paraId="42E973AD"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Deep learning for short-term voltage stability.</w:t>
            </w:r>
          </w:p>
        </w:tc>
        <w:tc>
          <w:tcPr>
            <w:tcW w:w="2423" w:type="dxa"/>
          </w:tcPr>
          <w:p w14:paraId="11079269"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CNN + LSTM</w:t>
            </w:r>
          </w:p>
        </w:tc>
        <w:tc>
          <w:tcPr>
            <w:tcW w:w="2423" w:type="dxa"/>
          </w:tcPr>
          <w:p w14:paraId="6A888276"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Excluded economic or environmental optimization.</w:t>
            </w:r>
          </w:p>
        </w:tc>
      </w:tr>
      <w:tr w:rsidR="00FA1AA6" w:rsidRPr="00FA1AA6" w14:paraId="1523AB00" w14:textId="77777777" w:rsidTr="00BB7C0C">
        <w:tc>
          <w:tcPr>
            <w:tcW w:w="2422" w:type="dxa"/>
            <w:tcBorders>
              <w:bottom w:val="single" w:sz="4" w:space="0" w:color="auto"/>
            </w:tcBorders>
          </w:tcPr>
          <w:p w14:paraId="69DC3CCF" w14:textId="7588F3CD"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[8</w:t>
            </w:r>
            <w:r w:rsidR="0001677F">
              <w:rPr>
                <w:rFonts w:ascii="Arial" w:eastAsia="Times New Roman" w:hAnsi="Arial" w:cs="Arial"/>
                <w:sz w:val="20"/>
                <w:lang w:val="en-GB"/>
              </w:rPr>
              <w:t>7</w:t>
            </w:r>
            <w:r w:rsidRPr="00FA1AA6">
              <w:rPr>
                <w:rFonts w:ascii="Arial" w:eastAsia="Times New Roman" w:hAnsi="Arial" w:cs="Arial"/>
                <w:sz w:val="20"/>
                <w:lang w:val="en-GB"/>
              </w:rPr>
              <w:t>]</w:t>
            </w:r>
          </w:p>
        </w:tc>
        <w:tc>
          <w:tcPr>
            <w:tcW w:w="2423" w:type="dxa"/>
            <w:tcBorders>
              <w:bottom w:val="single" w:sz="4" w:space="0" w:color="auto"/>
            </w:tcBorders>
          </w:tcPr>
          <w:p w14:paraId="4115CBA2"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Harmonic-based SVM for transient fault detection.</w:t>
            </w:r>
          </w:p>
        </w:tc>
        <w:tc>
          <w:tcPr>
            <w:tcW w:w="2423" w:type="dxa"/>
            <w:tcBorders>
              <w:bottom w:val="single" w:sz="4" w:space="0" w:color="auto"/>
            </w:tcBorders>
          </w:tcPr>
          <w:p w14:paraId="7C31D80B"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SVM + Harmonic analysis</w:t>
            </w:r>
          </w:p>
        </w:tc>
        <w:tc>
          <w:tcPr>
            <w:tcW w:w="2423" w:type="dxa"/>
            <w:tcBorders>
              <w:bottom w:val="single" w:sz="4" w:space="0" w:color="auto"/>
            </w:tcBorders>
          </w:tcPr>
          <w:p w14:paraId="1F3A282B" w14:textId="77777777" w:rsidR="00FA1AA6" w:rsidRPr="00FA1AA6" w:rsidRDefault="00FA1AA6" w:rsidP="002E74DD">
            <w:pPr>
              <w:pStyle w:val="Body"/>
              <w:spacing w:after="0"/>
              <w:rPr>
                <w:rFonts w:ascii="Arial" w:eastAsia="Times New Roman" w:hAnsi="Arial" w:cs="Arial"/>
                <w:sz w:val="20"/>
                <w:lang w:val="en-GB"/>
              </w:rPr>
            </w:pPr>
            <w:r w:rsidRPr="00FA1AA6">
              <w:rPr>
                <w:rFonts w:ascii="Arial" w:eastAsia="Times New Roman" w:hAnsi="Arial" w:cs="Arial"/>
                <w:sz w:val="20"/>
                <w:lang w:val="en-GB"/>
              </w:rPr>
              <w:t>Limited to HV networks; no microgrid application.</w:t>
            </w:r>
          </w:p>
        </w:tc>
      </w:tr>
    </w:tbl>
    <w:p w14:paraId="1463ED61" w14:textId="77777777" w:rsidR="00FA1AA6" w:rsidRPr="00FA1AA6" w:rsidRDefault="00FA1AA6" w:rsidP="00FA1AA6">
      <w:pPr>
        <w:pStyle w:val="Body"/>
        <w:spacing w:after="0"/>
        <w:rPr>
          <w:rFonts w:ascii="Arial" w:hAnsi="Arial" w:cs="Arial"/>
          <w:lang w:val="en-GB"/>
        </w:rPr>
      </w:pPr>
    </w:p>
    <w:p w14:paraId="6178A2D6" w14:textId="2380A51F" w:rsidR="00524961" w:rsidRDefault="00524961" w:rsidP="00524961">
      <w:pPr>
        <w:pStyle w:val="Body"/>
        <w:spacing w:after="0"/>
        <w:rPr>
          <w:rFonts w:ascii="Arial" w:hAnsi="Arial" w:cs="Arial"/>
        </w:rPr>
      </w:pPr>
      <w:r>
        <w:rPr>
          <w:rFonts w:ascii="Arial" w:hAnsi="Arial" w:cs="Arial"/>
          <w:b/>
          <w:caps/>
          <w:sz w:val="22"/>
        </w:rPr>
        <w:t>4</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Pr="00524961">
        <w:rPr>
          <w:rFonts w:ascii="Arial" w:hAnsi="Arial" w:cs="Arial"/>
          <w:b/>
          <w:sz w:val="22"/>
        </w:rPr>
        <w:t>Future Prospects in Hybrid Renewable Microgrid (HRM) Research</w:t>
      </w:r>
      <w:r w:rsidRPr="00FB3A86">
        <w:rPr>
          <w:rFonts w:ascii="Arial" w:hAnsi="Arial" w:cs="Arial"/>
        </w:rPr>
        <w:t xml:space="preserve">  </w:t>
      </w:r>
    </w:p>
    <w:p w14:paraId="6C0BCECC" w14:textId="77777777" w:rsidR="00524961" w:rsidRDefault="00524961" w:rsidP="00524961">
      <w:pPr>
        <w:pStyle w:val="Body"/>
        <w:spacing w:after="0"/>
        <w:rPr>
          <w:rFonts w:ascii="Arial" w:hAnsi="Arial" w:cs="Arial"/>
        </w:rPr>
      </w:pPr>
    </w:p>
    <w:p w14:paraId="31A534E6" w14:textId="0FA548D4" w:rsidR="00524961" w:rsidRDefault="00524961" w:rsidP="00524961">
      <w:pPr>
        <w:pStyle w:val="Body"/>
        <w:spacing w:after="0"/>
        <w:rPr>
          <w:rFonts w:ascii="Arial" w:hAnsi="Arial" w:cs="Arial"/>
          <w:lang w:val="en-GB"/>
        </w:rPr>
      </w:pPr>
      <w:r w:rsidRPr="00524961">
        <w:rPr>
          <w:rFonts w:ascii="Arial" w:hAnsi="Arial" w:cs="Arial"/>
          <w:lang w:val="en-GB"/>
        </w:rPr>
        <w:t>Integrating artificial intelligence (AI) and advanced machine learning (ML) algorithms presents a transformative avenue for optimizing HRM operations. As [8</w:t>
      </w:r>
      <w:r w:rsidR="00B17B85">
        <w:rPr>
          <w:rFonts w:ascii="Arial" w:hAnsi="Arial" w:cs="Arial"/>
          <w:lang w:val="en-GB"/>
        </w:rPr>
        <w:t>8</w:t>
      </w:r>
      <w:r w:rsidRPr="00524961">
        <w:rPr>
          <w:rFonts w:ascii="Arial" w:hAnsi="Arial" w:cs="Arial"/>
          <w:lang w:val="en-GB"/>
        </w:rPr>
        <w:t>] demonstrated in their work on adaptive energy management systems, recent advancements in reinforcement learning and deep neural networks enable real-time decision-making under stochastic renewable generation and load variability. These systems could dynamically recalibrate dispatch strategies, predictive maintenance schedules, and fault-response protocols, minimizing reliance on deterministic models. Furthermore, the emergence of digital twin technology, as explored by [8</w:t>
      </w:r>
      <w:r w:rsidR="00B17B85">
        <w:rPr>
          <w:rFonts w:ascii="Arial" w:hAnsi="Arial" w:cs="Arial"/>
          <w:lang w:val="en-GB"/>
        </w:rPr>
        <w:t>9</w:t>
      </w:r>
      <w:r w:rsidRPr="00524961">
        <w:rPr>
          <w:rFonts w:ascii="Arial" w:hAnsi="Arial" w:cs="Arial"/>
          <w:lang w:val="en-GB"/>
        </w:rPr>
        <w:t>] in their framework for virtual HRM prototyping, allows for high-fidelity simulation of physical microgrids, incorporating real-time sensor data to predict component degradation and optimize lifecycle costs. Such innovations promise to bridge the gap between theoretical models and operational resilience, particularly in remote or resource-constrained environments.</w:t>
      </w:r>
    </w:p>
    <w:p w14:paraId="1A422038" w14:textId="77777777" w:rsidR="00524961" w:rsidRPr="00524961" w:rsidRDefault="00524961" w:rsidP="00524961">
      <w:pPr>
        <w:pStyle w:val="Body"/>
        <w:spacing w:after="0"/>
        <w:rPr>
          <w:rFonts w:ascii="Arial" w:hAnsi="Arial" w:cs="Arial"/>
          <w:lang w:val="en-GB"/>
        </w:rPr>
      </w:pPr>
    </w:p>
    <w:p w14:paraId="1F3994AE" w14:textId="3324237B" w:rsidR="00524961" w:rsidRDefault="00524961" w:rsidP="00524961">
      <w:pPr>
        <w:pStyle w:val="Body"/>
        <w:spacing w:after="0"/>
        <w:rPr>
          <w:rFonts w:ascii="Arial" w:hAnsi="Arial" w:cs="Arial"/>
          <w:lang w:val="en-GB"/>
        </w:rPr>
      </w:pPr>
      <w:r w:rsidRPr="00524961">
        <w:rPr>
          <w:rFonts w:ascii="Arial" w:hAnsi="Arial" w:cs="Arial"/>
          <w:lang w:val="en-GB"/>
        </w:rPr>
        <w:t>A second critical prospect lies in developing next-generation energy storage systems, including solid-state batteries and hydrogen-based storage, which could revolutionize HRM scalability and sustainability. Chen et al. [</w:t>
      </w:r>
      <w:r w:rsidR="00B17B85">
        <w:rPr>
          <w:rFonts w:ascii="Arial" w:hAnsi="Arial" w:cs="Arial"/>
          <w:lang w:val="en-GB"/>
        </w:rPr>
        <w:t>90</w:t>
      </w:r>
      <w:r w:rsidRPr="00524961">
        <w:rPr>
          <w:rFonts w:ascii="Arial" w:hAnsi="Arial" w:cs="Arial"/>
          <w:lang w:val="en-GB"/>
        </w:rPr>
        <w:t>] research on lithium-</w:t>
      </w:r>
      <w:r w:rsidR="0076736C" w:rsidRPr="00524961">
        <w:rPr>
          <w:rFonts w:ascii="Arial" w:hAnsi="Arial" w:cs="Arial"/>
          <w:lang w:val="en-GB"/>
        </w:rPr>
        <w:t>sulphur</w:t>
      </w:r>
      <w:r w:rsidRPr="00524961">
        <w:rPr>
          <w:rFonts w:ascii="Arial" w:hAnsi="Arial" w:cs="Arial"/>
          <w:lang w:val="en-GB"/>
        </w:rPr>
        <w:t xml:space="preserve"> batteries highlights potential energy density improvements exceeding 500 </w:t>
      </w:r>
      <w:proofErr w:type="spellStart"/>
      <w:r w:rsidRPr="00524961">
        <w:rPr>
          <w:rFonts w:ascii="Arial" w:hAnsi="Arial" w:cs="Arial"/>
          <w:lang w:val="en-GB"/>
        </w:rPr>
        <w:t>Wh</w:t>
      </w:r>
      <w:proofErr w:type="spellEnd"/>
      <w:r w:rsidRPr="00524961">
        <w:rPr>
          <w:rFonts w:ascii="Arial" w:hAnsi="Arial" w:cs="Arial"/>
          <w:lang w:val="en-GB"/>
        </w:rPr>
        <w:t>/kg, addressing current limitations in battery storage capacity and cycle life. Concurrently, hybrid storage architectures integrating supercapacitors for rapid charge-discharge cycles, as [</w:t>
      </w:r>
      <w:r w:rsidR="00B17B85">
        <w:rPr>
          <w:rFonts w:ascii="Arial" w:hAnsi="Arial" w:cs="Arial"/>
          <w:lang w:val="en-GB"/>
        </w:rPr>
        <w:t>91</w:t>
      </w:r>
      <w:r w:rsidRPr="00524961">
        <w:rPr>
          <w:rFonts w:ascii="Arial" w:hAnsi="Arial" w:cs="Arial"/>
          <w:lang w:val="en-GB"/>
        </w:rPr>
        <w:t>] proposed, could mitigate the intermittency of solar and wind resources more effectively. Policy-driven initiatives, such as the European Union’s Green Deal and the International Renewable Energy Agency’s (IRENA) roadmap for decarbonization, further emphasize the need for standardized regulatory frameworks to incentivize HRM adoption. These frameworks must address techno-economic barriers, such as tariff structures for peer-to-peer energy trading and carbon pricing mechanisms, as [</w:t>
      </w:r>
      <w:r w:rsidR="007B0C47">
        <w:rPr>
          <w:rFonts w:ascii="Arial" w:hAnsi="Arial" w:cs="Arial"/>
          <w:lang w:val="en-GB"/>
        </w:rPr>
        <w:t>92</w:t>
      </w:r>
      <w:r w:rsidRPr="00524961">
        <w:rPr>
          <w:rFonts w:ascii="Arial" w:hAnsi="Arial" w:cs="Arial"/>
          <w:lang w:val="en-GB"/>
        </w:rPr>
        <w:t xml:space="preserve">] analysed in their cross-national study of microgrid financing. Lastly, </w:t>
      </w:r>
      <w:r w:rsidRPr="00524961">
        <w:rPr>
          <w:rFonts w:ascii="Arial" w:hAnsi="Arial" w:cs="Arial"/>
          <w:lang w:val="en-GB"/>
        </w:rPr>
        <w:lastRenderedPageBreak/>
        <w:t>converging decentralized energy systems with blockchain-enabled transactive energy platforms, as piloted in the Brooklyn Microgrid Project, could democratize energy access while ensuring grid stability through distributed consensus algorithms. Collectively, these prospects align with global decarbonization goals while addressing the technical, economic, and socio-political complexities inherent in HRM deployment.</w:t>
      </w:r>
    </w:p>
    <w:p w14:paraId="5DDBBA09" w14:textId="77777777" w:rsidR="00CD25F5" w:rsidRDefault="00CD25F5" w:rsidP="00524961">
      <w:pPr>
        <w:pStyle w:val="Body"/>
        <w:spacing w:after="0"/>
        <w:rPr>
          <w:rFonts w:ascii="Arial" w:hAnsi="Arial" w:cs="Arial"/>
        </w:rPr>
      </w:pPr>
    </w:p>
    <w:p w14:paraId="3D9C5D5B"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2B650D7" w14:textId="77777777" w:rsidR="00790ADA" w:rsidRPr="00FB3A86" w:rsidRDefault="00790ADA" w:rsidP="00441B6F">
      <w:pPr>
        <w:pStyle w:val="ConcHead"/>
        <w:spacing w:after="0"/>
        <w:jc w:val="both"/>
        <w:rPr>
          <w:rFonts w:ascii="Arial" w:hAnsi="Arial" w:cs="Arial"/>
        </w:rPr>
      </w:pPr>
    </w:p>
    <w:p w14:paraId="17480759" w14:textId="6B740D36" w:rsidR="00B01FCD" w:rsidRDefault="00864BF2" w:rsidP="00441B6F">
      <w:pPr>
        <w:pStyle w:val="Body"/>
        <w:spacing w:after="0"/>
        <w:rPr>
          <w:rFonts w:ascii="Arial" w:hAnsi="Arial" w:cs="Arial"/>
        </w:rPr>
      </w:pPr>
      <w:r w:rsidRPr="00E34569">
        <w:rPr>
          <w:rFonts w:ascii="Arial" w:hAnsi="Arial" w:cs="Arial"/>
          <w:highlight w:val="yellow"/>
          <w:lang w:val="en-GB"/>
        </w:rPr>
        <w:t xml:space="preserve">Hybrid Renewable Microgrids represent a transformative leap in sustainable energy integration, combining solar, wind, diesel, and storage technologies to mitigate intermittency, enhance reliability, and minimize environmental impact. Through component-specific modelling such as non-linear fuel consumption analysis for diesel generators, Weibull-distributed wind resource characterization, and Kalman filter-based battery state-of-charge optimization. These microgrids achieve efficient energy dispatch and extended lifecycle performance. Despite persistent challenges in economic feasibility, technical interoperability, and regulatory alignment, advancements in AI-driven energy management, digital twins for predictive maintenance, and next-generation storage solutions, including solid-state batteries and hydrogen-based systems, offer viable pathways for large-scale implementation. Policy mechanisms and blockchain-enabled transactive energy frameworks further reinforce the socio-technical synergy essential for widespread adoption. With the convergence of advanced analytics, material science innovations, and decentralized governance, </w:t>
      </w:r>
      <w:r w:rsidRPr="00E34569">
        <w:rPr>
          <w:rFonts w:ascii="Arial" w:hAnsi="Arial" w:cs="Arial"/>
          <w:highlight w:val="yellow"/>
          <w:lang w:val="en-GB"/>
        </w:rPr>
        <w:t>HRM</w:t>
      </w:r>
      <w:r w:rsidRPr="00E34569">
        <w:rPr>
          <w:rFonts w:ascii="Arial" w:hAnsi="Arial" w:cs="Arial"/>
          <w:highlight w:val="yellow"/>
          <w:lang w:val="en-GB"/>
        </w:rPr>
        <w:t>s stand as a cornerstone for achieving global decarbonization objectives while fostering equitable energy access and grid stability across diverse regions. Future exploration of federated learning techniques can refine optimization strategies, ensuring effective data utilization while maintaining privacy in complex energy ecosystems.</w:t>
      </w:r>
      <w:r w:rsidR="00A06A21" w:rsidRPr="00A06A21">
        <w:rPr>
          <w:rFonts w:ascii="Arial" w:hAnsi="Arial" w:cs="Arial"/>
          <w:lang w:val="en-GB"/>
        </w:rPr>
        <w:t xml:space="preserve"> </w:t>
      </w:r>
    </w:p>
    <w:p w14:paraId="414EA07F" w14:textId="77777777" w:rsidR="00790ADA" w:rsidRPr="00FB3A86" w:rsidRDefault="00790ADA" w:rsidP="00441B6F">
      <w:pPr>
        <w:pStyle w:val="Body"/>
        <w:spacing w:after="0"/>
        <w:rPr>
          <w:rFonts w:ascii="Arial" w:hAnsi="Arial" w:cs="Arial"/>
        </w:rPr>
      </w:pPr>
    </w:p>
    <w:p w14:paraId="783C13BA" w14:textId="1DA388AA" w:rsidR="00860000" w:rsidRDefault="000811F3" w:rsidP="00441B6F">
      <w:pPr>
        <w:pStyle w:val="ReferHead"/>
        <w:spacing w:after="0"/>
        <w:jc w:val="both"/>
        <w:rPr>
          <w:rFonts w:ascii="Arial" w:hAnsi="Arial" w:cs="Arial"/>
          <w:b w:val="0"/>
          <w:caps w:val="0"/>
          <w:sz w:val="20"/>
        </w:rPr>
      </w:pPr>
      <w:r>
        <w:rPr>
          <w:rFonts w:ascii="Arial" w:hAnsi="Arial" w:cs="Arial"/>
          <w:b w:val="0"/>
          <w:caps w:val="0"/>
          <w:sz w:val="20"/>
        </w:rPr>
        <w:t xml:space="preserve"> </w:t>
      </w:r>
    </w:p>
    <w:p w14:paraId="1C5E85BD" w14:textId="77777777" w:rsidR="00403E57" w:rsidRPr="00394842" w:rsidRDefault="00403E57" w:rsidP="00403E57">
      <w:pPr>
        <w:rPr>
          <w:highlight w:val="yellow"/>
        </w:rPr>
      </w:pPr>
      <w:r w:rsidRPr="00394842">
        <w:rPr>
          <w:highlight w:val="yellow"/>
        </w:rPr>
        <w:t>Disclaimer (Artificial intelligence)</w:t>
      </w:r>
    </w:p>
    <w:p w14:paraId="2A9D1C63" w14:textId="77777777" w:rsidR="00403E57" w:rsidRPr="00394842" w:rsidRDefault="00403E57" w:rsidP="00403E57">
      <w:pPr>
        <w:rPr>
          <w:highlight w:val="yellow"/>
        </w:rPr>
      </w:pPr>
    </w:p>
    <w:p w14:paraId="6856BEA8" w14:textId="77777777" w:rsidR="00403E57" w:rsidRPr="00394842" w:rsidRDefault="00403E57" w:rsidP="00403E57">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NO generative AI technologies such as Large Language Models (ChatGPT, COPILOT, etc.) and text-to-image generators have been used during the writing or editing of this manuscript. </w:t>
      </w:r>
    </w:p>
    <w:p w14:paraId="25BE9B74" w14:textId="77777777" w:rsidR="00403E57" w:rsidRDefault="00403E57" w:rsidP="00441B6F">
      <w:pPr>
        <w:pStyle w:val="ReferHead"/>
        <w:spacing w:after="0"/>
        <w:jc w:val="both"/>
        <w:rPr>
          <w:rFonts w:ascii="Arial" w:hAnsi="Arial" w:cs="Arial"/>
          <w:b w:val="0"/>
          <w:caps w:val="0"/>
          <w:sz w:val="20"/>
        </w:rPr>
      </w:pPr>
    </w:p>
    <w:p w14:paraId="33CDAF05" w14:textId="77777777" w:rsidR="00371FB6" w:rsidRDefault="00371FB6" w:rsidP="00441B6F">
      <w:pPr>
        <w:pStyle w:val="ReferHead"/>
        <w:spacing w:after="0"/>
        <w:jc w:val="both"/>
        <w:rPr>
          <w:rFonts w:ascii="Arial" w:hAnsi="Arial" w:cs="Arial"/>
          <w:b w:val="0"/>
          <w:caps w:val="0"/>
          <w:sz w:val="20"/>
        </w:rPr>
      </w:pPr>
    </w:p>
    <w:p w14:paraId="0CA6531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3CD7FFA" w14:textId="77777777" w:rsidR="00790ADA" w:rsidRPr="00FB3A86" w:rsidRDefault="00790ADA" w:rsidP="00441B6F">
      <w:pPr>
        <w:pStyle w:val="ReferHead"/>
        <w:spacing w:after="0"/>
        <w:jc w:val="both"/>
        <w:rPr>
          <w:rFonts w:ascii="Arial" w:hAnsi="Arial" w:cs="Arial"/>
        </w:rPr>
      </w:pPr>
    </w:p>
    <w:p w14:paraId="43051BBD" w14:textId="77777777" w:rsidR="006E06B1" w:rsidRPr="006E06B1" w:rsidRDefault="006E06B1" w:rsidP="006E06B1">
      <w:pPr>
        <w:pStyle w:val="Body"/>
        <w:numPr>
          <w:ilvl w:val="0"/>
          <w:numId w:val="31"/>
        </w:numPr>
        <w:spacing w:after="0"/>
        <w:rPr>
          <w:lang w:val="en-GB"/>
        </w:rPr>
      </w:pPr>
      <w:r w:rsidRPr="006E06B1">
        <w:rPr>
          <w:lang w:val="en-GB"/>
        </w:rPr>
        <w:t xml:space="preserve">Michailidis, P., Michailidis, I., &amp; </w:t>
      </w:r>
      <w:proofErr w:type="spellStart"/>
      <w:r w:rsidRPr="006E06B1">
        <w:rPr>
          <w:lang w:val="en-GB"/>
        </w:rPr>
        <w:t>Kosmatopoulos</w:t>
      </w:r>
      <w:proofErr w:type="spellEnd"/>
      <w:r w:rsidRPr="006E06B1">
        <w:rPr>
          <w:lang w:val="en-GB"/>
        </w:rPr>
        <w:t>, E. (2025). Reinforcement learning for optimizing renewable energy utilization in buildings: A review on applications and innovations. </w:t>
      </w:r>
      <w:r w:rsidRPr="006E06B1">
        <w:rPr>
          <w:i/>
          <w:iCs/>
          <w:lang w:val="en-GB"/>
        </w:rPr>
        <w:t>Energies, 18</w:t>
      </w:r>
      <w:r w:rsidRPr="006E06B1">
        <w:rPr>
          <w:lang w:val="en-GB"/>
        </w:rPr>
        <w:t>(7), 1724. </w:t>
      </w:r>
      <w:hyperlink r:id="rId20" w:tgtFrame="_blank" w:history="1">
        <w:r w:rsidRPr="006E06B1">
          <w:rPr>
            <w:rStyle w:val="Hyperlink"/>
            <w:lang w:val="en-GB"/>
          </w:rPr>
          <w:t>https://doi.org/10.3390/en18071724</w:t>
        </w:r>
      </w:hyperlink>
    </w:p>
    <w:p w14:paraId="3605F25C" w14:textId="77777777" w:rsidR="006E06B1" w:rsidRPr="006E06B1" w:rsidRDefault="006E06B1" w:rsidP="006E06B1">
      <w:pPr>
        <w:pStyle w:val="Body"/>
        <w:numPr>
          <w:ilvl w:val="0"/>
          <w:numId w:val="31"/>
        </w:numPr>
        <w:spacing w:after="0"/>
        <w:rPr>
          <w:lang w:val="en-GB"/>
        </w:rPr>
      </w:pPr>
      <w:r w:rsidRPr="006E06B1">
        <w:rPr>
          <w:lang w:val="en-GB"/>
        </w:rPr>
        <w:t xml:space="preserve">Kelvin, E., Jesse, O., Bernard, O., Afari, N., &amp; </w:t>
      </w:r>
      <w:proofErr w:type="spellStart"/>
      <w:r w:rsidRPr="006E06B1">
        <w:rPr>
          <w:lang w:val="en-GB"/>
        </w:rPr>
        <w:t>Ayanwunmi</w:t>
      </w:r>
      <w:proofErr w:type="spellEnd"/>
      <w:r w:rsidRPr="006E06B1">
        <w:rPr>
          <w:lang w:val="en-GB"/>
        </w:rPr>
        <w:t>, R. (2024). Digital twin technology for renewable energy microgrids. </w:t>
      </w:r>
      <w:r w:rsidRPr="006E06B1">
        <w:rPr>
          <w:i/>
          <w:iCs/>
          <w:lang w:val="en-GB"/>
        </w:rPr>
        <w:t>Engineering Science &amp; Technology Journal, 5</w:t>
      </w:r>
      <w:r w:rsidRPr="006E06B1">
        <w:rPr>
          <w:lang w:val="en-GB"/>
        </w:rPr>
        <w:t>(7), 2248–2272.</w:t>
      </w:r>
    </w:p>
    <w:p w14:paraId="1D2F7EF4" w14:textId="77777777" w:rsidR="006E06B1" w:rsidRPr="006E06B1" w:rsidRDefault="006E06B1" w:rsidP="006E06B1">
      <w:pPr>
        <w:pStyle w:val="Body"/>
        <w:numPr>
          <w:ilvl w:val="0"/>
          <w:numId w:val="31"/>
        </w:numPr>
        <w:spacing w:after="0"/>
        <w:rPr>
          <w:lang w:val="en-GB"/>
        </w:rPr>
      </w:pPr>
      <w:r w:rsidRPr="006E06B1">
        <w:rPr>
          <w:lang w:val="en-GB"/>
        </w:rPr>
        <w:t xml:space="preserve">Julen, C., Alexander, S., Xabier, J., Jose, A., Amaia, S., Juan, L., Jose, A., Michel, A., </w:t>
      </w:r>
      <w:proofErr w:type="spellStart"/>
      <w:r w:rsidRPr="006E06B1">
        <w:rPr>
          <w:lang w:val="en-GB"/>
        </w:rPr>
        <w:t>Chunmei</w:t>
      </w:r>
      <w:proofErr w:type="spellEnd"/>
      <w:r w:rsidRPr="006E06B1">
        <w:rPr>
          <w:lang w:val="en-GB"/>
        </w:rPr>
        <w:t>, L., &amp; Daniel, C. (2023). High energy density lithium–</w:t>
      </w:r>
      <w:proofErr w:type="spellStart"/>
      <w:r w:rsidRPr="006E06B1">
        <w:rPr>
          <w:lang w:val="en-GB"/>
        </w:rPr>
        <w:t>sulfur</w:t>
      </w:r>
      <w:proofErr w:type="spellEnd"/>
      <w:r w:rsidRPr="006E06B1">
        <w:rPr>
          <w:lang w:val="en-GB"/>
        </w:rPr>
        <w:t xml:space="preserve"> batteries based on carbonaceous two-dimensional additive cathodes. </w:t>
      </w:r>
      <w:r w:rsidRPr="006E06B1">
        <w:rPr>
          <w:i/>
          <w:iCs/>
          <w:lang w:val="en-GB"/>
        </w:rPr>
        <w:t>ACS Applied Energy Materials, 6</w:t>
      </w:r>
      <w:r w:rsidRPr="006E06B1">
        <w:rPr>
          <w:lang w:val="en-GB"/>
        </w:rPr>
        <w:t>(6), 3579–3589. </w:t>
      </w:r>
      <w:hyperlink r:id="rId21" w:tgtFrame="_blank" w:history="1">
        <w:r w:rsidRPr="006E06B1">
          <w:rPr>
            <w:rStyle w:val="Hyperlink"/>
            <w:lang w:val="en-GB"/>
          </w:rPr>
          <w:t>https://doi.org/10.1021/acsaem.3c00177</w:t>
        </w:r>
      </w:hyperlink>
    </w:p>
    <w:p w14:paraId="42260DB7" w14:textId="77777777" w:rsidR="006E06B1" w:rsidRPr="006E06B1" w:rsidRDefault="006E06B1" w:rsidP="006E06B1">
      <w:pPr>
        <w:pStyle w:val="Body"/>
        <w:numPr>
          <w:ilvl w:val="0"/>
          <w:numId w:val="31"/>
        </w:numPr>
        <w:spacing w:after="0"/>
        <w:rPr>
          <w:lang w:val="en-GB"/>
        </w:rPr>
      </w:pPr>
      <w:r w:rsidRPr="006E06B1">
        <w:rPr>
          <w:lang w:val="en-GB"/>
        </w:rPr>
        <w:t xml:space="preserve">Aslam, M. U., </w:t>
      </w:r>
      <w:proofErr w:type="spellStart"/>
      <w:r w:rsidRPr="006E06B1">
        <w:rPr>
          <w:lang w:val="en-GB"/>
        </w:rPr>
        <w:t>Shakhawat</w:t>
      </w:r>
      <w:proofErr w:type="spellEnd"/>
      <w:r w:rsidRPr="006E06B1">
        <w:rPr>
          <w:lang w:val="en-GB"/>
        </w:rPr>
        <w:t xml:space="preserve">, N. S. B., Shah, R., </w:t>
      </w:r>
      <w:proofErr w:type="spellStart"/>
      <w:r w:rsidRPr="006E06B1">
        <w:rPr>
          <w:lang w:val="en-GB"/>
        </w:rPr>
        <w:t>Amjady</w:t>
      </w:r>
      <w:proofErr w:type="spellEnd"/>
      <w:r w:rsidRPr="006E06B1">
        <w:rPr>
          <w:lang w:val="en-GB"/>
        </w:rPr>
        <w:t xml:space="preserve">, N., Miah, M. S., &amp; Amin, B. M. R. (2024). Hybrid energy storage </w:t>
      </w:r>
      <w:proofErr w:type="spellStart"/>
      <w:r w:rsidRPr="006E06B1">
        <w:rPr>
          <w:lang w:val="en-GB"/>
        </w:rPr>
        <w:t>modeling</w:t>
      </w:r>
      <w:proofErr w:type="spellEnd"/>
      <w:r w:rsidRPr="006E06B1">
        <w:rPr>
          <w:lang w:val="en-GB"/>
        </w:rPr>
        <w:t xml:space="preserve"> and control for power system operation studies: A survey. </w:t>
      </w:r>
      <w:r w:rsidRPr="006E06B1">
        <w:rPr>
          <w:i/>
          <w:iCs/>
          <w:lang w:val="en-GB"/>
        </w:rPr>
        <w:t>Energies, 17</w:t>
      </w:r>
      <w:r w:rsidRPr="006E06B1">
        <w:rPr>
          <w:lang w:val="en-GB"/>
        </w:rPr>
        <w:t>(23), 5976. </w:t>
      </w:r>
      <w:hyperlink r:id="rId22" w:tgtFrame="_blank" w:history="1">
        <w:r w:rsidRPr="006E06B1">
          <w:rPr>
            <w:rStyle w:val="Hyperlink"/>
            <w:lang w:val="en-GB"/>
          </w:rPr>
          <w:t>https://doi.org/10.3390/en17235976</w:t>
        </w:r>
      </w:hyperlink>
    </w:p>
    <w:p w14:paraId="48E8EC5D" w14:textId="77777777" w:rsidR="006E06B1" w:rsidRPr="006E06B1" w:rsidRDefault="006E06B1" w:rsidP="006E06B1">
      <w:pPr>
        <w:pStyle w:val="Body"/>
        <w:numPr>
          <w:ilvl w:val="0"/>
          <w:numId w:val="31"/>
        </w:numPr>
        <w:spacing w:after="0"/>
        <w:rPr>
          <w:lang w:val="en-GB"/>
        </w:rPr>
      </w:pPr>
      <w:r w:rsidRPr="006E06B1">
        <w:rPr>
          <w:lang w:val="en-GB"/>
        </w:rPr>
        <w:t xml:space="preserve">David, M., Michael, A., Adam, B., De-Graft, O., &amp; </w:t>
      </w:r>
      <w:proofErr w:type="spellStart"/>
      <w:r w:rsidRPr="006E06B1">
        <w:rPr>
          <w:lang w:val="en-GB"/>
        </w:rPr>
        <w:t>Amevi</w:t>
      </w:r>
      <w:proofErr w:type="spellEnd"/>
      <w:r w:rsidRPr="006E06B1">
        <w:rPr>
          <w:lang w:val="en-GB"/>
        </w:rPr>
        <w:t xml:space="preserve">, A. (2023). Techno-economic analysis of a microgrid design for a commercial health facility in Ghana: Case study of Zipline </w:t>
      </w:r>
      <w:proofErr w:type="spellStart"/>
      <w:r w:rsidRPr="006E06B1">
        <w:rPr>
          <w:lang w:val="en-GB"/>
        </w:rPr>
        <w:t>Sefwi-Wiawso</w:t>
      </w:r>
      <w:proofErr w:type="spellEnd"/>
      <w:r w:rsidRPr="006E06B1">
        <w:rPr>
          <w:lang w:val="en-GB"/>
        </w:rPr>
        <w:t>. </w:t>
      </w:r>
      <w:r w:rsidRPr="006E06B1">
        <w:rPr>
          <w:i/>
          <w:iCs/>
          <w:lang w:val="en-GB"/>
        </w:rPr>
        <w:t>Scientific African, 19</w:t>
      </w:r>
      <w:r w:rsidRPr="006E06B1">
        <w:rPr>
          <w:lang w:val="en-GB"/>
        </w:rPr>
        <w:t>, e01552. </w:t>
      </w:r>
      <w:hyperlink r:id="rId23" w:tgtFrame="_blank" w:history="1">
        <w:r w:rsidRPr="006E06B1">
          <w:rPr>
            <w:rStyle w:val="Hyperlink"/>
            <w:lang w:val="en-GB"/>
          </w:rPr>
          <w:t>https://doi.org/10.1016/j.sciaf.2023.e01552</w:t>
        </w:r>
      </w:hyperlink>
    </w:p>
    <w:p w14:paraId="2AC07F2F" w14:textId="77777777" w:rsidR="006E06B1" w:rsidRPr="006E06B1" w:rsidRDefault="006E06B1" w:rsidP="006E06B1">
      <w:pPr>
        <w:pStyle w:val="Body"/>
        <w:numPr>
          <w:ilvl w:val="0"/>
          <w:numId w:val="31"/>
        </w:numPr>
        <w:spacing w:after="0"/>
        <w:rPr>
          <w:lang w:val="en-GB"/>
        </w:rPr>
      </w:pPr>
      <w:r w:rsidRPr="006E06B1">
        <w:rPr>
          <w:lang w:val="en-GB"/>
        </w:rPr>
        <w:lastRenderedPageBreak/>
        <w:t>European Union. (2020). The European Green Deal: A roadmap for decarbonization. European Commission.</w:t>
      </w:r>
    </w:p>
    <w:p w14:paraId="35DBE7EB" w14:textId="77777777" w:rsidR="006E06B1" w:rsidRPr="006E06B1" w:rsidRDefault="006E06B1" w:rsidP="006E06B1">
      <w:pPr>
        <w:pStyle w:val="Body"/>
        <w:numPr>
          <w:ilvl w:val="0"/>
          <w:numId w:val="31"/>
        </w:numPr>
        <w:spacing w:after="0"/>
        <w:rPr>
          <w:lang w:val="en-GB"/>
        </w:rPr>
      </w:pPr>
      <w:r w:rsidRPr="006E06B1">
        <w:rPr>
          <w:lang w:val="en-GB"/>
        </w:rPr>
        <w:t>International Renewable Energy Agency (IRENA). (2021). Decarbonization pathways: Renewable energy integration in isolated grids. IRENA Report.</w:t>
      </w:r>
    </w:p>
    <w:p w14:paraId="505D04E7" w14:textId="77777777" w:rsidR="006E06B1" w:rsidRPr="006E06B1" w:rsidRDefault="006E06B1" w:rsidP="006E06B1">
      <w:pPr>
        <w:pStyle w:val="Body"/>
        <w:numPr>
          <w:ilvl w:val="0"/>
          <w:numId w:val="31"/>
        </w:numPr>
        <w:spacing w:after="0"/>
        <w:rPr>
          <w:lang w:val="en-GB"/>
        </w:rPr>
      </w:pPr>
      <w:r w:rsidRPr="006E06B1">
        <w:rPr>
          <w:lang w:val="en-GB"/>
        </w:rPr>
        <w:t>Brooklyn Microgrid Project. (2019). Blockchain-enabled transactive energy platforms: A case study in peer-to-peer energy trading. LO3 Energy White Paper.</w:t>
      </w:r>
    </w:p>
    <w:p w14:paraId="1B91E64A" w14:textId="77777777" w:rsidR="006E06B1" w:rsidRPr="006E06B1" w:rsidRDefault="006E06B1" w:rsidP="006E06B1">
      <w:pPr>
        <w:pStyle w:val="Body"/>
        <w:numPr>
          <w:ilvl w:val="0"/>
          <w:numId w:val="31"/>
        </w:numPr>
        <w:spacing w:after="0"/>
        <w:rPr>
          <w:lang w:val="en-GB"/>
        </w:rPr>
      </w:pPr>
      <w:r w:rsidRPr="006E06B1">
        <w:rPr>
          <w:lang w:val="en-GB"/>
        </w:rPr>
        <w:t>Yang, L., Li, X., Sun, M., &amp; Sun, C. (2023). Hybrid policy-based reinforcement learning of adaptive energy management for the energy transmission-constrained island group. </w:t>
      </w:r>
      <w:r w:rsidRPr="006E06B1">
        <w:rPr>
          <w:i/>
          <w:iCs/>
          <w:lang w:val="en-GB"/>
        </w:rPr>
        <w:t>IEEE Transactions on Industrial Informatics, 1</w:t>
      </w:r>
      <w:r w:rsidRPr="006E06B1">
        <w:rPr>
          <w:lang w:val="en-GB"/>
        </w:rPr>
        <w:t>–12. </w:t>
      </w:r>
      <w:hyperlink r:id="rId24" w:tgtFrame="_blank" w:history="1">
        <w:r w:rsidRPr="006E06B1">
          <w:rPr>
            <w:rStyle w:val="Hyperlink"/>
            <w:lang w:val="en-GB"/>
          </w:rPr>
          <w:t>https://doi.org/10.1109/TII.2023.3241682</w:t>
        </w:r>
      </w:hyperlink>
    </w:p>
    <w:p w14:paraId="473C6C97" w14:textId="77777777" w:rsidR="006E06B1" w:rsidRPr="006E06B1" w:rsidRDefault="006E06B1" w:rsidP="006E06B1">
      <w:pPr>
        <w:pStyle w:val="Body"/>
        <w:numPr>
          <w:ilvl w:val="0"/>
          <w:numId w:val="31"/>
        </w:numPr>
        <w:spacing w:after="0"/>
        <w:rPr>
          <w:lang w:val="en-GB"/>
        </w:rPr>
      </w:pPr>
      <w:r w:rsidRPr="006E06B1">
        <w:rPr>
          <w:lang w:val="en-GB"/>
        </w:rPr>
        <w:t>Khajeh, H., &amp; Laaksonen, H. (2022). Applications of probabilistic forecasting in smart grids: A review. </w:t>
      </w:r>
      <w:r w:rsidRPr="006E06B1">
        <w:rPr>
          <w:i/>
          <w:iCs/>
          <w:lang w:val="en-GB"/>
        </w:rPr>
        <w:t>Applied Sciences, 12</w:t>
      </w:r>
      <w:r w:rsidRPr="006E06B1">
        <w:rPr>
          <w:lang w:val="en-GB"/>
        </w:rPr>
        <w:t>(4), 1823. </w:t>
      </w:r>
      <w:hyperlink r:id="rId25" w:tgtFrame="_blank" w:history="1">
        <w:r w:rsidRPr="006E06B1">
          <w:rPr>
            <w:rStyle w:val="Hyperlink"/>
            <w:lang w:val="en-GB"/>
          </w:rPr>
          <w:t>https://doi.org/10.3390/app12041823</w:t>
        </w:r>
      </w:hyperlink>
    </w:p>
    <w:p w14:paraId="741EB02C" w14:textId="77777777" w:rsidR="006E06B1" w:rsidRPr="006E06B1" w:rsidRDefault="006E06B1" w:rsidP="006E06B1">
      <w:pPr>
        <w:pStyle w:val="Body"/>
        <w:numPr>
          <w:ilvl w:val="0"/>
          <w:numId w:val="31"/>
        </w:numPr>
        <w:spacing w:after="0"/>
        <w:rPr>
          <w:lang w:val="en-GB"/>
        </w:rPr>
      </w:pPr>
      <w:r w:rsidRPr="006E06B1">
        <w:rPr>
          <w:lang w:val="en-GB"/>
        </w:rPr>
        <w:t>Logenthiran, T., Srinivasan, D., &amp; Shun, T. Z. (2012). Demand side management in smart grid using heuristic optimization. </w:t>
      </w:r>
      <w:r w:rsidRPr="006E06B1">
        <w:rPr>
          <w:i/>
          <w:iCs/>
          <w:lang w:val="en-GB"/>
        </w:rPr>
        <w:t>IEEE Transactions on Smart Grid, 3</w:t>
      </w:r>
      <w:r w:rsidRPr="006E06B1">
        <w:rPr>
          <w:lang w:val="en-GB"/>
        </w:rPr>
        <w:t>(3), 1244–1252. </w:t>
      </w:r>
      <w:hyperlink r:id="rId26" w:tgtFrame="_blank" w:history="1">
        <w:r w:rsidRPr="006E06B1">
          <w:rPr>
            <w:rStyle w:val="Hyperlink"/>
            <w:lang w:val="en-GB"/>
          </w:rPr>
          <w:t>https://doi.org/10.1109/TSG.2012.2195686</w:t>
        </w:r>
      </w:hyperlink>
    </w:p>
    <w:p w14:paraId="58598796" w14:textId="77777777" w:rsidR="006E06B1" w:rsidRPr="006E06B1" w:rsidRDefault="006E06B1" w:rsidP="006E06B1">
      <w:pPr>
        <w:pStyle w:val="Body"/>
        <w:numPr>
          <w:ilvl w:val="0"/>
          <w:numId w:val="31"/>
        </w:numPr>
        <w:spacing w:after="0"/>
        <w:rPr>
          <w:lang w:val="en-GB"/>
        </w:rPr>
      </w:pPr>
      <w:proofErr w:type="spellStart"/>
      <w:r w:rsidRPr="006E06B1">
        <w:rPr>
          <w:lang w:val="en-GB"/>
        </w:rPr>
        <w:t>Alenezi</w:t>
      </w:r>
      <w:proofErr w:type="spellEnd"/>
      <w:r w:rsidRPr="006E06B1">
        <w:rPr>
          <w:lang w:val="en-GB"/>
        </w:rPr>
        <w:t xml:space="preserve">, M., Anayi, F., </w:t>
      </w:r>
      <w:proofErr w:type="spellStart"/>
      <w:r w:rsidRPr="006E06B1">
        <w:rPr>
          <w:lang w:val="en-GB"/>
        </w:rPr>
        <w:t>Packianather</w:t>
      </w:r>
      <w:proofErr w:type="spellEnd"/>
      <w:r w:rsidRPr="006E06B1">
        <w:rPr>
          <w:lang w:val="en-GB"/>
        </w:rPr>
        <w:t xml:space="preserve">, M., &amp; </w:t>
      </w:r>
      <w:proofErr w:type="spellStart"/>
      <w:r w:rsidRPr="006E06B1">
        <w:rPr>
          <w:lang w:val="en-GB"/>
        </w:rPr>
        <w:t>Shouran</w:t>
      </w:r>
      <w:proofErr w:type="spellEnd"/>
      <w:r w:rsidRPr="006E06B1">
        <w:rPr>
          <w:lang w:val="en-GB"/>
        </w:rPr>
        <w:t>, M. (2025). A hybrid machine learning framework for early fault detection in power transformers using PSO and DMO algorithms. </w:t>
      </w:r>
      <w:r w:rsidRPr="006E06B1">
        <w:rPr>
          <w:i/>
          <w:iCs/>
          <w:lang w:val="en-GB"/>
        </w:rPr>
        <w:t>Energies, 18</w:t>
      </w:r>
      <w:r w:rsidRPr="006E06B1">
        <w:rPr>
          <w:lang w:val="en-GB"/>
        </w:rPr>
        <w:t>(8), 2024. </w:t>
      </w:r>
      <w:hyperlink r:id="rId27" w:tgtFrame="_blank" w:history="1">
        <w:r w:rsidRPr="006E06B1">
          <w:rPr>
            <w:rStyle w:val="Hyperlink"/>
            <w:lang w:val="en-GB"/>
          </w:rPr>
          <w:t>https://doi.org/10.3390/en18082024</w:t>
        </w:r>
      </w:hyperlink>
    </w:p>
    <w:p w14:paraId="7DB36C37" w14:textId="77777777" w:rsidR="006E06B1" w:rsidRPr="006E06B1" w:rsidRDefault="006E06B1" w:rsidP="006E06B1">
      <w:pPr>
        <w:pStyle w:val="Body"/>
        <w:numPr>
          <w:ilvl w:val="0"/>
          <w:numId w:val="31"/>
        </w:numPr>
        <w:spacing w:after="0"/>
        <w:rPr>
          <w:lang w:val="en-GB"/>
        </w:rPr>
      </w:pPr>
      <w:r w:rsidRPr="006E06B1">
        <w:rPr>
          <w:lang w:val="en-GB"/>
        </w:rPr>
        <w:t>Shahzad, S., Abbasi, M. A., Ali, H., Iqbal, M., Munir, R., &amp; Kilic, H. (2023). Possibilities, challenges, and future opportunities of microgrids: A review. </w:t>
      </w:r>
      <w:r w:rsidRPr="006E06B1">
        <w:rPr>
          <w:i/>
          <w:iCs/>
          <w:lang w:val="en-GB"/>
        </w:rPr>
        <w:t>Sustainability, 15</w:t>
      </w:r>
      <w:r w:rsidRPr="006E06B1">
        <w:rPr>
          <w:lang w:val="en-GB"/>
        </w:rPr>
        <w:t>(8), 6366. </w:t>
      </w:r>
      <w:hyperlink r:id="rId28" w:tgtFrame="_blank" w:history="1">
        <w:r w:rsidRPr="006E06B1">
          <w:rPr>
            <w:rStyle w:val="Hyperlink"/>
            <w:lang w:val="en-GB"/>
          </w:rPr>
          <w:t>https://doi.org/10.3390/su15086366</w:t>
        </w:r>
      </w:hyperlink>
    </w:p>
    <w:p w14:paraId="674B7B4E" w14:textId="77777777" w:rsidR="006E06B1" w:rsidRPr="006E06B1" w:rsidRDefault="006E06B1" w:rsidP="006E06B1">
      <w:pPr>
        <w:pStyle w:val="Body"/>
        <w:numPr>
          <w:ilvl w:val="0"/>
          <w:numId w:val="31"/>
        </w:numPr>
        <w:spacing w:after="0"/>
        <w:rPr>
          <w:lang w:val="en-GB"/>
        </w:rPr>
      </w:pPr>
      <w:r w:rsidRPr="006E06B1">
        <w:rPr>
          <w:lang w:val="en-GB"/>
        </w:rPr>
        <w:t>IEEE Standard 1547-2018. (2018). IEEE standard for interconnection and interoperability of distributed energy resources.</w:t>
      </w:r>
    </w:p>
    <w:p w14:paraId="55C64CF4" w14:textId="77777777" w:rsidR="006E06B1" w:rsidRPr="006E06B1" w:rsidRDefault="006E06B1" w:rsidP="006E06B1">
      <w:pPr>
        <w:pStyle w:val="Body"/>
        <w:numPr>
          <w:ilvl w:val="0"/>
          <w:numId w:val="31"/>
        </w:numPr>
        <w:spacing w:after="0"/>
        <w:rPr>
          <w:lang w:val="en-GB"/>
        </w:rPr>
      </w:pPr>
      <w:r w:rsidRPr="006E06B1">
        <w:rPr>
          <w:lang w:val="en-GB"/>
        </w:rPr>
        <w:t>Magaldi, G. L., Serra, F. M., de Angelo, C. H., Montoya, O. D., &amp; Giral-Ramírez, D. A. (2021). Voltage regulation of an isolated DC microgrid with a constant power load: A passivity-based control design. </w:t>
      </w:r>
      <w:r w:rsidRPr="006E06B1">
        <w:rPr>
          <w:i/>
          <w:iCs/>
          <w:lang w:val="en-GB"/>
        </w:rPr>
        <w:t>Electronics, 10</w:t>
      </w:r>
      <w:r w:rsidRPr="006E06B1">
        <w:rPr>
          <w:lang w:val="en-GB"/>
        </w:rPr>
        <w:t>(17), 2085. </w:t>
      </w:r>
      <w:hyperlink r:id="rId29" w:tgtFrame="_blank" w:history="1">
        <w:r w:rsidRPr="006E06B1">
          <w:rPr>
            <w:rStyle w:val="Hyperlink"/>
            <w:lang w:val="en-GB"/>
          </w:rPr>
          <w:t>https://doi.org/10.3390/electronics10172085</w:t>
        </w:r>
      </w:hyperlink>
    </w:p>
    <w:p w14:paraId="338322E1" w14:textId="77777777" w:rsidR="006E06B1" w:rsidRPr="006E06B1" w:rsidRDefault="006E06B1" w:rsidP="006E06B1">
      <w:pPr>
        <w:pStyle w:val="Body"/>
        <w:numPr>
          <w:ilvl w:val="0"/>
          <w:numId w:val="31"/>
        </w:numPr>
        <w:spacing w:after="0"/>
        <w:rPr>
          <w:lang w:val="en-GB"/>
        </w:rPr>
      </w:pPr>
      <w:r w:rsidRPr="006E06B1">
        <w:rPr>
          <w:lang w:val="en-GB"/>
        </w:rPr>
        <w:t>Desai, H., Dour, S., &amp; Modi, P. (2022). Grid forming inverters to strengthen frequency stability of a very low inertia system: A state of the art. </w:t>
      </w:r>
      <w:r w:rsidRPr="006E06B1">
        <w:rPr>
          <w:i/>
          <w:iCs/>
          <w:lang w:val="en-GB"/>
        </w:rPr>
        <w:t xml:space="preserve">Interwoven: An Interdisciplinary Journal of </w:t>
      </w:r>
      <w:proofErr w:type="spellStart"/>
      <w:r w:rsidRPr="006E06B1">
        <w:rPr>
          <w:i/>
          <w:iCs/>
          <w:lang w:val="en-GB"/>
        </w:rPr>
        <w:t>Navrachana</w:t>
      </w:r>
      <w:proofErr w:type="spellEnd"/>
      <w:r w:rsidRPr="006E06B1">
        <w:rPr>
          <w:i/>
          <w:iCs/>
          <w:lang w:val="en-GB"/>
        </w:rPr>
        <w:t xml:space="preserve"> University, 5</w:t>
      </w:r>
      <w:r w:rsidRPr="006E06B1">
        <w:rPr>
          <w:lang w:val="en-GB"/>
        </w:rPr>
        <w:t>(2), 1–18.</w:t>
      </w:r>
    </w:p>
    <w:p w14:paraId="48DDDD57" w14:textId="77777777" w:rsidR="006E06B1" w:rsidRPr="006E06B1" w:rsidRDefault="006E06B1" w:rsidP="006E06B1">
      <w:pPr>
        <w:pStyle w:val="Body"/>
        <w:numPr>
          <w:ilvl w:val="0"/>
          <w:numId w:val="31"/>
        </w:numPr>
        <w:spacing w:after="0"/>
        <w:rPr>
          <w:lang w:val="en-GB"/>
        </w:rPr>
      </w:pPr>
      <w:r w:rsidRPr="006E06B1">
        <w:rPr>
          <w:lang w:val="en-GB"/>
        </w:rPr>
        <w:t>Gao, J., Asamoah, K. O., Xia, Q., Sifah, E. B., Amankona, O. I., &amp; Xia, H. (2023). A blockchain peer-to-peer energy trading system for microgrids. </w:t>
      </w:r>
      <w:r w:rsidRPr="006E06B1">
        <w:rPr>
          <w:i/>
          <w:iCs/>
          <w:lang w:val="en-GB"/>
        </w:rPr>
        <w:t>IEEE Transactions on Smart Grid, 14</w:t>
      </w:r>
      <w:r w:rsidRPr="006E06B1">
        <w:rPr>
          <w:lang w:val="en-GB"/>
        </w:rPr>
        <w:t>(5), 3944–3960. </w:t>
      </w:r>
      <w:hyperlink r:id="rId30" w:tgtFrame="_blank" w:history="1">
        <w:r w:rsidRPr="006E06B1">
          <w:rPr>
            <w:rStyle w:val="Hyperlink"/>
            <w:lang w:val="en-GB"/>
          </w:rPr>
          <w:t>https://doi.org/10.1109/TSG.2023.3237624</w:t>
        </w:r>
      </w:hyperlink>
    </w:p>
    <w:p w14:paraId="02813703" w14:textId="77777777" w:rsidR="006E06B1" w:rsidRPr="006E06B1" w:rsidRDefault="006E06B1" w:rsidP="006E06B1">
      <w:pPr>
        <w:pStyle w:val="Body"/>
        <w:numPr>
          <w:ilvl w:val="0"/>
          <w:numId w:val="31"/>
        </w:numPr>
        <w:spacing w:after="0"/>
        <w:rPr>
          <w:lang w:val="en-GB"/>
        </w:rPr>
      </w:pPr>
      <w:r w:rsidRPr="006E06B1">
        <w:rPr>
          <w:lang w:val="en-GB"/>
        </w:rPr>
        <w:t xml:space="preserve">Qiu, K., &amp; </w:t>
      </w:r>
      <w:proofErr w:type="spellStart"/>
      <w:r w:rsidRPr="006E06B1">
        <w:rPr>
          <w:lang w:val="en-GB"/>
        </w:rPr>
        <w:t>Entchev</w:t>
      </w:r>
      <w:proofErr w:type="spellEnd"/>
      <w:r w:rsidRPr="006E06B1">
        <w:rPr>
          <w:lang w:val="en-GB"/>
        </w:rPr>
        <w:t>, E. (2025). Analysis and optimization of hybrid renewable energy systems for remote community applications. </w:t>
      </w:r>
      <w:r w:rsidRPr="006E06B1">
        <w:rPr>
          <w:i/>
          <w:iCs/>
          <w:lang w:val="en-GB"/>
        </w:rPr>
        <w:t>International Journal of Green Energy, 1</w:t>
      </w:r>
      <w:r w:rsidRPr="006E06B1">
        <w:rPr>
          <w:lang w:val="en-GB"/>
        </w:rPr>
        <w:t>–14. </w:t>
      </w:r>
      <w:hyperlink r:id="rId31" w:tgtFrame="_blank" w:history="1">
        <w:r w:rsidRPr="006E06B1">
          <w:rPr>
            <w:rStyle w:val="Hyperlink"/>
            <w:lang w:val="en-GB"/>
          </w:rPr>
          <w:t>https://doi.org/10.1080/15435075.2025.2471987</w:t>
        </w:r>
      </w:hyperlink>
    </w:p>
    <w:p w14:paraId="322830DA" w14:textId="77777777" w:rsidR="006E06B1" w:rsidRPr="006E06B1" w:rsidRDefault="006E06B1" w:rsidP="006E06B1">
      <w:pPr>
        <w:pStyle w:val="Body"/>
        <w:numPr>
          <w:ilvl w:val="0"/>
          <w:numId w:val="31"/>
        </w:numPr>
        <w:spacing w:after="0"/>
        <w:rPr>
          <w:lang w:val="en-GB"/>
        </w:rPr>
      </w:pPr>
      <w:r w:rsidRPr="006E06B1">
        <w:rPr>
          <w:lang w:val="en-GB"/>
        </w:rPr>
        <w:t xml:space="preserve">Li, C., Bosio, F., Chaudhary, S. K., </w:t>
      </w:r>
      <w:proofErr w:type="spellStart"/>
      <w:r w:rsidRPr="006E06B1">
        <w:rPr>
          <w:lang w:val="en-GB"/>
        </w:rPr>
        <w:t>Graells</w:t>
      </w:r>
      <w:proofErr w:type="spellEnd"/>
      <w:r w:rsidRPr="006E06B1">
        <w:rPr>
          <w:lang w:val="en-GB"/>
        </w:rPr>
        <w:t>, M., Vasquez, J. C., &amp; Guerrero, J. (2015). Operation cost minimization of droop-controlled DC microgrids based on real-time pricing and optimal power flow. 2015 IEEE International Conference on Industrial Electronics (IECON), 3905–3909. https://doi.org/10.1109/IECON.2015.7392709</w:t>
      </w:r>
    </w:p>
    <w:p w14:paraId="4AE6EEF8" w14:textId="77777777" w:rsidR="006E06B1" w:rsidRPr="006E06B1" w:rsidRDefault="006E06B1" w:rsidP="006E06B1">
      <w:pPr>
        <w:pStyle w:val="Body"/>
        <w:numPr>
          <w:ilvl w:val="0"/>
          <w:numId w:val="31"/>
        </w:numPr>
        <w:spacing w:after="0"/>
        <w:rPr>
          <w:lang w:val="en-GB"/>
        </w:rPr>
      </w:pPr>
      <w:r w:rsidRPr="006E06B1">
        <w:rPr>
          <w:lang w:val="en-GB"/>
        </w:rPr>
        <w:t>Pedro, M., &amp; Coimbra, C. F. M. (2012). Assessment of forecasting techniques for solar power production with no exogenous inputs. </w:t>
      </w:r>
      <w:r w:rsidRPr="006E06B1">
        <w:rPr>
          <w:i/>
          <w:iCs/>
          <w:lang w:val="en-GB"/>
        </w:rPr>
        <w:t>Solar Energy, 86</w:t>
      </w:r>
      <w:r w:rsidRPr="006E06B1">
        <w:rPr>
          <w:lang w:val="en-GB"/>
        </w:rPr>
        <w:t>(7), 2017–2028. </w:t>
      </w:r>
      <w:hyperlink r:id="rId32" w:tgtFrame="_blank" w:history="1">
        <w:r w:rsidRPr="006E06B1">
          <w:rPr>
            <w:rStyle w:val="Hyperlink"/>
            <w:lang w:val="en-GB"/>
          </w:rPr>
          <w:t>https://doi.org/10.1016/j.solener.2012.04.004</w:t>
        </w:r>
      </w:hyperlink>
    </w:p>
    <w:p w14:paraId="186A6D6C" w14:textId="77777777" w:rsidR="006E06B1" w:rsidRPr="006E06B1" w:rsidRDefault="006E06B1" w:rsidP="006E06B1">
      <w:pPr>
        <w:pStyle w:val="Body"/>
        <w:numPr>
          <w:ilvl w:val="0"/>
          <w:numId w:val="32"/>
        </w:numPr>
        <w:spacing w:after="0"/>
        <w:rPr>
          <w:lang w:val="en-GB"/>
        </w:rPr>
      </w:pPr>
      <w:proofErr w:type="spellStart"/>
      <w:r w:rsidRPr="006E06B1">
        <w:rPr>
          <w:lang w:val="en-GB"/>
        </w:rPr>
        <w:t>Hammedi</w:t>
      </w:r>
      <w:proofErr w:type="spellEnd"/>
      <w:r w:rsidRPr="006E06B1">
        <w:rPr>
          <w:lang w:val="en-GB"/>
        </w:rPr>
        <w:t xml:space="preserve">, H., </w:t>
      </w:r>
      <w:proofErr w:type="spellStart"/>
      <w:r w:rsidRPr="006E06B1">
        <w:rPr>
          <w:lang w:val="en-GB"/>
        </w:rPr>
        <w:t>Chrouta</w:t>
      </w:r>
      <w:proofErr w:type="spellEnd"/>
      <w:r w:rsidRPr="006E06B1">
        <w:rPr>
          <w:lang w:val="en-GB"/>
        </w:rPr>
        <w:t xml:space="preserve">, J., </w:t>
      </w:r>
      <w:proofErr w:type="spellStart"/>
      <w:r w:rsidRPr="006E06B1">
        <w:rPr>
          <w:lang w:val="en-GB"/>
        </w:rPr>
        <w:t>Hechmi</w:t>
      </w:r>
      <w:proofErr w:type="spellEnd"/>
      <w:r w:rsidRPr="006E06B1">
        <w:rPr>
          <w:lang w:val="en-GB"/>
        </w:rPr>
        <w:t xml:space="preserve">, K., &amp; </w:t>
      </w:r>
      <w:proofErr w:type="spellStart"/>
      <w:r w:rsidRPr="006E06B1">
        <w:rPr>
          <w:lang w:val="en-GB"/>
        </w:rPr>
        <w:t>Zaafouri</w:t>
      </w:r>
      <w:proofErr w:type="spellEnd"/>
      <w:r w:rsidRPr="006E06B1">
        <w:rPr>
          <w:lang w:val="en-GB"/>
        </w:rPr>
        <w:t>, A. (2023). Comparative study of MPPT algorithms: P&amp;O, INC, and PSO for PV system optimization. </w:t>
      </w:r>
      <w:r w:rsidRPr="006E06B1">
        <w:rPr>
          <w:i/>
          <w:iCs/>
          <w:lang w:val="en-GB"/>
        </w:rPr>
        <w:t>Proceedings of the 2023 International Conference on Control, Decision and Information Technologies</w:t>
      </w:r>
      <w:r w:rsidRPr="006E06B1">
        <w:rPr>
          <w:lang w:val="en-GB"/>
        </w:rPr>
        <w:t>, 2683–2688. </w:t>
      </w:r>
      <w:hyperlink r:id="rId33" w:tgtFrame="_blank" w:history="1">
        <w:r w:rsidRPr="006E06B1">
          <w:rPr>
            <w:rStyle w:val="Hyperlink"/>
            <w:lang w:val="en-GB"/>
          </w:rPr>
          <w:t>https://doi.org/10.1109/CoDIT58514.2023.10284266</w:t>
        </w:r>
      </w:hyperlink>
    </w:p>
    <w:p w14:paraId="45F48D18" w14:textId="77777777" w:rsidR="006E06B1" w:rsidRPr="006E06B1" w:rsidRDefault="006E06B1" w:rsidP="006E06B1">
      <w:pPr>
        <w:pStyle w:val="Body"/>
        <w:numPr>
          <w:ilvl w:val="0"/>
          <w:numId w:val="32"/>
        </w:numPr>
        <w:spacing w:after="0"/>
        <w:rPr>
          <w:lang w:val="en-GB"/>
        </w:rPr>
      </w:pPr>
      <w:r w:rsidRPr="006E06B1">
        <w:rPr>
          <w:lang w:val="en-GB"/>
        </w:rPr>
        <w:t xml:space="preserve">Abhishek, A., Ranjan, A., Devassy, S., Verma, B., Ram, S., &amp; </w:t>
      </w:r>
      <w:proofErr w:type="spellStart"/>
      <w:r w:rsidRPr="006E06B1">
        <w:rPr>
          <w:lang w:val="en-GB"/>
        </w:rPr>
        <w:t>Dhakar</w:t>
      </w:r>
      <w:proofErr w:type="spellEnd"/>
      <w:r w:rsidRPr="006E06B1">
        <w:rPr>
          <w:lang w:val="en-GB"/>
        </w:rPr>
        <w:t>, A. (2020). Review of hierarchical control strategies for DC microgrid. </w:t>
      </w:r>
      <w:r w:rsidRPr="006E06B1">
        <w:rPr>
          <w:i/>
          <w:iCs/>
          <w:lang w:val="en-GB"/>
        </w:rPr>
        <w:t>IET Renewable Power Generation, 14</w:t>
      </w:r>
      <w:r w:rsidRPr="006E06B1">
        <w:rPr>
          <w:lang w:val="en-GB"/>
        </w:rPr>
        <w:t>. </w:t>
      </w:r>
      <w:hyperlink r:id="rId34" w:tgtFrame="_blank" w:history="1">
        <w:r w:rsidRPr="006E06B1">
          <w:rPr>
            <w:rStyle w:val="Hyperlink"/>
            <w:lang w:val="en-GB"/>
          </w:rPr>
          <w:t>https://doi.org/10.1049/iet-rpg.2019.1136</w:t>
        </w:r>
      </w:hyperlink>
    </w:p>
    <w:p w14:paraId="51D5A8C9" w14:textId="77777777" w:rsidR="006E06B1" w:rsidRPr="006E06B1" w:rsidRDefault="006E06B1" w:rsidP="006E06B1">
      <w:pPr>
        <w:pStyle w:val="Body"/>
        <w:numPr>
          <w:ilvl w:val="0"/>
          <w:numId w:val="32"/>
        </w:numPr>
        <w:spacing w:after="0"/>
        <w:rPr>
          <w:lang w:val="en-GB"/>
        </w:rPr>
      </w:pPr>
      <w:r w:rsidRPr="006E06B1">
        <w:rPr>
          <w:lang w:val="en-GB"/>
        </w:rPr>
        <w:t>Hoke, A., Brooks, A. L., Karlson, B. P., &amp; Mather, B. (2013). Steady-state analysis of maximum photovoltaic penetration levels on typical distribution feeders. </w:t>
      </w:r>
      <w:r w:rsidRPr="006E06B1">
        <w:rPr>
          <w:i/>
          <w:iCs/>
          <w:lang w:val="en-GB"/>
        </w:rPr>
        <w:t xml:space="preserve">IEEE </w:t>
      </w:r>
      <w:r w:rsidRPr="006E06B1">
        <w:rPr>
          <w:i/>
          <w:iCs/>
          <w:lang w:val="en-GB"/>
        </w:rPr>
        <w:lastRenderedPageBreak/>
        <w:t>Transactions on Sustainable Energy, 4</w:t>
      </w:r>
      <w:r w:rsidRPr="006E06B1">
        <w:rPr>
          <w:lang w:val="en-GB"/>
        </w:rPr>
        <w:t>(2), 350–357. </w:t>
      </w:r>
      <w:hyperlink r:id="rId35" w:tgtFrame="_blank" w:history="1">
        <w:r w:rsidRPr="006E06B1">
          <w:rPr>
            <w:rStyle w:val="Hyperlink"/>
            <w:lang w:val="en-GB"/>
          </w:rPr>
          <w:t>https://doi.org/10.1109/TSTE.2012.2227640</w:t>
        </w:r>
      </w:hyperlink>
    </w:p>
    <w:p w14:paraId="0CB90369" w14:textId="77777777" w:rsidR="006E06B1" w:rsidRPr="006E06B1" w:rsidRDefault="006E06B1" w:rsidP="006E06B1">
      <w:pPr>
        <w:pStyle w:val="Body"/>
        <w:numPr>
          <w:ilvl w:val="0"/>
          <w:numId w:val="32"/>
        </w:numPr>
        <w:spacing w:after="0"/>
        <w:rPr>
          <w:lang w:val="en-GB"/>
        </w:rPr>
      </w:pPr>
      <w:r w:rsidRPr="006E06B1">
        <w:rPr>
          <w:lang w:val="en-GB"/>
        </w:rPr>
        <w:t>Akhil, A. K., et al. (2015). DOE/EPRI electricity storage handbook in collaboration with NRECA. *Sandia National Laboratories Report SAND2015-1002*. </w:t>
      </w:r>
      <w:hyperlink r:id="rId36" w:tgtFrame="_blank" w:history="1">
        <w:r w:rsidRPr="006E06B1">
          <w:rPr>
            <w:rStyle w:val="Hyperlink"/>
            <w:lang w:val="en-GB"/>
          </w:rPr>
          <w:t>https://www.sandia.gov/ess-ssl/publications-library/</w:t>
        </w:r>
      </w:hyperlink>
    </w:p>
    <w:p w14:paraId="30C48533" w14:textId="77777777" w:rsidR="006E06B1" w:rsidRPr="006E06B1" w:rsidRDefault="006E06B1" w:rsidP="006E06B1">
      <w:pPr>
        <w:pStyle w:val="Body"/>
        <w:numPr>
          <w:ilvl w:val="0"/>
          <w:numId w:val="32"/>
        </w:numPr>
        <w:spacing w:after="0"/>
        <w:rPr>
          <w:lang w:val="en-GB"/>
        </w:rPr>
      </w:pPr>
      <w:r w:rsidRPr="006E06B1">
        <w:rPr>
          <w:lang w:val="en-GB"/>
        </w:rPr>
        <w:t>Andrey, D., Flávio, C., Marcos, A., Ana, C., Gabriel, &amp; Brazo, S. (2024). Viability of renewable energy integration in isolated systems in Brazil: A case study at Trindade Island (Espírito Santo, Brazil). </w:t>
      </w:r>
      <w:r w:rsidRPr="006E06B1">
        <w:rPr>
          <w:i/>
          <w:iCs/>
          <w:lang w:val="en-GB"/>
        </w:rPr>
        <w:t>Renewable Energy, 222</w:t>
      </w:r>
      <w:r w:rsidRPr="006E06B1">
        <w:rPr>
          <w:lang w:val="en-GB"/>
        </w:rPr>
        <w:t>, 119805. </w:t>
      </w:r>
      <w:hyperlink r:id="rId37" w:tgtFrame="_blank" w:history="1">
        <w:r w:rsidRPr="006E06B1">
          <w:rPr>
            <w:rStyle w:val="Hyperlink"/>
            <w:lang w:val="en-GB"/>
          </w:rPr>
          <w:t>https://doi.org/10.1016/j.renene.2023.119805</w:t>
        </w:r>
      </w:hyperlink>
    </w:p>
    <w:p w14:paraId="7E36B5E3" w14:textId="77777777" w:rsidR="006E06B1" w:rsidRPr="006E06B1" w:rsidRDefault="006E06B1" w:rsidP="006E06B1">
      <w:pPr>
        <w:pStyle w:val="Body"/>
        <w:numPr>
          <w:ilvl w:val="0"/>
          <w:numId w:val="32"/>
        </w:numPr>
        <w:spacing w:after="0"/>
        <w:rPr>
          <w:lang w:val="en-GB"/>
        </w:rPr>
      </w:pPr>
      <w:proofErr w:type="spellStart"/>
      <w:r w:rsidRPr="006E06B1">
        <w:rPr>
          <w:lang w:val="en-GB"/>
        </w:rPr>
        <w:t>Dashtdar</w:t>
      </w:r>
      <w:proofErr w:type="spellEnd"/>
      <w:r w:rsidRPr="006E06B1">
        <w:rPr>
          <w:lang w:val="en-GB"/>
        </w:rPr>
        <w:t xml:space="preserve">, M., Flah, A., </w:t>
      </w:r>
      <w:proofErr w:type="spellStart"/>
      <w:r w:rsidRPr="006E06B1">
        <w:rPr>
          <w:lang w:val="en-GB"/>
        </w:rPr>
        <w:t>Hosseinimoghadam</w:t>
      </w:r>
      <w:proofErr w:type="spellEnd"/>
      <w:r w:rsidRPr="006E06B1">
        <w:rPr>
          <w:lang w:val="en-GB"/>
        </w:rPr>
        <w:t xml:space="preserve">, S. M. S., Kotb, H., Jasińska, E., Gono, R., Leonowicz, Z., &amp; </w:t>
      </w:r>
      <w:proofErr w:type="spellStart"/>
      <w:r w:rsidRPr="006E06B1">
        <w:rPr>
          <w:lang w:val="en-GB"/>
        </w:rPr>
        <w:t>Jasiński</w:t>
      </w:r>
      <w:proofErr w:type="spellEnd"/>
      <w:r w:rsidRPr="006E06B1">
        <w:rPr>
          <w:lang w:val="en-GB"/>
        </w:rPr>
        <w:t>, M. (2022). Optimal operation of microgrids with demand-side management based on a combination of genetic algorithm and artificial bee colony. </w:t>
      </w:r>
      <w:r w:rsidRPr="006E06B1">
        <w:rPr>
          <w:i/>
          <w:iCs/>
          <w:lang w:val="en-GB"/>
        </w:rPr>
        <w:t>Sustainability, 14</w:t>
      </w:r>
      <w:r w:rsidRPr="006E06B1">
        <w:rPr>
          <w:lang w:val="en-GB"/>
        </w:rPr>
        <w:t>(11), 6759. </w:t>
      </w:r>
      <w:hyperlink r:id="rId38" w:tgtFrame="_blank" w:history="1">
        <w:r w:rsidRPr="006E06B1">
          <w:rPr>
            <w:rStyle w:val="Hyperlink"/>
            <w:lang w:val="en-GB"/>
          </w:rPr>
          <w:t>https://doi.org/10.3390/su14116759</w:t>
        </w:r>
      </w:hyperlink>
    </w:p>
    <w:p w14:paraId="13ECC6CB" w14:textId="77777777" w:rsidR="006E06B1" w:rsidRPr="006E06B1" w:rsidRDefault="006E06B1" w:rsidP="006E06B1">
      <w:pPr>
        <w:pStyle w:val="Body"/>
        <w:numPr>
          <w:ilvl w:val="0"/>
          <w:numId w:val="32"/>
        </w:numPr>
        <w:spacing w:after="0"/>
        <w:rPr>
          <w:lang w:val="en-GB"/>
        </w:rPr>
      </w:pPr>
      <w:proofErr w:type="spellStart"/>
      <w:r w:rsidRPr="006E06B1">
        <w:rPr>
          <w:lang w:val="en-GB"/>
        </w:rPr>
        <w:t>Hoummadi</w:t>
      </w:r>
      <w:proofErr w:type="spellEnd"/>
      <w:r w:rsidRPr="006E06B1">
        <w:rPr>
          <w:lang w:val="en-GB"/>
        </w:rPr>
        <w:t xml:space="preserve">, M. A., Bouderbala, M., Alami Aroussi, H., </w:t>
      </w:r>
      <w:proofErr w:type="spellStart"/>
      <w:r w:rsidRPr="006E06B1">
        <w:rPr>
          <w:lang w:val="en-GB"/>
        </w:rPr>
        <w:t>Bossoufi</w:t>
      </w:r>
      <w:proofErr w:type="spellEnd"/>
      <w:r w:rsidRPr="006E06B1">
        <w:rPr>
          <w:lang w:val="en-GB"/>
        </w:rPr>
        <w:t xml:space="preserve">, B., El </w:t>
      </w:r>
      <w:proofErr w:type="spellStart"/>
      <w:r w:rsidRPr="006E06B1">
        <w:rPr>
          <w:lang w:val="en-GB"/>
        </w:rPr>
        <w:t>Ouanjli</w:t>
      </w:r>
      <w:proofErr w:type="spellEnd"/>
      <w:r w:rsidRPr="006E06B1">
        <w:rPr>
          <w:lang w:val="en-GB"/>
        </w:rPr>
        <w:t>, N., &amp; Karim, M. (2023). Survey of sustainable energy sources for microgrid energy management: A review. </w:t>
      </w:r>
      <w:r w:rsidRPr="006E06B1">
        <w:rPr>
          <w:i/>
          <w:iCs/>
          <w:lang w:val="en-GB"/>
        </w:rPr>
        <w:t>Energies, 16</w:t>
      </w:r>
      <w:r w:rsidRPr="006E06B1">
        <w:rPr>
          <w:lang w:val="en-GB"/>
        </w:rPr>
        <w:t>(7), 3077. </w:t>
      </w:r>
      <w:hyperlink r:id="rId39" w:tgtFrame="_blank" w:history="1">
        <w:r w:rsidRPr="006E06B1">
          <w:rPr>
            <w:rStyle w:val="Hyperlink"/>
            <w:lang w:val="en-GB"/>
          </w:rPr>
          <w:t>https://doi.org/10.3390/en16073077</w:t>
        </w:r>
      </w:hyperlink>
    </w:p>
    <w:p w14:paraId="7D932100" w14:textId="77777777" w:rsidR="006E06B1" w:rsidRPr="006E06B1" w:rsidRDefault="006E06B1" w:rsidP="006E06B1">
      <w:pPr>
        <w:pStyle w:val="Body"/>
        <w:numPr>
          <w:ilvl w:val="0"/>
          <w:numId w:val="32"/>
        </w:numPr>
        <w:spacing w:after="0"/>
        <w:rPr>
          <w:lang w:val="en-GB"/>
        </w:rPr>
      </w:pPr>
      <w:r w:rsidRPr="006E06B1">
        <w:rPr>
          <w:lang w:val="en-GB"/>
        </w:rPr>
        <w:t>Dufo-López, R., &amp; Bernal-Agustín, J. L. (2008). Multi-objective design of PV–wind–diesel–hydrogen–battery systems. </w:t>
      </w:r>
      <w:r w:rsidRPr="006E06B1">
        <w:rPr>
          <w:i/>
          <w:iCs/>
          <w:lang w:val="en-GB"/>
        </w:rPr>
        <w:t>Renewable Energy, 33</w:t>
      </w:r>
      <w:r w:rsidRPr="006E06B1">
        <w:rPr>
          <w:lang w:val="en-GB"/>
        </w:rPr>
        <w:t>(12), 2559–2572. </w:t>
      </w:r>
      <w:hyperlink r:id="rId40" w:tgtFrame="_blank" w:history="1">
        <w:r w:rsidRPr="006E06B1">
          <w:rPr>
            <w:rStyle w:val="Hyperlink"/>
            <w:lang w:val="en-GB"/>
          </w:rPr>
          <w:t>https://doi.org/10.1016/j.renene.2008.02.021</w:t>
        </w:r>
      </w:hyperlink>
    </w:p>
    <w:p w14:paraId="1065F33D" w14:textId="77777777" w:rsidR="006E06B1" w:rsidRPr="006E06B1" w:rsidRDefault="006E06B1" w:rsidP="006E06B1">
      <w:pPr>
        <w:pStyle w:val="Body"/>
        <w:numPr>
          <w:ilvl w:val="0"/>
          <w:numId w:val="32"/>
        </w:numPr>
        <w:spacing w:after="0"/>
        <w:rPr>
          <w:lang w:val="en-GB"/>
        </w:rPr>
      </w:pPr>
      <w:proofErr w:type="spellStart"/>
      <w:r w:rsidRPr="006E06B1">
        <w:rPr>
          <w:lang w:val="en-GB"/>
        </w:rPr>
        <w:t>Tumeran</w:t>
      </w:r>
      <w:proofErr w:type="spellEnd"/>
      <w:r w:rsidRPr="006E06B1">
        <w:rPr>
          <w:lang w:val="en-GB"/>
        </w:rPr>
        <w:t xml:space="preserve">, N. L., Yusoff, S. H., Gunawan, T. S., Hanifah, M. S. A., </w:t>
      </w:r>
      <w:proofErr w:type="spellStart"/>
      <w:r w:rsidRPr="006E06B1">
        <w:rPr>
          <w:lang w:val="en-GB"/>
        </w:rPr>
        <w:t>Zabidi</w:t>
      </w:r>
      <w:proofErr w:type="spellEnd"/>
      <w:r w:rsidRPr="006E06B1">
        <w:rPr>
          <w:lang w:val="en-GB"/>
        </w:rPr>
        <w:t xml:space="preserve">, S. A., </w:t>
      </w:r>
      <w:proofErr w:type="spellStart"/>
      <w:r w:rsidRPr="006E06B1">
        <w:rPr>
          <w:lang w:val="en-GB"/>
        </w:rPr>
        <w:t>Pranggono</w:t>
      </w:r>
      <w:proofErr w:type="spellEnd"/>
      <w:r w:rsidRPr="006E06B1">
        <w:rPr>
          <w:lang w:val="en-GB"/>
        </w:rPr>
        <w:t xml:space="preserve">, B., Yunus, M. S. F. M., </w:t>
      </w:r>
      <w:proofErr w:type="spellStart"/>
      <w:r w:rsidRPr="006E06B1">
        <w:rPr>
          <w:lang w:val="en-GB"/>
        </w:rPr>
        <w:t>Sapihie</w:t>
      </w:r>
      <w:proofErr w:type="spellEnd"/>
      <w:r w:rsidRPr="006E06B1">
        <w:rPr>
          <w:lang w:val="en-GB"/>
        </w:rPr>
        <w:t xml:space="preserve">, S. N. M., &amp; </w:t>
      </w:r>
      <w:proofErr w:type="spellStart"/>
      <w:r w:rsidRPr="006E06B1">
        <w:rPr>
          <w:lang w:val="en-GB"/>
        </w:rPr>
        <w:t>Halbouni</w:t>
      </w:r>
      <w:proofErr w:type="spellEnd"/>
      <w:r w:rsidRPr="006E06B1">
        <w:rPr>
          <w:lang w:val="en-GB"/>
        </w:rPr>
        <w:t>, A. H. (2023). Model predictive control based energy management system literature assessment for RES integration. </w:t>
      </w:r>
      <w:r w:rsidRPr="006E06B1">
        <w:rPr>
          <w:i/>
          <w:iCs/>
          <w:lang w:val="en-GB"/>
        </w:rPr>
        <w:t>Energies, 16</w:t>
      </w:r>
      <w:r w:rsidRPr="006E06B1">
        <w:rPr>
          <w:lang w:val="en-GB"/>
        </w:rPr>
        <w:t>(8), 3362. </w:t>
      </w:r>
      <w:hyperlink r:id="rId41" w:tgtFrame="_blank" w:history="1">
        <w:r w:rsidRPr="006E06B1">
          <w:rPr>
            <w:rStyle w:val="Hyperlink"/>
            <w:lang w:val="en-GB"/>
          </w:rPr>
          <w:t>https://doi.org/10.3390/en16083362</w:t>
        </w:r>
      </w:hyperlink>
    </w:p>
    <w:p w14:paraId="323136EA" w14:textId="77777777" w:rsidR="006E06B1" w:rsidRPr="006E06B1" w:rsidRDefault="006E06B1" w:rsidP="006E06B1">
      <w:pPr>
        <w:pStyle w:val="Body"/>
        <w:numPr>
          <w:ilvl w:val="0"/>
          <w:numId w:val="32"/>
        </w:numPr>
        <w:spacing w:after="0"/>
        <w:rPr>
          <w:lang w:val="en-GB"/>
        </w:rPr>
      </w:pPr>
      <w:proofErr w:type="spellStart"/>
      <w:r w:rsidRPr="006E06B1">
        <w:rPr>
          <w:lang w:val="en-GB"/>
        </w:rPr>
        <w:t>Merei</w:t>
      </w:r>
      <w:proofErr w:type="spellEnd"/>
      <w:r w:rsidRPr="006E06B1">
        <w:rPr>
          <w:lang w:val="en-GB"/>
        </w:rPr>
        <w:t>, M., Berger, C., &amp; Sauer, D. U. (2013). Optimization of an off-grid hybrid PV–wind–diesel system with different battery technologies using a genetic algorithm. </w:t>
      </w:r>
      <w:r w:rsidRPr="006E06B1">
        <w:rPr>
          <w:i/>
          <w:iCs/>
          <w:lang w:val="en-GB"/>
        </w:rPr>
        <w:t>Solar Energy, 97</w:t>
      </w:r>
      <w:r w:rsidRPr="006E06B1">
        <w:rPr>
          <w:lang w:val="en-GB"/>
        </w:rPr>
        <w:t>, 460–473. </w:t>
      </w:r>
      <w:hyperlink r:id="rId42" w:tgtFrame="_blank" w:history="1">
        <w:r w:rsidRPr="006E06B1">
          <w:rPr>
            <w:rStyle w:val="Hyperlink"/>
            <w:lang w:val="en-GB"/>
          </w:rPr>
          <w:t>https://doi.org/10.1016/j.solener.2013.08.016</w:t>
        </w:r>
      </w:hyperlink>
    </w:p>
    <w:p w14:paraId="25147AFD" w14:textId="77777777" w:rsidR="006E06B1" w:rsidRPr="006E06B1" w:rsidRDefault="006E06B1" w:rsidP="006E06B1">
      <w:pPr>
        <w:pStyle w:val="Body"/>
        <w:numPr>
          <w:ilvl w:val="0"/>
          <w:numId w:val="32"/>
        </w:numPr>
        <w:spacing w:after="0"/>
        <w:rPr>
          <w:lang w:val="en-GB"/>
        </w:rPr>
      </w:pPr>
      <w:r w:rsidRPr="006E06B1">
        <w:rPr>
          <w:lang w:val="en-GB"/>
        </w:rPr>
        <w:t xml:space="preserve">Kotian, S., &amp; </w:t>
      </w:r>
      <w:proofErr w:type="spellStart"/>
      <w:r w:rsidRPr="006E06B1">
        <w:rPr>
          <w:lang w:val="en-GB"/>
        </w:rPr>
        <w:t>Ghahremanlou</w:t>
      </w:r>
      <w:proofErr w:type="spellEnd"/>
      <w:r w:rsidRPr="006E06B1">
        <w:rPr>
          <w:lang w:val="en-GB"/>
        </w:rPr>
        <w:t>, D. (2024). Design for hybrid power system in Newfoundland and Labrador: A case study for Nain. </w:t>
      </w:r>
      <w:r w:rsidRPr="006E06B1">
        <w:rPr>
          <w:i/>
          <w:iCs/>
          <w:lang w:val="en-GB"/>
        </w:rPr>
        <w:t>European Journal of Electrical Engineering and Computer Science, 8</w:t>
      </w:r>
      <w:r w:rsidRPr="006E06B1">
        <w:rPr>
          <w:lang w:val="en-GB"/>
        </w:rPr>
        <w:t>(1), 1–5. </w:t>
      </w:r>
      <w:hyperlink r:id="rId43" w:tgtFrame="_blank" w:history="1">
        <w:r w:rsidRPr="006E06B1">
          <w:rPr>
            <w:rStyle w:val="Hyperlink"/>
            <w:lang w:val="en-GB"/>
          </w:rPr>
          <w:t>https://doi.org/10.24018/ejece.2024.8.1.598</w:t>
        </w:r>
      </w:hyperlink>
    </w:p>
    <w:p w14:paraId="1DBEF66E" w14:textId="77777777" w:rsidR="006E06B1" w:rsidRPr="006E06B1" w:rsidRDefault="006E06B1" w:rsidP="006E06B1">
      <w:pPr>
        <w:pStyle w:val="Body"/>
        <w:numPr>
          <w:ilvl w:val="0"/>
          <w:numId w:val="32"/>
        </w:numPr>
        <w:spacing w:after="0"/>
        <w:rPr>
          <w:lang w:val="en-GB"/>
        </w:rPr>
      </w:pPr>
      <w:r w:rsidRPr="006E06B1">
        <w:rPr>
          <w:lang w:val="en-GB"/>
        </w:rPr>
        <w:t>Zhang, D., Shah, N., &amp; Papageorgiou, L. G. (2019). Efficient energy consumption and operation management in a smart building with microgrid. </w:t>
      </w:r>
      <w:r w:rsidRPr="006E06B1">
        <w:rPr>
          <w:i/>
          <w:iCs/>
          <w:lang w:val="en-GB"/>
        </w:rPr>
        <w:t>Energy Conversion and Management, 198</w:t>
      </w:r>
      <w:r w:rsidRPr="006E06B1">
        <w:rPr>
          <w:lang w:val="en-GB"/>
        </w:rPr>
        <w:t>, 111805. </w:t>
      </w:r>
      <w:hyperlink r:id="rId44" w:tgtFrame="_blank" w:history="1">
        <w:r w:rsidRPr="006E06B1">
          <w:rPr>
            <w:rStyle w:val="Hyperlink"/>
            <w:lang w:val="en-GB"/>
          </w:rPr>
          <w:t>https://doi.org/10.1016/j.enconman.2019.111805</w:t>
        </w:r>
      </w:hyperlink>
    </w:p>
    <w:p w14:paraId="4200AE7B" w14:textId="77777777" w:rsidR="006E06B1" w:rsidRPr="006E06B1" w:rsidRDefault="006E06B1" w:rsidP="006E06B1">
      <w:pPr>
        <w:pStyle w:val="Body"/>
        <w:numPr>
          <w:ilvl w:val="0"/>
          <w:numId w:val="32"/>
        </w:numPr>
        <w:spacing w:after="0"/>
        <w:rPr>
          <w:lang w:val="en-GB"/>
        </w:rPr>
      </w:pPr>
      <w:r w:rsidRPr="006E06B1">
        <w:rPr>
          <w:lang w:val="en-GB"/>
        </w:rPr>
        <w:t xml:space="preserve">Asghar, R., </w:t>
      </w:r>
      <w:proofErr w:type="spellStart"/>
      <w:r w:rsidRPr="006E06B1">
        <w:rPr>
          <w:lang w:val="en-GB"/>
        </w:rPr>
        <w:t>Fulginei</w:t>
      </w:r>
      <w:proofErr w:type="spellEnd"/>
      <w:r w:rsidRPr="006E06B1">
        <w:rPr>
          <w:lang w:val="en-GB"/>
        </w:rPr>
        <w:t xml:space="preserve">, F. R., </w:t>
      </w:r>
      <w:proofErr w:type="spellStart"/>
      <w:r w:rsidRPr="006E06B1">
        <w:rPr>
          <w:lang w:val="en-GB"/>
        </w:rPr>
        <w:t>Quercio</w:t>
      </w:r>
      <w:proofErr w:type="spellEnd"/>
      <w:r w:rsidRPr="006E06B1">
        <w:rPr>
          <w:lang w:val="en-GB"/>
        </w:rPr>
        <w:t xml:space="preserve">, M., &amp; </w:t>
      </w:r>
      <w:proofErr w:type="spellStart"/>
      <w:r w:rsidRPr="006E06B1">
        <w:rPr>
          <w:lang w:val="en-GB"/>
        </w:rPr>
        <w:t>Mahrouch</w:t>
      </w:r>
      <w:proofErr w:type="spellEnd"/>
      <w:r w:rsidRPr="006E06B1">
        <w:rPr>
          <w:lang w:val="en-GB"/>
        </w:rPr>
        <w:t>, A. (2024). Artificial neural networks for photovoltaic power forecasting: A review of five promising models. </w:t>
      </w:r>
      <w:r w:rsidRPr="006E06B1">
        <w:rPr>
          <w:i/>
          <w:iCs/>
          <w:lang w:val="en-GB"/>
        </w:rPr>
        <w:t>IEEE Access, 12</w:t>
      </w:r>
      <w:r w:rsidRPr="006E06B1">
        <w:rPr>
          <w:lang w:val="en-GB"/>
        </w:rPr>
        <w:t>, 90461–90485. </w:t>
      </w:r>
      <w:hyperlink r:id="rId45" w:tgtFrame="_blank" w:history="1">
        <w:r w:rsidRPr="006E06B1">
          <w:rPr>
            <w:rStyle w:val="Hyperlink"/>
            <w:lang w:val="en-GB"/>
          </w:rPr>
          <w:t>https://doi.org/10.1109/ACCESS.2024.3420693</w:t>
        </w:r>
      </w:hyperlink>
    </w:p>
    <w:p w14:paraId="2F327A54" w14:textId="77777777" w:rsidR="006E06B1" w:rsidRPr="006E06B1" w:rsidRDefault="006E06B1" w:rsidP="006E06B1">
      <w:pPr>
        <w:pStyle w:val="Body"/>
        <w:numPr>
          <w:ilvl w:val="0"/>
          <w:numId w:val="32"/>
        </w:numPr>
        <w:spacing w:after="0"/>
        <w:rPr>
          <w:lang w:val="en-GB"/>
        </w:rPr>
      </w:pPr>
      <w:r w:rsidRPr="006E06B1">
        <w:rPr>
          <w:lang w:val="en-GB"/>
        </w:rPr>
        <w:t>Yadav, A., &amp; Chandel, S. (2014). Solar radiation prediction using artificial neural network techniques: A review. </w:t>
      </w:r>
      <w:r w:rsidRPr="006E06B1">
        <w:rPr>
          <w:i/>
          <w:iCs/>
          <w:lang w:val="en-GB"/>
        </w:rPr>
        <w:t>Renewable and Sustainable Energy Reviews, 33</w:t>
      </w:r>
      <w:r w:rsidRPr="006E06B1">
        <w:rPr>
          <w:lang w:val="en-GB"/>
        </w:rPr>
        <w:t>, 772–781. </w:t>
      </w:r>
      <w:hyperlink r:id="rId46" w:tgtFrame="_blank" w:history="1">
        <w:r w:rsidRPr="006E06B1">
          <w:rPr>
            <w:rStyle w:val="Hyperlink"/>
            <w:lang w:val="en-GB"/>
          </w:rPr>
          <w:t>https://doi.org/10.1016/j.rser.2013.08.055</w:t>
        </w:r>
      </w:hyperlink>
    </w:p>
    <w:p w14:paraId="3E8BB398" w14:textId="77777777" w:rsidR="006E06B1" w:rsidRPr="001A53E8" w:rsidRDefault="006E06B1" w:rsidP="006E06B1">
      <w:pPr>
        <w:pStyle w:val="Body"/>
        <w:numPr>
          <w:ilvl w:val="0"/>
          <w:numId w:val="32"/>
        </w:numPr>
        <w:spacing w:after="0"/>
        <w:rPr>
          <w:rStyle w:val="Hyperlink"/>
          <w:color w:val="auto"/>
          <w:u w:val="none"/>
          <w:lang w:val="en-GB"/>
        </w:rPr>
      </w:pPr>
      <w:r w:rsidRPr="006E06B1">
        <w:rPr>
          <w:lang w:val="en-GB"/>
        </w:rPr>
        <w:t>Anseán, D., González, M., García, V., Blanco, C., &amp; González, M. (2018). Lithium-ion battery degradation indicators via incremental capacity analysis. </w:t>
      </w:r>
      <w:r w:rsidRPr="006E06B1">
        <w:rPr>
          <w:i/>
          <w:iCs/>
          <w:lang w:val="en-GB"/>
        </w:rPr>
        <w:t>IEEE Transactions on Industry Applications, 54</w:t>
      </w:r>
      <w:r w:rsidRPr="006E06B1">
        <w:rPr>
          <w:lang w:val="en-GB"/>
        </w:rPr>
        <w:t>(6), 5606–5614. </w:t>
      </w:r>
      <w:hyperlink r:id="rId47" w:tgtFrame="_blank" w:history="1">
        <w:r w:rsidRPr="006E06B1">
          <w:rPr>
            <w:rStyle w:val="Hyperlink"/>
            <w:lang w:val="en-GB"/>
          </w:rPr>
          <w:t>https://doi.org/10.1109/TIA.2018.2847674</w:t>
        </w:r>
      </w:hyperlink>
    </w:p>
    <w:p w14:paraId="03ACD1E6" w14:textId="01921DAA" w:rsidR="001A53E8" w:rsidRDefault="001A53E8" w:rsidP="006C0A12">
      <w:pPr>
        <w:pStyle w:val="Body"/>
        <w:numPr>
          <w:ilvl w:val="0"/>
          <w:numId w:val="32"/>
        </w:numPr>
        <w:spacing w:after="0"/>
        <w:rPr>
          <w:lang w:val="en-GB"/>
        </w:rPr>
      </w:pPr>
      <w:proofErr w:type="spellStart"/>
      <w:r w:rsidRPr="00840567">
        <w:rPr>
          <w:highlight w:val="yellow"/>
          <w:lang w:val="en-GB"/>
        </w:rPr>
        <w:t>Mudathir</w:t>
      </w:r>
      <w:proofErr w:type="spellEnd"/>
      <w:r w:rsidRPr="00840567">
        <w:rPr>
          <w:highlight w:val="yellow"/>
          <w:lang w:val="en-GB"/>
        </w:rPr>
        <w:t xml:space="preserve">, F. A. (2022). Design and performance analysis of off-grid hybrid renewable energy systems, Editor(s): Massimiliano, L., </w:t>
      </w:r>
      <w:proofErr w:type="spellStart"/>
      <w:r w:rsidRPr="00840567">
        <w:rPr>
          <w:highlight w:val="yellow"/>
          <w:lang w:val="en-GB"/>
        </w:rPr>
        <w:t>Orazio</w:t>
      </w:r>
      <w:proofErr w:type="spellEnd"/>
      <w:r w:rsidRPr="00840567">
        <w:rPr>
          <w:highlight w:val="yellow"/>
          <w:lang w:val="en-GB"/>
        </w:rPr>
        <w:t xml:space="preserve">, B. &amp; </w:t>
      </w:r>
      <w:proofErr w:type="spellStart"/>
      <w:r w:rsidRPr="00840567">
        <w:rPr>
          <w:highlight w:val="yellow"/>
          <w:lang w:val="en-GB"/>
        </w:rPr>
        <w:t>Giosué</w:t>
      </w:r>
      <w:proofErr w:type="spellEnd"/>
      <w:r w:rsidRPr="00840567">
        <w:rPr>
          <w:highlight w:val="yellow"/>
          <w:lang w:val="en-GB"/>
        </w:rPr>
        <w:t>, G. In Hybrid Energy Systems,</w:t>
      </w:r>
      <w:r w:rsidRPr="00840567">
        <w:rPr>
          <w:highlight w:val="yellow"/>
          <w:lang w:val="en-GB"/>
        </w:rPr>
        <w:t xml:space="preserve"> </w:t>
      </w:r>
      <w:r w:rsidRPr="00840567">
        <w:rPr>
          <w:highlight w:val="yellow"/>
          <w:lang w:val="en-GB"/>
        </w:rPr>
        <w:t>Hybrid Technologies for Power Generation, Academic Press, 35-68,</w:t>
      </w:r>
      <w:r w:rsidRPr="001A53E8">
        <w:rPr>
          <w:lang w:val="en-GB"/>
        </w:rPr>
        <w:t xml:space="preserve"> </w:t>
      </w:r>
      <w:hyperlink r:id="rId48" w:history="1">
        <w:r w:rsidRPr="00047E6B">
          <w:rPr>
            <w:rStyle w:val="Hyperlink"/>
            <w:lang w:val="en-GB"/>
          </w:rPr>
          <w:t>https://doi.org/10.1016/B978-0-12-823793-9.00001-2</w:t>
        </w:r>
      </w:hyperlink>
      <w:r w:rsidRPr="001A53E8">
        <w:rPr>
          <w:lang w:val="en-GB"/>
        </w:rPr>
        <w:t>.</w:t>
      </w:r>
    </w:p>
    <w:p w14:paraId="1075A836" w14:textId="77777777" w:rsidR="006E06B1" w:rsidRPr="006E06B1" w:rsidRDefault="006E06B1" w:rsidP="006E06B1">
      <w:pPr>
        <w:pStyle w:val="Body"/>
        <w:numPr>
          <w:ilvl w:val="0"/>
          <w:numId w:val="32"/>
        </w:numPr>
        <w:spacing w:after="0"/>
        <w:rPr>
          <w:lang w:val="en-GB"/>
        </w:rPr>
      </w:pPr>
      <w:proofErr w:type="spellStart"/>
      <w:r w:rsidRPr="006E06B1">
        <w:rPr>
          <w:lang w:val="en-GB"/>
        </w:rPr>
        <w:t>Şen</w:t>
      </w:r>
      <w:proofErr w:type="spellEnd"/>
      <w:r w:rsidRPr="006E06B1">
        <w:rPr>
          <w:lang w:val="en-GB"/>
        </w:rPr>
        <w:t>, M., &amp; Özcan, M. (2023). A novel method for SoC estimation of lithium-ion batteries based on Kalman filter in electric vehicle. </w:t>
      </w:r>
      <w:r w:rsidRPr="006E06B1">
        <w:rPr>
          <w:i/>
          <w:iCs/>
          <w:lang w:val="en-GB"/>
        </w:rPr>
        <w:t>International Journal of Advanced Natural Sciences and Engineering Researches, 7</w:t>
      </w:r>
      <w:r w:rsidRPr="006E06B1">
        <w:rPr>
          <w:lang w:val="en-GB"/>
        </w:rPr>
        <w:t>(5), 1–6. </w:t>
      </w:r>
      <w:hyperlink r:id="rId49" w:tgtFrame="_blank" w:history="1">
        <w:r w:rsidRPr="006E06B1">
          <w:rPr>
            <w:rStyle w:val="Hyperlink"/>
            <w:lang w:val="en-GB"/>
          </w:rPr>
          <w:t>https://doi.org/10.59287/ijanser.889</w:t>
        </w:r>
      </w:hyperlink>
    </w:p>
    <w:p w14:paraId="0CC2D8DE" w14:textId="77777777" w:rsidR="006E06B1" w:rsidRPr="006E06B1" w:rsidRDefault="006E06B1" w:rsidP="006E06B1">
      <w:pPr>
        <w:pStyle w:val="Body"/>
        <w:numPr>
          <w:ilvl w:val="0"/>
          <w:numId w:val="32"/>
        </w:numPr>
        <w:spacing w:after="0"/>
        <w:rPr>
          <w:lang w:val="en-GB"/>
        </w:rPr>
      </w:pPr>
      <w:proofErr w:type="spellStart"/>
      <w:r w:rsidRPr="006E06B1">
        <w:rPr>
          <w:lang w:val="en-GB"/>
        </w:rPr>
        <w:lastRenderedPageBreak/>
        <w:t>Katche</w:t>
      </w:r>
      <w:proofErr w:type="spellEnd"/>
      <w:r w:rsidRPr="006E06B1">
        <w:rPr>
          <w:lang w:val="en-GB"/>
        </w:rPr>
        <w:t xml:space="preserve">, M. L., Makokha, A. B., Zachary, S. O., &amp; </w:t>
      </w:r>
      <w:proofErr w:type="spellStart"/>
      <w:r w:rsidRPr="006E06B1">
        <w:rPr>
          <w:lang w:val="en-GB"/>
        </w:rPr>
        <w:t>Adaramola</w:t>
      </w:r>
      <w:proofErr w:type="spellEnd"/>
      <w:r w:rsidRPr="006E06B1">
        <w:rPr>
          <w:lang w:val="en-GB"/>
        </w:rPr>
        <w:t>, M. S. (2023). A comprehensive review of maximum power point tracking (MPPT) techniques used in solar PV systems. </w:t>
      </w:r>
      <w:r w:rsidRPr="006E06B1">
        <w:rPr>
          <w:i/>
          <w:iCs/>
          <w:lang w:val="en-GB"/>
        </w:rPr>
        <w:t>Energies, 16</w:t>
      </w:r>
      <w:r w:rsidRPr="006E06B1">
        <w:rPr>
          <w:lang w:val="en-GB"/>
        </w:rPr>
        <w:t>(5), 2206. </w:t>
      </w:r>
      <w:hyperlink r:id="rId50" w:tgtFrame="_blank" w:history="1">
        <w:r w:rsidRPr="006E06B1">
          <w:rPr>
            <w:rStyle w:val="Hyperlink"/>
            <w:lang w:val="en-GB"/>
          </w:rPr>
          <w:t>https://doi.org/10.3390/en16052206</w:t>
        </w:r>
      </w:hyperlink>
    </w:p>
    <w:p w14:paraId="2A06676F" w14:textId="77777777" w:rsidR="006E06B1" w:rsidRPr="006E06B1" w:rsidRDefault="006E06B1" w:rsidP="006E06B1">
      <w:pPr>
        <w:pStyle w:val="Body"/>
        <w:numPr>
          <w:ilvl w:val="0"/>
          <w:numId w:val="32"/>
        </w:numPr>
        <w:spacing w:after="0"/>
        <w:rPr>
          <w:lang w:val="en-GB"/>
        </w:rPr>
      </w:pPr>
      <w:r w:rsidRPr="006E06B1">
        <w:rPr>
          <w:lang w:val="en-GB"/>
        </w:rPr>
        <w:t xml:space="preserve">Al-Shetwi, A. Q., Hannan, M. A., Jern, K. P., </w:t>
      </w:r>
      <w:proofErr w:type="spellStart"/>
      <w:r w:rsidRPr="006E06B1">
        <w:rPr>
          <w:lang w:val="en-GB"/>
        </w:rPr>
        <w:t>Alkahtani</w:t>
      </w:r>
      <w:proofErr w:type="spellEnd"/>
      <w:r w:rsidRPr="006E06B1">
        <w:rPr>
          <w:lang w:val="en-GB"/>
        </w:rPr>
        <w:t>, A. A., &amp; PG Abas, A. E. (2020). Power quality assessment of grid-connected PV system in compliance with the recent integration requirements. </w:t>
      </w:r>
      <w:r w:rsidRPr="006E06B1">
        <w:rPr>
          <w:i/>
          <w:iCs/>
          <w:lang w:val="en-GB"/>
        </w:rPr>
        <w:t>Electronics, 9</w:t>
      </w:r>
      <w:r w:rsidRPr="006E06B1">
        <w:rPr>
          <w:lang w:val="en-GB"/>
        </w:rPr>
        <w:t>(2), 366. </w:t>
      </w:r>
      <w:hyperlink r:id="rId51" w:tgtFrame="_blank" w:history="1">
        <w:r w:rsidRPr="006E06B1">
          <w:rPr>
            <w:rStyle w:val="Hyperlink"/>
            <w:lang w:val="en-GB"/>
          </w:rPr>
          <w:t>https://doi.org/10.3390/electronics9020366</w:t>
        </w:r>
      </w:hyperlink>
    </w:p>
    <w:p w14:paraId="52BADC4C" w14:textId="77777777" w:rsidR="006E06B1" w:rsidRPr="006E06B1" w:rsidRDefault="006E06B1" w:rsidP="006E06B1">
      <w:pPr>
        <w:pStyle w:val="Body"/>
        <w:numPr>
          <w:ilvl w:val="0"/>
          <w:numId w:val="32"/>
        </w:numPr>
        <w:spacing w:after="0"/>
        <w:rPr>
          <w:lang w:val="en-GB"/>
        </w:rPr>
      </w:pPr>
      <w:r w:rsidRPr="006E06B1">
        <w:rPr>
          <w:lang w:val="en-GB"/>
        </w:rPr>
        <w:t>Tahir, K. A. (2025). A systematic review and evolutionary analysis of the optimization techniques and software tools in hybrid microgrid systems. </w:t>
      </w:r>
      <w:r w:rsidRPr="006E06B1">
        <w:rPr>
          <w:i/>
          <w:iCs/>
          <w:lang w:val="en-GB"/>
        </w:rPr>
        <w:t>Energies, 18</w:t>
      </w:r>
      <w:r w:rsidRPr="006E06B1">
        <w:rPr>
          <w:lang w:val="en-GB"/>
        </w:rPr>
        <w:t>(7), 1770. </w:t>
      </w:r>
      <w:hyperlink r:id="rId52" w:tgtFrame="_blank" w:history="1">
        <w:r w:rsidRPr="006E06B1">
          <w:rPr>
            <w:rStyle w:val="Hyperlink"/>
            <w:lang w:val="en-GB"/>
          </w:rPr>
          <w:t>https://doi.org/10.3390/en18071770</w:t>
        </w:r>
      </w:hyperlink>
    </w:p>
    <w:p w14:paraId="65A23AAE" w14:textId="77777777" w:rsidR="006E06B1" w:rsidRPr="004038E3" w:rsidRDefault="006E06B1" w:rsidP="006E06B1">
      <w:pPr>
        <w:pStyle w:val="Body"/>
        <w:numPr>
          <w:ilvl w:val="0"/>
          <w:numId w:val="32"/>
        </w:numPr>
        <w:spacing w:after="0"/>
        <w:rPr>
          <w:rStyle w:val="Hyperlink"/>
          <w:color w:val="auto"/>
          <w:u w:val="none"/>
          <w:lang w:val="en-GB"/>
        </w:rPr>
      </w:pPr>
      <w:r w:rsidRPr="006E06B1">
        <w:rPr>
          <w:lang w:val="en-GB"/>
        </w:rPr>
        <w:t>Loza, B., Minchala, L. I., Ochoa-Correa, D., &amp; Martinez, S. (2024). Grid-friendly integration of wind energy: A review of power forecasting and frequency control techniques. </w:t>
      </w:r>
      <w:r w:rsidRPr="006E06B1">
        <w:rPr>
          <w:i/>
          <w:iCs/>
          <w:lang w:val="en-GB"/>
        </w:rPr>
        <w:t>Sustainability, 16</w:t>
      </w:r>
      <w:r w:rsidRPr="006E06B1">
        <w:rPr>
          <w:lang w:val="en-GB"/>
        </w:rPr>
        <w:t>(21), 9535. </w:t>
      </w:r>
      <w:hyperlink r:id="rId53" w:tgtFrame="_blank" w:history="1">
        <w:r w:rsidRPr="006E06B1">
          <w:rPr>
            <w:rStyle w:val="Hyperlink"/>
            <w:lang w:val="en-GB"/>
          </w:rPr>
          <w:t>https://doi.org/10.3390/su16219535</w:t>
        </w:r>
      </w:hyperlink>
    </w:p>
    <w:p w14:paraId="1175BD51" w14:textId="6CD23A2C" w:rsidR="004038E3" w:rsidRPr="00840567" w:rsidRDefault="004038E3" w:rsidP="006E06B1">
      <w:pPr>
        <w:pStyle w:val="Body"/>
        <w:numPr>
          <w:ilvl w:val="0"/>
          <w:numId w:val="32"/>
        </w:numPr>
        <w:spacing w:after="0"/>
        <w:rPr>
          <w:highlight w:val="yellow"/>
          <w:lang w:val="en-GB"/>
        </w:rPr>
      </w:pPr>
      <w:r w:rsidRPr="00840567">
        <w:rPr>
          <w:highlight w:val="yellow"/>
          <w:lang w:val="en-GB"/>
        </w:rPr>
        <w:t>Saifullah, A Z A &amp; Karim, Md &amp; Karim, Md. (2016). Wind Energy Potential in Bangladesh. American Journal of Engineering Research (AJER)</w:t>
      </w:r>
      <w:r w:rsidRPr="00840567">
        <w:rPr>
          <w:highlight w:val="yellow"/>
          <w:lang w:val="en-GB"/>
        </w:rPr>
        <w:t>,</w:t>
      </w:r>
      <w:r w:rsidRPr="00840567">
        <w:rPr>
          <w:highlight w:val="yellow"/>
          <w:lang w:val="en-GB"/>
        </w:rPr>
        <w:t xml:space="preserve"> 5</w:t>
      </w:r>
      <w:r w:rsidRPr="00840567">
        <w:rPr>
          <w:highlight w:val="yellow"/>
          <w:lang w:val="en-GB"/>
        </w:rPr>
        <w:t>(7)</w:t>
      </w:r>
      <w:r w:rsidR="00F411E2" w:rsidRPr="00840567">
        <w:rPr>
          <w:highlight w:val="yellow"/>
          <w:lang w:val="en-GB"/>
        </w:rPr>
        <w:t xml:space="preserve">, </w:t>
      </w:r>
      <w:r w:rsidRPr="00840567">
        <w:rPr>
          <w:highlight w:val="yellow"/>
          <w:lang w:val="en-GB"/>
        </w:rPr>
        <w:t xml:space="preserve">85-94. </w:t>
      </w:r>
    </w:p>
    <w:p w14:paraId="1BB214B5" w14:textId="77777777" w:rsidR="006E06B1" w:rsidRPr="006E06B1" w:rsidRDefault="006E06B1" w:rsidP="006E06B1">
      <w:pPr>
        <w:pStyle w:val="Body"/>
        <w:numPr>
          <w:ilvl w:val="0"/>
          <w:numId w:val="32"/>
        </w:numPr>
        <w:spacing w:after="0"/>
        <w:rPr>
          <w:lang w:val="en-GB"/>
        </w:rPr>
      </w:pPr>
      <w:r w:rsidRPr="00840567">
        <w:rPr>
          <w:highlight w:val="yellow"/>
          <w:lang w:val="en-GB"/>
        </w:rPr>
        <w:t>Villanueva, D., &amp; Feijóo, A. (2020). A review on wind turbine deterministic power curve</w:t>
      </w:r>
      <w:r w:rsidRPr="006E06B1">
        <w:rPr>
          <w:lang w:val="en-GB"/>
        </w:rPr>
        <w:t xml:space="preserve"> models. </w:t>
      </w:r>
      <w:r w:rsidRPr="006E06B1">
        <w:rPr>
          <w:i/>
          <w:iCs/>
          <w:lang w:val="en-GB"/>
        </w:rPr>
        <w:t>Applied Sciences, 10</w:t>
      </w:r>
      <w:r w:rsidRPr="006E06B1">
        <w:rPr>
          <w:lang w:val="en-GB"/>
        </w:rPr>
        <w:t>(12), 4186. </w:t>
      </w:r>
      <w:hyperlink r:id="rId54" w:tgtFrame="_blank" w:history="1">
        <w:r w:rsidRPr="006E06B1">
          <w:rPr>
            <w:rStyle w:val="Hyperlink"/>
            <w:lang w:val="en-GB"/>
          </w:rPr>
          <w:t>https://doi.org/10.3390/app10124186</w:t>
        </w:r>
      </w:hyperlink>
    </w:p>
    <w:p w14:paraId="19D12206" w14:textId="77777777" w:rsidR="006E06B1" w:rsidRPr="006E06B1" w:rsidRDefault="006E06B1" w:rsidP="006E06B1">
      <w:pPr>
        <w:pStyle w:val="Body"/>
        <w:numPr>
          <w:ilvl w:val="0"/>
          <w:numId w:val="32"/>
        </w:numPr>
        <w:spacing w:after="0"/>
        <w:rPr>
          <w:lang w:val="en-GB"/>
        </w:rPr>
      </w:pPr>
      <w:proofErr w:type="spellStart"/>
      <w:r w:rsidRPr="006E06B1">
        <w:rPr>
          <w:lang w:val="en-GB"/>
        </w:rPr>
        <w:t>Teimourian</w:t>
      </w:r>
      <w:proofErr w:type="spellEnd"/>
      <w:r w:rsidRPr="006E06B1">
        <w:rPr>
          <w:lang w:val="en-GB"/>
        </w:rPr>
        <w:t xml:space="preserve">, H., Abubakar, M., Yildiz, M., &amp; </w:t>
      </w:r>
      <w:proofErr w:type="spellStart"/>
      <w:r w:rsidRPr="006E06B1">
        <w:rPr>
          <w:lang w:val="en-GB"/>
        </w:rPr>
        <w:t>Teimourian</w:t>
      </w:r>
      <w:proofErr w:type="spellEnd"/>
      <w:r w:rsidRPr="006E06B1">
        <w:rPr>
          <w:lang w:val="en-GB"/>
        </w:rPr>
        <w:t>, A. (2022). A comparative study on wind energy assessment distribution models: A case study on Weibull distribution. </w:t>
      </w:r>
      <w:r w:rsidRPr="006E06B1">
        <w:rPr>
          <w:i/>
          <w:iCs/>
          <w:lang w:val="en-GB"/>
        </w:rPr>
        <w:t>Energies, 15</w:t>
      </w:r>
      <w:r w:rsidRPr="006E06B1">
        <w:rPr>
          <w:lang w:val="en-GB"/>
        </w:rPr>
        <w:t>(15), 5684. </w:t>
      </w:r>
      <w:hyperlink r:id="rId55" w:tgtFrame="_blank" w:history="1">
        <w:r w:rsidRPr="006E06B1">
          <w:rPr>
            <w:rStyle w:val="Hyperlink"/>
            <w:lang w:val="en-GB"/>
          </w:rPr>
          <w:t>https://doi.org/10.3390/en15155684</w:t>
        </w:r>
      </w:hyperlink>
    </w:p>
    <w:p w14:paraId="0712F17C" w14:textId="77777777" w:rsidR="006E06B1" w:rsidRPr="006E06B1" w:rsidRDefault="006E06B1" w:rsidP="006E06B1">
      <w:pPr>
        <w:pStyle w:val="Body"/>
        <w:numPr>
          <w:ilvl w:val="0"/>
          <w:numId w:val="32"/>
        </w:numPr>
        <w:spacing w:after="0"/>
        <w:rPr>
          <w:lang w:val="en-GB"/>
        </w:rPr>
      </w:pPr>
      <w:r w:rsidRPr="006E06B1">
        <w:rPr>
          <w:lang w:val="en-GB"/>
        </w:rPr>
        <w:t xml:space="preserve">Fernandez-Gamiz, U., Zulueta, E., </w:t>
      </w:r>
      <w:proofErr w:type="spellStart"/>
      <w:r w:rsidRPr="006E06B1">
        <w:rPr>
          <w:lang w:val="en-GB"/>
        </w:rPr>
        <w:t>Boyano</w:t>
      </w:r>
      <w:proofErr w:type="spellEnd"/>
      <w:r w:rsidRPr="006E06B1">
        <w:rPr>
          <w:lang w:val="en-GB"/>
        </w:rPr>
        <w:t>, A., Ansoategui, I., &amp; Uriarte, I. (2017). Five megawatt wind turbine power output improvements by passive flow control devices. </w:t>
      </w:r>
      <w:r w:rsidRPr="006E06B1">
        <w:rPr>
          <w:i/>
          <w:iCs/>
          <w:lang w:val="en-GB"/>
        </w:rPr>
        <w:t>Energies, 10</w:t>
      </w:r>
      <w:r w:rsidRPr="006E06B1">
        <w:rPr>
          <w:lang w:val="en-GB"/>
        </w:rPr>
        <w:t>(6), 742. </w:t>
      </w:r>
      <w:hyperlink r:id="rId56" w:tgtFrame="_blank" w:history="1">
        <w:r w:rsidRPr="006E06B1">
          <w:rPr>
            <w:rStyle w:val="Hyperlink"/>
            <w:lang w:val="en-GB"/>
          </w:rPr>
          <w:t>https://doi.org/10.3390/en10060742</w:t>
        </w:r>
      </w:hyperlink>
    </w:p>
    <w:p w14:paraId="7CC6E973" w14:textId="77777777" w:rsidR="006E06B1" w:rsidRPr="00B478F2" w:rsidRDefault="006E06B1" w:rsidP="006E06B1">
      <w:pPr>
        <w:pStyle w:val="Body"/>
        <w:numPr>
          <w:ilvl w:val="0"/>
          <w:numId w:val="32"/>
        </w:numPr>
        <w:spacing w:after="0"/>
        <w:rPr>
          <w:rStyle w:val="Hyperlink"/>
          <w:color w:val="auto"/>
          <w:u w:val="none"/>
          <w:lang w:val="en-GB"/>
        </w:rPr>
      </w:pPr>
      <w:r w:rsidRPr="006E06B1">
        <w:rPr>
          <w:lang w:val="en-GB"/>
        </w:rPr>
        <w:t xml:space="preserve">Sarkar, M. R., Julai, S., Tong, C. W., Uddin, M., </w:t>
      </w:r>
      <w:proofErr w:type="spellStart"/>
      <w:r w:rsidRPr="006E06B1">
        <w:rPr>
          <w:lang w:val="en-GB"/>
        </w:rPr>
        <w:t>Romlie</w:t>
      </w:r>
      <w:proofErr w:type="spellEnd"/>
      <w:r w:rsidRPr="006E06B1">
        <w:rPr>
          <w:lang w:val="en-GB"/>
        </w:rPr>
        <w:t>, M. F., &amp; Shafiullah, G. (2020). Hybrid pitch angle controller approaches for stable wind turbine power under variable wind speed. </w:t>
      </w:r>
      <w:r w:rsidRPr="006E06B1">
        <w:rPr>
          <w:i/>
          <w:iCs/>
          <w:lang w:val="en-GB"/>
        </w:rPr>
        <w:t>Energies, 13</w:t>
      </w:r>
      <w:r w:rsidRPr="006E06B1">
        <w:rPr>
          <w:lang w:val="en-GB"/>
        </w:rPr>
        <w:t>(14), 3622. </w:t>
      </w:r>
      <w:hyperlink r:id="rId57" w:tgtFrame="_blank" w:history="1">
        <w:r w:rsidRPr="006E06B1">
          <w:rPr>
            <w:rStyle w:val="Hyperlink"/>
            <w:lang w:val="en-GB"/>
          </w:rPr>
          <w:t>https://doi.org/10.3390/en13143622</w:t>
        </w:r>
      </w:hyperlink>
    </w:p>
    <w:p w14:paraId="5A68F497" w14:textId="3647A06A" w:rsidR="00B478F2" w:rsidRPr="006E1949" w:rsidRDefault="00B478F2" w:rsidP="006E06B1">
      <w:pPr>
        <w:pStyle w:val="Body"/>
        <w:numPr>
          <w:ilvl w:val="0"/>
          <w:numId w:val="32"/>
        </w:numPr>
        <w:spacing w:after="0"/>
        <w:rPr>
          <w:highlight w:val="yellow"/>
          <w:lang w:val="en-GB"/>
        </w:rPr>
      </w:pPr>
      <w:proofErr w:type="spellStart"/>
      <w:r w:rsidRPr="006E1949">
        <w:rPr>
          <w:highlight w:val="yellow"/>
          <w:lang w:val="en-GB"/>
        </w:rPr>
        <w:t>Bahraminejad</w:t>
      </w:r>
      <w:proofErr w:type="spellEnd"/>
      <w:r w:rsidRPr="006E1949">
        <w:rPr>
          <w:highlight w:val="yellow"/>
          <w:lang w:val="en-GB"/>
        </w:rPr>
        <w:t>, B. (2014). Pitch Control of Wind Turbines Using IT2FL Controller versus T1FL Controller. International Journal of Renewable Energy Research. 4. 1065-1077.</w:t>
      </w:r>
    </w:p>
    <w:p w14:paraId="75F6E4F3" w14:textId="77777777" w:rsidR="006E06B1" w:rsidRPr="006E06B1" w:rsidRDefault="006E06B1" w:rsidP="006E06B1">
      <w:pPr>
        <w:pStyle w:val="Body"/>
        <w:numPr>
          <w:ilvl w:val="0"/>
          <w:numId w:val="32"/>
        </w:numPr>
        <w:spacing w:after="0"/>
        <w:rPr>
          <w:lang w:val="en-GB"/>
        </w:rPr>
      </w:pPr>
      <w:r w:rsidRPr="006E06B1">
        <w:rPr>
          <w:lang w:val="en-GB"/>
        </w:rPr>
        <w:t xml:space="preserve">Jarso, A. K., Jin, G., &amp; Ahn, J. (2025). Hybrid genetic algorithm-based optimal sizing of a PV–wind–diesel–battery microgrid: A case study for the ICT </w:t>
      </w:r>
      <w:proofErr w:type="spellStart"/>
      <w:r w:rsidRPr="006E06B1">
        <w:rPr>
          <w:lang w:val="en-GB"/>
        </w:rPr>
        <w:t>Center</w:t>
      </w:r>
      <w:proofErr w:type="spellEnd"/>
      <w:r w:rsidRPr="006E06B1">
        <w:rPr>
          <w:lang w:val="en-GB"/>
        </w:rPr>
        <w:t>, Ethiopia. </w:t>
      </w:r>
      <w:r w:rsidRPr="006E06B1">
        <w:rPr>
          <w:i/>
          <w:iCs/>
          <w:lang w:val="en-GB"/>
        </w:rPr>
        <w:t>Mathematics, 13</w:t>
      </w:r>
      <w:r w:rsidRPr="006E06B1">
        <w:rPr>
          <w:lang w:val="en-GB"/>
        </w:rPr>
        <w:t>(6), 985. </w:t>
      </w:r>
      <w:hyperlink r:id="rId58" w:tgtFrame="_blank" w:history="1">
        <w:r w:rsidRPr="006E06B1">
          <w:rPr>
            <w:rStyle w:val="Hyperlink"/>
            <w:lang w:val="en-GB"/>
          </w:rPr>
          <w:t>https://doi.org/10.3390/math13060985</w:t>
        </w:r>
      </w:hyperlink>
    </w:p>
    <w:p w14:paraId="3C24038F" w14:textId="77777777" w:rsidR="0049098A" w:rsidRPr="0049098A" w:rsidRDefault="006E06B1" w:rsidP="002A2A6D">
      <w:pPr>
        <w:pStyle w:val="Body"/>
        <w:numPr>
          <w:ilvl w:val="0"/>
          <w:numId w:val="33"/>
        </w:numPr>
        <w:spacing w:after="0"/>
        <w:rPr>
          <w:rStyle w:val="Hyperlink"/>
          <w:color w:val="auto"/>
          <w:u w:val="none"/>
          <w:lang w:val="en-GB"/>
        </w:rPr>
      </w:pPr>
      <w:r w:rsidRPr="0049098A">
        <w:rPr>
          <w:lang w:val="en-GB"/>
        </w:rPr>
        <w:t>Kamala, S., Chauhan, P., Panda, S., Wilson, G., Liu, X., &amp; Gupta, A. (2015). Optimal scheduling of diesel generators in offshore support vessels to minimize fuel consumption. </w:t>
      </w:r>
      <w:r w:rsidRPr="0049098A">
        <w:rPr>
          <w:i/>
          <w:iCs/>
          <w:lang w:val="en-GB"/>
        </w:rPr>
        <w:t>Proceedings of the 2015 IEEE International Conference on Industrial Electronics</w:t>
      </w:r>
      <w:r w:rsidRPr="0049098A">
        <w:rPr>
          <w:lang w:val="en-GB"/>
        </w:rPr>
        <w:t>, 004726–004731. </w:t>
      </w:r>
      <w:hyperlink r:id="rId59" w:tgtFrame="_blank" w:history="1">
        <w:r w:rsidRPr="0049098A">
          <w:rPr>
            <w:rStyle w:val="Hyperlink"/>
            <w:lang w:val="en-GB"/>
          </w:rPr>
          <w:t>https://doi.org/10.1109/IECON.2015.7392838</w:t>
        </w:r>
      </w:hyperlink>
    </w:p>
    <w:p w14:paraId="20535BF7" w14:textId="219A6BBD" w:rsidR="00940C2E" w:rsidRPr="0049098A" w:rsidRDefault="006E06B1" w:rsidP="002A2A6D">
      <w:pPr>
        <w:pStyle w:val="Body"/>
        <w:numPr>
          <w:ilvl w:val="0"/>
          <w:numId w:val="33"/>
        </w:numPr>
        <w:spacing w:after="0"/>
        <w:rPr>
          <w:rStyle w:val="Hyperlink"/>
          <w:color w:val="auto"/>
          <w:u w:val="none"/>
          <w:lang w:val="en-GB"/>
        </w:rPr>
      </w:pPr>
      <w:proofErr w:type="spellStart"/>
      <w:r w:rsidRPr="0049098A">
        <w:rPr>
          <w:lang w:val="en-GB"/>
        </w:rPr>
        <w:t>Rezk</w:t>
      </w:r>
      <w:proofErr w:type="spellEnd"/>
      <w:r w:rsidRPr="0049098A">
        <w:rPr>
          <w:lang w:val="en-GB"/>
        </w:rPr>
        <w:t xml:space="preserve">, H., Olabi, A. G., </w:t>
      </w:r>
      <w:proofErr w:type="spellStart"/>
      <w:r w:rsidRPr="0049098A">
        <w:rPr>
          <w:lang w:val="en-GB"/>
        </w:rPr>
        <w:t>Ferahtia</w:t>
      </w:r>
      <w:proofErr w:type="spellEnd"/>
      <w:r w:rsidRPr="0049098A">
        <w:rPr>
          <w:lang w:val="en-GB"/>
        </w:rPr>
        <w:t>, S., &amp; Sayed, E. (2022). Accurate parameter estimation methodology applied to model proton exchange membrane fuel cell. </w:t>
      </w:r>
      <w:r w:rsidRPr="0049098A">
        <w:rPr>
          <w:i/>
          <w:iCs/>
          <w:lang w:val="en-GB"/>
        </w:rPr>
        <w:t>Energy, 255</w:t>
      </w:r>
      <w:r w:rsidRPr="0049098A">
        <w:rPr>
          <w:lang w:val="en-GB"/>
        </w:rPr>
        <w:t>, 124454. </w:t>
      </w:r>
      <w:hyperlink r:id="rId60" w:tgtFrame="_blank" w:history="1">
        <w:r w:rsidRPr="0049098A">
          <w:rPr>
            <w:rStyle w:val="Hyperlink"/>
            <w:lang w:val="en-GB"/>
          </w:rPr>
          <w:t>https://doi.org/10.1016/j.energy.2022.124454</w:t>
        </w:r>
      </w:hyperlink>
    </w:p>
    <w:p w14:paraId="306D27CA" w14:textId="16DC6675" w:rsidR="00940C2E" w:rsidRPr="00940C2E" w:rsidRDefault="006E06B1" w:rsidP="00D105EA">
      <w:pPr>
        <w:pStyle w:val="Body"/>
        <w:numPr>
          <w:ilvl w:val="0"/>
          <w:numId w:val="33"/>
        </w:numPr>
        <w:spacing w:after="0"/>
        <w:rPr>
          <w:rStyle w:val="Hyperlink"/>
          <w:color w:val="auto"/>
          <w:u w:val="none"/>
          <w:lang w:val="en-GB"/>
        </w:rPr>
      </w:pPr>
      <w:r w:rsidRPr="00940C2E">
        <w:rPr>
          <w:lang w:val="en-GB"/>
        </w:rPr>
        <w:t>Fang, C., &amp; Cui, L. (2020). Reliability analysis for balanced engine systems with m sectors by considering start-up probability. </w:t>
      </w:r>
      <w:r w:rsidRPr="00940C2E">
        <w:rPr>
          <w:i/>
          <w:iCs/>
          <w:lang w:val="en-GB"/>
        </w:rPr>
        <w:t>Reliability Engineering &amp; System Safety, 197</w:t>
      </w:r>
      <w:r w:rsidRPr="00940C2E">
        <w:rPr>
          <w:lang w:val="en-GB"/>
        </w:rPr>
        <w:t>, 106829. </w:t>
      </w:r>
      <w:hyperlink r:id="rId61" w:tgtFrame="_blank" w:history="1">
        <w:r w:rsidRPr="00940C2E">
          <w:rPr>
            <w:rStyle w:val="Hyperlink"/>
            <w:lang w:val="en-GB"/>
          </w:rPr>
          <w:t>https://doi.org/10.1016/j.ress.2020.106829</w:t>
        </w:r>
      </w:hyperlink>
    </w:p>
    <w:p w14:paraId="35D9F910" w14:textId="3847AAB8" w:rsidR="006E06B1" w:rsidRPr="00940C2E" w:rsidRDefault="006E06B1" w:rsidP="0070013F">
      <w:pPr>
        <w:pStyle w:val="Body"/>
        <w:numPr>
          <w:ilvl w:val="0"/>
          <w:numId w:val="33"/>
        </w:numPr>
        <w:spacing w:after="0"/>
        <w:rPr>
          <w:lang w:val="en-GB"/>
        </w:rPr>
      </w:pPr>
      <w:proofErr w:type="spellStart"/>
      <w:r w:rsidRPr="00940C2E">
        <w:rPr>
          <w:lang w:val="en-GB"/>
        </w:rPr>
        <w:t>Jakhrani</w:t>
      </w:r>
      <w:proofErr w:type="spellEnd"/>
      <w:r w:rsidRPr="00940C2E">
        <w:rPr>
          <w:lang w:val="en-GB"/>
        </w:rPr>
        <w:t xml:space="preserve">, A., </w:t>
      </w:r>
      <w:proofErr w:type="spellStart"/>
      <w:r w:rsidRPr="00940C2E">
        <w:rPr>
          <w:lang w:val="en-GB"/>
        </w:rPr>
        <w:t>Rigit</w:t>
      </w:r>
      <w:proofErr w:type="spellEnd"/>
      <w:r w:rsidRPr="00940C2E">
        <w:rPr>
          <w:lang w:val="en-GB"/>
        </w:rPr>
        <w:t>, A., Othman, A., Samo, S., &amp; Kamboh, S. (2012). Estimation of carbon footprints from diesel generator emissions. </w:t>
      </w:r>
      <w:r w:rsidRPr="00940C2E">
        <w:rPr>
          <w:i/>
          <w:iCs/>
          <w:lang w:val="en-GB"/>
        </w:rPr>
        <w:t>Proceedings of the 2012 International Conference in Green and Ubiquitous Technology</w:t>
      </w:r>
      <w:r w:rsidRPr="00940C2E">
        <w:rPr>
          <w:lang w:val="en-GB"/>
        </w:rPr>
        <w:t>. </w:t>
      </w:r>
      <w:hyperlink r:id="rId62" w:tgtFrame="_blank" w:history="1">
        <w:r w:rsidRPr="00940C2E">
          <w:rPr>
            <w:rStyle w:val="Hyperlink"/>
            <w:lang w:val="en-GB"/>
          </w:rPr>
          <w:t>https://doi.org/10.1109/GUT.2012.6344193</w:t>
        </w:r>
      </w:hyperlink>
    </w:p>
    <w:p w14:paraId="0634BBA0" w14:textId="77777777" w:rsidR="006E06B1" w:rsidRPr="006E06B1" w:rsidRDefault="006E06B1" w:rsidP="006E06B1">
      <w:pPr>
        <w:pStyle w:val="Body"/>
        <w:numPr>
          <w:ilvl w:val="0"/>
          <w:numId w:val="33"/>
        </w:numPr>
        <w:spacing w:after="0"/>
        <w:rPr>
          <w:lang w:val="en-GB"/>
        </w:rPr>
      </w:pPr>
      <w:proofErr w:type="spellStart"/>
      <w:r w:rsidRPr="006E06B1">
        <w:rPr>
          <w:lang w:val="en-GB"/>
        </w:rPr>
        <w:t>Kunatsa</w:t>
      </w:r>
      <w:proofErr w:type="spellEnd"/>
      <w:r w:rsidRPr="006E06B1">
        <w:rPr>
          <w:lang w:val="en-GB"/>
        </w:rPr>
        <w:t>, T., Myburgh, H. C., &amp; De Freitas, A. (2024). A review on state-of-charge estimation methods, energy storage technologies and state-of-the-art simulators: Recent developments and challenges. </w:t>
      </w:r>
      <w:r w:rsidRPr="006E06B1">
        <w:rPr>
          <w:i/>
          <w:iCs/>
          <w:lang w:val="en-GB"/>
        </w:rPr>
        <w:t>World Electric Vehicle Journal, 15</w:t>
      </w:r>
      <w:r w:rsidRPr="006E06B1">
        <w:rPr>
          <w:lang w:val="en-GB"/>
        </w:rPr>
        <w:t>(9), 381. </w:t>
      </w:r>
      <w:hyperlink r:id="rId63" w:tgtFrame="_blank" w:history="1">
        <w:r w:rsidRPr="006E06B1">
          <w:rPr>
            <w:rStyle w:val="Hyperlink"/>
            <w:lang w:val="en-GB"/>
          </w:rPr>
          <w:t>https://doi.org/10.3390/wevj15090381</w:t>
        </w:r>
      </w:hyperlink>
    </w:p>
    <w:p w14:paraId="300E9050" w14:textId="77777777" w:rsidR="006E06B1" w:rsidRPr="006E06B1" w:rsidRDefault="006E06B1" w:rsidP="006E06B1">
      <w:pPr>
        <w:pStyle w:val="Body"/>
        <w:numPr>
          <w:ilvl w:val="0"/>
          <w:numId w:val="33"/>
        </w:numPr>
        <w:spacing w:after="0"/>
        <w:rPr>
          <w:lang w:val="en-GB"/>
        </w:rPr>
      </w:pPr>
      <w:proofErr w:type="spellStart"/>
      <w:r w:rsidRPr="006E06B1">
        <w:rPr>
          <w:lang w:val="en-GB"/>
        </w:rPr>
        <w:t>Yarimca</w:t>
      </w:r>
      <w:proofErr w:type="spellEnd"/>
      <w:r w:rsidRPr="006E06B1">
        <w:rPr>
          <w:lang w:val="en-GB"/>
        </w:rPr>
        <w:t xml:space="preserve">, G., &amp; </w:t>
      </w:r>
      <w:proofErr w:type="spellStart"/>
      <w:r w:rsidRPr="006E06B1">
        <w:rPr>
          <w:lang w:val="en-GB"/>
        </w:rPr>
        <w:t>Cetkin</w:t>
      </w:r>
      <w:proofErr w:type="spellEnd"/>
      <w:r w:rsidRPr="006E06B1">
        <w:rPr>
          <w:lang w:val="en-GB"/>
        </w:rPr>
        <w:t>, E. (2024). Review of cell level battery (calendar and cycling) aging models: Electric vehicles. </w:t>
      </w:r>
      <w:r w:rsidRPr="006E06B1">
        <w:rPr>
          <w:i/>
          <w:iCs/>
          <w:lang w:val="en-GB"/>
        </w:rPr>
        <w:t>Batteries, 10</w:t>
      </w:r>
      <w:r w:rsidRPr="006E06B1">
        <w:rPr>
          <w:lang w:val="en-GB"/>
        </w:rPr>
        <w:t>(11), 374. </w:t>
      </w:r>
      <w:hyperlink r:id="rId64" w:tgtFrame="_blank" w:history="1">
        <w:r w:rsidRPr="006E06B1">
          <w:rPr>
            <w:rStyle w:val="Hyperlink"/>
            <w:lang w:val="en-GB"/>
          </w:rPr>
          <w:t>https://doi.org/10.3390/batteries10110374</w:t>
        </w:r>
      </w:hyperlink>
    </w:p>
    <w:p w14:paraId="39C326D4" w14:textId="77777777" w:rsidR="006E06B1" w:rsidRPr="006E06B1" w:rsidRDefault="006E06B1" w:rsidP="006E06B1">
      <w:pPr>
        <w:pStyle w:val="Body"/>
        <w:numPr>
          <w:ilvl w:val="0"/>
          <w:numId w:val="33"/>
        </w:numPr>
        <w:spacing w:after="0"/>
        <w:rPr>
          <w:lang w:val="en-GB"/>
        </w:rPr>
      </w:pPr>
      <w:r w:rsidRPr="006E06B1">
        <w:rPr>
          <w:lang w:val="en-GB"/>
        </w:rPr>
        <w:lastRenderedPageBreak/>
        <w:t>Rzepka, B., Bischof, S., &amp; Blank, T. (2021). Implementing an extended Kalman filter for SoC estimation of a Li-ion battery with hysteresis: A step-by-step guide. </w:t>
      </w:r>
      <w:r w:rsidRPr="006E06B1">
        <w:rPr>
          <w:i/>
          <w:iCs/>
          <w:lang w:val="en-GB"/>
        </w:rPr>
        <w:t>Energies, 14</w:t>
      </w:r>
      <w:r w:rsidRPr="006E06B1">
        <w:rPr>
          <w:lang w:val="en-GB"/>
        </w:rPr>
        <w:t>(13), 3733. </w:t>
      </w:r>
      <w:hyperlink r:id="rId65" w:tgtFrame="_blank" w:history="1">
        <w:r w:rsidRPr="006E06B1">
          <w:rPr>
            <w:rStyle w:val="Hyperlink"/>
            <w:lang w:val="en-GB"/>
          </w:rPr>
          <w:t>https://doi.org/10.3390/en14133733</w:t>
        </w:r>
      </w:hyperlink>
    </w:p>
    <w:p w14:paraId="0EB55DB9" w14:textId="77777777" w:rsidR="006E06B1" w:rsidRPr="006E06B1" w:rsidRDefault="006E06B1" w:rsidP="006E06B1">
      <w:pPr>
        <w:pStyle w:val="Body"/>
        <w:numPr>
          <w:ilvl w:val="0"/>
          <w:numId w:val="33"/>
        </w:numPr>
        <w:spacing w:after="0"/>
        <w:rPr>
          <w:lang w:val="en-GB"/>
        </w:rPr>
      </w:pPr>
      <w:r w:rsidRPr="006E06B1">
        <w:rPr>
          <w:lang w:val="en-GB"/>
        </w:rPr>
        <w:t xml:space="preserve">Patrizi, G., </w:t>
      </w:r>
      <w:proofErr w:type="spellStart"/>
      <w:r w:rsidRPr="006E06B1">
        <w:rPr>
          <w:lang w:val="en-GB"/>
        </w:rPr>
        <w:t>Martiri</w:t>
      </w:r>
      <w:proofErr w:type="spellEnd"/>
      <w:r w:rsidRPr="006E06B1">
        <w:rPr>
          <w:lang w:val="en-GB"/>
        </w:rPr>
        <w:t xml:space="preserve">, L., </w:t>
      </w:r>
      <w:proofErr w:type="spellStart"/>
      <w:r w:rsidRPr="006E06B1">
        <w:rPr>
          <w:lang w:val="en-GB"/>
        </w:rPr>
        <w:t>Pievatolo</w:t>
      </w:r>
      <w:proofErr w:type="spellEnd"/>
      <w:r w:rsidRPr="006E06B1">
        <w:rPr>
          <w:lang w:val="en-GB"/>
        </w:rPr>
        <w:t>, A., Magrini, A., Meccariello, G., Cristaldi, L., &amp; Nikiforova, N. D. (2024). A review of degradation models and remaining useful life prediction for testing design and predictive maintenance of lithium-ion batteries. </w:t>
      </w:r>
      <w:r w:rsidRPr="006E06B1">
        <w:rPr>
          <w:i/>
          <w:iCs/>
          <w:lang w:val="en-GB"/>
        </w:rPr>
        <w:t>Sensors, 24</w:t>
      </w:r>
      <w:r w:rsidRPr="006E06B1">
        <w:rPr>
          <w:lang w:val="en-GB"/>
        </w:rPr>
        <w:t>(11), 3382. </w:t>
      </w:r>
      <w:hyperlink r:id="rId66" w:tgtFrame="_blank" w:history="1">
        <w:r w:rsidRPr="006E06B1">
          <w:rPr>
            <w:rStyle w:val="Hyperlink"/>
            <w:lang w:val="en-GB"/>
          </w:rPr>
          <w:t>https://doi.org/10.3390/s24113382</w:t>
        </w:r>
      </w:hyperlink>
    </w:p>
    <w:p w14:paraId="5ED9395A" w14:textId="77777777" w:rsidR="006E06B1" w:rsidRPr="006E06B1" w:rsidRDefault="006E06B1" w:rsidP="006E06B1">
      <w:pPr>
        <w:pStyle w:val="Body"/>
        <w:numPr>
          <w:ilvl w:val="0"/>
          <w:numId w:val="33"/>
        </w:numPr>
        <w:spacing w:after="0"/>
        <w:rPr>
          <w:lang w:val="en-GB"/>
        </w:rPr>
      </w:pPr>
      <w:r w:rsidRPr="006E06B1">
        <w:rPr>
          <w:lang w:val="en-GB"/>
        </w:rPr>
        <w:t>Rivera-Barrera, J. P., Muñoz-Galeano, N., &amp; Sarmiento-Maldonado, H. O. (2017). SoC estimation for lithium-ion batteries: Review and future challenges. </w:t>
      </w:r>
      <w:r w:rsidRPr="006E06B1">
        <w:rPr>
          <w:i/>
          <w:iCs/>
          <w:lang w:val="en-GB"/>
        </w:rPr>
        <w:t>Electronics, 6</w:t>
      </w:r>
      <w:r w:rsidRPr="006E06B1">
        <w:rPr>
          <w:lang w:val="en-GB"/>
        </w:rPr>
        <w:t>(4), 102.</w:t>
      </w:r>
    </w:p>
    <w:p w14:paraId="4E7A25E9" w14:textId="77777777" w:rsidR="006E06B1" w:rsidRPr="006E06B1" w:rsidRDefault="006E06B1" w:rsidP="006E06B1">
      <w:pPr>
        <w:pStyle w:val="Body"/>
        <w:numPr>
          <w:ilvl w:val="0"/>
          <w:numId w:val="33"/>
        </w:numPr>
        <w:spacing w:after="0"/>
        <w:rPr>
          <w:lang w:val="en-GB"/>
        </w:rPr>
      </w:pPr>
      <w:r w:rsidRPr="006E06B1">
        <w:rPr>
          <w:lang w:val="en-GB"/>
        </w:rPr>
        <w:t>Chan, S., Tsui, K., Wu, H., Hou, Y., Wu, Y.-C., &amp; Wu, F. (2012). Load/price forecasting and managing demand response for smart grids. </w:t>
      </w:r>
      <w:r w:rsidRPr="006E06B1">
        <w:rPr>
          <w:i/>
          <w:iCs/>
          <w:lang w:val="en-GB"/>
        </w:rPr>
        <w:t>IEEE Signal Processing Magazine, 29</w:t>
      </w:r>
      <w:r w:rsidRPr="006E06B1">
        <w:rPr>
          <w:lang w:val="en-GB"/>
        </w:rPr>
        <w:t>(5), 68–85. </w:t>
      </w:r>
      <w:hyperlink r:id="rId67" w:tgtFrame="_blank" w:history="1">
        <w:r w:rsidRPr="006E06B1">
          <w:rPr>
            <w:rStyle w:val="Hyperlink"/>
            <w:lang w:val="en-GB"/>
          </w:rPr>
          <w:t>https://doi.org/10.1109/MSP.2012.2186531</w:t>
        </w:r>
      </w:hyperlink>
    </w:p>
    <w:p w14:paraId="3F0D2AEB" w14:textId="77777777" w:rsidR="006E06B1" w:rsidRPr="006E06B1" w:rsidRDefault="006E06B1" w:rsidP="006E06B1">
      <w:pPr>
        <w:pStyle w:val="Body"/>
        <w:numPr>
          <w:ilvl w:val="0"/>
          <w:numId w:val="33"/>
        </w:numPr>
        <w:spacing w:after="0"/>
        <w:rPr>
          <w:lang w:val="en-GB"/>
        </w:rPr>
      </w:pPr>
      <w:r w:rsidRPr="006E06B1">
        <w:rPr>
          <w:lang w:val="en-GB"/>
        </w:rPr>
        <w:t>Zheng, J., Cui, J., Zhao, Z., Li, G., Wang, C., Lu, Z., Yang, X., &amp; Liu, Z. (2025). Multi-objective optimization scheduling for electric vehicle charging and discharging: Peak-load shifting strategy based on Monte Carlo sampling. </w:t>
      </w:r>
      <w:r w:rsidRPr="006E06B1">
        <w:rPr>
          <w:i/>
          <w:iCs/>
          <w:lang w:val="en-GB"/>
        </w:rPr>
        <w:t>Designs, 9</w:t>
      </w:r>
      <w:r w:rsidRPr="006E06B1">
        <w:rPr>
          <w:lang w:val="en-GB"/>
        </w:rPr>
        <w:t>(2), 51. </w:t>
      </w:r>
      <w:hyperlink r:id="rId68" w:tgtFrame="_blank" w:history="1">
        <w:r w:rsidRPr="006E06B1">
          <w:rPr>
            <w:rStyle w:val="Hyperlink"/>
            <w:lang w:val="en-GB"/>
          </w:rPr>
          <w:t>https://doi.org/10.3390/designs9020051</w:t>
        </w:r>
      </w:hyperlink>
    </w:p>
    <w:p w14:paraId="773459F3" w14:textId="77777777" w:rsidR="006E06B1" w:rsidRPr="006E06B1" w:rsidRDefault="006E06B1" w:rsidP="006E06B1">
      <w:pPr>
        <w:pStyle w:val="Body"/>
        <w:numPr>
          <w:ilvl w:val="0"/>
          <w:numId w:val="33"/>
        </w:numPr>
        <w:spacing w:after="0"/>
        <w:rPr>
          <w:lang w:val="en-GB"/>
        </w:rPr>
      </w:pPr>
      <w:r w:rsidRPr="006E06B1">
        <w:rPr>
          <w:lang w:val="en-GB"/>
        </w:rPr>
        <w:t xml:space="preserve">Wang, M., &amp; </w:t>
      </w:r>
      <w:proofErr w:type="spellStart"/>
      <w:r w:rsidRPr="006E06B1">
        <w:rPr>
          <w:lang w:val="en-GB"/>
        </w:rPr>
        <w:t>Gooi</w:t>
      </w:r>
      <w:proofErr w:type="spellEnd"/>
      <w:r w:rsidRPr="006E06B1">
        <w:rPr>
          <w:lang w:val="en-GB"/>
        </w:rPr>
        <w:t>, H. (2011). Spinning reserve estimation in microgrids. </w:t>
      </w:r>
      <w:r w:rsidRPr="006E06B1">
        <w:rPr>
          <w:i/>
          <w:iCs/>
          <w:lang w:val="en-GB"/>
        </w:rPr>
        <w:t>IEEE Transactions on Power Systems, 26</w:t>
      </w:r>
      <w:r w:rsidRPr="006E06B1">
        <w:rPr>
          <w:lang w:val="en-GB"/>
        </w:rPr>
        <w:t>(3), 1164–1174. </w:t>
      </w:r>
      <w:hyperlink r:id="rId69" w:tgtFrame="_blank" w:history="1">
        <w:r w:rsidRPr="006E06B1">
          <w:rPr>
            <w:rStyle w:val="Hyperlink"/>
            <w:lang w:val="en-GB"/>
          </w:rPr>
          <w:t>https://doi.org/10.1109/TPWRS.2010.2100414</w:t>
        </w:r>
      </w:hyperlink>
    </w:p>
    <w:p w14:paraId="2E6BC4A7" w14:textId="77777777" w:rsidR="006E06B1" w:rsidRPr="006E06B1" w:rsidRDefault="006E06B1" w:rsidP="006E06B1">
      <w:pPr>
        <w:pStyle w:val="Body"/>
        <w:numPr>
          <w:ilvl w:val="0"/>
          <w:numId w:val="33"/>
        </w:numPr>
        <w:spacing w:after="0"/>
        <w:rPr>
          <w:lang w:val="en-GB"/>
        </w:rPr>
      </w:pPr>
      <w:r w:rsidRPr="006E06B1">
        <w:rPr>
          <w:lang w:val="en-GB"/>
        </w:rPr>
        <w:t xml:space="preserve">Andruszkiewicz, J., Lorenc, J., &amp; </w:t>
      </w:r>
      <w:proofErr w:type="spellStart"/>
      <w:r w:rsidRPr="006E06B1">
        <w:rPr>
          <w:lang w:val="en-GB"/>
        </w:rPr>
        <w:t>Weychan</w:t>
      </w:r>
      <w:proofErr w:type="spellEnd"/>
      <w:r w:rsidRPr="006E06B1">
        <w:rPr>
          <w:lang w:val="en-GB"/>
        </w:rPr>
        <w:t>, A. (2019). Demand price elasticity of residential electricity consumers with zonal tariff settlement based on their load profiles. </w:t>
      </w:r>
      <w:r w:rsidRPr="006E06B1">
        <w:rPr>
          <w:i/>
          <w:iCs/>
          <w:lang w:val="en-GB"/>
        </w:rPr>
        <w:t>Energies, 12</w:t>
      </w:r>
      <w:r w:rsidRPr="006E06B1">
        <w:rPr>
          <w:lang w:val="en-GB"/>
        </w:rPr>
        <w:t>(22), 4317. </w:t>
      </w:r>
      <w:hyperlink r:id="rId70" w:tgtFrame="_blank" w:history="1">
        <w:r w:rsidRPr="006E06B1">
          <w:rPr>
            <w:rStyle w:val="Hyperlink"/>
            <w:lang w:val="en-GB"/>
          </w:rPr>
          <w:t>https://doi.org/10.3390/en12224317</w:t>
        </w:r>
      </w:hyperlink>
    </w:p>
    <w:p w14:paraId="7763FA6E" w14:textId="77777777" w:rsidR="006E06B1" w:rsidRPr="006E06B1" w:rsidRDefault="006E06B1" w:rsidP="006E06B1">
      <w:pPr>
        <w:pStyle w:val="Body"/>
        <w:numPr>
          <w:ilvl w:val="0"/>
          <w:numId w:val="33"/>
        </w:numPr>
        <w:spacing w:after="0"/>
        <w:rPr>
          <w:lang w:val="en-GB"/>
        </w:rPr>
      </w:pPr>
      <w:r w:rsidRPr="006E06B1">
        <w:rPr>
          <w:lang w:val="en-GB"/>
        </w:rPr>
        <w:t>Silva, B. N., Khan, M., &amp; Han, K. (2020). Futuristic sustainable energy management in smart environments: A review of peak load shaving and demand response strategies, challenges, and opportunities. </w:t>
      </w:r>
      <w:r w:rsidRPr="006E06B1">
        <w:rPr>
          <w:i/>
          <w:iCs/>
          <w:lang w:val="en-GB"/>
        </w:rPr>
        <w:t>Sustainability, 12</w:t>
      </w:r>
      <w:r w:rsidRPr="006E06B1">
        <w:rPr>
          <w:lang w:val="en-GB"/>
        </w:rPr>
        <w:t>(14), 5561. </w:t>
      </w:r>
      <w:hyperlink r:id="rId71" w:tgtFrame="_blank" w:history="1">
        <w:r w:rsidRPr="006E06B1">
          <w:rPr>
            <w:rStyle w:val="Hyperlink"/>
            <w:lang w:val="en-GB"/>
          </w:rPr>
          <w:t>https://doi.org/10.3390/su12145561</w:t>
        </w:r>
      </w:hyperlink>
    </w:p>
    <w:p w14:paraId="518B3DE7" w14:textId="77777777" w:rsidR="006E06B1" w:rsidRPr="006E06B1" w:rsidRDefault="006E06B1" w:rsidP="006E06B1">
      <w:pPr>
        <w:pStyle w:val="Body"/>
        <w:numPr>
          <w:ilvl w:val="0"/>
          <w:numId w:val="33"/>
        </w:numPr>
        <w:spacing w:after="0"/>
        <w:rPr>
          <w:lang w:val="en-GB"/>
        </w:rPr>
      </w:pPr>
      <w:r w:rsidRPr="006E06B1">
        <w:rPr>
          <w:lang w:val="en-GB"/>
        </w:rPr>
        <w:t>Munir, M. I., Hussain, S., Al-Alili, A., Al Ameri, R., &amp; El-</w:t>
      </w:r>
      <w:proofErr w:type="spellStart"/>
      <w:r w:rsidRPr="006E06B1">
        <w:rPr>
          <w:lang w:val="en-GB"/>
        </w:rPr>
        <w:t>Sadaany</w:t>
      </w:r>
      <w:proofErr w:type="spellEnd"/>
      <w:r w:rsidRPr="006E06B1">
        <w:rPr>
          <w:lang w:val="en-GB"/>
        </w:rPr>
        <w:t>, E. (2020). Fault detection and classification in smart grids using wavelet analysis. </w:t>
      </w:r>
      <w:r w:rsidRPr="006E06B1">
        <w:rPr>
          <w:i/>
          <w:iCs/>
          <w:lang w:val="en-GB"/>
        </w:rPr>
        <w:t>Proceedings of the ASME 2020 14th International Conference on Energy Sustainability</w:t>
      </w:r>
      <w:r w:rsidRPr="006E06B1">
        <w:rPr>
          <w:lang w:val="en-GB"/>
        </w:rPr>
        <w:t>, V001T06A001. </w:t>
      </w:r>
      <w:hyperlink r:id="rId72" w:tgtFrame="_blank" w:history="1">
        <w:r w:rsidRPr="006E06B1">
          <w:rPr>
            <w:rStyle w:val="Hyperlink"/>
            <w:lang w:val="en-GB"/>
          </w:rPr>
          <w:t>https://doi.org/10.1115/ES2020-1641</w:t>
        </w:r>
      </w:hyperlink>
    </w:p>
    <w:p w14:paraId="65D2AF24" w14:textId="77777777" w:rsidR="006E06B1" w:rsidRPr="006E06B1" w:rsidRDefault="006E06B1" w:rsidP="006E06B1">
      <w:pPr>
        <w:pStyle w:val="Body"/>
        <w:numPr>
          <w:ilvl w:val="0"/>
          <w:numId w:val="33"/>
        </w:numPr>
        <w:spacing w:after="0"/>
        <w:rPr>
          <w:lang w:val="en-GB"/>
        </w:rPr>
      </w:pPr>
      <w:proofErr w:type="spellStart"/>
      <w:r w:rsidRPr="006E06B1">
        <w:rPr>
          <w:lang w:val="en-GB"/>
        </w:rPr>
        <w:t>Alhanaf</w:t>
      </w:r>
      <w:proofErr w:type="spellEnd"/>
      <w:r w:rsidRPr="006E06B1">
        <w:rPr>
          <w:lang w:val="en-GB"/>
        </w:rPr>
        <w:t xml:space="preserve">, A. S., Balik, H. H., &amp; </w:t>
      </w:r>
      <w:proofErr w:type="spellStart"/>
      <w:r w:rsidRPr="006E06B1">
        <w:rPr>
          <w:lang w:val="en-GB"/>
        </w:rPr>
        <w:t>Farsadi</w:t>
      </w:r>
      <w:proofErr w:type="spellEnd"/>
      <w:r w:rsidRPr="006E06B1">
        <w:rPr>
          <w:lang w:val="en-GB"/>
        </w:rPr>
        <w:t>, M. (2023). Intelligent fault detection and classification schemes for smart grids based on deep neural networks. </w:t>
      </w:r>
      <w:r w:rsidRPr="006E06B1">
        <w:rPr>
          <w:i/>
          <w:iCs/>
          <w:lang w:val="en-GB"/>
        </w:rPr>
        <w:t>Energies, 16</w:t>
      </w:r>
      <w:r w:rsidRPr="006E06B1">
        <w:rPr>
          <w:lang w:val="en-GB"/>
        </w:rPr>
        <w:t>(22), 7680. </w:t>
      </w:r>
      <w:hyperlink r:id="rId73" w:tgtFrame="_blank" w:history="1">
        <w:r w:rsidRPr="006E06B1">
          <w:rPr>
            <w:rStyle w:val="Hyperlink"/>
            <w:lang w:val="en-GB"/>
          </w:rPr>
          <w:t>https://doi.org/10.3390/en16227680</w:t>
        </w:r>
      </w:hyperlink>
    </w:p>
    <w:p w14:paraId="5E95EB51" w14:textId="77777777" w:rsidR="006E06B1" w:rsidRPr="006E06B1" w:rsidRDefault="006E06B1" w:rsidP="006E06B1">
      <w:pPr>
        <w:pStyle w:val="Body"/>
        <w:numPr>
          <w:ilvl w:val="0"/>
          <w:numId w:val="33"/>
        </w:numPr>
        <w:spacing w:after="0"/>
        <w:rPr>
          <w:lang w:val="en-GB"/>
        </w:rPr>
      </w:pPr>
      <w:r w:rsidRPr="006E06B1">
        <w:rPr>
          <w:lang w:val="en-GB"/>
        </w:rPr>
        <w:t>Senthil Pandian, P. (2024). Real-time fault detection in solar PV systems using hybrid ANN–SVM machine learning algorithm. </w:t>
      </w:r>
      <w:r w:rsidRPr="006E06B1">
        <w:rPr>
          <w:i/>
          <w:iCs/>
          <w:lang w:val="en-GB"/>
        </w:rPr>
        <w:t>International Journal of Intelligent Systems and Applications in Engineering, 12</w:t>
      </w:r>
      <w:r w:rsidRPr="006E06B1">
        <w:rPr>
          <w:lang w:val="en-GB"/>
        </w:rPr>
        <w:t>(22s), 1367–1374. </w:t>
      </w:r>
      <w:hyperlink r:id="rId74" w:tgtFrame="_blank" w:history="1">
        <w:r w:rsidRPr="006E06B1">
          <w:rPr>
            <w:rStyle w:val="Hyperlink"/>
            <w:lang w:val="en-GB"/>
          </w:rPr>
          <w:t>https://www.ijisae.org/index.php/IJISAE/article/view/6601</w:t>
        </w:r>
      </w:hyperlink>
    </w:p>
    <w:p w14:paraId="38716A34" w14:textId="77777777" w:rsidR="006E06B1" w:rsidRPr="006E06B1" w:rsidRDefault="006E06B1" w:rsidP="006E06B1">
      <w:pPr>
        <w:pStyle w:val="Body"/>
        <w:numPr>
          <w:ilvl w:val="0"/>
          <w:numId w:val="33"/>
        </w:numPr>
        <w:spacing w:after="0"/>
        <w:rPr>
          <w:lang w:val="en-GB"/>
        </w:rPr>
      </w:pPr>
      <w:r w:rsidRPr="006E06B1">
        <w:rPr>
          <w:lang w:val="en-GB"/>
        </w:rPr>
        <w:t>Mahar, H., Munir, H. M., Soomro, J. B., Akhtar, F., Hussain, R., Elnaggar, M. F., Kamel, S., &amp; Guerrero, J. M. (2022). Implementation of ANN controller based UPQC integrated with microgrid. </w:t>
      </w:r>
      <w:r w:rsidRPr="006E06B1">
        <w:rPr>
          <w:i/>
          <w:iCs/>
          <w:lang w:val="en-GB"/>
        </w:rPr>
        <w:t>Mathematics, 10</w:t>
      </w:r>
      <w:r w:rsidRPr="006E06B1">
        <w:rPr>
          <w:lang w:val="en-GB"/>
        </w:rPr>
        <w:t>(12), 1989. </w:t>
      </w:r>
      <w:hyperlink r:id="rId75" w:tgtFrame="_blank" w:history="1">
        <w:r w:rsidRPr="006E06B1">
          <w:rPr>
            <w:rStyle w:val="Hyperlink"/>
            <w:lang w:val="en-GB"/>
          </w:rPr>
          <w:t>https://doi.org/10.3390/math10121989</w:t>
        </w:r>
      </w:hyperlink>
    </w:p>
    <w:p w14:paraId="72041651" w14:textId="77777777" w:rsidR="006E06B1" w:rsidRPr="006E06B1" w:rsidRDefault="006E06B1" w:rsidP="006E06B1">
      <w:pPr>
        <w:pStyle w:val="Body"/>
        <w:numPr>
          <w:ilvl w:val="0"/>
          <w:numId w:val="33"/>
        </w:numPr>
        <w:spacing w:after="0"/>
        <w:rPr>
          <w:lang w:val="en-GB"/>
        </w:rPr>
      </w:pPr>
      <w:proofErr w:type="spellStart"/>
      <w:r w:rsidRPr="006E06B1">
        <w:rPr>
          <w:lang w:val="en-GB"/>
        </w:rPr>
        <w:t>Alhamrouni</w:t>
      </w:r>
      <w:proofErr w:type="spellEnd"/>
      <w:r w:rsidRPr="006E06B1">
        <w:rPr>
          <w:lang w:val="en-GB"/>
        </w:rPr>
        <w:t xml:space="preserve">, I., Abdul Kahar, N. H., Salem, M., </w:t>
      </w:r>
      <w:proofErr w:type="spellStart"/>
      <w:r w:rsidRPr="006E06B1">
        <w:rPr>
          <w:lang w:val="en-GB"/>
        </w:rPr>
        <w:t>Swadi</w:t>
      </w:r>
      <w:proofErr w:type="spellEnd"/>
      <w:r w:rsidRPr="006E06B1">
        <w:rPr>
          <w:lang w:val="en-GB"/>
        </w:rPr>
        <w:t xml:space="preserve">, M., </w:t>
      </w:r>
      <w:proofErr w:type="spellStart"/>
      <w:r w:rsidRPr="006E06B1">
        <w:rPr>
          <w:lang w:val="en-GB"/>
        </w:rPr>
        <w:t>Zahroui</w:t>
      </w:r>
      <w:proofErr w:type="spellEnd"/>
      <w:r w:rsidRPr="006E06B1">
        <w:rPr>
          <w:lang w:val="en-GB"/>
        </w:rPr>
        <w:t xml:space="preserve">, Y., Kadhim, D. J., Mohamed, F. A., &amp; </w:t>
      </w:r>
      <w:proofErr w:type="spellStart"/>
      <w:r w:rsidRPr="006E06B1">
        <w:rPr>
          <w:lang w:val="en-GB"/>
        </w:rPr>
        <w:t>Alhuyi</w:t>
      </w:r>
      <w:proofErr w:type="spellEnd"/>
      <w:r w:rsidRPr="006E06B1">
        <w:rPr>
          <w:lang w:val="en-GB"/>
        </w:rPr>
        <w:t xml:space="preserve"> Nazari, M. (2024). A comprehensive review on the role of artificial intelligence in power system stability, control, and protection: Insights and future directions. </w:t>
      </w:r>
      <w:r w:rsidRPr="006E06B1">
        <w:rPr>
          <w:i/>
          <w:iCs/>
          <w:lang w:val="en-GB"/>
        </w:rPr>
        <w:t>Applied Sciences, 14</w:t>
      </w:r>
      <w:r w:rsidRPr="006E06B1">
        <w:rPr>
          <w:lang w:val="en-GB"/>
        </w:rPr>
        <w:t>(14), 6214. </w:t>
      </w:r>
      <w:hyperlink r:id="rId76" w:tgtFrame="_blank" w:history="1">
        <w:r w:rsidRPr="006E06B1">
          <w:rPr>
            <w:rStyle w:val="Hyperlink"/>
            <w:lang w:val="en-GB"/>
          </w:rPr>
          <w:t>https://doi.org/10.3390/app14146214</w:t>
        </w:r>
      </w:hyperlink>
    </w:p>
    <w:p w14:paraId="21D921EE" w14:textId="77777777" w:rsidR="006E06B1" w:rsidRPr="006E06B1" w:rsidRDefault="006E06B1" w:rsidP="006E06B1">
      <w:pPr>
        <w:pStyle w:val="Body"/>
        <w:numPr>
          <w:ilvl w:val="0"/>
          <w:numId w:val="33"/>
        </w:numPr>
        <w:spacing w:after="0"/>
        <w:rPr>
          <w:lang w:val="en-GB"/>
        </w:rPr>
      </w:pPr>
      <w:proofErr w:type="spellStart"/>
      <w:r w:rsidRPr="006E06B1">
        <w:rPr>
          <w:lang w:val="en-GB"/>
        </w:rPr>
        <w:t>Senyuk</w:t>
      </w:r>
      <w:proofErr w:type="spellEnd"/>
      <w:r w:rsidRPr="006E06B1">
        <w:rPr>
          <w:lang w:val="en-GB"/>
        </w:rPr>
        <w:t xml:space="preserve">, M., </w:t>
      </w:r>
      <w:proofErr w:type="spellStart"/>
      <w:r w:rsidRPr="006E06B1">
        <w:rPr>
          <w:lang w:val="en-GB"/>
        </w:rPr>
        <w:t>Safaraliev</w:t>
      </w:r>
      <w:proofErr w:type="spellEnd"/>
      <w:r w:rsidRPr="006E06B1">
        <w:rPr>
          <w:lang w:val="en-GB"/>
        </w:rPr>
        <w:t>, M., Kamalov, F., &amp; Sulieman, H. (2023). Power system transient stability assessment based on machine learning algorithms and grid topology. </w:t>
      </w:r>
      <w:r w:rsidRPr="006E06B1">
        <w:rPr>
          <w:i/>
          <w:iCs/>
          <w:lang w:val="en-GB"/>
        </w:rPr>
        <w:t>Mathematics, 11</w:t>
      </w:r>
      <w:r w:rsidRPr="006E06B1">
        <w:rPr>
          <w:lang w:val="en-GB"/>
        </w:rPr>
        <w:t>(3), 525. </w:t>
      </w:r>
      <w:hyperlink r:id="rId77" w:tgtFrame="_blank" w:history="1">
        <w:r w:rsidRPr="006E06B1">
          <w:rPr>
            <w:rStyle w:val="Hyperlink"/>
            <w:lang w:val="en-GB"/>
          </w:rPr>
          <w:t>https://doi.org/10.3390/math11030525</w:t>
        </w:r>
      </w:hyperlink>
    </w:p>
    <w:p w14:paraId="21F76EB8" w14:textId="77777777" w:rsidR="006E06B1" w:rsidRPr="006E06B1" w:rsidRDefault="006E06B1" w:rsidP="006E06B1">
      <w:pPr>
        <w:pStyle w:val="Body"/>
        <w:numPr>
          <w:ilvl w:val="0"/>
          <w:numId w:val="33"/>
        </w:numPr>
        <w:spacing w:after="0"/>
        <w:rPr>
          <w:lang w:val="en-GB"/>
        </w:rPr>
      </w:pPr>
      <w:r w:rsidRPr="006E06B1">
        <w:rPr>
          <w:lang w:val="en-GB"/>
        </w:rPr>
        <w:t>Xu, X., Zhou, Z., &amp; Zhao, H. (2024). Short-term power load forecasting based on TCN-LSTM model. </w:t>
      </w:r>
      <w:r w:rsidRPr="006E06B1">
        <w:rPr>
          <w:i/>
          <w:iCs/>
          <w:lang w:val="en-GB"/>
        </w:rPr>
        <w:t xml:space="preserve">2024 3rd International Conference on Energy, Power and Electrical </w:t>
      </w:r>
      <w:r w:rsidRPr="006E06B1">
        <w:rPr>
          <w:i/>
          <w:iCs/>
          <w:lang w:val="en-GB"/>
        </w:rPr>
        <w:lastRenderedPageBreak/>
        <w:t>Technology (ICEPET)</w:t>
      </w:r>
      <w:r w:rsidRPr="006E06B1">
        <w:rPr>
          <w:lang w:val="en-GB"/>
        </w:rPr>
        <w:t>, 1340–1343. </w:t>
      </w:r>
      <w:hyperlink r:id="rId78" w:tgtFrame="_blank" w:history="1">
        <w:r w:rsidRPr="006E06B1">
          <w:rPr>
            <w:rStyle w:val="Hyperlink"/>
            <w:lang w:val="en-GB"/>
          </w:rPr>
          <w:t>https://doi.org/10.1109/ICEPET61938.2024.10626559</w:t>
        </w:r>
      </w:hyperlink>
    </w:p>
    <w:p w14:paraId="2C5F58B8" w14:textId="77777777" w:rsidR="006E06B1" w:rsidRPr="006E06B1" w:rsidRDefault="006E06B1" w:rsidP="006E06B1">
      <w:pPr>
        <w:pStyle w:val="Body"/>
        <w:numPr>
          <w:ilvl w:val="0"/>
          <w:numId w:val="33"/>
        </w:numPr>
        <w:spacing w:after="0"/>
        <w:rPr>
          <w:lang w:val="en-GB"/>
        </w:rPr>
      </w:pPr>
      <w:r w:rsidRPr="006E06B1">
        <w:rPr>
          <w:lang w:val="en-GB"/>
        </w:rPr>
        <w:t xml:space="preserve">Adebayo, I., </w:t>
      </w:r>
      <w:proofErr w:type="spellStart"/>
      <w:r w:rsidRPr="006E06B1">
        <w:rPr>
          <w:lang w:val="en-GB"/>
        </w:rPr>
        <w:t>Aborisade</w:t>
      </w:r>
      <w:proofErr w:type="spellEnd"/>
      <w:r w:rsidRPr="006E06B1">
        <w:rPr>
          <w:lang w:val="en-GB"/>
        </w:rPr>
        <w:t>, D., &amp; Akinola, I. (2020). Performance evaluation of ANN-based fault classifier on Nigerian 330kV-transmission system. </w:t>
      </w:r>
      <w:r w:rsidRPr="006E06B1">
        <w:rPr>
          <w:i/>
          <w:iCs/>
          <w:lang w:val="en-GB"/>
        </w:rPr>
        <w:t>International Journal of Scientific and Engineering Research, 8</w:t>
      </w:r>
      <w:r w:rsidRPr="006E06B1">
        <w:rPr>
          <w:lang w:val="en-GB"/>
        </w:rPr>
        <w:t>, 597–601.</w:t>
      </w:r>
    </w:p>
    <w:p w14:paraId="60DB5672" w14:textId="77777777" w:rsidR="006E06B1" w:rsidRPr="006E06B1" w:rsidRDefault="006E06B1" w:rsidP="006E06B1">
      <w:pPr>
        <w:pStyle w:val="Body"/>
        <w:numPr>
          <w:ilvl w:val="0"/>
          <w:numId w:val="33"/>
        </w:numPr>
        <w:spacing w:after="0"/>
        <w:rPr>
          <w:lang w:val="en-GB"/>
        </w:rPr>
      </w:pPr>
      <w:r w:rsidRPr="006E06B1">
        <w:rPr>
          <w:lang w:val="en-GB"/>
        </w:rPr>
        <w:t>Salihu, A. (2021). Artificial neural network approach of fault detection and identification in 330kV Onitsha-New Haven three phase transmission line.</w:t>
      </w:r>
    </w:p>
    <w:p w14:paraId="044033D5" w14:textId="77777777" w:rsidR="00C61808" w:rsidRDefault="006E06B1" w:rsidP="00E72D50">
      <w:pPr>
        <w:pStyle w:val="Body"/>
        <w:numPr>
          <w:ilvl w:val="0"/>
          <w:numId w:val="34"/>
        </w:numPr>
        <w:spacing w:after="0"/>
        <w:rPr>
          <w:lang w:val="en-GB"/>
        </w:rPr>
      </w:pPr>
      <w:r w:rsidRPr="00C61808">
        <w:rPr>
          <w:lang w:val="en-GB"/>
        </w:rPr>
        <w:t xml:space="preserve">Nwani, E. O., &amp; </w:t>
      </w:r>
      <w:proofErr w:type="spellStart"/>
      <w:r w:rsidRPr="00C61808">
        <w:rPr>
          <w:lang w:val="en-GB"/>
        </w:rPr>
        <w:t>Onoh</w:t>
      </w:r>
      <w:proofErr w:type="spellEnd"/>
      <w:r w:rsidRPr="00C61808">
        <w:rPr>
          <w:lang w:val="en-GB"/>
        </w:rPr>
        <w:t xml:space="preserve">, G. N. (2022). </w:t>
      </w:r>
      <w:proofErr w:type="spellStart"/>
      <w:r w:rsidRPr="00C61808">
        <w:rPr>
          <w:lang w:val="en-GB"/>
        </w:rPr>
        <w:t>Modeling</w:t>
      </w:r>
      <w:proofErr w:type="spellEnd"/>
      <w:r w:rsidRPr="00C61808">
        <w:rPr>
          <w:lang w:val="en-GB"/>
        </w:rPr>
        <w:t xml:space="preserve"> and simulation of insulation defects in high voltage transmission lines: Case study of Onitsha-New Haven 330kV line. </w:t>
      </w:r>
      <w:r w:rsidRPr="00C61808">
        <w:rPr>
          <w:i/>
          <w:iCs/>
          <w:lang w:val="en-GB"/>
        </w:rPr>
        <w:t>International Journal of Engineering and Environmental Sciences, 5</w:t>
      </w:r>
      <w:r w:rsidRPr="00C61808">
        <w:rPr>
          <w:lang w:val="en-GB"/>
        </w:rPr>
        <w:t>(3), 10–22.</w:t>
      </w:r>
    </w:p>
    <w:p w14:paraId="1647E4C1" w14:textId="4CF23DF8" w:rsidR="009713F3" w:rsidRPr="00C61808" w:rsidRDefault="006E06B1" w:rsidP="00E72D50">
      <w:pPr>
        <w:pStyle w:val="Body"/>
        <w:numPr>
          <w:ilvl w:val="0"/>
          <w:numId w:val="34"/>
        </w:numPr>
        <w:spacing w:after="0"/>
        <w:rPr>
          <w:lang w:val="en-GB"/>
        </w:rPr>
      </w:pPr>
      <w:proofErr w:type="spellStart"/>
      <w:r w:rsidRPr="00C61808">
        <w:rPr>
          <w:lang w:val="en-GB"/>
        </w:rPr>
        <w:t>Okakwu</w:t>
      </w:r>
      <w:proofErr w:type="spellEnd"/>
      <w:r w:rsidRPr="00C61808">
        <w:rPr>
          <w:lang w:val="en-GB"/>
        </w:rPr>
        <w:t xml:space="preserve">, K. I., &amp; </w:t>
      </w:r>
      <w:proofErr w:type="spellStart"/>
      <w:r w:rsidRPr="00C61808">
        <w:rPr>
          <w:lang w:val="en-GB"/>
        </w:rPr>
        <w:t>Ogujor</w:t>
      </w:r>
      <w:proofErr w:type="spellEnd"/>
      <w:r w:rsidRPr="00C61808">
        <w:rPr>
          <w:lang w:val="en-GB"/>
        </w:rPr>
        <w:t>, E. A. (2017). Transient stability analysis of the Nigeria 330-kV transmission network. </w:t>
      </w:r>
      <w:r w:rsidRPr="00C61808">
        <w:rPr>
          <w:i/>
          <w:iCs/>
          <w:lang w:val="en-GB"/>
        </w:rPr>
        <w:t>American Journal of Electrical Power and Energy Systems, 6</w:t>
      </w:r>
      <w:r w:rsidRPr="00C61808">
        <w:rPr>
          <w:lang w:val="en-GB"/>
        </w:rPr>
        <w:t>(6), 79–87.</w:t>
      </w:r>
    </w:p>
    <w:p w14:paraId="7C0D89D5" w14:textId="2E51E195" w:rsidR="00EB43CB" w:rsidRPr="009713F3" w:rsidRDefault="006E06B1" w:rsidP="001441AA">
      <w:pPr>
        <w:pStyle w:val="Body"/>
        <w:numPr>
          <w:ilvl w:val="0"/>
          <w:numId w:val="34"/>
        </w:numPr>
        <w:spacing w:after="0"/>
        <w:rPr>
          <w:lang w:val="en-GB"/>
        </w:rPr>
      </w:pPr>
      <w:r w:rsidRPr="009713F3">
        <w:rPr>
          <w:lang w:val="en-GB"/>
        </w:rPr>
        <w:t>Han, J., Lee, C., &amp; Kim, C. (2021). Adaptive single-pole auto-reclosing scheme based on secondary arc voltage harmonic signatures. </w:t>
      </w:r>
      <w:r w:rsidRPr="009713F3">
        <w:rPr>
          <w:i/>
          <w:iCs/>
          <w:lang w:val="en-GB"/>
        </w:rPr>
        <w:t>Energies, 14</w:t>
      </w:r>
      <w:r w:rsidRPr="009713F3">
        <w:rPr>
          <w:lang w:val="en-GB"/>
        </w:rPr>
        <w:t>(13), 1311.</w:t>
      </w:r>
    </w:p>
    <w:p w14:paraId="62F41275" w14:textId="753136BB" w:rsidR="006E06B1" w:rsidRPr="00EB43CB" w:rsidRDefault="006E06B1" w:rsidP="00822F2A">
      <w:pPr>
        <w:pStyle w:val="Body"/>
        <w:numPr>
          <w:ilvl w:val="0"/>
          <w:numId w:val="34"/>
        </w:numPr>
        <w:spacing w:after="0"/>
        <w:rPr>
          <w:lang w:val="en-GB"/>
        </w:rPr>
      </w:pPr>
      <w:r w:rsidRPr="00EB43CB">
        <w:rPr>
          <w:lang w:val="en-GB"/>
        </w:rPr>
        <w:t>Tien, D. V., Gono, R., &amp; Leonowicz, Z. (2018). A multifunctional dynamic voltage restorer for power quality improvement. </w:t>
      </w:r>
      <w:r w:rsidRPr="00EB43CB">
        <w:rPr>
          <w:i/>
          <w:iCs/>
          <w:lang w:val="en-GB"/>
        </w:rPr>
        <w:t>Energies, 11</w:t>
      </w:r>
      <w:r w:rsidRPr="00EB43CB">
        <w:rPr>
          <w:lang w:val="en-GB"/>
        </w:rPr>
        <w:t>(6), 1351. </w:t>
      </w:r>
      <w:hyperlink r:id="rId79" w:tgtFrame="_blank" w:history="1">
        <w:r w:rsidRPr="00EB43CB">
          <w:rPr>
            <w:rStyle w:val="Hyperlink"/>
            <w:lang w:val="en-GB"/>
          </w:rPr>
          <w:t>https://doi.org/10.3390/en11061351</w:t>
        </w:r>
      </w:hyperlink>
    </w:p>
    <w:p w14:paraId="487506CB" w14:textId="77777777" w:rsidR="006E06B1" w:rsidRPr="006E06B1" w:rsidRDefault="006E06B1" w:rsidP="006E06B1">
      <w:pPr>
        <w:pStyle w:val="Body"/>
        <w:numPr>
          <w:ilvl w:val="0"/>
          <w:numId w:val="34"/>
        </w:numPr>
        <w:spacing w:after="0"/>
        <w:rPr>
          <w:lang w:val="en-GB"/>
        </w:rPr>
      </w:pPr>
      <w:r w:rsidRPr="006E06B1">
        <w:rPr>
          <w:lang w:val="en-GB"/>
        </w:rPr>
        <w:t xml:space="preserve">Siregar, Y., Muhammad, M., Arief, Y. Z., Mubarakah, N., </w:t>
      </w:r>
      <w:proofErr w:type="spellStart"/>
      <w:r w:rsidRPr="006E06B1">
        <w:rPr>
          <w:lang w:val="en-GB"/>
        </w:rPr>
        <w:t>Soeharwinto</w:t>
      </w:r>
      <w:proofErr w:type="spellEnd"/>
      <w:r w:rsidRPr="006E06B1">
        <w:rPr>
          <w:lang w:val="en-GB"/>
        </w:rPr>
        <w:t xml:space="preserve">, &amp; </w:t>
      </w:r>
      <w:proofErr w:type="spellStart"/>
      <w:r w:rsidRPr="006E06B1">
        <w:rPr>
          <w:lang w:val="en-GB"/>
        </w:rPr>
        <w:t>Dinzi</w:t>
      </w:r>
      <w:proofErr w:type="spellEnd"/>
      <w:r w:rsidRPr="006E06B1">
        <w:rPr>
          <w:lang w:val="en-GB"/>
        </w:rPr>
        <w:t>, R. (2023). Dynamic voltage restorer quality improvement analysis using particle swarm optimisation and artificial neural networks for voltage sag mitigation. </w:t>
      </w:r>
      <w:r w:rsidRPr="006E06B1">
        <w:rPr>
          <w:i/>
          <w:iCs/>
          <w:lang w:val="en-GB"/>
        </w:rPr>
        <w:t>International Journal of Electrical and Computer Engineering, 13</w:t>
      </w:r>
      <w:r w:rsidRPr="006E06B1">
        <w:rPr>
          <w:lang w:val="en-GB"/>
        </w:rPr>
        <w:t>(6), 6079–6091. </w:t>
      </w:r>
      <w:hyperlink r:id="rId80" w:tgtFrame="_blank" w:history="1">
        <w:r w:rsidRPr="006E06B1">
          <w:rPr>
            <w:rStyle w:val="Hyperlink"/>
            <w:lang w:val="en-GB"/>
          </w:rPr>
          <w:t>https://doi.org/10.11591/ijece.v13i6.6079</w:t>
        </w:r>
      </w:hyperlink>
    </w:p>
    <w:p w14:paraId="4C926FFD" w14:textId="77777777" w:rsidR="006E06B1" w:rsidRPr="006E06B1" w:rsidRDefault="006E06B1" w:rsidP="006E06B1">
      <w:pPr>
        <w:pStyle w:val="Body"/>
        <w:numPr>
          <w:ilvl w:val="0"/>
          <w:numId w:val="34"/>
        </w:numPr>
        <w:spacing w:after="0"/>
        <w:rPr>
          <w:lang w:val="en-GB"/>
        </w:rPr>
      </w:pPr>
      <w:r w:rsidRPr="006E06B1">
        <w:rPr>
          <w:lang w:val="en-GB"/>
        </w:rPr>
        <w:t>Anitha, M., &amp; Jyothsna, T. R. (2019). Power quality improvement in DG system using BOA-based interlined unified power quality conditioner. </w:t>
      </w:r>
      <w:r w:rsidRPr="006E06B1">
        <w:rPr>
          <w:i/>
          <w:iCs/>
          <w:lang w:val="en-GB"/>
        </w:rPr>
        <w:t>International Journal of Engineering and Advanced Technology, 9</w:t>
      </w:r>
      <w:r w:rsidRPr="006E06B1">
        <w:rPr>
          <w:lang w:val="en-GB"/>
        </w:rPr>
        <w:t>(2), 1146–1155. </w:t>
      </w:r>
      <w:hyperlink r:id="rId81" w:tgtFrame="_blank" w:history="1">
        <w:r w:rsidRPr="006E06B1">
          <w:rPr>
            <w:rStyle w:val="Hyperlink"/>
            <w:lang w:val="en-GB"/>
          </w:rPr>
          <w:t>https://doi.org/10.35940/ijeat.B3654.129219</w:t>
        </w:r>
      </w:hyperlink>
    </w:p>
    <w:p w14:paraId="28DF1960" w14:textId="77777777" w:rsidR="006E06B1" w:rsidRPr="006E06B1" w:rsidRDefault="006E06B1" w:rsidP="006E06B1">
      <w:pPr>
        <w:pStyle w:val="Body"/>
        <w:numPr>
          <w:ilvl w:val="0"/>
          <w:numId w:val="34"/>
        </w:numPr>
        <w:spacing w:after="0"/>
        <w:rPr>
          <w:lang w:val="en-GB"/>
        </w:rPr>
      </w:pPr>
      <w:proofErr w:type="spellStart"/>
      <w:r w:rsidRPr="006E06B1">
        <w:rPr>
          <w:lang w:val="en-GB"/>
        </w:rPr>
        <w:t>Benachaiba</w:t>
      </w:r>
      <w:proofErr w:type="spellEnd"/>
      <w:r w:rsidRPr="006E06B1">
        <w:rPr>
          <w:lang w:val="en-GB"/>
        </w:rPr>
        <w:t>, C., &amp; Ferdi, B. (2008). Voltage quality improvement using DVR. </w:t>
      </w:r>
      <w:r w:rsidRPr="006E06B1">
        <w:rPr>
          <w:i/>
          <w:iCs/>
          <w:lang w:val="en-GB"/>
        </w:rPr>
        <w:t xml:space="preserve">Electrical Power Quality and Utilisation Journal, </w:t>
      </w:r>
      <w:proofErr w:type="gramStart"/>
      <w:r w:rsidRPr="006E06B1">
        <w:rPr>
          <w:i/>
          <w:iCs/>
          <w:lang w:val="en-GB"/>
        </w:rPr>
        <w:t>XIV</w:t>
      </w:r>
      <w:r w:rsidRPr="006E06B1">
        <w:rPr>
          <w:lang w:val="en-GB"/>
        </w:rPr>
        <w:t>(</w:t>
      </w:r>
      <w:proofErr w:type="gramEnd"/>
      <w:r w:rsidRPr="006E06B1">
        <w:rPr>
          <w:lang w:val="en-GB"/>
        </w:rPr>
        <w:t>1), 8.</w:t>
      </w:r>
    </w:p>
    <w:p w14:paraId="11DD30E6" w14:textId="77777777" w:rsidR="006E06B1" w:rsidRPr="006E06B1" w:rsidRDefault="006E06B1" w:rsidP="006E06B1">
      <w:pPr>
        <w:pStyle w:val="Body"/>
        <w:numPr>
          <w:ilvl w:val="0"/>
          <w:numId w:val="34"/>
        </w:numPr>
        <w:spacing w:after="0"/>
        <w:rPr>
          <w:lang w:val="en-GB"/>
        </w:rPr>
      </w:pPr>
      <w:proofErr w:type="spellStart"/>
      <w:r w:rsidRPr="006E06B1">
        <w:rPr>
          <w:lang w:val="en-GB"/>
        </w:rPr>
        <w:t>Kangarlu</w:t>
      </w:r>
      <w:proofErr w:type="spellEnd"/>
      <w:r w:rsidRPr="006E06B1">
        <w:rPr>
          <w:lang w:val="en-GB"/>
        </w:rPr>
        <w:t xml:space="preserve">, F. M., Hosseini, S. H., Babaei, E., &amp; Sadigh, K. A. (2010). </w:t>
      </w:r>
      <w:proofErr w:type="spellStart"/>
      <w:r w:rsidRPr="006E06B1">
        <w:rPr>
          <w:lang w:val="en-GB"/>
        </w:rPr>
        <w:t>Transformerless</w:t>
      </w:r>
      <w:proofErr w:type="spellEnd"/>
      <w:r w:rsidRPr="006E06B1">
        <w:rPr>
          <w:lang w:val="en-GB"/>
        </w:rPr>
        <w:t xml:space="preserve"> DVR topology based on multilevel inverter with reduced number of switches. </w:t>
      </w:r>
      <w:r w:rsidRPr="006E06B1">
        <w:rPr>
          <w:i/>
          <w:iCs/>
          <w:lang w:val="en-GB"/>
        </w:rPr>
        <w:t>Proceedings of the 1st Power Electronics and Drive Systems and Technologies Conference</w:t>
      </w:r>
      <w:r w:rsidRPr="006E06B1">
        <w:rPr>
          <w:lang w:val="en-GB"/>
        </w:rPr>
        <w:t>, 371–375. </w:t>
      </w:r>
      <w:hyperlink r:id="rId82" w:tgtFrame="_blank" w:history="1">
        <w:r w:rsidRPr="006E06B1">
          <w:rPr>
            <w:rStyle w:val="Hyperlink"/>
            <w:lang w:val="en-GB"/>
          </w:rPr>
          <w:t>https://doi.org/10.1109/PEDSTC.2010.5471786</w:t>
        </w:r>
      </w:hyperlink>
    </w:p>
    <w:p w14:paraId="6DA9A3CB" w14:textId="77777777" w:rsidR="006E06B1" w:rsidRPr="006E06B1" w:rsidRDefault="006E06B1" w:rsidP="006E06B1">
      <w:pPr>
        <w:pStyle w:val="Body"/>
        <w:numPr>
          <w:ilvl w:val="0"/>
          <w:numId w:val="34"/>
        </w:numPr>
        <w:spacing w:after="0"/>
        <w:rPr>
          <w:lang w:val="en-GB"/>
        </w:rPr>
      </w:pPr>
      <w:r w:rsidRPr="006E06B1">
        <w:rPr>
          <w:lang w:val="en-GB"/>
        </w:rPr>
        <w:t>Reddy, S. G., Ganapathy, S., &amp; Manikandan, M. (2022). Power quality improvement in distribution system based on dynamic voltage restorer using PI tuned fuzzy logic controller. </w:t>
      </w:r>
      <w:r w:rsidRPr="006E06B1">
        <w:rPr>
          <w:i/>
          <w:iCs/>
          <w:lang w:val="en-GB"/>
        </w:rPr>
        <w:t>Electrical Engineering and Electromechanics, 2022</w:t>
      </w:r>
      <w:r w:rsidRPr="006E06B1">
        <w:rPr>
          <w:lang w:val="en-GB"/>
        </w:rPr>
        <w:t>(1), 44–50. </w:t>
      </w:r>
      <w:hyperlink r:id="rId83" w:tgtFrame="_blank" w:history="1">
        <w:r w:rsidRPr="006E06B1">
          <w:rPr>
            <w:rStyle w:val="Hyperlink"/>
            <w:lang w:val="en-GB"/>
          </w:rPr>
          <w:t>https://doi.org/10.20998/2074-272X.2022.1.06</w:t>
        </w:r>
      </w:hyperlink>
    </w:p>
    <w:p w14:paraId="1FFDA473" w14:textId="77777777" w:rsidR="006E06B1" w:rsidRPr="006E06B1" w:rsidRDefault="006E06B1" w:rsidP="006E06B1">
      <w:pPr>
        <w:pStyle w:val="Body"/>
        <w:numPr>
          <w:ilvl w:val="0"/>
          <w:numId w:val="34"/>
        </w:numPr>
        <w:spacing w:after="0"/>
        <w:rPr>
          <w:lang w:val="en-GB"/>
        </w:rPr>
      </w:pPr>
      <w:r w:rsidRPr="006E06B1">
        <w:rPr>
          <w:lang w:val="en-GB"/>
        </w:rPr>
        <w:t>Jabbar, A., Ali, F., Zayer, W. H., &amp; Shukir, S. S. (2019). Fuzzy neural controller based dynamic voltage restorer control for power quality improvement. </w:t>
      </w:r>
      <w:r w:rsidRPr="006E06B1">
        <w:rPr>
          <w:i/>
          <w:iCs/>
          <w:lang w:val="en-GB"/>
        </w:rPr>
        <w:t>Journal of Engineering and Technology, 8</w:t>
      </w:r>
      <w:r w:rsidRPr="006E06B1">
        <w:rPr>
          <w:lang w:val="en-GB"/>
        </w:rPr>
        <w:t>(1), 1–20.</w:t>
      </w:r>
    </w:p>
    <w:p w14:paraId="609A9370" w14:textId="77777777" w:rsidR="006E06B1" w:rsidRPr="006E06B1" w:rsidRDefault="006E06B1" w:rsidP="006E06B1">
      <w:pPr>
        <w:pStyle w:val="Body"/>
        <w:numPr>
          <w:ilvl w:val="0"/>
          <w:numId w:val="34"/>
        </w:numPr>
        <w:spacing w:after="0"/>
        <w:rPr>
          <w:lang w:val="en-GB"/>
        </w:rPr>
      </w:pPr>
      <w:r w:rsidRPr="006E06B1">
        <w:rPr>
          <w:lang w:val="en-GB"/>
        </w:rPr>
        <w:t>Munawar, M. I., Alam, I., &amp; Ali, M. S. (2023). An efficient energy prediction model for solar energy power system using artificial intelligence technique. </w:t>
      </w:r>
      <w:r w:rsidRPr="006E06B1">
        <w:rPr>
          <w:i/>
          <w:iCs/>
          <w:lang w:val="en-GB"/>
        </w:rPr>
        <w:t>Proceedings of the International Conference on Recent Academic Studies, 1</w:t>
      </w:r>
      <w:r w:rsidRPr="006E06B1">
        <w:rPr>
          <w:lang w:val="en-GB"/>
        </w:rPr>
        <w:t>, 139–145. </w:t>
      </w:r>
      <w:hyperlink r:id="rId84" w:tgtFrame="_blank" w:history="1">
        <w:r w:rsidRPr="006E06B1">
          <w:rPr>
            <w:rStyle w:val="Hyperlink"/>
            <w:lang w:val="en-GB"/>
          </w:rPr>
          <w:t>https://doi.org/10.59287/icras.686</w:t>
        </w:r>
      </w:hyperlink>
    </w:p>
    <w:p w14:paraId="25170A5A" w14:textId="77777777" w:rsidR="006E06B1" w:rsidRPr="006E06B1" w:rsidRDefault="006E06B1" w:rsidP="006E06B1">
      <w:pPr>
        <w:pStyle w:val="Body"/>
        <w:numPr>
          <w:ilvl w:val="0"/>
          <w:numId w:val="34"/>
        </w:numPr>
        <w:spacing w:after="0"/>
        <w:rPr>
          <w:lang w:val="en-GB"/>
        </w:rPr>
      </w:pPr>
      <w:r w:rsidRPr="006E06B1">
        <w:rPr>
          <w:lang w:val="en-GB"/>
        </w:rPr>
        <w:t xml:space="preserve">Alharbi, A. A., &amp; </w:t>
      </w:r>
      <w:proofErr w:type="spellStart"/>
      <w:r w:rsidRPr="006E06B1">
        <w:rPr>
          <w:lang w:val="en-GB"/>
        </w:rPr>
        <w:t>Allohibi</w:t>
      </w:r>
      <w:proofErr w:type="spellEnd"/>
      <w:r w:rsidRPr="006E06B1">
        <w:rPr>
          <w:lang w:val="en-GB"/>
        </w:rPr>
        <w:t>, J. (2024). A new hybrid classification algorithm for predicting student performance. </w:t>
      </w:r>
      <w:r w:rsidRPr="006E06B1">
        <w:rPr>
          <w:i/>
          <w:iCs/>
          <w:lang w:val="en-GB"/>
        </w:rPr>
        <w:t>AIMS Mathematics, 9</w:t>
      </w:r>
      <w:r w:rsidRPr="006E06B1">
        <w:rPr>
          <w:lang w:val="en-GB"/>
        </w:rPr>
        <w:t>(7), 18308–18323. </w:t>
      </w:r>
      <w:hyperlink r:id="rId85" w:tgtFrame="_blank" w:history="1">
        <w:r w:rsidRPr="006E06B1">
          <w:rPr>
            <w:rStyle w:val="Hyperlink"/>
            <w:lang w:val="en-GB"/>
          </w:rPr>
          <w:t>https://doi.org/10.3934/math.2024893</w:t>
        </w:r>
      </w:hyperlink>
    </w:p>
    <w:p w14:paraId="7FF4F04A" w14:textId="77777777" w:rsidR="006E06B1" w:rsidRPr="006E06B1" w:rsidRDefault="006E06B1" w:rsidP="006E06B1">
      <w:pPr>
        <w:pStyle w:val="Body"/>
        <w:numPr>
          <w:ilvl w:val="0"/>
          <w:numId w:val="34"/>
        </w:numPr>
        <w:spacing w:after="0"/>
        <w:rPr>
          <w:lang w:val="en-GB"/>
        </w:rPr>
      </w:pPr>
      <w:r w:rsidRPr="006E06B1">
        <w:rPr>
          <w:lang w:val="en-GB"/>
        </w:rPr>
        <w:t>Sharada, K. A., Mahesh, T. R., Chandrasekaran, S., Shashikumar, R., Kumar, V. V., &amp; Annand, J. R. (2024). Improved energy efficiency using adaptive ant colony distributed intelligent-based clustering in wireless sensor networks. </w:t>
      </w:r>
      <w:r w:rsidRPr="006E06B1">
        <w:rPr>
          <w:i/>
          <w:iCs/>
          <w:lang w:val="en-GB"/>
        </w:rPr>
        <w:t>Scientific Reports, 14</w:t>
      </w:r>
      <w:r w:rsidRPr="006E06B1">
        <w:rPr>
          <w:lang w:val="en-GB"/>
        </w:rPr>
        <w:t>, 55099. </w:t>
      </w:r>
      <w:hyperlink r:id="rId86" w:tgtFrame="_blank" w:history="1">
        <w:r w:rsidRPr="006E06B1">
          <w:rPr>
            <w:rStyle w:val="Hyperlink"/>
            <w:lang w:val="en-GB"/>
          </w:rPr>
          <w:t>https://doi.org/10.1038/s41598-024-55099-1</w:t>
        </w:r>
      </w:hyperlink>
    </w:p>
    <w:p w14:paraId="72B33FAA" w14:textId="77777777" w:rsidR="006E06B1" w:rsidRPr="006E06B1" w:rsidRDefault="006E06B1" w:rsidP="006E06B1">
      <w:pPr>
        <w:pStyle w:val="Body"/>
        <w:numPr>
          <w:ilvl w:val="0"/>
          <w:numId w:val="34"/>
        </w:numPr>
        <w:spacing w:after="0"/>
        <w:rPr>
          <w:lang w:val="en-GB"/>
        </w:rPr>
      </w:pPr>
      <w:r w:rsidRPr="006E06B1">
        <w:rPr>
          <w:lang w:val="en-GB"/>
        </w:rPr>
        <w:lastRenderedPageBreak/>
        <w:t>Za, M. E., Sajadi, A., &amp; Hodge, B. M. (2024). Semi-supervised multi-task learning based framework for power system security assessment. </w:t>
      </w:r>
      <w:proofErr w:type="spellStart"/>
      <w:r w:rsidRPr="006E06B1">
        <w:rPr>
          <w:i/>
          <w:iCs/>
          <w:lang w:val="en-GB"/>
        </w:rPr>
        <w:t>arXiv</w:t>
      </w:r>
      <w:proofErr w:type="spellEnd"/>
      <w:r w:rsidRPr="006E06B1">
        <w:rPr>
          <w:lang w:val="en-GB"/>
        </w:rPr>
        <w:t>. </w:t>
      </w:r>
      <w:hyperlink r:id="rId87" w:tgtFrame="_blank" w:history="1">
        <w:r w:rsidRPr="006E06B1">
          <w:rPr>
            <w:rStyle w:val="Hyperlink"/>
            <w:lang w:val="en-GB"/>
          </w:rPr>
          <w:t>https://arxiv.org/abs/XXXX.XXXXX</w:t>
        </w:r>
      </w:hyperlink>
    </w:p>
    <w:p w14:paraId="619E5577" w14:textId="77777777" w:rsidR="006E06B1" w:rsidRPr="006E06B1" w:rsidRDefault="006E06B1" w:rsidP="006E06B1">
      <w:pPr>
        <w:pStyle w:val="Body"/>
        <w:numPr>
          <w:ilvl w:val="0"/>
          <w:numId w:val="34"/>
        </w:numPr>
        <w:spacing w:after="0"/>
        <w:rPr>
          <w:lang w:val="en-GB"/>
        </w:rPr>
      </w:pPr>
      <w:r w:rsidRPr="006E06B1">
        <w:rPr>
          <w:lang w:val="en-GB"/>
        </w:rPr>
        <w:t>Zhang, M., Li, J., Li, Y., &amp; Xu, R. (2021). Deep learning for short-term voltage stability assessment of power systems. </w:t>
      </w:r>
      <w:r w:rsidRPr="006E06B1">
        <w:rPr>
          <w:i/>
          <w:iCs/>
          <w:lang w:val="en-GB"/>
        </w:rPr>
        <w:t>IEEE Access, 9</w:t>
      </w:r>
      <w:r w:rsidRPr="006E06B1">
        <w:rPr>
          <w:lang w:val="en-GB"/>
        </w:rPr>
        <w:t>, 29711–29718. </w:t>
      </w:r>
      <w:hyperlink r:id="rId88" w:tgtFrame="_blank" w:history="1">
        <w:r w:rsidRPr="006E06B1">
          <w:rPr>
            <w:rStyle w:val="Hyperlink"/>
            <w:lang w:val="en-GB"/>
          </w:rPr>
          <w:t>https://doi.org/10.1109/ACCESS.2021.3057659</w:t>
        </w:r>
      </w:hyperlink>
    </w:p>
    <w:p w14:paraId="1241A80D" w14:textId="77777777" w:rsidR="006E06B1" w:rsidRPr="006E06B1" w:rsidRDefault="006E06B1" w:rsidP="006E06B1">
      <w:pPr>
        <w:pStyle w:val="Body"/>
        <w:numPr>
          <w:ilvl w:val="0"/>
          <w:numId w:val="34"/>
        </w:numPr>
        <w:spacing w:after="0"/>
        <w:rPr>
          <w:lang w:val="en-GB"/>
        </w:rPr>
      </w:pPr>
      <w:r w:rsidRPr="006E06B1">
        <w:rPr>
          <w:lang w:val="en-GB"/>
        </w:rPr>
        <w:t>Ibrahim, S., Musa, A., &amp; Adekunle, T. (2023). Harmonic-based SVM for transient fault detection in HV networks. </w:t>
      </w:r>
      <w:r w:rsidRPr="006E06B1">
        <w:rPr>
          <w:i/>
          <w:iCs/>
          <w:lang w:val="en-GB"/>
        </w:rPr>
        <w:t>Electric Power Systems Research, 214</w:t>
      </w:r>
      <w:r w:rsidRPr="006E06B1">
        <w:rPr>
          <w:lang w:val="en-GB"/>
        </w:rPr>
        <w:t>, 108945. </w:t>
      </w:r>
      <w:hyperlink r:id="rId89" w:tgtFrame="_blank" w:history="1">
        <w:r w:rsidRPr="006E06B1">
          <w:rPr>
            <w:rStyle w:val="Hyperlink"/>
            <w:lang w:val="en-GB"/>
          </w:rPr>
          <w:t>https://doi.org/10.1016/j.epsr.2023.108945</w:t>
        </w:r>
      </w:hyperlink>
    </w:p>
    <w:p w14:paraId="7BD8AAD3" w14:textId="77777777" w:rsidR="006E06B1" w:rsidRPr="006E06B1" w:rsidRDefault="006E06B1" w:rsidP="006E06B1">
      <w:pPr>
        <w:pStyle w:val="Body"/>
        <w:numPr>
          <w:ilvl w:val="0"/>
          <w:numId w:val="34"/>
        </w:numPr>
        <w:spacing w:after="0"/>
        <w:rPr>
          <w:lang w:val="en-GB"/>
        </w:rPr>
      </w:pPr>
      <w:r w:rsidRPr="006E06B1">
        <w:rPr>
          <w:lang w:val="en-GB"/>
        </w:rPr>
        <w:t xml:space="preserve">Shojaei, M., </w:t>
      </w:r>
      <w:proofErr w:type="spellStart"/>
      <w:r w:rsidRPr="006E06B1">
        <w:rPr>
          <w:lang w:val="en-GB"/>
        </w:rPr>
        <w:t>Aghamolaei</w:t>
      </w:r>
      <w:proofErr w:type="spellEnd"/>
      <w:r w:rsidRPr="006E06B1">
        <w:rPr>
          <w:lang w:val="en-GB"/>
        </w:rPr>
        <w:t>, R., &amp; Ghaani, M. (2024). Recent advancements in applying machine learning in power-to-X processes: A literature review. </w:t>
      </w:r>
      <w:r w:rsidRPr="006E06B1">
        <w:rPr>
          <w:i/>
          <w:iCs/>
          <w:lang w:val="en-GB"/>
        </w:rPr>
        <w:t>Sustainability, 16</w:t>
      </w:r>
      <w:r w:rsidRPr="006E06B1">
        <w:rPr>
          <w:lang w:val="en-GB"/>
        </w:rPr>
        <w:t>(21), 9555. </w:t>
      </w:r>
      <w:hyperlink r:id="rId90" w:tgtFrame="_blank" w:history="1">
        <w:r w:rsidRPr="006E06B1">
          <w:rPr>
            <w:rStyle w:val="Hyperlink"/>
            <w:lang w:val="en-GB"/>
          </w:rPr>
          <w:t>https://doi.org/10.3390/su16219555</w:t>
        </w:r>
      </w:hyperlink>
    </w:p>
    <w:p w14:paraId="421E5205" w14:textId="77777777" w:rsidR="006E06B1" w:rsidRPr="006E06B1" w:rsidRDefault="006E06B1" w:rsidP="006E06B1">
      <w:pPr>
        <w:pStyle w:val="Body"/>
        <w:numPr>
          <w:ilvl w:val="0"/>
          <w:numId w:val="34"/>
        </w:numPr>
        <w:spacing w:after="0"/>
        <w:rPr>
          <w:lang w:val="en-GB"/>
        </w:rPr>
      </w:pPr>
      <w:proofErr w:type="spellStart"/>
      <w:r w:rsidRPr="006E06B1">
        <w:rPr>
          <w:lang w:val="en-GB"/>
        </w:rPr>
        <w:t>Mchirgui</w:t>
      </w:r>
      <w:proofErr w:type="spellEnd"/>
      <w:r w:rsidRPr="006E06B1">
        <w:rPr>
          <w:lang w:val="en-GB"/>
        </w:rPr>
        <w:t xml:space="preserve">, N., </w:t>
      </w:r>
      <w:proofErr w:type="spellStart"/>
      <w:r w:rsidRPr="006E06B1">
        <w:rPr>
          <w:lang w:val="en-GB"/>
        </w:rPr>
        <w:t>Quadar</w:t>
      </w:r>
      <w:proofErr w:type="spellEnd"/>
      <w:r w:rsidRPr="006E06B1">
        <w:rPr>
          <w:lang w:val="en-GB"/>
        </w:rPr>
        <w:t xml:space="preserve">, N., </w:t>
      </w:r>
      <w:proofErr w:type="spellStart"/>
      <w:r w:rsidRPr="006E06B1">
        <w:rPr>
          <w:lang w:val="en-GB"/>
        </w:rPr>
        <w:t>Kraiem</w:t>
      </w:r>
      <w:proofErr w:type="spellEnd"/>
      <w:r w:rsidRPr="006E06B1">
        <w:rPr>
          <w:lang w:val="en-GB"/>
        </w:rPr>
        <w:t xml:space="preserve">, H., &amp; </w:t>
      </w:r>
      <w:proofErr w:type="spellStart"/>
      <w:r w:rsidRPr="006E06B1">
        <w:rPr>
          <w:lang w:val="en-GB"/>
        </w:rPr>
        <w:t>Lakhssassi</w:t>
      </w:r>
      <w:proofErr w:type="spellEnd"/>
      <w:r w:rsidRPr="006E06B1">
        <w:rPr>
          <w:lang w:val="en-GB"/>
        </w:rPr>
        <w:t>, A. (2024). The applications and challenges of digital twin technology in smart grids: A comprehensive review. </w:t>
      </w:r>
      <w:r w:rsidRPr="006E06B1">
        <w:rPr>
          <w:i/>
          <w:iCs/>
          <w:lang w:val="en-GB"/>
        </w:rPr>
        <w:t>Applied Sciences, 14</w:t>
      </w:r>
      <w:r w:rsidRPr="006E06B1">
        <w:rPr>
          <w:lang w:val="en-GB"/>
        </w:rPr>
        <w:t>(23), 10933. </w:t>
      </w:r>
      <w:hyperlink r:id="rId91" w:tgtFrame="_blank" w:history="1">
        <w:r w:rsidRPr="006E06B1">
          <w:rPr>
            <w:rStyle w:val="Hyperlink"/>
            <w:lang w:val="en-GB"/>
          </w:rPr>
          <w:t>https://doi.org/10.3390/app142310933</w:t>
        </w:r>
      </w:hyperlink>
    </w:p>
    <w:p w14:paraId="203D5CEA" w14:textId="77777777" w:rsidR="006E06B1" w:rsidRPr="006E06B1" w:rsidRDefault="006E06B1" w:rsidP="006E06B1">
      <w:pPr>
        <w:pStyle w:val="Body"/>
        <w:numPr>
          <w:ilvl w:val="0"/>
          <w:numId w:val="34"/>
        </w:numPr>
        <w:spacing w:after="0"/>
        <w:rPr>
          <w:lang w:val="en-GB"/>
        </w:rPr>
      </w:pPr>
      <w:r w:rsidRPr="006E06B1">
        <w:rPr>
          <w:lang w:val="en-GB"/>
        </w:rPr>
        <w:t xml:space="preserve">Miao, K., Ma, C., &amp; Zhou, J. (2025). Advances and prospects of low temperature </w:t>
      </w:r>
      <w:proofErr w:type="spellStart"/>
      <w:r w:rsidRPr="006E06B1">
        <w:rPr>
          <w:lang w:val="en-GB"/>
        </w:rPr>
        <w:t>LiS</w:t>
      </w:r>
      <w:proofErr w:type="spellEnd"/>
      <w:r w:rsidRPr="006E06B1">
        <w:rPr>
          <w:lang w:val="en-GB"/>
        </w:rPr>
        <w:t xml:space="preserve"> batteries. </w:t>
      </w:r>
      <w:r w:rsidRPr="006E06B1">
        <w:rPr>
          <w:i/>
          <w:iCs/>
          <w:lang w:val="en-GB"/>
        </w:rPr>
        <w:t>Applied Energy, 388</w:t>
      </w:r>
      <w:r w:rsidRPr="006E06B1">
        <w:rPr>
          <w:lang w:val="en-GB"/>
        </w:rPr>
        <w:t>, 125720. </w:t>
      </w:r>
      <w:hyperlink r:id="rId92" w:tgtFrame="_blank" w:history="1">
        <w:r w:rsidRPr="006E06B1">
          <w:rPr>
            <w:rStyle w:val="Hyperlink"/>
            <w:lang w:val="en-GB"/>
          </w:rPr>
          <w:t>https://doi.org/10.1016/j.apenergy.2025.125720</w:t>
        </w:r>
      </w:hyperlink>
    </w:p>
    <w:p w14:paraId="6D224157" w14:textId="77777777" w:rsidR="006E06B1" w:rsidRPr="006E06B1" w:rsidRDefault="006E06B1" w:rsidP="006E06B1">
      <w:pPr>
        <w:pStyle w:val="Body"/>
        <w:numPr>
          <w:ilvl w:val="0"/>
          <w:numId w:val="34"/>
        </w:numPr>
        <w:spacing w:after="0"/>
        <w:rPr>
          <w:lang w:val="en-GB"/>
        </w:rPr>
      </w:pPr>
      <w:r w:rsidRPr="006E06B1">
        <w:rPr>
          <w:lang w:val="en-GB"/>
        </w:rPr>
        <w:t>Areola, R. I., Adebiyi, A. A., &amp; Moloi, K. (2025). Integrated energy storage systems for enhanced grid efficiency: A comprehensive review of technologies and applications. </w:t>
      </w:r>
      <w:r w:rsidRPr="006E06B1">
        <w:rPr>
          <w:i/>
          <w:iCs/>
          <w:lang w:val="en-GB"/>
        </w:rPr>
        <w:t>Energies, 18</w:t>
      </w:r>
      <w:r w:rsidRPr="006E06B1">
        <w:rPr>
          <w:lang w:val="en-GB"/>
        </w:rPr>
        <w:t>(7), 1848. </w:t>
      </w:r>
      <w:hyperlink r:id="rId93" w:tgtFrame="_blank" w:history="1">
        <w:r w:rsidRPr="006E06B1">
          <w:rPr>
            <w:rStyle w:val="Hyperlink"/>
            <w:lang w:val="en-GB"/>
          </w:rPr>
          <w:t>https://doi.org/10.3390/en18071848</w:t>
        </w:r>
      </w:hyperlink>
    </w:p>
    <w:p w14:paraId="5631999F" w14:textId="77777777" w:rsidR="006E06B1" w:rsidRPr="006E06B1" w:rsidRDefault="006E06B1" w:rsidP="006E06B1">
      <w:pPr>
        <w:pStyle w:val="Body"/>
        <w:numPr>
          <w:ilvl w:val="0"/>
          <w:numId w:val="34"/>
        </w:numPr>
        <w:spacing w:after="0"/>
        <w:rPr>
          <w:lang w:val="en-GB"/>
        </w:rPr>
      </w:pPr>
      <w:r w:rsidRPr="006E06B1">
        <w:rPr>
          <w:lang w:val="en-GB"/>
        </w:rPr>
        <w:t>Zhou, Y., &amp; Lund, P. (2023). Peer-to-peer energy sharing and trading of renewable energy in smart communities: Trading pricing models, decision-making and agent-based collaboration. </w:t>
      </w:r>
      <w:r w:rsidRPr="006E06B1">
        <w:rPr>
          <w:i/>
          <w:iCs/>
          <w:lang w:val="en-GB"/>
        </w:rPr>
        <w:t>Renewable Energy, 207</w:t>
      </w:r>
      <w:r w:rsidRPr="006E06B1">
        <w:rPr>
          <w:lang w:val="en-GB"/>
        </w:rPr>
        <w:t>. </w:t>
      </w:r>
      <w:hyperlink r:id="rId94" w:tgtFrame="_blank" w:history="1">
        <w:r w:rsidRPr="006E06B1">
          <w:rPr>
            <w:rStyle w:val="Hyperlink"/>
            <w:lang w:val="en-GB"/>
          </w:rPr>
          <w:t>https://doi.org/10.1016/j.renene.2023.02.125</w:t>
        </w:r>
      </w:hyperlink>
    </w:p>
    <w:p w14:paraId="5D6CF7FC" w14:textId="457F62FB" w:rsidR="00B1776C" w:rsidRDefault="00B1776C" w:rsidP="00441B6F">
      <w:pPr>
        <w:pStyle w:val="Body"/>
        <w:spacing w:after="0"/>
        <w:rPr>
          <w:rFonts w:ascii="Arial" w:hAnsi="Arial" w:cs="Arial"/>
        </w:rPr>
      </w:pPr>
    </w:p>
    <w:p w14:paraId="387272C3" w14:textId="77777777" w:rsidR="00790ADA" w:rsidRPr="002C57D2" w:rsidRDefault="00790ADA" w:rsidP="00441B6F">
      <w:pPr>
        <w:pStyle w:val="Body"/>
        <w:spacing w:after="0"/>
        <w:rPr>
          <w:rFonts w:ascii="Arial" w:hAnsi="Arial" w:cs="Arial"/>
        </w:rPr>
      </w:pPr>
    </w:p>
    <w:p w14:paraId="0B9DF620" w14:textId="1EFDDB0F" w:rsidR="004D4277" w:rsidRPr="00FB3A86" w:rsidRDefault="004D4277" w:rsidP="00441B6F">
      <w:pPr>
        <w:pStyle w:val="Appendix"/>
        <w:spacing w:after="0"/>
        <w:jc w:val="both"/>
        <w:rPr>
          <w:rFonts w:ascii="Arial" w:hAnsi="Arial" w:cs="Arial"/>
          <w:b w:val="0"/>
        </w:rPr>
        <w:sectPr w:rsidR="004D4277" w:rsidRPr="00FB3A86" w:rsidSect="00FA47D0">
          <w:headerReference w:type="even" r:id="rId95"/>
          <w:headerReference w:type="default" r:id="rId96"/>
          <w:footerReference w:type="default" r:id="rId97"/>
          <w:headerReference w:type="first" r:id="rId98"/>
          <w:type w:val="continuous"/>
          <w:pgSz w:w="12240" w:h="15840"/>
          <w:pgMar w:top="1440" w:right="2016" w:bottom="2016" w:left="2016" w:header="720" w:footer="1123" w:gutter="0"/>
          <w:cols w:space="720"/>
          <w:docGrid w:linePitch="272"/>
        </w:sectPr>
      </w:pPr>
    </w:p>
    <w:p w14:paraId="45F7D47C" w14:textId="77777777" w:rsidR="00B01FCD" w:rsidRPr="00FB3A86" w:rsidRDefault="00B01FCD" w:rsidP="00441B6F">
      <w:pPr>
        <w:pStyle w:val="Appendix"/>
        <w:spacing w:after="0"/>
        <w:jc w:val="both"/>
        <w:rPr>
          <w:rFonts w:ascii="Arial" w:hAnsi="Arial" w:cs="Arial"/>
          <w:b w:val="0"/>
        </w:rPr>
      </w:pPr>
    </w:p>
    <w:sectPr w:rsidR="00B01FCD" w:rsidRPr="00FB3A86" w:rsidSect="00FA47D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12E5" w14:textId="77777777" w:rsidR="008E7DDF" w:rsidRDefault="008E7DDF" w:rsidP="00C37E61">
      <w:r>
        <w:separator/>
      </w:r>
    </w:p>
  </w:endnote>
  <w:endnote w:type="continuationSeparator" w:id="0">
    <w:p w14:paraId="657F6B65" w14:textId="77777777" w:rsidR="008E7DDF" w:rsidRDefault="008E7DD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CC7F" w14:textId="77777777" w:rsidR="00FA47D0" w:rsidRDefault="00FA4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2A41" w14:textId="77777777" w:rsidR="00FA47D0" w:rsidRDefault="00FA47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5B5B" w14:textId="26191954" w:rsidR="00754C9A" w:rsidRPr="00FA47D0" w:rsidRDefault="00754C9A" w:rsidP="00FA47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5D7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BCA97" w14:textId="77777777" w:rsidR="008E7DDF" w:rsidRDefault="008E7DDF" w:rsidP="00C37E61">
      <w:r>
        <w:separator/>
      </w:r>
    </w:p>
  </w:footnote>
  <w:footnote w:type="continuationSeparator" w:id="0">
    <w:p w14:paraId="023B1861" w14:textId="77777777" w:rsidR="008E7DDF" w:rsidRDefault="008E7DD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AFC4" w14:textId="25DDA5AD" w:rsidR="00FA47D0" w:rsidRDefault="00000000">
    <w:pPr>
      <w:pStyle w:val="Header"/>
    </w:pPr>
    <w:r>
      <w:rPr>
        <w:noProof/>
      </w:rPr>
      <w:pict w14:anchorId="77AC3E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378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3E9B" w14:textId="62D59469" w:rsidR="00FA47D0" w:rsidRDefault="00000000">
    <w:pPr>
      <w:pStyle w:val="Header"/>
    </w:pPr>
    <w:r>
      <w:rPr>
        <w:noProof/>
      </w:rPr>
      <w:pict w14:anchorId="670FC3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378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9F3F" w14:textId="689B9F1B" w:rsidR="00296529" w:rsidRPr="00296529" w:rsidRDefault="00000000" w:rsidP="00296529">
    <w:pPr>
      <w:ind w:left="2160"/>
      <w:jc w:val="center"/>
      <w:rPr>
        <w:rFonts w:ascii="Times New Roman" w:eastAsia="Calibri" w:hAnsi="Times New Roman"/>
        <w:i/>
        <w:sz w:val="18"/>
        <w:szCs w:val="22"/>
      </w:rPr>
    </w:pPr>
    <w:r>
      <w:rPr>
        <w:noProof/>
      </w:rPr>
      <w:pict w14:anchorId="2C62E2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378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7BB352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3F2663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548386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EA89AE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54ADDA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425BAF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7637" w14:textId="69BC2B22" w:rsidR="00FA47D0" w:rsidRDefault="00000000">
    <w:pPr>
      <w:pStyle w:val="Header"/>
    </w:pPr>
    <w:r>
      <w:rPr>
        <w:noProof/>
      </w:rPr>
      <w:pict w14:anchorId="131A0E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378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1AFC" w14:textId="57AD155B" w:rsidR="00FA47D0" w:rsidRDefault="00000000">
    <w:pPr>
      <w:pStyle w:val="Header"/>
    </w:pPr>
    <w:r>
      <w:rPr>
        <w:noProof/>
      </w:rPr>
      <w:pict w14:anchorId="0B9B1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378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C4EA" w14:textId="1FD03C63" w:rsidR="00FA47D0" w:rsidRDefault="00000000">
    <w:pPr>
      <w:pStyle w:val="Header"/>
    </w:pPr>
    <w:r>
      <w:rPr>
        <w:noProof/>
      </w:rPr>
      <w:pict w14:anchorId="1AAAA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378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F06951"/>
    <w:multiLevelType w:val="multilevel"/>
    <w:tmpl w:val="4CD4B03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7A37CF7"/>
    <w:multiLevelType w:val="multilevel"/>
    <w:tmpl w:val="D4240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B836EE"/>
    <w:multiLevelType w:val="multilevel"/>
    <w:tmpl w:val="FF7A7052"/>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6B258C"/>
    <w:multiLevelType w:val="multilevel"/>
    <w:tmpl w:val="3D149CAE"/>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899962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64134348">
    <w:abstractNumId w:val="18"/>
  </w:num>
  <w:num w:numId="3" w16cid:durableId="586499531">
    <w:abstractNumId w:val="27"/>
  </w:num>
  <w:num w:numId="4" w16cid:durableId="65734878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44101449">
    <w:abstractNumId w:val="9"/>
  </w:num>
  <w:num w:numId="6" w16cid:durableId="399989603">
    <w:abstractNumId w:val="7"/>
  </w:num>
  <w:num w:numId="7" w16cid:durableId="79956060">
    <w:abstractNumId w:val="1"/>
  </w:num>
  <w:num w:numId="8" w16cid:durableId="52656783">
    <w:abstractNumId w:val="14"/>
  </w:num>
  <w:num w:numId="9" w16cid:durableId="1234468286">
    <w:abstractNumId w:val="29"/>
  </w:num>
  <w:num w:numId="10" w16cid:durableId="334306491">
    <w:abstractNumId w:val="2"/>
  </w:num>
  <w:num w:numId="11" w16cid:durableId="1589996154">
    <w:abstractNumId w:val="21"/>
  </w:num>
  <w:num w:numId="12" w16cid:durableId="846208692">
    <w:abstractNumId w:val="4"/>
  </w:num>
  <w:num w:numId="13" w16cid:durableId="2137214100">
    <w:abstractNumId w:val="20"/>
  </w:num>
  <w:num w:numId="14" w16cid:durableId="1705859707">
    <w:abstractNumId w:val="10"/>
  </w:num>
  <w:num w:numId="15" w16cid:durableId="427508431">
    <w:abstractNumId w:val="25"/>
  </w:num>
  <w:num w:numId="16" w16cid:durableId="1004167599">
    <w:abstractNumId w:val="6"/>
  </w:num>
  <w:num w:numId="17" w16cid:durableId="226302821">
    <w:abstractNumId w:val="26"/>
  </w:num>
  <w:num w:numId="18" w16cid:durableId="189337384">
    <w:abstractNumId w:val="17"/>
  </w:num>
  <w:num w:numId="19" w16cid:durableId="263920671">
    <w:abstractNumId w:val="32"/>
  </w:num>
  <w:num w:numId="20" w16cid:durableId="91627930">
    <w:abstractNumId w:val="13"/>
  </w:num>
  <w:num w:numId="21" w16cid:durableId="1063136575">
    <w:abstractNumId w:val="11"/>
  </w:num>
  <w:num w:numId="22" w16cid:durableId="77214621">
    <w:abstractNumId w:val="16"/>
  </w:num>
  <w:num w:numId="23" w16cid:durableId="8140889">
    <w:abstractNumId w:val="22"/>
  </w:num>
  <w:num w:numId="24" w16cid:durableId="1302005287">
    <w:abstractNumId w:val="30"/>
  </w:num>
  <w:num w:numId="25" w16cid:durableId="289672693">
    <w:abstractNumId w:val="5"/>
  </w:num>
  <w:num w:numId="26" w16cid:durableId="1440950704">
    <w:abstractNumId w:val="19"/>
  </w:num>
  <w:num w:numId="27" w16cid:durableId="1187214731">
    <w:abstractNumId w:val="23"/>
  </w:num>
  <w:num w:numId="28" w16cid:durableId="1192183885">
    <w:abstractNumId w:val="31"/>
  </w:num>
  <w:num w:numId="29" w16cid:durableId="347947334">
    <w:abstractNumId w:val="28"/>
  </w:num>
  <w:num w:numId="30" w16cid:durableId="806819703">
    <w:abstractNumId w:val="12"/>
  </w:num>
  <w:num w:numId="31" w16cid:durableId="1105925658">
    <w:abstractNumId w:val="8"/>
  </w:num>
  <w:num w:numId="32" w16cid:durableId="1431317351">
    <w:abstractNumId w:val="3"/>
  </w:num>
  <w:num w:numId="33" w16cid:durableId="114178814">
    <w:abstractNumId w:val="15"/>
  </w:num>
  <w:num w:numId="34" w16cid:durableId="3119118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KzMDQ0MTcytTQyNjBS0lEKTi0uzszPAykwqgUAVjHEbiwAAAA="/>
  </w:docVars>
  <w:rsids>
    <w:rsidRoot w:val="00AA6219"/>
    <w:rsid w:val="00000F8F"/>
    <w:rsid w:val="0001677F"/>
    <w:rsid w:val="00030174"/>
    <w:rsid w:val="00031094"/>
    <w:rsid w:val="000427B6"/>
    <w:rsid w:val="0004579C"/>
    <w:rsid w:val="00076D47"/>
    <w:rsid w:val="000811F3"/>
    <w:rsid w:val="0008510A"/>
    <w:rsid w:val="000916FE"/>
    <w:rsid w:val="000A47FA"/>
    <w:rsid w:val="000A65D3"/>
    <w:rsid w:val="000B1E33"/>
    <w:rsid w:val="000B2C0C"/>
    <w:rsid w:val="000B303F"/>
    <w:rsid w:val="000D5099"/>
    <w:rsid w:val="000D689F"/>
    <w:rsid w:val="000E7B7B"/>
    <w:rsid w:val="000E7D62"/>
    <w:rsid w:val="000F141E"/>
    <w:rsid w:val="00103357"/>
    <w:rsid w:val="00123C9F"/>
    <w:rsid w:val="00126190"/>
    <w:rsid w:val="00130F17"/>
    <w:rsid w:val="001320BF"/>
    <w:rsid w:val="00135CA2"/>
    <w:rsid w:val="001427EA"/>
    <w:rsid w:val="001433A5"/>
    <w:rsid w:val="001568DC"/>
    <w:rsid w:val="00163BC4"/>
    <w:rsid w:val="00191062"/>
    <w:rsid w:val="00192B72"/>
    <w:rsid w:val="001942CF"/>
    <w:rsid w:val="001A29D8"/>
    <w:rsid w:val="001A53E8"/>
    <w:rsid w:val="001A5CAA"/>
    <w:rsid w:val="001B0427"/>
    <w:rsid w:val="001B3A09"/>
    <w:rsid w:val="001B5C58"/>
    <w:rsid w:val="001D3A51"/>
    <w:rsid w:val="001E10D2"/>
    <w:rsid w:val="001E25B4"/>
    <w:rsid w:val="001E44FE"/>
    <w:rsid w:val="001E6497"/>
    <w:rsid w:val="00200595"/>
    <w:rsid w:val="00204835"/>
    <w:rsid w:val="00231920"/>
    <w:rsid w:val="0023195C"/>
    <w:rsid w:val="0024282C"/>
    <w:rsid w:val="002460DC"/>
    <w:rsid w:val="00250985"/>
    <w:rsid w:val="002556F6"/>
    <w:rsid w:val="00271E96"/>
    <w:rsid w:val="00283105"/>
    <w:rsid w:val="00284C4C"/>
    <w:rsid w:val="00287E68"/>
    <w:rsid w:val="00296529"/>
    <w:rsid w:val="002B27FB"/>
    <w:rsid w:val="002B685A"/>
    <w:rsid w:val="002C2936"/>
    <w:rsid w:val="002C57D2"/>
    <w:rsid w:val="002D3728"/>
    <w:rsid w:val="002E0D56"/>
    <w:rsid w:val="002E4BD1"/>
    <w:rsid w:val="002E74DD"/>
    <w:rsid w:val="00315186"/>
    <w:rsid w:val="0033343E"/>
    <w:rsid w:val="00340CA2"/>
    <w:rsid w:val="003512C2"/>
    <w:rsid w:val="00360F65"/>
    <w:rsid w:val="00371FB6"/>
    <w:rsid w:val="003763C1"/>
    <w:rsid w:val="00376BBE"/>
    <w:rsid w:val="00381B07"/>
    <w:rsid w:val="0038496C"/>
    <w:rsid w:val="0039224F"/>
    <w:rsid w:val="003A1EB7"/>
    <w:rsid w:val="003A43A4"/>
    <w:rsid w:val="003A7E18"/>
    <w:rsid w:val="003C4317"/>
    <w:rsid w:val="003C4C86"/>
    <w:rsid w:val="003C6258"/>
    <w:rsid w:val="003E2904"/>
    <w:rsid w:val="003E7BED"/>
    <w:rsid w:val="00401022"/>
    <w:rsid w:val="00401927"/>
    <w:rsid w:val="004038E3"/>
    <w:rsid w:val="00403E57"/>
    <w:rsid w:val="0041027F"/>
    <w:rsid w:val="00412475"/>
    <w:rsid w:val="004179F8"/>
    <w:rsid w:val="004209B6"/>
    <w:rsid w:val="00423789"/>
    <w:rsid w:val="0044055C"/>
    <w:rsid w:val="00440F43"/>
    <w:rsid w:val="00441A44"/>
    <w:rsid w:val="00441B6F"/>
    <w:rsid w:val="00446221"/>
    <w:rsid w:val="00450E62"/>
    <w:rsid w:val="004539DB"/>
    <w:rsid w:val="00471A80"/>
    <w:rsid w:val="0047534A"/>
    <w:rsid w:val="0049098A"/>
    <w:rsid w:val="004D305E"/>
    <w:rsid w:val="004D4277"/>
    <w:rsid w:val="004F6625"/>
    <w:rsid w:val="004F707C"/>
    <w:rsid w:val="005021EE"/>
    <w:rsid w:val="00502516"/>
    <w:rsid w:val="00505F06"/>
    <w:rsid w:val="00506828"/>
    <w:rsid w:val="00524961"/>
    <w:rsid w:val="0053056E"/>
    <w:rsid w:val="00554FDA"/>
    <w:rsid w:val="00562881"/>
    <w:rsid w:val="00572FE2"/>
    <w:rsid w:val="005A3F33"/>
    <w:rsid w:val="005C784C"/>
    <w:rsid w:val="005D17F6"/>
    <w:rsid w:val="005D69A9"/>
    <w:rsid w:val="005E19AA"/>
    <w:rsid w:val="005E5539"/>
    <w:rsid w:val="00602BF5"/>
    <w:rsid w:val="006139AE"/>
    <w:rsid w:val="00617FDD"/>
    <w:rsid w:val="00633614"/>
    <w:rsid w:val="00633F68"/>
    <w:rsid w:val="00636EB2"/>
    <w:rsid w:val="006375B8"/>
    <w:rsid w:val="006431F9"/>
    <w:rsid w:val="0066118A"/>
    <w:rsid w:val="0066510A"/>
    <w:rsid w:val="006723A0"/>
    <w:rsid w:val="00673F9F"/>
    <w:rsid w:val="00686953"/>
    <w:rsid w:val="00687DEA"/>
    <w:rsid w:val="00687E67"/>
    <w:rsid w:val="006967F7"/>
    <w:rsid w:val="006A250C"/>
    <w:rsid w:val="006B21D3"/>
    <w:rsid w:val="006B57D0"/>
    <w:rsid w:val="006C01DF"/>
    <w:rsid w:val="006D2A6A"/>
    <w:rsid w:val="006D30FF"/>
    <w:rsid w:val="006D44F4"/>
    <w:rsid w:val="006D6940"/>
    <w:rsid w:val="006D6DF8"/>
    <w:rsid w:val="006D7241"/>
    <w:rsid w:val="006E06B1"/>
    <w:rsid w:val="006E1949"/>
    <w:rsid w:val="006E5348"/>
    <w:rsid w:val="006F11EC"/>
    <w:rsid w:val="0070082C"/>
    <w:rsid w:val="00717FC6"/>
    <w:rsid w:val="00727C9D"/>
    <w:rsid w:val="00733765"/>
    <w:rsid w:val="007369E6"/>
    <w:rsid w:val="007378AB"/>
    <w:rsid w:val="00746E59"/>
    <w:rsid w:val="007536C7"/>
    <w:rsid w:val="00754C9A"/>
    <w:rsid w:val="0075599A"/>
    <w:rsid w:val="00761D52"/>
    <w:rsid w:val="0076736C"/>
    <w:rsid w:val="0077749E"/>
    <w:rsid w:val="00777A08"/>
    <w:rsid w:val="007860F3"/>
    <w:rsid w:val="00787098"/>
    <w:rsid w:val="00790ADA"/>
    <w:rsid w:val="007B0C47"/>
    <w:rsid w:val="007C46E8"/>
    <w:rsid w:val="007D2288"/>
    <w:rsid w:val="007E088F"/>
    <w:rsid w:val="007E3B6D"/>
    <w:rsid w:val="007E57BC"/>
    <w:rsid w:val="007F7B32"/>
    <w:rsid w:val="00800D25"/>
    <w:rsid w:val="008019CA"/>
    <w:rsid w:val="00804BC2"/>
    <w:rsid w:val="0081431A"/>
    <w:rsid w:val="0083004F"/>
    <w:rsid w:val="00830CF7"/>
    <w:rsid w:val="0083216F"/>
    <w:rsid w:val="00833BFF"/>
    <w:rsid w:val="00840567"/>
    <w:rsid w:val="00860000"/>
    <w:rsid w:val="00863BD3"/>
    <w:rsid w:val="008641ED"/>
    <w:rsid w:val="00864BF2"/>
    <w:rsid w:val="00866D66"/>
    <w:rsid w:val="008671C6"/>
    <w:rsid w:val="00875803"/>
    <w:rsid w:val="0088792B"/>
    <w:rsid w:val="00894324"/>
    <w:rsid w:val="00896F77"/>
    <w:rsid w:val="008B459E"/>
    <w:rsid w:val="008C5FC3"/>
    <w:rsid w:val="008D23EF"/>
    <w:rsid w:val="008E13AE"/>
    <w:rsid w:val="008E1506"/>
    <w:rsid w:val="008E5764"/>
    <w:rsid w:val="008E710C"/>
    <w:rsid w:val="008E7DDF"/>
    <w:rsid w:val="008F69D6"/>
    <w:rsid w:val="00901F72"/>
    <w:rsid w:val="00902823"/>
    <w:rsid w:val="00915CA6"/>
    <w:rsid w:val="00927834"/>
    <w:rsid w:val="00931A41"/>
    <w:rsid w:val="00940C2E"/>
    <w:rsid w:val="009500A6"/>
    <w:rsid w:val="00957C18"/>
    <w:rsid w:val="009600C8"/>
    <w:rsid w:val="009659BA"/>
    <w:rsid w:val="009713F3"/>
    <w:rsid w:val="00972F12"/>
    <w:rsid w:val="00983040"/>
    <w:rsid w:val="00995DB0"/>
    <w:rsid w:val="009B3FB9"/>
    <w:rsid w:val="009B64E1"/>
    <w:rsid w:val="009C2465"/>
    <w:rsid w:val="009D35A0"/>
    <w:rsid w:val="009D7EB7"/>
    <w:rsid w:val="009E048A"/>
    <w:rsid w:val="009E08E9"/>
    <w:rsid w:val="009E1525"/>
    <w:rsid w:val="009E3DB9"/>
    <w:rsid w:val="009E6E35"/>
    <w:rsid w:val="009F0EDA"/>
    <w:rsid w:val="00A03B96"/>
    <w:rsid w:val="00A05B19"/>
    <w:rsid w:val="00A06A21"/>
    <w:rsid w:val="00A1134E"/>
    <w:rsid w:val="00A24E7E"/>
    <w:rsid w:val="00A258C3"/>
    <w:rsid w:val="00A347C0"/>
    <w:rsid w:val="00A46669"/>
    <w:rsid w:val="00A51431"/>
    <w:rsid w:val="00A539AD"/>
    <w:rsid w:val="00A637EA"/>
    <w:rsid w:val="00A94063"/>
    <w:rsid w:val="00AA4544"/>
    <w:rsid w:val="00AA6219"/>
    <w:rsid w:val="00AA74E0"/>
    <w:rsid w:val="00AB703F"/>
    <w:rsid w:val="00AC63CE"/>
    <w:rsid w:val="00AC6BB8"/>
    <w:rsid w:val="00AD0C97"/>
    <w:rsid w:val="00AE008F"/>
    <w:rsid w:val="00AE50E5"/>
    <w:rsid w:val="00AE61D2"/>
    <w:rsid w:val="00AF041C"/>
    <w:rsid w:val="00AF2566"/>
    <w:rsid w:val="00B01FCD"/>
    <w:rsid w:val="00B12D49"/>
    <w:rsid w:val="00B1776C"/>
    <w:rsid w:val="00B17B85"/>
    <w:rsid w:val="00B478F2"/>
    <w:rsid w:val="00B52583"/>
    <w:rsid w:val="00B52896"/>
    <w:rsid w:val="00B81B2B"/>
    <w:rsid w:val="00B95236"/>
    <w:rsid w:val="00B96BD9"/>
    <w:rsid w:val="00BA1B01"/>
    <w:rsid w:val="00BA2641"/>
    <w:rsid w:val="00BB37AA"/>
    <w:rsid w:val="00BB4E18"/>
    <w:rsid w:val="00BB7C0C"/>
    <w:rsid w:val="00BC53A0"/>
    <w:rsid w:val="00BE17E2"/>
    <w:rsid w:val="00BE1D06"/>
    <w:rsid w:val="00BE34B2"/>
    <w:rsid w:val="00BE4593"/>
    <w:rsid w:val="00BE62AD"/>
    <w:rsid w:val="00BF121F"/>
    <w:rsid w:val="00BF1F80"/>
    <w:rsid w:val="00C166EF"/>
    <w:rsid w:val="00C17970"/>
    <w:rsid w:val="00C17EB0"/>
    <w:rsid w:val="00C27F5F"/>
    <w:rsid w:val="00C30A0F"/>
    <w:rsid w:val="00C34CC7"/>
    <w:rsid w:val="00C37E61"/>
    <w:rsid w:val="00C37F9E"/>
    <w:rsid w:val="00C61808"/>
    <w:rsid w:val="00C70F1B"/>
    <w:rsid w:val="00C71A47"/>
    <w:rsid w:val="00C7464C"/>
    <w:rsid w:val="00C85588"/>
    <w:rsid w:val="00CC63B0"/>
    <w:rsid w:val="00CD079B"/>
    <w:rsid w:val="00CD25F5"/>
    <w:rsid w:val="00CD6755"/>
    <w:rsid w:val="00CD6856"/>
    <w:rsid w:val="00CE0089"/>
    <w:rsid w:val="00CE793C"/>
    <w:rsid w:val="00CF0222"/>
    <w:rsid w:val="00CF193C"/>
    <w:rsid w:val="00D145E8"/>
    <w:rsid w:val="00D173F1"/>
    <w:rsid w:val="00D74CB0"/>
    <w:rsid w:val="00D8295D"/>
    <w:rsid w:val="00DA3BED"/>
    <w:rsid w:val="00DC2A65"/>
    <w:rsid w:val="00DD15CB"/>
    <w:rsid w:val="00DE15F0"/>
    <w:rsid w:val="00DE5663"/>
    <w:rsid w:val="00DE78AA"/>
    <w:rsid w:val="00E024AE"/>
    <w:rsid w:val="00E053D0"/>
    <w:rsid w:val="00E15994"/>
    <w:rsid w:val="00E2462F"/>
    <w:rsid w:val="00E3114E"/>
    <w:rsid w:val="00E31A70"/>
    <w:rsid w:val="00E34569"/>
    <w:rsid w:val="00E35B02"/>
    <w:rsid w:val="00E4298C"/>
    <w:rsid w:val="00E66496"/>
    <w:rsid w:val="00E66B35"/>
    <w:rsid w:val="00E66E10"/>
    <w:rsid w:val="00E769F6"/>
    <w:rsid w:val="00E81B18"/>
    <w:rsid w:val="00E8407C"/>
    <w:rsid w:val="00E84F3C"/>
    <w:rsid w:val="00E97851"/>
    <w:rsid w:val="00EA012C"/>
    <w:rsid w:val="00EB43CB"/>
    <w:rsid w:val="00EC24BF"/>
    <w:rsid w:val="00EC67BB"/>
    <w:rsid w:val="00EC6A55"/>
    <w:rsid w:val="00EC7603"/>
    <w:rsid w:val="00ED0288"/>
    <w:rsid w:val="00EE3BA1"/>
    <w:rsid w:val="00EE52CB"/>
    <w:rsid w:val="00EF581D"/>
    <w:rsid w:val="00EF7FD8"/>
    <w:rsid w:val="00F06F59"/>
    <w:rsid w:val="00F17988"/>
    <w:rsid w:val="00F411E2"/>
    <w:rsid w:val="00F469F0"/>
    <w:rsid w:val="00F53273"/>
    <w:rsid w:val="00F62823"/>
    <w:rsid w:val="00F755E4"/>
    <w:rsid w:val="00F77D02"/>
    <w:rsid w:val="00F87695"/>
    <w:rsid w:val="00F95521"/>
    <w:rsid w:val="00FA1AA6"/>
    <w:rsid w:val="00FA47D0"/>
    <w:rsid w:val="00FB3A86"/>
    <w:rsid w:val="00FC2922"/>
    <w:rsid w:val="00FC4E03"/>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3122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7534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47534A"/>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1A5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09/TSG.2012.2195686" TargetMode="External"/><Relationship Id="rId21" Type="http://schemas.openxmlformats.org/officeDocument/2006/relationships/hyperlink" Target="https://doi.org/10.1021/acsaem.3c00177" TargetMode="External"/><Relationship Id="rId42" Type="http://schemas.openxmlformats.org/officeDocument/2006/relationships/hyperlink" Target="https://doi.org/10.1016/j.solener.2013.08.016" TargetMode="External"/><Relationship Id="rId47" Type="http://schemas.openxmlformats.org/officeDocument/2006/relationships/hyperlink" Target="https://doi.org/10.1109/TIA.2018.2847674" TargetMode="External"/><Relationship Id="rId63" Type="http://schemas.openxmlformats.org/officeDocument/2006/relationships/hyperlink" Target="https://doi.org/10.3390/wevj15090381" TargetMode="External"/><Relationship Id="rId68" Type="http://schemas.openxmlformats.org/officeDocument/2006/relationships/hyperlink" Target="https://doi.org/10.3390/designs9020051" TargetMode="External"/><Relationship Id="rId84" Type="http://schemas.openxmlformats.org/officeDocument/2006/relationships/hyperlink" Target="https://doi.org/10.59287/icras.686" TargetMode="External"/><Relationship Id="rId89" Type="http://schemas.openxmlformats.org/officeDocument/2006/relationships/hyperlink" Target="https://doi.org/10.1016/j.epsr.2023.108945" TargetMode="External"/><Relationship Id="rId16" Type="http://schemas.openxmlformats.org/officeDocument/2006/relationships/image" Target="media/image3.jpeg"/><Relationship Id="rId11" Type="http://schemas.openxmlformats.org/officeDocument/2006/relationships/footer" Target="footer2.xml"/><Relationship Id="rId32" Type="http://schemas.openxmlformats.org/officeDocument/2006/relationships/hyperlink" Target="https://doi.org/10.1016/j.solener.2012.04.004" TargetMode="External"/><Relationship Id="rId37" Type="http://schemas.openxmlformats.org/officeDocument/2006/relationships/hyperlink" Target="https://doi.org/10.1016/j.renene.2023.119805" TargetMode="External"/><Relationship Id="rId53" Type="http://schemas.openxmlformats.org/officeDocument/2006/relationships/hyperlink" Target="https://doi.org/10.3390/su16219535" TargetMode="External"/><Relationship Id="rId58" Type="http://schemas.openxmlformats.org/officeDocument/2006/relationships/hyperlink" Target="https://doi.org/10.3390/math13060985" TargetMode="External"/><Relationship Id="rId74" Type="http://schemas.openxmlformats.org/officeDocument/2006/relationships/hyperlink" Target="https://www.ijisae.org/index.php/IJISAE/article/view/6601" TargetMode="External"/><Relationship Id="rId79" Type="http://schemas.openxmlformats.org/officeDocument/2006/relationships/hyperlink" Target="https://doi.org/10.3390/en11061351" TargetMode="External"/><Relationship Id="rId5" Type="http://schemas.openxmlformats.org/officeDocument/2006/relationships/webSettings" Target="webSettings.xml"/><Relationship Id="rId90" Type="http://schemas.openxmlformats.org/officeDocument/2006/relationships/hyperlink" Target="https://doi.org/10.3390/su16219555" TargetMode="External"/><Relationship Id="rId95" Type="http://schemas.openxmlformats.org/officeDocument/2006/relationships/header" Target="header4.xml"/><Relationship Id="rId22" Type="http://schemas.openxmlformats.org/officeDocument/2006/relationships/hyperlink" Target="https://doi.org/10.3390/en17235976" TargetMode="External"/><Relationship Id="rId27" Type="http://schemas.openxmlformats.org/officeDocument/2006/relationships/hyperlink" Target="https://doi.org/10.3390/en18082024" TargetMode="External"/><Relationship Id="rId43" Type="http://schemas.openxmlformats.org/officeDocument/2006/relationships/hyperlink" Target="https://doi.org/10.24018/ejece.2024.8.1.598" TargetMode="External"/><Relationship Id="rId48" Type="http://schemas.openxmlformats.org/officeDocument/2006/relationships/hyperlink" Target="https://doi.org/10.1016/B978-0-12-823793-9.00001-2" TargetMode="External"/><Relationship Id="rId64" Type="http://schemas.openxmlformats.org/officeDocument/2006/relationships/hyperlink" Target="https://doi.org/10.3390/batteries10110374" TargetMode="External"/><Relationship Id="rId69" Type="http://schemas.openxmlformats.org/officeDocument/2006/relationships/hyperlink" Target="https://doi.org/10.1109/TPWRS.2010.2100414" TargetMode="External"/><Relationship Id="rId80" Type="http://schemas.openxmlformats.org/officeDocument/2006/relationships/hyperlink" Target="https://doi.org/10.11591/ijece.v13i6.6079" TargetMode="External"/><Relationship Id="rId85" Type="http://schemas.openxmlformats.org/officeDocument/2006/relationships/hyperlink" Target="https://doi.org/10.3934/math.2024893"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yperlink" Target="https://doi.org/10.3390/app12041823" TargetMode="External"/><Relationship Id="rId33" Type="http://schemas.openxmlformats.org/officeDocument/2006/relationships/hyperlink" Target="https://doi.org/10.1109/CoDIT58514.2023.10284266" TargetMode="External"/><Relationship Id="rId38" Type="http://schemas.openxmlformats.org/officeDocument/2006/relationships/hyperlink" Target="https://doi.org/10.3390/su14116759" TargetMode="External"/><Relationship Id="rId46" Type="http://schemas.openxmlformats.org/officeDocument/2006/relationships/hyperlink" Target="https://doi.org/10.1016/j.rser.2013.08.055" TargetMode="External"/><Relationship Id="rId59" Type="http://schemas.openxmlformats.org/officeDocument/2006/relationships/hyperlink" Target="https://doi.org/10.1109/IECON.2015.7392838" TargetMode="External"/><Relationship Id="rId67" Type="http://schemas.openxmlformats.org/officeDocument/2006/relationships/hyperlink" Target="https://doi.org/10.1109/MSP.2012.2186531" TargetMode="External"/><Relationship Id="rId20" Type="http://schemas.openxmlformats.org/officeDocument/2006/relationships/hyperlink" Target="https://doi.org/10.3390/en18071724" TargetMode="External"/><Relationship Id="rId41" Type="http://schemas.openxmlformats.org/officeDocument/2006/relationships/hyperlink" Target="https://doi.org/10.3390/en16083362" TargetMode="External"/><Relationship Id="rId54" Type="http://schemas.openxmlformats.org/officeDocument/2006/relationships/hyperlink" Target="https://doi.org/10.3390/app10124186" TargetMode="External"/><Relationship Id="rId62" Type="http://schemas.openxmlformats.org/officeDocument/2006/relationships/hyperlink" Target="https://doi.org/10.1109/GUT.2012.6344193" TargetMode="External"/><Relationship Id="rId70" Type="http://schemas.openxmlformats.org/officeDocument/2006/relationships/hyperlink" Target="https://doi.org/10.3390/en12224317" TargetMode="External"/><Relationship Id="rId75" Type="http://schemas.openxmlformats.org/officeDocument/2006/relationships/hyperlink" Target="https://doi.org/10.3390/math10121989" TargetMode="External"/><Relationship Id="rId83" Type="http://schemas.openxmlformats.org/officeDocument/2006/relationships/hyperlink" Target="https://doi.org/10.20998/2074-272X.2022.1.06" TargetMode="External"/><Relationship Id="rId88" Type="http://schemas.openxmlformats.org/officeDocument/2006/relationships/hyperlink" Target="https://doi.org/10.1109/ACCESS.2021.3057659" TargetMode="External"/><Relationship Id="rId91" Type="http://schemas.openxmlformats.org/officeDocument/2006/relationships/hyperlink" Target="https://doi.org/10.3390/app142310933" TargetMode="External"/><Relationship Id="rId9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i.org/10.1016/j.sciaf.2023.e01552" TargetMode="External"/><Relationship Id="rId28" Type="http://schemas.openxmlformats.org/officeDocument/2006/relationships/hyperlink" Target="https://doi.org/10.3390/su15086366" TargetMode="External"/><Relationship Id="rId36" Type="http://schemas.openxmlformats.org/officeDocument/2006/relationships/hyperlink" Target="https://www.sandia.gov/ess-ssl/publications-library/" TargetMode="External"/><Relationship Id="rId49" Type="http://schemas.openxmlformats.org/officeDocument/2006/relationships/hyperlink" Target="https://doi.org/10.59287/ijanser.889" TargetMode="External"/><Relationship Id="rId57" Type="http://schemas.openxmlformats.org/officeDocument/2006/relationships/hyperlink" Target="https://doi.org/10.3390/en13143622" TargetMode="External"/><Relationship Id="rId10" Type="http://schemas.openxmlformats.org/officeDocument/2006/relationships/footer" Target="footer1.xml"/><Relationship Id="rId31" Type="http://schemas.openxmlformats.org/officeDocument/2006/relationships/hyperlink" Target="https://doi.org/10.1080/15435075.2025.2471987" TargetMode="External"/><Relationship Id="rId44" Type="http://schemas.openxmlformats.org/officeDocument/2006/relationships/hyperlink" Target="https://doi.org/10.1016/j.enconman.2019.111805" TargetMode="External"/><Relationship Id="rId52" Type="http://schemas.openxmlformats.org/officeDocument/2006/relationships/hyperlink" Target="https://doi.org/10.3390/en18071770" TargetMode="External"/><Relationship Id="rId60" Type="http://schemas.openxmlformats.org/officeDocument/2006/relationships/hyperlink" Target="https://doi.org/10.1016/j.energy.2022.124454" TargetMode="External"/><Relationship Id="rId65" Type="http://schemas.openxmlformats.org/officeDocument/2006/relationships/hyperlink" Target="https://doi.org/10.3390/en14133733" TargetMode="External"/><Relationship Id="rId73" Type="http://schemas.openxmlformats.org/officeDocument/2006/relationships/hyperlink" Target="https://doi.org/10.3390/en16227680" TargetMode="External"/><Relationship Id="rId78" Type="http://schemas.openxmlformats.org/officeDocument/2006/relationships/hyperlink" Target="https://doi.org/10.1109/ICEPET61938.2024.10626559" TargetMode="External"/><Relationship Id="rId81" Type="http://schemas.openxmlformats.org/officeDocument/2006/relationships/hyperlink" Target="https://doi.org/10.35940/ijeat.B3654.129219" TargetMode="External"/><Relationship Id="rId86" Type="http://schemas.openxmlformats.org/officeDocument/2006/relationships/hyperlink" Target="https://doi.org/10.1038/s41598-024-55099-1" TargetMode="External"/><Relationship Id="rId94" Type="http://schemas.openxmlformats.org/officeDocument/2006/relationships/hyperlink" Target="https://doi.org/10.1016/j.renene.2023.02.125"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5.png"/><Relationship Id="rId39" Type="http://schemas.openxmlformats.org/officeDocument/2006/relationships/hyperlink" Target="https://doi.org/10.3390/en16073077" TargetMode="External"/><Relationship Id="rId34" Type="http://schemas.openxmlformats.org/officeDocument/2006/relationships/hyperlink" Target="https://doi.org/10.1049/iet-rpg.2019.1136" TargetMode="External"/><Relationship Id="rId50" Type="http://schemas.openxmlformats.org/officeDocument/2006/relationships/hyperlink" Target="https://doi.org/10.3390/en16052206" TargetMode="External"/><Relationship Id="rId55" Type="http://schemas.openxmlformats.org/officeDocument/2006/relationships/hyperlink" Target="https://doi.org/10.3390/en15155684" TargetMode="External"/><Relationship Id="rId76" Type="http://schemas.openxmlformats.org/officeDocument/2006/relationships/hyperlink" Target="https://doi.org/10.3390/app14146214" TargetMode="External"/><Relationship Id="rId97"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doi.org/10.3390/su12145561" TargetMode="External"/><Relationship Id="rId92" Type="http://schemas.openxmlformats.org/officeDocument/2006/relationships/hyperlink" Target="https://doi.org/10.1016/j.apenergy.2025.125720" TargetMode="External"/><Relationship Id="rId2" Type="http://schemas.openxmlformats.org/officeDocument/2006/relationships/numbering" Target="numbering.xml"/><Relationship Id="rId29" Type="http://schemas.openxmlformats.org/officeDocument/2006/relationships/hyperlink" Target="https://doi.org/10.3390/electronics10172085" TargetMode="External"/><Relationship Id="rId24" Type="http://schemas.openxmlformats.org/officeDocument/2006/relationships/hyperlink" Target="https://doi.org/10.1109/TII.2023.3241682" TargetMode="External"/><Relationship Id="rId40" Type="http://schemas.openxmlformats.org/officeDocument/2006/relationships/hyperlink" Target="https://doi.org/10.1016/j.renene.2008.02.021" TargetMode="External"/><Relationship Id="rId45" Type="http://schemas.openxmlformats.org/officeDocument/2006/relationships/hyperlink" Target="https://doi.org/10.1109/ACCESS.2024.3420693" TargetMode="External"/><Relationship Id="rId66" Type="http://schemas.openxmlformats.org/officeDocument/2006/relationships/hyperlink" Target="https://doi.org/10.3390/s24113382" TargetMode="External"/><Relationship Id="rId87" Type="http://schemas.openxmlformats.org/officeDocument/2006/relationships/hyperlink" Target="https://arxiv.org/abs/XXXX.XXXXX" TargetMode="External"/><Relationship Id="rId61" Type="http://schemas.openxmlformats.org/officeDocument/2006/relationships/hyperlink" Target="https://doi.org/10.1016/j.ress.2020.106829" TargetMode="External"/><Relationship Id="rId82" Type="http://schemas.openxmlformats.org/officeDocument/2006/relationships/hyperlink" Target="https://doi.org/10.1109/PEDSTC.2010.5471786" TargetMode="External"/><Relationship Id="rId19" Type="http://schemas.openxmlformats.org/officeDocument/2006/relationships/image" Target="media/image6.png"/><Relationship Id="rId14" Type="http://schemas.openxmlformats.org/officeDocument/2006/relationships/image" Target="media/image1.jpeg"/><Relationship Id="rId30" Type="http://schemas.openxmlformats.org/officeDocument/2006/relationships/hyperlink" Target="https://doi.org/10.1109/TSG.2023.3237624" TargetMode="External"/><Relationship Id="rId35" Type="http://schemas.openxmlformats.org/officeDocument/2006/relationships/hyperlink" Target="https://doi.org/10.1109/TSTE.2012.2227640" TargetMode="External"/><Relationship Id="rId56" Type="http://schemas.openxmlformats.org/officeDocument/2006/relationships/hyperlink" Target="https://doi.org/10.3390/en10060742" TargetMode="External"/><Relationship Id="rId77" Type="http://schemas.openxmlformats.org/officeDocument/2006/relationships/hyperlink" Target="https://doi.org/10.3390/math11030525" TargetMode="External"/><Relationship Id="rId100"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doi.org/10.3390/electronics9020366" TargetMode="External"/><Relationship Id="rId72" Type="http://schemas.openxmlformats.org/officeDocument/2006/relationships/hyperlink" Target="https://doi.org/10.1115/ES2020-1641" TargetMode="External"/><Relationship Id="rId93" Type="http://schemas.openxmlformats.org/officeDocument/2006/relationships/hyperlink" Target="https://doi.org/10.3390/en18071848" TargetMode="External"/><Relationship Id="rId98"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13D13-83A4-4CA5-BFD8-76A54B828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973</TotalTime>
  <Pages>20</Pages>
  <Words>9527</Words>
  <Characters>54308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63708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Jeffrey Chuks</cp:lastModifiedBy>
  <cp:revision>45</cp:revision>
  <cp:lastPrinted>1999-07-06T11:00:00Z</cp:lastPrinted>
  <dcterms:created xsi:type="dcterms:W3CDTF">2025-05-27T12:06:00Z</dcterms:created>
  <dcterms:modified xsi:type="dcterms:W3CDTF">2025-06-01T11:25:00Z</dcterms:modified>
</cp:coreProperties>
</file>