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0D90" w14:textId="77777777" w:rsidR="00B20F27" w:rsidRPr="00B20F27" w:rsidRDefault="00B20F27" w:rsidP="00B20F27">
      <w:pPr>
        <w:spacing w:line="240" w:lineRule="auto"/>
        <w:jc w:val="center"/>
        <w:rPr>
          <w:rFonts w:ascii="Arial" w:hAnsi="Arial" w:cs="Arial"/>
          <w:b/>
          <w:bCs/>
          <w:i/>
          <w:iCs/>
          <w:sz w:val="36"/>
          <w:szCs w:val="36"/>
          <w:u w:val="single"/>
        </w:rPr>
      </w:pPr>
      <w:bookmarkStart w:id="0" w:name="_Hlk182526213"/>
      <w:r w:rsidRPr="00B20F27">
        <w:rPr>
          <w:rFonts w:ascii="Arial" w:hAnsi="Arial" w:cs="Arial"/>
          <w:b/>
          <w:bCs/>
          <w:i/>
          <w:iCs/>
          <w:sz w:val="36"/>
          <w:szCs w:val="36"/>
          <w:u w:val="single"/>
        </w:rPr>
        <w:t>Original Research Article</w:t>
      </w:r>
    </w:p>
    <w:p w14:paraId="351EE925" w14:textId="77777777" w:rsidR="00F0009F" w:rsidRPr="008E46F9" w:rsidRDefault="00F0009F" w:rsidP="00020154">
      <w:pPr>
        <w:spacing w:line="240" w:lineRule="auto"/>
        <w:jc w:val="center"/>
        <w:rPr>
          <w:rFonts w:ascii="Arial" w:hAnsi="Arial" w:cs="Arial"/>
          <w:b/>
          <w:bCs/>
          <w:sz w:val="36"/>
          <w:szCs w:val="36"/>
        </w:rPr>
      </w:pPr>
      <w:r w:rsidRPr="008E46F9">
        <w:rPr>
          <w:rFonts w:ascii="Arial" w:hAnsi="Arial" w:cs="Arial"/>
          <w:b/>
          <w:bCs/>
          <w:sz w:val="36"/>
          <w:szCs w:val="36"/>
        </w:rPr>
        <w:t>Exploring Financial Assistance and Aspirations of Students from Sylhet: The Role of Family Support</w:t>
      </w:r>
    </w:p>
    <w:p w14:paraId="347C21B7" w14:textId="77777777" w:rsidR="00B20F27" w:rsidRDefault="00B20F27" w:rsidP="00020154">
      <w:pPr>
        <w:spacing w:after="0" w:line="240" w:lineRule="auto"/>
        <w:ind w:left="360"/>
        <w:jc w:val="right"/>
        <w:rPr>
          <w:rFonts w:ascii="Arial" w:hAnsi="Arial" w:cs="Arial"/>
          <w:sz w:val="20"/>
          <w:szCs w:val="20"/>
        </w:rPr>
      </w:pPr>
    </w:p>
    <w:p w14:paraId="46C87957" w14:textId="77777777" w:rsidR="00F0009F" w:rsidRPr="008E46F9" w:rsidRDefault="00F0009F" w:rsidP="00020154">
      <w:pPr>
        <w:spacing w:after="0" w:line="240" w:lineRule="auto"/>
        <w:rPr>
          <w:rFonts w:ascii="Arial" w:hAnsi="Arial" w:cs="Arial"/>
          <w:sz w:val="24"/>
          <w:szCs w:val="24"/>
        </w:rPr>
      </w:pPr>
    </w:p>
    <w:p w14:paraId="13E3C989" w14:textId="6AD7CC05" w:rsidR="00F0009F" w:rsidRPr="008E46F9" w:rsidRDefault="008E46F9" w:rsidP="00731ED7">
      <w:pPr>
        <w:spacing w:after="0" w:line="360" w:lineRule="auto"/>
        <w:jc w:val="both"/>
        <w:rPr>
          <w:rFonts w:ascii="Arial" w:hAnsi="Arial" w:cs="Arial"/>
          <w:b/>
          <w:bCs/>
          <w:sz w:val="24"/>
          <w:szCs w:val="24"/>
        </w:rPr>
      </w:pPr>
      <w:r w:rsidRPr="008E46F9">
        <w:rPr>
          <w:rFonts w:ascii="Arial" w:hAnsi="Arial" w:cs="Arial"/>
          <w:b/>
          <w:bCs/>
          <w:sz w:val="24"/>
          <w:szCs w:val="24"/>
        </w:rPr>
        <w:t>ABSTRACT</w:t>
      </w:r>
    </w:p>
    <w:bookmarkEnd w:id="0"/>
    <w:p w14:paraId="079836FE" w14:textId="5831114A" w:rsidR="00E3047C" w:rsidRPr="00BC1842" w:rsidRDefault="000C19FA" w:rsidP="00E3047C">
      <w:pPr>
        <w:spacing w:after="0" w:line="240" w:lineRule="auto"/>
        <w:jc w:val="both"/>
        <w:rPr>
          <w:rFonts w:ascii="Arial" w:hAnsi="Arial" w:cs="Arial"/>
          <w:sz w:val="20"/>
          <w:szCs w:val="20"/>
        </w:rPr>
      </w:pPr>
      <w:r w:rsidRPr="00BC1842">
        <w:rPr>
          <w:rFonts w:ascii="Arial" w:hAnsi="Arial" w:cs="Arial"/>
          <w:sz w:val="20"/>
          <w:szCs w:val="20"/>
        </w:rPr>
        <w:t xml:space="preserve">This study explores the aspirations of individuals in Sylhet to study abroad, identifying their preferred countries and the underlying motivations for these choices. Furthermore, it examines the financial aspects of international education, analyzing typical budget allocations, the correlation between family background and financial capacity, and the strategies employed to manage expenses. </w:t>
      </w:r>
      <w:r w:rsidR="00D3177B" w:rsidRPr="00BC1842">
        <w:rPr>
          <w:rFonts w:ascii="Arial" w:hAnsi="Arial" w:cs="Arial"/>
          <w:sz w:val="20"/>
          <w:szCs w:val="20"/>
        </w:rPr>
        <w:t>This study collects data regarding the financial requirements of studying abroad, particularly focusing on the cost associated with the language test, enrollment cost in different courses and cost of going abroad. Primary data was collected using quantitative techniques, supplemented by in-depth interviews (IDIs), case studies, and document reviews. Data collection took place in Sylhet between June and October 2024, utilizing responses from six coa</w:t>
      </w:r>
      <w:r w:rsidR="004E30F0" w:rsidRPr="00BC1842">
        <w:rPr>
          <w:rFonts w:ascii="Arial" w:hAnsi="Arial" w:cs="Arial"/>
          <w:sz w:val="20"/>
          <w:szCs w:val="20"/>
        </w:rPr>
        <w:t>ching centers located in Modina</w:t>
      </w:r>
      <w:r w:rsidR="00D3177B" w:rsidRPr="00BC1842">
        <w:rPr>
          <w:rFonts w:ascii="Arial" w:hAnsi="Arial" w:cs="Arial"/>
          <w:sz w:val="20"/>
          <w:szCs w:val="20"/>
        </w:rPr>
        <w:t xml:space="preserve"> Market</w:t>
      </w:r>
      <w:r w:rsidR="004E30F0" w:rsidRPr="00BC1842">
        <w:rPr>
          <w:rFonts w:ascii="Arial" w:hAnsi="Arial" w:cs="Arial"/>
          <w:sz w:val="20"/>
          <w:szCs w:val="20"/>
        </w:rPr>
        <w:t xml:space="preserve">, </w:t>
      </w:r>
      <w:proofErr w:type="spellStart"/>
      <w:r w:rsidR="004E30F0" w:rsidRPr="00BC1842">
        <w:rPr>
          <w:rFonts w:ascii="Arial" w:hAnsi="Arial" w:cs="Arial"/>
          <w:sz w:val="20"/>
          <w:szCs w:val="20"/>
        </w:rPr>
        <w:t>Amborkhana</w:t>
      </w:r>
      <w:proofErr w:type="spellEnd"/>
      <w:r w:rsidR="004E30F0" w:rsidRPr="00BC1842">
        <w:rPr>
          <w:rFonts w:ascii="Arial" w:hAnsi="Arial" w:cs="Arial"/>
          <w:sz w:val="20"/>
          <w:szCs w:val="20"/>
        </w:rPr>
        <w:t xml:space="preserve">, </w:t>
      </w:r>
      <w:proofErr w:type="spellStart"/>
      <w:r w:rsidR="004E30F0" w:rsidRPr="00BC1842">
        <w:rPr>
          <w:rFonts w:ascii="Arial" w:hAnsi="Arial" w:cs="Arial"/>
          <w:sz w:val="20"/>
          <w:szCs w:val="20"/>
        </w:rPr>
        <w:t>Zindabazar</w:t>
      </w:r>
      <w:proofErr w:type="spellEnd"/>
      <w:r w:rsidR="004E30F0" w:rsidRPr="00BC1842">
        <w:rPr>
          <w:rFonts w:ascii="Arial" w:hAnsi="Arial" w:cs="Arial"/>
          <w:sz w:val="20"/>
          <w:szCs w:val="20"/>
        </w:rPr>
        <w:t xml:space="preserve">, and </w:t>
      </w:r>
      <w:proofErr w:type="spellStart"/>
      <w:r w:rsidR="004E30F0" w:rsidRPr="00BC1842">
        <w:rPr>
          <w:rFonts w:ascii="Arial" w:hAnsi="Arial" w:cs="Arial"/>
          <w:sz w:val="20"/>
          <w:szCs w:val="20"/>
        </w:rPr>
        <w:t>Uposhohor</w:t>
      </w:r>
      <w:proofErr w:type="spellEnd"/>
      <w:r w:rsidR="004E30F0" w:rsidRPr="00BC1842">
        <w:rPr>
          <w:rFonts w:ascii="Arial" w:hAnsi="Arial" w:cs="Arial"/>
          <w:sz w:val="20"/>
          <w:szCs w:val="20"/>
        </w:rPr>
        <w:t>, as well as online Google form.</w:t>
      </w:r>
    </w:p>
    <w:p w14:paraId="6D711EC5" w14:textId="544098B7" w:rsidR="004E30F0" w:rsidRDefault="004E30F0" w:rsidP="00E3047C">
      <w:pPr>
        <w:spacing w:after="0" w:line="240" w:lineRule="auto"/>
        <w:jc w:val="both"/>
        <w:rPr>
          <w:rFonts w:ascii="Arial" w:hAnsi="Arial" w:cs="Arial"/>
          <w:sz w:val="20"/>
          <w:szCs w:val="20"/>
        </w:rPr>
      </w:pPr>
      <w:r w:rsidRPr="00BC1842">
        <w:rPr>
          <w:rFonts w:ascii="Arial" w:hAnsi="Arial" w:cs="Arial"/>
          <w:sz w:val="20"/>
          <w:szCs w:val="20"/>
        </w:rPr>
        <w:t xml:space="preserve">A total of 190 respondents participated in data collection, </w:t>
      </w:r>
      <w:r w:rsidR="00B36889" w:rsidRPr="00BC1842">
        <w:rPr>
          <w:rFonts w:ascii="Arial" w:hAnsi="Arial" w:cs="Arial"/>
          <w:sz w:val="20"/>
          <w:szCs w:val="20"/>
        </w:rPr>
        <w:t>including</w:t>
      </w:r>
      <w:r w:rsidRPr="00BC1842">
        <w:rPr>
          <w:rFonts w:ascii="Arial" w:hAnsi="Arial" w:cs="Arial"/>
          <w:sz w:val="20"/>
          <w:szCs w:val="20"/>
        </w:rPr>
        <w:t xml:space="preserve"> 132 </w:t>
      </w:r>
      <w:r w:rsidR="00B36889" w:rsidRPr="00BC1842">
        <w:rPr>
          <w:rFonts w:ascii="Arial" w:hAnsi="Arial" w:cs="Arial"/>
          <w:sz w:val="20"/>
          <w:szCs w:val="20"/>
        </w:rPr>
        <w:t>candidates</w:t>
      </w:r>
      <w:r w:rsidRPr="00BC1842">
        <w:rPr>
          <w:rFonts w:ascii="Arial" w:hAnsi="Arial" w:cs="Arial"/>
          <w:sz w:val="20"/>
          <w:szCs w:val="20"/>
        </w:rPr>
        <w:t xml:space="preserve"> preparing for</w:t>
      </w:r>
      <w:r w:rsidR="00247303">
        <w:rPr>
          <w:rFonts w:ascii="Arial" w:hAnsi="Arial" w:cs="Arial"/>
          <w:sz w:val="20"/>
          <w:szCs w:val="20"/>
        </w:rPr>
        <w:t xml:space="preserve"> the</w:t>
      </w:r>
      <w:r w:rsidRPr="00BC1842">
        <w:rPr>
          <w:rFonts w:ascii="Arial" w:hAnsi="Arial" w:cs="Arial"/>
          <w:sz w:val="20"/>
          <w:szCs w:val="20"/>
        </w:rPr>
        <w:t xml:space="preserve"> IELTS examination. Following data screening, 14 responses were excluded due to incomplete information, while four participants were identified as retaking the test. For data classification and interpretation, MS Excel and STATA-16 </w:t>
      </w:r>
      <w:r w:rsidR="00427FFD" w:rsidRPr="00BC1842">
        <w:rPr>
          <w:rFonts w:ascii="Arial" w:hAnsi="Arial" w:cs="Arial"/>
          <w:sz w:val="20"/>
          <w:szCs w:val="20"/>
        </w:rPr>
        <w:t>were</w:t>
      </w:r>
      <w:r w:rsidRPr="00BC1842">
        <w:rPr>
          <w:rFonts w:ascii="Arial" w:hAnsi="Arial" w:cs="Arial"/>
          <w:sz w:val="20"/>
          <w:szCs w:val="20"/>
        </w:rPr>
        <w:t xml:space="preserve"> employed for data entry, cleaning, and tabular analysis and summary statistics</w:t>
      </w:r>
      <w:r w:rsidR="005D2867" w:rsidRPr="00BC1842">
        <w:rPr>
          <w:rFonts w:ascii="Arial" w:hAnsi="Arial" w:cs="Arial"/>
          <w:sz w:val="20"/>
          <w:szCs w:val="20"/>
        </w:rPr>
        <w:t>. The findings indicate that</w:t>
      </w:r>
      <w:r w:rsidR="007E5167" w:rsidRPr="00BC1842">
        <w:rPr>
          <w:rFonts w:ascii="Arial" w:hAnsi="Arial" w:cs="Arial"/>
          <w:sz w:val="20"/>
          <w:szCs w:val="20"/>
        </w:rPr>
        <w:t xml:space="preserve"> 86.93% of participants aspire to pursue higher education abroad, while 10.22% intend to seek employment opportunities overseas through</w:t>
      </w:r>
      <w:r w:rsidR="00247303">
        <w:rPr>
          <w:rFonts w:ascii="Arial" w:hAnsi="Arial" w:cs="Arial"/>
          <w:sz w:val="20"/>
          <w:szCs w:val="20"/>
        </w:rPr>
        <w:t xml:space="preserve"> the</w:t>
      </w:r>
      <w:r w:rsidR="007E5167" w:rsidRPr="00BC1842">
        <w:rPr>
          <w:rFonts w:ascii="Arial" w:hAnsi="Arial" w:cs="Arial"/>
          <w:sz w:val="20"/>
          <w:szCs w:val="20"/>
        </w:rPr>
        <w:t xml:space="preserve"> IELTS examination. The majority prefer destinations in Europe, with England being the most favored. The estimated budget for studying in Europe ranges from 11 to 15 lakh taka, whereas those seeking employment </w:t>
      </w:r>
      <w:r w:rsidR="00B36889" w:rsidRPr="00BC1842">
        <w:rPr>
          <w:rFonts w:ascii="Arial" w:hAnsi="Arial" w:cs="Arial"/>
          <w:sz w:val="20"/>
          <w:szCs w:val="20"/>
        </w:rPr>
        <w:t>opportunities</w:t>
      </w:r>
      <w:r w:rsidR="007E5167" w:rsidRPr="00BC1842">
        <w:rPr>
          <w:rFonts w:ascii="Arial" w:hAnsi="Arial" w:cs="Arial"/>
          <w:sz w:val="20"/>
          <w:szCs w:val="20"/>
        </w:rPr>
        <w:t xml:space="preserve"> require ap</w:t>
      </w:r>
      <w:r w:rsidR="00B36889" w:rsidRPr="00BC1842">
        <w:rPr>
          <w:rFonts w:ascii="Arial" w:hAnsi="Arial" w:cs="Arial"/>
          <w:sz w:val="20"/>
          <w:szCs w:val="20"/>
        </w:rPr>
        <w:t>proximately 21 to 25 lakh</w:t>
      </w:r>
      <w:r w:rsidR="00427FFD">
        <w:rPr>
          <w:rFonts w:ascii="Arial" w:hAnsi="Arial" w:cs="Arial"/>
          <w:sz w:val="20"/>
          <w:szCs w:val="20"/>
        </w:rPr>
        <w:t>s</w:t>
      </w:r>
      <w:r w:rsidR="00B36889" w:rsidRPr="00BC1842">
        <w:rPr>
          <w:rFonts w:ascii="Arial" w:hAnsi="Arial" w:cs="Arial"/>
          <w:sz w:val="20"/>
          <w:szCs w:val="20"/>
        </w:rPr>
        <w:t xml:space="preserve"> taka. Additionally, </w:t>
      </w:r>
      <w:r w:rsidR="00427FFD" w:rsidRPr="00BC1842">
        <w:rPr>
          <w:rFonts w:ascii="Arial" w:hAnsi="Arial" w:cs="Arial"/>
          <w:sz w:val="20"/>
          <w:szCs w:val="20"/>
        </w:rPr>
        <w:t>the results</w:t>
      </w:r>
      <w:r w:rsidR="00B36889" w:rsidRPr="00BC1842">
        <w:rPr>
          <w:rFonts w:ascii="Arial" w:hAnsi="Arial" w:cs="Arial"/>
          <w:sz w:val="20"/>
          <w:szCs w:val="20"/>
        </w:rPr>
        <w:t xml:space="preserve"> reveal that 60.23% of participants rely on financial support from their family members. Upon arrival in a foreign country, they face challenges related to language barriers and lack of technical skills, necessitating continued dependence on family assistance. Given that individuals from developing nations face significant financial constraints, the study emphasizes the burden placed on families in sustaining the necessary budget for international education, consequently, it recommends that prospective students proactively acquire comprehensive information and technical skills to facilitate informed decision making and optimize budget utilization. Moreover, the study suggests that </w:t>
      </w:r>
      <w:r w:rsidR="00676763" w:rsidRPr="00BC1842">
        <w:rPr>
          <w:rFonts w:ascii="Arial" w:hAnsi="Arial" w:cs="Arial"/>
          <w:sz w:val="20"/>
          <w:szCs w:val="20"/>
        </w:rPr>
        <w:t>governmental authorities revise financial policies to establish reliable terms and conditions for student loan access, ensuring affordability and financial security for aspiring international students.</w:t>
      </w:r>
    </w:p>
    <w:p w14:paraId="06282517" w14:textId="0ACA239C" w:rsidR="00D3177B" w:rsidRDefault="00D3177B" w:rsidP="00020154">
      <w:pPr>
        <w:spacing w:after="0" w:line="240" w:lineRule="auto"/>
        <w:jc w:val="both"/>
        <w:rPr>
          <w:rFonts w:ascii="Arial" w:hAnsi="Arial" w:cs="Arial"/>
          <w:b/>
          <w:bCs/>
        </w:rPr>
      </w:pPr>
    </w:p>
    <w:p w14:paraId="5869252D" w14:textId="78E4832B" w:rsidR="00D3177B" w:rsidRDefault="00D3177B" w:rsidP="00020154">
      <w:pPr>
        <w:spacing w:after="0" w:line="240" w:lineRule="auto"/>
        <w:jc w:val="both"/>
        <w:rPr>
          <w:rFonts w:ascii="Arial" w:hAnsi="Arial" w:cs="Arial"/>
          <w:b/>
          <w:bCs/>
        </w:rPr>
      </w:pPr>
    </w:p>
    <w:p w14:paraId="3776455C" w14:textId="5D0D0AEE" w:rsidR="00352C42" w:rsidRPr="00020154" w:rsidRDefault="00020154" w:rsidP="00020154">
      <w:pPr>
        <w:spacing w:after="0" w:line="240" w:lineRule="auto"/>
        <w:jc w:val="both"/>
        <w:rPr>
          <w:rFonts w:ascii="Arial" w:hAnsi="Arial" w:cs="Arial"/>
          <w:b/>
          <w:bCs/>
        </w:rPr>
      </w:pPr>
      <w:r w:rsidRPr="00020154">
        <w:rPr>
          <w:rFonts w:ascii="Arial" w:hAnsi="Arial" w:cs="Arial"/>
          <w:b/>
          <w:bCs/>
        </w:rPr>
        <w:t>1.</w:t>
      </w:r>
      <w:r>
        <w:rPr>
          <w:rFonts w:ascii="Arial" w:hAnsi="Arial" w:cs="Arial"/>
          <w:b/>
          <w:bCs/>
        </w:rPr>
        <w:t xml:space="preserve"> </w:t>
      </w:r>
      <w:r w:rsidR="00E3047C" w:rsidRPr="00020154">
        <w:rPr>
          <w:rFonts w:ascii="Arial" w:hAnsi="Arial" w:cs="Arial"/>
          <w:b/>
          <w:bCs/>
        </w:rPr>
        <w:t>INTRODUCTION</w:t>
      </w:r>
    </w:p>
    <w:p w14:paraId="332F3E23" w14:textId="366F933E" w:rsidR="00D3177B" w:rsidRDefault="00D3177B" w:rsidP="00E3047C">
      <w:pPr>
        <w:spacing w:after="0" w:line="240" w:lineRule="auto"/>
        <w:jc w:val="both"/>
        <w:rPr>
          <w:rFonts w:ascii="Arial" w:hAnsi="Arial" w:cs="Arial"/>
          <w:sz w:val="20"/>
          <w:szCs w:val="20"/>
        </w:rPr>
      </w:pPr>
    </w:p>
    <w:p w14:paraId="2787AD5F" w14:textId="793A43DA" w:rsidR="009E6FF4" w:rsidRPr="00E3047C" w:rsidRDefault="00D71052" w:rsidP="00E3047C">
      <w:pPr>
        <w:spacing w:after="0" w:line="240" w:lineRule="auto"/>
        <w:jc w:val="both"/>
        <w:rPr>
          <w:rFonts w:ascii="Arial" w:hAnsi="Arial" w:cs="Arial"/>
          <w:sz w:val="20"/>
          <w:szCs w:val="20"/>
        </w:rPr>
      </w:pPr>
      <w:r w:rsidRPr="00B9083D">
        <w:rPr>
          <w:rFonts w:ascii="Arial" w:hAnsi="Arial" w:cs="Arial"/>
          <w:sz w:val="20"/>
          <w:szCs w:val="20"/>
        </w:rPr>
        <w:t>Sylhet</w:t>
      </w:r>
      <w:r w:rsidR="00B9083D">
        <w:rPr>
          <w:rFonts w:ascii="Arial" w:hAnsi="Arial" w:cs="Arial"/>
          <w:sz w:val="20"/>
          <w:szCs w:val="20"/>
        </w:rPr>
        <w:t xml:space="preserve">, </w:t>
      </w:r>
      <w:r w:rsidRPr="00B9083D">
        <w:rPr>
          <w:rFonts w:ascii="Arial" w:hAnsi="Arial" w:cs="Arial"/>
          <w:sz w:val="20"/>
          <w:szCs w:val="20"/>
        </w:rPr>
        <w:t>a</w:t>
      </w:r>
      <w:r w:rsidR="00B9083D">
        <w:rPr>
          <w:rFonts w:ascii="Arial" w:hAnsi="Arial" w:cs="Arial"/>
          <w:sz w:val="20"/>
          <w:szCs w:val="20"/>
        </w:rPr>
        <w:t xml:space="preserve"> vibrant</w:t>
      </w:r>
      <w:r w:rsidRPr="00B9083D">
        <w:rPr>
          <w:rFonts w:ascii="Arial" w:hAnsi="Arial" w:cs="Arial"/>
          <w:sz w:val="20"/>
          <w:szCs w:val="20"/>
        </w:rPr>
        <w:t xml:space="preserve"> metropolitan city in northeastern Bangladesh</w:t>
      </w:r>
      <w:r w:rsidR="00B9083D">
        <w:rPr>
          <w:rFonts w:ascii="Arial" w:hAnsi="Arial" w:cs="Arial"/>
          <w:sz w:val="20"/>
          <w:szCs w:val="20"/>
        </w:rPr>
        <w:t>,</w:t>
      </w:r>
      <w:r w:rsidRPr="00B9083D">
        <w:rPr>
          <w:rFonts w:ascii="Arial" w:hAnsi="Arial" w:cs="Arial"/>
          <w:sz w:val="20"/>
          <w:szCs w:val="20"/>
        </w:rPr>
        <w:t xml:space="preserve"> </w:t>
      </w:r>
      <w:r w:rsidR="00B9083D">
        <w:rPr>
          <w:rFonts w:ascii="Arial" w:hAnsi="Arial" w:cs="Arial"/>
          <w:sz w:val="20"/>
          <w:szCs w:val="20"/>
        </w:rPr>
        <w:t>ranks as the country’s</w:t>
      </w:r>
      <w:r w:rsidRPr="00B9083D">
        <w:rPr>
          <w:rFonts w:ascii="Arial" w:hAnsi="Arial" w:cs="Arial"/>
          <w:sz w:val="20"/>
          <w:szCs w:val="20"/>
        </w:rPr>
        <w:t xml:space="preserve"> fifth largest city</w:t>
      </w:r>
      <w:r w:rsidR="00B9083D">
        <w:rPr>
          <w:rFonts w:ascii="Arial" w:hAnsi="Arial" w:cs="Arial"/>
          <w:sz w:val="20"/>
          <w:szCs w:val="20"/>
        </w:rPr>
        <w:t>.</w:t>
      </w:r>
      <w:r w:rsidRPr="00B9083D">
        <w:rPr>
          <w:rFonts w:ascii="Arial" w:hAnsi="Arial" w:cs="Arial"/>
          <w:sz w:val="20"/>
          <w:szCs w:val="20"/>
        </w:rPr>
        <w:t xml:space="preserve"> </w:t>
      </w:r>
      <w:r w:rsidR="00B9083D">
        <w:rPr>
          <w:rFonts w:ascii="Arial" w:hAnsi="Arial" w:cs="Arial"/>
          <w:sz w:val="20"/>
          <w:szCs w:val="20"/>
        </w:rPr>
        <w:t>It plays a crucial role in Bangladesh’s economy, boasting abundant natural resources, including oil, gas, limestone, sand, gravel, and peat coal.</w:t>
      </w:r>
      <w:r w:rsidRPr="00E3047C">
        <w:rPr>
          <w:rFonts w:ascii="Arial" w:hAnsi="Arial" w:cs="Arial"/>
          <w:sz w:val="20"/>
          <w:szCs w:val="20"/>
        </w:rPr>
        <w:t xml:space="preserve"> Its oil and gas reserves play a crucial role in meeting the country’s energy requirements. </w:t>
      </w:r>
      <w:r w:rsidR="00B9083D">
        <w:rPr>
          <w:rFonts w:ascii="Arial" w:hAnsi="Arial" w:cs="Arial"/>
          <w:sz w:val="20"/>
          <w:szCs w:val="20"/>
        </w:rPr>
        <w:t xml:space="preserve">The energy sector of the city significantly contributes to meeting national </w:t>
      </w:r>
      <w:r w:rsidR="00DE1260">
        <w:rPr>
          <w:rFonts w:ascii="Arial" w:hAnsi="Arial" w:cs="Arial"/>
          <w:sz w:val="20"/>
          <w:szCs w:val="20"/>
        </w:rPr>
        <w:t>demands. Sylhet</w:t>
      </w:r>
      <w:r w:rsidR="00B9083D">
        <w:rPr>
          <w:rFonts w:ascii="Arial" w:hAnsi="Arial" w:cs="Arial"/>
          <w:sz w:val="20"/>
          <w:szCs w:val="20"/>
        </w:rPr>
        <w:t xml:space="preserve"> is also known for its </w:t>
      </w:r>
      <w:r w:rsidR="00DE1260">
        <w:rPr>
          <w:rFonts w:ascii="Arial" w:hAnsi="Arial" w:cs="Arial"/>
          <w:sz w:val="20"/>
          <w:szCs w:val="20"/>
        </w:rPr>
        <w:t>thriving industries, such as tea production, core crafts, fertilizers, and liquid petroleum gas. Additionally, the city is distinguished by its strong diaspora connections, with many residents seeking education abroad, reflecting their global aspirations and the local socioeconomic landscape.</w:t>
      </w:r>
      <w:r w:rsidR="00B9083D">
        <w:rPr>
          <w:rFonts w:ascii="Arial" w:hAnsi="Arial" w:cs="Arial"/>
          <w:sz w:val="20"/>
          <w:szCs w:val="20"/>
        </w:rPr>
        <w:t xml:space="preserve"> </w:t>
      </w:r>
      <w:r w:rsidRPr="00E3047C">
        <w:rPr>
          <w:rFonts w:ascii="Arial" w:hAnsi="Arial" w:cs="Arial"/>
          <w:sz w:val="20"/>
          <w:szCs w:val="20"/>
        </w:rPr>
        <w:t xml:space="preserve"> Remittances are a significant source of revenue for a country, contributing substantially to its economic growth and development. In recent years, remittance inflows have played a vital role in sustaining economic stability, especially amid global economic uncertainties and domestic challenges. According to Bangladesh Bank statistics, in August 2024, the Dhaka division received the highest remittance inflows, </w:t>
      </w:r>
      <w:r w:rsidR="00656DDD" w:rsidRPr="00E3047C">
        <w:rPr>
          <w:rFonts w:ascii="Arial" w:hAnsi="Arial" w:cs="Arial"/>
          <w:sz w:val="20"/>
          <w:szCs w:val="20"/>
        </w:rPr>
        <w:t>total</w:t>
      </w:r>
      <w:r w:rsidR="00656DDD">
        <w:rPr>
          <w:rFonts w:ascii="Arial" w:hAnsi="Arial" w:cs="Arial"/>
          <w:sz w:val="20"/>
          <w:szCs w:val="20"/>
        </w:rPr>
        <w:t>i</w:t>
      </w:r>
      <w:r w:rsidR="00656DDD" w:rsidRPr="00E3047C">
        <w:rPr>
          <w:rFonts w:ascii="Arial" w:hAnsi="Arial" w:cs="Arial"/>
          <w:sz w:val="20"/>
          <w:szCs w:val="20"/>
        </w:rPr>
        <w:t>ng</w:t>
      </w:r>
      <w:r w:rsidRPr="00E3047C">
        <w:rPr>
          <w:rFonts w:ascii="Arial" w:hAnsi="Arial" w:cs="Arial"/>
          <w:sz w:val="20"/>
          <w:szCs w:val="20"/>
        </w:rPr>
        <w:t xml:space="preserve"> USD 1,072.7 million, accounting for 48.23% of the overall remittance. Chittagong division ranked second with USD 610.8 million, representing 27.46%</w:t>
      </w:r>
      <w:r w:rsidR="00656DDD">
        <w:rPr>
          <w:rFonts w:ascii="Arial" w:hAnsi="Arial" w:cs="Arial"/>
          <w:sz w:val="20"/>
          <w:szCs w:val="20"/>
        </w:rPr>
        <w:t>,</w:t>
      </w:r>
      <w:r w:rsidRPr="00E3047C">
        <w:rPr>
          <w:rFonts w:ascii="Arial" w:hAnsi="Arial" w:cs="Arial"/>
          <w:sz w:val="20"/>
          <w:szCs w:val="20"/>
        </w:rPr>
        <w:t xml:space="preserve"> and the third position is Sylhet division, which amounted to USD 202.4 million</w:t>
      </w:r>
      <w:r w:rsidR="00656DDD">
        <w:rPr>
          <w:rFonts w:ascii="Arial" w:hAnsi="Arial" w:cs="Arial"/>
          <w:sz w:val="20"/>
          <w:szCs w:val="20"/>
        </w:rPr>
        <w:t>,</w:t>
      </w:r>
      <w:r w:rsidRPr="00E3047C">
        <w:rPr>
          <w:rFonts w:ascii="Arial" w:hAnsi="Arial" w:cs="Arial"/>
          <w:sz w:val="20"/>
          <w:szCs w:val="20"/>
        </w:rPr>
        <w:t xml:space="preserve"> which is 9.10% of total remittance inflows. The consistent inflow of remittances has played a stabilizing role, helping to alleviate poverty, enhance living standards, and promote regional development. </w:t>
      </w:r>
      <w:r w:rsidRPr="00E3047C">
        <w:rPr>
          <w:rFonts w:ascii="Arial" w:hAnsi="Arial" w:cs="Arial"/>
          <w:sz w:val="20"/>
          <w:szCs w:val="20"/>
        </w:rPr>
        <w:lastRenderedPageBreak/>
        <w:t>The aspiration to pursue higher education abroad has become notable in many developing regions</w:t>
      </w:r>
      <w:r w:rsidR="0032753B">
        <w:rPr>
          <w:rFonts w:ascii="Arial" w:hAnsi="Arial" w:cs="Arial"/>
          <w:sz w:val="20"/>
          <w:szCs w:val="20"/>
        </w:rPr>
        <w:t>,</w:t>
      </w:r>
      <w:r w:rsidRPr="00E3047C">
        <w:rPr>
          <w:rFonts w:ascii="Arial" w:hAnsi="Arial" w:cs="Arial"/>
          <w:sz w:val="20"/>
          <w:szCs w:val="20"/>
        </w:rPr>
        <w:t xml:space="preserve"> including Bangladesh. As a result, more people are pursuing opportunities to study and work abroad, with expatriate family members playing a key role in helping them achieve their aspirations.</w:t>
      </w:r>
    </w:p>
    <w:p w14:paraId="67235E80" w14:textId="1CF8847D" w:rsidR="00D71052" w:rsidRPr="00E3047C" w:rsidRDefault="00D71052" w:rsidP="00E3047C">
      <w:pPr>
        <w:spacing w:after="0" w:line="240" w:lineRule="auto"/>
        <w:jc w:val="both"/>
        <w:rPr>
          <w:rFonts w:ascii="Arial" w:hAnsi="Arial" w:cs="Arial"/>
          <w:sz w:val="20"/>
          <w:szCs w:val="20"/>
        </w:rPr>
      </w:pPr>
      <w:r w:rsidRPr="00E3047C">
        <w:rPr>
          <w:rFonts w:ascii="Arial" w:hAnsi="Arial" w:cs="Arial"/>
          <w:sz w:val="20"/>
          <w:szCs w:val="20"/>
        </w:rPr>
        <w:t xml:space="preserve">Studying abroad is a gateway to better career opportunities, </w:t>
      </w:r>
      <w:r w:rsidR="0032753B" w:rsidRPr="00E3047C">
        <w:rPr>
          <w:rFonts w:ascii="Arial" w:hAnsi="Arial" w:cs="Arial"/>
          <w:sz w:val="20"/>
          <w:szCs w:val="20"/>
        </w:rPr>
        <w:t>enhance</w:t>
      </w:r>
      <w:r w:rsidRPr="00E3047C">
        <w:rPr>
          <w:rFonts w:ascii="Arial" w:hAnsi="Arial" w:cs="Arial"/>
          <w:sz w:val="20"/>
          <w:szCs w:val="20"/>
        </w:rPr>
        <w:t xml:space="preserve"> academic experiences, and </w:t>
      </w:r>
      <w:r w:rsidR="0032753B" w:rsidRPr="00E3047C">
        <w:rPr>
          <w:rFonts w:ascii="Arial" w:hAnsi="Arial" w:cs="Arial"/>
          <w:sz w:val="20"/>
          <w:szCs w:val="20"/>
        </w:rPr>
        <w:t>broaden</w:t>
      </w:r>
      <w:r w:rsidRPr="00E3047C">
        <w:rPr>
          <w:rFonts w:ascii="Arial" w:hAnsi="Arial" w:cs="Arial"/>
          <w:sz w:val="20"/>
          <w:szCs w:val="20"/>
        </w:rPr>
        <w:t xml:space="preserve"> social and cultural exposure. Family members abroad often provide financial support to cover tuition fees, accommodation, and daily expenses. In some cases, family members act as sponsors</w:t>
      </w:r>
      <w:r w:rsidR="0032753B">
        <w:rPr>
          <w:rFonts w:ascii="Arial" w:hAnsi="Arial" w:cs="Arial"/>
          <w:sz w:val="20"/>
          <w:szCs w:val="20"/>
        </w:rPr>
        <w:t>,</w:t>
      </w:r>
      <w:r w:rsidRPr="00E3047C">
        <w:rPr>
          <w:rFonts w:ascii="Arial" w:hAnsi="Arial" w:cs="Arial"/>
          <w:sz w:val="20"/>
          <w:szCs w:val="20"/>
        </w:rPr>
        <w:t xml:space="preserve"> providing financial guarantees required by universities and immigration authorities. They can share insights about the local culture, lifestyle, and expectations, information about the education system, and find affordable and safe accommodation. </w:t>
      </w:r>
    </w:p>
    <w:p w14:paraId="7111A606" w14:textId="1E4F535A" w:rsidR="00D71052" w:rsidRPr="00E3047C" w:rsidRDefault="00D71052" w:rsidP="00E3047C">
      <w:pPr>
        <w:spacing w:after="0" w:line="240" w:lineRule="auto"/>
        <w:jc w:val="both"/>
        <w:rPr>
          <w:rFonts w:ascii="Arial" w:hAnsi="Arial" w:cs="Arial"/>
          <w:sz w:val="20"/>
          <w:szCs w:val="20"/>
        </w:rPr>
      </w:pPr>
      <w:r w:rsidRPr="00E3047C">
        <w:rPr>
          <w:rFonts w:ascii="Arial" w:hAnsi="Arial" w:cs="Arial"/>
          <w:sz w:val="20"/>
          <w:szCs w:val="20"/>
        </w:rPr>
        <w:t xml:space="preserve">By providing this support to family members significantly eases the transition for students pursuing higher education overseas and contributes to their academic success. There is a lack of comprehensive research on the financial challenges and uncertainties students face in selecting a country </w:t>
      </w:r>
      <w:r w:rsidR="00283503" w:rsidRPr="00E3047C">
        <w:rPr>
          <w:rFonts w:ascii="Arial" w:hAnsi="Arial" w:cs="Arial"/>
          <w:sz w:val="20"/>
          <w:szCs w:val="20"/>
        </w:rPr>
        <w:t>to</w:t>
      </w:r>
      <w:r w:rsidRPr="00E3047C">
        <w:rPr>
          <w:rFonts w:ascii="Arial" w:hAnsi="Arial" w:cs="Arial"/>
          <w:sz w:val="20"/>
          <w:szCs w:val="20"/>
        </w:rPr>
        <w:t xml:space="preserve"> study, as well as the role of family members in helping to resolve these issues. </w:t>
      </w:r>
    </w:p>
    <w:p w14:paraId="2A7200A9" w14:textId="5B2454C3" w:rsidR="00905768" w:rsidRPr="00E3047C" w:rsidRDefault="00D71052" w:rsidP="00E3047C">
      <w:pPr>
        <w:spacing w:line="240" w:lineRule="auto"/>
        <w:jc w:val="both"/>
        <w:rPr>
          <w:rFonts w:ascii="Arial" w:hAnsi="Arial" w:cs="Arial"/>
          <w:sz w:val="20"/>
          <w:szCs w:val="20"/>
        </w:rPr>
      </w:pPr>
      <w:r w:rsidRPr="00E3047C">
        <w:rPr>
          <w:rFonts w:ascii="Arial" w:hAnsi="Arial" w:cs="Arial"/>
          <w:sz w:val="20"/>
          <w:szCs w:val="20"/>
        </w:rPr>
        <w:t>This study aims to examine the motivations driving people from Sylhet to pursue education overseas, focusing on their preferred destination countries or continents</w:t>
      </w:r>
      <w:r w:rsidR="00EE797A" w:rsidRPr="00E3047C">
        <w:rPr>
          <w:rFonts w:ascii="Arial" w:hAnsi="Arial" w:cs="Arial"/>
          <w:sz w:val="20"/>
          <w:szCs w:val="20"/>
        </w:rPr>
        <w:t xml:space="preserve">, </w:t>
      </w:r>
      <w:r w:rsidR="00283503" w:rsidRPr="00E3047C">
        <w:rPr>
          <w:rFonts w:ascii="Arial" w:hAnsi="Arial" w:cs="Arial"/>
          <w:sz w:val="20"/>
          <w:szCs w:val="20"/>
        </w:rPr>
        <w:t>reasons</w:t>
      </w:r>
      <w:r w:rsidR="00EE797A" w:rsidRPr="00E3047C">
        <w:rPr>
          <w:rFonts w:ascii="Arial" w:hAnsi="Arial" w:cs="Arial"/>
          <w:sz w:val="20"/>
          <w:szCs w:val="20"/>
        </w:rPr>
        <w:t xml:space="preserve"> to leave their home country</w:t>
      </w:r>
      <w:r w:rsidRPr="00E3047C">
        <w:rPr>
          <w:rFonts w:ascii="Arial" w:hAnsi="Arial" w:cs="Arial"/>
          <w:sz w:val="20"/>
          <w:szCs w:val="20"/>
        </w:rPr>
        <w:t xml:space="preserve"> and</w:t>
      </w:r>
      <w:r w:rsidR="00EE797A" w:rsidRPr="00E3047C">
        <w:rPr>
          <w:rFonts w:ascii="Arial" w:hAnsi="Arial" w:cs="Arial"/>
          <w:sz w:val="20"/>
          <w:szCs w:val="20"/>
        </w:rPr>
        <w:t xml:space="preserve"> how much budget participants typically have</w:t>
      </w:r>
      <w:r w:rsidR="00905768" w:rsidRPr="00E3047C">
        <w:rPr>
          <w:rFonts w:ascii="Arial" w:hAnsi="Arial" w:cs="Arial"/>
          <w:sz w:val="20"/>
          <w:szCs w:val="20"/>
        </w:rPr>
        <w:t>,</w:t>
      </w:r>
      <w:r w:rsidR="0032753B">
        <w:rPr>
          <w:rFonts w:ascii="Arial" w:hAnsi="Arial" w:cs="Arial"/>
          <w:sz w:val="20"/>
          <w:szCs w:val="20"/>
        </w:rPr>
        <w:t xml:space="preserve"> and</w:t>
      </w:r>
      <w:r w:rsidR="00EE797A" w:rsidRPr="00E3047C">
        <w:rPr>
          <w:rFonts w:ascii="Arial" w:hAnsi="Arial" w:cs="Arial"/>
          <w:sz w:val="20"/>
          <w:szCs w:val="20"/>
        </w:rPr>
        <w:t xml:space="preserve"> whether there is a relationship between their family background and</w:t>
      </w:r>
      <w:r w:rsidR="00905768" w:rsidRPr="00E3047C">
        <w:rPr>
          <w:rFonts w:ascii="Arial" w:hAnsi="Arial" w:cs="Arial"/>
          <w:sz w:val="20"/>
          <w:szCs w:val="20"/>
        </w:rPr>
        <w:t xml:space="preserve"> their</w:t>
      </w:r>
      <w:r w:rsidR="00EE797A" w:rsidRPr="00E3047C">
        <w:rPr>
          <w:rFonts w:ascii="Arial" w:hAnsi="Arial" w:cs="Arial"/>
          <w:sz w:val="20"/>
          <w:szCs w:val="20"/>
        </w:rPr>
        <w:t xml:space="preserve"> budget. Also explore whether they face challenges in managing these costs</w:t>
      </w:r>
      <w:r w:rsidR="00905768" w:rsidRPr="00E3047C">
        <w:rPr>
          <w:rFonts w:ascii="Arial" w:hAnsi="Arial" w:cs="Arial"/>
          <w:sz w:val="20"/>
          <w:szCs w:val="20"/>
        </w:rPr>
        <w:t xml:space="preserve"> and how they address these challenges</w:t>
      </w:r>
      <w:r w:rsidR="00EE797A" w:rsidRPr="00E3047C">
        <w:rPr>
          <w:rFonts w:ascii="Arial" w:hAnsi="Arial" w:cs="Arial"/>
          <w:sz w:val="20"/>
          <w:szCs w:val="20"/>
        </w:rPr>
        <w:t xml:space="preserve">. </w:t>
      </w:r>
    </w:p>
    <w:p w14:paraId="2F1002B3" w14:textId="58920DEC" w:rsidR="00352C42" w:rsidRPr="00E3047C" w:rsidRDefault="00E3047C" w:rsidP="00731ED7">
      <w:pPr>
        <w:spacing w:after="0" w:line="360" w:lineRule="auto"/>
        <w:jc w:val="both"/>
        <w:rPr>
          <w:rFonts w:ascii="Arial" w:hAnsi="Arial" w:cs="Arial"/>
          <w:b/>
          <w:bCs/>
        </w:rPr>
      </w:pPr>
      <w:r w:rsidRPr="00E3047C">
        <w:rPr>
          <w:rFonts w:ascii="Arial" w:hAnsi="Arial" w:cs="Arial"/>
          <w:b/>
          <w:bCs/>
        </w:rPr>
        <w:t xml:space="preserve">2. </w:t>
      </w:r>
      <w:r w:rsidR="00AB43CF">
        <w:rPr>
          <w:rFonts w:ascii="Arial" w:hAnsi="Arial" w:cs="Arial"/>
          <w:b/>
          <w:bCs/>
        </w:rPr>
        <w:t>SIGNIFICANCE OF THE STUDY</w:t>
      </w:r>
    </w:p>
    <w:p w14:paraId="2244C0B7" w14:textId="1F2C226E" w:rsidR="00905768" w:rsidRDefault="00AD2469" w:rsidP="00E3047C">
      <w:pPr>
        <w:spacing w:after="0" w:line="240" w:lineRule="auto"/>
        <w:jc w:val="both"/>
        <w:rPr>
          <w:rFonts w:ascii="Arial" w:hAnsi="Arial" w:cs="Arial"/>
          <w:sz w:val="20"/>
          <w:szCs w:val="20"/>
        </w:rPr>
      </w:pPr>
      <w:r>
        <w:rPr>
          <w:rFonts w:ascii="Arial" w:hAnsi="Arial" w:cs="Arial"/>
          <w:sz w:val="20"/>
          <w:szCs w:val="20"/>
        </w:rPr>
        <w:t>Sylhet</w:t>
      </w:r>
      <w:r w:rsidR="009F54F4">
        <w:rPr>
          <w:rFonts w:ascii="Arial" w:hAnsi="Arial" w:cs="Arial"/>
          <w:sz w:val="20"/>
          <w:szCs w:val="20"/>
        </w:rPr>
        <w:t xml:space="preserve">, one of Bangladesh’s most culturally diverse cities, has strong global connections, with a significant portion of its population pursuing higher education abroad. Europe, especially the United </w:t>
      </w:r>
      <w:r w:rsidR="00F71AE7">
        <w:rPr>
          <w:rFonts w:ascii="Arial" w:hAnsi="Arial" w:cs="Arial"/>
          <w:sz w:val="20"/>
          <w:szCs w:val="20"/>
        </w:rPr>
        <w:t>Kingdom</w:t>
      </w:r>
      <w:r w:rsidR="009F54F4">
        <w:rPr>
          <w:rFonts w:ascii="Arial" w:hAnsi="Arial" w:cs="Arial"/>
          <w:sz w:val="20"/>
          <w:szCs w:val="20"/>
        </w:rPr>
        <w:t>, is the top choice, with London often called the “second Sylhet” due to its large Sylheti community. Many students take the IELTS exam as a key requirement, with their families covering costs. Overseas education is driven by aspirations for better opportunities, higher incomes, and improved well</w:t>
      </w:r>
      <w:r w:rsidR="00F71AE7">
        <w:rPr>
          <w:rFonts w:ascii="Arial" w:hAnsi="Arial" w:cs="Arial"/>
          <w:sz w:val="20"/>
          <w:szCs w:val="20"/>
        </w:rPr>
        <w:t xml:space="preserve">-being. </w:t>
      </w:r>
      <w:r w:rsidR="009F54F4">
        <w:rPr>
          <w:rFonts w:ascii="Arial" w:hAnsi="Arial" w:cs="Arial"/>
          <w:sz w:val="20"/>
          <w:szCs w:val="20"/>
        </w:rPr>
        <w:t xml:space="preserve">Financial support often comes from relatives abroad, local </w:t>
      </w:r>
      <w:r w:rsidR="00F71AE7">
        <w:rPr>
          <w:rFonts w:ascii="Arial" w:hAnsi="Arial" w:cs="Arial"/>
          <w:sz w:val="20"/>
          <w:szCs w:val="20"/>
        </w:rPr>
        <w:t xml:space="preserve">family contributions, assed sales, or bank loans. Besides Europe, students also seek education in the USA and Canada for a higher quality of life. </w:t>
      </w:r>
      <w:r w:rsidR="00B67F80">
        <w:rPr>
          <w:rFonts w:ascii="Arial" w:hAnsi="Arial" w:cs="Arial"/>
          <w:sz w:val="20"/>
          <w:szCs w:val="20"/>
        </w:rPr>
        <w:t>Although there are studies in this area, a clear research gap exists in the lack of integrated analysis combining all of the aspects of the issue.</w:t>
      </w:r>
      <w:r w:rsidR="00E649B8">
        <w:rPr>
          <w:rFonts w:ascii="Arial" w:hAnsi="Arial" w:cs="Arial"/>
          <w:sz w:val="20"/>
          <w:szCs w:val="20"/>
        </w:rPr>
        <w:t xml:space="preserve"> Addressing these issues this research would provide valuable insights into the support of the family members and their financial contribution.</w:t>
      </w:r>
    </w:p>
    <w:p w14:paraId="1E658C57" w14:textId="77777777" w:rsidR="00E3047C" w:rsidRPr="00E3047C" w:rsidRDefault="00E3047C" w:rsidP="00E3047C">
      <w:pPr>
        <w:spacing w:after="0" w:line="240" w:lineRule="auto"/>
        <w:jc w:val="both"/>
        <w:rPr>
          <w:rFonts w:ascii="Arial" w:hAnsi="Arial" w:cs="Arial"/>
          <w:sz w:val="20"/>
          <w:szCs w:val="20"/>
        </w:rPr>
      </w:pPr>
    </w:p>
    <w:p w14:paraId="394B9EA8" w14:textId="1D3792DB" w:rsidR="008C159F" w:rsidRDefault="00E3047C" w:rsidP="00020154">
      <w:pPr>
        <w:spacing w:after="0" w:line="240" w:lineRule="auto"/>
        <w:jc w:val="both"/>
        <w:rPr>
          <w:rFonts w:ascii="Arial" w:hAnsi="Arial" w:cs="Arial"/>
          <w:b/>
          <w:bCs/>
        </w:rPr>
      </w:pPr>
      <w:r w:rsidRPr="00E3047C">
        <w:rPr>
          <w:rFonts w:ascii="Arial" w:hAnsi="Arial" w:cs="Arial"/>
          <w:b/>
          <w:bCs/>
        </w:rPr>
        <w:t>3. LITERATURE REVIEW</w:t>
      </w:r>
    </w:p>
    <w:p w14:paraId="0DE3C765" w14:textId="77777777" w:rsidR="00020154" w:rsidRPr="00E3047C" w:rsidRDefault="00020154" w:rsidP="00020154">
      <w:pPr>
        <w:spacing w:after="0" w:line="240" w:lineRule="auto"/>
        <w:jc w:val="both"/>
        <w:rPr>
          <w:rFonts w:ascii="Arial" w:hAnsi="Arial" w:cs="Arial"/>
          <w:b/>
          <w:bCs/>
        </w:rPr>
      </w:pPr>
    </w:p>
    <w:p w14:paraId="2FE065B5" w14:textId="471A373F" w:rsidR="008C159F" w:rsidRPr="00E3047C" w:rsidRDefault="00FB13A8" w:rsidP="00E3047C">
      <w:pPr>
        <w:spacing w:after="0" w:line="240" w:lineRule="auto"/>
        <w:jc w:val="both"/>
        <w:rPr>
          <w:rFonts w:ascii="Arial" w:hAnsi="Arial" w:cs="Arial"/>
          <w:sz w:val="20"/>
          <w:szCs w:val="20"/>
          <w:highlight w:val="yellow"/>
        </w:rPr>
      </w:pPr>
      <w:r w:rsidRPr="00E3047C">
        <w:rPr>
          <w:rFonts w:ascii="Arial" w:hAnsi="Arial" w:cs="Arial"/>
          <w:sz w:val="20"/>
          <w:szCs w:val="20"/>
        </w:rPr>
        <w:t xml:space="preserve">Being able to communicate in the local language and English was highly regarded, and it was believed that possessing a </w:t>
      </w:r>
      <w:r w:rsidR="00020154" w:rsidRPr="00E3047C">
        <w:rPr>
          <w:rFonts w:ascii="Arial" w:hAnsi="Arial" w:cs="Arial"/>
          <w:sz w:val="20"/>
          <w:szCs w:val="20"/>
        </w:rPr>
        <w:t>recognized</w:t>
      </w:r>
      <w:r w:rsidRPr="00E3047C">
        <w:rPr>
          <w:rFonts w:ascii="Arial" w:hAnsi="Arial" w:cs="Arial"/>
          <w:sz w:val="20"/>
          <w:szCs w:val="20"/>
        </w:rPr>
        <w:t xml:space="preserve"> trade or skill was essential to making a successful living. As the immigrant</w:t>
      </w:r>
      <w:r w:rsidR="00020154">
        <w:rPr>
          <w:rFonts w:ascii="Arial" w:hAnsi="Arial" w:cs="Arial"/>
          <w:sz w:val="20"/>
          <w:szCs w:val="20"/>
        </w:rPr>
        <w:t>’</w:t>
      </w:r>
      <w:r w:rsidRPr="00E3047C">
        <w:rPr>
          <w:rFonts w:ascii="Arial" w:hAnsi="Arial" w:cs="Arial"/>
          <w:sz w:val="20"/>
          <w:szCs w:val="20"/>
        </w:rPr>
        <w:t>s time working abroad increased, so did the chances of overall profit.</w:t>
      </w:r>
      <w:r w:rsidR="008C159F" w:rsidRPr="00E3047C">
        <w:rPr>
          <w:rFonts w:ascii="Arial" w:hAnsi="Arial" w:cs="Arial"/>
          <w:sz w:val="20"/>
          <w:szCs w:val="20"/>
        </w:rPr>
        <w:t xml:space="preserve"> (Erling et al., 2015).</w:t>
      </w:r>
      <w:r w:rsidR="00905768" w:rsidRPr="00E3047C">
        <w:rPr>
          <w:rFonts w:ascii="Arial" w:hAnsi="Arial" w:cs="Arial"/>
          <w:sz w:val="20"/>
          <w:szCs w:val="20"/>
        </w:rPr>
        <w:t xml:space="preserve"> </w:t>
      </w:r>
      <w:r w:rsidRPr="00E3047C">
        <w:rPr>
          <w:rFonts w:ascii="Arial" w:hAnsi="Arial" w:cs="Arial"/>
          <w:sz w:val="20"/>
          <w:szCs w:val="20"/>
        </w:rPr>
        <w:t>There is a considerable correlation between income and proficiency in speaking and understanding English. Even after controlling for ability, education, and demographics, the hourly wages of men who speak fluent English are on average 34% higher than those of men who speak only a little English, and they are 13% higher than those of men who speak no English.</w:t>
      </w:r>
      <w:r w:rsidR="008C159F" w:rsidRPr="00E3047C">
        <w:rPr>
          <w:rFonts w:ascii="Arial" w:hAnsi="Arial" w:cs="Arial"/>
          <w:sz w:val="20"/>
          <w:szCs w:val="20"/>
        </w:rPr>
        <w:t xml:space="preserve"> </w:t>
      </w:r>
      <w:r w:rsidR="008C159F" w:rsidRPr="00E3047C">
        <w:rPr>
          <w:rFonts w:ascii="Arial" w:hAnsi="Arial" w:cs="Arial"/>
          <w:sz w:val="20"/>
          <w:szCs w:val="20"/>
        </w:rPr>
        <w:fldChar w:fldCharType="begin"/>
      </w:r>
      <w:r w:rsidR="008C159F" w:rsidRPr="00E3047C">
        <w:rPr>
          <w:rFonts w:ascii="Arial" w:hAnsi="Arial" w:cs="Arial"/>
          <w:sz w:val="20"/>
          <w:szCs w:val="20"/>
        </w:rPr>
        <w:instrText xml:space="preserve"> ADDIN ZOTERO_ITEM CSL_CITATION {"citationID":"KA3898ie","properties":{"formattedCitation":"(Azam et al., 2013)","plainCitation":"(Azam et al., 2013)","noteIndex":0},"citationItems":[{"id":36,"uris":["http://zotero.org/users/local/TeVDIGIb/items/IYFP6LGG"],"itemData":{"id":36,"type":"article-journal","container-title":"Economic Development and Cultural Change","DOI":"10.1086/668277","ISSN":"0013-0079, 1539-2988","issue":"2","journalAbbreviation":"Economic Development and Cultural Change","language":"en","page":"335-367","source":"DOI.org (Crossref)","title":"The Returns to English-Language Skills in India","volume":"61","author":[{"family":"Azam","given":"Mehtabul"},{"family":"Chin","given":"Aimee"},{"family":"Prakash","given":"Nishith"}],"issued":{"date-parts":[["2013",1]]}}}],"schema":"https://github.com/citation-style-language/schema/raw/master/csl-citation.json"} </w:instrText>
      </w:r>
      <w:r w:rsidR="008C159F" w:rsidRPr="00E3047C">
        <w:rPr>
          <w:rFonts w:ascii="Arial" w:hAnsi="Arial" w:cs="Arial"/>
          <w:sz w:val="20"/>
          <w:szCs w:val="20"/>
        </w:rPr>
        <w:fldChar w:fldCharType="separate"/>
      </w:r>
      <w:r w:rsidR="008C159F" w:rsidRPr="00E3047C">
        <w:rPr>
          <w:rFonts w:ascii="Arial" w:hAnsi="Arial" w:cs="Arial"/>
          <w:sz w:val="20"/>
          <w:szCs w:val="20"/>
        </w:rPr>
        <w:t>(Azam et al., 2015)</w:t>
      </w:r>
      <w:r w:rsidR="008C159F" w:rsidRPr="00E3047C">
        <w:rPr>
          <w:rFonts w:ascii="Arial" w:hAnsi="Arial" w:cs="Arial"/>
          <w:sz w:val="20"/>
          <w:szCs w:val="20"/>
        </w:rPr>
        <w:fldChar w:fldCharType="end"/>
      </w:r>
      <w:r w:rsidR="008C159F" w:rsidRPr="00E3047C">
        <w:rPr>
          <w:rFonts w:ascii="Arial" w:hAnsi="Arial" w:cs="Arial"/>
          <w:sz w:val="20"/>
          <w:szCs w:val="20"/>
        </w:rPr>
        <w:t>.</w:t>
      </w:r>
      <w:r w:rsidR="00905768" w:rsidRPr="00E3047C">
        <w:rPr>
          <w:rFonts w:ascii="Arial" w:hAnsi="Arial" w:cs="Arial"/>
          <w:sz w:val="20"/>
          <w:szCs w:val="20"/>
        </w:rPr>
        <w:t xml:space="preserve"> Originally developed for academic purposes, IELTS has expanded to help immigration and visa policies. Many nations have made IELTS the preferred exam for skilled migrants, which has sparked questions about the test</w:t>
      </w:r>
      <w:r w:rsidR="00020154">
        <w:rPr>
          <w:rFonts w:ascii="Arial" w:hAnsi="Arial" w:cs="Arial"/>
          <w:sz w:val="20"/>
          <w:szCs w:val="20"/>
        </w:rPr>
        <w:t>’</w:t>
      </w:r>
      <w:r w:rsidR="00905768" w:rsidRPr="00E3047C">
        <w:rPr>
          <w:rFonts w:ascii="Arial" w:hAnsi="Arial" w:cs="Arial"/>
          <w:sz w:val="20"/>
          <w:szCs w:val="20"/>
        </w:rPr>
        <w:t>s suitability for a range of evaluation objectives. Because of different educational backgrounds and changing immigration laws, it was challenging to establish immigration as a distinct goal for IELTS. (Read, 2022).</w:t>
      </w:r>
      <w:r w:rsidR="00957DF7">
        <w:rPr>
          <w:rFonts w:ascii="Arial" w:hAnsi="Arial" w:cs="Arial"/>
          <w:sz w:val="20"/>
          <w:szCs w:val="20"/>
        </w:rPr>
        <w:t xml:space="preserve"> In Sylhet, more women than men are getting ready for the IELTS exam. It goes against the usual norm of men being in charge of educational activities. And family members frequently play a significant role in motivating people to take the IELTS exam, and family members (Parents/Brother/Sister) pay for the test in full. (Deb et al., 2024).</w:t>
      </w:r>
    </w:p>
    <w:p w14:paraId="57CEDF00" w14:textId="0AAD229B" w:rsidR="008C159F" w:rsidRPr="00E3047C" w:rsidRDefault="001D2606" w:rsidP="00E3047C">
      <w:pPr>
        <w:spacing w:after="0" w:line="240" w:lineRule="auto"/>
        <w:jc w:val="both"/>
        <w:rPr>
          <w:rFonts w:ascii="Arial" w:hAnsi="Arial" w:cs="Arial"/>
          <w:sz w:val="20"/>
          <w:szCs w:val="20"/>
        </w:rPr>
      </w:pPr>
      <w:r w:rsidRPr="00E3047C">
        <w:rPr>
          <w:rFonts w:ascii="Arial" w:hAnsi="Arial" w:cs="Arial"/>
          <w:sz w:val="20"/>
          <w:szCs w:val="20"/>
        </w:rPr>
        <w:t xml:space="preserve">Although there is a noticeable difference dependent on occupation and skill level, immigrants have lower levels of education, job experience, and monthly income than native-born citizens. Both native speakers and immigrants benefit from language proficiency, particularly in English, highlighting the importance of language skills in the </w:t>
      </w:r>
      <w:proofErr w:type="spellStart"/>
      <w:r w:rsidRPr="00E3047C">
        <w:rPr>
          <w:rFonts w:ascii="Arial" w:hAnsi="Arial" w:cs="Arial"/>
          <w:sz w:val="20"/>
          <w:szCs w:val="20"/>
        </w:rPr>
        <w:t>labour</w:t>
      </w:r>
      <w:proofErr w:type="spellEnd"/>
      <w:r w:rsidRPr="00E3047C">
        <w:rPr>
          <w:rFonts w:ascii="Arial" w:hAnsi="Arial" w:cs="Arial"/>
          <w:sz w:val="20"/>
          <w:szCs w:val="20"/>
        </w:rPr>
        <w:t xml:space="preserve"> market.</w:t>
      </w:r>
      <w:r w:rsidR="008C159F" w:rsidRPr="00E3047C">
        <w:rPr>
          <w:rFonts w:ascii="Arial" w:hAnsi="Arial" w:cs="Arial"/>
          <w:sz w:val="20"/>
          <w:szCs w:val="20"/>
        </w:rPr>
        <w:t xml:space="preserve"> (Lang et al., 2006)</w:t>
      </w:r>
      <w:r w:rsidR="00905768" w:rsidRPr="00E3047C">
        <w:rPr>
          <w:rFonts w:ascii="Arial" w:hAnsi="Arial" w:cs="Arial"/>
          <w:sz w:val="20"/>
          <w:szCs w:val="20"/>
        </w:rPr>
        <w:t xml:space="preserve">. </w:t>
      </w:r>
      <w:r w:rsidRPr="00E3047C">
        <w:rPr>
          <w:rFonts w:ascii="Arial" w:hAnsi="Arial" w:cs="Arial"/>
          <w:sz w:val="20"/>
          <w:szCs w:val="20"/>
        </w:rPr>
        <w:t xml:space="preserve">The desire for a </w:t>
      </w:r>
      <w:r w:rsidR="00020154">
        <w:rPr>
          <w:rFonts w:ascii="Arial" w:hAnsi="Arial" w:cs="Arial"/>
          <w:sz w:val="20"/>
          <w:szCs w:val="20"/>
        </w:rPr>
        <w:t>“</w:t>
      </w:r>
      <w:proofErr w:type="spellStart"/>
      <w:r w:rsidRPr="00E3047C">
        <w:rPr>
          <w:rFonts w:ascii="Arial" w:hAnsi="Arial" w:cs="Arial"/>
          <w:sz w:val="20"/>
          <w:szCs w:val="20"/>
        </w:rPr>
        <w:t>Bhalo</w:t>
      </w:r>
      <w:proofErr w:type="spellEnd"/>
      <w:r w:rsidR="00020154">
        <w:rPr>
          <w:rFonts w:ascii="Arial" w:hAnsi="Arial" w:cs="Arial"/>
          <w:sz w:val="20"/>
          <w:szCs w:val="20"/>
        </w:rPr>
        <w:t>”</w:t>
      </w:r>
      <w:r w:rsidRPr="00E3047C">
        <w:rPr>
          <w:rFonts w:ascii="Arial" w:hAnsi="Arial" w:cs="Arial"/>
          <w:sz w:val="20"/>
          <w:szCs w:val="20"/>
        </w:rPr>
        <w:t xml:space="preserve"> (good) visa is typically the consequence of people migrating due to social networks, debt, and challenging economic conditions. High migration costs and a lack of awareness about working conditions are the results of migrants</w:t>
      </w:r>
      <w:r w:rsidR="00020154">
        <w:rPr>
          <w:rFonts w:ascii="Arial" w:hAnsi="Arial" w:cs="Arial"/>
          <w:sz w:val="20"/>
          <w:szCs w:val="20"/>
        </w:rPr>
        <w:t>’</w:t>
      </w:r>
      <w:r w:rsidRPr="00E3047C">
        <w:rPr>
          <w:rFonts w:ascii="Arial" w:hAnsi="Arial" w:cs="Arial"/>
          <w:sz w:val="20"/>
          <w:szCs w:val="20"/>
        </w:rPr>
        <w:t xml:space="preserve"> significant reliance on unofficial routes and sub-agents. Despite institutional and legal </w:t>
      </w:r>
      <w:r w:rsidR="0032753B" w:rsidRPr="00E3047C">
        <w:rPr>
          <w:rFonts w:ascii="Arial" w:hAnsi="Arial" w:cs="Arial"/>
          <w:sz w:val="20"/>
          <w:szCs w:val="20"/>
        </w:rPr>
        <w:t>protection</w:t>
      </w:r>
      <w:r w:rsidRPr="00E3047C">
        <w:rPr>
          <w:rFonts w:ascii="Arial" w:hAnsi="Arial" w:cs="Arial"/>
          <w:sz w:val="20"/>
          <w:szCs w:val="20"/>
        </w:rPr>
        <w:t xml:space="preserve">, migrants face issues such as unpaid wages, poor working conditions, and even physical and sexual abuse. </w:t>
      </w:r>
      <w:r w:rsidR="008C159F" w:rsidRPr="00E3047C">
        <w:rPr>
          <w:rFonts w:ascii="Arial" w:hAnsi="Arial" w:cs="Arial"/>
          <w:sz w:val="20"/>
          <w:szCs w:val="20"/>
        </w:rPr>
        <w:t>(Coleman, 2010)</w:t>
      </w:r>
    </w:p>
    <w:p w14:paraId="320B82A4" w14:textId="032EDA3C" w:rsidR="00C20292" w:rsidRPr="00E3047C" w:rsidRDefault="00C20292" w:rsidP="00E3047C">
      <w:pPr>
        <w:spacing w:after="0" w:line="240" w:lineRule="auto"/>
        <w:jc w:val="both"/>
        <w:rPr>
          <w:rFonts w:ascii="Arial" w:hAnsi="Arial" w:cs="Arial"/>
          <w:sz w:val="20"/>
          <w:szCs w:val="20"/>
        </w:rPr>
      </w:pPr>
      <w:r w:rsidRPr="00E3047C">
        <w:rPr>
          <w:rFonts w:ascii="Arial" w:hAnsi="Arial" w:cs="Arial"/>
          <w:sz w:val="20"/>
          <w:szCs w:val="20"/>
        </w:rPr>
        <w:lastRenderedPageBreak/>
        <w:t>Due to limited funds and resources, low-income high school students face more obstacles to pursuing higher education. Compared to their more affluent peers, these limitations make it more challenging for them to pursue college or university opportunities. (</w:t>
      </w:r>
      <w:proofErr w:type="spellStart"/>
      <w:r w:rsidRPr="00E3047C">
        <w:rPr>
          <w:rFonts w:ascii="Arial" w:hAnsi="Arial" w:cs="Arial"/>
          <w:sz w:val="20"/>
          <w:szCs w:val="20"/>
        </w:rPr>
        <w:t>Mashur</w:t>
      </w:r>
      <w:proofErr w:type="spellEnd"/>
      <w:r w:rsidRPr="00E3047C">
        <w:rPr>
          <w:rFonts w:ascii="Arial" w:hAnsi="Arial" w:cs="Arial"/>
          <w:sz w:val="20"/>
          <w:szCs w:val="20"/>
        </w:rPr>
        <w:t xml:space="preserve">, 2023). </w:t>
      </w:r>
      <w:r w:rsidR="001D2606" w:rsidRPr="00E3047C">
        <w:rPr>
          <w:rFonts w:ascii="Arial" w:hAnsi="Arial" w:cs="Arial"/>
          <w:sz w:val="20"/>
          <w:szCs w:val="20"/>
        </w:rPr>
        <w:t xml:space="preserve">For underprivileged children, there are major financial obstacles to academic success, as expensive tuition and the cost of educational materials affect attendance and focus. In order to improve these children’s educational performance, holistic scholarship </w:t>
      </w:r>
      <w:proofErr w:type="spellStart"/>
      <w:r w:rsidR="001D2606" w:rsidRPr="00E3047C">
        <w:rPr>
          <w:rFonts w:ascii="Arial" w:hAnsi="Arial" w:cs="Arial"/>
          <w:sz w:val="20"/>
          <w:szCs w:val="20"/>
        </w:rPr>
        <w:t>program</w:t>
      </w:r>
      <w:r w:rsidR="0032753B">
        <w:rPr>
          <w:rFonts w:ascii="Arial" w:hAnsi="Arial" w:cs="Arial"/>
          <w:sz w:val="20"/>
          <w:szCs w:val="20"/>
        </w:rPr>
        <w:t>me</w:t>
      </w:r>
      <w:r w:rsidR="001D2606" w:rsidRPr="00E3047C">
        <w:rPr>
          <w:rFonts w:ascii="Arial" w:hAnsi="Arial" w:cs="Arial"/>
          <w:sz w:val="20"/>
          <w:szCs w:val="20"/>
        </w:rPr>
        <w:t>s</w:t>
      </w:r>
      <w:proofErr w:type="spellEnd"/>
      <w:r w:rsidR="001D2606" w:rsidRPr="00E3047C">
        <w:rPr>
          <w:rFonts w:ascii="Arial" w:hAnsi="Arial" w:cs="Arial"/>
          <w:sz w:val="20"/>
          <w:szCs w:val="20"/>
        </w:rPr>
        <w:t xml:space="preserve"> that cover both direct and indirect school fees are essential.</w:t>
      </w:r>
      <w:r w:rsidR="00B96D6A" w:rsidRPr="00E3047C">
        <w:rPr>
          <w:rFonts w:ascii="Arial" w:hAnsi="Arial" w:cs="Arial"/>
          <w:sz w:val="20"/>
          <w:szCs w:val="20"/>
        </w:rPr>
        <w:t xml:space="preserve"> (</w:t>
      </w:r>
      <w:proofErr w:type="spellStart"/>
      <w:r w:rsidR="00B96D6A" w:rsidRPr="00E3047C">
        <w:rPr>
          <w:rFonts w:ascii="Arial" w:hAnsi="Arial" w:cs="Arial"/>
          <w:sz w:val="20"/>
          <w:szCs w:val="20"/>
        </w:rPr>
        <w:t>Mutevere</w:t>
      </w:r>
      <w:proofErr w:type="spellEnd"/>
      <w:r w:rsidR="00B96D6A" w:rsidRPr="00E3047C">
        <w:rPr>
          <w:rFonts w:ascii="Arial" w:hAnsi="Arial" w:cs="Arial"/>
          <w:sz w:val="20"/>
          <w:szCs w:val="20"/>
        </w:rPr>
        <w:t xml:space="preserve"> et al., 2024)</w:t>
      </w:r>
      <w:r w:rsidRPr="00E3047C">
        <w:rPr>
          <w:rFonts w:ascii="Arial" w:hAnsi="Arial" w:cs="Arial"/>
          <w:sz w:val="20"/>
          <w:szCs w:val="20"/>
        </w:rPr>
        <w:t xml:space="preserve">. </w:t>
      </w:r>
      <w:r w:rsidR="00E508B9" w:rsidRPr="00E3047C">
        <w:rPr>
          <w:rFonts w:ascii="Arial" w:hAnsi="Arial" w:cs="Arial"/>
          <w:sz w:val="20"/>
          <w:szCs w:val="20"/>
        </w:rPr>
        <w:t xml:space="preserve">The endowment fund and other </w:t>
      </w:r>
      <w:r w:rsidR="0032753B" w:rsidRPr="00E3047C">
        <w:rPr>
          <w:rFonts w:ascii="Arial" w:hAnsi="Arial" w:cs="Arial"/>
          <w:sz w:val="20"/>
          <w:szCs w:val="20"/>
        </w:rPr>
        <w:t>subsidized</w:t>
      </w:r>
      <w:r w:rsidR="00E508B9" w:rsidRPr="00E3047C">
        <w:rPr>
          <w:rFonts w:ascii="Arial" w:hAnsi="Arial" w:cs="Arial"/>
          <w:sz w:val="20"/>
          <w:szCs w:val="20"/>
        </w:rPr>
        <w:t xml:space="preserve"> education initiatives in </w:t>
      </w:r>
      <w:r w:rsidR="00020154">
        <w:rPr>
          <w:rFonts w:ascii="Arial" w:hAnsi="Arial" w:cs="Arial"/>
          <w:sz w:val="20"/>
          <w:szCs w:val="20"/>
        </w:rPr>
        <w:t>I</w:t>
      </w:r>
      <w:r w:rsidR="00E508B9" w:rsidRPr="00E3047C">
        <w:rPr>
          <w:rFonts w:ascii="Arial" w:hAnsi="Arial" w:cs="Arial"/>
          <w:sz w:val="20"/>
          <w:szCs w:val="20"/>
        </w:rPr>
        <w:t xml:space="preserve">ndonesia are crucial in lowering the cost of higher education, especially for those who want to pursue it overseas. By increasing access to higher education, these initiatives foster a skilled </w:t>
      </w:r>
      <w:proofErr w:type="spellStart"/>
      <w:r w:rsidR="00E508B9" w:rsidRPr="00E3047C">
        <w:rPr>
          <w:rFonts w:ascii="Arial" w:hAnsi="Arial" w:cs="Arial"/>
          <w:sz w:val="20"/>
          <w:szCs w:val="20"/>
        </w:rPr>
        <w:t>labour</w:t>
      </w:r>
      <w:proofErr w:type="spellEnd"/>
      <w:r w:rsidR="00E508B9" w:rsidRPr="00E3047C">
        <w:rPr>
          <w:rFonts w:ascii="Arial" w:hAnsi="Arial" w:cs="Arial"/>
          <w:sz w:val="20"/>
          <w:szCs w:val="20"/>
        </w:rPr>
        <w:t xml:space="preserve"> force and enhance educational equity across various economic sectors.</w:t>
      </w:r>
      <w:r w:rsidR="00B96D6A" w:rsidRPr="00E3047C">
        <w:rPr>
          <w:rFonts w:ascii="Arial" w:hAnsi="Arial" w:cs="Arial"/>
          <w:sz w:val="20"/>
          <w:szCs w:val="20"/>
        </w:rPr>
        <w:t xml:space="preserve"> (Rachman, 2023)</w:t>
      </w:r>
      <w:r w:rsidRPr="00E3047C">
        <w:rPr>
          <w:rFonts w:ascii="Arial" w:hAnsi="Arial" w:cs="Arial"/>
          <w:sz w:val="20"/>
          <w:szCs w:val="20"/>
        </w:rPr>
        <w:t xml:space="preserve">. Low-income students are driven by financial circumstances to go out and study, and they make up for that with a variety of scholarships that put them ahead of others who do not receive scholarships. (Whatley &amp; Clayton, 2020). Financial factors play a crucial role in determining whether students choose to go abroad for higher education. (Whatley, 2017). Almost 90% of students face </w:t>
      </w:r>
      <w:r w:rsidR="0032753B">
        <w:rPr>
          <w:rFonts w:ascii="Arial" w:hAnsi="Arial" w:cs="Arial"/>
          <w:sz w:val="20"/>
          <w:szCs w:val="20"/>
        </w:rPr>
        <w:t xml:space="preserve">a </w:t>
      </w:r>
      <w:r w:rsidRPr="00E3047C">
        <w:rPr>
          <w:rFonts w:ascii="Arial" w:hAnsi="Arial" w:cs="Arial"/>
          <w:sz w:val="20"/>
          <w:szCs w:val="20"/>
        </w:rPr>
        <w:t>financial crisis when they go abroad for higher education. In this case, they turn to various sources to manage funds</w:t>
      </w:r>
      <w:r w:rsidR="007412B3">
        <w:rPr>
          <w:rFonts w:ascii="Arial" w:hAnsi="Arial" w:cs="Arial"/>
          <w:sz w:val="20"/>
          <w:szCs w:val="20"/>
        </w:rPr>
        <w:t>,</w:t>
      </w:r>
      <w:r w:rsidRPr="00E3047C">
        <w:rPr>
          <w:rFonts w:ascii="Arial" w:hAnsi="Arial" w:cs="Arial"/>
          <w:sz w:val="20"/>
          <w:szCs w:val="20"/>
        </w:rPr>
        <w:t xml:space="preserve"> such as self-funds, bank loans, family support etc. Family plays the most important role. (Duong, 2018).</w:t>
      </w:r>
    </w:p>
    <w:p w14:paraId="550DE67D" w14:textId="464B94CF" w:rsidR="00C20292" w:rsidRDefault="0042742D" w:rsidP="00E3047C">
      <w:pPr>
        <w:spacing w:after="0" w:line="240" w:lineRule="auto"/>
        <w:jc w:val="both"/>
        <w:rPr>
          <w:rFonts w:ascii="Arial" w:hAnsi="Arial" w:cs="Arial"/>
          <w:sz w:val="20"/>
          <w:szCs w:val="20"/>
        </w:rPr>
      </w:pPr>
      <w:r w:rsidRPr="00E3047C">
        <w:rPr>
          <w:rFonts w:ascii="Arial" w:hAnsi="Arial" w:cs="Arial"/>
          <w:sz w:val="20"/>
          <w:szCs w:val="20"/>
        </w:rPr>
        <w:t>Those who live abroad send money to their family members in their country, which helps them to reduce the financial crisis and also plays a big role in the economic development of the country. (</w:t>
      </w:r>
      <w:r w:rsidR="00924876" w:rsidRPr="00E3047C">
        <w:rPr>
          <w:rFonts w:ascii="Arial" w:hAnsi="Arial" w:cs="Arial"/>
          <w:sz w:val="20"/>
          <w:szCs w:val="20"/>
        </w:rPr>
        <w:t>Aktar &amp; Roy, 2022</w:t>
      </w:r>
      <w:r w:rsidRPr="00E3047C">
        <w:rPr>
          <w:rFonts w:ascii="Arial" w:hAnsi="Arial" w:cs="Arial"/>
          <w:sz w:val="20"/>
          <w:szCs w:val="20"/>
        </w:rPr>
        <w:t>)</w:t>
      </w:r>
      <w:r w:rsidR="00C20292" w:rsidRPr="00E3047C">
        <w:rPr>
          <w:rFonts w:ascii="Arial" w:hAnsi="Arial" w:cs="Arial"/>
          <w:sz w:val="20"/>
          <w:szCs w:val="20"/>
        </w:rPr>
        <w:t>. Higher education increases earning potential and career possibilities, but low-income students face significant obstacles to admission because of preparation, cultural, and socioeconomic considerations. The education gap can be reduced by increasing financial aid and completion rates. (Karna &amp; Swain, 2022). Remittances have a positive influence on the households in Sylhet, helping to improve their living conditions and creating opportunities for growth and development. (Islam et al., 2021).</w:t>
      </w:r>
    </w:p>
    <w:p w14:paraId="5C9893FA" w14:textId="6471C24C" w:rsidR="003853CF" w:rsidRDefault="003853CF" w:rsidP="00E3047C">
      <w:pPr>
        <w:spacing w:after="0" w:line="240" w:lineRule="auto"/>
        <w:jc w:val="both"/>
        <w:rPr>
          <w:rFonts w:ascii="Arial" w:hAnsi="Arial" w:cs="Arial"/>
          <w:sz w:val="20"/>
          <w:szCs w:val="20"/>
        </w:rPr>
      </w:pPr>
    </w:p>
    <w:p w14:paraId="3FC32DE3" w14:textId="3DF1482F" w:rsidR="003853CF" w:rsidRPr="00481C8C" w:rsidRDefault="00161262" w:rsidP="003853CF">
      <w:pPr>
        <w:rPr>
          <w:b/>
          <w:noProof/>
          <w:sz w:val="28"/>
          <w:szCs w:val="28"/>
        </w:rPr>
      </w:pPr>
      <w:r>
        <w:rPr>
          <w:b/>
          <w:noProof/>
          <w:sz w:val="28"/>
          <w:szCs w:val="28"/>
        </w:rPr>
        <w:t>4.</w:t>
      </w:r>
      <w:r w:rsidR="008D6040">
        <w:rPr>
          <w:b/>
          <w:noProof/>
          <w:sz w:val="28"/>
          <w:szCs w:val="28"/>
        </w:rPr>
        <w:t xml:space="preserve"> </w:t>
      </w:r>
      <w:r>
        <w:rPr>
          <w:b/>
          <w:noProof/>
          <w:sz w:val="28"/>
          <w:szCs w:val="28"/>
        </w:rPr>
        <w:t>CONCEPTUAL FRAMEWORK</w:t>
      </w:r>
    </w:p>
    <w:p w14:paraId="3DC427B8" w14:textId="4E7F9FC7" w:rsidR="003853CF" w:rsidRPr="00161262" w:rsidRDefault="003853CF" w:rsidP="00161262">
      <w:pPr>
        <w:jc w:val="both"/>
        <w:rPr>
          <w:rFonts w:ascii="Arial" w:hAnsi="Arial" w:cs="Arial"/>
          <w:sz w:val="20"/>
          <w:szCs w:val="20"/>
        </w:rPr>
      </w:pPr>
      <w:r w:rsidRPr="00161262">
        <w:rPr>
          <w:rFonts w:ascii="Arial" w:hAnsi="Arial" w:cs="Arial"/>
          <w:sz w:val="20"/>
          <w:szCs w:val="20"/>
        </w:rPr>
        <w:t xml:space="preserve">The conceptual framework for this study is built upon key themes related to the aspirations, financial considerations, and challenges faced by individuals in Sylhet who wish to study abroad. The framework integrates economic, social, and educational dimensions, highlighting the role of financial capacity, family support, and institutional policies in shaping students’ decisions and experiences. The dependent variable decision to go abroad depends on independent variables aspirations, financial capacity, family support, budget allocation, skill development, educational success, and external scholarship. The flowchart </w:t>
      </w:r>
      <w:r w:rsidR="00161262" w:rsidRPr="00161262">
        <w:rPr>
          <w:rFonts w:ascii="Arial" w:hAnsi="Arial" w:cs="Arial"/>
          <w:sz w:val="20"/>
          <w:szCs w:val="20"/>
        </w:rPr>
        <w:t>outlines</w:t>
      </w:r>
      <w:r w:rsidRPr="00161262">
        <w:rPr>
          <w:rFonts w:ascii="Arial" w:hAnsi="Arial" w:cs="Arial"/>
          <w:sz w:val="20"/>
          <w:szCs w:val="20"/>
        </w:rPr>
        <w:t xml:space="preserve"> this relationship.</w:t>
      </w:r>
    </w:p>
    <w:p w14:paraId="7B37CDB3" w14:textId="58E3FAF1" w:rsidR="003853CF" w:rsidRDefault="003853CF" w:rsidP="00E3047C">
      <w:pPr>
        <w:spacing w:after="0" w:line="240" w:lineRule="auto"/>
        <w:jc w:val="both"/>
        <w:rPr>
          <w:rFonts w:ascii="Arial" w:hAnsi="Arial" w:cs="Arial"/>
          <w:sz w:val="20"/>
          <w:szCs w:val="20"/>
        </w:rPr>
      </w:pPr>
      <w:r>
        <w:rPr>
          <w:rFonts w:ascii="Arial" w:hAnsi="Arial" w:cs="Arial"/>
          <w:noProof/>
          <w:sz w:val="20"/>
          <w:szCs w:val="20"/>
        </w:rPr>
        <w:lastRenderedPageBreak/>
        <w:drawing>
          <wp:inline distT="0" distB="0" distL="0" distR="0" wp14:anchorId="3D1ED993" wp14:editId="0D0745A0">
            <wp:extent cx="6225540" cy="3291840"/>
            <wp:effectExtent l="0" t="0" r="228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48156C5" w14:textId="02EA9A5B" w:rsidR="003853CF" w:rsidRDefault="003E0F73" w:rsidP="00E3047C">
      <w:pPr>
        <w:spacing w:after="0" w:line="240" w:lineRule="auto"/>
        <w:jc w:val="both"/>
        <w:rPr>
          <w:rFonts w:ascii="Arial" w:hAnsi="Arial" w:cs="Arial"/>
          <w:sz w:val="20"/>
          <w:szCs w:val="20"/>
        </w:rPr>
      </w:pPr>
      <w:r>
        <w:rPr>
          <w:rFonts w:ascii="Arial" w:hAnsi="Arial" w:cs="Arial"/>
          <w:sz w:val="20"/>
          <w:szCs w:val="20"/>
        </w:rPr>
        <w:t>Fig 1:</w:t>
      </w:r>
    </w:p>
    <w:p w14:paraId="32609F11" w14:textId="77777777" w:rsidR="003853CF" w:rsidRDefault="003853CF" w:rsidP="00E3047C">
      <w:pPr>
        <w:spacing w:after="0" w:line="240" w:lineRule="auto"/>
        <w:jc w:val="both"/>
        <w:rPr>
          <w:rFonts w:ascii="Arial" w:hAnsi="Arial" w:cs="Arial"/>
          <w:sz w:val="20"/>
          <w:szCs w:val="20"/>
        </w:rPr>
      </w:pPr>
    </w:p>
    <w:p w14:paraId="0D749B9C" w14:textId="77777777" w:rsidR="00E3047C" w:rsidRPr="00E3047C" w:rsidRDefault="00E3047C" w:rsidP="00E3047C">
      <w:pPr>
        <w:spacing w:after="0" w:line="240" w:lineRule="auto"/>
        <w:jc w:val="both"/>
        <w:rPr>
          <w:rFonts w:ascii="Arial" w:hAnsi="Arial" w:cs="Arial"/>
          <w:sz w:val="20"/>
          <w:szCs w:val="20"/>
        </w:rPr>
      </w:pPr>
    </w:p>
    <w:p w14:paraId="27C9F90F" w14:textId="17C5F0E9" w:rsidR="004C4CDB" w:rsidRDefault="00161262" w:rsidP="00020154">
      <w:pPr>
        <w:spacing w:after="0" w:line="240" w:lineRule="auto"/>
        <w:jc w:val="both"/>
        <w:rPr>
          <w:rFonts w:ascii="Arial" w:hAnsi="Arial" w:cs="Arial"/>
          <w:b/>
          <w:bCs/>
        </w:rPr>
      </w:pPr>
      <w:r>
        <w:rPr>
          <w:rFonts w:ascii="Arial" w:hAnsi="Arial" w:cs="Arial"/>
          <w:b/>
          <w:bCs/>
        </w:rPr>
        <w:t>5</w:t>
      </w:r>
      <w:r w:rsidR="00D71EA2" w:rsidRPr="00D71EA2">
        <w:rPr>
          <w:rFonts w:ascii="Arial" w:hAnsi="Arial" w:cs="Arial"/>
          <w:b/>
          <w:bCs/>
        </w:rPr>
        <w:t xml:space="preserve">. </w:t>
      </w:r>
      <w:r>
        <w:rPr>
          <w:rFonts w:ascii="Arial" w:hAnsi="Arial" w:cs="Arial"/>
          <w:b/>
          <w:bCs/>
        </w:rPr>
        <w:t>METHODOLOGY</w:t>
      </w:r>
    </w:p>
    <w:p w14:paraId="18ADE078" w14:textId="77777777" w:rsidR="00020154" w:rsidRPr="00D71EA2" w:rsidRDefault="00020154" w:rsidP="00020154">
      <w:pPr>
        <w:spacing w:after="0" w:line="240" w:lineRule="auto"/>
        <w:jc w:val="both"/>
        <w:rPr>
          <w:rFonts w:ascii="Arial" w:hAnsi="Arial" w:cs="Arial"/>
          <w:b/>
          <w:bCs/>
        </w:rPr>
      </w:pPr>
    </w:p>
    <w:p w14:paraId="7D217148" w14:textId="468F96F0" w:rsidR="008F71D8" w:rsidRPr="00D71EA2" w:rsidRDefault="008F71D8" w:rsidP="00D71EA2">
      <w:pPr>
        <w:spacing w:after="0" w:line="240" w:lineRule="auto"/>
        <w:jc w:val="both"/>
        <w:rPr>
          <w:rFonts w:ascii="Arial" w:hAnsi="Arial" w:cs="Arial"/>
          <w:sz w:val="20"/>
          <w:szCs w:val="20"/>
        </w:rPr>
      </w:pPr>
      <w:r w:rsidRPr="00D71EA2">
        <w:rPr>
          <w:rFonts w:ascii="Arial" w:hAnsi="Arial" w:cs="Arial"/>
          <w:sz w:val="20"/>
          <w:szCs w:val="20"/>
        </w:rPr>
        <w:t>The research has adopted a quant</w:t>
      </w:r>
      <w:r w:rsidR="007C0562" w:rsidRPr="00D71EA2">
        <w:rPr>
          <w:rFonts w:ascii="Arial" w:hAnsi="Arial" w:cs="Arial"/>
          <w:sz w:val="20"/>
          <w:szCs w:val="20"/>
        </w:rPr>
        <w:t>ita</w:t>
      </w:r>
      <w:r w:rsidRPr="00D71EA2">
        <w:rPr>
          <w:rFonts w:ascii="Arial" w:hAnsi="Arial" w:cs="Arial"/>
          <w:sz w:val="20"/>
          <w:szCs w:val="20"/>
        </w:rPr>
        <w:t xml:space="preserve">tive </w:t>
      </w:r>
      <w:r w:rsidR="007C0562" w:rsidRPr="00D71EA2">
        <w:rPr>
          <w:rFonts w:ascii="Arial" w:hAnsi="Arial" w:cs="Arial"/>
          <w:sz w:val="20"/>
          <w:szCs w:val="20"/>
        </w:rPr>
        <w:t xml:space="preserve">study design to collect the required data and information on the outcomes of </w:t>
      </w:r>
      <w:r w:rsidR="007412B3">
        <w:rPr>
          <w:rFonts w:ascii="Arial" w:hAnsi="Arial" w:cs="Arial"/>
          <w:sz w:val="20"/>
          <w:szCs w:val="20"/>
        </w:rPr>
        <w:t xml:space="preserve">a </w:t>
      </w:r>
      <w:r w:rsidR="007C0562" w:rsidRPr="00D71EA2">
        <w:rPr>
          <w:rFonts w:ascii="Arial" w:hAnsi="Arial" w:cs="Arial"/>
          <w:sz w:val="20"/>
          <w:szCs w:val="20"/>
        </w:rPr>
        <w:t>budget</w:t>
      </w:r>
      <w:r w:rsidR="007412B3">
        <w:rPr>
          <w:rFonts w:ascii="Arial" w:hAnsi="Arial" w:cs="Arial"/>
          <w:sz w:val="20"/>
          <w:szCs w:val="20"/>
        </w:rPr>
        <w:t xml:space="preserve"> for those</w:t>
      </w:r>
      <w:r w:rsidR="007C0562" w:rsidRPr="00D71EA2">
        <w:rPr>
          <w:rFonts w:ascii="Arial" w:hAnsi="Arial" w:cs="Arial"/>
          <w:sz w:val="20"/>
          <w:szCs w:val="20"/>
        </w:rPr>
        <w:t xml:space="preserve"> who want to go abroad by taking </w:t>
      </w:r>
      <w:r w:rsidR="007412B3">
        <w:rPr>
          <w:rFonts w:ascii="Arial" w:hAnsi="Arial" w:cs="Arial"/>
          <w:sz w:val="20"/>
          <w:szCs w:val="20"/>
        </w:rPr>
        <w:t xml:space="preserve">the </w:t>
      </w:r>
      <w:r w:rsidR="007C0562" w:rsidRPr="00D71EA2">
        <w:rPr>
          <w:rFonts w:ascii="Arial" w:hAnsi="Arial" w:cs="Arial"/>
          <w:sz w:val="20"/>
          <w:szCs w:val="20"/>
        </w:rPr>
        <w:t xml:space="preserve">IELTS test and their difficulties </w:t>
      </w:r>
      <w:r w:rsidR="007412B3">
        <w:rPr>
          <w:rFonts w:ascii="Arial" w:hAnsi="Arial" w:cs="Arial"/>
          <w:sz w:val="20"/>
          <w:szCs w:val="20"/>
        </w:rPr>
        <w:t>in</w:t>
      </w:r>
      <w:r w:rsidR="007C0562" w:rsidRPr="00D71EA2">
        <w:rPr>
          <w:rFonts w:ascii="Arial" w:hAnsi="Arial" w:cs="Arial"/>
          <w:sz w:val="20"/>
          <w:szCs w:val="20"/>
        </w:rPr>
        <w:t xml:space="preserve"> paying this budget and how they covered their budget. </w:t>
      </w:r>
      <w:r w:rsidR="00552D81" w:rsidRPr="00D71EA2">
        <w:rPr>
          <w:rFonts w:ascii="Arial" w:hAnsi="Arial" w:cs="Arial"/>
          <w:sz w:val="20"/>
          <w:szCs w:val="20"/>
        </w:rPr>
        <w:t xml:space="preserve">For findings these questions, </w:t>
      </w:r>
      <w:r w:rsidR="007412B3">
        <w:rPr>
          <w:rFonts w:ascii="Arial" w:hAnsi="Arial" w:cs="Arial"/>
          <w:sz w:val="20"/>
          <w:szCs w:val="20"/>
        </w:rPr>
        <w:t xml:space="preserve">a </w:t>
      </w:r>
      <w:r w:rsidR="00552D81" w:rsidRPr="00D71EA2">
        <w:rPr>
          <w:rFonts w:ascii="Arial" w:hAnsi="Arial" w:cs="Arial"/>
          <w:sz w:val="20"/>
          <w:szCs w:val="20"/>
        </w:rPr>
        <w:t xml:space="preserve">study </w:t>
      </w:r>
      <w:r w:rsidR="007412B3">
        <w:rPr>
          <w:rFonts w:ascii="Arial" w:hAnsi="Arial" w:cs="Arial"/>
          <w:sz w:val="20"/>
          <w:szCs w:val="20"/>
        </w:rPr>
        <w:t xml:space="preserve">was </w:t>
      </w:r>
      <w:r w:rsidR="00552D81" w:rsidRPr="00D71EA2">
        <w:rPr>
          <w:rFonts w:ascii="Arial" w:hAnsi="Arial" w:cs="Arial"/>
          <w:sz w:val="20"/>
          <w:szCs w:val="20"/>
        </w:rPr>
        <w:t>conducted using primary data.</w:t>
      </w:r>
    </w:p>
    <w:p w14:paraId="7A0A58A3" w14:textId="5DD5BA65" w:rsidR="004C4CDB" w:rsidRPr="00D71EA2" w:rsidRDefault="004C4CDB" w:rsidP="00D71EA2">
      <w:pPr>
        <w:spacing w:after="0" w:line="240" w:lineRule="auto"/>
        <w:jc w:val="both"/>
        <w:rPr>
          <w:rFonts w:ascii="Arial" w:hAnsi="Arial" w:cs="Arial"/>
          <w:sz w:val="20"/>
          <w:szCs w:val="20"/>
        </w:rPr>
      </w:pPr>
      <w:r w:rsidRPr="00D71EA2">
        <w:rPr>
          <w:rFonts w:ascii="Arial" w:hAnsi="Arial" w:cs="Arial"/>
          <w:sz w:val="20"/>
          <w:szCs w:val="20"/>
        </w:rPr>
        <w:t xml:space="preserve">Four districts make up the Sylhet division: Sylhet, Sunamganj, </w:t>
      </w:r>
      <w:proofErr w:type="spellStart"/>
      <w:r w:rsidRPr="00D71EA2">
        <w:rPr>
          <w:rFonts w:ascii="Arial" w:hAnsi="Arial" w:cs="Arial"/>
          <w:sz w:val="20"/>
          <w:szCs w:val="20"/>
        </w:rPr>
        <w:t>Moulovibazar</w:t>
      </w:r>
      <w:proofErr w:type="spellEnd"/>
      <w:r w:rsidRPr="00D71EA2">
        <w:rPr>
          <w:rFonts w:ascii="Arial" w:hAnsi="Arial" w:cs="Arial"/>
          <w:sz w:val="20"/>
          <w:szCs w:val="20"/>
        </w:rPr>
        <w:t xml:space="preserve"> and </w:t>
      </w:r>
      <w:proofErr w:type="spellStart"/>
      <w:r w:rsidRPr="00D71EA2">
        <w:rPr>
          <w:rFonts w:ascii="Arial" w:hAnsi="Arial" w:cs="Arial"/>
          <w:sz w:val="20"/>
          <w:szCs w:val="20"/>
        </w:rPr>
        <w:t>Habiganj</w:t>
      </w:r>
      <w:proofErr w:type="spellEnd"/>
      <w:r w:rsidRPr="00D71EA2">
        <w:rPr>
          <w:rFonts w:ascii="Arial" w:hAnsi="Arial" w:cs="Arial"/>
          <w:sz w:val="20"/>
          <w:szCs w:val="20"/>
        </w:rPr>
        <w:t>. The research is carried out in Sylhet. We collect</w:t>
      </w:r>
      <w:r w:rsidR="00412BA0" w:rsidRPr="00D71EA2">
        <w:rPr>
          <w:rFonts w:ascii="Arial" w:hAnsi="Arial" w:cs="Arial"/>
          <w:sz w:val="20"/>
          <w:szCs w:val="20"/>
        </w:rPr>
        <w:t xml:space="preserve">ed data from two sources: </w:t>
      </w:r>
      <w:r w:rsidR="007412B3">
        <w:rPr>
          <w:rFonts w:ascii="Arial" w:hAnsi="Arial" w:cs="Arial"/>
          <w:sz w:val="20"/>
          <w:szCs w:val="20"/>
        </w:rPr>
        <w:t>c</w:t>
      </w:r>
      <w:r w:rsidR="00412BA0" w:rsidRPr="00D71EA2">
        <w:rPr>
          <w:rFonts w:ascii="Arial" w:hAnsi="Arial" w:cs="Arial"/>
          <w:sz w:val="20"/>
          <w:szCs w:val="20"/>
        </w:rPr>
        <w:t>oaching centers and an online Google form. The data was collected from six coaching centers and through Google Form</w:t>
      </w:r>
      <w:r w:rsidR="007412B3">
        <w:rPr>
          <w:rFonts w:ascii="Arial" w:hAnsi="Arial" w:cs="Arial"/>
          <w:sz w:val="20"/>
          <w:szCs w:val="20"/>
        </w:rPr>
        <w:t>s</w:t>
      </w:r>
      <w:r w:rsidR="00412BA0" w:rsidRPr="00D71EA2">
        <w:rPr>
          <w:rFonts w:ascii="Arial" w:hAnsi="Arial" w:cs="Arial"/>
          <w:sz w:val="20"/>
          <w:szCs w:val="20"/>
        </w:rPr>
        <w:t xml:space="preserve">. The coaching centers are located in Modina Market, </w:t>
      </w:r>
      <w:proofErr w:type="spellStart"/>
      <w:r w:rsidR="00412BA0" w:rsidRPr="00D71EA2">
        <w:rPr>
          <w:rFonts w:ascii="Arial" w:hAnsi="Arial" w:cs="Arial"/>
          <w:sz w:val="20"/>
          <w:szCs w:val="20"/>
        </w:rPr>
        <w:t>Amborkhana</w:t>
      </w:r>
      <w:proofErr w:type="spellEnd"/>
      <w:r w:rsidR="00412BA0" w:rsidRPr="00D71EA2">
        <w:rPr>
          <w:rFonts w:ascii="Arial" w:hAnsi="Arial" w:cs="Arial"/>
          <w:sz w:val="20"/>
          <w:szCs w:val="20"/>
        </w:rPr>
        <w:t xml:space="preserve">, </w:t>
      </w:r>
      <w:proofErr w:type="spellStart"/>
      <w:r w:rsidR="00412BA0" w:rsidRPr="00D71EA2">
        <w:rPr>
          <w:rFonts w:ascii="Arial" w:hAnsi="Arial" w:cs="Arial"/>
          <w:sz w:val="20"/>
          <w:szCs w:val="20"/>
        </w:rPr>
        <w:t>Zindabazar</w:t>
      </w:r>
      <w:proofErr w:type="spellEnd"/>
      <w:r w:rsidR="00412BA0" w:rsidRPr="00D71EA2">
        <w:rPr>
          <w:rFonts w:ascii="Arial" w:hAnsi="Arial" w:cs="Arial"/>
          <w:sz w:val="20"/>
          <w:szCs w:val="20"/>
        </w:rPr>
        <w:t xml:space="preserve">, and </w:t>
      </w:r>
      <w:proofErr w:type="spellStart"/>
      <w:r w:rsidR="00412BA0" w:rsidRPr="00D71EA2">
        <w:rPr>
          <w:rFonts w:ascii="Arial" w:hAnsi="Arial" w:cs="Arial"/>
          <w:sz w:val="20"/>
          <w:szCs w:val="20"/>
        </w:rPr>
        <w:t>Uposhohor</w:t>
      </w:r>
      <w:proofErr w:type="spellEnd"/>
      <w:r w:rsidR="00412BA0" w:rsidRPr="00D71EA2">
        <w:rPr>
          <w:rFonts w:ascii="Arial" w:hAnsi="Arial" w:cs="Arial"/>
          <w:sz w:val="20"/>
          <w:szCs w:val="20"/>
        </w:rPr>
        <w:t xml:space="preserve">, all in </w:t>
      </w:r>
      <w:r w:rsidR="007412B3">
        <w:rPr>
          <w:rFonts w:ascii="Arial" w:hAnsi="Arial" w:cs="Arial"/>
          <w:sz w:val="20"/>
          <w:szCs w:val="20"/>
        </w:rPr>
        <w:t xml:space="preserve">the </w:t>
      </w:r>
      <w:r w:rsidR="00412BA0" w:rsidRPr="00D71EA2">
        <w:rPr>
          <w:rFonts w:ascii="Arial" w:hAnsi="Arial" w:cs="Arial"/>
          <w:sz w:val="20"/>
          <w:szCs w:val="20"/>
        </w:rPr>
        <w:t xml:space="preserve">Sylhet division. The questionnaire was given to 190 individuals, </w:t>
      </w:r>
      <w:r w:rsidR="00552D81" w:rsidRPr="00D71EA2">
        <w:rPr>
          <w:rFonts w:ascii="Arial" w:hAnsi="Arial" w:cs="Arial"/>
          <w:sz w:val="20"/>
          <w:szCs w:val="20"/>
        </w:rPr>
        <w:t>finding</w:t>
      </w:r>
      <w:r w:rsidR="00412BA0" w:rsidRPr="00D71EA2">
        <w:rPr>
          <w:rFonts w:ascii="Arial" w:hAnsi="Arial" w:cs="Arial"/>
          <w:sz w:val="20"/>
          <w:szCs w:val="20"/>
        </w:rPr>
        <w:t xml:space="preserve"> 132 respondents are presently getting ready for the test, 40 respondents have previously taken it, and 4 respondents are getting ready to take it again. 14 </w:t>
      </w:r>
      <w:r w:rsidR="00BD1C9A" w:rsidRPr="00D71EA2">
        <w:rPr>
          <w:rFonts w:ascii="Arial" w:hAnsi="Arial" w:cs="Arial"/>
          <w:sz w:val="20"/>
          <w:szCs w:val="20"/>
        </w:rPr>
        <w:t>participants</w:t>
      </w:r>
      <w:r w:rsidR="007412B3">
        <w:rPr>
          <w:rFonts w:ascii="Arial" w:hAnsi="Arial" w:cs="Arial"/>
          <w:sz w:val="20"/>
          <w:szCs w:val="20"/>
        </w:rPr>
        <w:t>’</w:t>
      </w:r>
      <w:r w:rsidR="00412BA0" w:rsidRPr="00D71EA2">
        <w:rPr>
          <w:rFonts w:ascii="Arial" w:hAnsi="Arial" w:cs="Arial"/>
          <w:sz w:val="20"/>
          <w:szCs w:val="20"/>
        </w:rPr>
        <w:t xml:space="preserve"> data were not included because of incomplete information. To collect data from the coaching centers, the researchers initially contacted the </w:t>
      </w:r>
      <w:r w:rsidR="00593D58" w:rsidRPr="00D71EA2">
        <w:rPr>
          <w:rFonts w:ascii="Arial" w:hAnsi="Arial" w:cs="Arial"/>
          <w:sz w:val="20"/>
          <w:szCs w:val="20"/>
        </w:rPr>
        <w:t>manager to obtain official approval for access to the students.</w:t>
      </w:r>
    </w:p>
    <w:p w14:paraId="7EF9FFF6" w14:textId="6EE8D743" w:rsidR="00593D58" w:rsidRPr="00D71EA2" w:rsidRDefault="00593D58" w:rsidP="00D71EA2">
      <w:pPr>
        <w:spacing w:after="0" w:line="240" w:lineRule="auto"/>
        <w:jc w:val="both"/>
        <w:rPr>
          <w:rFonts w:ascii="Arial" w:hAnsi="Arial" w:cs="Arial"/>
          <w:sz w:val="20"/>
          <w:szCs w:val="20"/>
        </w:rPr>
      </w:pPr>
      <w:r w:rsidRPr="00D71EA2">
        <w:rPr>
          <w:rFonts w:ascii="Arial" w:hAnsi="Arial" w:cs="Arial"/>
          <w:sz w:val="20"/>
          <w:szCs w:val="20"/>
        </w:rPr>
        <w:t>The classification and organization of the data for analysis followed the goals of the study. During the interviews, the research participants were presented with the research questions and were asked to fill out the questionnaire. STATA and MS Excel were utilized for the classification and analysis of the data.</w:t>
      </w:r>
    </w:p>
    <w:p w14:paraId="40603013" w14:textId="769A3302" w:rsidR="00593D58" w:rsidRDefault="00593D58" w:rsidP="00D71EA2">
      <w:pPr>
        <w:spacing w:after="0" w:line="240" w:lineRule="auto"/>
        <w:jc w:val="both"/>
        <w:rPr>
          <w:rFonts w:ascii="Arial" w:hAnsi="Arial" w:cs="Arial"/>
          <w:sz w:val="20"/>
          <w:szCs w:val="20"/>
        </w:rPr>
      </w:pPr>
      <w:r w:rsidRPr="00D71EA2">
        <w:rPr>
          <w:rFonts w:ascii="Arial" w:hAnsi="Arial" w:cs="Arial"/>
          <w:sz w:val="20"/>
          <w:szCs w:val="20"/>
        </w:rPr>
        <w:t>This quantitative research helps us to evaluate their budget for going abroad</w:t>
      </w:r>
      <w:r w:rsidR="00DB7B0E" w:rsidRPr="00D71EA2">
        <w:rPr>
          <w:rFonts w:ascii="Arial" w:hAnsi="Arial" w:cs="Arial"/>
          <w:sz w:val="20"/>
          <w:szCs w:val="20"/>
        </w:rPr>
        <w:t xml:space="preserve"> for student visa</w:t>
      </w:r>
      <w:r w:rsidR="007412B3">
        <w:rPr>
          <w:rFonts w:ascii="Arial" w:hAnsi="Arial" w:cs="Arial"/>
          <w:sz w:val="20"/>
          <w:szCs w:val="20"/>
        </w:rPr>
        <w:t>s</w:t>
      </w:r>
      <w:r w:rsidR="00DB7B0E" w:rsidRPr="00D71EA2">
        <w:rPr>
          <w:rFonts w:ascii="Arial" w:hAnsi="Arial" w:cs="Arial"/>
          <w:sz w:val="20"/>
          <w:szCs w:val="20"/>
        </w:rPr>
        <w:t xml:space="preserve"> and working visa</w:t>
      </w:r>
      <w:r w:rsidR="007412B3">
        <w:rPr>
          <w:rFonts w:ascii="Arial" w:hAnsi="Arial" w:cs="Arial"/>
          <w:sz w:val="20"/>
          <w:szCs w:val="20"/>
        </w:rPr>
        <w:t>s</w:t>
      </w:r>
      <w:r w:rsidRPr="00D71EA2">
        <w:rPr>
          <w:rFonts w:ascii="Arial" w:hAnsi="Arial" w:cs="Arial"/>
          <w:sz w:val="20"/>
          <w:szCs w:val="20"/>
        </w:rPr>
        <w:t xml:space="preserve"> </w:t>
      </w:r>
      <w:r w:rsidR="00DB7B0E" w:rsidRPr="00D71EA2">
        <w:rPr>
          <w:rFonts w:ascii="Arial" w:hAnsi="Arial" w:cs="Arial"/>
          <w:sz w:val="20"/>
          <w:szCs w:val="20"/>
        </w:rPr>
        <w:t>by taking</w:t>
      </w:r>
      <w:r w:rsidR="007412B3">
        <w:rPr>
          <w:rFonts w:ascii="Arial" w:hAnsi="Arial" w:cs="Arial"/>
          <w:sz w:val="20"/>
          <w:szCs w:val="20"/>
        </w:rPr>
        <w:t xml:space="preserve"> the</w:t>
      </w:r>
      <w:r w:rsidR="00DB7B0E" w:rsidRPr="00D71EA2">
        <w:rPr>
          <w:rFonts w:ascii="Arial" w:hAnsi="Arial" w:cs="Arial"/>
          <w:sz w:val="20"/>
          <w:szCs w:val="20"/>
        </w:rPr>
        <w:t xml:space="preserve"> IELTS test </w:t>
      </w:r>
      <w:r w:rsidRPr="00D71EA2">
        <w:rPr>
          <w:rFonts w:ascii="Arial" w:hAnsi="Arial" w:cs="Arial"/>
          <w:sz w:val="20"/>
          <w:szCs w:val="20"/>
        </w:rPr>
        <w:t>and how they manage their budget</w:t>
      </w:r>
      <w:r w:rsidR="00DB7B0E" w:rsidRPr="00D71EA2">
        <w:rPr>
          <w:rFonts w:ascii="Arial" w:hAnsi="Arial" w:cs="Arial"/>
          <w:sz w:val="20"/>
          <w:szCs w:val="20"/>
        </w:rPr>
        <w:t xml:space="preserve"> and interpret the data from their perspectives. Interviews were conducted with individuals preparing for the IELTS test, those who have already taken the test, and those preparing to retake it. There were participants in the study from </w:t>
      </w:r>
      <w:r w:rsidR="00AD2469">
        <w:rPr>
          <w:rFonts w:ascii="Arial" w:hAnsi="Arial" w:cs="Arial"/>
          <w:sz w:val="20"/>
          <w:szCs w:val="20"/>
        </w:rPr>
        <w:t xml:space="preserve">different income </w:t>
      </w:r>
      <w:r w:rsidR="00161262">
        <w:rPr>
          <w:rFonts w:ascii="Arial" w:hAnsi="Arial" w:cs="Arial"/>
          <w:sz w:val="20"/>
          <w:szCs w:val="20"/>
        </w:rPr>
        <w:t>levels</w:t>
      </w:r>
      <w:r w:rsidR="00DB7B0E" w:rsidRPr="00D71EA2">
        <w:rPr>
          <w:rFonts w:ascii="Arial" w:hAnsi="Arial" w:cs="Arial"/>
          <w:sz w:val="20"/>
          <w:szCs w:val="20"/>
        </w:rPr>
        <w:t>. The investigation was conducted with ethical norms consistently upheld. Confidentiality of information and responder anonymity were carefully preserved.</w:t>
      </w:r>
    </w:p>
    <w:p w14:paraId="2E7AF18F" w14:textId="77777777" w:rsidR="00D71EA2" w:rsidRDefault="00D71EA2" w:rsidP="00D71EA2">
      <w:pPr>
        <w:spacing w:after="0" w:line="240" w:lineRule="auto"/>
        <w:jc w:val="both"/>
        <w:rPr>
          <w:rFonts w:ascii="Arial" w:hAnsi="Arial" w:cs="Arial"/>
          <w:sz w:val="20"/>
          <w:szCs w:val="20"/>
        </w:rPr>
      </w:pPr>
    </w:p>
    <w:p w14:paraId="6876B9AE" w14:textId="6BFAAF72" w:rsidR="00D71EA2" w:rsidRDefault="00161262" w:rsidP="00D71EA2">
      <w:pPr>
        <w:spacing w:after="0" w:line="240" w:lineRule="auto"/>
        <w:jc w:val="both"/>
        <w:rPr>
          <w:rFonts w:ascii="Arial" w:hAnsi="Arial" w:cs="Arial"/>
          <w:b/>
          <w:bCs/>
        </w:rPr>
      </w:pPr>
      <w:r>
        <w:rPr>
          <w:rFonts w:ascii="Arial" w:hAnsi="Arial" w:cs="Arial"/>
          <w:b/>
          <w:bCs/>
        </w:rPr>
        <w:t>6</w:t>
      </w:r>
      <w:r w:rsidR="00D71EA2" w:rsidRPr="00D71EA2">
        <w:rPr>
          <w:rFonts w:ascii="Arial" w:hAnsi="Arial" w:cs="Arial"/>
          <w:b/>
          <w:bCs/>
        </w:rPr>
        <w:t>. RESULTS AND DISCUSSION</w:t>
      </w:r>
    </w:p>
    <w:p w14:paraId="7D3D80C2" w14:textId="77777777" w:rsidR="00D71EA2" w:rsidRPr="00D71EA2" w:rsidRDefault="00D71EA2" w:rsidP="00D71EA2">
      <w:pPr>
        <w:spacing w:after="0" w:line="240" w:lineRule="auto"/>
        <w:jc w:val="both"/>
        <w:rPr>
          <w:rFonts w:ascii="Arial" w:hAnsi="Arial" w:cs="Arial"/>
          <w:b/>
          <w:bCs/>
        </w:rPr>
      </w:pPr>
    </w:p>
    <w:p w14:paraId="250B9B91" w14:textId="5550E883" w:rsidR="008C47F3" w:rsidRDefault="00161262" w:rsidP="00020154">
      <w:pPr>
        <w:spacing w:after="0" w:line="240" w:lineRule="auto"/>
        <w:jc w:val="both"/>
        <w:rPr>
          <w:rFonts w:ascii="Arial" w:hAnsi="Arial" w:cs="Arial"/>
          <w:b/>
          <w:bCs/>
        </w:rPr>
      </w:pPr>
      <w:r>
        <w:rPr>
          <w:rFonts w:ascii="Arial" w:hAnsi="Arial" w:cs="Arial"/>
          <w:b/>
          <w:bCs/>
        </w:rPr>
        <w:t>6</w:t>
      </w:r>
      <w:r w:rsidR="00D71EA2" w:rsidRPr="008C47F3">
        <w:rPr>
          <w:rFonts w:ascii="Arial" w:hAnsi="Arial" w:cs="Arial"/>
          <w:b/>
          <w:bCs/>
        </w:rPr>
        <w:t>.1. Profile</w:t>
      </w:r>
    </w:p>
    <w:p w14:paraId="5E6E7C21" w14:textId="77777777" w:rsidR="008C47F3" w:rsidRPr="008C47F3" w:rsidRDefault="008C47F3" w:rsidP="008C47F3">
      <w:pPr>
        <w:spacing w:after="0" w:line="240" w:lineRule="auto"/>
        <w:jc w:val="both"/>
        <w:rPr>
          <w:rFonts w:ascii="Arial" w:hAnsi="Arial" w:cs="Arial"/>
          <w:sz w:val="20"/>
          <w:szCs w:val="20"/>
        </w:rPr>
      </w:pPr>
    </w:p>
    <w:p w14:paraId="04ADBC86" w14:textId="1826161B" w:rsidR="008C47F3" w:rsidRPr="008C47F3" w:rsidRDefault="00AB573D"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1: </w:t>
      </w:r>
      <w:r w:rsidR="008C47F3">
        <w:rPr>
          <w:rFonts w:ascii="Arial" w:hAnsi="Arial" w:cs="Arial"/>
          <w:b/>
          <w:bCs/>
          <w:sz w:val="20"/>
          <w:szCs w:val="20"/>
        </w:rPr>
        <w:t>Demographic</w:t>
      </w:r>
      <w:r w:rsidRPr="008C47F3">
        <w:rPr>
          <w:rFonts w:ascii="Arial" w:hAnsi="Arial" w:cs="Arial"/>
          <w:b/>
          <w:bCs/>
          <w:sz w:val="20"/>
          <w:szCs w:val="20"/>
        </w:rPr>
        <w:t xml:space="preserve"> Information</w:t>
      </w:r>
    </w:p>
    <w:tbl>
      <w:tblPr>
        <w:tblW w:w="10767" w:type="dxa"/>
        <w:tblInd w:w="-5" w:type="dxa"/>
        <w:tblLook w:val="04A0" w:firstRow="1" w:lastRow="0" w:firstColumn="1" w:lastColumn="0" w:noHBand="0" w:noVBand="1"/>
      </w:tblPr>
      <w:tblGrid>
        <w:gridCol w:w="1948"/>
        <w:gridCol w:w="1832"/>
        <w:gridCol w:w="1530"/>
        <w:gridCol w:w="1620"/>
        <w:gridCol w:w="1080"/>
        <w:gridCol w:w="990"/>
        <w:gridCol w:w="720"/>
        <w:gridCol w:w="1047"/>
      </w:tblGrid>
      <w:tr w:rsidR="00AB573D" w:rsidRPr="008C47F3" w14:paraId="364E9303" w14:textId="77777777" w:rsidTr="00EC557E">
        <w:trPr>
          <w:trHeight w:val="279"/>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CC1F8" w14:textId="11E41FB6"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Characteristics</w:t>
            </w:r>
          </w:p>
        </w:tc>
        <w:tc>
          <w:tcPr>
            <w:tcW w:w="1832" w:type="dxa"/>
            <w:tcBorders>
              <w:top w:val="single" w:sz="4" w:space="0" w:color="auto"/>
              <w:left w:val="nil"/>
              <w:bottom w:val="single" w:sz="4" w:space="0" w:color="auto"/>
              <w:right w:val="single" w:sz="4" w:space="0" w:color="auto"/>
            </w:tcBorders>
            <w:shd w:val="clear" w:color="auto" w:fill="auto"/>
            <w:vAlign w:val="bottom"/>
            <w:hideMark/>
          </w:tcPr>
          <w:p w14:paraId="071A1313" w14:textId="77A146DB"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Categories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E5A7A6D" w14:textId="77777777"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Number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01755C1" w14:textId="77777777"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Percentage</w:t>
            </w:r>
          </w:p>
        </w:tc>
        <w:tc>
          <w:tcPr>
            <w:tcW w:w="1080" w:type="dxa"/>
            <w:tcBorders>
              <w:top w:val="single" w:sz="4" w:space="0" w:color="auto"/>
              <w:left w:val="nil"/>
              <w:bottom w:val="single" w:sz="4" w:space="0" w:color="auto"/>
            </w:tcBorders>
            <w:shd w:val="clear" w:color="auto" w:fill="auto"/>
            <w:noWrap/>
            <w:vAlign w:val="bottom"/>
            <w:hideMark/>
          </w:tcPr>
          <w:p w14:paraId="5A41A2C1" w14:textId="77777777"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Mean</w:t>
            </w:r>
          </w:p>
        </w:tc>
        <w:tc>
          <w:tcPr>
            <w:tcW w:w="990" w:type="dxa"/>
            <w:tcBorders>
              <w:top w:val="single" w:sz="4" w:space="0" w:color="auto"/>
              <w:bottom w:val="single" w:sz="4" w:space="0" w:color="auto"/>
            </w:tcBorders>
            <w:vAlign w:val="bottom"/>
          </w:tcPr>
          <w:p w14:paraId="0E91B6DC" w14:textId="7CE54FB3" w:rsidR="00AB573D" w:rsidRPr="008C47F3" w:rsidRDefault="008862EB"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Mode</w:t>
            </w:r>
          </w:p>
        </w:tc>
        <w:tc>
          <w:tcPr>
            <w:tcW w:w="720" w:type="dxa"/>
            <w:tcBorders>
              <w:top w:val="single" w:sz="4" w:space="0" w:color="auto"/>
              <w:bottom w:val="single" w:sz="4" w:space="0" w:color="auto"/>
              <w:right w:val="single" w:sz="4" w:space="0" w:color="auto"/>
            </w:tcBorders>
            <w:shd w:val="clear" w:color="auto" w:fill="auto"/>
            <w:noWrap/>
            <w:vAlign w:val="bottom"/>
            <w:hideMark/>
          </w:tcPr>
          <w:p w14:paraId="230DB78F" w14:textId="541040C5" w:rsidR="00AB573D" w:rsidRPr="008C47F3" w:rsidRDefault="00AB573D" w:rsidP="008C47F3">
            <w:pPr>
              <w:spacing w:after="0" w:line="240" w:lineRule="auto"/>
              <w:jc w:val="both"/>
              <w:rPr>
                <w:rFonts w:ascii="Arial" w:eastAsia="Times New Roman" w:hAnsi="Arial" w:cs="Arial"/>
                <w:b/>
                <w:bCs/>
                <w:color w:val="000000"/>
                <w:sz w:val="20"/>
                <w:szCs w:val="20"/>
              </w:rPr>
            </w:pPr>
            <w:r w:rsidRPr="008C47F3">
              <w:rPr>
                <w:rFonts w:ascii="Arial" w:eastAsia="Times New Roman" w:hAnsi="Arial" w:cs="Arial"/>
                <w:b/>
                <w:bCs/>
                <w:color w:val="000000"/>
                <w:sz w:val="20"/>
                <w:szCs w:val="20"/>
              </w:rPr>
              <w:t>SD</w:t>
            </w:r>
          </w:p>
        </w:tc>
        <w:tc>
          <w:tcPr>
            <w:tcW w:w="1047" w:type="dxa"/>
            <w:vAlign w:val="center"/>
            <w:hideMark/>
          </w:tcPr>
          <w:p w14:paraId="60479C93" w14:textId="77777777" w:rsidR="00AB573D" w:rsidRPr="008C47F3" w:rsidRDefault="00AB573D" w:rsidP="008C47F3">
            <w:pPr>
              <w:spacing w:after="0" w:line="240" w:lineRule="auto"/>
              <w:jc w:val="both"/>
              <w:rPr>
                <w:rFonts w:ascii="Arial" w:eastAsia="Times New Roman" w:hAnsi="Arial" w:cs="Arial"/>
                <w:sz w:val="20"/>
                <w:szCs w:val="20"/>
              </w:rPr>
            </w:pPr>
          </w:p>
        </w:tc>
      </w:tr>
      <w:tr w:rsidR="00564305" w:rsidRPr="008C47F3" w14:paraId="1C2DF7FF" w14:textId="77777777" w:rsidTr="00EC557E">
        <w:trPr>
          <w:trHeight w:val="279"/>
        </w:trPr>
        <w:tc>
          <w:tcPr>
            <w:tcW w:w="1948" w:type="dxa"/>
            <w:vMerge w:val="restart"/>
            <w:tcBorders>
              <w:top w:val="single" w:sz="4" w:space="0" w:color="auto"/>
              <w:left w:val="single" w:sz="4" w:space="0" w:color="auto"/>
              <w:right w:val="single" w:sz="4" w:space="0" w:color="auto"/>
            </w:tcBorders>
            <w:shd w:val="clear" w:color="auto" w:fill="auto"/>
            <w:noWrap/>
            <w:vAlign w:val="center"/>
            <w:hideMark/>
          </w:tcPr>
          <w:p w14:paraId="5EFD4364" w14:textId="77777777"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lastRenderedPageBreak/>
              <w:t>Age</w:t>
            </w:r>
          </w:p>
        </w:tc>
        <w:tc>
          <w:tcPr>
            <w:tcW w:w="1832" w:type="dxa"/>
            <w:tcBorders>
              <w:top w:val="single" w:sz="4" w:space="0" w:color="auto"/>
              <w:left w:val="nil"/>
              <w:right w:val="single" w:sz="4" w:space="0" w:color="auto"/>
            </w:tcBorders>
            <w:shd w:val="clear" w:color="auto" w:fill="auto"/>
            <w:vAlign w:val="center"/>
            <w:hideMark/>
          </w:tcPr>
          <w:p w14:paraId="350F381C" w14:textId="7A3CF0B3"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Less than 20</w:t>
            </w:r>
          </w:p>
        </w:tc>
        <w:tc>
          <w:tcPr>
            <w:tcW w:w="1530" w:type="dxa"/>
            <w:tcBorders>
              <w:top w:val="single" w:sz="4" w:space="0" w:color="auto"/>
              <w:left w:val="nil"/>
              <w:right w:val="single" w:sz="4" w:space="0" w:color="auto"/>
            </w:tcBorders>
            <w:shd w:val="clear" w:color="auto" w:fill="auto"/>
            <w:noWrap/>
            <w:vAlign w:val="center"/>
          </w:tcPr>
          <w:p w14:paraId="23E8496A" w14:textId="1C2CD666"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27</w:t>
            </w:r>
          </w:p>
        </w:tc>
        <w:tc>
          <w:tcPr>
            <w:tcW w:w="1620" w:type="dxa"/>
            <w:tcBorders>
              <w:top w:val="single" w:sz="4" w:space="0" w:color="auto"/>
              <w:left w:val="nil"/>
              <w:right w:val="single" w:sz="4" w:space="0" w:color="auto"/>
            </w:tcBorders>
            <w:shd w:val="clear" w:color="auto" w:fill="auto"/>
            <w:noWrap/>
            <w:vAlign w:val="center"/>
          </w:tcPr>
          <w:p w14:paraId="215526AD" w14:textId="6DA7B97B"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15.34</w:t>
            </w:r>
          </w:p>
        </w:tc>
        <w:tc>
          <w:tcPr>
            <w:tcW w:w="1080" w:type="dxa"/>
            <w:vMerge w:val="restart"/>
            <w:tcBorders>
              <w:top w:val="single" w:sz="4" w:space="0" w:color="auto"/>
              <w:left w:val="single" w:sz="4" w:space="0" w:color="auto"/>
              <w:bottom w:val="single" w:sz="4" w:space="0" w:color="auto"/>
            </w:tcBorders>
            <w:shd w:val="clear" w:color="auto" w:fill="auto"/>
            <w:noWrap/>
            <w:vAlign w:val="bottom"/>
          </w:tcPr>
          <w:p w14:paraId="5AB9730B" w14:textId="1F0DAF3F"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23.27</w:t>
            </w:r>
          </w:p>
        </w:tc>
        <w:tc>
          <w:tcPr>
            <w:tcW w:w="990" w:type="dxa"/>
            <w:vMerge w:val="restart"/>
            <w:tcBorders>
              <w:top w:val="single" w:sz="4" w:space="0" w:color="auto"/>
            </w:tcBorders>
            <w:vAlign w:val="bottom"/>
          </w:tcPr>
          <w:p w14:paraId="69483740"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4EA9ADB8"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14F82EEE"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2BF294E8" w14:textId="77777777" w:rsidR="006C0716" w:rsidRPr="008C47F3" w:rsidRDefault="006C0716" w:rsidP="008C47F3">
            <w:pPr>
              <w:spacing w:after="0" w:line="240" w:lineRule="auto"/>
              <w:jc w:val="both"/>
              <w:rPr>
                <w:rFonts w:ascii="Arial" w:eastAsia="Times New Roman" w:hAnsi="Arial" w:cs="Arial"/>
                <w:color w:val="000000"/>
                <w:sz w:val="20"/>
                <w:szCs w:val="20"/>
              </w:rPr>
            </w:pPr>
          </w:p>
          <w:p w14:paraId="1389F550" w14:textId="102D1105"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20</w:t>
            </w:r>
          </w:p>
        </w:tc>
        <w:tc>
          <w:tcPr>
            <w:tcW w:w="720" w:type="dxa"/>
            <w:vMerge w:val="restart"/>
            <w:tcBorders>
              <w:top w:val="single" w:sz="4" w:space="0" w:color="auto"/>
              <w:bottom w:val="single" w:sz="4" w:space="0" w:color="auto"/>
              <w:right w:val="single" w:sz="4" w:space="0" w:color="auto"/>
            </w:tcBorders>
            <w:shd w:val="clear" w:color="auto" w:fill="auto"/>
            <w:noWrap/>
            <w:vAlign w:val="bottom"/>
          </w:tcPr>
          <w:p w14:paraId="177F4FAE" w14:textId="341FB721"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4.14</w:t>
            </w:r>
          </w:p>
        </w:tc>
        <w:tc>
          <w:tcPr>
            <w:tcW w:w="1047" w:type="dxa"/>
            <w:vAlign w:val="center"/>
            <w:hideMark/>
          </w:tcPr>
          <w:p w14:paraId="0A208228"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5C623B6D" w14:textId="77777777" w:rsidTr="00EC557E">
        <w:trPr>
          <w:trHeight w:val="279"/>
        </w:trPr>
        <w:tc>
          <w:tcPr>
            <w:tcW w:w="1948" w:type="dxa"/>
            <w:vMerge/>
            <w:tcBorders>
              <w:top w:val="nil"/>
              <w:left w:val="single" w:sz="4" w:space="0" w:color="auto"/>
              <w:right w:val="single" w:sz="4" w:space="0" w:color="auto"/>
            </w:tcBorders>
            <w:vAlign w:val="center"/>
            <w:hideMark/>
          </w:tcPr>
          <w:p w14:paraId="2A8FC5B5"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hideMark/>
          </w:tcPr>
          <w:p w14:paraId="68A082F3" w14:textId="1E75FCB5"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20-24</w:t>
            </w:r>
          </w:p>
        </w:tc>
        <w:tc>
          <w:tcPr>
            <w:tcW w:w="1530" w:type="dxa"/>
            <w:tcBorders>
              <w:top w:val="nil"/>
              <w:left w:val="nil"/>
              <w:right w:val="single" w:sz="4" w:space="0" w:color="auto"/>
            </w:tcBorders>
            <w:shd w:val="clear" w:color="auto" w:fill="auto"/>
            <w:noWrap/>
            <w:vAlign w:val="center"/>
          </w:tcPr>
          <w:p w14:paraId="70CC8814" w14:textId="0097D18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83</w:t>
            </w:r>
          </w:p>
        </w:tc>
        <w:tc>
          <w:tcPr>
            <w:tcW w:w="1620" w:type="dxa"/>
            <w:tcBorders>
              <w:top w:val="nil"/>
              <w:left w:val="nil"/>
              <w:right w:val="single" w:sz="4" w:space="0" w:color="auto"/>
            </w:tcBorders>
            <w:shd w:val="clear" w:color="auto" w:fill="auto"/>
            <w:noWrap/>
            <w:vAlign w:val="center"/>
          </w:tcPr>
          <w:p w14:paraId="718D655E" w14:textId="49431D35"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47.16</w:t>
            </w:r>
          </w:p>
        </w:tc>
        <w:tc>
          <w:tcPr>
            <w:tcW w:w="1080" w:type="dxa"/>
            <w:vMerge/>
            <w:tcBorders>
              <w:top w:val="nil"/>
              <w:left w:val="single" w:sz="4" w:space="0" w:color="auto"/>
              <w:bottom w:val="single" w:sz="4" w:space="0" w:color="auto"/>
            </w:tcBorders>
            <w:vAlign w:val="center"/>
          </w:tcPr>
          <w:p w14:paraId="5876BBF6"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18019D1A"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5E15AD19" w14:textId="2E94A819"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009E8508"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389B99C6" w14:textId="77777777" w:rsidTr="00EC557E">
        <w:trPr>
          <w:trHeight w:val="279"/>
        </w:trPr>
        <w:tc>
          <w:tcPr>
            <w:tcW w:w="1948" w:type="dxa"/>
            <w:vMerge/>
            <w:tcBorders>
              <w:top w:val="nil"/>
              <w:left w:val="single" w:sz="4" w:space="0" w:color="auto"/>
              <w:right w:val="single" w:sz="4" w:space="0" w:color="auto"/>
            </w:tcBorders>
            <w:vAlign w:val="center"/>
            <w:hideMark/>
          </w:tcPr>
          <w:p w14:paraId="3F8EB54B"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hideMark/>
          </w:tcPr>
          <w:p w14:paraId="60CDC461" w14:textId="3C423F02"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25-29</w:t>
            </w:r>
          </w:p>
        </w:tc>
        <w:tc>
          <w:tcPr>
            <w:tcW w:w="1530" w:type="dxa"/>
            <w:tcBorders>
              <w:top w:val="nil"/>
              <w:left w:val="nil"/>
              <w:right w:val="single" w:sz="4" w:space="0" w:color="auto"/>
            </w:tcBorders>
            <w:shd w:val="clear" w:color="auto" w:fill="auto"/>
            <w:noWrap/>
            <w:vAlign w:val="center"/>
          </w:tcPr>
          <w:p w14:paraId="50F397AD" w14:textId="7BD64EB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55</w:t>
            </w:r>
          </w:p>
        </w:tc>
        <w:tc>
          <w:tcPr>
            <w:tcW w:w="1620" w:type="dxa"/>
            <w:tcBorders>
              <w:top w:val="nil"/>
              <w:left w:val="nil"/>
              <w:right w:val="single" w:sz="4" w:space="0" w:color="auto"/>
            </w:tcBorders>
            <w:shd w:val="clear" w:color="auto" w:fill="auto"/>
            <w:noWrap/>
            <w:vAlign w:val="center"/>
          </w:tcPr>
          <w:p w14:paraId="2C0EAAE8" w14:textId="2494450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31.25</w:t>
            </w:r>
          </w:p>
        </w:tc>
        <w:tc>
          <w:tcPr>
            <w:tcW w:w="1080" w:type="dxa"/>
            <w:vMerge/>
            <w:tcBorders>
              <w:top w:val="nil"/>
              <w:left w:val="single" w:sz="4" w:space="0" w:color="auto"/>
              <w:bottom w:val="single" w:sz="4" w:space="0" w:color="auto"/>
            </w:tcBorders>
            <w:vAlign w:val="center"/>
          </w:tcPr>
          <w:p w14:paraId="49BF3EB4"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16F709C0"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48D5509D" w14:textId="10F4B601"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3A826CFB"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4BCF0055" w14:textId="77777777" w:rsidTr="00EC557E">
        <w:trPr>
          <w:trHeight w:val="279"/>
        </w:trPr>
        <w:tc>
          <w:tcPr>
            <w:tcW w:w="1948" w:type="dxa"/>
            <w:vMerge/>
            <w:tcBorders>
              <w:top w:val="nil"/>
              <w:left w:val="single" w:sz="4" w:space="0" w:color="auto"/>
              <w:right w:val="single" w:sz="4" w:space="0" w:color="auto"/>
            </w:tcBorders>
            <w:vAlign w:val="center"/>
            <w:hideMark/>
          </w:tcPr>
          <w:p w14:paraId="44670A6F"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hideMark/>
          </w:tcPr>
          <w:p w14:paraId="4008256E" w14:textId="237DDBA0"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30-34</w:t>
            </w:r>
          </w:p>
        </w:tc>
        <w:tc>
          <w:tcPr>
            <w:tcW w:w="1530" w:type="dxa"/>
            <w:tcBorders>
              <w:top w:val="nil"/>
              <w:left w:val="nil"/>
              <w:right w:val="single" w:sz="4" w:space="0" w:color="auto"/>
            </w:tcBorders>
            <w:shd w:val="clear" w:color="auto" w:fill="auto"/>
            <w:noWrap/>
            <w:vAlign w:val="center"/>
          </w:tcPr>
          <w:p w14:paraId="1390D663" w14:textId="45BF1833"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10</w:t>
            </w:r>
          </w:p>
        </w:tc>
        <w:tc>
          <w:tcPr>
            <w:tcW w:w="1620" w:type="dxa"/>
            <w:tcBorders>
              <w:top w:val="nil"/>
              <w:left w:val="nil"/>
              <w:right w:val="single" w:sz="4" w:space="0" w:color="auto"/>
            </w:tcBorders>
            <w:shd w:val="clear" w:color="auto" w:fill="auto"/>
            <w:noWrap/>
            <w:vAlign w:val="center"/>
          </w:tcPr>
          <w:p w14:paraId="367D5D3F" w14:textId="7153CF6E"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5.68</w:t>
            </w:r>
          </w:p>
        </w:tc>
        <w:tc>
          <w:tcPr>
            <w:tcW w:w="1080" w:type="dxa"/>
            <w:vMerge/>
            <w:tcBorders>
              <w:top w:val="nil"/>
              <w:left w:val="single" w:sz="4" w:space="0" w:color="auto"/>
              <w:bottom w:val="single" w:sz="4" w:space="0" w:color="auto"/>
            </w:tcBorders>
            <w:vAlign w:val="center"/>
          </w:tcPr>
          <w:p w14:paraId="026F0618"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42DCBB8D"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78496FC7" w14:textId="1E3DC5DF"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345213D1"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2BFA1F93" w14:textId="77777777" w:rsidTr="00EC557E">
        <w:trPr>
          <w:trHeight w:val="279"/>
        </w:trPr>
        <w:tc>
          <w:tcPr>
            <w:tcW w:w="1948" w:type="dxa"/>
            <w:vMerge/>
            <w:tcBorders>
              <w:top w:val="nil"/>
              <w:left w:val="single" w:sz="4" w:space="0" w:color="auto"/>
              <w:right w:val="single" w:sz="4" w:space="0" w:color="auto"/>
            </w:tcBorders>
            <w:vAlign w:val="center"/>
            <w:hideMark/>
          </w:tcPr>
          <w:p w14:paraId="5F4C9AB0"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center"/>
            <w:hideMark/>
          </w:tcPr>
          <w:p w14:paraId="18D73BAA" w14:textId="4960A8E0"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Above 34</w:t>
            </w:r>
          </w:p>
        </w:tc>
        <w:tc>
          <w:tcPr>
            <w:tcW w:w="1530" w:type="dxa"/>
            <w:tcBorders>
              <w:top w:val="nil"/>
              <w:left w:val="nil"/>
              <w:bottom w:val="single" w:sz="4" w:space="0" w:color="auto"/>
              <w:right w:val="single" w:sz="4" w:space="0" w:color="auto"/>
            </w:tcBorders>
            <w:shd w:val="clear" w:color="auto" w:fill="auto"/>
            <w:noWrap/>
            <w:vAlign w:val="center"/>
          </w:tcPr>
          <w:p w14:paraId="1418A78D" w14:textId="3C2DA3E2"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01</w:t>
            </w:r>
          </w:p>
        </w:tc>
        <w:tc>
          <w:tcPr>
            <w:tcW w:w="1620" w:type="dxa"/>
            <w:tcBorders>
              <w:top w:val="nil"/>
              <w:left w:val="nil"/>
              <w:bottom w:val="single" w:sz="4" w:space="0" w:color="auto"/>
              <w:right w:val="single" w:sz="4" w:space="0" w:color="auto"/>
            </w:tcBorders>
            <w:shd w:val="clear" w:color="auto" w:fill="auto"/>
            <w:noWrap/>
            <w:vAlign w:val="center"/>
          </w:tcPr>
          <w:p w14:paraId="10E087F2" w14:textId="1A21FAED" w:rsidR="00564305" w:rsidRPr="008C47F3" w:rsidRDefault="00784371"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0.57</w:t>
            </w:r>
          </w:p>
        </w:tc>
        <w:tc>
          <w:tcPr>
            <w:tcW w:w="1080" w:type="dxa"/>
            <w:vMerge/>
            <w:tcBorders>
              <w:top w:val="nil"/>
              <w:left w:val="single" w:sz="4" w:space="0" w:color="auto"/>
              <w:bottom w:val="single" w:sz="4" w:space="0" w:color="auto"/>
            </w:tcBorders>
            <w:vAlign w:val="center"/>
          </w:tcPr>
          <w:p w14:paraId="10CBF97A"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auto"/>
            </w:tcBorders>
          </w:tcPr>
          <w:p w14:paraId="7C353769"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tcPr>
          <w:p w14:paraId="7C2E7763" w14:textId="2913EB43"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1DA70867"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584196A5" w14:textId="77777777" w:rsidTr="00EC557E">
        <w:trPr>
          <w:trHeight w:val="289"/>
        </w:trPr>
        <w:tc>
          <w:tcPr>
            <w:tcW w:w="1948" w:type="dxa"/>
            <w:vMerge w:val="restart"/>
            <w:tcBorders>
              <w:top w:val="nil"/>
              <w:left w:val="single" w:sz="4" w:space="0" w:color="auto"/>
              <w:right w:val="single" w:sz="4" w:space="0" w:color="auto"/>
            </w:tcBorders>
            <w:shd w:val="clear" w:color="auto" w:fill="auto"/>
            <w:noWrap/>
            <w:vAlign w:val="center"/>
            <w:hideMark/>
          </w:tcPr>
          <w:p w14:paraId="359A212C" w14:textId="77777777" w:rsidR="00564305" w:rsidRPr="008C47F3" w:rsidRDefault="00564305"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Occupation</w:t>
            </w:r>
          </w:p>
        </w:tc>
        <w:tc>
          <w:tcPr>
            <w:tcW w:w="1832" w:type="dxa"/>
            <w:tcBorders>
              <w:top w:val="single" w:sz="4" w:space="0" w:color="auto"/>
              <w:left w:val="nil"/>
              <w:right w:val="single" w:sz="4" w:space="0" w:color="auto"/>
            </w:tcBorders>
            <w:shd w:val="clear" w:color="auto" w:fill="auto"/>
            <w:vAlign w:val="center"/>
          </w:tcPr>
          <w:p w14:paraId="74F7557F" w14:textId="4D59A9B1"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Student</w:t>
            </w:r>
          </w:p>
        </w:tc>
        <w:tc>
          <w:tcPr>
            <w:tcW w:w="1530" w:type="dxa"/>
            <w:tcBorders>
              <w:top w:val="single" w:sz="4" w:space="0" w:color="auto"/>
              <w:left w:val="nil"/>
              <w:right w:val="single" w:sz="4" w:space="0" w:color="auto"/>
            </w:tcBorders>
            <w:shd w:val="clear" w:color="auto" w:fill="auto"/>
            <w:noWrap/>
            <w:vAlign w:val="center"/>
          </w:tcPr>
          <w:p w14:paraId="4F97D209" w14:textId="6BA6563E"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143</w:t>
            </w:r>
          </w:p>
        </w:tc>
        <w:tc>
          <w:tcPr>
            <w:tcW w:w="1620" w:type="dxa"/>
            <w:tcBorders>
              <w:top w:val="single" w:sz="4" w:space="0" w:color="auto"/>
              <w:left w:val="nil"/>
              <w:right w:val="single" w:sz="4" w:space="0" w:color="auto"/>
            </w:tcBorders>
            <w:shd w:val="clear" w:color="auto" w:fill="auto"/>
            <w:noWrap/>
            <w:vAlign w:val="center"/>
          </w:tcPr>
          <w:p w14:paraId="0E618880" w14:textId="2BAC228F"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81.25</w:t>
            </w:r>
          </w:p>
        </w:tc>
        <w:tc>
          <w:tcPr>
            <w:tcW w:w="1080" w:type="dxa"/>
            <w:vMerge w:val="restart"/>
            <w:tcBorders>
              <w:top w:val="single" w:sz="4" w:space="0" w:color="auto"/>
              <w:left w:val="single" w:sz="4" w:space="0" w:color="auto"/>
              <w:bottom w:val="single" w:sz="4" w:space="0" w:color="000000"/>
            </w:tcBorders>
            <w:shd w:val="clear" w:color="auto" w:fill="auto"/>
            <w:noWrap/>
            <w:vAlign w:val="center"/>
            <w:hideMark/>
          </w:tcPr>
          <w:p w14:paraId="4EBE5930" w14:textId="4B8DF7DE"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val="restart"/>
            <w:tcBorders>
              <w:top w:val="single" w:sz="4" w:space="0" w:color="auto"/>
            </w:tcBorders>
          </w:tcPr>
          <w:p w14:paraId="1262513C"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val="restart"/>
            <w:tcBorders>
              <w:top w:val="single" w:sz="4" w:space="0" w:color="auto"/>
              <w:bottom w:val="single" w:sz="4" w:space="0" w:color="000000"/>
              <w:right w:val="single" w:sz="4" w:space="0" w:color="auto"/>
            </w:tcBorders>
            <w:shd w:val="clear" w:color="auto" w:fill="auto"/>
            <w:noWrap/>
            <w:vAlign w:val="center"/>
            <w:hideMark/>
          </w:tcPr>
          <w:p w14:paraId="7770533C" w14:textId="3D182E3D"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2B362BF8"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4B5FADE3" w14:textId="77777777" w:rsidTr="00EC557E">
        <w:trPr>
          <w:trHeight w:val="279"/>
        </w:trPr>
        <w:tc>
          <w:tcPr>
            <w:tcW w:w="1948" w:type="dxa"/>
            <w:vMerge/>
            <w:tcBorders>
              <w:top w:val="nil"/>
              <w:left w:val="single" w:sz="4" w:space="0" w:color="auto"/>
              <w:right w:val="single" w:sz="4" w:space="0" w:color="auto"/>
            </w:tcBorders>
            <w:vAlign w:val="center"/>
            <w:hideMark/>
          </w:tcPr>
          <w:p w14:paraId="673D11B4"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tcPr>
          <w:p w14:paraId="2CDD1775" w14:textId="0057E8F9"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Businessman</w:t>
            </w:r>
          </w:p>
        </w:tc>
        <w:tc>
          <w:tcPr>
            <w:tcW w:w="1530" w:type="dxa"/>
            <w:tcBorders>
              <w:top w:val="nil"/>
              <w:left w:val="nil"/>
              <w:right w:val="single" w:sz="4" w:space="0" w:color="auto"/>
            </w:tcBorders>
            <w:shd w:val="clear" w:color="auto" w:fill="auto"/>
            <w:noWrap/>
            <w:vAlign w:val="center"/>
          </w:tcPr>
          <w:p w14:paraId="38D9C104" w14:textId="3BF3B4BC"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02</w:t>
            </w:r>
          </w:p>
        </w:tc>
        <w:tc>
          <w:tcPr>
            <w:tcW w:w="1620" w:type="dxa"/>
            <w:tcBorders>
              <w:top w:val="nil"/>
              <w:left w:val="nil"/>
              <w:right w:val="single" w:sz="4" w:space="0" w:color="auto"/>
            </w:tcBorders>
            <w:shd w:val="clear" w:color="auto" w:fill="auto"/>
            <w:noWrap/>
            <w:vAlign w:val="center"/>
          </w:tcPr>
          <w:p w14:paraId="14CE844E" w14:textId="1A35F6FB"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1.14</w:t>
            </w:r>
          </w:p>
        </w:tc>
        <w:tc>
          <w:tcPr>
            <w:tcW w:w="1080" w:type="dxa"/>
            <w:vMerge/>
            <w:tcBorders>
              <w:top w:val="nil"/>
              <w:left w:val="single" w:sz="4" w:space="0" w:color="auto"/>
              <w:bottom w:val="single" w:sz="4" w:space="0" w:color="000000"/>
            </w:tcBorders>
            <w:vAlign w:val="center"/>
            <w:hideMark/>
          </w:tcPr>
          <w:p w14:paraId="51B6739C"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2039FE37"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5F7E0841" w14:textId="60D32B89"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010F84A0"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04FD64C1" w14:textId="77777777" w:rsidTr="00EC557E">
        <w:trPr>
          <w:trHeight w:val="415"/>
        </w:trPr>
        <w:tc>
          <w:tcPr>
            <w:tcW w:w="1948" w:type="dxa"/>
            <w:vMerge/>
            <w:tcBorders>
              <w:top w:val="nil"/>
              <w:left w:val="single" w:sz="4" w:space="0" w:color="auto"/>
              <w:right w:val="single" w:sz="4" w:space="0" w:color="auto"/>
            </w:tcBorders>
            <w:vAlign w:val="center"/>
            <w:hideMark/>
          </w:tcPr>
          <w:p w14:paraId="309ECD69"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tcPr>
          <w:p w14:paraId="573B0252" w14:textId="5B510DF6"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Govt. Employee</w:t>
            </w:r>
          </w:p>
        </w:tc>
        <w:tc>
          <w:tcPr>
            <w:tcW w:w="1530" w:type="dxa"/>
            <w:tcBorders>
              <w:top w:val="nil"/>
              <w:left w:val="nil"/>
              <w:right w:val="single" w:sz="4" w:space="0" w:color="auto"/>
            </w:tcBorders>
            <w:shd w:val="clear" w:color="auto" w:fill="auto"/>
            <w:noWrap/>
            <w:vAlign w:val="center"/>
          </w:tcPr>
          <w:p w14:paraId="0DD4E114" w14:textId="59C63623"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04</w:t>
            </w:r>
          </w:p>
        </w:tc>
        <w:tc>
          <w:tcPr>
            <w:tcW w:w="1620" w:type="dxa"/>
            <w:tcBorders>
              <w:top w:val="nil"/>
              <w:left w:val="nil"/>
              <w:right w:val="single" w:sz="4" w:space="0" w:color="auto"/>
            </w:tcBorders>
            <w:shd w:val="clear" w:color="auto" w:fill="auto"/>
            <w:noWrap/>
            <w:vAlign w:val="center"/>
          </w:tcPr>
          <w:p w14:paraId="3ACB7536" w14:textId="7194E420"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2.27</w:t>
            </w:r>
          </w:p>
        </w:tc>
        <w:tc>
          <w:tcPr>
            <w:tcW w:w="1080" w:type="dxa"/>
            <w:vMerge/>
            <w:tcBorders>
              <w:top w:val="nil"/>
              <w:left w:val="single" w:sz="4" w:space="0" w:color="auto"/>
              <w:bottom w:val="single" w:sz="4" w:space="0" w:color="000000"/>
            </w:tcBorders>
            <w:vAlign w:val="center"/>
            <w:hideMark/>
          </w:tcPr>
          <w:p w14:paraId="2A5C7442"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2D68F6DC"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37E4C113" w14:textId="6BDA367B"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5DCFB91D"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1C4E5CF4" w14:textId="77777777" w:rsidTr="00EC557E">
        <w:trPr>
          <w:trHeight w:val="380"/>
        </w:trPr>
        <w:tc>
          <w:tcPr>
            <w:tcW w:w="1948" w:type="dxa"/>
            <w:vMerge/>
            <w:tcBorders>
              <w:top w:val="nil"/>
              <w:left w:val="single" w:sz="4" w:space="0" w:color="auto"/>
              <w:right w:val="single" w:sz="4" w:space="0" w:color="auto"/>
            </w:tcBorders>
            <w:vAlign w:val="center"/>
            <w:hideMark/>
          </w:tcPr>
          <w:p w14:paraId="080F0414"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center"/>
          </w:tcPr>
          <w:p w14:paraId="431C1D13" w14:textId="39B7B451"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Private Job</w:t>
            </w:r>
          </w:p>
        </w:tc>
        <w:tc>
          <w:tcPr>
            <w:tcW w:w="1530" w:type="dxa"/>
            <w:tcBorders>
              <w:top w:val="nil"/>
              <w:left w:val="nil"/>
              <w:right w:val="single" w:sz="4" w:space="0" w:color="auto"/>
            </w:tcBorders>
            <w:shd w:val="clear" w:color="auto" w:fill="auto"/>
            <w:noWrap/>
            <w:vAlign w:val="center"/>
          </w:tcPr>
          <w:p w14:paraId="28944961" w14:textId="3D5B9067"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24</w:t>
            </w:r>
          </w:p>
        </w:tc>
        <w:tc>
          <w:tcPr>
            <w:tcW w:w="1620" w:type="dxa"/>
            <w:tcBorders>
              <w:top w:val="nil"/>
              <w:left w:val="nil"/>
              <w:right w:val="single" w:sz="4" w:space="0" w:color="auto"/>
            </w:tcBorders>
            <w:shd w:val="clear" w:color="auto" w:fill="auto"/>
            <w:noWrap/>
            <w:vAlign w:val="center"/>
          </w:tcPr>
          <w:p w14:paraId="5BCFE228" w14:textId="00490A85"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13.64</w:t>
            </w:r>
          </w:p>
        </w:tc>
        <w:tc>
          <w:tcPr>
            <w:tcW w:w="1080" w:type="dxa"/>
            <w:vMerge/>
            <w:tcBorders>
              <w:top w:val="nil"/>
              <w:left w:val="single" w:sz="4" w:space="0" w:color="auto"/>
              <w:bottom w:val="single" w:sz="4" w:space="0" w:color="000000"/>
            </w:tcBorders>
            <w:vAlign w:val="center"/>
            <w:hideMark/>
          </w:tcPr>
          <w:p w14:paraId="51240327"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Pr>
          <w:p w14:paraId="7355861E"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6D99DB36" w14:textId="2ED3183C"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427BA3F9" w14:textId="77777777" w:rsidR="00564305" w:rsidRPr="008C47F3" w:rsidRDefault="00564305" w:rsidP="008C47F3">
            <w:pPr>
              <w:spacing w:after="0" w:line="240" w:lineRule="auto"/>
              <w:jc w:val="both"/>
              <w:rPr>
                <w:rFonts w:ascii="Arial" w:eastAsia="Times New Roman" w:hAnsi="Arial" w:cs="Arial"/>
                <w:sz w:val="20"/>
                <w:szCs w:val="20"/>
              </w:rPr>
            </w:pPr>
          </w:p>
        </w:tc>
      </w:tr>
      <w:tr w:rsidR="00564305" w:rsidRPr="008C47F3" w14:paraId="5FCE04F2" w14:textId="77777777" w:rsidTr="00EC557E">
        <w:trPr>
          <w:trHeight w:val="143"/>
        </w:trPr>
        <w:tc>
          <w:tcPr>
            <w:tcW w:w="1948" w:type="dxa"/>
            <w:vMerge/>
            <w:tcBorders>
              <w:top w:val="nil"/>
              <w:left w:val="single" w:sz="4" w:space="0" w:color="auto"/>
              <w:right w:val="single" w:sz="4" w:space="0" w:color="auto"/>
            </w:tcBorders>
            <w:vAlign w:val="center"/>
            <w:hideMark/>
          </w:tcPr>
          <w:p w14:paraId="0550B9C9"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bottom"/>
          </w:tcPr>
          <w:p w14:paraId="04F40FE4" w14:textId="3F4C9106" w:rsidR="00564305"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hAnsi="Arial" w:cs="Arial"/>
                <w:sz w:val="20"/>
                <w:szCs w:val="20"/>
              </w:rPr>
              <w:t>Unemployed</w:t>
            </w:r>
          </w:p>
        </w:tc>
        <w:tc>
          <w:tcPr>
            <w:tcW w:w="1530" w:type="dxa"/>
            <w:tcBorders>
              <w:top w:val="nil"/>
              <w:left w:val="nil"/>
              <w:bottom w:val="single" w:sz="4" w:space="0" w:color="auto"/>
              <w:right w:val="single" w:sz="4" w:space="0" w:color="auto"/>
            </w:tcBorders>
            <w:shd w:val="clear" w:color="auto" w:fill="auto"/>
            <w:noWrap/>
            <w:vAlign w:val="center"/>
          </w:tcPr>
          <w:p w14:paraId="22125654" w14:textId="5112F860"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03</w:t>
            </w:r>
          </w:p>
        </w:tc>
        <w:tc>
          <w:tcPr>
            <w:tcW w:w="1620" w:type="dxa"/>
            <w:tcBorders>
              <w:top w:val="nil"/>
              <w:left w:val="nil"/>
              <w:bottom w:val="single" w:sz="4" w:space="0" w:color="auto"/>
              <w:right w:val="single" w:sz="4" w:space="0" w:color="auto"/>
            </w:tcBorders>
            <w:shd w:val="clear" w:color="auto" w:fill="auto"/>
            <w:noWrap/>
            <w:vAlign w:val="center"/>
          </w:tcPr>
          <w:p w14:paraId="34868658" w14:textId="228F8A0A" w:rsidR="00564305"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1.70</w:t>
            </w:r>
          </w:p>
        </w:tc>
        <w:tc>
          <w:tcPr>
            <w:tcW w:w="1080" w:type="dxa"/>
            <w:vMerge/>
            <w:tcBorders>
              <w:top w:val="nil"/>
              <w:left w:val="single" w:sz="4" w:space="0" w:color="auto"/>
              <w:bottom w:val="single" w:sz="4" w:space="0" w:color="auto"/>
            </w:tcBorders>
            <w:vAlign w:val="center"/>
            <w:hideMark/>
          </w:tcPr>
          <w:p w14:paraId="27DCAFCB"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auto"/>
            </w:tcBorders>
          </w:tcPr>
          <w:p w14:paraId="33BC22D1" w14:textId="77777777" w:rsidR="00564305" w:rsidRPr="008C47F3" w:rsidRDefault="00564305"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hideMark/>
          </w:tcPr>
          <w:p w14:paraId="5850BFB5" w14:textId="33072250" w:rsidR="00564305" w:rsidRPr="008C47F3" w:rsidRDefault="00564305"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2CD76F1A" w14:textId="77777777" w:rsidR="00564305" w:rsidRPr="008C47F3" w:rsidRDefault="00564305" w:rsidP="008C47F3">
            <w:pPr>
              <w:spacing w:after="0" w:line="240" w:lineRule="auto"/>
              <w:jc w:val="both"/>
              <w:rPr>
                <w:rFonts w:ascii="Arial" w:eastAsia="Times New Roman" w:hAnsi="Arial" w:cs="Arial"/>
                <w:sz w:val="20"/>
                <w:szCs w:val="20"/>
              </w:rPr>
            </w:pPr>
          </w:p>
        </w:tc>
      </w:tr>
      <w:tr w:rsidR="008862EB" w:rsidRPr="008C47F3" w14:paraId="0DA8CE0A" w14:textId="77777777" w:rsidTr="00EC557E">
        <w:trPr>
          <w:trHeight w:val="279"/>
        </w:trPr>
        <w:tc>
          <w:tcPr>
            <w:tcW w:w="1948" w:type="dxa"/>
            <w:vMerge w:val="restart"/>
            <w:tcBorders>
              <w:top w:val="nil"/>
              <w:left w:val="single" w:sz="4" w:space="0" w:color="auto"/>
              <w:right w:val="single" w:sz="4" w:space="0" w:color="auto"/>
            </w:tcBorders>
            <w:shd w:val="clear" w:color="auto" w:fill="auto"/>
            <w:noWrap/>
            <w:vAlign w:val="center"/>
            <w:hideMark/>
          </w:tcPr>
          <w:p w14:paraId="034B3530" w14:textId="77777777"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Education</w:t>
            </w:r>
          </w:p>
        </w:tc>
        <w:tc>
          <w:tcPr>
            <w:tcW w:w="1832" w:type="dxa"/>
            <w:tcBorders>
              <w:top w:val="single" w:sz="4" w:space="0" w:color="auto"/>
              <w:left w:val="nil"/>
              <w:right w:val="single" w:sz="4" w:space="0" w:color="auto"/>
            </w:tcBorders>
            <w:shd w:val="clear" w:color="auto" w:fill="auto"/>
            <w:vAlign w:val="bottom"/>
            <w:hideMark/>
          </w:tcPr>
          <w:p w14:paraId="77442EA8" w14:textId="35D2513B"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SSC</w:t>
            </w:r>
          </w:p>
        </w:tc>
        <w:tc>
          <w:tcPr>
            <w:tcW w:w="1530" w:type="dxa"/>
            <w:tcBorders>
              <w:top w:val="single" w:sz="4" w:space="0" w:color="auto"/>
              <w:left w:val="nil"/>
              <w:right w:val="single" w:sz="4" w:space="0" w:color="auto"/>
            </w:tcBorders>
            <w:shd w:val="clear" w:color="auto" w:fill="auto"/>
            <w:noWrap/>
            <w:vAlign w:val="bottom"/>
          </w:tcPr>
          <w:p w14:paraId="0DBEEC96" w14:textId="1D77B84D"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08</w:t>
            </w:r>
          </w:p>
        </w:tc>
        <w:tc>
          <w:tcPr>
            <w:tcW w:w="1620" w:type="dxa"/>
            <w:tcBorders>
              <w:top w:val="single" w:sz="4" w:space="0" w:color="auto"/>
              <w:left w:val="nil"/>
              <w:right w:val="single" w:sz="4" w:space="0" w:color="auto"/>
            </w:tcBorders>
            <w:shd w:val="clear" w:color="auto" w:fill="auto"/>
            <w:noWrap/>
            <w:vAlign w:val="bottom"/>
          </w:tcPr>
          <w:p w14:paraId="7086F55B" w14:textId="643A82F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4.55</w:t>
            </w:r>
          </w:p>
        </w:tc>
        <w:tc>
          <w:tcPr>
            <w:tcW w:w="1080" w:type="dxa"/>
            <w:vMerge w:val="restart"/>
            <w:tcBorders>
              <w:top w:val="single" w:sz="4" w:space="0" w:color="auto"/>
              <w:left w:val="single" w:sz="4" w:space="0" w:color="auto"/>
              <w:bottom w:val="single" w:sz="4" w:space="0" w:color="000000"/>
            </w:tcBorders>
            <w:shd w:val="clear" w:color="auto" w:fill="auto"/>
            <w:noWrap/>
            <w:vAlign w:val="bottom"/>
            <w:hideMark/>
          </w:tcPr>
          <w:p w14:paraId="047F8D1D" w14:textId="206AD272"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val="restart"/>
            <w:tcBorders>
              <w:top w:val="single" w:sz="4" w:space="0" w:color="auto"/>
            </w:tcBorders>
          </w:tcPr>
          <w:p w14:paraId="324B7F7E"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val="restart"/>
            <w:tcBorders>
              <w:top w:val="single" w:sz="4" w:space="0" w:color="auto"/>
              <w:bottom w:val="single" w:sz="4" w:space="0" w:color="000000"/>
              <w:right w:val="single" w:sz="4" w:space="0" w:color="auto"/>
            </w:tcBorders>
            <w:shd w:val="clear" w:color="auto" w:fill="auto"/>
            <w:noWrap/>
            <w:vAlign w:val="bottom"/>
            <w:hideMark/>
          </w:tcPr>
          <w:p w14:paraId="2C553820" w14:textId="63B2B74B"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5C56EC01"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4466A503" w14:textId="77777777" w:rsidTr="00EC557E">
        <w:trPr>
          <w:trHeight w:val="279"/>
        </w:trPr>
        <w:tc>
          <w:tcPr>
            <w:tcW w:w="1948" w:type="dxa"/>
            <w:vMerge/>
            <w:tcBorders>
              <w:top w:val="nil"/>
              <w:left w:val="single" w:sz="4" w:space="0" w:color="auto"/>
              <w:right w:val="single" w:sz="4" w:space="0" w:color="auto"/>
            </w:tcBorders>
            <w:vAlign w:val="center"/>
            <w:hideMark/>
          </w:tcPr>
          <w:p w14:paraId="1FF509C9"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1832" w:type="dxa"/>
            <w:tcBorders>
              <w:top w:val="nil"/>
              <w:left w:val="nil"/>
              <w:right w:val="single" w:sz="4" w:space="0" w:color="auto"/>
            </w:tcBorders>
            <w:shd w:val="clear" w:color="auto" w:fill="auto"/>
            <w:vAlign w:val="bottom"/>
            <w:hideMark/>
          </w:tcPr>
          <w:p w14:paraId="168527AF" w14:textId="6F5F126D"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HSC</w:t>
            </w:r>
          </w:p>
        </w:tc>
        <w:tc>
          <w:tcPr>
            <w:tcW w:w="1530" w:type="dxa"/>
            <w:tcBorders>
              <w:top w:val="nil"/>
              <w:left w:val="nil"/>
              <w:right w:val="single" w:sz="4" w:space="0" w:color="auto"/>
            </w:tcBorders>
            <w:shd w:val="clear" w:color="auto" w:fill="auto"/>
            <w:noWrap/>
            <w:vAlign w:val="bottom"/>
          </w:tcPr>
          <w:p w14:paraId="0D5018E1" w14:textId="5D1908A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53</w:t>
            </w:r>
          </w:p>
        </w:tc>
        <w:tc>
          <w:tcPr>
            <w:tcW w:w="1620" w:type="dxa"/>
            <w:tcBorders>
              <w:top w:val="nil"/>
              <w:left w:val="nil"/>
              <w:right w:val="single" w:sz="4" w:space="0" w:color="auto"/>
            </w:tcBorders>
            <w:shd w:val="clear" w:color="auto" w:fill="auto"/>
            <w:noWrap/>
            <w:vAlign w:val="bottom"/>
          </w:tcPr>
          <w:p w14:paraId="54D71AF9" w14:textId="46C248BE"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30.11</w:t>
            </w:r>
          </w:p>
        </w:tc>
        <w:tc>
          <w:tcPr>
            <w:tcW w:w="1080" w:type="dxa"/>
            <w:vMerge/>
            <w:tcBorders>
              <w:top w:val="nil"/>
              <w:left w:val="single" w:sz="4" w:space="0" w:color="auto"/>
              <w:bottom w:val="single" w:sz="4" w:space="0" w:color="000000"/>
            </w:tcBorders>
            <w:vAlign w:val="center"/>
            <w:hideMark/>
          </w:tcPr>
          <w:p w14:paraId="5B3294E0"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tcPr>
          <w:p w14:paraId="24F5D00A"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3E864E16" w14:textId="1566D493"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416E6D5F"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12935C3D" w14:textId="77777777" w:rsidTr="00EC557E">
        <w:trPr>
          <w:trHeight w:val="332"/>
        </w:trPr>
        <w:tc>
          <w:tcPr>
            <w:tcW w:w="1948" w:type="dxa"/>
            <w:vMerge/>
            <w:tcBorders>
              <w:top w:val="nil"/>
              <w:left w:val="single" w:sz="4" w:space="0" w:color="auto"/>
              <w:right w:val="single" w:sz="4" w:space="0" w:color="auto"/>
            </w:tcBorders>
            <w:vAlign w:val="center"/>
            <w:hideMark/>
          </w:tcPr>
          <w:p w14:paraId="1C22F33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bottom"/>
            <w:hideMark/>
          </w:tcPr>
          <w:p w14:paraId="03D957C8" w14:textId="77777777" w:rsidR="008862EB" w:rsidRPr="008C47F3" w:rsidRDefault="008862EB"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Higher Study</w:t>
            </w:r>
          </w:p>
        </w:tc>
        <w:tc>
          <w:tcPr>
            <w:tcW w:w="1530" w:type="dxa"/>
            <w:tcBorders>
              <w:top w:val="nil"/>
              <w:left w:val="nil"/>
              <w:bottom w:val="single" w:sz="4" w:space="0" w:color="auto"/>
              <w:right w:val="single" w:sz="4" w:space="0" w:color="auto"/>
            </w:tcBorders>
            <w:shd w:val="clear" w:color="auto" w:fill="auto"/>
            <w:noWrap/>
            <w:vAlign w:val="bottom"/>
          </w:tcPr>
          <w:p w14:paraId="44093C1E" w14:textId="0222BE56"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115</w:t>
            </w:r>
          </w:p>
        </w:tc>
        <w:tc>
          <w:tcPr>
            <w:tcW w:w="1620" w:type="dxa"/>
            <w:tcBorders>
              <w:top w:val="nil"/>
              <w:left w:val="nil"/>
              <w:bottom w:val="single" w:sz="4" w:space="0" w:color="auto"/>
              <w:right w:val="single" w:sz="4" w:space="0" w:color="auto"/>
            </w:tcBorders>
            <w:shd w:val="clear" w:color="auto" w:fill="auto"/>
            <w:noWrap/>
            <w:vAlign w:val="bottom"/>
          </w:tcPr>
          <w:p w14:paraId="31542809" w14:textId="48BDAD42"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65.34</w:t>
            </w:r>
          </w:p>
        </w:tc>
        <w:tc>
          <w:tcPr>
            <w:tcW w:w="1080" w:type="dxa"/>
            <w:vMerge/>
            <w:tcBorders>
              <w:top w:val="nil"/>
              <w:left w:val="single" w:sz="4" w:space="0" w:color="auto"/>
              <w:bottom w:val="single" w:sz="4" w:space="0" w:color="auto"/>
            </w:tcBorders>
            <w:vAlign w:val="center"/>
            <w:hideMark/>
          </w:tcPr>
          <w:p w14:paraId="0490B2A5"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auto"/>
            </w:tcBorders>
          </w:tcPr>
          <w:p w14:paraId="035E5FAB"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auto"/>
              <w:right w:val="single" w:sz="4" w:space="0" w:color="auto"/>
            </w:tcBorders>
            <w:vAlign w:val="center"/>
            <w:hideMark/>
          </w:tcPr>
          <w:p w14:paraId="3E222175" w14:textId="2E72C0E2"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3E6A6437"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1E420D8C" w14:textId="77777777" w:rsidTr="00EC557E">
        <w:trPr>
          <w:trHeight w:val="279"/>
        </w:trPr>
        <w:tc>
          <w:tcPr>
            <w:tcW w:w="1948" w:type="dxa"/>
            <w:vMerge w:val="restart"/>
            <w:tcBorders>
              <w:top w:val="nil"/>
              <w:left w:val="single" w:sz="4" w:space="0" w:color="auto"/>
              <w:bottom w:val="single" w:sz="4" w:space="0" w:color="auto"/>
              <w:right w:val="single" w:sz="4" w:space="0" w:color="auto"/>
            </w:tcBorders>
            <w:shd w:val="clear" w:color="auto" w:fill="auto"/>
            <w:vAlign w:val="center"/>
            <w:hideMark/>
          </w:tcPr>
          <w:p w14:paraId="3A4643DD" w14:textId="26A5C44D"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Sex</w:t>
            </w:r>
          </w:p>
        </w:tc>
        <w:tc>
          <w:tcPr>
            <w:tcW w:w="1832" w:type="dxa"/>
            <w:tcBorders>
              <w:top w:val="single" w:sz="4" w:space="0" w:color="auto"/>
              <w:left w:val="nil"/>
              <w:right w:val="single" w:sz="4" w:space="0" w:color="auto"/>
            </w:tcBorders>
            <w:shd w:val="clear" w:color="auto" w:fill="auto"/>
            <w:vAlign w:val="center"/>
            <w:hideMark/>
          </w:tcPr>
          <w:p w14:paraId="34A63580" w14:textId="254A8157"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Male</w:t>
            </w:r>
          </w:p>
        </w:tc>
        <w:tc>
          <w:tcPr>
            <w:tcW w:w="1530" w:type="dxa"/>
            <w:tcBorders>
              <w:top w:val="single" w:sz="4" w:space="0" w:color="auto"/>
              <w:left w:val="nil"/>
              <w:right w:val="single" w:sz="4" w:space="0" w:color="auto"/>
            </w:tcBorders>
            <w:shd w:val="clear" w:color="auto" w:fill="auto"/>
            <w:vAlign w:val="center"/>
          </w:tcPr>
          <w:p w14:paraId="675F3C86" w14:textId="1E5215C5"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95</w:t>
            </w:r>
          </w:p>
        </w:tc>
        <w:tc>
          <w:tcPr>
            <w:tcW w:w="1620" w:type="dxa"/>
            <w:tcBorders>
              <w:top w:val="single" w:sz="4" w:space="0" w:color="auto"/>
              <w:left w:val="nil"/>
              <w:right w:val="single" w:sz="4" w:space="0" w:color="auto"/>
            </w:tcBorders>
            <w:shd w:val="clear" w:color="auto" w:fill="auto"/>
            <w:vAlign w:val="center"/>
          </w:tcPr>
          <w:p w14:paraId="4BA1D664" w14:textId="068AF09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54</w:t>
            </w:r>
          </w:p>
        </w:tc>
        <w:tc>
          <w:tcPr>
            <w:tcW w:w="1080" w:type="dxa"/>
            <w:vMerge w:val="restart"/>
            <w:tcBorders>
              <w:top w:val="single" w:sz="4" w:space="0" w:color="auto"/>
              <w:left w:val="single" w:sz="4" w:space="0" w:color="auto"/>
              <w:bottom w:val="single" w:sz="4" w:space="0" w:color="000000"/>
            </w:tcBorders>
            <w:vAlign w:val="center"/>
            <w:hideMark/>
          </w:tcPr>
          <w:p w14:paraId="1AAAA1E2"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val="restart"/>
            <w:tcBorders>
              <w:top w:val="single" w:sz="4" w:space="0" w:color="auto"/>
            </w:tcBorders>
          </w:tcPr>
          <w:p w14:paraId="5A3EA185"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val="restart"/>
            <w:tcBorders>
              <w:top w:val="single" w:sz="4" w:space="0" w:color="auto"/>
              <w:bottom w:val="single" w:sz="4" w:space="0" w:color="000000"/>
              <w:right w:val="single" w:sz="4" w:space="0" w:color="auto"/>
            </w:tcBorders>
            <w:vAlign w:val="center"/>
            <w:hideMark/>
          </w:tcPr>
          <w:p w14:paraId="1F110FA1" w14:textId="5688D420"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6C9153A0" w14:textId="77777777" w:rsidR="008862EB" w:rsidRPr="008C47F3" w:rsidRDefault="008862EB" w:rsidP="008C47F3">
            <w:pPr>
              <w:spacing w:after="0" w:line="240" w:lineRule="auto"/>
              <w:jc w:val="both"/>
              <w:rPr>
                <w:rFonts w:ascii="Arial" w:eastAsia="Times New Roman" w:hAnsi="Arial" w:cs="Arial"/>
                <w:sz w:val="20"/>
                <w:szCs w:val="20"/>
              </w:rPr>
            </w:pPr>
          </w:p>
        </w:tc>
      </w:tr>
      <w:tr w:rsidR="008862EB" w:rsidRPr="008C47F3" w14:paraId="2F374CA0" w14:textId="77777777" w:rsidTr="00EC557E">
        <w:trPr>
          <w:trHeight w:val="279"/>
        </w:trPr>
        <w:tc>
          <w:tcPr>
            <w:tcW w:w="1948" w:type="dxa"/>
            <w:vMerge/>
            <w:tcBorders>
              <w:top w:val="nil"/>
              <w:left w:val="single" w:sz="4" w:space="0" w:color="auto"/>
              <w:bottom w:val="single" w:sz="4" w:space="0" w:color="auto"/>
              <w:right w:val="single" w:sz="4" w:space="0" w:color="auto"/>
            </w:tcBorders>
            <w:vAlign w:val="center"/>
            <w:hideMark/>
          </w:tcPr>
          <w:p w14:paraId="670E876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1832" w:type="dxa"/>
            <w:tcBorders>
              <w:top w:val="nil"/>
              <w:left w:val="nil"/>
              <w:bottom w:val="single" w:sz="4" w:space="0" w:color="auto"/>
              <w:right w:val="single" w:sz="4" w:space="0" w:color="auto"/>
            </w:tcBorders>
            <w:shd w:val="clear" w:color="auto" w:fill="auto"/>
            <w:vAlign w:val="center"/>
            <w:hideMark/>
          </w:tcPr>
          <w:p w14:paraId="336D6890" w14:textId="05BCCA4C"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Female</w:t>
            </w:r>
          </w:p>
        </w:tc>
        <w:tc>
          <w:tcPr>
            <w:tcW w:w="1530" w:type="dxa"/>
            <w:tcBorders>
              <w:top w:val="nil"/>
              <w:left w:val="nil"/>
              <w:bottom w:val="single" w:sz="4" w:space="0" w:color="auto"/>
              <w:right w:val="single" w:sz="4" w:space="0" w:color="auto"/>
            </w:tcBorders>
            <w:shd w:val="clear" w:color="auto" w:fill="auto"/>
            <w:vAlign w:val="center"/>
          </w:tcPr>
          <w:p w14:paraId="0751369B" w14:textId="5410442A"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81</w:t>
            </w:r>
          </w:p>
        </w:tc>
        <w:tc>
          <w:tcPr>
            <w:tcW w:w="1620" w:type="dxa"/>
            <w:tcBorders>
              <w:top w:val="nil"/>
              <w:left w:val="nil"/>
              <w:bottom w:val="single" w:sz="4" w:space="0" w:color="auto"/>
              <w:right w:val="single" w:sz="4" w:space="0" w:color="auto"/>
            </w:tcBorders>
            <w:shd w:val="clear" w:color="auto" w:fill="auto"/>
            <w:vAlign w:val="center"/>
          </w:tcPr>
          <w:p w14:paraId="51A88710" w14:textId="29BCB00F" w:rsidR="008862EB" w:rsidRPr="008C47F3" w:rsidRDefault="006C0716" w:rsidP="008C47F3">
            <w:pPr>
              <w:spacing w:after="0" w:line="240" w:lineRule="auto"/>
              <w:jc w:val="both"/>
              <w:rPr>
                <w:rFonts w:ascii="Arial" w:eastAsia="Times New Roman" w:hAnsi="Arial" w:cs="Arial"/>
                <w:color w:val="000000"/>
                <w:sz w:val="20"/>
                <w:szCs w:val="20"/>
              </w:rPr>
            </w:pPr>
            <w:r w:rsidRPr="008C47F3">
              <w:rPr>
                <w:rFonts w:ascii="Arial" w:eastAsia="Times New Roman" w:hAnsi="Arial" w:cs="Arial"/>
                <w:color w:val="000000"/>
                <w:sz w:val="20"/>
                <w:szCs w:val="20"/>
              </w:rPr>
              <w:t>46</w:t>
            </w:r>
          </w:p>
        </w:tc>
        <w:tc>
          <w:tcPr>
            <w:tcW w:w="1080" w:type="dxa"/>
            <w:vMerge/>
            <w:tcBorders>
              <w:top w:val="nil"/>
              <w:left w:val="single" w:sz="4" w:space="0" w:color="auto"/>
              <w:bottom w:val="single" w:sz="4" w:space="0" w:color="000000"/>
            </w:tcBorders>
            <w:vAlign w:val="center"/>
            <w:hideMark/>
          </w:tcPr>
          <w:p w14:paraId="495257D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990" w:type="dxa"/>
            <w:vMerge/>
            <w:tcBorders>
              <w:bottom w:val="single" w:sz="4" w:space="0" w:color="000000"/>
            </w:tcBorders>
          </w:tcPr>
          <w:p w14:paraId="0DC59DE7" w14:textId="77777777" w:rsidR="008862EB" w:rsidRPr="008C47F3" w:rsidRDefault="008862EB" w:rsidP="008C47F3">
            <w:pPr>
              <w:spacing w:after="0" w:line="240" w:lineRule="auto"/>
              <w:jc w:val="both"/>
              <w:rPr>
                <w:rFonts w:ascii="Arial" w:eastAsia="Times New Roman" w:hAnsi="Arial" w:cs="Arial"/>
                <w:color w:val="000000"/>
                <w:sz w:val="20"/>
                <w:szCs w:val="20"/>
              </w:rPr>
            </w:pPr>
          </w:p>
        </w:tc>
        <w:tc>
          <w:tcPr>
            <w:tcW w:w="720" w:type="dxa"/>
            <w:vMerge/>
            <w:tcBorders>
              <w:top w:val="nil"/>
              <w:bottom w:val="single" w:sz="4" w:space="0" w:color="000000"/>
              <w:right w:val="single" w:sz="4" w:space="0" w:color="auto"/>
            </w:tcBorders>
            <w:vAlign w:val="center"/>
            <w:hideMark/>
          </w:tcPr>
          <w:p w14:paraId="7700A393" w14:textId="2FC7599D" w:rsidR="008862EB" w:rsidRPr="008C47F3" w:rsidRDefault="008862EB" w:rsidP="008C47F3">
            <w:pPr>
              <w:spacing w:after="0" w:line="240" w:lineRule="auto"/>
              <w:jc w:val="both"/>
              <w:rPr>
                <w:rFonts w:ascii="Arial" w:eastAsia="Times New Roman" w:hAnsi="Arial" w:cs="Arial"/>
                <w:color w:val="000000"/>
                <w:sz w:val="20"/>
                <w:szCs w:val="20"/>
              </w:rPr>
            </w:pPr>
          </w:p>
        </w:tc>
        <w:tc>
          <w:tcPr>
            <w:tcW w:w="1047" w:type="dxa"/>
            <w:vAlign w:val="center"/>
            <w:hideMark/>
          </w:tcPr>
          <w:p w14:paraId="6E9041C0" w14:textId="77777777" w:rsidR="008862EB" w:rsidRPr="008C47F3" w:rsidRDefault="008862EB" w:rsidP="008C47F3">
            <w:pPr>
              <w:spacing w:after="0" w:line="240" w:lineRule="auto"/>
              <w:jc w:val="both"/>
              <w:rPr>
                <w:rFonts w:ascii="Arial" w:eastAsia="Times New Roman" w:hAnsi="Arial" w:cs="Arial"/>
                <w:sz w:val="20"/>
                <w:szCs w:val="20"/>
              </w:rPr>
            </w:pPr>
          </w:p>
        </w:tc>
      </w:tr>
    </w:tbl>
    <w:p w14:paraId="6307A467" w14:textId="77777777" w:rsidR="00731ED7" w:rsidRPr="008C47F3" w:rsidRDefault="00731ED7" w:rsidP="008C47F3">
      <w:pPr>
        <w:spacing w:after="0" w:line="240" w:lineRule="auto"/>
        <w:jc w:val="both"/>
        <w:rPr>
          <w:rFonts w:ascii="Arial" w:hAnsi="Arial" w:cs="Arial"/>
          <w:sz w:val="20"/>
          <w:szCs w:val="20"/>
        </w:rPr>
      </w:pPr>
    </w:p>
    <w:p w14:paraId="2245AF53" w14:textId="13BB7059" w:rsidR="00020154" w:rsidRDefault="00EC1237" w:rsidP="00AD2469">
      <w:pPr>
        <w:spacing w:after="0" w:line="240" w:lineRule="auto"/>
        <w:jc w:val="both"/>
        <w:rPr>
          <w:rFonts w:ascii="Arial" w:hAnsi="Arial" w:cs="Arial"/>
          <w:sz w:val="20"/>
          <w:szCs w:val="20"/>
        </w:rPr>
      </w:pPr>
      <w:r w:rsidRPr="00AD2469">
        <w:rPr>
          <w:rFonts w:ascii="Arial" w:hAnsi="Arial" w:cs="Arial"/>
          <w:b/>
          <w:sz w:val="20"/>
          <w:szCs w:val="20"/>
        </w:rPr>
        <w:t>Table</w:t>
      </w:r>
      <w:r w:rsidR="00AD2469">
        <w:rPr>
          <w:rFonts w:ascii="Arial" w:hAnsi="Arial" w:cs="Arial"/>
          <w:b/>
          <w:sz w:val="20"/>
          <w:szCs w:val="20"/>
        </w:rPr>
        <w:t xml:space="preserve"> </w:t>
      </w:r>
      <w:r w:rsidR="00471E3E" w:rsidRPr="00AD2469">
        <w:rPr>
          <w:rFonts w:ascii="Arial" w:hAnsi="Arial" w:cs="Arial"/>
          <w:b/>
          <w:sz w:val="20"/>
          <w:szCs w:val="20"/>
        </w:rPr>
        <w:t>1</w:t>
      </w:r>
      <w:r w:rsidR="00471E3E" w:rsidRPr="008C47F3">
        <w:rPr>
          <w:rFonts w:ascii="Arial" w:hAnsi="Arial" w:cs="Arial"/>
          <w:sz w:val="20"/>
          <w:szCs w:val="20"/>
        </w:rPr>
        <w:t xml:space="preserve"> shows</w:t>
      </w:r>
      <w:r w:rsidR="00731ED7" w:rsidRPr="008C47F3">
        <w:rPr>
          <w:rFonts w:ascii="Arial" w:hAnsi="Arial" w:cs="Arial"/>
          <w:sz w:val="20"/>
          <w:szCs w:val="20"/>
        </w:rPr>
        <w:t xml:space="preserve"> the demographic information of the people who desire to go abroad by taking the IELTS test.</w:t>
      </w:r>
      <w:r w:rsidR="00471E3E" w:rsidRPr="008C47F3">
        <w:rPr>
          <w:rFonts w:ascii="Arial" w:hAnsi="Arial" w:cs="Arial"/>
          <w:sz w:val="20"/>
          <w:szCs w:val="20"/>
        </w:rPr>
        <w:t xml:space="preserve"> </w:t>
      </w:r>
      <w:r w:rsidR="00731ED7" w:rsidRPr="008C47F3">
        <w:rPr>
          <w:rFonts w:ascii="Arial" w:hAnsi="Arial" w:cs="Arial"/>
          <w:sz w:val="20"/>
          <w:szCs w:val="20"/>
        </w:rPr>
        <w:t>Individuals</w:t>
      </w:r>
      <w:r w:rsidR="00471E3E" w:rsidRPr="008C47F3">
        <w:rPr>
          <w:rFonts w:ascii="Arial" w:hAnsi="Arial" w:cs="Arial"/>
          <w:sz w:val="20"/>
          <w:szCs w:val="20"/>
        </w:rPr>
        <w:t xml:space="preserve"> </w:t>
      </w:r>
      <w:r w:rsidR="003B25E6" w:rsidRPr="008C47F3">
        <w:rPr>
          <w:rFonts w:ascii="Arial" w:hAnsi="Arial" w:cs="Arial"/>
          <w:sz w:val="20"/>
          <w:szCs w:val="20"/>
        </w:rPr>
        <w:t>aged</w:t>
      </w:r>
      <w:r w:rsidR="00471E3E" w:rsidRPr="008C47F3">
        <w:rPr>
          <w:rFonts w:ascii="Arial" w:hAnsi="Arial" w:cs="Arial"/>
          <w:sz w:val="20"/>
          <w:szCs w:val="20"/>
        </w:rPr>
        <w:t xml:space="preserve"> 20-24 represent the largest group going abroad, accounting for 47.16%, while those above 34 make </w:t>
      </w:r>
      <w:r w:rsidR="00F65208" w:rsidRPr="008C47F3">
        <w:rPr>
          <w:rFonts w:ascii="Arial" w:hAnsi="Arial" w:cs="Arial"/>
          <w:sz w:val="20"/>
          <w:szCs w:val="20"/>
        </w:rPr>
        <w:t>up</w:t>
      </w:r>
      <w:r w:rsidR="00471E3E" w:rsidRPr="008C47F3">
        <w:rPr>
          <w:rFonts w:ascii="Arial" w:hAnsi="Arial" w:cs="Arial"/>
          <w:sz w:val="20"/>
          <w:szCs w:val="20"/>
        </w:rPr>
        <w:t xml:space="preserve"> the smallest percentage. Young people are going abroad for their higher ambitions of study. According to the UNESCO DATA 2023, 52,799 students from Bangladesh traveled overseas to pursue their higher studies.</w:t>
      </w:r>
      <w:r w:rsidR="00724077">
        <w:rPr>
          <w:rFonts w:ascii="Arial" w:hAnsi="Arial" w:cs="Arial"/>
          <w:sz w:val="20"/>
          <w:szCs w:val="20"/>
        </w:rPr>
        <w:t xml:space="preserve"> </w:t>
      </w:r>
      <w:r w:rsidR="00471E3E" w:rsidRPr="008C47F3">
        <w:rPr>
          <w:rFonts w:ascii="Arial" w:hAnsi="Arial" w:cs="Arial"/>
          <w:sz w:val="20"/>
          <w:szCs w:val="20"/>
        </w:rPr>
        <w:t>The majority of people going overseas are students (81.25%) and private job holders (13.64%), with unemployed individuals</w:t>
      </w:r>
      <w:r w:rsidR="003B25E6">
        <w:rPr>
          <w:rFonts w:ascii="Arial" w:hAnsi="Arial" w:cs="Arial"/>
          <w:sz w:val="20"/>
          <w:szCs w:val="20"/>
        </w:rPr>
        <w:t xml:space="preserve"> </w:t>
      </w:r>
      <w:r w:rsidR="00471E3E" w:rsidRPr="008C47F3">
        <w:rPr>
          <w:rFonts w:ascii="Arial" w:hAnsi="Arial" w:cs="Arial"/>
          <w:sz w:val="20"/>
          <w:szCs w:val="20"/>
        </w:rPr>
        <w:t>the smallest portion.</w:t>
      </w:r>
      <w:r w:rsidR="00731ED7" w:rsidRPr="008C47F3">
        <w:rPr>
          <w:rFonts w:ascii="Arial" w:hAnsi="Arial" w:cs="Arial"/>
          <w:sz w:val="20"/>
          <w:szCs w:val="20"/>
        </w:rPr>
        <w:t xml:space="preserve"> </w:t>
      </w:r>
      <w:r w:rsidR="00471E3E" w:rsidRPr="008C47F3">
        <w:rPr>
          <w:rFonts w:ascii="Arial" w:hAnsi="Arial" w:cs="Arial"/>
          <w:sz w:val="20"/>
          <w:szCs w:val="20"/>
        </w:rPr>
        <w:t>Many students join jobs after completing their honors, and those who get jobs in the country do not desire to go abroad for further higher education. Only a small number of people can desire further education. One of the notable things here is that private job holders want to go abroad more than those who join government jobs.</w:t>
      </w:r>
      <w:r w:rsidR="00731ED7" w:rsidRPr="008C47F3">
        <w:rPr>
          <w:rFonts w:ascii="Arial" w:hAnsi="Arial" w:cs="Arial"/>
          <w:sz w:val="20"/>
          <w:szCs w:val="20"/>
        </w:rPr>
        <w:t xml:space="preserve"> </w:t>
      </w:r>
      <w:r w:rsidR="00471E3E" w:rsidRPr="008C47F3">
        <w:rPr>
          <w:rFonts w:ascii="Arial" w:hAnsi="Arial" w:cs="Arial"/>
          <w:sz w:val="20"/>
          <w:szCs w:val="20"/>
        </w:rPr>
        <w:t>Most of the respondents are pursuing higher studies abroad, while the fewest are those who have completed only the SSC exam. The data also reveals that a higher percentage of males are intending to go abroad compared to female</w:t>
      </w:r>
      <w:r w:rsidR="003B25E6">
        <w:rPr>
          <w:rFonts w:ascii="Arial" w:hAnsi="Arial" w:cs="Arial"/>
          <w:sz w:val="20"/>
          <w:szCs w:val="20"/>
        </w:rPr>
        <w:t>s</w:t>
      </w:r>
      <w:r w:rsidR="00471E3E" w:rsidRPr="008C47F3">
        <w:rPr>
          <w:rFonts w:ascii="Arial" w:hAnsi="Arial" w:cs="Arial"/>
          <w:sz w:val="20"/>
          <w:szCs w:val="20"/>
        </w:rPr>
        <w:t xml:space="preserve">. </w:t>
      </w:r>
    </w:p>
    <w:p w14:paraId="418A0398" w14:textId="77777777" w:rsidR="00724077" w:rsidRPr="00724077" w:rsidRDefault="00724077" w:rsidP="00AD2469">
      <w:pPr>
        <w:spacing w:after="0" w:line="240" w:lineRule="auto"/>
        <w:jc w:val="both"/>
        <w:rPr>
          <w:rFonts w:ascii="Arial" w:hAnsi="Arial" w:cs="Arial"/>
          <w:sz w:val="20"/>
          <w:szCs w:val="20"/>
        </w:rPr>
      </w:pPr>
    </w:p>
    <w:p w14:paraId="5369F94F" w14:textId="17508C44" w:rsidR="005849B5" w:rsidRPr="008C47F3" w:rsidRDefault="00161262" w:rsidP="00FA7D02">
      <w:pPr>
        <w:spacing w:after="0" w:line="360" w:lineRule="auto"/>
        <w:jc w:val="both"/>
        <w:rPr>
          <w:rFonts w:ascii="Arial" w:hAnsi="Arial" w:cs="Arial"/>
          <w:b/>
          <w:bCs/>
        </w:rPr>
      </w:pPr>
      <w:r>
        <w:rPr>
          <w:rFonts w:ascii="Arial" w:hAnsi="Arial" w:cs="Arial"/>
          <w:b/>
          <w:bCs/>
        </w:rPr>
        <w:t>6</w:t>
      </w:r>
      <w:r w:rsidR="008C47F3" w:rsidRPr="008C47F3">
        <w:rPr>
          <w:rFonts w:ascii="Arial" w:hAnsi="Arial" w:cs="Arial"/>
          <w:b/>
          <w:bCs/>
        </w:rPr>
        <w:t xml:space="preserve">.2. </w:t>
      </w:r>
      <w:r w:rsidR="005849B5" w:rsidRPr="008C47F3">
        <w:rPr>
          <w:rFonts w:ascii="Arial" w:hAnsi="Arial" w:cs="Arial"/>
          <w:b/>
          <w:bCs/>
        </w:rPr>
        <w:t>Purpose</w:t>
      </w:r>
    </w:p>
    <w:p w14:paraId="238E2EFB" w14:textId="07EDCE07" w:rsidR="005849B5" w:rsidRPr="008C47F3" w:rsidRDefault="005849B5" w:rsidP="008C47F3">
      <w:pPr>
        <w:spacing w:after="0" w:line="240" w:lineRule="auto"/>
        <w:jc w:val="both"/>
        <w:rPr>
          <w:rFonts w:ascii="Arial" w:hAnsi="Arial" w:cs="Arial"/>
          <w:sz w:val="20"/>
          <w:szCs w:val="20"/>
        </w:rPr>
      </w:pPr>
      <w:r w:rsidRPr="008C47F3">
        <w:rPr>
          <w:rFonts w:ascii="Arial" w:hAnsi="Arial" w:cs="Arial"/>
          <w:sz w:val="20"/>
          <w:szCs w:val="20"/>
        </w:rPr>
        <w:t xml:space="preserve">People migrate for a variety of reasons, including economic opportunity, improved living conditions, education, family reunification, or to avoid conflict or natural catastrophes. And they are categorized by pull and push </w:t>
      </w:r>
      <w:r w:rsidR="00097A20" w:rsidRPr="008C47F3">
        <w:rPr>
          <w:rFonts w:ascii="Arial" w:hAnsi="Arial" w:cs="Arial"/>
          <w:sz w:val="20"/>
          <w:szCs w:val="20"/>
        </w:rPr>
        <w:t>factors</w:t>
      </w:r>
      <w:r w:rsidRPr="008C47F3">
        <w:rPr>
          <w:rFonts w:ascii="Arial" w:hAnsi="Arial" w:cs="Arial"/>
          <w:sz w:val="20"/>
          <w:szCs w:val="20"/>
        </w:rPr>
        <w:t xml:space="preserve">. Push </w:t>
      </w:r>
      <w:r w:rsidR="00BD1C9A" w:rsidRPr="008C47F3">
        <w:rPr>
          <w:rFonts w:ascii="Arial" w:hAnsi="Arial" w:cs="Arial"/>
          <w:sz w:val="20"/>
          <w:szCs w:val="20"/>
        </w:rPr>
        <w:t>factors</w:t>
      </w:r>
      <w:r w:rsidRPr="008C47F3">
        <w:rPr>
          <w:rFonts w:ascii="Arial" w:hAnsi="Arial" w:cs="Arial"/>
          <w:sz w:val="20"/>
          <w:szCs w:val="20"/>
        </w:rPr>
        <w:t xml:space="preserve"> such as economic </w:t>
      </w:r>
      <w:r w:rsidR="00BD1C9A" w:rsidRPr="008C47F3">
        <w:rPr>
          <w:rFonts w:ascii="Arial" w:hAnsi="Arial" w:cs="Arial"/>
          <w:sz w:val="20"/>
          <w:szCs w:val="20"/>
        </w:rPr>
        <w:t>problems</w:t>
      </w:r>
      <w:r w:rsidRPr="008C47F3">
        <w:rPr>
          <w:rFonts w:ascii="Arial" w:hAnsi="Arial" w:cs="Arial"/>
          <w:sz w:val="20"/>
          <w:szCs w:val="20"/>
        </w:rPr>
        <w:t xml:space="preserve">, political instability, war or conflict and pull </w:t>
      </w:r>
      <w:r w:rsidR="00097A20" w:rsidRPr="008C47F3">
        <w:rPr>
          <w:rFonts w:ascii="Arial" w:hAnsi="Arial" w:cs="Arial"/>
          <w:sz w:val="20"/>
          <w:szCs w:val="20"/>
        </w:rPr>
        <w:t>factors include</w:t>
      </w:r>
      <w:r w:rsidRPr="008C47F3">
        <w:rPr>
          <w:rFonts w:ascii="Arial" w:hAnsi="Arial" w:cs="Arial"/>
          <w:sz w:val="20"/>
          <w:szCs w:val="20"/>
        </w:rPr>
        <w:t xml:space="preserve"> better job opportunities, standard of life, better education system etc.</w:t>
      </w:r>
    </w:p>
    <w:p w14:paraId="2D22DB40" w14:textId="2EA6E8F7" w:rsidR="005849B5" w:rsidRDefault="005849B5" w:rsidP="008C47F3">
      <w:pPr>
        <w:spacing w:after="0" w:line="240" w:lineRule="auto"/>
        <w:jc w:val="both"/>
        <w:rPr>
          <w:rFonts w:ascii="Arial" w:hAnsi="Arial" w:cs="Arial"/>
          <w:sz w:val="20"/>
          <w:szCs w:val="20"/>
        </w:rPr>
      </w:pPr>
      <w:r w:rsidRPr="008C47F3">
        <w:rPr>
          <w:rFonts w:ascii="Arial" w:hAnsi="Arial" w:cs="Arial"/>
          <w:sz w:val="20"/>
          <w:szCs w:val="20"/>
        </w:rPr>
        <w:t>Economic factors are the most important motivators for migration, including the desire to pursue better work and a better life in other countries.</w:t>
      </w:r>
      <w:r w:rsidR="003B5F92" w:rsidRPr="008C47F3">
        <w:rPr>
          <w:rFonts w:ascii="Arial" w:hAnsi="Arial" w:cs="Arial"/>
          <w:sz w:val="20"/>
          <w:szCs w:val="20"/>
        </w:rPr>
        <w:t xml:space="preserve"> </w:t>
      </w:r>
      <w:r w:rsidRPr="008C47F3">
        <w:rPr>
          <w:rFonts w:ascii="Arial" w:hAnsi="Arial" w:cs="Arial"/>
          <w:sz w:val="20"/>
          <w:szCs w:val="20"/>
        </w:rPr>
        <w:t xml:space="preserve">Global migration has increased due to </w:t>
      </w:r>
      <w:r w:rsidR="003B25E6" w:rsidRPr="008C47F3">
        <w:rPr>
          <w:rFonts w:ascii="Arial" w:hAnsi="Arial" w:cs="Arial"/>
          <w:sz w:val="20"/>
          <w:szCs w:val="20"/>
        </w:rPr>
        <w:t>several</w:t>
      </w:r>
      <w:r w:rsidRPr="008C47F3">
        <w:rPr>
          <w:rFonts w:ascii="Arial" w:hAnsi="Arial" w:cs="Arial"/>
          <w:sz w:val="20"/>
          <w:szCs w:val="20"/>
        </w:rPr>
        <w:t xml:space="preserve"> political factors. Political events</w:t>
      </w:r>
      <w:r w:rsidR="003B25E6">
        <w:rPr>
          <w:rFonts w:ascii="Arial" w:hAnsi="Arial" w:cs="Arial"/>
          <w:sz w:val="20"/>
          <w:szCs w:val="20"/>
        </w:rPr>
        <w:t>,</w:t>
      </w:r>
      <w:r w:rsidRPr="008C47F3">
        <w:rPr>
          <w:rFonts w:ascii="Arial" w:hAnsi="Arial" w:cs="Arial"/>
          <w:sz w:val="20"/>
          <w:szCs w:val="20"/>
        </w:rPr>
        <w:t xml:space="preserve"> including economic stagnation, civil conflicts, and political revolutions</w:t>
      </w:r>
      <w:r w:rsidR="003B25E6">
        <w:rPr>
          <w:rFonts w:ascii="Arial" w:hAnsi="Arial" w:cs="Arial"/>
          <w:sz w:val="20"/>
          <w:szCs w:val="20"/>
        </w:rPr>
        <w:t>,</w:t>
      </w:r>
      <w:r w:rsidRPr="008C47F3">
        <w:rPr>
          <w:rFonts w:ascii="Arial" w:hAnsi="Arial" w:cs="Arial"/>
          <w:sz w:val="20"/>
          <w:szCs w:val="20"/>
        </w:rPr>
        <w:t xml:space="preserve"> frequently force people to migrate.</w:t>
      </w:r>
    </w:p>
    <w:p w14:paraId="2EA26202" w14:textId="77777777" w:rsidR="008C47F3" w:rsidRPr="008C47F3" w:rsidRDefault="008C47F3" w:rsidP="008C47F3">
      <w:pPr>
        <w:spacing w:after="0" w:line="240" w:lineRule="auto"/>
        <w:jc w:val="both"/>
        <w:rPr>
          <w:rFonts w:ascii="Arial" w:hAnsi="Arial" w:cs="Arial"/>
          <w:sz w:val="20"/>
          <w:szCs w:val="20"/>
        </w:rPr>
      </w:pPr>
    </w:p>
    <w:p w14:paraId="797C47A3" w14:textId="49062699" w:rsidR="005849B5" w:rsidRPr="008C47F3" w:rsidRDefault="005849B5"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2</w:t>
      </w:r>
      <w:r w:rsidRPr="008C47F3">
        <w:rPr>
          <w:rFonts w:ascii="Arial" w:hAnsi="Arial" w:cs="Arial"/>
          <w:b/>
          <w:bCs/>
          <w:sz w:val="20"/>
          <w:szCs w:val="20"/>
        </w:rPr>
        <w:t>: Continent</w:t>
      </w:r>
    </w:p>
    <w:tbl>
      <w:tblPr>
        <w:tblStyle w:val="TableGrid"/>
        <w:tblW w:w="9265" w:type="dxa"/>
        <w:tblLook w:val="04A0" w:firstRow="1" w:lastRow="0" w:firstColumn="1" w:lastColumn="0" w:noHBand="0" w:noVBand="1"/>
      </w:tblPr>
      <w:tblGrid>
        <w:gridCol w:w="3390"/>
        <w:gridCol w:w="3265"/>
        <w:gridCol w:w="2610"/>
      </w:tblGrid>
      <w:tr w:rsidR="005849B5" w:rsidRPr="008C47F3" w14:paraId="153088F1" w14:textId="77777777" w:rsidTr="007F5ABB">
        <w:tc>
          <w:tcPr>
            <w:tcW w:w="3390" w:type="dxa"/>
            <w:tcBorders>
              <w:bottom w:val="single" w:sz="4" w:space="0" w:color="auto"/>
            </w:tcBorders>
          </w:tcPr>
          <w:p w14:paraId="1F371695" w14:textId="77777777" w:rsidR="005849B5" w:rsidRPr="008C47F3" w:rsidRDefault="005849B5" w:rsidP="007F5ABB">
            <w:pPr>
              <w:jc w:val="center"/>
              <w:rPr>
                <w:rFonts w:ascii="Arial" w:hAnsi="Arial" w:cs="Arial"/>
                <w:b/>
                <w:bCs/>
                <w:sz w:val="20"/>
                <w:szCs w:val="20"/>
              </w:rPr>
            </w:pPr>
            <w:bookmarkStart w:id="1" w:name="_Hlk174823058"/>
            <w:r w:rsidRPr="008C47F3">
              <w:rPr>
                <w:rFonts w:ascii="Arial" w:hAnsi="Arial" w:cs="Arial"/>
                <w:b/>
                <w:bCs/>
                <w:sz w:val="20"/>
                <w:szCs w:val="20"/>
              </w:rPr>
              <w:t>Continent</w:t>
            </w:r>
          </w:p>
        </w:tc>
        <w:tc>
          <w:tcPr>
            <w:tcW w:w="3265" w:type="dxa"/>
            <w:tcBorders>
              <w:bottom w:val="single" w:sz="4" w:space="0" w:color="auto"/>
            </w:tcBorders>
          </w:tcPr>
          <w:p w14:paraId="1F6A1052" w14:textId="77777777" w:rsidR="005849B5" w:rsidRPr="008C47F3" w:rsidRDefault="005849B5" w:rsidP="007F5ABB">
            <w:pPr>
              <w:jc w:val="center"/>
              <w:rPr>
                <w:rFonts w:ascii="Arial" w:hAnsi="Arial" w:cs="Arial"/>
                <w:b/>
                <w:bCs/>
                <w:sz w:val="20"/>
                <w:szCs w:val="20"/>
              </w:rPr>
            </w:pPr>
            <w:r w:rsidRPr="008C47F3">
              <w:rPr>
                <w:rFonts w:ascii="Arial" w:hAnsi="Arial" w:cs="Arial"/>
                <w:b/>
                <w:bCs/>
                <w:sz w:val="20"/>
                <w:szCs w:val="20"/>
              </w:rPr>
              <w:t>Total of respondents</w:t>
            </w:r>
          </w:p>
        </w:tc>
        <w:tc>
          <w:tcPr>
            <w:tcW w:w="2610" w:type="dxa"/>
            <w:tcBorders>
              <w:bottom w:val="single" w:sz="4" w:space="0" w:color="auto"/>
            </w:tcBorders>
          </w:tcPr>
          <w:p w14:paraId="4300EA7D" w14:textId="77777777" w:rsidR="005849B5" w:rsidRPr="008C47F3" w:rsidRDefault="005849B5" w:rsidP="007F5ABB">
            <w:pPr>
              <w:jc w:val="center"/>
              <w:rPr>
                <w:rFonts w:ascii="Arial" w:hAnsi="Arial" w:cs="Arial"/>
                <w:b/>
                <w:bCs/>
                <w:sz w:val="20"/>
                <w:szCs w:val="20"/>
              </w:rPr>
            </w:pPr>
            <w:r w:rsidRPr="008C47F3">
              <w:rPr>
                <w:rFonts w:ascii="Arial" w:hAnsi="Arial" w:cs="Arial"/>
                <w:b/>
                <w:bCs/>
                <w:sz w:val="20"/>
                <w:szCs w:val="20"/>
              </w:rPr>
              <w:t>% of respondents</w:t>
            </w:r>
          </w:p>
        </w:tc>
      </w:tr>
      <w:tr w:rsidR="005849B5" w:rsidRPr="008C47F3" w14:paraId="0FD9F17A" w14:textId="77777777" w:rsidTr="007F5ABB">
        <w:tc>
          <w:tcPr>
            <w:tcW w:w="3390" w:type="dxa"/>
            <w:tcBorders>
              <w:bottom w:val="nil"/>
            </w:tcBorders>
          </w:tcPr>
          <w:p w14:paraId="02023CA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w:t>
            </w:r>
          </w:p>
        </w:tc>
        <w:tc>
          <w:tcPr>
            <w:tcW w:w="3265" w:type="dxa"/>
            <w:tcBorders>
              <w:bottom w:val="nil"/>
            </w:tcBorders>
          </w:tcPr>
          <w:p w14:paraId="2ADC8D0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63</w:t>
            </w:r>
          </w:p>
        </w:tc>
        <w:tc>
          <w:tcPr>
            <w:tcW w:w="2610" w:type="dxa"/>
            <w:tcBorders>
              <w:bottom w:val="nil"/>
            </w:tcBorders>
          </w:tcPr>
          <w:p w14:paraId="6A1A591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36.84%</w:t>
            </w:r>
          </w:p>
        </w:tc>
      </w:tr>
      <w:tr w:rsidR="005849B5" w:rsidRPr="008C47F3" w14:paraId="5C0AB692" w14:textId="77777777" w:rsidTr="007F5ABB">
        <w:tc>
          <w:tcPr>
            <w:tcW w:w="3390" w:type="dxa"/>
            <w:tcBorders>
              <w:top w:val="nil"/>
              <w:bottom w:val="nil"/>
            </w:tcBorders>
          </w:tcPr>
          <w:p w14:paraId="3711886C"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North America</w:t>
            </w:r>
          </w:p>
        </w:tc>
        <w:tc>
          <w:tcPr>
            <w:tcW w:w="3265" w:type="dxa"/>
            <w:tcBorders>
              <w:top w:val="nil"/>
              <w:bottom w:val="nil"/>
            </w:tcBorders>
          </w:tcPr>
          <w:p w14:paraId="36AB6C6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33</w:t>
            </w:r>
          </w:p>
        </w:tc>
        <w:tc>
          <w:tcPr>
            <w:tcW w:w="2610" w:type="dxa"/>
            <w:tcBorders>
              <w:top w:val="nil"/>
              <w:bottom w:val="nil"/>
            </w:tcBorders>
          </w:tcPr>
          <w:p w14:paraId="696B7F97"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19.30%</w:t>
            </w:r>
          </w:p>
        </w:tc>
      </w:tr>
      <w:tr w:rsidR="005849B5" w:rsidRPr="008C47F3" w14:paraId="6248F986" w14:textId="77777777" w:rsidTr="007F5ABB">
        <w:tc>
          <w:tcPr>
            <w:tcW w:w="3390" w:type="dxa"/>
            <w:tcBorders>
              <w:top w:val="nil"/>
              <w:bottom w:val="nil"/>
            </w:tcBorders>
          </w:tcPr>
          <w:p w14:paraId="220ADC67"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South America</w:t>
            </w:r>
          </w:p>
        </w:tc>
        <w:tc>
          <w:tcPr>
            <w:tcW w:w="3265" w:type="dxa"/>
            <w:tcBorders>
              <w:top w:val="nil"/>
              <w:bottom w:val="nil"/>
            </w:tcBorders>
          </w:tcPr>
          <w:p w14:paraId="15B61B5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c>
          <w:tcPr>
            <w:tcW w:w="2610" w:type="dxa"/>
            <w:tcBorders>
              <w:top w:val="nil"/>
              <w:bottom w:val="nil"/>
            </w:tcBorders>
          </w:tcPr>
          <w:p w14:paraId="0643636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r>
      <w:tr w:rsidR="005849B5" w:rsidRPr="008C47F3" w14:paraId="3F222640" w14:textId="77777777" w:rsidTr="007F5ABB">
        <w:tc>
          <w:tcPr>
            <w:tcW w:w="3390" w:type="dxa"/>
            <w:tcBorders>
              <w:top w:val="nil"/>
              <w:bottom w:val="nil"/>
            </w:tcBorders>
          </w:tcPr>
          <w:p w14:paraId="24996FBC"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Australia</w:t>
            </w:r>
          </w:p>
        </w:tc>
        <w:tc>
          <w:tcPr>
            <w:tcW w:w="3265" w:type="dxa"/>
            <w:tcBorders>
              <w:top w:val="nil"/>
              <w:bottom w:val="nil"/>
            </w:tcBorders>
          </w:tcPr>
          <w:p w14:paraId="2D6041E9"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07</w:t>
            </w:r>
          </w:p>
        </w:tc>
        <w:tc>
          <w:tcPr>
            <w:tcW w:w="2610" w:type="dxa"/>
            <w:tcBorders>
              <w:top w:val="nil"/>
              <w:bottom w:val="nil"/>
            </w:tcBorders>
          </w:tcPr>
          <w:p w14:paraId="60CD4D7A"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4.09%</w:t>
            </w:r>
          </w:p>
        </w:tc>
      </w:tr>
      <w:tr w:rsidR="005849B5" w:rsidRPr="008C47F3" w14:paraId="0AB67CC9" w14:textId="77777777" w:rsidTr="007F5ABB">
        <w:tc>
          <w:tcPr>
            <w:tcW w:w="3390" w:type="dxa"/>
            <w:tcBorders>
              <w:top w:val="nil"/>
              <w:bottom w:val="nil"/>
            </w:tcBorders>
          </w:tcPr>
          <w:p w14:paraId="1C22326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Asia</w:t>
            </w:r>
          </w:p>
        </w:tc>
        <w:tc>
          <w:tcPr>
            <w:tcW w:w="3265" w:type="dxa"/>
            <w:tcBorders>
              <w:top w:val="nil"/>
              <w:bottom w:val="nil"/>
            </w:tcBorders>
          </w:tcPr>
          <w:p w14:paraId="66F55CE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01</w:t>
            </w:r>
          </w:p>
        </w:tc>
        <w:tc>
          <w:tcPr>
            <w:tcW w:w="2610" w:type="dxa"/>
            <w:tcBorders>
              <w:top w:val="nil"/>
              <w:bottom w:val="nil"/>
            </w:tcBorders>
          </w:tcPr>
          <w:p w14:paraId="6DF9296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0.58%</w:t>
            </w:r>
          </w:p>
        </w:tc>
      </w:tr>
      <w:tr w:rsidR="005849B5" w:rsidRPr="008C47F3" w14:paraId="6AAA9B90" w14:textId="77777777" w:rsidTr="007F5ABB">
        <w:tc>
          <w:tcPr>
            <w:tcW w:w="3390" w:type="dxa"/>
            <w:tcBorders>
              <w:top w:val="nil"/>
              <w:bottom w:val="nil"/>
            </w:tcBorders>
          </w:tcPr>
          <w:p w14:paraId="15DDE43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Africa</w:t>
            </w:r>
          </w:p>
        </w:tc>
        <w:tc>
          <w:tcPr>
            <w:tcW w:w="3265" w:type="dxa"/>
            <w:tcBorders>
              <w:top w:val="nil"/>
              <w:bottom w:val="nil"/>
            </w:tcBorders>
          </w:tcPr>
          <w:p w14:paraId="7C87F5FA"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c>
          <w:tcPr>
            <w:tcW w:w="2610" w:type="dxa"/>
            <w:tcBorders>
              <w:top w:val="nil"/>
              <w:bottom w:val="nil"/>
            </w:tcBorders>
          </w:tcPr>
          <w:p w14:paraId="06F4714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r>
      <w:tr w:rsidR="005849B5" w:rsidRPr="008C47F3" w14:paraId="0294CC81" w14:textId="77777777" w:rsidTr="007F5ABB">
        <w:tc>
          <w:tcPr>
            <w:tcW w:w="3390" w:type="dxa"/>
            <w:tcBorders>
              <w:top w:val="nil"/>
              <w:bottom w:val="nil"/>
            </w:tcBorders>
          </w:tcPr>
          <w:p w14:paraId="2E1EDD4C"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Antarctica</w:t>
            </w:r>
          </w:p>
        </w:tc>
        <w:tc>
          <w:tcPr>
            <w:tcW w:w="3265" w:type="dxa"/>
            <w:tcBorders>
              <w:top w:val="nil"/>
              <w:bottom w:val="nil"/>
            </w:tcBorders>
          </w:tcPr>
          <w:p w14:paraId="711C7B5B"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c>
          <w:tcPr>
            <w:tcW w:w="2610" w:type="dxa"/>
            <w:tcBorders>
              <w:top w:val="nil"/>
              <w:bottom w:val="nil"/>
            </w:tcBorders>
          </w:tcPr>
          <w:p w14:paraId="6CB54E9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00%</w:t>
            </w:r>
          </w:p>
        </w:tc>
      </w:tr>
      <w:tr w:rsidR="005849B5" w:rsidRPr="008C47F3" w14:paraId="4E99F9DB" w14:textId="77777777" w:rsidTr="007F5ABB">
        <w:tc>
          <w:tcPr>
            <w:tcW w:w="3390" w:type="dxa"/>
            <w:tcBorders>
              <w:top w:val="nil"/>
              <w:bottom w:val="nil"/>
            </w:tcBorders>
          </w:tcPr>
          <w:p w14:paraId="217615A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Europe-North America</w:t>
            </w:r>
          </w:p>
        </w:tc>
        <w:tc>
          <w:tcPr>
            <w:tcW w:w="3265" w:type="dxa"/>
            <w:tcBorders>
              <w:top w:val="nil"/>
              <w:bottom w:val="nil"/>
            </w:tcBorders>
          </w:tcPr>
          <w:p w14:paraId="4A2988A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40</w:t>
            </w:r>
          </w:p>
        </w:tc>
        <w:tc>
          <w:tcPr>
            <w:tcW w:w="2610" w:type="dxa"/>
            <w:tcBorders>
              <w:top w:val="nil"/>
              <w:bottom w:val="nil"/>
            </w:tcBorders>
          </w:tcPr>
          <w:p w14:paraId="366B549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23.39%</w:t>
            </w:r>
          </w:p>
        </w:tc>
      </w:tr>
      <w:tr w:rsidR="005849B5" w:rsidRPr="008C47F3" w14:paraId="02F9D8E5" w14:textId="77777777" w:rsidTr="007F5ABB">
        <w:tc>
          <w:tcPr>
            <w:tcW w:w="3390" w:type="dxa"/>
            <w:tcBorders>
              <w:top w:val="nil"/>
              <w:bottom w:val="nil"/>
            </w:tcBorders>
          </w:tcPr>
          <w:p w14:paraId="041312D7"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Europe-North America-Australia</w:t>
            </w:r>
          </w:p>
        </w:tc>
        <w:tc>
          <w:tcPr>
            <w:tcW w:w="3265" w:type="dxa"/>
            <w:tcBorders>
              <w:top w:val="nil"/>
              <w:bottom w:val="nil"/>
            </w:tcBorders>
          </w:tcPr>
          <w:p w14:paraId="6AC6722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15</w:t>
            </w:r>
          </w:p>
        </w:tc>
        <w:tc>
          <w:tcPr>
            <w:tcW w:w="2610" w:type="dxa"/>
            <w:tcBorders>
              <w:top w:val="nil"/>
              <w:bottom w:val="nil"/>
            </w:tcBorders>
          </w:tcPr>
          <w:p w14:paraId="5A156CC0"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8.77%</w:t>
            </w:r>
          </w:p>
        </w:tc>
      </w:tr>
      <w:tr w:rsidR="005849B5" w:rsidRPr="008C47F3" w14:paraId="10DE84FE" w14:textId="77777777" w:rsidTr="007F5ABB">
        <w:tc>
          <w:tcPr>
            <w:tcW w:w="3390" w:type="dxa"/>
            <w:tcBorders>
              <w:top w:val="nil"/>
              <w:bottom w:val="nil"/>
            </w:tcBorders>
          </w:tcPr>
          <w:p w14:paraId="4602862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lastRenderedPageBreak/>
              <w:t>Europe-Australia</w:t>
            </w:r>
          </w:p>
        </w:tc>
        <w:tc>
          <w:tcPr>
            <w:tcW w:w="3265" w:type="dxa"/>
            <w:tcBorders>
              <w:top w:val="nil"/>
              <w:bottom w:val="nil"/>
            </w:tcBorders>
          </w:tcPr>
          <w:p w14:paraId="69E28D5E"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05</w:t>
            </w:r>
          </w:p>
        </w:tc>
        <w:tc>
          <w:tcPr>
            <w:tcW w:w="2610" w:type="dxa"/>
            <w:tcBorders>
              <w:top w:val="nil"/>
              <w:bottom w:val="nil"/>
            </w:tcBorders>
          </w:tcPr>
          <w:p w14:paraId="33564D41"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2.92%</w:t>
            </w:r>
          </w:p>
        </w:tc>
      </w:tr>
      <w:tr w:rsidR="005849B5" w:rsidRPr="008C47F3" w14:paraId="248631F2" w14:textId="77777777" w:rsidTr="007F5ABB">
        <w:tc>
          <w:tcPr>
            <w:tcW w:w="3390" w:type="dxa"/>
            <w:tcBorders>
              <w:top w:val="nil"/>
              <w:bottom w:val="nil"/>
            </w:tcBorders>
          </w:tcPr>
          <w:p w14:paraId="43A0B799"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Europe, Asia</w:t>
            </w:r>
          </w:p>
        </w:tc>
        <w:tc>
          <w:tcPr>
            <w:tcW w:w="3265" w:type="dxa"/>
            <w:tcBorders>
              <w:top w:val="nil"/>
              <w:bottom w:val="nil"/>
            </w:tcBorders>
          </w:tcPr>
          <w:p w14:paraId="07B052A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01</w:t>
            </w:r>
          </w:p>
        </w:tc>
        <w:tc>
          <w:tcPr>
            <w:tcW w:w="2610" w:type="dxa"/>
            <w:tcBorders>
              <w:top w:val="nil"/>
              <w:bottom w:val="nil"/>
            </w:tcBorders>
          </w:tcPr>
          <w:p w14:paraId="1260BED8"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0.58%</w:t>
            </w:r>
          </w:p>
        </w:tc>
      </w:tr>
      <w:tr w:rsidR="005849B5" w:rsidRPr="008C47F3" w14:paraId="08B42650" w14:textId="77777777" w:rsidTr="007F5ABB">
        <w:tc>
          <w:tcPr>
            <w:tcW w:w="3390" w:type="dxa"/>
            <w:tcBorders>
              <w:top w:val="nil"/>
            </w:tcBorders>
          </w:tcPr>
          <w:p w14:paraId="4B36E3B6"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North America-Australia</w:t>
            </w:r>
          </w:p>
        </w:tc>
        <w:tc>
          <w:tcPr>
            <w:tcW w:w="3265" w:type="dxa"/>
            <w:tcBorders>
              <w:top w:val="nil"/>
            </w:tcBorders>
          </w:tcPr>
          <w:p w14:paraId="13CA8BF2"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06</w:t>
            </w:r>
          </w:p>
        </w:tc>
        <w:tc>
          <w:tcPr>
            <w:tcW w:w="2610" w:type="dxa"/>
            <w:tcBorders>
              <w:top w:val="nil"/>
            </w:tcBorders>
          </w:tcPr>
          <w:p w14:paraId="5C6779AF"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3.51%</w:t>
            </w:r>
          </w:p>
        </w:tc>
      </w:tr>
      <w:tr w:rsidR="005849B5" w:rsidRPr="008C47F3" w14:paraId="31A19678" w14:textId="77777777" w:rsidTr="00B42A7C">
        <w:tc>
          <w:tcPr>
            <w:tcW w:w="3390" w:type="dxa"/>
          </w:tcPr>
          <w:p w14:paraId="022E8895" w14:textId="77777777" w:rsidR="005849B5" w:rsidRPr="008C47F3" w:rsidRDefault="005849B5" w:rsidP="007F5ABB">
            <w:pPr>
              <w:jc w:val="center"/>
              <w:rPr>
                <w:rFonts w:ascii="Arial" w:hAnsi="Arial" w:cs="Arial"/>
                <w:sz w:val="20"/>
                <w:szCs w:val="20"/>
              </w:rPr>
            </w:pPr>
          </w:p>
        </w:tc>
        <w:tc>
          <w:tcPr>
            <w:tcW w:w="3265" w:type="dxa"/>
          </w:tcPr>
          <w:p w14:paraId="4E3A7479" w14:textId="77777777" w:rsidR="005849B5" w:rsidRPr="008C47F3" w:rsidRDefault="005849B5" w:rsidP="007F5ABB">
            <w:pPr>
              <w:jc w:val="center"/>
              <w:rPr>
                <w:rFonts w:ascii="Arial" w:hAnsi="Arial" w:cs="Arial"/>
                <w:sz w:val="20"/>
                <w:szCs w:val="20"/>
              </w:rPr>
            </w:pPr>
            <w:r w:rsidRPr="008C47F3">
              <w:rPr>
                <w:rFonts w:ascii="Arial" w:hAnsi="Arial" w:cs="Arial"/>
                <w:sz w:val="20"/>
                <w:szCs w:val="20"/>
              </w:rPr>
              <w:t>Total = 171</w:t>
            </w:r>
          </w:p>
        </w:tc>
        <w:tc>
          <w:tcPr>
            <w:tcW w:w="2610" w:type="dxa"/>
          </w:tcPr>
          <w:p w14:paraId="33933694" w14:textId="77777777" w:rsidR="005849B5" w:rsidRPr="008C47F3" w:rsidRDefault="005849B5" w:rsidP="007F5ABB">
            <w:pPr>
              <w:jc w:val="center"/>
              <w:rPr>
                <w:rFonts w:ascii="Arial" w:hAnsi="Arial" w:cs="Arial"/>
                <w:sz w:val="20"/>
                <w:szCs w:val="20"/>
              </w:rPr>
            </w:pPr>
          </w:p>
        </w:tc>
      </w:tr>
    </w:tbl>
    <w:p w14:paraId="6C07F4F2" w14:textId="77777777" w:rsidR="008C47F3" w:rsidRDefault="008C47F3" w:rsidP="00020154">
      <w:pPr>
        <w:spacing w:line="240" w:lineRule="auto"/>
        <w:jc w:val="both"/>
        <w:rPr>
          <w:rFonts w:ascii="Arial" w:hAnsi="Arial" w:cs="Arial"/>
          <w:sz w:val="24"/>
          <w:szCs w:val="24"/>
        </w:rPr>
      </w:pPr>
      <w:bookmarkStart w:id="2" w:name="_Hlk174823076"/>
      <w:bookmarkEnd w:id="1"/>
    </w:p>
    <w:p w14:paraId="627BA1D7" w14:textId="395CA464" w:rsidR="005849B5" w:rsidRDefault="005849B5" w:rsidP="008C47F3">
      <w:pPr>
        <w:spacing w:after="0" w:line="240" w:lineRule="auto"/>
        <w:jc w:val="both"/>
        <w:rPr>
          <w:rFonts w:ascii="Arial" w:hAnsi="Arial" w:cs="Arial"/>
          <w:sz w:val="20"/>
          <w:szCs w:val="20"/>
        </w:rPr>
      </w:pPr>
      <w:r w:rsidRPr="00AD2469">
        <w:rPr>
          <w:rFonts w:ascii="Arial" w:hAnsi="Arial" w:cs="Arial"/>
          <w:b/>
          <w:sz w:val="20"/>
          <w:szCs w:val="20"/>
        </w:rPr>
        <w:t xml:space="preserve">Table </w:t>
      </w:r>
      <w:r w:rsidR="00F44842" w:rsidRPr="00AD2469">
        <w:rPr>
          <w:rFonts w:ascii="Arial" w:hAnsi="Arial" w:cs="Arial"/>
          <w:b/>
          <w:sz w:val="20"/>
          <w:szCs w:val="20"/>
        </w:rPr>
        <w:t>2</w:t>
      </w:r>
      <w:r w:rsidRPr="008C47F3">
        <w:rPr>
          <w:rFonts w:ascii="Arial" w:hAnsi="Arial" w:cs="Arial"/>
          <w:sz w:val="20"/>
          <w:szCs w:val="20"/>
        </w:rPr>
        <w:t xml:space="preserve"> presents data on respondents' preferences for continents and countries they want to visit. Here</w:t>
      </w:r>
      <w:r w:rsidR="0029779D">
        <w:rPr>
          <w:rFonts w:ascii="Arial" w:hAnsi="Arial" w:cs="Arial"/>
          <w:sz w:val="20"/>
          <w:szCs w:val="20"/>
        </w:rPr>
        <w:t>,</w:t>
      </w:r>
      <w:r w:rsidRPr="008C47F3">
        <w:rPr>
          <w:rFonts w:ascii="Arial" w:hAnsi="Arial" w:cs="Arial"/>
          <w:sz w:val="20"/>
          <w:szCs w:val="20"/>
        </w:rPr>
        <w:t xml:space="preserve"> 63 respondents (36.84%) prefer Europe, </w:t>
      </w:r>
      <w:r w:rsidR="0029779D">
        <w:rPr>
          <w:rFonts w:ascii="Arial" w:hAnsi="Arial" w:cs="Arial"/>
          <w:sz w:val="20"/>
          <w:szCs w:val="20"/>
        </w:rPr>
        <w:t xml:space="preserve">and </w:t>
      </w:r>
      <w:r w:rsidRPr="008C47F3">
        <w:rPr>
          <w:rFonts w:ascii="Arial" w:hAnsi="Arial" w:cs="Arial"/>
          <w:sz w:val="20"/>
          <w:szCs w:val="20"/>
        </w:rPr>
        <w:t>33 respondents (19.30%) want to go to North America (USA and Canada). Australia represents 7 respondents</w:t>
      </w:r>
      <w:r w:rsidR="009A7D12">
        <w:rPr>
          <w:rFonts w:ascii="Arial" w:hAnsi="Arial" w:cs="Arial"/>
          <w:sz w:val="20"/>
          <w:szCs w:val="20"/>
        </w:rPr>
        <w:t>,</w:t>
      </w:r>
      <w:r w:rsidRPr="008C47F3">
        <w:rPr>
          <w:rFonts w:ascii="Arial" w:hAnsi="Arial" w:cs="Arial"/>
          <w:sz w:val="20"/>
          <w:szCs w:val="20"/>
        </w:rPr>
        <w:t xml:space="preserve"> which is accounted for 4.09%. Asia and</w:t>
      </w:r>
      <w:r w:rsidR="009A7D12">
        <w:rPr>
          <w:rFonts w:ascii="Arial" w:hAnsi="Arial" w:cs="Arial"/>
          <w:sz w:val="20"/>
          <w:szCs w:val="20"/>
        </w:rPr>
        <w:t>,</w:t>
      </w:r>
      <w:r w:rsidRPr="008C47F3">
        <w:rPr>
          <w:rFonts w:ascii="Arial" w:hAnsi="Arial" w:cs="Arial"/>
          <w:sz w:val="20"/>
          <w:szCs w:val="20"/>
        </w:rPr>
        <w:t xml:space="preserve"> </w:t>
      </w:r>
      <w:r w:rsidR="00AA1285" w:rsidRPr="008C47F3">
        <w:rPr>
          <w:rFonts w:ascii="Arial" w:hAnsi="Arial" w:cs="Arial"/>
          <w:sz w:val="20"/>
          <w:szCs w:val="20"/>
        </w:rPr>
        <w:t>combinedly,</w:t>
      </w:r>
      <w:r w:rsidRPr="008C47F3">
        <w:rPr>
          <w:rFonts w:ascii="Arial" w:hAnsi="Arial" w:cs="Arial"/>
          <w:sz w:val="20"/>
          <w:szCs w:val="20"/>
        </w:rPr>
        <w:t xml:space="preserve"> Asia-Europe both carry the same value (0.58%). Combinedly</w:t>
      </w:r>
      <w:r w:rsidR="009A7D12">
        <w:rPr>
          <w:rFonts w:ascii="Arial" w:hAnsi="Arial" w:cs="Arial"/>
          <w:sz w:val="20"/>
          <w:szCs w:val="20"/>
        </w:rPr>
        <w:t>,</w:t>
      </w:r>
      <w:r w:rsidRPr="008C47F3">
        <w:rPr>
          <w:rFonts w:ascii="Arial" w:hAnsi="Arial" w:cs="Arial"/>
          <w:sz w:val="20"/>
          <w:szCs w:val="20"/>
        </w:rPr>
        <w:t xml:space="preserve"> Europe-North America and Europe-North America-Australia represent 23.39% (40 out of 171) and 8.77% (15 out of 171) respondents who all want to go to this continent. Europe-Australia (2.92%) and North America-Australia (3.51%) of respondents prefer. From Bangladesh, people want to go abroad </w:t>
      </w:r>
      <w:r w:rsidR="009A7D12">
        <w:rPr>
          <w:rFonts w:ascii="Arial" w:hAnsi="Arial" w:cs="Arial"/>
          <w:sz w:val="20"/>
          <w:szCs w:val="20"/>
        </w:rPr>
        <w:t xml:space="preserve">to </w:t>
      </w:r>
      <w:r w:rsidRPr="008C47F3">
        <w:rPr>
          <w:rFonts w:ascii="Arial" w:hAnsi="Arial" w:cs="Arial"/>
          <w:sz w:val="20"/>
          <w:szCs w:val="20"/>
        </w:rPr>
        <w:t xml:space="preserve">only 17 countries by taking </w:t>
      </w:r>
      <w:r w:rsidR="009A7D12">
        <w:rPr>
          <w:rFonts w:ascii="Arial" w:hAnsi="Arial" w:cs="Arial"/>
          <w:sz w:val="20"/>
          <w:szCs w:val="20"/>
        </w:rPr>
        <w:t xml:space="preserve">the </w:t>
      </w:r>
      <w:r w:rsidRPr="008C47F3">
        <w:rPr>
          <w:rFonts w:ascii="Arial" w:hAnsi="Arial" w:cs="Arial"/>
          <w:sz w:val="20"/>
          <w:szCs w:val="20"/>
        </w:rPr>
        <w:t>IELTS test</w:t>
      </w:r>
      <w:r w:rsidR="00FB71C2" w:rsidRPr="008C47F3">
        <w:rPr>
          <w:rFonts w:ascii="Arial" w:hAnsi="Arial" w:cs="Arial"/>
          <w:sz w:val="20"/>
          <w:szCs w:val="20"/>
        </w:rPr>
        <w:t xml:space="preserve"> (Appendix table 1)</w:t>
      </w:r>
      <w:r w:rsidRPr="008C47F3">
        <w:rPr>
          <w:rFonts w:ascii="Arial" w:hAnsi="Arial" w:cs="Arial"/>
          <w:sz w:val="20"/>
          <w:szCs w:val="20"/>
        </w:rPr>
        <w:t>. Out of the 51 countries of the European continent, Bangladeshi people are willing to go to only 12 countries (UK, Denmark, Germany, Italy, France, Finland, Spain, Poland, Switzerland, Netherland</w:t>
      </w:r>
      <w:r w:rsidR="009A7D12">
        <w:rPr>
          <w:rFonts w:ascii="Arial" w:hAnsi="Arial" w:cs="Arial"/>
          <w:sz w:val="20"/>
          <w:szCs w:val="20"/>
        </w:rPr>
        <w:t>s</w:t>
      </w:r>
      <w:r w:rsidRPr="008C47F3">
        <w:rPr>
          <w:rFonts w:ascii="Arial" w:hAnsi="Arial" w:cs="Arial"/>
          <w:sz w:val="20"/>
          <w:szCs w:val="20"/>
        </w:rPr>
        <w:t>, Czech Republic,</w:t>
      </w:r>
      <w:r w:rsidR="009A7D12">
        <w:rPr>
          <w:rFonts w:ascii="Arial" w:hAnsi="Arial" w:cs="Arial"/>
          <w:sz w:val="20"/>
          <w:szCs w:val="20"/>
        </w:rPr>
        <w:t xml:space="preserve"> and</w:t>
      </w:r>
      <w:r w:rsidRPr="008C47F3">
        <w:rPr>
          <w:rFonts w:ascii="Arial" w:hAnsi="Arial" w:cs="Arial"/>
          <w:sz w:val="20"/>
          <w:szCs w:val="20"/>
        </w:rPr>
        <w:t xml:space="preserve"> Norway). In Asia, </w:t>
      </w:r>
      <w:r w:rsidR="009A7D12">
        <w:rPr>
          <w:rFonts w:ascii="Arial" w:hAnsi="Arial" w:cs="Arial"/>
          <w:sz w:val="20"/>
          <w:szCs w:val="20"/>
        </w:rPr>
        <w:t>p</w:t>
      </w:r>
      <w:r w:rsidRPr="008C47F3">
        <w:rPr>
          <w:rFonts w:ascii="Arial" w:hAnsi="Arial" w:cs="Arial"/>
          <w:sz w:val="20"/>
          <w:szCs w:val="20"/>
        </w:rPr>
        <w:t>eople want to go</w:t>
      </w:r>
      <w:r w:rsidR="009A7D12">
        <w:rPr>
          <w:rFonts w:ascii="Arial" w:hAnsi="Arial" w:cs="Arial"/>
          <w:sz w:val="20"/>
          <w:szCs w:val="20"/>
        </w:rPr>
        <w:t xml:space="preserve"> to</w:t>
      </w:r>
      <w:r w:rsidRPr="008C47F3">
        <w:rPr>
          <w:rFonts w:ascii="Arial" w:hAnsi="Arial" w:cs="Arial"/>
          <w:sz w:val="20"/>
          <w:szCs w:val="20"/>
        </w:rPr>
        <w:t xml:space="preserve"> only two countries (Malaysia</w:t>
      </w:r>
      <w:r w:rsidR="009A7D12">
        <w:rPr>
          <w:rFonts w:ascii="Arial" w:hAnsi="Arial" w:cs="Arial"/>
          <w:sz w:val="20"/>
          <w:szCs w:val="20"/>
        </w:rPr>
        <w:t xml:space="preserve"> and</w:t>
      </w:r>
      <w:r w:rsidRPr="008C47F3">
        <w:rPr>
          <w:rFonts w:ascii="Arial" w:hAnsi="Arial" w:cs="Arial"/>
          <w:sz w:val="20"/>
          <w:szCs w:val="20"/>
        </w:rPr>
        <w:t xml:space="preserve"> South Korea)</w:t>
      </w:r>
      <w:r w:rsidR="009A7D12">
        <w:rPr>
          <w:rFonts w:ascii="Arial" w:hAnsi="Arial" w:cs="Arial"/>
          <w:sz w:val="20"/>
          <w:szCs w:val="20"/>
        </w:rPr>
        <w:t>,</w:t>
      </w:r>
      <w:r w:rsidRPr="008C47F3">
        <w:rPr>
          <w:rFonts w:ascii="Arial" w:hAnsi="Arial" w:cs="Arial"/>
          <w:sz w:val="20"/>
          <w:szCs w:val="20"/>
        </w:rPr>
        <w:t xml:space="preserve"> and</w:t>
      </w:r>
      <w:r w:rsidR="009A7D12">
        <w:rPr>
          <w:rFonts w:ascii="Arial" w:hAnsi="Arial" w:cs="Arial"/>
          <w:sz w:val="20"/>
          <w:szCs w:val="20"/>
        </w:rPr>
        <w:t xml:space="preserve"> in</w:t>
      </w:r>
      <w:r w:rsidRPr="008C47F3">
        <w:rPr>
          <w:rFonts w:ascii="Arial" w:hAnsi="Arial" w:cs="Arial"/>
          <w:sz w:val="20"/>
          <w:szCs w:val="20"/>
        </w:rPr>
        <w:t xml:space="preserve"> North America</w:t>
      </w:r>
      <w:r w:rsidR="009A7D12">
        <w:rPr>
          <w:rFonts w:ascii="Arial" w:hAnsi="Arial" w:cs="Arial"/>
          <w:sz w:val="20"/>
          <w:szCs w:val="20"/>
        </w:rPr>
        <w:t>,</w:t>
      </w:r>
      <w:r w:rsidRPr="008C47F3">
        <w:rPr>
          <w:rFonts w:ascii="Arial" w:hAnsi="Arial" w:cs="Arial"/>
          <w:sz w:val="20"/>
          <w:szCs w:val="20"/>
        </w:rPr>
        <w:t xml:space="preserve"> only two countries (America and Canada)</w:t>
      </w:r>
      <w:r w:rsidR="009A7D12">
        <w:rPr>
          <w:rFonts w:ascii="Arial" w:hAnsi="Arial" w:cs="Arial"/>
          <w:sz w:val="20"/>
          <w:szCs w:val="20"/>
        </w:rPr>
        <w:t xml:space="preserve"> are</w:t>
      </w:r>
      <w:r w:rsidRPr="008C47F3">
        <w:rPr>
          <w:rFonts w:ascii="Arial" w:hAnsi="Arial" w:cs="Arial"/>
          <w:sz w:val="20"/>
          <w:szCs w:val="20"/>
        </w:rPr>
        <w:t xml:space="preserve"> where people want to go. Out of 171, people want to go to</w:t>
      </w:r>
      <w:r w:rsidR="009A7D12">
        <w:rPr>
          <w:rFonts w:ascii="Arial" w:hAnsi="Arial" w:cs="Arial"/>
          <w:sz w:val="20"/>
          <w:szCs w:val="20"/>
        </w:rPr>
        <w:t xml:space="preserve"> the</w:t>
      </w:r>
      <w:r w:rsidRPr="008C47F3">
        <w:rPr>
          <w:rFonts w:ascii="Arial" w:hAnsi="Arial" w:cs="Arial"/>
          <w:sz w:val="20"/>
          <w:szCs w:val="20"/>
        </w:rPr>
        <w:t xml:space="preserve"> UK at 25.15%</w:t>
      </w:r>
      <w:r w:rsidR="009A7D12">
        <w:rPr>
          <w:rFonts w:ascii="Arial" w:hAnsi="Arial" w:cs="Arial"/>
          <w:sz w:val="20"/>
          <w:szCs w:val="20"/>
        </w:rPr>
        <w:t xml:space="preserve"> and</w:t>
      </w:r>
      <w:r w:rsidRPr="008C47F3">
        <w:rPr>
          <w:rFonts w:ascii="Arial" w:hAnsi="Arial" w:cs="Arial"/>
          <w:sz w:val="20"/>
          <w:szCs w:val="20"/>
        </w:rPr>
        <w:t xml:space="preserve"> Denmark </w:t>
      </w:r>
      <w:r w:rsidR="009A7D12">
        <w:rPr>
          <w:rFonts w:ascii="Arial" w:hAnsi="Arial" w:cs="Arial"/>
          <w:sz w:val="20"/>
          <w:szCs w:val="20"/>
        </w:rPr>
        <w:t xml:space="preserve">at </w:t>
      </w:r>
      <w:r w:rsidRPr="008C47F3">
        <w:rPr>
          <w:rFonts w:ascii="Arial" w:hAnsi="Arial" w:cs="Arial"/>
          <w:sz w:val="20"/>
          <w:szCs w:val="20"/>
        </w:rPr>
        <w:t>4.68%. Moreover, same value in all</w:t>
      </w:r>
      <w:r w:rsidR="009A7D12">
        <w:rPr>
          <w:rFonts w:ascii="Arial" w:hAnsi="Arial" w:cs="Arial"/>
          <w:sz w:val="20"/>
          <w:szCs w:val="20"/>
        </w:rPr>
        <w:t xml:space="preserve"> the</w:t>
      </w:r>
      <w:r w:rsidRPr="008C47F3">
        <w:rPr>
          <w:rFonts w:ascii="Arial" w:hAnsi="Arial" w:cs="Arial"/>
          <w:sz w:val="20"/>
          <w:szCs w:val="20"/>
        </w:rPr>
        <w:t xml:space="preserve"> rest</w:t>
      </w:r>
      <w:r w:rsidR="009A7D12">
        <w:rPr>
          <w:rFonts w:ascii="Arial" w:hAnsi="Arial" w:cs="Arial"/>
          <w:sz w:val="20"/>
          <w:szCs w:val="20"/>
        </w:rPr>
        <w:t xml:space="preserve"> of the</w:t>
      </w:r>
      <w:r w:rsidRPr="008C47F3">
        <w:rPr>
          <w:rFonts w:ascii="Arial" w:hAnsi="Arial" w:cs="Arial"/>
          <w:sz w:val="20"/>
          <w:szCs w:val="20"/>
        </w:rPr>
        <w:t xml:space="preserve"> countries in Europe</w:t>
      </w:r>
      <w:r w:rsidR="009A7D12">
        <w:rPr>
          <w:rFonts w:ascii="Arial" w:hAnsi="Arial" w:cs="Arial"/>
          <w:sz w:val="20"/>
          <w:szCs w:val="20"/>
        </w:rPr>
        <w:t>,</w:t>
      </w:r>
      <w:r w:rsidRPr="008C47F3">
        <w:rPr>
          <w:rFonts w:ascii="Arial" w:hAnsi="Arial" w:cs="Arial"/>
          <w:sz w:val="20"/>
          <w:szCs w:val="20"/>
        </w:rPr>
        <w:t xml:space="preserve"> including Germany, Italy, France, </w:t>
      </w:r>
      <w:r w:rsidR="009A7D12">
        <w:rPr>
          <w:rFonts w:ascii="Arial" w:hAnsi="Arial" w:cs="Arial"/>
          <w:sz w:val="20"/>
          <w:szCs w:val="20"/>
        </w:rPr>
        <w:t xml:space="preserve">and </w:t>
      </w:r>
      <w:r w:rsidRPr="008C47F3">
        <w:rPr>
          <w:rFonts w:ascii="Arial" w:hAnsi="Arial" w:cs="Arial"/>
          <w:sz w:val="20"/>
          <w:szCs w:val="20"/>
        </w:rPr>
        <w:t>Finland, is 0.58%. People 8.19% want to go to</w:t>
      </w:r>
      <w:r w:rsidR="009A7D12">
        <w:rPr>
          <w:rFonts w:ascii="Arial" w:hAnsi="Arial" w:cs="Arial"/>
          <w:sz w:val="20"/>
          <w:szCs w:val="20"/>
        </w:rPr>
        <w:t xml:space="preserve"> the</w:t>
      </w:r>
      <w:r w:rsidRPr="008C47F3">
        <w:rPr>
          <w:rFonts w:ascii="Arial" w:hAnsi="Arial" w:cs="Arial"/>
          <w:sz w:val="20"/>
          <w:szCs w:val="20"/>
        </w:rPr>
        <w:t xml:space="preserve"> USA and 7.60% want to go to Canada. And combinedly, they will move to the country where they will get more benefits. That is why they have chosen more than one country. Combinedly, 4.68%</w:t>
      </w:r>
      <w:r w:rsidR="009A7D12">
        <w:rPr>
          <w:rFonts w:ascii="Arial" w:hAnsi="Arial" w:cs="Arial"/>
          <w:sz w:val="20"/>
          <w:szCs w:val="20"/>
        </w:rPr>
        <w:t xml:space="preserve"> of</w:t>
      </w:r>
      <w:r w:rsidRPr="008C47F3">
        <w:rPr>
          <w:rFonts w:ascii="Arial" w:hAnsi="Arial" w:cs="Arial"/>
          <w:sz w:val="20"/>
          <w:szCs w:val="20"/>
        </w:rPr>
        <w:t xml:space="preserve"> people choose </w:t>
      </w:r>
      <w:r w:rsidR="009A7D12">
        <w:rPr>
          <w:rFonts w:ascii="Arial" w:hAnsi="Arial" w:cs="Arial"/>
          <w:sz w:val="20"/>
          <w:szCs w:val="20"/>
        </w:rPr>
        <w:t xml:space="preserve">the </w:t>
      </w:r>
      <w:r w:rsidRPr="008C47F3">
        <w:rPr>
          <w:rFonts w:ascii="Arial" w:hAnsi="Arial" w:cs="Arial"/>
          <w:sz w:val="20"/>
          <w:szCs w:val="20"/>
        </w:rPr>
        <w:t xml:space="preserve">UK and </w:t>
      </w:r>
      <w:r w:rsidR="009A7D12">
        <w:rPr>
          <w:rFonts w:ascii="Arial" w:hAnsi="Arial" w:cs="Arial"/>
          <w:sz w:val="20"/>
          <w:szCs w:val="20"/>
        </w:rPr>
        <w:t xml:space="preserve">the </w:t>
      </w:r>
      <w:r w:rsidRPr="008C47F3">
        <w:rPr>
          <w:rFonts w:ascii="Arial" w:hAnsi="Arial" w:cs="Arial"/>
          <w:sz w:val="20"/>
          <w:szCs w:val="20"/>
        </w:rPr>
        <w:t>USA, followed by 6.43%</w:t>
      </w:r>
      <w:r w:rsidR="00AA1285">
        <w:rPr>
          <w:rFonts w:ascii="Arial" w:hAnsi="Arial" w:cs="Arial"/>
          <w:sz w:val="20"/>
          <w:szCs w:val="20"/>
        </w:rPr>
        <w:t xml:space="preserve"> choosing the</w:t>
      </w:r>
      <w:r w:rsidRPr="008C47F3">
        <w:rPr>
          <w:rFonts w:ascii="Arial" w:hAnsi="Arial" w:cs="Arial"/>
          <w:sz w:val="20"/>
          <w:szCs w:val="20"/>
        </w:rPr>
        <w:t xml:space="preserve"> UK, USA and Canada</w:t>
      </w:r>
      <w:r w:rsidR="00AA1285">
        <w:rPr>
          <w:rFonts w:ascii="Arial" w:hAnsi="Arial" w:cs="Arial"/>
          <w:sz w:val="20"/>
          <w:szCs w:val="20"/>
        </w:rPr>
        <w:t>;</w:t>
      </w:r>
      <w:r w:rsidRPr="008C47F3">
        <w:rPr>
          <w:rFonts w:ascii="Arial" w:hAnsi="Arial" w:cs="Arial"/>
          <w:sz w:val="20"/>
          <w:szCs w:val="20"/>
        </w:rPr>
        <w:t xml:space="preserve"> 4.68%</w:t>
      </w:r>
      <w:r w:rsidR="00AA1285">
        <w:rPr>
          <w:rFonts w:ascii="Arial" w:hAnsi="Arial" w:cs="Arial"/>
          <w:sz w:val="20"/>
          <w:szCs w:val="20"/>
        </w:rPr>
        <w:t xml:space="preserve"> choosing the</w:t>
      </w:r>
      <w:r w:rsidRPr="008C47F3">
        <w:rPr>
          <w:rFonts w:ascii="Arial" w:hAnsi="Arial" w:cs="Arial"/>
          <w:sz w:val="20"/>
          <w:szCs w:val="20"/>
        </w:rPr>
        <w:t xml:space="preserve"> UK and Canada, 1.75%</w:t>
      </w:r>
      <w:r w:rsidR="00AA1285">
        <w:rPr>
          <w:rFonts w:ascii="Arial" w:hAnsi="Arial" w:cs="Arial"/>
          <w:sz w:val="20"/>
          <w:szCs w:val="20"/>
        </w:rPr>
        <w:t xml:space="preserve"> choosing</w:t>
      </w:r>
      <w:r w:rsidRPr="008C47F3">
        <w:rPr>
          <w:rFonts w:ascii="Arial" w:hAnsi="Arial" w:cs="Arial"/>
          <w:sz w:val="20"/>
          <w:szCs w:val="20"/>
        </w:rPr>
        <w:t xml:space="preserve"> Canada and Australia, 1.75%</w:t>
      </w:r>
      <w:r w:rsidR="00AA1285">
        <w:rPr>
          <w:rFonts w:ascii="Arial" w:hAnsi="Arial" w:cs="Arial"/>
          <w:sz w:val="20"/>
          <w:szCs w:val="20"/>
        </w:rPr>
        <w:t xml:space="preserve"> choosing the</w:t>
      </w:r>
      <w:r w:rsidRPr="008C47F3">
        <w:rPr>
          <w:rFonts w:ascii="Arial" w:hAnsi="Arial" w:cs="Arial"/>
          <w:sz w:val="20"/>
          <w:szCs w:val="20"/>
        </w:rPr>
        <w:t xml:space="preserve"> UK and Australia.</w:t>
      </w:r>
    </w:p>
    <w:bookmarkEnd w:id="2"/>
    <w:p w14:paraId="03C620DE" w14:textId="795B6CD3" w:rsidR="00020154" w:rsidRDefault="00020154" w:rsidP="005849B5">
      <w:pPr>
        <w:spacing w:line="360" w:lineRule="auto"/>
        <w:jc w:val="both"/>
        <w:rPr>
          <w:rFonts w:ascii="Arial" w:hAnsi="Arial" w:cs="Arial"/>
          <w:b/>
          <w:bCs/>
        </w:rPr>
      </w:pPr>
    </w:p>
    <w:p w14:paraId="69FD52B5" w14:textId="77777777" w:rsidR="00020154" w:rsidRDefault="00020154" w:rsidP="005849B5">
      <w:pPr>
        <w:spacing w:line="360" w:lineRule="auto"/>
        <w:jc w:val="both"/>
        <w:rPr>
          <w:rFonts w:ascii="Arial" w:hAnsi="Arial" w:cs="Arial"/>
          <w:b/>
          <w:bCs/>
        </w:rPr>
      </w:pPr>
    </w:p>
    <w:p w14:paraId="57E27848" w14:textId="77777777" w:rsidR="00020154" w:rsidRDefault="00020154" w:rsidP="005849B5">
      <w:pPr>
        <w:spacing w:line="360" w:lineRule="auto"/>
        <w:jc w:val="both"/>
        <w:rPr>
          <w:rFonts w:ascii="Arial" w:hAnsi="Arial" w:cs="Arial"/>
          <w:b/>
          <w:bCs/>
        </w:rPr>
      </w:pPr>
    </w:p>
    <w:p w14:paraId="0F3AC7ED" w14:textId="13B680CA" w:rsidR="005849B5" w:rsidRPr="008C47F3" w:rsidRDefault="00161262" w:rsidP="005849B5">
      <w:pPr>
        <w:spacing w:line="360" w:lineRule="auto"/>
        <w:jc w:val="both"/>
        <w:rPr>
          <w:rFonts w:ascii="Arial" w:hAnsi="Arial" w:cs="Arial"/>
          <w:b/>
          <w:bCs/>
        </w:rPr>
      </w:pPr>
      <w:r>
        <w:rPr>
          <w:rFonts w:ascii="Arial" w:hAnsi="Arial" w:cs="Arial"/>
          <w:b/>
          <w:bCs/>
        </w:rPr>
        <w:t>6</w:t>
      </w:r>
      <w:r w:rsidR="008C47F3" w:rsidRPr="008C47F3">
        <w:rPr>
          <w:rFonts w:ascii="Arial" w:hAnsi="Arial" w:cs="Arial"/>
          <w:b/>
          <w:bCs/>
        </w:rPr>
        <w:t xml:space="preserve">.3. </w:t>
      </w:r>
      <w:r w:rsidR="005849B5" w:rsidRPr="008C47F3">
        <w:rPr>
          <w:rFonts w:ascii="Arial" w:hAnsi="Arial" w:cs="Arial"/>
          <w:b/>
          <w:bCs/>
        </w:rPr>
        <w:t>Reason for Choosing</w:t>
      </w:r>
      <w:r w:rsidR="00731ED7" w:rsidRPr="008C47F3">
        <w:rPr>
          <w:rFonts w:ascii="Arial" w:hAnsi="Arial" w:cs="Arial"/>
          <w:b/>
          <w:bCs/>
        </w:rPr>
        <w:t xml:space="preserve"> </w:t>
      </w:r>
      <w:r w:rsidR="005912ED" w:rsidRPr="008C47F3">
        <w:rPr>
          <w:rFonts w:ascii="Arial" w:hAnsi="Arial" w:cs="Arial"/>
          <w:b/>
          <w:bCs/>
        </w:rPr>
        <w:t>/</w:t>
      </w:r>
      <w:r w:rsidR="00E238C3" w:rsidRPr="008C47F3">
        <w:rPr>
          <w:rFonts w:ascii="Arial" w:hAnsi="Arial" w:cs="Arial"/>
          <w:b/>
          <w:bCs/>
        </w:rPr>
        <w:t xml:space="preserve"> </w:t>
      </w:r>
      <w:r w:rsidR="005912ED" w:rsidRPr="008C47F3">
        <w:rPr>
          <w:rFonts w:ascii="Arial" w:hAnsi="Arial" w:cs="Arial"/>
          <w:b/>
          <w:bCs/>
        </w:rPr>
        <w:t>Leave</w:t>
      </w:r>
      <w:r w:rsidR="005849B5" w:rsidRPr="008C47F3">
        <w:rPr>
          <w:rFonts w:ascii="Arial" w:hAnsi="Arial" w:cs="Arial"/>
          <w:b/>
          <w:bCs/>
        </w:rPr>
        <w:t xml:space="preserve"> Country</w:t>
      </w:r>
    </w:p>
    <w:p w14:paraId="5661C4C7" w14:textId="76B7CBA4" w:rsidR="00E238C3" w:rsidRPr="008C47F3" w:rsidRDefault="005849B5"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3</w:t>
      </w:r>
      <w:r w:rsidRPr="008C47F3">
        <w:rPr>
          <w:rFonts w:ascii="Arial" w:hAnsi="Arial" w:cs="Arial"/>
          <w:b/>
          <w:bCs/>
          <w:sz w:val="20"/>
          <w:szCs w:val="20"/>
        </w:rPr>
        <w:t xml:space="preserve">: </w:t>
      </w:r>
      <w:r w:rsidR="00E238C3" w:rsidRPr="008C47F3">
        <w:rPr>
          <w:rFonts w:ascii="Arial" w:hAnsi="Arial" w:cs="Arial"/>
          <w:b/>
          <w:bCs/>
          <w:sz w:val="20"/>
          <w:szCs w:val="20"/>
        </w:rPr>
        <w:t xml:space="preserve">Choosing </w:t>
      </w:r>
      <w:r w:rsidR="000F66CD" w:rsidRPr="008C47F3">
        <w:rPr>
          <w:rFonts w:ascii="Arial" w:hAnsi="Arial" w:cs="Arial"/>
          <w:b/>
          <w:bCs/>
          <w:sz w:val="20"/>
          <w:szCs w:val="20"/>
        </w:rPr>
        <w:t>a foreign</w:t>
      </w:r>
      <w:r w:rsidR="00E238C3" w:rsidRPr="008C47F3">
        <w:rPr>
          <w:rFonts w:ascii="Arial" w:hAnsi="Arial" w:cs="Arial"/>
          <w:b/>
          <w:bCs/>
          <w:sz w:val="20"/>
          <w:szCs w:val="20"/>
        </w:rPr>
        <w:t xml:space="preserve"> country to go as a student</w:t>
      </w:r>
    </w:p>
    <w:tbl>
      <w:tblPr>
        <w:tblStyle w:val="TableGrid"/>
        <w:tblW w:w="9625" w:type="dxa"/>
        <w:tblLook w:val="04A0" w:firstRow="1" w:lastRow="0" w:firstColumn="1" w:lastColumn="0" w:noHBand="0" w:noVBand="1"/>
      </w:tblPr>
      <w:tblGrid>
        <w:gridCol w:w="6835"/>
        <w:gridCol w:w="1350"/>
        <w:gridCol w:w="1440"/>
      </w:tblGrid>
      <w:tr w:rsidR="00E238C3" w:rsidRPr="008C47F3" w14:paraId="24AF3FA7" w14:textId="77777777" w:rsidTr="007F5ABB">
        <w:tc>
          <w:tcPr>
            <w:tcW w:w="6835" w:type="dxa"/>
          </w:tcPr>
          <w:p w14:paraId="4171D952" w14:textId="1993BEA2" w:rsidR="00E238C3" w:rsidRPr="008C47F3" w:rsidRDefault="00E238C3" w:rsidP="008C47F3">
            <w:pPr>
              <w:jc w:val="both"/>
              <w:rPr>
                <w:rFonts w:ascii="Arial" w:hAnsi="Arial" w:cs="Arial"/>
                <w:b/>
                <w:bCs/>
                <w:sz w:val="20"/>
                <w:szCs w:val="20"/>
              </w:rPr>
            </w:pPr>
            <w:r w:rsidRPr="008C47F3">
              <w:rPr>
                <w:rFonts w:ascii="Arial" w:hAnsi="Arial" w:cs="Arial"/>
                <w:b/>
                <w:bCs/>
                <w:sz w:val="20"/>
                <w:szCs w:val="20"/>
              </w:rPr>
              <w:t>Reason for choosing country</w:t>
            </w:r>
          </w:p>
        </w:tc>
        <w:tc>
          <w:tcPr>
            <w:tcW w:w="1350" w:type="dxa"/>
            <w:tcBorders>
              <w:bottom w:val="single" w:sz="4" w:space="0" w:color="auto"/>
            </w:tcBorders>
          </w:tcPr>
          <w:p w14:paraId="47AB0823" w14:textId="77777777" w:rsidR="00E238C3" w:rsidRPr="008C47F3" w:rsidRDefault="00E238C3" w:rsidP="008C47F3">
            <w:pPr>
              <w:jc w:val="both"/>
              <w:rPr>
                <w:rFonts w:ascii="Arial" w:hAnsi="Arial" w:cs="Arial"/>
                <w:b/>
                <w:bCs/>
                <w:sz w:val="20"/>
                <w:szCs w:val="20"/>
              </w:rPr>
            </w:pPr>
            <w:r w:rsidRPr="008C47F3">
              <w:rPr>
                <w:rFonts w:ascii="Arial" w:hAnsi="Arial" w:cs="Arial"/>
                <w:b/>
                <w:bCs/>
                <w:sz w:val="20"/>
                <w:szCs w:val="20"/>
              </w:rPr>
              <w:t>Total</w:t>
            </w:r>
          </w:p>
        </w:tc>
        <w:tc>
          <w:tcPr>
            <w:tcW w:w="1440" w:type="dxa"/>
            <w:tcBorders>
              <w:bottom w:val="single" w:sz="4" w:space="0" w:color="auto"/>
            </w:tcBorders>
          </w:tcPr>
          <w:p w14:paraId="07640F65" w14:textId="77777777" w:rsidR="00E238C3" w:rsidRPr="008C47F3" w:rsidRDefault="00E238C3" w:rsidP="008C47F3">
            <w:pPr>
              <w:jc w:val="both"/>
              <w:rPr>
                <w:rFonts w:ascii="Arial" w:hAnsi="Arial" w:cs="Arial"/>
                <w:b/>
                <w:bCs/>
                <w:sz w:val="20"/>
                <w:szCs w:val="20"/>
              </w:rPr>
            </w:pPr>
            <w:r w:rsidRPr="008C47F3">
              <w:rPr>
                <w:rFonts w:ascii="Arial" w:hAnsi="Arial" w:cs="Arial"/>
                <w:b/>
                <w:bCs/>
                <w:sz w:val="20"/>
                <w:szCs w:val="20"/>
              </w:rPr>
              <w:t>Percentage</w:t>
            </w:r>
          </w:p>
        </w:tc>
      </w:tr>
      <w:tr w:rsidR="00E238C3" w:rsidRPr="008C47F3" w14:paraId="2569E87B" w14:textId="77777777" w:rsidTr="007F5ABB">
        <w:tc>
          <w:tcPr>
            <w:tcW w:w="6835" w:type="dxa"/>
          </w:tcPr>
          <w:p w14:paraId="45A0368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w:t>
            </w:r>
          </w:p>
        </w:tc>
        <w:tc>
          <w:tcPr>
            <w:tcW w:w="1350" w:type="dxa"/>
            <w:tcBorders>
              <w:bottom w:val="nil"/>
            </w:tcBorders>
          </w:tcPr>
          <w:p w14:paraId="2E5877D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60</w:t>
            </w:r>
          </w:p>
        </w:tc>
        <w:tc>
          <w:tcPr>
            <w:tcW w:w="1440" w:type="dxa"/>
            <w:tcBorders>
              <w:bottom w:val="nil"/>
            </w:tcBorders>
          </w:tcPr>
          <w:p w14:paraId="12FA3FA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39.22%</w:t>
            </w:r>
          </w:p>
        </w:tc>
      </w:tr>
      <w:tr w:rsidR="00E238C3" w:rsidRPr="008C47F3" w14:paraId="0B70BA6F" w14:textId="77777777" w:rsidTr="007F5ABB">
        <w:tc>
          <w:tcPr>
            <w:tcW w:w="6835" w:type="dxa"/>
          </w:tcPr>
          <w:p w14:paraId="3CE0587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w:t>
            </w:r>
          </w:p>
        </w:tc>
        <w:tc>
          <w:tcPr>
            <w:tcW w:w="1350" w:type="dxa"/>
            <w:tcBorders>
              <w:top w:val="nil"/>
              <w:bottom w:val="nil"/>
            </w:tcBorders>
          </w:tcPr>
          <w:p w14:paraId="05AD960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04</w:t>
            </w:r>
          </w:p>
        </w:tc>
        <w:tc>
          <w:tcPr>
            <w:tcW w:w="1440" w:type="dxa"/>
            <w:tcBorders>
              <w:top w:val="nil"/>
              <w:bottom w:val="nil"/>
            </w:tcBorders>
          </w:tcPr>
          <w:p w14:paraId="6F61867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2.61%</w:t>
            </w:r>
          </w:p>
        </w:tc>
      </w:tr>
      <w:tr w:rsidR="00E238C3" w:rsidRPr="008C47F3" w14:paraId="3551D377" w14:textId="77777777" w:rsidTr="007F5ABB">
        <w:tc>
          <w:tcPr>
            <w:tcW w:w="6835" w:type="dxa"/>
          </w:tcPr>
          <w:p w14:paraId="4AEC2DA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w:t>
            </w:r>
          </w:p>
        </w:tc>
        <w:tc>
          <w:tcPr>
            <w:tcW w:w="1350" w:type="dxa"/>
            <w:tcBorders>
              <w:top w:val="nil"/>
              <w:bottom w:val="nil"/>
            </w:tcBorders>
          </w:tcPr>
          <w:p w14:paraId="619FE37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05</w:t>
            </w:r>
          </w:p>
        </w:tc>
        <w:tc>
          <w:tcPr>
            <w:tcW w:w="1440" w:type="dxa"/>
            <w:tcBorders>
              <w:top w:val="nil"/>
              <w:bottom w:val="nil"/>
            </w:tcBorders>
          </w:tcPr>
          <w:p w14:paraId="4DE7165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3.27%</w:t>
            </w:r>
          </w:p>
        </w:tc>
      </w:tr>
      <w:tr w:rsidR="00E238C3" w:rsidRPr="008C47F3" w14:paraId="46888F59" w14:textId="77777777" w:rsidTr="007F5ABB">
        <w:tc>
          <w:tcPr>
            <w:tcW w:w="6835" w:type="dxa"/>
          </w:tcPr>
          <w:p w14:paraId="3340C43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Relative living there</w:t>
            </w:r>
          </w:p>
        </w:tc>
        <w:tc>
          <w:tcPr>
            <w:tcW w:w="1350" w:type="dxa"/>
            <w:tcBorders>
              <w:top w:val="nil"/>
              <w:bottom w:val="nil"/>
            </w:tcBorders>
          </w:tcPr>
          <w:p w14:paraId="56B4A1C3"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12</w:t>
            </w:r>
          </w:p>
        </w:tc>
        <w:tc>
          <w:tcPr>
            <w:tcW w:w="1440" w:type="dxa"/>
            <w:tcBorders>
              <w:top w:val="nil"/>
              <w:bottom w:val="nil"/>
            </w:tcBorders>
          </w:tcPr>
          <w:p w14:paraId="6AAE949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7.84%</w:t>
            </w:r>
          </w:p>
        </w:tc>
      </w:tr>
      <w:tr w:rsidR="00E238C3" w:rsidRPr="008C47F3" w14:paraId="50E8CE36" w14:textId="77777777" w:rsidTr="007F5ABB">
        <w:tc>
          <w:tcPr>
            <w:tcW w:w="6835" w:type="dxa"/>
          </w:tcPr>
          <w:p w14:paraId="39ECA762"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living cost</w:t>
            </w:r>
          </w:p>
        </w:tc>
        <w:tc>
          <w:tcPr>
            <w:tcW w:w="1350" w:type="dxa"/>
            <w:tcBorders>
              <w:top w:val="nil"/>
              <w:bottom w:val="nil"/>
            </w:tcBorders>
          </w:tcPr>
          <w:p w14:paraId="46DE2442"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00</w:t>
            </w:r>
          </w:p>
        </w:tc>
        <w:tc>
          <w:tcPr>
            <w:tcW w:w="1440" w:type="dxa"/>
            <w:tcBorders>
              <w:top w:val="nil"/>
              <w:bottom w:val="nil"/>
            </w:tcBorders>
          </w:tcPr>
          <w:p w14:paraId="5321C0A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0.00%</w:t>
            </w:r>
          </w:p>
        </w:tc>
      </w:tr>
      <w:tr w:rsidR="00E238C3" w:rsidRPr="008C47F3" w14:paraId="389F7249" w14:textId="77777777" w:rsidTr="007F5ABB">
        <w:tc>
          <w:tcPr>
            <w:tcW w:w="6835" w:type="dxa"/>
          </w:tcPr>
          <w:p w14:paraId="29C0DE4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671B09D3"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02</w:t>
            </w:r>
          </w:p>
        </w:tc>
        <w:tc>
          <w:tcPr>
            <w:tcW w:w="1440" w:type="dxa"/>
            <w:tcBorders>
              <w:top w:val="nil"/>
              <w:bottom w:val="nil"/>
            </w:tcBorders>
          </w:tcPr>
          <w:p w14:paraId="1354D5EC"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1.31%</w:t>
            </w:r>
          </w:p>
        </w:tc>
      </w:tr>
      <w:tr w:rsidR="00E238C3" w:rsidRPr="008C47F3" w14:paraId="7FF29BE6" w14:textId="77777777" w:rsidTr="007F5ABB">
        <w:tc>
          <w:tcPr>
            <w:tcW w:w="6835" w:type="dxa"/>
          </w:tcPr>
          <w:p w14:paraId="34E7812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p>
        </w:tc>
        <w:tc>
          <w:tcPr>
            <w:tcW w:w="1350" w:type="dxa"/>
            <w:tcBorders>
              <w:top w:val="nil"/>
              <w:bottom w:val="nil"/>
            </w:tcBorders>
          </w:tcPr>
          <w:p w14:paraId="3052F6DC"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14</w:t>
            </w:r>
          </w:p>
        </w:tc>
        <w:tc>
          <w:tcPr>
            <w:tcW w:w="1440" w:type="dxa"/>
            <w:tcBorders>
              <w:top w:val="nil"/>
              <w:bottom w:val="nil"/>
            </w:tcBorders>
          </w:tcPr>
          <w:p w14:paraId="79D51E2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9.15%</w:t>
            </w:r>
          </w:p>
        </w:tc>
      </w:tr>
      <w:tr w:rsidR="00E238C3" w:rsidRPr="008C47F3" w14:paraId="264DA2C0" w14:textId="77777777" w:rsidTr="007F5ABB">
        <w:tc>
          <w:tcPr>
            <w:tcW w:w="6835" w:type="dxa"/>
          </w:tcPr>
          <w:p w14:paraId="3F55C2B4"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w:t>
            </w:r>
          </w:p>
          <w:p w14:paraId="581B57F1"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2C09AF9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08</w:t>
            </w:r>
          </w:p>
        </w:tc>
        <w:tc>
          <w:tcPr>
            <w:tcW w:w="1440" w:type="dxa"/>
            <w:tcBorders>
              <w:top w:val="nil"/>
              <w:bottom w:val="nil"/>
            </w:tcBorders>
          </w:tcPr>
          <w:p w14:paraId="0AA2E591"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5.23%</w:t>
            </w:r>
          </w:p>
        </w:tc>
      </w:tr>
      <w:tr w:rsidR="00E238C3" w:rsidRPr="008C47F3" w14:paraId="51DE4A9E" w14:textId="77777777" w:rsidTr="007F5ABB">
        <w:tc>
          <w:tcPr>
            <w:tcW w:w="6835" w:type="dxa"/>
          </w:tcPr>
          <w:p w14:paraId="6593283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w:t>
            </w:r>
          </w:p>
          <w:p w14:paraId="597BD91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Relative living there</w:t>
            </w:r>
          </w:p>
        </w:tc>
        <w:tc>
          <w:tcPr>
            <w:tcW w:w="1350" w:type="dxa"/>
            <w:tcBorders>
              <w:top w:val="nil"/>
              <w:bottom w:val="nil"/>
            </w:tcBorders>
          </w:tcPr>
          <w:p w14:paraId="7F44503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12</w:t>
            </w:r>
          </w:p>
        </w:tc>
        <w:tc>
          <w:tcPr>
            <w:tcW w:w="1440" w:type="dxa"/>
            <w:tcBorders>
              <w:top w:val="nil"/>
              <w:bottom w:val="nil"/>
            </w:tcBorders>
          </w:tcPr>
          <w:p w14:paraId="7AC77B9E"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7.84%</w:t>
            </w:r>
          </w:p>
        </w:tc>
      </w:tr>
      <w:tr w:rsidR="00E238C3" w:rsidRPr="008C47F3" w14:paraId="7D01BB02" w14:textId="77777777" w:rsidTr="007F5ABB">
        <w:tc>
          <w:tcPr>
            <w:tcW w:w="6835" w:type="dxa"/>
          </w:tcPr>
          <w:p w14:paraId="7EAE8DE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w:t>
            </w:r>
          </w:p>
          <w:p w14:paraId="098693D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 Lower education cost</w:t>
            </w:r>
          </w:p>
        </w:tc>
        <w:tc>
          <w:tcPr>
            <w:tcW w:w="1350" w:type="dxa"/>
            <w:tcBorders>
              <w:top w:val="nil"/>
              <w:bottom w:val="nil"/>
            </w:tcBorders>
          </w:tcPr>
          <w:p w14:paraId="0AE2462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25A9C54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3DE0186E" w14:textId="77777777" w:rsidTr="007F5ABB">
        <w:tc>
          <w:tcPr>
            <w:tcW w:w="6835" w:type="dxa"/>
          </w:tcPr>
          <w:p w14:paraId="5B28063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w:t>
            </w:r>
          </w:p>
          <w:p w14:paraId="2984323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 Lower living cost</w:t>
            </w:r>
          </w:p>
        </w:tc>
        <w:tc>
          <w:tcPr>
            <w:tcW w:w="1350" w:type="dxa"/>
            <w:tcBorders>
              <w:top w:val="nil"/>
              <w:bottom w:val="nil"/>
            </w:tcBorders>
          </w:tcPr>
          <w:p w14:paraId="4F8762F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02</w:t>
            </w:r>
          </w:p>
        </w:tc>
        <w:tc>
          <w:tcPr>
            <w:tcW w:w="1440" w:type="dxa"/>
            <w:tcBorders>
              <w:top w:val="nil"/>
              <w:bottom w:val="nil"/>
            </w:tcBorders>
          </w:tcPr>
          <w:p w14:paraId="17EB6DC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1.31%</w:t>
            </w:r>
          </w:p>
        </w:tc>
      </w:tr>
      <w:tr w:rsidR="00E238C3" w:rsidRPr="008C47F3" w14:paraId="4168F1A5" w14:textId="77777777" w:rsidTr="007F5ABB">
        <w:tc>
          <w:tcPr>
            <w:tcW w:w="6835" w:type="dxa"/>
          </w:tcPr>
          <w:p w14:paraId="3E30623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Higher income, Relative living there</w:t>
            </w:r>
          </w:p>
        </w:tc>
        <w:tc>
          <w:tcPr>
            <w:tcW w:w="1350" w:type="dxa"/>
            <w:tcBorders>
              <w:top w:val="nil"/>
              <w:bottom w:val="nil"/>
            </w:tcBorders>
          </w:tcPr>
          <w:p w14:paraId="6135A11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04</w:t>
            </w:r>
          </w:p>
        </w:tc>
        <w:tc>
          <w:tcPr>
            <w:tcW w:w="1440" w:type="dxa"/>
            <w:tcBorders>
              <w:top w:val="nil"/>
              <w:bottom w:val="nil"/>
            </w:tcBorders>
          </w:tcPr>
          <w:p w14:paraId="6170DA0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2.61%</w:t>
            </w:r>
          </w:p>
        </w:tc>
      </w:tr>
      <w:tr w:rsidR="00E238C3" w:rsidRPr="008C47F3" w14:paraId="24E7F9F7" w14:textId="77777777" w:rsidTr="007F5ABB">
        <w:tc>
          <w:tcPr>
            <w:tcW w:w="6835" w:type="dxa"/>
          </w:tcPr>
          <w:p w14:paraId="2F43325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w:t>
            </w:r>
          </w:p>
          <w:p w14:paraId="3FEF4CA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w:t>
            </w:r>
          </w:p>
        </w:tc>
        <w:tc>
          <w:tcPr>
            <w:tcW w:w="1350" w:type="dxa"/>
            <w:tcBorders>
              <w:top w:val="nil"/>
              <w:bottom w:val="nil"/>
            </w:tcBorders>
          </w:tcPr>
          <w:p w14:paraId="5A5DB2E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08</w:t>
            </w:r>
          </w:p>
        </w:tc>
        <w:tc>
          <w:tcPr>
            <w:tcW w:w="1440" w:type="dxa"/>
            <w:tcBorders>
              <w:top w:val="nil"/>
              <w:bottom w:val="nil"/>
            </w:tcBorders>
          </w:tcPr>
          <w:p w14:paraId="57A6611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5.23%</w:t>
            </w:r>
          </w:p>
        </w:tc>
      </w:tr>
      <w:tr w:rsidR="00E238C3" w:rsidRPr="008C47F3" w14:paraId="207856FE" w14:textId="77777777" w:rsidTr="007F5ABB">
        <w:tc>
          <w:tcPr>
            <w:tcW w:w="6835" w:type="dxa"/>
          </w:tcPr>
          <w:p w14:paraId="7B98E81D" w14:textId="77777777" w:rsidR="00731ED7"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Higher income, </w:t>
            </w:r>
          </w:p>
          <w:p w14:paraId="41BB7AE4" w14:textId="340D9FC4" w:rsidR="00E238C3" w:rsidRPr="008C47F3" w:rsidRDefault="00E238C3" w:rsidP="008C47F3">
            <w:pPr>
              <w:jc w:val="both"/>
              <w:rPr>
                <w:rFonts w:ascii="Arial" w:hAnsi="Arial" w:cs="Arial"/>
                <w:sz w:val="20"/>
                <w:szCs w:val="20"/>
              </w:rPr>
            </w:pPr>
            <w:r w:rsidRPr="008C47F3">
              <w:rPr>
                <w:rFonts w:ascii="Arial" w:hAnsi="Arial" w:cs="Arial"/>
                <w:sz w:val="20"/>
                <w:szCs w:val="20"/>
              </w:rPr>
              <w:t>Relative living there, For PR (Permanent Residency)</w:t>
            </w:r>
          </w:p>
        </w:tc>
        <w:tc>
          <w:tcPr>
            <w:tcW w:w="1350" w:type="dxa"/>
            <w:tcBorders>
              <w:top w:val="nil"/>
              <w:bottom w:val="nil"/>
            </w:tcBorders>
          </w:tcPr>
          <w:p w14:paraId="5066509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03</w:t>
            </w:r>
          </w:p>
        </w:tc>
        <w:tc>
          <w:tcPr>
            <w:tcW w:w="1440" w:type="dxa"/>
            <w:tcBorders>
              <w:top w:val="nil"/>
              <w:bottom w:val="nil"/>
            </w:tcBorders>
          </w:tcPr>
          <w:p w14:paraId="002EDA4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1.96%</w:t>
            </w:r>
          </w:p>
        </w:tc>
      </w:tr>
      <w:tr w:rsidR="00E238C3" w:rsidRPr="008C47F3" w14:paraId="71375F30" w14:textId="77777777" w:rsidTr="007F5ABB">
        <w:tc>
          <w:tcPr>
            <w:tcW w:w="6835" w:type="dxa"/>
          </w:tcPr>
          <w:p w14:paraId="01C28A9A"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Higher income, </w:t>
            </w:r>
          </w:p>
          <w:p w14:paraId="60C6810F" w14:textId="1F4BD977" w:rsidR="00E238C3" w:rsidRPr="008C47F3" w:rsidRDefault="00E238C3" w:rsidP="008C47F3">
            <w:pPr>
              <w:jc w:val="both"/>
              <w:rPr>
                <w:rFonts w:ascii="Arial" w:hAnsi="Arial" w:cs="Arial"/>
                <w:sz w:val="20"/>
                <w:szCs w:val="20"/>
              </w:rPr>
            </w:pPr>
            <w:r w:rsidRPr="008C47F3">
              <w:rPr>
                <w:rFonts w:ascii="Arial" w:hAnsi="Arial" w:cs="Arial"/>
                <w:sz w:val="20"/>
                <w:szCs w:val="20"/>
              </w:rPr>
              <w:lastRenderedPageBreak/>
              <w:t>Lower education cost, For PR (Permanent Residency)</w:t>
            </w:r>
          </w:p>
        </w:tc>
        <w:tc>
          <w:tcPr>
            <w:tcW w:w="1350" w:type="dxa"/>
            <w:tcBorders>
              <w:top w:val="nil"/>
              <w:bottom w:val="nil"/>
            </w:tcBorders>
          </w:tcPr>
          <w:p w14:paraId="3A520D71"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lastRenderedPageBreak/>
              <w:t>02</w:t>
            </w:r>
          </w:p>
        </w:tc>
        <w:tc>
          <w:tcPr>
            <w:tcW w:w="1440" w:type="dxa"/>
            <w:tcBorders>
              <w:top w:val="nil"/>
              <w:bottom w:val="nil"/>
            </w:tcBorders>
          </w:tcPr>
          <w:p w14:paraId="78DA7E9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1.31%</w:t>
            </w:r>
          </w:p>
        </w:tc>
      </w:tr>
      <w:tr w:rsidR="00E238C3" w:rsidRPr="008C47F3" w14:paraId="056A59B3" w14:textId="77777777" w:rsidTr="007F5ABB">
        <w:tc>
          <w:tcPr>
            <w:tcW w:w="6835" w:type="dxa"/>
          </w:tcPr>
          <w:p w14:paraId="15BFDBF3" w14:textId="627F14BE" w:rsidR="00E238C3" w:rsidRPr="008C47F3" w:rsidRDefault="00E238C3" w:rsidP="008C47F3">
            <w:pPr>
              <w:jc w:val="both"/>
              <w:rPr>
                <w:rFonts w:ascii="Arial" w:hAnsi="Arial" w:cs="Arial"/>
                <w:sz w:val="20"/>
                <w:szCs w:val="20"/>
              </w:rPr>
            </w:pPr>
            <w:r w:rsidRPr="008C47F3">
              <w:rPr>
                <w:rFonts w:ascii="Arial" w:hAnsi="Arial" w:cs="Arial"/>
                <w:sz w:val="20"/>
                <w:szCs w:val="20"/>
              </w:rPr>
              <w:t>Higher income, Lower education cost</w:t>
            </w:r>
          </w:p>
        </w:tc>
        <w:tc>
          <w:tcPr>
            <w:tcW w:w="1350" w:type="dxa"/>
            <w:tcBorders>
              <w:top w:val="nil"/>
              <w:bottom w:val="nil"/>
            </w:tcBorders>
          </w:tcPr>
          <w:p w14:paraId="7C65C554"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67500F5D"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127AA81A" w14:textId="77777777" w:rsidTr="007F5ABB">
        <w:tc>
          <w:tcPr>
            <w:tcW w:w="6835" w:type="dxa"/>
          </w:tcPr>
          <w:p w14:paraId="0318C41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p>
          <w:p w14:paraId="6826F96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3A3A987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08</w:t>
            </w:r>
          </w:p>
        </w:tc>
        <w:tc>
          <w:tcPr>
            <w:tcW w:w="1440" w:type="dxa"/>
            <w:tcBorders>
              <w:top w:val="nil"/>
              <w:bottom w:val="nil"/>
            </w:tcBorders>
          </w:tcPr>
          <w:p w14:paraId="74F913D4"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5.23%</w:t>
            </w:r>
          </w:p>
        </w:tc>
      </w:tr>
      <w:tr w:rsidR="00E238C3" w:rsidRPr="008C47F3" w14:paraId="4D5E1138" w14:textId="77777777" w:rsidTr="007F5ABB">
        <w:tc>
          <w:tcPr>
            <w:tcW w:w="6835" w:type="dxa"/>
          </w:tcPr>
          <w:p w14:paraId="65E11D8A" w14:textId="76C18AF6"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r w:rsidR="00B01D89" w:rsidRPr="008C47F3">
              <w:rPr>
                <w:rFonts w:ascii="Arial" w:hAnsi="Arial" w:cs="Arial"/>
                <w:sz w:val="20"/>
                <w:szCs w:val="20"/>
              </w:rPr>
              <w:t xml:space="preserve"> </w:t>
            </w:r>
            <w:r w:rsidRPr="008C47F3">
              <w:rPr>
                <w:rFonts w:ascii="Arial" w:hAnsi="Arial" w:cs="Arial"/>
                <w:sz w:val="20"/>
                <w:szCs w:val="20"/>
              </w:rPr>
              <w:t>Lower education cost, For PR (Permanent Residency), Lower living cost</w:t>
            </w:r>
          </w:p>
        </w:tc>
        <w:tc>
          <w:tcPr>
            <w:tcW w:w="1350" w:type="dxa"/>
            <w:tcBorders>
              <w:top w:val="nil"/>
              <w:bottom w:val="nil"/>
            </w:tcBorders>
          </w:tcPr>
          <w:p w14:paraId="08372B2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477E24FE"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369306DE" w14:textId="77777777" w:rsidTr="007F5ABB">
        <w:tc>
          <w:tcPr>
            <w:tcW w:w="6835" w:type="dxa"/>
          </w:tcPr>
          <w:p w14:paraId="76561EDB"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Lower education cost, </w:t>
            </w:r>
          </w:p>
          <w:p w14:paraId="7A02F4C2" w14:textId="79FCE7D0"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5E74BDD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3FA4F68B"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51F8515E" w14:textId="77777777" w:rsidTr="007F5ABB">
        <w:tc>
          <w:tcPr>
            <w:tcW w:w="6835" w:type="dxa"/>
          </w:tcPr>
          <w:p w14:paraId="2DABED17"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Lower education cost, </w:t>
            </w:r>
          </w:p>
          <w:p w14:paraId="0ACECA7B" w14:textId="242EACE7"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 Lower living cost,</w:t>
            </w:r>
          </w:p>
        </w:tc>
        <w:tc>
          <w:tcPr>
            <w:tcW w:w="1350" w:type="dxa"/>
            <w:tcBorders>
              <w:top w:val="nil"/>
              <w:bottom w:val="nil"/>
            </w:tcBorders>
          </w:tcPr>
          <w:p w14:paraId="3A3A90F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73D87473"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787E2D9E" w14:textId="77777777" w:rsidTr="007F5ABB">
        <w:tc>
          <w:tcPr>
            <w:tcW w:w="6835" w:type="dxa"/>
          </w:tcPr>
          <w:p w14:paraId="5ADA9BB5"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 xml:space="preserve">Relative living there, </w:t>
            </w:r>
          </w:p>
          <w:p w14:paraId="14568F46" w14:textId="1EEF3BEC"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57C31BF6"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73149AA9"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56764529" w14:textId="77777777" w:rsidTr="007F5ABB">
        <w:tc>
          <w:tcPr>
            <w:tcW w:w="6835" w:type="dxa"/>
          </w:tcPr>
          <w:p w14:paraId="761059EC" w14:textId="77777777" w:rsidR="00B01D89" w:rsidRPr="008C47F3" w:rsidRDefault="00E238C3" w:rsidP="008C47F3">
            <w:pPr>
              <w:jc w:val="both"/>
              <w:rPr>
                <w:rFonts w:ascii="Arial" w:hAnsi="Arial" w:cs="Arial"/>
                <w:sz w:val="20"/>
                <w:szCs w:val="20"/>
              </w:rPr>
            </w:pPr>
            <w:r w:rsidRPr="008C47F3">
              <w:rPr>
                <w:rFonts w:ascii="Arial" w:hAnsi="Arial" w:cs="Arial"/>
                <w:sz w:val="20"/>
                <w:szCs w:val="20"/>
              </w:rPr>
              <w:t xml:space="preserve">Quality of higher education, Relative living there, </w:t>
            </w:r>
          </w:p>
          <w:p w14:paraId="3C80A9F0" w14:textId="37B356A9" w:rsidR="00E238C3" w:rsidRPr="008C47F3" w:rsidRDefault="00E238C3" w:rsidP="008C47F3">
            <w:pPr>
              <w:jc w:val="both"/>
              <w:rPr>
                <w:rFonts w:ascii="Arial" w:hAnsi="Arial" w:cs="Arial"/>
                <w:sz w:val="20"/>
                <w:szCs w:val="20"/>
              </w:rPr>
            </w:pPr>
            <w:r w:rsidRPr="008C47F3">
              <w:rPr>
                <w:rFonts w:ascii="Arial" w:hAnsi="Arial" w:cs="Arial"/>
                <w:sz w:val="20"/>
                <w:szCs w:val="20"/>
              </w:rPr>
              <w:t>For PR (Permanent Residency)</w:t>
            </w:r>
          </w:p>
        </w:tc>
        <w:tc>
          <w:tcPr>
            <w:tcW w:w="1350" w:type="dxa"/>
            <w:tcBorders>
              <w:top w:val="nil"/>
              <w:bottom w:val="nil"/>
            </w:tcBorders>
          </w:tcPr>
          <w:p w14:paraId="2F042877"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4D91339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126261C6" w14:textId="77777777" w:rsidTr="007F5ABB">
        <w:tc>
          <w:tcPr>
            <w:tcW w:w="6835" w:type="dxa"/>
          </w:tcPr>
          <w:p w14:paraId="7128F59F"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Lower education cost, Lower living cost</w:t>
            </w:r>
          </w:p>
        </w:tc>
        <w:tc>
          <w:tcPr>
            <w:tcW w:w="1350" w:type="dxa"/>
            <w:tcBorders>
              <w:top w:val="nil"/>
              <w:bottom w:val="nil"/>
            </w:tcBorders>
          </w:tcPr>
          <w:p w14:paraId="4B63CF6B"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bottom w:val="nil"/>
            </w:tcBorders>
          </w:tcPr>
          <w:p w14:paraId="4F19230C"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2AE5A284" w14:textId="77777777" w:rsidTr="007F5ABB">
        <w:tc>
          <w:tcPr>
            <w:tcW w:w="6835" w:type="dxa"/>
          </w:tcPr>
          <w:p w14:paraId="32B29C40"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Quality of higher education, Higher income,</w:t>
            </w:r>
          </w:p>
        </w:tc>
        <w:tc>
          <w:tcPr>
            <w:tcW w:w="1350" w:type="dxa"/>
            <w:tcBorders>
              <w:top w:val="nil"/>
            </w:tcBorders>
          </w:tcPr>
          <w:p w14:paraId="092101F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01</w:t>
            </w:r>
          </w:p>
        </w:tc>
        <w:tc>
          <w:tcPr>
            <w:tcW w:w="1440" w:type="dxa"/>
            <w:tcBorders>
              <w:top w:val="nil"/>
            </w:tcBorders>
          </w:tcPr>
          <w:p w14:paraId="52553BD8"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0.65%</w:t>
            </w:r>
          </w:p>
        </w:tc>
      </w:tr>
      <w:tr w:rsidR="00E238C3" w:rsidRPr="008C47F3" w14:paraId="67F72321" w14:textId="77777777" w:rsidTr="00B01D89">
        <w:tc>
          <w:tcPr>
            <w:tcW w:w="6835" w:type="dxa"/>
          </w:tcPr>
          <w:p w14:paraId="5E00C3E6" w14:textId="77777777" w:rsidR="00E238C3" w:rsidRPr="008C47F3" w:rsidRDefault="00E238C3" w:rsidP="008C47F3">
            <w:pPr>
              <w:jc w:val="both"/>
              <w:rPr>
                <w:rFonts w:ascii="Arial" w:hAnsi="Arial" w:cs="Arial"/>
                <w:sz w:val="20"/>
                <w:szCs w:val="20"/>
              </w:rPr>
            </w:pPr>
          </w:p>
        </w:tc>
        <w:tc>
          <w:tcPr>
            <w:tcW w:w="1350" w:type="dxa"/>
          </w:tcPr>
          <w:p w14:paraId="5E682B2A" w14:textId="77777777" w:rsidR="00E238C3" w:rsidRPr="008C47F3" w:rsidRDefault="00E238C3" w:rsidP="008C47F3">
            <w:pPr>
              <w:jc w:val="both"/>
              <w:rPr>
                <w:rFonts w:ascii="Arial" w:hAnsi="Arial" w:cs="Arial"/>
                <w:sz w:val="20"/>
                <w:szCs w:val="20"/>
              </w:rPr>
            </w:pPr>
            <w:r w:rsidRPr="008C47F3">
              <w:rPr>
                <w:rFonts w:ascii="Arial" w:hAnsi="Arial" w:cs="Arial"/>
                <w:sz w:val="20"/>
                <w:szCs w:val="20"/>
              </w:rPr>
              <w:t>Total = 153</w:t>
            </w:r>
          </w:p>
        </w:tc>
        <w:tc>
          <w:tcPr>
            <w:tcW w:w="1440" w:type="dxa"/>
          </w:tcPr>
          <w:p w14:paraId="5D4CD794" w14:textId="77777777" w:rsidR="00E238C3" w:rsidRPr="008C47F3" w:rsidRDefault="00E238C3" w:rsidP="008C47F3">
            <w:pPr>
              <w:jc w:val="both"/>
              <w:rPr>
                <w:rFonts w:ascii="Arial" w:hAnsi="Arial" w:cs="Arial"/>
                <w:sz w:val="20"/>
                <w:szCs w:val="20"/>
              </w:rPr>
            </w:pPr>
          </w:p>
        </w:tc>
      </w:tr>
    </w:tbl>
    <w:p w14:paraId="247C5AC6" w14:textId="77777777" w:rsidR="00FA7D02" w:rsidRPr="008E46F9" w:rsidRDefault="00FA7D02" w:rsidP="008C47F3">
      <w:pPr>
        <w:spacing w:line="240" w:lineRule="auto"/>
        <w:jc w:val="both"/>
        <w:rPr>
          <w:rFonts w:ascii="Arial" w:hAnsi="Arial" w:cs="Arial"/>
          <w:sz w:val="24"/>
          <w:szCs w:val="24"/>
        </w:rPr>
      </w:pPr>
    </w:p>
    <w:p w14:paraId="4749CFD3" w14:textId="436AE27F" w:rsidR="005849B5" w:rsidRDefault="005849B5" w:rsidP="008C47F3">
      <w:pPr>
        <w:spacing w:after="0" w:line="240" w:lineRule="auto"/>
        <w:jc w:val="both"/>
        <w:rPr>
          <w:rFonts w:ascii="Arial" w:hAnsi="Arial" w:cs="Arial"/>
          <w:sz w:val="20"/>
          <w:szCs w:val="20"/>
        </w:rPr>
      </w:pPr>
      <w:r w:rsidRPr="00AD2469">
        <w:rPr>
          <w:rFonts w:ascii="Arial" w:hAnsi="Arial" w:cs="Arial"/>
          <w:b/>
          <w:sz w:val="20"/>
          <w:szCs w:val="20"/>
        </w:rPr>
        <w:t xml:space="preserve">Table </w:t>
      </w:r>
      <w:r w:rsidR="00F44842" w:rsidRPr="00AD2469">
        <w:rPr>
          <w:rFonts w:ascii="Arial" w:hAnsi="Arial" w:cs="Arial"/>
          <w:b/>
          <w:sz w:val="20"/>
          <w:szCs w:val="20"/>
        </w:rPr>
        <w:t>3</w:t>
      </w:r>
      <w:r w:rsidRPr="008C47F3">
        <w:rPr>
          <w:rFonts w:ascii="Arial" w:hAnsi="Arial" w:cs="Arial"/>
          <w:sz w:val="20"/>
          <w:szCs w:val="20"/>
        </w:rPr>
        <w:t xml:space="preserve"> shows </w:t>
      </w:r>
      <w:r w:rsidR="006C3768">
        <w:rPr>
          <w:rFonts w:ascii="Arial" w:hAnsi="Arial" w:cs="Arial"/>
          <w:sz w:val="20"/>
          <w:szCs w:val="20"/>
        </w:rPr>
        <w:t>the factors that influence students’ choices of countries when they decide to</w:t>
      </w:r>
      <w:r w:rsidRPr="008C47F3">
        <w:rPr>
          <w:rFonts w:ascii="Arial" w:hAnsi="Arial" w:cs="Arial"/>
          <w:sz w:val="20"/>
          <w:szCs w:val="20"/>
        </w:rPr>
        <w:t xml:space="preserve"> study abroad.</w:t>
      </w:r>
      <w:r w:rsidR="006C3768">
        <w:rPr>
          <w:rFonts w:ascii="Arial" w:hAnsi="Arial" w:cs="Arial"/>
          <w:sz w:val="20"/>
          <w:szCs w:val="20"/>
        </w:rPr>
        <w:t xml:space="preserve"> The</w:t>
      </w:r>
      <w:r w:rsidRPr="008C47F3">
        <w:rPr>
          <w:rFonts w:ascii="Arial" w:hAnsi="Arial" w:cs="Arial"/>
          <w:sz w:val="20"/>
          <w:szCs w:val="20"/>
        </w:rPr>
        <w:t xml:space="preserve"> </w:t>
      </w:r>
      <w:r w:rsidR="006C3768">
        <w:rPr>
          <w:rFonts w:ascii="Arial" w:hAnsi="Arial" w:cs="Arial"/>
          <w:sz w:val="20"/>
          <w:szCs w:val="20"/>
        </w:rPr>
        <w:t>m</w:t>
      </w:r>
      <w:r w:rsidRPr="008C47F3">
        <w:rPr>
          <w:rFonts w:ascii="Arial" w:hAnsi="Arial" w:cs="Arial"/>
          <w:sz w:val="20"/>
          <w:szCs w:val="20"/>
        </w:rPr>
        <w:t xml:space="preserve">aximum </w:t>
      </w:r>
      <w:r w:rsidR="006C3768">
        <w:rPr>
          <w:rFonts w:ascii="Arial" w:hAnsi="Arial" w:cs="Arial"/>
          <w:sz w:val="20"/>
          <w:szCs w:val="20"/>
        </w:rPr>
        <w:t xml:space="preserve">number of </w:t>
      </w:r>
      <w:r w:rsidRPr="008C47F3">
        <w:rPr>
          <w:rFonts w:ascii="Arial" w:hAnsi="Arial" w:cs="Arial"/>
          <w:sz w:val="20"/>
          <w:szCs w:val="20"/>
        </w:rPr>
        <w:t xml:space="preserve">students go for </w:t>
      </w:r>
      <w:r w:rsidR="006C3768">
        <w:rPr>
          <w:rFonts w:ascii="Arial" w:hAnsi="Arial" w:cs="Arial"/>
          <w:sz w:val="20"/>
          <w:szCs w:val="20"/>
        </w:rPr>
        <w:t>q</w:t>
      </w:r>
      <w:r w:rsidRPr="008C47F3">
        <w:rPr>
          <w:rFonts w:ascii="Arial" w:hAnsi="Arial" w:cs="Arial"/>
          <w:sz w:val="20"/>
          <w:szCs w:val="20"/>
        </w:rPr>
        <w:t xml:space="preserve">uality of </w:t>
      </w:r>
      <w:r w:rsidR="006C3768">
        <w:rPr>
          <w:rFonts w:ascii="Arial" w:hAnsi="Arial" w:cs="Arial"/>
          <w:sz w:val="20"/>
          <w:szCs w:val="20"/>
        </w:rPr>
        <w:t>h</w:t>
      </w:r>
      <w:r w:rsidRPr="008C47F3">
        <w:rPr>
          <w:rFonts w:ascii="Arial" w:hAnsi="Arial" w:cs="Arial"/>
          <w:sz w:val="20"/>
          <w:szCs w:val="20"/>
        </w:rPr>
        <w:t xml:space="preserve">igher </w:t>
      </w:r>
      <w:r w:rsidR="006C3768">
        <w:rPr>
          <w:rFonts w:ascii="Arial" w:hAnsi="Arial" w:cs="Arial"/>
          <w:sz w:val="20"/>
          <w:szCs w:val="20"/>
        </w:rPr>
        <w:t>e</w:t>
      </w:r>
      <w:r w:rsidRPr="008C47F3">
        <w:rPr>
          <w:rFonts w:ascii="Arial" w:hAnsi="Arial" w:cs="Arial"/>
          <w:sz w:val="20"/>
          <w:szCs w:val="20"/>
        </w:rPr>
        <w:t xml:space="preserve">ducation (39.22%). Many people want to go abroad because their relatives live abroad. This percentage is 7.84%. The third biggest reason is lower education </w:t>
      </w:r>
      <w:r w:rsidR="009540DE" w:rsidRPr="008C47F3">
        <w:rPr>
          <w:rFonts w:ascii="Arial" w:hAnsi="Arial" w:cs="Arial"/>
          <w:sz w:val="20"/>
          <w:szCs w:val="20"/>
        </w:rPr>
        <w:t>costs</w:t>
      </w:r>
      <w:r w:rsidRPr="008C47F3">
        <w:rPr>
          <w:rFonts w:ascii="Arial" w:hAnsi="Arial" w:cs="Arial"/>
          <w:sz w:val="20"/>
          <w:szCs w:val="20"/>
        </w:rPr>
        <w:t xml:space="preserve">, which accounted for 3.27%. </w:t>
      </w:r>
      <w:r w:rsidR="006C3768">
        <w:rPr>
          <w:rFonts w:ascii="Arial" w:hAnsi="Arial" w:cs="Arial"/>
          <w:sz w:val="20"/>
          <w:szCs w:val="20"/>
        </w:rPr>
        <w:t>M</w:t>
      </w:r>
      <w:r w:rsidRPr="008C47F3">
        <w:rPr>
          <w:rFonts w:ascii="Arial" w:hAnsi="Arial" w:cs="Arial"/>
          <w:sz w:val="20"/>
          <w:szCs w:val="20"/>
        </w:rPr>
        <w:t xml:space="preserve">any students select countries based on higher income and permanent residency. Again, many factors work in choosing the country of many students, such as </w:t>
      </w:r>
      <w:r w:rsidR="000F66CD" w:rsidRPr="008C47F3">
        <w:rPr>
          <w:rFonts w:ascii="Arial" w:hAnsi="Arial" w:cs="Arial"/>
          <w:sz w:val="20"/>
          <w:szCs w:val="20"/>
        </w:rPr>
        <w:t>combining</w:t>
      </w:r>
      <w:r w:rsidRPr="008C47F3">
        <w:rPr>
          <w:rFonts w:ascii="Arial" w:hAnsi="Arial" w:cs="Arial"/>
          <w:sz w:val="20"/>
          <w:szCs w:val="20"/>
        </w:rPr>
        <w:t xml:space="preserve"> higher education and higher income. 14 out of 153 students chose the country </w:t>
      </w:r>
      <w:r w:rsidR="006C3768">
        <w:rPr>
          <w:rFonts w:ascii="Arial" w:hAnsi="Arial" w:cs="Arial"/>
          <w:sz w:val="20"/>
          <w:szCs w:val="20"/>
        </w:rPr>
        <w:t>based on</w:t>
      </w:r>
      <w:r w:rsidRPr="008C47F3">
        <w:rPr>
          <w:rFonts w:ascii="Arial" w:hAnsi="Arial" w:cs="Arial"/>
          <w:sz w:val="20"/>
          <w:szCs w:val="20"/>
        </w:rPr>
        <w:t xml:space="preserve"> these two factors. In this way</w:t>
      </w:r>
      <w:r w:rsidR="006C3768">
        <w:rPr>
          <w:rFonts w:ascii="Arial" w:hAnsi="Arial" w:cs="Arial"/>
          <w:sz w:val="20"/>
          <w:szCs w:val="20"/>
        </w:rPr>
        <w:t>,</w:t>
      </w:r>
      <w:r w:rsidRPr="008C47F3">
        <w:rPr>
          <w:rFonts w:ascii="Arial" w:hAnsi="Arial" w:cs="Arial"/>
          <w:sz w:val="20"/>
          <w:szCs w:val="20"/>
        </w:rPr>
        <w:t xml:space="preserve"> every student selects </w:t>
      </w:r>
      <w:r w:rsidR="006C3768">
        <w:rPr>
          <w:rFonts w:ascii="Arial" w:hAnsi="Arial" w:cs="Arial"/>
          <w:sz w:val="20"/>
          <w:szCs w:val="20"/>
        </w:rPr>
        <w:t>a</w:t>
      </w:r>
      <w:r w:rsidRPr="008C47F3">
        <w:rPr>
          <w:rFonts w:ascii="Arial" w:hAnsi="Arial" w:cs="Arial"/>
          <w:sz w:val="20"/>
          <w:szCs w:val="20"/>
        </w:rPr>
        <w:t xml:space="preserve"> country according to their preference</w:t>
      </w:r>
      <w:r w:rsidR="006C3768">
        <w:rPr>
          <w:rFonts w:ascii="Arial" w:hAnsi="Arial" w:cs="Arial"/>
          <w:sz w:val="20"/>
          <w:szCs w:val="20"/>
        </w:rPr>
        <w:t>s</w:t>
      </w:r>
      <w:r w:rsidRPr="008C47F3">
        <w:rPr>
          <w:rFonts w:ascii="Arial" w:hAnsi="Arial" w:cs="Arial"/>
          <w:sz w:val="20"/>
          <w:szCs w:val="20"/>
        </w:rPr>
        <w:t>.</w:t>
      </w:r>
    </w:p>
    <w:p w14:paraId="0B794D6C" w14:textId="77777777" w:rsidR="008C47F3" w:rsidRDefault="008C47F3" w:rsidP="008C47F3">
      <w:pPr>
        <w:spacing w:after="0" w:line="240" w:lineRule="auto"/>
        <w:jc w:val="both"/>
        <w:rPr>
          <w:rFonts w:ascii="Arial" w:hAnsi="Arial" w:cs="Arial"/>
          <w:sz w:val="20"/>
          <w:szCs w:val="20"/>
        </w:rPr>
      </w:pPr>
    </w:p>
    <w:p w14:paraId="43650E7A" w14:textId="77777777" w:rsidR="008C47F3" w:rsidRPr="008C47F3" w:rsidRDefault="008C47F3" w:rsidP="008C47F3">
      <w:pPr>
        <w:spacing w:after="0" w:line="240" w:lineRule="auto"/>
        <w:jc w:val="both"/>
        <w:rPr>
          <w:rFonts w:ascii="Arial" w:hAnsi="Arial" w:cs="Arial"/>
          <w:sz w:val="20"/>
          <w:szCs w:val="20"/>
        </w:rPr>
      </w:pPr>
    </w:p>
    <w:p w14:paraId="4D179890" w14:textId="3D34EE4F" w:rsidR="005849B5" w:rsidRPr="008C47F3" w:rsidRDefault="005849B5"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4</w:t>
      </w:r>
      <w:r w:rsidRPr="008C47F3">
        <w:rPr>
          <w:rFonts w:ascii="Arial" w:hAnsi="Arial" w:cs="Arial"/>
          <w:b/>
          <w:bCs/>
          <w:sz w:val="20"/>
          <w:szCs w:val="20"/>
        </w:rPr>
        <w:t xml:space="preserve">: </w:t>
      </w:r>
      <w:r w:rsidR="007A4B00" w:rsidRPr="008C47F3">
        <w:rPr>
          <w:rFonts w:ascii="Arial" w:hAnsi="Arial" w:cs="Arial"/>
          <w:b/>
          <w:bCs/>
          <w:sz w:val="20"/>
          <w:szCs w:val="20"/>
        </w:rPr>
        <w:t xml:space="preserve">Reason for choosing </w:t>
      </w:r>
      <w:r w:rsidR="000F66CD" w:rsidRPr="008C47F3">
        <w:rPr>
          <w:rFonts w:ascii="Arial" w:hAnsi="Arial" w:cs="Arial"/>
          <w:b/>
          <w:bCs/>
          <w:sz w:val="20"/>
          <w:szCs w:val="20"/>
        </w:rPr>
        <w:t>a foreign</w:t>
      </w:r>
      <w:r w:rsidR="007A4B00" w:rsidRPr="008C47F3">
        <w:rPr>
          <w:rFonts w:ascii="Arial" w:hAnsi="Arial" w:cs="Arial"/>
          <w:b/>
          <w:bCs/>
          <w:sz w:val="20"/>
          <w:szCs w:val="20"/>
        </w:rPr>
        <w:t xml:space="preserve"> country as a worker</w:t>
      </w:r>
    </w:p>
    <w:tbl>
      <w:tblPr>
        <w:tblStyle w:val="TableGrid"/>
        <w:tblW w:w="9625" w:type="dxa"/>
        <w:tblLook w:val="04A0" w:firstRow="1" w:lastRow="0" w:firstColumn="1" w:lastColumn="0" w:noHBand="0" w:noVBand="1"/>
      </w:tblPr>
      <w:tblGrid>
        <w:gridCol w:w="5755"/>
        <w:gridCol w:w="2160"/>
        <w:gridCol w:w="1710"/>
      </w:tblGrid>
      <w:tr w:rsidR="007A4B00" w:rsidRPr="008C47F3" w14:paraId="66266D07" w14:textId="77777777" w:rsidTr="007F5ABB">
        <w:tc>
          <w:tcPr>
            <w:tcW w:w="5755" w:type="dxa"/>
            <w:tcBorders>
              <w:bottom w:val="single" w:sz="4" w:space="0" w:color="auto"/>
            </w:tcBorders>
          </w:tcPr>
          <w:p w14:paraId="0AEECCB1" w14:textId="633F877A" w:rsidR="007A4B00" w:rsidRPr="008C47F3" w:rsidRDefault="007A4B00" w:rsidP="008C47F3">
            <w:pPr>
              <w:jc w:val="both"/>
              <w:rPr>
                <w:rFonts w:ascii="Arial" w:hAnsi="Arial" w:cs="Arial"/>
                <w:sz w:val="20"/>
                <w:szCs w:val="20"/>
              </w:rPr>
            </w:pPr>
            <w:r w:rsidRPr="008C47F3">
              <w:rPr>
                <w:rFonts w:ascii="Arial" w:hAnsi="Arial" w:cs="Arial"/>
                <w:b/>
                <w:bCs/>
                <w:sz w:val="20"/>
                <w:szCs w:val="20"/>
              </w:rPr>
              <w:t>Reason for choosing country</w:t>
            </w:r>
          </w:p>
        </w:tc>
        <w:tc>
          <w:tcPr>
            <w:tcW w:w="2160" w:type="dxa"/>
            <w:tcBorders>
              <w:bottom w:val="single" w:sz="4" w:space="0" w:color="auto"/>
            </w:tcBorders>
          </w:tcPr>
          <w:p w14:paraId="062F5B53" w14:textId="77777777" w:rsidR="007A4B00" w:rsidRPr="008C47F3" w:rsidRDefault="007A4B00" w:rsidP="008C47F3">
            <w:pPr>
              <w:jc w:val="both"/>
              <w:rPr>
                <w:rFonts w:ascii="Arial" w:hAnsi="Arial" w:cs="Arial"/>
                <w:b/>
                <w:bCs/>
                <w:sz w:val="20"/>
                <w:szCs w:val="20"/>
              </w:rPr>
            </w:pPr>
            <w:r w:rsidRPr="008C47F3">
              <w:rPr>
                <w:rFonts w:ascii="Arial" w:hAnsi="Arial" w:cs="Arial"/>
                <w:b/>
                <w:bCs/>
                <w:sz w:val="20"/>
                <w:szCs w:val="20"/>
              </w:rPr>
              <w:t>Total</w:t>
            </w:r>
          </w:p>
        </w:tc>
        <w:tc>
          <w:tcPr>
            <w:tcW w:w="1710" w:type="dxa"/>
            <w:tcBorders>
              <w:bottom w:val="single" w:sz="4" w:space="0" w:color="auto"/>
            </w:tcBorders>
          </w:tcPr>
          <w:p w14:paraId="61CF3B65" w14:textId="77777777" w:rsidR="007A4B00" w:rsidRPr="008C47F3" w:rsidRDefault="007A4B00" w:rsidP="008C47F3">
            <w:pPr>
              <w:jc w:val="both"/>
              <w:rPr>
                <w:rFonts w:ascii="Arial" w:hAnsi="Arial" w:cs="Arial"/>
                <w:b/>
                <w:bCs/>
                <w:sz w:val="20"/>
                <w:szCs w:val="20"/>
              </w:rPr>
            </w:pPr>
            <w:r w:rsidRPr="008C47F3">
              <w:rPr>
                <w:rFonts w:ascii="Arial" w:hAnsi="Arial" w:cs="Arial"/>
                <w:b/>
                <w:bCs/>
                <w:sz w:val="20"/>
                <w:szCs w:val="20"/>
              </w:rPr>
              <w:t>% of total</w:t>
            </w:r>
          </w:p>
        </w:tc>
      </w:tr>
      <w:tr w:rsidR="007A4B00" w:rsidRPr="008C47F3" w14:paraId="5A9905EE" w14:textId="77777777" w:rsidTr="007F5ABB">
        <w:tc>
          <w:tcPr>
            <w:tcW w:w="5755" w:type="dxa"/>
            <w:tcBorders>
              <w:bottom w:val="nil"/>
            </w:tcBorders>
          </w:tcPr>
          <w:p w14:paraId="675AA877"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Higher income</w:t>
            </w:r>
          </w:p>
        </w:tc>
        <w:tc>
          <w:tcPr>
            <w:tcW w:w="2160" w:type="dxa"/>
            <w:tcBorders>
              <w:bottom w:val="nil"/>
            </w:tcBorders>
          </w:tcPr>
          <w:p w14:paraId="1BFDD964"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04</w:t>
            </w:r>
          </w:p>
        </w:tc>
        <w:tc>
          <w:tcPr>
            <w:tcW w:w="1710" w:type="dxa"/>
            <w:tcBorders>
              <w:bottom w:val="nil"/>
            </w:tcBorders>
          </w:tcPr>
          <w:p w14:paraId="748983FA"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22.22%</w:t>
            </w:r>
          </w:p>
        </w:tc>
      </w:tr>
      <w:tr w:rsidR="007A4B00" w:rsidRPr="008C47F3" w14:paraId="2CEAF609" w14:textId="77777777" w:rsidTr="007F5ABB">
        <w:tc>
          <w:tcPr>
            <w:tcW w:w="5755" w:type="dxa"/>
            <w:tcBorders>
              <w:top w:val="nil"/>
              <w:bottom w:val="nil"/>
            </w:tcBorders>
          </w:tcPr>
          <w:p w14:paraId="06233145"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For PR (Permanent Residency)</w:t>
            </w:r>
          </w:p>
        </w:tc>
        <w:tc>
          <w:tcPr>
            <w:tcW w:w="2160" w:type="dxa"/>
            <w:tcBorders>
              <w:top w:val="nil"/>
              <w:bottom w:val="nil"/>
            </w:tcBorders>
          </w:tcPr>
          <w:p w14:paraId="0F25C5B6"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02</w:t>
            </w:r>
          </w:p>
        </w:tc>
        <w:tc>
          <w:tcPr>
            <w:tcW w:w="1710" w:type="dxa"/>
            <w:tcBorders>
              <w:top w:val="nil"/>
              <w:bottom w:val="nil"/>
            </w:tcBorders>
          </w:tcPr>
          <w:p w14:paraId="371E9FF3"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11.11%</w:t>
            </w:r>
          </w:p>
        </w:tc>
      </w:tr>
      <w:tr w:rsidR="007A4B00" w:rsidRPr="008C47F3" w14:paraId="057BFD1D" w14:textId="77777777" w:rsidTr="007F5ABB">
        <w:tc>
          <w:tcPr>
            <w:tcW w:w="5755" w:type="dxa"/>
            <w:tcBorders>
              <w:top w:val="nil"/>
              <w:bottom w:val="nil"/>
            </w:tcBorders>
          </w:tcPr>
          <w:p w14:paraId="4D49FA5B"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Relatives Living there</w:t>
            </w:r>
          </w:p>
        </w:tc>
        <w:tc>
          <w:tcPr>
            <w:tcW w:w="2160" w:type="dxa"/>
            <w:tcBorders>
              <w:top w:val="nil"/>
              <w:bottom w:val="nil"/>
            </w:tcBorders>
          </w:tcPr>
          <w:p w14:paraId="2A1660F5"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03</w:t>
            </w:r>
          </w:p>
        </w:tc>
        <w:tc>
          <w:tcPr>
            <w:tcW w:w="1710" w:type="dxa"/>
            <w:tcBorders>
              <w:top w:val="nil"/>
              <w:bottom w:val="nil"/>
            </w:tcBorders>
          </w:tcPr>
          <w:p w14:paraId="3792600F"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16.67%</w:t>
            </w:r>
          </w:p>
        </w:tc>
      </w:tr>
      <w:tr w:rsidR="007A4B00" w:rsidRPr="008C47F3" w14:paraId="0F45D6A2" w14:textId="77777777" w:rsidTr="007F5ABB">
        <w:tc>
          <w:tcPr>
            <w:tcW w:w="5755" w:type="dxa"/>
            <w:tcBorders>
              <w:top w:val="nil"/>
              <w:bottom w:val="nil"/>
            </w:tcBorders>
          </w:tcPr>
          <w:p w14:paraId="13740267"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Relatives Living there,</w:t>
            </w:r>
          </w:p>
          <w:p w14:paraId="648CE463"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For PR (Permanent Residency)</w:t>
            </w:r>
          </w:p>
        </w:tc>
        <w:tc>
          <w:tcPr>
            <w:tcW w:w="2160" w:type="dxa"/>
            <w:tcBorders>
              <w:top w:val="nil"/>
              <w:bottom w:val="nil"/>
            </w:tcBorders>
          </w:tcPr>
          <w:p w14:paraId="0C228D70"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2498A6DB"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14457BD9" w14:textId="77777777" w:rsidTr="007F5ABB">
        <w:tc>
          <w:tcPr>
            <w:tcW w:w="5755" w:type="dxa"/>
            <w:tcBorders>
              <w:top w:val="nil"/>
              <w:bottom w:val="nil"/>
            </w:tcBorders>
          </w:tcPr>
          <w:p w14:paraId="2E5FBEB2"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Lower living cost</w:t>
            </w:r>
          </w:p>
        </w:tc>
        <w:tc>
          <w:tcPr>
            <w:tcW w:w="2160" w:type="dxa"/>
            <w:tcBorders>
              <w:top w:val="nil"/>
              <w:bottom w:val="nil"/>
            </w:tcBorders>
          </w:tcPr>
          <w:p w14:paraId="2A236C83"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2C0699C2"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7D9114F8" w14:textId="77777777" w:rsidTr="007F5ABB">
        <w:tc>
          <w:tcPr>
            <w:tcW w:w="5755" w:type="dxa"/>
            <w:tcBorders>
              <w:top w:val="nil"/>
              <w:bottom w:val="nil"/>
            </w:tcBorders>
          </w:tcPr>
          <w:p w14:paraId="5C5C7CEB" w14:textId="77777777" w:rsidR="00B01D89" w:rsidRPr="008C47F3" w:rsidRDefault="007A4B00" w:rsidP="008C47F3">
            <w:pPr>
              <w:jc w:val="both"/>
              <w:rPr>
                <w:rFonts w:ascii="Arial" w:hAnsi="Arial" w:cs="Arial"/>
                <w:sz w:val="20"/>
                <w:szCs w:val="20"/>
              </w:rPr>
            </w:pPr>
            <w:r w:rsidRPr="008C47F3">
              <w:rPr>
                <w:rFonts w:ascii="Arial" w:hAnsi="Arial" w:cs="Arial"/>
                <w:sz w:val="20"/>
                <w:szCs w:val="20"/>
              </w:rPr>
              <w:t xml:space="preserve">Relatives living there, Higher income, </w:t>
            </w:r>
          </w:p>
          <w:p w14:paraId="2F3AB074" w14:textId="68428E5D" w:rsidR="007A4B00" w:rsidRPr="008C47F3" w:rsidRDefault="007A4B00" w:rsidP="008C47F3">
            <w:pPr>
              <w:jc w:val="both"/>
              <w:rPr>
                <w:rFonts w:ascii="Arial" w:hAnsi="Arial" w:cs="Arial"/>
                <w:sz w:val="20"/>
                <w:szCs w:val="20"/>
              </w:rPr>
            </w:pPr>
            <w:r w:rsidRPr="008C47F3">
              <w:rPr>
                <w:rFonts w:ascii="Arial" w:hAnsi="Arial" w:cs="Arial"/>
                <w:sz w:val="20"/>
                <w:szCs w:val="20"/>
              </w:rPr>
              <w:t>For PR (Permanent Residency)</w:t>
            </w:r>
          </w:p>
        </w:tc>
        <w:tc>
          <w:tcPr>
            <w:tcW w:w="2160" w:type="dxa"/>
            <w:tcBorders>
              <w:top w:val="nil"/>
              <w:bottom w:val="nil"/>
            </w:tcBorders>
          </w:tcPr>
          <w:p w14:paraId="79902B61"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2ADD0EE4"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3FBDFCD4" w14:textId="77777777" w:rsidTr="007F5ABB">
        <w:tc>
          <w:tcPr>
            <w:tcW w:w="5755" w:type="dxa"/>
            <w:tcBorders>
              <w:top w:val="nil"/>
              <w:bottom w:val="nil"/>
            </w:tcBorders>
          </w:tcPr>
          <w:p w14:paraId="0D204C99"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Higher income, Relative living there</w:t>
            </w:r>
          </w:p>
        </w:tc>
        <w:tc>
          <w:tcPr>
            <w:tcW w:w="2160" w:type="dxa"/>
            <w:tcBorders>
              <w:top w:val="nil"/>
              <w:bottom w:val="nil"/>
            </w:tcBorders>
          </w:tcPr>
          <w:p w14:paraId="2B274946"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01</w:t>
            </w:r>
          </w:p>
        </w:tc>
        <w:tc>
          <w:tcPr>
            <w:tcW w:w="1710" w:type="dxa"/>
            <w:tcBorders>
              <w:top w:val="nil"/>
              <w:bottom w:val="nil"/>
            </w:tcBorders>
          </w:tcPr>
          <w:p w14:paraId="1D32C50B"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5.56%</w:t>
            </w:r>
          </w:p>
        </w:tc>
      </w:tr>
      <w:tr w:rsidR="007A4B00" w:rsidRPr="008C47F3" w14:paraId="160A9EC2" w14:textId="77777777" w:rsidTr="007F5ABB">
        <w:tc>
          <w:tcPr>
            <w:tcW w:w="5755" w:type="dxa"/>
            <w:tcBorders>
              <w:top w:val="nil"/>
            </w:tcBorders>
          </w:tcPr>
          <w:p w14:paraId="6EB75216" w14:textId="77777777" w:rsidR="007A4B00" w:rsidRPr="008C47F3" w:rsidRDefault="007A4B00" w:rsidP="008C47F3">
            <w:pPr>
              <w:jc w:val="both"/>
              <w:rPr>
                <w:rFonts w:ascii="Arial" w:hAnsi="Arial" w:cs="Arial"/>
                <w:sz w:val="20"/>
                <w:szCs w:val="20"/>
              </w:rPr>
            </w:pPr>
            <w:r w:rsidRPr="008C47F3">
              <w:rPr>
                <w:rFonts w:ascii="Arial" w:hAnsi="Arial" w:cs="Arial"/>
                <w:sz w:val="20"/>
                <w:szCs w:val="20"/>
              </w:rPr>
              <w:t>Higher income, For PR (Permanent Residency)</w:t>
            </w:r>
          </w:p>
        </w:tc>
        <w:tc>
          <w:tcPr>
            <w:tcW w:w="2160" w:type="dxa"/>
            <w:tcBorders>
              <w:top w:val="nil"/>
            </w:tcBorders>
          </w:tcPr>
          <w:p w14:paraId="09D519CB" w14:textId="77777777" w:rsidR="007A4B00" w:rsidRPr="008C47F3" w:rsidRDefault="007A4B00" w:rsidP="008C47F3">
            <w:pPr>
              <w:tabs>
                <w:tab w:val="center" w:pos="1450"/>
                <w:tab w:val="left" w:pos="2010"/>
              </w:tabs>
              <w:jc w:val="both"/>
              <w:rPr>
                <w:rFonts w:ascii="Arial" w:hAnsi="Arial" w:cs="Arial"/>
                <w:sz w:val="20"/>
                <w:szCs w:val="20"/>
              </w:rPr>
            </w:pPr>
            <w:r w:rsidRPr="008C47F3">
              <w:rPr>
                <w:rFonts w:ascii="Arial" w:hAnsi="Arial" w:cs="Arial"/>
                <w:sz w:val="20"/>
                <w:szCs w:val="20"/>
              </w:rPr>
              <w:t>05</w:t>
            </w:r>
          </w:p>
        </w:tc>
        <w:tc>
          <w:tcPr>
            <w:tcW w:w="1710" w:type="dxa"/>
            <w:tcBorders>
              <w:top w:val="nil"/>
            </w:tcBorders>
          </w:tcPr>
          <w:p w14:paraId="4F4B47B4" w14:textId="77777777" w:rsidR="007A4B00" w:rsidRPr="008C47F3" w:rsidRDefault="007A4B00" w:rsidP="008C47F3">
            <w:pPr>
              <w:tabs>
                <w:tab w:val="center" w:pos="1450"/>
                <w:tab w:val="left" w:pos="2010"/>
              </w:tabs>
              <w:jc w:val="both"/>
              <w:rPr>
                <w:rFonts w:ascii="Arial" w:hAnsi="Arial" w:cs="Arial"/>
                <w:sz w:val="20"/>
                <w:szCs w:val="20"/>
              </w:rPr>
            </w:pPr>
            <w:r w:rsidRPr="008C47F3">
              <w:rPr>
                <w:rFonts w:ascii="Arial" w:hAnsi="Arial" w:cs="Arial"/>
                <w:sz w:val="20"/>
                <w:szCs w:val="20"/>
              </w:rPr>
              <w:t>27.78%</w:t>
            </w:r>
          </w:p>
        </w:tc>
      </w:tr>
      <w:tr w:rsidR="007A4B00" w:rsidRPr="008C47F3" w14:paraId="134999F9" w14:textId="77777777" w:rsidTr="007A4B00">
        <w:tc>
          <w:tcPr>
            <w:tcW w:w="5755" w:type="dxa"/>
          </w:tcPr>
          <w:p w14:paraId="33EE3D6F" w14:textId="77777777" w:rsidR="007A4B00" w:rsidRPr="008C47F3" w:rsidRDefault="007A4B00" w:rsidP="008C47F3">
            <w:pPr>
              <w:jc w:val="both"/>
              <w:rPr>
                <w:rFonts w:ascii="Arial" w:hAnsi="Arial" w:cs="Arial"/>
                <w:sz w:val="20"/>
                <w:szCs w:val="20"/>
              </w:rPr>
            </w:pPr>
          </w:p>
        </w:tc>
        <w:tc>
          <w:tcPr>
            <w:tcW w:w="2160" w:type="dxa"/>
          </w:tcPr>
          <w:p w14:paraId="55B79C2C" w14:textId="77777777" w:rsidR="007A4B00" w:rsidRPr="008C47F3" w:rsidRDefault="007A4B00" w:rsidP="008C47F3">
            <w:pPr>
              <w:tabs>
                <w:tab w:val="center" w:pos="1450"/>
                <w:tab w:val="left" w:pos="2010"/>
              </w:tabs>
              <w:jc w:val="both"/>
              <w:rPr>
                <w:rFonts w:ascii="Arial" w:hAnsi="Arial" w:cs="Arial"/>
                <w:sz w:val="20"/>
                <w:szCs w:val="20"/>
              </w:rPr>
            </w:pPr>
            <w:r w:rsidRPr="008C47F3">
              <w:rPr>
                <w:rFonts w:ascii="Arial" w:hAnsi="Arial" w:cs="Arial"/>
                <w:sz w:val="20"/>
                <w:szCs w:val="20"/>
              </w:rPr>
              <w:t>Total = 18</w:t>
            </w:r>
          </w:p>
        </w:tc>
        <w:tc>
          <w:tcPr>
            <w:tcW w:w="1710" w:type="dxa"/>
          </w:tcPr>
          <w:p w14:paraId="7FEF1D72" w14:textId="77777777" w:rsidR="007A4B00" w:rsidRPr="008C47F3" w:rsidRDefault="007A4B00" w:rsidP="008C47F3">
            <w:pPr>
              <w:tabs>
                <w:tab w:val="center" w:pos="1450"/>
                <w:tab w:val="left" w:pos="2010"/>
              </w:tabs>
              <w:jc w:val="both"/>
              <w:rPr>
                <w:rFonts w:ascii="Arial" w:hAnsi="Arial" w:cs="Arial"/>
                <w:sz w:val="20"/>
                <w:szCs w:val="20"/>
              </w:rPr>
            </w:pPr>
          </w:p>
        </w:tc>
      </w:tr>
    </w:tbl>
    <w:p w14:paraId="47C4FBB0" w14:textId="77777777" w:rsidR="005849B5" w:rsidRPr="008C47F3" w:rsidRDefault="005849B5" w:rsidP="008C47F3">
      <w:pPr>
        <w:spacing w:after="0" w:line="240" w:lineRule="auto"/>
        <w:jc w:val="both"/>
        <w:rPr>
          <w:rFonts w:ascii="Arial" w:hAnsi="Arial" w:cs="Arial"/>
          <w:sz w:val="20"/>
          <w:szCs w:val="20"/>
        </w:rPr>
      </w:pPr>
    </w:p>
    <w:p w14:paraId="7D7EA20D" w14:textId="4A2E389E" w:rsidR="005912ED" w:rsidRDefault="005912ED" w:rsidP="008C47F3">
      <w:pPr>
        <w:spacing w:after="0" w:line="240" w:lineRule="auto"/>
        <w:jc w:val="both"/>
        <w:rPr>
          <w:rFonts w:ascii="Arial" w:hAnsi="Arial" w:cs="Arial"/>
          <w:sz w:val="20"/>
          <w:szCs w:val="20"/>
        </w:rPr>
      </w:pPr>
      <w:r w:rsidRPr="00AD2469">
        <w:rPr>
          <w:rFonts w:ascii="Arial" w:hAnsi="Arial" w:cs="Arial"/>
          <w:b/>
          <w:sz w:val="20"/>
          <w:szCs w:val="20"/>
        </w:rPr>
        <w:t xml:space="preserve">Table </w:t>
      </w:r>
      <w:r w:rsidR="00F44842" w:rsidRPr="00AD2469">
        <w:rPr>
          <w:rFonts w:ascii="Arial" w:hAnsi="Arial" w:cs="Arial"/>
          <w:b/>
          <w:sz w:val="20"/>
          <w:szCs w:val="20"/>
        </w:rPr>
        <w:t>4</w:t>
      </w:r>
      <w:r w:rsidRPr="008C47F3">
        <w:rPr>
          <w:rFonts w:ascii="Arial" w:hAnsi="Arial" w:cs="Arial"/>
          <w:sz w:val="20"/>
          <w:szCs w:val="20"/>
        </w:rPr>
        <w:t xml:space="preserve"> shows 18 individuals choosing a country for work permits. Out of a total of 18 respondents, 4 respondents chose this country for higher income only</w:t>
      </w:r>
      <w:r w:rsidR="001402A0">
        <w:rPr>
          <w:rFonts w:ascii="Arial" w:hAnsi="Arial" w:cs="Arial"/>
          <w:sz w:val="20"/>
          <w:szCs w:val="20"/>
        </w:rPr>
        <w:t>,</w:t>
      </w:r>
      <w:r w:rsidRPr="008C47F3">
        <w:rPr>
          <w:rFonts w:ascii="Arial" w:hAnsi="Arial" w:cs="Arial"/>
          <w:sz w:val="20"/>
          <w:szCs w:val="20"/>
        </w:rPr>
        <w:t xml:space="preserve"> and the value accounted for 22.22%. The majority of 5 </w:t>
      </w:r>
      <w:r w:rsidR="000F66CD" w:rsidRPr="008C47F3">
        <w:rPr>
          <w:rFonts w:ascii="Arial" w:hAnsi="Arial" w:cs="Arial"/>
          <w:sz w:val="20"/>
          <w:szCs w:val="20"/>
        </w:rPr>
        <w:t>people</w:t>
      </w:r>
      <w:r w:rsidRPr="008C47F3">
        <w:rPr>
          <w:rFonts w:ascii="Arial" w:hAnsi="Arial" w:cs="Arial"/>
          <w:sz w:val="20"/>
          <w:szCs w:val="20"/>
        </w:rPr>
        <w:t xml:space="preserve"> selected this country for higher income and PR (permanent residents) combined</w:t>
      </w:r>
      <w:r w:rsidR="001402A0">
        <w:rPr>
          <w:rFonts w:ascii="Arial" w:hAnsi="Arial" w:cs="Arial"/>
          <w:sz w:val="20"/>
          <w:szCs w:val="20"/>
        </w:rPr>
        <w:t>,</w:t>
      </w:r>
      <w:r w:rsidRPr="008C47F3">
        <w:rPr>
          <w:rFonts w:ascii="Arial" w:hAnsi="Arial" w:cs="Arial"/>
          <w:sz w:val="20"/>
          <w:szCs w:val="20"/>
        </w:rPr>
        <w:t xml:space="preserve"> which accounted for 27.78%. The second highest value is for higher income only, followed by relatives living there (16.67%) and permanent residents (PR) (11.11%). Other indicators </w:t>
      </w:r>
      <w:r w:rsidR="001402A0">
        <w:rPr>
          <w:rFonts w:ascii="Arial" w:hAnsi="Arial" w:cs="Arial"/>
          <w:sz w:val="20"/>
          <w:szCs w:val="20"/>
        </w:rPr>
        <w:t>show that</w:t>
      </w:r>
      <w:r w:rsidRPr="008C47F3">
        <w:rPr>
          <w:rFonts w:ascii="Arial" w:hAnsi="Arial" w:cs="Arial"/>
          <w:sz w:val="20"/>
          <w:szCs w:val="20"/>
        </w:rPr>
        <w:t xml:space="preserve"> the lowest value </w:t>
      </w:r>
      <w:r w:rsidR="001402A0">
        <w:rPr>
          <w:rFonts w:ascii="Arial" w:hAnsi="Arial" w:cs="Arial"/>
          <w:sz w:val="20"/>
          <w:szCs w:val="20"/>
        </w:rPr>
        <w:t>in</w:t>
      </w:r>
      <w:r w:rsidRPr="008C47F3">
        <w:rPr>
          <w:rFonts w:ascii="Arial" w:hAnsi="Arial" w:cs="Arial"/>
          <w:sz w:val="20"/>
          <w:szCs w:val="20"/>
        </w:rPr>
        <w:t xml:space="preserve"> this table</w:t>
      </w:r>
      <w:r w:rsidR="001402A0">
        <w:rPr>
          <w:rFonts w:ascii="Arial" w:hAnsi="Arial" w:cs="Arial"/>
          <w:sz w:val="20"/>
          <w:szCs w:val="20"/>
        </w:rPr>
        <w:t xml:space="preserve"> </w:t>
      </w:r>
      <w:r w:rsidRPr="008C47F3">
        <w:rPr>
          <w:rFonts w:ascii="Arial" w:hAnsi="Arial" w:cs="Arial"/>
          <w:sz w:val="20"/>
          <w:szCs w:val="20"/>
        </w:rPr>
        <w:t>is 5.56%.</w:t>
      </w:r>
    </w:p>
    <w:p w14:paraId="0AEB9C47" w14:textId="77777777" w:rsidR="008C47F3" w:rsidRPr="008C47F3" w:rsidRDefault="008C47F3" w:rsidP="008C47F3">
      <w:pPr>
        <w:spacing w:after="0" w:line="240" w:lineRule="auto"/>
        <w:jc w:val="both"/>
        <w:rPr>
          <w:rFonts w:ascii="Arial" w:hAnsi="Arial" w:cs="Arial"/>
          <w:sz w:val="20"/>
          <w:szCs w:val="20"/>
        </w:rPr>
      </w:pPr>
    </w:p>
    <w:p w14:paraId="64CA1638" w14:textId="318B1F44" w:rsidR="005912ED" w:rsidRPr="008C47F3" w:rsidRDefault="005912ED" w:rsidP="008C47F3">
      <w:pPr>
        <w:spacing w:after="0" w:line="240" w:lineRule="auto"/>
        <w:jc w:val="both"/>
        <w:rPr>
          <w:rFonts w:ascii="Arial" w:hAnsi="Arial" w:cs="Arial"/>
          <w:b/>
          <w:bCs/>
          <w:sz w:val="20"/>
          <w:szCs w:val="20"/>
        </w:rPr>
      </w:pPr>
      <w:r w:rsidRPr="008C47F3">
        <w:rPr>
          <w:rFonts w:ascii="Arial" w:hAnsi="Arial" w:cs="Arial"/>
          <w:b/>
          <w:bCs/>
          <w:sz w:val="20"/>
          <w:szCs w:val="20"/>
        </w:rPr>
        <w:t xml:space="preserve">Table </w:t>
      </w:r>
      <w:r w:rsidR="00F44842" w:rsidRPr="008C47F3">
        <w:rPr>
          <w:rFonts w:ascii="Arial" w:hAnsi="Arial" w:cs="Arial"/>
          <w:b/>
          <w:bCs/>
          <w:sz w:val="20"/>
          <w:szCs w:val="20"/>
        </w:rPr>
        <w:t>5</w:t>
      </w:r>
      <w:r w:rsidRPr="008C47F3">
        <w:rPr>
          <w:rFonts w:ascii="Arial" w:hAnsi="Arial" w:cs="Arial"/>
          <w:b/>
          <w:bCs/>
          <w:sz w:val="20"/>
          <w:szCs w:val="20"/>
        </w:rPr>
        <w:t xml:space="preserve">: Reason </w:t>
      </w:r>
      <w:r w:rsidR="000F66CD" w:rsidRPr="008C47F3">
        <w:rPr>
          <w:rFonts w:ascii="Arial" w:hAnsi="Arial" w:cs="Arial"/>
          <w:b/>
          <w:bCs/>
          <w:sz w:val="20"/>
          <w:szCs w:val="20"/>
        </w:rPr>
        <w:t>for</w:t>
      </w:r>
      <w:r w:rsidRPr="008C47F3">
        <w:rPr>
          <w:rFonts w:ascii="Arial" w:hAnsi="Arial" w:cs="Arial"/>
          <w:b/>
          <w:bCs/>
          <w:sz w:val="20"/>
          <w:szCs w:val="20"/>
        </w:rPr>
        <w:t xml:space="preserve"> leaving home country</w:t>
      </w:r>
    </w:p>
    <w:tbl>
      <w:tblPr>
        <w:tblStyle w:val="TableGrid"/>
        <w:tblW w:w="9445" w:type="dxa"/>
        <w:tblLook w:val="04A0" w:firstRow="1" w:lastRow="0" w:firstColumn="1" w:lastColumn="0" w:noHBand="0" w:noVBand="1"/>
      </w:tblPr>
      <w:tblGrid>
        <w:gridCol w:w="5305"/>
        <w:gridCol w:w="1620"/>
        <w:gridCol w:w="2520"/>
      </w:tblGrid>
      <w:tr w:rsidR="00CA5F4B" w:rsidRPr="008C47F3" w14:paraId="727015B9" w14:textId="77777777" w:rsidTr="007F5ABB">
        <w:tc>
          <w:tcPr>
            <w:tcW w:w="5305" w:type="dxa"/>
            <w:tcBorders>
              <w:bottom w:val="single" w:sz="4" w:space="0" w:color="auto"/>
            </w:tcBorders>
          </w:tcPr>
          <w:p w14:paraId="1C8CA7B1" w14:textId="7BC23076" w:rsidR="00CA5F4B" w:rsidRPr="008C47F3" w:rsidRDefault="00CA5F4B" w:rsidP="007F5ABB">
            <w:pPr>
              <w:jc w:val="center"/>
              <w:rPr>
                <w:rFonts w:ascii="Arial" w:hAnsi="Arial" w:cs="Arial"/>
                <w:b/>
                <w:bCs/>
                <w:sz w:val="20"/>
                <w:szCs w:val="20"/>
              </w:rPr>
            </w:pPr>
            <w:r w:rsidRPr="008C47F3">
              <w:rPr>
                <w:rFonts w:ascii="Arial" w:hAnsi="Arial" w:cs="Arial"/>
                <w:b/>
                <w:bCs/>
                <w:sz w:val="20"/>
                <w:szCs w:val="20"/>
              </w:rPr>
              <w:t>Reason</w:t>
            </w:r>
          </w:p>
        </w:tc>
        <w:tc>
          <w:tcPr>
            <w:tcW w:w="1620" w:type="dxa"/>
            <w:tcBorders>
              <w:bottom w:val="single" w:sz="4" w:space="0" w:color="auto"/>
            </w:tcBorders>
          </w:tcPr>
          <w:p w14:paraId="5B09F99B" w14:textId="77777777" w:rsidR="00CA5F4B" w:rsidRPr="008C47F3" w:rsidRDefault="00CA5F4B" w:rsidP="007F5ABB">
            <w:pPr>
              <w:jc w:val="center"/>
              <w:rPr>
                <w:rFonts w:ascii="Arial" w:hAnsi="Arial" w:cs="Arial"/>
                <w:b/>
                <w:bCs/>
                <w:sz w:val="20"/>
                <w:szCs w:val="20"/>
              </w:rPr>
            </w:pPr>
            <w:r w:rsidRPr="008C47F3">
              <w:rPr>
                <w:rFonts w:ascii="Arial" w:hAnsi="Arial" w:cs="Arial"/>
                <w:b/>
                <w:bCs/>
                <w:sz w:val="20"/>
                <w:szCs w:val="20"/>
              </w:rPr>
              <w:t>Total</w:t>
            </w:r>
          </w:p>
        </w:tc>
        <w:tc>
          <w:tcPr>
            <w:tcW w:w="2520" w:type="dxa"/>
            <w:tcBorders>
              <w:bottom w:val="single" w:sz="4" w:space="0" w:color="auto"/>
            </w:tcBorders>
          </w:tcPr>
          <w:p w14:paraId="28B99404" w14:textId="77777777" w:rsidR="00CA5F4B" w:rsidRPr="008C47F3" w:rsidRDefault="00CA5F4B" w:rsidP="007F5ABB">
            <w:pPr>
              <w:jc w:val="center"/>
              <w:rPr>
                <w:rFonts w:ascii="Arial" w:hAnsi="Arial" w:cs="Arial"/>
                <w:b/>
                <w:bCs/>
                <w:sz w:val="20"/>
                <w:szCs w:val="20"/>
              </w:rPr>
            </w:pPr>
            <w:r w:rsidRPr="008C47F3">
              <w:rPr>
                <w:rFonts w:ascii="Arial" w:hAnsi="Arial" w:cs="Arial"/>
                <w:b/>
                <w:bCs/>
                <w:sz w:val="20"/>
                <w:szCs w:val="20"/>
              </w:rPr>
              <w:t>Percentage</w:t>
            </w:r>
          </w:p>
        </w:tc>
      </w:tr>
      <w:tr w:rsidR="00CA5F4B" w:rsidRPr="008C47F3" w14:paraId="2B77C3C3" w14:textId="77777777" w:rsidTr="007F5ABB">
        <w:tc>
          <w:tcPr>
            <w:tcW w:w="5305" w:type="dxa"/>
            <w:tcBorders>
              <w:bottom w:val="nil"/>
            </w:tcBorders>
          </w:tcPr>
          <w:p w14:paraId="457E06E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Political Instability</w:t>
            </w:r>
          </w:p>
        </w:tc>
        <w:tc>
          <w:tcPr>
            <w:tcW w:w="1620" w:type="dxa"/>
            <w:tcBorders>
              <w:bottom w:val="nil"/>
            </w:tcBorders>
          </w:tcPr>
          <w:p w14:paraId="0EDB4CF8"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28</w:t>
            </w:r>
          </w:p>
        </w:tc>
        <w:tc>
          <w:tcPr>
            <w:tcW w:w="2520" w:type="dxa"/>
            <w:tcBorders>
              <w:bottom w:val="nil"/>
            </w:tcBorders>
          </w:tcPr>
          <w:p w14:paraId="0E248E67"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16.37%</w:t>
            </w:r>
          </w:p>
        </w:tc>
      </w:tr>
      <w:tr w:rsidR="00CA5F4B" w:rsidRPr="008C47F3" w14:paraId="598C3271" w14:textId="77777777" w:rsidTr="007F5ABB">
        <w:tc>
          <w:tcPr>
            <w:tcW w:w="5305" w:type="dxa"/>
            <w:tcBorders>
              <w:top w:val="nil"/>
              <w:bottom w:val="nil"/>
            </w:tcBorders>
          </w:tcPr>
          <w:p w14:paraId="3C12C3D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Low income</w:t>
            </w:r>
          </w:p>
        </w:tc>
        <w:tc>
          <w:tcPr>
            <w:tcW w:w="1620" w:type="dxa"/>
            <w:tcBorders>
              <w:top w:val="nil"/>
              <w:bottom w:val="nil"/>
            </w:tcBorders>
          </w:tcPr>
          <w:p w14:paraId="36EF2D7A"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26</w:t>
            </w:r>
          </w:p>
        </w:tc>
        <w:tc>
          <w:tcPr>
            <w:tcW w:w="2520" w:type="dxa"/>
            <w:tcBorders>
              <w:top w:val="nil"/>
              <w:bottom w:val="nil"/>
            </w:tcBorders>
          </w:tcPr>
          <w:p w14:paraId="10B0612A"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15.20%</w:t>
            </w:r>
          </w:p>
        </w:tc>
      </w:tr>
      <w:tr w:rsidR="00CA5F4B" w:rsidRPr="008C47F3" w14:paraId="729361E9" w14:textId="77777777" w:rsidTr="007F5ABB">
        <w:tc>
          <w:tcPr>
            <w:tcW w:w="5305" w:type="dxa"/>
            <w:tcBorders>
              <w:top w:val="nil"/>
              <w:bottom w:val="nil"/>
            </w:tcBorders>
          </w:tcPr>
          <w:p w14:paraId="0031F50C"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w:t>
            </w:r>
          </w:p>
        </w:tc>
        <w:tc>
          <w:tcPr>
            <w:tcW w:w="1620" w:type="dxa"/>
            <w:tcBorders>
              <w:top w:val="nil"/>
              <w:bottom w:val="nil"/>
            </w:tcBorders>
          </w:tcPr>
          <w:p w14:paraId="17926D3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16</w:t>
            </w:r>
          </w:p>
        </w:tc>
        <w:tc>
          <w:tcPr>
            <w:tcW w:w="2520" w:type="dxa"/>
            <w:tcBorders>
              <w:top w:val="nil"/>
              <w:bottom w:val="nil"/>
            </w:tcBorders>
          </w:tcPr>
          <w:p w14:paraId="6774454C"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9.36%</w:t>
            </w:r>
          </w:p>
        </w:tc>
      </w:tr>
      <w:tr w:rsidR="00CA5F4B" w:rsidRPr="008C47F3" w14:paraId="1D38F277" w14:textId="77777777" w:rsidTr="007F5ABB">
        <w:tc>
          <w:tcPr>
            <w:tcW w:w="5305" w:type="dxa"/>
            <w:tcBorders>
              <w:top w:val="nil"/>
              <w:bottom w:val="nil"/>
            </w:tcBorders>
          </w:tcPr>
          <w:p w14:paraId="3727B54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Standard of living</w:t>
            </w:r>
          </w:p>
        </w:tc>
        <w:tc>
          <w:tcPr>
            <w:tcW w:w="1620" w:type="dxa"/>
            <w:tcBorders>
              <w:top w:val="nil"/>
              <w:bottom w:val="nil"/>
            </w:tcBorders>
          </w:tcPr>
          <w:p w14:paraId="096376DD"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20</w:t>
            </w:r>
          </w:p>
        </w:tc>
        <w:tc>
          <w:tcPr>
            <w:tcW w:w="2520" w:type="dxa"/>
            <w:tcBorders>
              <w:top w:val="nil"/>
              <w:bottom w:val="nil"/>
            </w:tcBorders>
          </w:tcPr>
          <w:p w14:paraId="47D3A39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11.70%</w:t>
            </w:r>
          </w:p>
        </w:tc>
      </w:tr>
      <w:tr w:rsidR="00CA5F4B" w:rsidRPr="008C47F3" w14:paraId="7F7B0943" w14:textId="77777777" w:rsidTr="007F5ABB">
        <w:tc>
          <w:tcPr>
            <w:tcW w:w="5305" w:type="dxa"/>
            <w:tcBorders>
              <w:top w:val="nil"/>
              <w:bottom w:val="nil"/>
            </w:tcBorders>
          </w:tcPr>
          <w:p w14:paraId="0A0E419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lastRenderedPageBreak/>
              <w:t>Poverty, Low income</w:t>
            </w:r>
          </w:p>
        </w:tc>
        <w:tc>
          <w:tcPr>
            <w:tcW w:w="1620" w:type="dxa"/>
            <w:tcBorders>
              <w:top w:val="nil"/>
              <w:bottom w:val="nil"/>
            </w:tcBorders>
          </w:tcPr>
          <w:p w14:paraId="5FF5F81E"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15</w:t>
            </w:r>
          </w:p>
        </w:tc>
        <w:tc>
          <w:tcPr>
            <w:tcW w:w="2520" w:type="dxa"/>
            <w:tcBorders>
              <w:top w:val="nil"/>
              <w:bottom w:val="nil"/>
            </w:tcBorders>
          </w:tcPr>
          <w:p w14:paraId="7A3C89A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8.77%</w:t>
            </w:r>
          </w:p>
        </w:tc>
      </w:tr>
      <w:tr w:rsidR="00CA5F4B" w:rsidRPr="008C47F3" w14:paraId="096FB5CA" w14:textId="77777777" w:rsidTr="007F5ABB">
        <w:tc>
          <w:tcPr>
            <w:tcW w:w="5305" w:type="dxa"/>
            <w:tcBorders>
              <w:top w:val="nil"/>
              <w:bottom w:val="nil"/>
            </w:tcBorders>
          </w:tcPr>
          <w:p w14:paraId="037D4AC3" w14:textId="77777777" w:rsidR="00CA5F4B" w:rsidRPr="008C47F3" w:rsidRDefault="00CA5F4B" w:rsidP="007F5ABB">
            <w:pPr>
              <w:jc w:val="center"/>
              <w:rPr>
                <w:rFonts w:ascii="Arial" w:hAnsi="Arial" w:cs="Arial"/>
                <w:color w:val="000000"/>
                <w:sz w:val="20"/>
                <w:szCs w:val="20"/>
              </w:rPr>
            </w:pPr>
            <w:r w:rsidRPr="008C47F3">
              <w:rPr>
                <w:rFonts w:ascii="Arial" w:hAnsi="Arial" w:cs="Arial"/>
                <w:color w:val="000000"/>
                <w:sz w:val="20"/>
                <w:szCs w:val="20"/>
              </w:rPr>
              <w:t>Low income, standard of living</w:t>
            </w:r>
          </w:p>
        </w:tc>
        <w:tc>
          <w:tcPr>
            <w:tcW w:w="1620" w:type="dxa"/>
            <w:tcBorders>
              <w:top w:val="nil"/>
              <w:bottom w:val="nil"/>
            </w:tcBorders>
          </w:tcPr>
          <w:p w14:paraId="78A9D3A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13</w:t>
            </w:r>
          </w:p>
        </w:tc>
        <w:tc>
          <w:tcPr>
            <w:tcW w:w="2520" w:type="dxa"/>
            <w:tcBorders>
              <w:top w:val="nil"/>
              <w:bottom w:val="nil"/>
            </w:tcBorders>
          </w:tcPr>
          <w:p w14:paraId="2628E1EB"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7.60%</w:t>
            </w:r>
          </w:p>
        </w:tc>
      </w:tr>
      <w:tr w:rsidR="00CA5F4B" w:rsidRPr="008C47F3" w14:paraId="61C8517F" w14:textId="77777777" w:rsidTr="007F5ABB">
        <w:tc>
          <w:tcPr>
            <w:tcW w:w="5305" w:type="dxa"/>
            <w:tcBorders>
              <w:top w:val="nil"/>
              <w:bottom w:val="nil"/>
            </w:tcBorders>
          </w:tcPr>
          <w:p w14:paraId="447A7AEB"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Political instability</w:t>
            </w:r>
          </w:p>
        </w:tc>
        <w:tc>
          <w:tcPr>
            <w:tcW w:w="1620" w:type="dxa"/>
            <w:tcBorders>
              <w:top w:val="nil"/>
              <w:bottom w:val="nil"/>
            </w:tcBorders>
          </w:tcPr>
          <w:p w14:paraId="29CA508E"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06</w:t>
            </w:r>
          </w:p>
        </w:tc>
        <w:tc>
          <w:tcPr>
            <w:tcW w:w="2520" w:type="dxa"/>
            <w:tcBorders>
              <w:top w:val="nil"/>
              <w:bottom w:val="nil"/>
            </w:tcBorders>
          </w:tcPr>
          <w:p w14:paraId="5181207E"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3.51%</w:t>
            </w:r>
          </w:p>
        </w:tc>
      </w:tr>
      <w:tr w:rsidR="00CA5F4B" w:rsidRPr="008C47F3" w14:paraId="7AE8C8FB" w14:textId="77777777" w:rsidTr="007F5ABB">
        <w:tc>
          <w:tcPr>
            <w:tcW w:w="5305" w:type="dxa"/>
            <w:tcBorders>
              <w:top w:val="nil"/>
              <w:bottom w:val="nil"/>
            </w:tcBorders>
          </w:tcPr>
          <w:p w14:paraId="4BC88CE7"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Standard of living, Political instability</w:t>
            </w:r>
          </w:p>
        </w:tc>
        <w:tc>
          <w:tcPr>
            <w:tcW w:w="1620" w:type="dxa"/>
            <w:tcBorders>
              <w:top w:val="nil"/>
              <w:bottom w:val="nil"/>
            </w:tcBorders>
          </w:tcPr>
          <w:p w14:paraId="67D2624A"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14</w:t>
            </w:r>
          </w:p>
        </w:tc>
        <w:tc>
          <w:tcPr>
            <w:tcW w:w="2520" w:type="dxa"/>
            <w:tcBorders>
              <w:top w:val="nil"/>
              <w:bottom w:val="nil"/>
            </w:tcBorders>
          </w:tcPr>
          <w:p w14:paraId="0D11B21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8.19%</w:t>
            </w:r>
          </w:p>
        </w:tc>
      </w:tr>
      <w:tr w:rsidR="00CA5F4B" w:rsidRPr="008C47F3" w14:paraId="218395E2" w14:textId="77777777" w:rsidTr="007F5ABB">
        <w:tc>
          <w:tcPr>
            <w:tcW w:w="5305" w:type="dxa"/>
            <w:tcBorders>
              <w:top w:val="nil"/>
              <w:bottom w:val="nil"/>
            </w:tcBorders>
          </w:tcPr>
          <w:p w14:paraId="11E0F3D2" w14:textId="55EDD87A" w:rsidR="00CA5F4B" w:rsidRPr="008C47F3" w:rsidRDefault="00CA5F4B" w:rsidP="007F5ABB">
            <w:pPr>
              <w:jc w:val="center"/>
              <w:rPr>
                <w:rFonts w:ascii="Arial" w:hAnsi="Arial" w:cs="Arial"/>
                <w:sz w:val="20"/>
                <w:szCs w:val="20"/>
              </w:rPr>
            </w:pPr>
            <w:r w:rsidRPr="008C47F3">
              <w:rPr>
                <w:rFonts w:ascii="Arial" w:hAnsi="Arial" w:cs="Arial"/>
                <w:sz w:val="20"/>
                <w:szCs w:val="20"/>
              </w:rPr>
              <w:t xml:space="preserve">Low income, </w:t>
            </w:r>
            <w:r w:rsidR="00650553" w:rsidRPr="008C47F3">
              <w:rPr>
                <w:rFonts w:ascii="Arial" w:hAnsi="Arial" w:cs="Arial"/>
                <w:sz w:val="20"/>
                <w:szCs w:val="20"/>
              </w:rPr>
              <w:t>P</w:t>
            </w:r>
            <w:r w:rsidRPr="008C47F3">
              <w:rPr>
                <w:rFonts w:ascii="Arial" w:hAnsi="Arial" w:cs="Arial"/>
                <w:sz w:val="20"/>
                <w:szCs w:val="20"/>
              </w:rPr>
              <w:t>olitical instability</w:t>
            </w:r>
          </w:p>
        </w:tc>
        <w:tc>
          <w:tcPr>
            <w:tcW w:w="1620" w:type="dxa"/>
            <w:tcBorders>
              <w:top w:val="nil"/>
              <w:bottom w:val="nil"/>
            </w:tcBorders>
          </w:tcPr>
          <w:p w14:paraId="7DF66B3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17</w:t>
            </w:r>
          </w:p>
        </w:tc>
        <w:tc>
          <w:tcPr>
            <w:tcW w:w="2520" w:type="dxa"/>
            <w:tcBorders>
              <w:top w:val="nil"/>
              <w:bottom w:val="nil"/>
            </w:tcBorders>
          </w:tcPr>
          <w:p w14:paraId="717B47EF"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9.94%</w:t>
            </w:r>
          </w:p>
        </w:tc>
      </w:tr>
      <w:tr w:rsidR="00CA5F4B" w:rsidRPr="008C47F3" w14:paraId="3469F487" w14:textId="77777777" w:rsidTr="007F5ABB">
        <w:tc>
          <w:tcPr>
            <w:tcW w:w="5305" w:type="dxa"/>
            <w:tcBorders>
              <w:top w:val="nil"/>
              <w:bottom w:val="nil"/>
            </w:tcBorders>
          </w:tcPr>
          <w:p w14:paraId="0A092E36"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low income, Political instability</w:t>
            </w:r>
          </w:p>
        </w:tc>
        <w:tc>
          <w:tcPr>
            <w:tcW w:w="1620" w:type="dxa"/>
            <w:tcBorders>
              <w:top w:val="nil"/>
              <w:bottom w:val="nil"/>
            </w:tcBorders>
          </w:tcPr>
          <w:p w14:paraId="1D3E7901"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07</w:t>
            </w:r>
          </w:p>
        </w:tc>
        <w:tc>
          <w:tcPr>
            <w:tcW w:w="2520" w:type="dxa"/>
            <w:tcBorders>
              <w:top w:val="nil"/>
              <w:bottom w:val="nil"/>
            </w:tcBorders>
          </w:tcPr>
          <w:p w14:paraId="00B4D55D"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4.09%</w:t>
            </w:r>
          </w:p>
        </w:tc>
      </w:tr>
      <w:tr w:rsidR="00CA5F4B" w:rsidRPr="008C47F3" w14:paraId="34AF84C0" w14:textId="77777777" w:rsidTr="007F5ABB">
        <w:tc>
          <w:tcPr>
            <w:tcW w:w="5305" w:type="dxa"/>
            <w:tcBorders>
              <w:top w:val="nil"/>
              <w:bottom w:val="nil"/>
            </w:tcBorders>
          </w:tcPr>
          <w:p w14:paraId="49718AF1"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Low income, Political instability, Standard of living</w:t>
            </w:r>
          </w:p>
        </w:tc>
        <w:tc>
          <w:tcPr>
            <w:tcW w:w="1620" w:type="dxa"/>
            <w:tcBorders>
              <w:top w:val="nil"/>
              <w:bottom w:val="nil"/>
            </w:tcBorders>
          </w:tcPr>
          <w:p w14:paraId="23EC1A84"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04</w:t>
            </w:r>
          </w:p>
        </w:tc>
        <w:tc>
          <w:tcPr>
            <w:tcW w:w="2520" w:type="dxa"/>
            <w:tcBorders>
              <w:top w:val="nil"/>
              <w:bottom w:val="nil"/>
            </w:tcBorders>
          </w:tcPr>
          <w:p w14:paraId="33C2011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2.34%</w:t>
            </w:r>
          </w:p>
        </w:tc>
      </w:tr>
      <w:tr w:rsidR="00CA5F4B" w:rsidRPr="008C47F3" w14:paraId="440F4075" w14:textId="77777777" w:rsidTr="007F5ABB">
        <w:tc>
          <w:tcPr>
            <w:tcW w:w="5305" w:type="dxa"/>
            <w:tcBorders>
              <w:top w:val="nil"/>
              <w:bottom w:val="nil"/>
            </w:tcBorders>
          </w:tcPr>
          <w:p w14:paraId="1438E3E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standard of living</w:t>
            </w:r>
          </w:p>
        </w:tc>
        <w:tc>
          <w:tcPr>
            <w:tcW w:w="1620" w:type="dxa"/>
            <w:tcBorders>
              <w:top w:val="nil"/>
              <w:bottom w:val="nil"/>
            </w:tcBorders>
          </w:tcPr>
          <w:p w14:paraId="658AD22D"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02</w:t>
            </w:r>
          </w:p>
        </w:tc>
        <w:tc>
          <w:tcPr>
            <w:tcW w:w="2520" w:type="dxa"/>
            <w:tcBorders>
              <w:top w:val="nil"/>
              <w:bottom w:val="nil"/>
            </w:tcBorders>
          </w:tcPr>
          <w:p w14:paraId="19AE055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1.17%</w:t>
            </w:r>
          </w:p>
        </w:tc>
      </w:tr>
      <w:tr w:rsidR="00CA5F4B" w:rsidRPr="008C47F3" w14:paraId="35892760" w14:textId="77777777" w:rsidTr="007F5ABB">
        <w:tc>
          <w:tcPr>
            <w:tcW w:w="5305" w:type="dxa"/>
            <w:tcBorders>
              <w:top w:val="nil"/>
              <w:bottom w:val="nil"/>
            </w:tcBorders>
          </w:tcPr>
          <w:p w14:paraId="67A715A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Poverty, Low income, standard of living</w:t>
            </w:r>
          </w:p>
        </w:tc>
        <w:tc>
          <w:tcPr>
            <w:tcW w:w="1620" w:type="dxa"/>
            <w:tcBorders>
              <w:top w:val="nil"/>
              <w:bottom w:val="nil"/>
            </w:tcBorders>
          </w:tcPr>
          <w:p w14:paraId="0FF5D7F3"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02</w:t>
            </w:r>
          </w:p>
        </w:tc>
        <w:tc>
          <w:tcPr>
            <w:tcW w:w="2520" w:type="dxa"/>
            <w:tcBorders>
              <w:top w:val="nil"/>
              <w:bottom w:val="nil"/>
            </w:tcBorders>
          </w:tcPr>
          <w:p w14:paraId="656A2E90"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1.17%</w:t>
            </w:r>
          </w:p>
        </w:tc>
      </w:tr>
      <w:tr w:rsidR="00CA5F4B" w:rsidRPr="008C47F3" w14:paraId="468E4E16" w14:textId="77777777" w:rsidTr="007F5ABB">
        <w:tc>
          <w:tcPr>
            <w:tcW w:w="5305" w:type="dxa"/>
            <w:tcBorders>
              <w:top w:val="nil"/>
            </w:tcBorders>
          </w:tcPr>
          <w:p w14:paraId="601F83CB"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Standard of living, poverty, political instability</w:t>
            </w:r>
          </w:p>
        </w:tc>
        <w:tc>
          <w:tcPr>
            <w:tcW w:w="1620" w:type="dxa"/>
            <w:tcBorders>
              <w:top w:val="nil"/>
            </w:tcBorders>
          </w:tcPr>
          <w:p w14:paraId="340FE115"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01</w:t>
            </w:r>
          </w:p>
        </w:tc>
        <w:tc>
          <w:tcPr>
            <w:tcW w:w="2520" w:type="dxa"/>
            <w:tcBorders>
              <w:top w:val="nil"/>
            </w:tcBorders>
          </w:tcPr>
          <w:p w14:paraId="603AB067"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0.58%</w:t>
            </w:r>
          </w:p>
        </w:tc>
      </w:tr>
      <w:tr w:rsidR="00CA5F4B" w:rsidRPr="008C47F3" w14:paraId="6D01D6D6" w14:textId="77777777" w:rsidTr="00CA5F4B">
        <w:tc>
          <w:tcPr>
            <w:tcW w:w="5305" w:type="dxa"/>
          </w:tcPr>
          <w:p w14:paraId="7E7A394C" w14:textId="77777777" w:rsidR="00CA5F4B" w:rsidRPr="008C47F3" w:rsidRDefault="00CA5F4B" w:rsidP="007F5ABB">
            <w:pPr>
              <w:jc w:val="center"/>
              <w:rPr>
                <w:rFonts w:ascii="Arial" w:hAnsi="Arial" w:cs="Arial"/>
                <w:sz w:val="20"/>
                <w:szCs w:val="20"/>
              </w:rPr>
            </w:pPr>
          </w:p>
        </w:tc>
        <w:tc>
          <w:tcPr>
            <w:tcW w:w="1620" w:type="dxa"/>
          </w:tcPr>
          <w:p w14:paraId="31F50242" w14:textId="77777777" w:rsidR="00CA5F4B" w:rsidRPr="008C47F3" w:rsidRDefault="00CA5F4B" w:rsidP="007F5ABB">
            <w:pPr>
              <w:jc w:val="center"/>
              <w:rPr>
                <w:rFonts w:ascii="Arial" w:hAnsi="Arial" w:cs="Arial"/>
                <w:sz w:val="20"/>
                <w:szCs w:val="20"/>
              </w:rPr>
            </w:pPr>
            <w:r w:rsidRPr="008C47F3">
              <w:rPr>
                <w:rFonts w:ascii="Arial" w:hAnsi="Arial" w:cs="Arial"/>
                <w:sz w:val="20"/>
                <w:szCs w:val="20"/>
              </w:rPr>
              <w:t>Total = 171</w:t>
            </w:r>
          </w:p>
        </w:tc>
        <w:tc>
          <w:tcPr>
            <w:tcW w:w="2520" w:type="dxa"/>
          </w:tcPr>
          <w:p w14:paraId="1F647C50" w14:textId="77777777" w:rsidR="00CA5F4B" w:rsidRPr="008C47F3" w:rsidRDefault="00CA5F4B" w:rsidP="007F5ABB">
            <w:pPr>
              <w:jc w:val="center"/>
              <w:rPr>
                <w:rFonts w:ascii="Arial" w:hAnsi="Arial" w:cs="Arial"/>
                <w:sz w:val="20"/>
                <w:szCs w:val="20"/>
              </w:rPr>
            </w:pPr>
          </w:p>
        </w:tc>
      </w:tr>
    </w:tbl>
    <w:p w14:paraId="4FFB4239" w14:textId="77777777" w:rsidR="005912ED" w:rsidRPr="008C47F3" w:rsidRDefault="005912ED" w:rsidP="008C47F3">
      <w:pPr>
        <w:spacing w:after="0" w:line="240" w:lineRule="auto"/>
        <w:jc w:val="both"/>
        <w:rPr>
          <w:rFonts w:ascii="Arial" w:hAnsi="Arial" w:cs="Arial"/>
          <w:sz w:val="20"/>
          <w:szCs w:val="20"/>
        </w:rPr>
      </w:pPr>
    </w:p>
    <w:p w14:paraId="688FCEB5" w14:textId="28C4228B" w:rsidR="00383BEE" w:rsidRDefault="00FA7D02" w:rsidP="00FB003D">
      <w:pPr>
        <w:spacing w:after="0" w:line="240" w:lineRule="auto"/>
        <w:jc w:val="both"/>
        <w:rPr>
          <w:rFonts w:ascii="Arial" w:hAnsi="Arial" w:cs="Arial"/>
          <w:sz w:val="20"/>
          <w:szCs w:val="20"/>
        </w:rPr>
        <w:sectPr w:rsidR="00383BEE" w:rsidSect="008E46F9">
          <w:headerReference w:type="even" r:id="rId13"/>
          <w:headerReference w:type="default" r:id="rId14"/>
          <w:headerReference w:type="first" r:id="rId15"/>
          <w:pgSz w:w="12240" w:h="15840"/>
          <w:pgMar w:top="1440" w:right="1440" w:bottom="1440" w:left="1440" w:header="720" w:footer="720" w:gutter="0"/>
          <w:cols w:space="720"/>
          <w:titlePg/>
          <w:docGrid w:linePitch="360"/>
        </w:sectPr>
      </w:pPr>
      <w:r w:rsidRPr="008C47F3">
        <w:rPr>
          <w:rFonts w:ascii="Arial" w:hAnsi="Arial" w:cs="Arial"/>
          <w:sz w:val="20"/>
          <w:szCs w:val="20"/>
        </w:rPr>
        <w:t xml:space="preserve">Political instability stagnates a country's economic growth, increases corruption, harms the education system, escalates ethnic and religious problems, and even destroys the government system, which Bangladesh has recently faced. Strikes and blockades cause significant damage to the education system. Between 1971 and 1975 alone, 87 strikes took place. Due to these strikes, schools and colleges remain closed for extended periods, and with each political phase, changes are made to the national education curriculum, which is one of the reasons for the destruction of the education system. </w:t>
      </w:r>
      <w:r w:rsidR="00055658">
        <w:rPr>
          <w:rFonts w:ascii="Arial" w:hAnsi="Arial" w:cs="Arial"/>
          <w:sz w:val="20"/>
          <w:szCs w:val="20"/>
        </w:rPr>
        <w:t>Moreover, establishing education-friendly schools, colleges, and universities is essential for developing a country’s education system</w:t>
      </w:r>
      <w:r w:rsidRPr="008C47F3">
        <w:rPr>
          <w:rFonts w:ascii="Arial" w:hAnsi="Arial" w:cs="Arial"/>
          <w:sz w:val="20"/>
          <w:szCs w:val="20"/>
        </w:rPr>
        <w:t xml:space="preserve">. Furthermore, vandalism in educational institutions and inhumane treatment of teachers have instilled fear among students, encouraging them to leave the country. Every year, thousands of young people remain unemployed due to the lack of jobs. Moreover, corruption and bribery </w:t>
      </w:r>
      <w:r w:rsidR="00055658">
        <w:rPr>
          <w:rFonts w:ascii="Arial" w:hAnsi="Arial" w:cs="Arial"/>
          <w:sz w:val="20"/>
          <w:szCs w:val="20"/>
        </w:rPr>
        <w:t>permeate almost every sector of Bangladesh’s job market, discouraging students from choosing to remain</w:t>
      </w:r>
      <w:r w:rsidRPr="008C47F3">
        <w:rPr>
          <w:rFonts w:ascii="Arial" w:hAnsi="Arial" w:cs="Arial"/>
          <w:sz w:val="20"/>
          <w:szCs w:val="20"/>
        </w:rPr>
        <w:t xml:space="preserve"> in the country.</w:t>
      </w:r>
    </w:p>
    <w:p w14:paraId="6FF9ECAA" w14:textId="4BA8F28F" w:rsidR="00383BEE" w:rsidRDefault="005912ED" w:rsidP="008C47F3">
      <w:pPr>
        <w:spacing w:after="0" w:line="240" w:lineRule="auto"/>
        <w:jc w:val="both"/>
        <w:rPr>
          <w:rFonts w:ascii="Arial" w:hAnsi="Arial" w:cs="Arial"/>
          <w:sz w:val="20"/>
          <w:szCs w:val="20"/>
        </w:rPr>
        <w:sectPr w:rsidR="00383BEE" w:rsidSect="0093598A">
          <w:type w:val="continuous"/>
          <w:pgSz w:w="12240" w:h="15840"/>
          <w:pgMar w:top="1440" w:right="1440" w:bottom="1440" w:left="1440" w:header="720" w:footer="720" w:gutter="0"/>
          <w:cols w:space="288"/>
          <w:titlePg/>
          <w:docGrid w:linePitch="360"/>
        </w:sectPr>
      </w:pPr>
      <w:r w:rsidRPr="008C47F3">
        <w:rPr>
          <w:rFonts w:ascii="Arial" w:hAnsi="Arial" w:cs="Arial"/>
          <w:sz w:val="20"/>
          <w:szCs w:val="20"/>
        </w:rPr>
        <w:t xml:space="preserve">The reasons why people relocate overseas each year and leave the country are shown in </w:t>
      </w:r>
      <w:r w:rsidR="00055658" w:rsidRPr="00AD2469">
        <w:rPr>
          <w:rFonts w:ascii="Arial" w:hAnsi="Arial" w:cs="Arial"/>
          <w:b/>
          <w:sz w:val="20"/>
          <w:szCs w:val="20"/>
        </w:rPr>
        <w:t>T</w:t>
      </w:r>
      <w:r w:rsidRPr="00AD2469">
        <w:rPr>
          <w:rFonts w:ascii="Arial" w:hAnsi="Arial" w:cs="Arial"/>
          <w:b/>
          <w:sz w:val="20"/>
          <w:szCs w:val="20"/>
        </w:rPr>
        <w:t xml:space="preserve">able </w:t>
      </w:r>
      <w:r w:rsidR="00F44842" w:rsidRPr="00AD2469">
        <w:rPr>
          <w:rFonts w:ascii="Arial" w:hAnsi="Arial" w:cs="Arial"/>
          <w:b/>
          <w:sz w:val="20"/>
          <w:szCs w:val="20"/>
        </w:rPr>
        <w:t>5</w:t>
      </w:r>
      <w:r w:rsidRPr="00AD2469">
        <w:rPr>
          <w:rFonts w:ascii="Arial" w:hAnsi="Arial" w:cs="Arial"/>
          <w:b/>
          <w:sz w:val="20"/>
          <w:szCs w:val="20"/>
        </w:rPr>
        <w:t>.</w:t>
      </w:r>
      <w:r w:rsidRPr="008C47F3">
        <w:rPr>
          <w:rFonts w:ascii="Arial" w:hAnsi="Arial" w:cs="Arial"/>
          <w:sz w:val="20"/>
          <w:szCs w:val="20"/>
        </w:rPr>
        <w:t xml:space="preserve"> Political instability is one of the main reasons for leaving the country. The second is low income. Of the 171 respondents, 28 respondents want to leave the country only for political instability. Along with political instability, people are going to leave their own country for many other reasons. For example, political instability and l</w:t>
      </w:r>
      <w:r w:rsidR="00055658">
        <w:rPr>
          <w:rFonts w:ascii="Arial" w:hAnsi="Arial" w:cs="Arial"/>
          <w:sz w:val="20"/>
          <w:szCs w:val="20"/>
        </w:rPr>
        <w:t>o</w:t>
      </w:r>
      <w:r w:rsidRPr="008C47F3">
        <w:rPr>
          <w:rFonts w:ascii="Arial" w:hAnsi="Arial" w:cs="Arial"/>
          <w:sz w:val="20"/>
          <w:szCs w:val="20"/>
        </w:rPr>
        <w:t>w income are responsible for 9.94%. Similarly, 9.36% want to leave for poverty</w:t>
      </w:r>
      <w:r w:rsidR="00055658">
        <w:rPr>
          <w:rFonts w:ascii="Arial" w:hAnsi="Arial" w:cs="Arial"/>
          <w:sz w:val="20"/>
          <w:szCs w:val="20"/>
        </w:rPr>
        <w:t>,</w:t>
      </w:r>
      <w:r w:rsidRPr="008C47F3">
        <w:rPr>
          <w:rFonts w:ascii="Arial" w:hAnsi="Arial" w:cs="Arial"/>
          <w:sz w:val="20"/>
          <w:szCs w:val="20"/>
        </w:rPr>
        <w:t xml:space="preserve"> and 3.51% want to leave for political instability and poverty. Again, many people are leaving the country in aspiration </w:t>
      </w:r>
      <w:r w:rsidR="003B5F92" w:rsidRPr="008C47F3">
        <w:rPr>
          <w:rFonts w:ascii="Arial" w:hAnsi="Arial" w:cs="Arial"/>
          <w:sz w:val="20"/>
          <w:szCs w:val="20"/>
        </w:rPr>
        <w:t>for</w:t>
      </w:r>
      <w:r w:rsidRPr="008C47F3">
        <w:rPr>
          <w:rFonts w:ascii="Arial" w:hAnsi="Arial" w:cs="Arial"/>
          <w:sz w:val="20"/>
          <w:szCs w:val="20"/>
        </w:rPr>
        <w:t xml:space="preserve"> a standard of living. Here, 20 of the 171 data are just leaving their country in the hope of a better life. Combinedly</w:t>
      </w:r>
      <w:r w:rsidR="00055658">
        <w:rPr>
          <w:rFonts w:ascii="Arial" w:hAnsi="Arial" w:cs="Arial"/>
          <w:sz w:val="20"/>
          <w:szCs w:val="20"/>
        </w:rPr>
        <w:t>,</w:t>
      </w:r>
      <w:r w:rsidRPr="008C47F3">
        <w:rPr>
          <w:rFonts w:ascii="Arial" w:hAnsi="Arial" w:cs="Arial"/>
          <w:sz w:val="20"/>
          <w:szCs w:val="20"/>
        </w:rPr>
        <w:t xml:space="preserve"> political instability, standard of living and poverty are seen to carry the lowest value in this table (0.58%). </w:t>
      </w:r>
    </w:p>
    <w:p w14:paraId="47BC9FDA" w14:textId="77777777" w:rsidR="00FB003D" w:rsidRPr="008C47F3" w:rsidRDefault="00FB003D" w:rsidP="008C47F3">
      <w:pPr>
        <w:spacing w:after="0" w:line="240" w:lineRule="auto"/>
        <w:jc w:val="both"/>
        <w:rPr>
          <w:rFonts w:ascii="Arial" w:hAnsi="Arial" w:cs="Arial"/>
          <w:sz w:val="20"/>
          <w:szCs w:val="20"/>
        </w:rPr>
      </w:pPr>
    </w:p>
    <w:p w14:paraId="312C01F1" w14:textId="11AC3E5D" w:rsidR="005849B5" w:rsidRPr="00FB003D" w:rsidRDefault="00161262" w:rsidP="00FB003D">
      <w:pPr>
        <w:spacing w:line="240" w:lineRule="auto"/>
        <w:jc w:val="both"/>
        <w:rPr>
          <w:rFonts w:ascii="Arial" w:hAnsi="Arial" w:cs="Arial"/>
          <w:b/>
          <w:bCs/>
        </w:rPr>
      </w:pPr>
      <w:r>
        <w:rPr>
          <w:rFonts w:ascii="Arial" w:hAnsi="Arial" w:cs="Arial"/>
          <w:b/>
          <w:bCs/>
        </w:rPr>
        <w:t>6</w:t>
      </w:r>
      <w:r w:rsidR="00FB003D" w:rsidRPr="00FB003D">
        <w:rPr>
          <w:rFonts w:ascii="Arial" w:hAnsi="Arial" w:cs="Arial"/>
          <w:b/>
          <w:bCs/>
        </w:rPr>
        <w:t xml:space="preserve">.4. </w:t>
      </w:r>
      <w:r w:rsidR="005849B5" w:rsidRPr="00FB003D">
        <w:rPr>
          <w:rFonts w:ascii="Arial" w:hAnsi="Arial" w:cs="Arial"/>
          <w:b/>
          <w:bCs/>
        </w:rPr>
        <w:t>Budget for going overseas country</w:t>
      </w:r>
    </w:p>
    <w:p w14:paraId="5B35F2C5" w14:textId="5B67A65D" w:rsidR="008718A8" w:rsidRPr="00FB003D" w:rsidRDefault="00E2797D" w:rsidP="00FB003D">
      <w:pPr>
        <w:spacing w:after="0" w:line="240" w:lineRule="auto"/>
        <w:jc w:val="both"/>
        <w:rPr>
          <w:rFonts w:ascii="Arial" w:hAnsi="Arial" w:cs="Arial"/>
          <w:b/>
          <w:bCs/>
          <w:sz w:val="20"/>
          <w:szCs w:val="20"/>
        </w:rPr>
      </w:pPr>
      <w:r w:rsidRPr="00FB003D">
        <w:rPr>
          <w:rFonts w:ascii="Arial" w:hAnsi="Arial" w:cs="Arial"/>
          <w:b/>
          <w:bCs/>
          <w:sz w:val="20"/>
          <w:szCs w:val="20"/>
        </w:rPr>
        <w:t xml:space="preserve">Table </w:t>
      </w:r>
      <w:r w:rsidR="00F44842" w:rsidRPr="00FB003D">
        <w:rPr>
          <w:rFonts w:ascii="Arial" w:hAnsi="Arial" w:cs="Arial"/>
          <w:b/>
          <w:bCs/>
          <w:sz w:val="20"/>
          <w:szCs w:val="20"/>
        </w:rPr>
        <w:t>6</w:t>
      </w:r>
      <w:r w:rsidRPr="00FB003D">
        <w:rPr>
          <w:rFonts w:ascii="Arial" w:hAnsi="Arial" w:cs="Arial"/>
          <w:b/>
          <w:bCs/>
          <w:sz w:val="20"/>
          <w:szCs w:val="20"/>
        </w:rPr>
        <w:t xml:space="preserve">: Their budget for </w:t>
      </w:r>
      <w:r w:rsidR="00E95F36" w:rsidRPr="00FB003D">
        <w:rPr>
          <w:rFonts w:ascii="Arial" w:hAnsi="Arial" w:cs="Arial"/>
          <w:b/>
          <w:bCs/>
          <w:sz w:val="20"/>
          <w:szCs w:val="20"/>
        </w:rPr>
        <w:t>going</w:t>
      </w:r>
      <w:r w:rsidRPr="00FB003D">
        <w:rPr>
          <w:rFonts w:ascii="Arial" w:hAnsi="Arial" w:cs="Arial"/>
          <w:b/>
          <w:bCs/>
          <w:sz w:val="20"/>
          <w:szCs w:val="20"/>
        </w:rPr>
        <w:t xml:space="preserve"> abroad</w:t>
      </w:r>
      <w:r w:rsidR="005912ED" w:rsidRPr="00FB003D">
        <w:rPr>
          <w:rFonts w:ascii="Arial" w:hAnsi="Arial" w:cs="Arial"/>
          <w:b/>
          <w:bCs/>
          <w:sz w:val="20"/>
          <w:szCs w:val="20"/>
        </w:rPr>
        <w:t xml:space="preserve"> according to their purpose</w:t>
      </w:r>
    </w:p>
    <w:tbl>
      <w:tblPr>
        <w:tblStyle w:val="TableGrid"/>
        <w:tblW w:w="0" w:type="auto"/>
        <w:tblLook w:val="04A0" w:firstRow="1" w:lastRow="0" w:firstColumn="1" w:lastColumn="0" w:noHBand="0" w:noVBand="1"/>
      </w:tblPr>
      <w:tblGrid>
        <w:gridCol w:w="1615"/>
        <w:gridCol w:w="2250"/>
        <w:gridCol w:w="1890"/>
        <w:gridCol w:w="1613"/>
        <w:gridCol w:w="1982"/>
      </w:tblGrid>
      <w:tr w:rsidR="00E2797D" w:rsidRPr="00FB003D" w14:paraId="598579C5" w14:textId="77777777" w:rsidTr="000A4251">
        <w:tc>
          <w:tcPr>
            <w:tcW w:w="1615" w:type="dxa"/>
            <w:vMerge w:val="restart"/>
          </w:tcPr>
          <w:p w14:paraId="1EEC1F10" w14:textId="77777777" w:rsidR="00E2797D" w:rsidRPr="00FB003D" w:rsidRDefault="00E2797D" w:rsidP="00FB003D">
            <w:pPr>
              <w:jc w:val="both"/>
              <w:rPr>
                <w:rFonts w:ascii="Arial" w:hAnsi="Arial" w:cs="Arial"/>
                <w:sz w:val="20"/>
                <w:szCs w:val="20"/>
              </w:rPr>
            </w:pPr>
            <w:bookmarkStart w:id="3" w:name="_Hlk173110471"/>
          </w:p>
          <w:p w14:paraId="63706DD2" w14:textId="77777777" w:rsidR="00E2797D" w:rsidRPr="00FB003D" w:rsidRDefault="00E2797D" w:rsidP="00FB003D">
            <w:pPr>
              <w:jc w:val="both"/>
              <w:rPr>
                <w:rFonts w:ascii="Arial" w:hAnsi="Arial" w:cs="Arial"/>
                <w:sz w:val="20"/>
                <w:szCs w:val="20"/>
              </w:rPr>
            </w:pPr>
          </w:p>
          <w:p w14:paraId="6B31F64A" w14:textId="77777777" w:rsidR="00E2797D" w:rsidRPr="00FB003D" w:rsidRDefault="00E2797D" w:rsidP="00FB003D">
            <w:pPr>
              <w:jc w:val="both"/>
              <w:rPr>
                <w:rFonts w:ascii="Arial" w:hAnsi="Arial" w:cs="Arial"/>
                <w:sz w:val="20"/>
                <w:szCs w:val="20"/>
              </w:rPr>
            </w:pPr>
          </w:p>
          <w:p w14:paraId="76C26F63" w14:textId="77777777" w:rsidR="00E2797D" w:rsidRPr="00FB003D" w:rsidRDefault="00E2797D" w:rsidP="00FB003D">
            <w:pPr>
              <w:jc w:val="both"/>
              <w:rPr>
                <w:rFonts w:ascii="Arial" w:hAnsi="Arial" w:cs="Arial"/>
                <w:sz w:val="20"/>
                <w:szCs w:val="20"/>
              </w:rPr>
            </w:pPr>
          </w:p>
          <w:p w14:paraId="1C382892" w14:textId="77777777" w:rsidR="00E2797D" w:rsidRPr="00FB003D" w:rsidRDefault="00E2797D" w:rsidP="00FB003D">
            <w:pPr>
              <w:jc w:val="both"/>
              <w:rPr>
                <w:rFonts w:ascii="Arial" w:hAnsi="Arial" w:cs="Arial"/>
                <w:sz w:val="20"/>
                <w:szCs w:val="20"/>
              </w:rPr>
            </w:pPr>
          </w:p>
          <w:p w14:paraId="31792967" w14:textId="77777777" w:rsidR="00E2797D" w:rsidRPr="00FB003D" w:rsidRDefault="00E2797D" w:rsidP="00FB003D">
            <w:pPr>
              <w:jc w:val="both"/>
              <w:rPr>
                <w:rFonts w:ascii="Arial" w:hAnsi="Arial" w:cs="Arial"/>
                <w:sz w:val="20"/>
                <w:szCs w:val="20"/>
              </w:rPr>
            </w:pPr>
          </w:p>
          <w:p w14:paraId="10362F62" w14:textId="77777777" w:rsidR="00E2797D" w:rsidRPr="00FB003D" w:rsidRDefault="00E2797D" w:rsidP="00FB003D">
            <w:pPr>
              <w:jc w:val="both"/>
              <w:rPr>
                <w:rFonts w:ascii="Arial" w:hAnsi="Arial" w:cs="Arial"/>
                <w:sz w:val="20"/>
                <w:szCs w:val="20"/>
              </w:rPr>
            </w:pPr>
          </w:p>
          <w:p w14:paraId="09C489B6" w14:textId="77777777" w:rsidR="00E2797D" w:rsidRPr="00FB003D" w:rsidRDefault="00E2797D" w:rsidP="00FB003D">
            <w:pPr>
              <w:jc w:val="both"/>
              <w:rPr>
                <w:rFonts w:ascii="Arial" w:hAnsi="Arial" w:cs="Arial"/>
                <w:sz w:val="20"/>
                <w:szCs w:val="20"/>
              </w:rPr>
            </w:pPr>
          </w:p>
          <w:p w14:paraId="53E3CD0E" w14:textId="77777777" w:rsidR="00E2797D" w:rsidRPr="00FB003D" w:rsidRDefault="00E2797D" w:rsidP="00FB003D">
            <w:pPr>
              <w:jc w:val="both"/>
              <w:rPr>
                <w:rFonts w:ascii="Arial" w:hAnsi="Arial" w:cs="Arial"/>
                <w:sz w:val="20"/>
                <w:szCs w:val="20"/>
              </w:rPr>
            </w:pPr>
          </w:p>
          <w:p w14:paraId="653E65E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Budget</w:t>
            </w:r>
          </w:p>
        </w:tc>
        <w:tc>
          <w:tcPr>
            <w:tcW w:w="2250" w:type="dxa"/>
          </w:tcPr>
          <w:p w14:paraId="578902E6" w14:textId="3AA14002" w:rsidR="00E2797D" w:rsidRPr="00FB003D" w:rsidRDefault="00E553C8" w:rsidP="00FB003D">
            <w:pPr>
              <w:jc w:val="both"/>
              <w:rPr>
                <w:rFonts w:ascii="Arial" w:hAnsi="Arial" w:cs="Arial"/>
                <w:b/>
                <w:bCs/>
                <w:sz w:val="20"/>
                <w:szCs w:val="20"/>
              </w:rPr>
            </w:pPr>
            <w:r w:rsidRPr="00FB003D">
              <w:rPr>
                <w:rFonts w:ascii="Arial" w:hAnsi="Arial" w:cs="Arial"/>
                <w:b/>
                <w:bCs/>
                <w:sz w:val="20"/>
                <w:szCs w:val="20"/>
              </w:rPr>
              <w:t>Purposes</w:t>
            </w:r>
          </w:p>
        </w:tc>
        <w:tc>
          <w:tcPr>
            <w:tcW w:w="1890" w:type="dxa"/>
            <w:tcBorders>
              <w:bottom w:val="single" w:sz="4" w:space="0" w:color="auto"/>
            </w:tcBorders>
          </w:tcPr>
          <w:p w14:paraId="612F0E10" w14:textId="77777777" w:rsidR="00E2797D" w:rsidRPr="00FB003D" w:rsidRDefault="00E2797D" w:rsidP="00FB003D">
            <w:pPr>
              <w:jc w:val="both"/>
              <w:rPr>
                <w:rFonts w:ascii="Arial" w:hAnsi="Arial" w:cs="Arial"/>
                <w:b/>
                <w:bCs/>
                <w:sz w:val="20"/>
                <w:szCs w:val="20"/>
              </w:rPr>
            </w:pPr>
            <w:r w:rsidRPr="00FB003D">
              <w:rPr>
                <w:rFonts w:ascii="Arial" w:hAnsi="Arial" w:cs="Arial"/>
                <w:b/>
                <w:bCs/>
                <w:sz w:val="20"/>
                <w:szCs w:val="20"/>
              </w:rPr>
              <w:t>Amount</w:t>
            </w:r>
          </w:p>
          <w:p w14:paraId="3E41162F" w14:textId="7ACCE04C" w:rsidR="009E037A" w:rsidRPr="00FB003D" w:rsidRDefault="009E037A" w:rsidP="00FB003D">
            <w:pPr>
              <w:jc w:val="both"/>
              <w:rPr>
                <w:rFonts w:ascii="Arial" w:hAnsi="Arial" w:cs="Arial"/>
                <w:b/>
                <w:bCs/>
                <w:sz w:val="20"/>
                <w:szCs w:val="20"/>
              </w:rPr>
            </w:pPr>
            <w:r w:rsidRPr="00FB003D">
              <w:rPr>
                <w:rFonts w:ascii="Arial" w:hAnsi="Arial" w:cs="Arial"/>
                <w:b/>
                <w:bCs/>
                <w:sz w:val="20"/>
                <w:szCs w:val="20"/>
              </w:rPr>
              <w:t>(In Lakhs</w:t>
            </w:r>
            <w:r w:rsidR="005F2D25">
              <w:rPr>
                <w:rFonts w:ascii="Arial" w:hAnsi="Arial" w:cs="Arial"/>
                <w:b/>
                <w:bCs/>
                <w:sz w:val="20"/>
                <w:szCs w:val="20"/>
              </w:rPr>
              <w:t xml:space="preserve"> BDT.</w:t>
            </w:r>
            <w:r w:rsidRPr="00FB003D">
              <w:rPr>
                <w:rFonts w:ascii="Arial" w:hAnsi="Arial" w:cs="Arial"/>
                <w:b/>
                <w:bCs/>
                <w:sz w:val="20"/>
                <w:szCs w:val="20"/>
              </w:rPr>
              <w:t>)</w:t>
            </w:r>
          </w:p>
        </w:tc>
        <w:tc>
          <w:tcPr>
            <w:tcW w:w="1613" w:type="dxa"/>
            <w:tcBorders>
              <w:bottom w:val="single" w:sz="4" w:space="0" w:color="auto"/>
            </w:tcBorders>
          </w:tcPr>
          <w:p w14:paraId="61FCE0BD" w14:textId="77777777" w:rsidR="00E2797D" w:rsidRPr="00FB003D" w:rsidRDefault="00E2797D" w:rsidP="00FB003D">
            <w:pPr>
              <w:jc w:val="both"/>
              <w:rPr>
                <w:rFonts w:ascii="Arial" w:hAnsi="Arial" w:cs="Arial"/>
                <w:b/>
                <w:bCs/>
                <w:sz w:val="20"/>
                <w:szCs w:val="20"/>
              </w:rPr>
            </w:pPr>
            <w:r w:rsidRPr="00FB003D">
              <w:rPr>
                <w:rFonts w:ascii="Arial" w:hAnsi="Arial" w:cs="Arial"/>
                <w:b/>
                <w:bCs/>
                <w:sz w:val="20"/>
                <w:szCs w:val="20"/>
              </w:rPr>
              <w:t>Total number</w:t>
            </w:r>
          </w:p>
        </w:tc>
        <w:tc>
          <w:tcPr>
            <w:tcW w:w="1982" w:type="dxa"/>
            <w:tcBorders>
              <w:bottom w:val="single" w:sz="4" w:space="0" w:color="auto"/>
            </w:tcBorders>
          </w:tcPr>
          <w:p w14:paraId="4107C8ED" w14:textId="77777777" w:rsidR="00EE797A" w:rsidRPr="00FB003D" w:rsidRDefault="00E2797D" w:rsidP="00FB003D">
            <w:pPr>
              <w:jc w:val="both"/>
              <w:rPr>
                <w:rFonts w:ascii="Arial" w:hAnsi="Arial" w:cs="Arial"/>
                <w:b/>
                <w:bCs/>
                <w:sz w:val="20"/>
                <w:szCs w:val="20"/>
              </w:rPr>
            </w:pPr>
            <w:r w:rsidRPr="00FB003D">
              <w:rPr>
                <w:rFonts w:ascii="Arial" w:hAnsi="Arial" w:cs="Arial"/>
                <w:b/>
                <w:bCs/>
                <w:sz w:val="20"/>
                <w:szCs w:val="20"/>
              </w:rPr>
              <w:t xml:space="preserve">Percentage </w:t>
            </w:r>
          </w:p>
          <w:p w14:paraId="3D46A06E" w14:textId="7099380A" w:rsidR="00E2797D" w:rsidRPr="00FB003D" w:rsidRDefault="00E2797D" w:rsidP="00FB003D">
            <w:pPr>
              <w:jc w:val="both"/>
              <w:rPr>
                <w:rFonts w:ascii="Arial" w:hAnsi="Arial" w:cs="Arial"/>
                <w:b/>
                <w:bCs/>
                <w:sz w:val="20"/>
                <w:szCs w:val="20"/>
              </w:rPr>
            </w:pPr>
            <w:r w:rsidRPr="00FB003D">
              <w:rPr>
                <w:rFonts w:ascii="Arial" w:hAnsi="Arial" w:cs="Arial"/>
                <w:b/>
                <w:bCs/>
                <w:sz w:val="20"/>
                <w:szCs w:val="20"/>
              </w:rPr>
              <w:t>of total</w:t>
            </w:r>
          </w:p>
        </w:tc>
      </w:tr>
      <w:tr w:rsidR="00E2797D" w:rsidRPr="00FB003D" w14:paraId="6AF781DB" w14:textId="77777777" w:rsidTr="000A4251">
        <w:tc>
          <w:tcPr>
            <w:tcW w:w="1615" w:type="dxa"/>
            <w:vMerge/>
          </w:tcPr>
          <w:p w14:paraId="709D644A" w14:textId="77777777" w:rsidR="00E2797D" w:rsidRPr="00FB003D" w:rsidRDefault="00E2797D" w:rsidP="00FB003D">
            <w:pPr>
              <w:jc w:val="both"/>
              <w:rPr>
                <w:rFonts w:ascii="Arial" w:hAnsi="Arial" w:cs="Arial"/>
                <w:sz w:val="20"/>
                <w:szCs w:val="20"/>
              </w:rPr>
            </w:pPr>
          </w:p>
        </w:tc>
        <w:tc>
          <w:tcPr>
            <w:tcW w:w="2250" w:type="dxa"/>
            <w:vMerge w:val="restart"/>
          </w:tcPr>
          <w:p w14:paraId="57660E3E" w14:textId="77777777" w:rsidR="00E553C8" w:rsidRPr="00FB003D" w:rsidRDefault="00E553C8" w:rsidP="00FB003D">
            <w:pPr>
              <w:jc w:val="both"/>
              <w:rPr>
                <w:rFonts w:ascii="Arial" w:hAnsi="Arial" w:cs="Arial"/>
                <w:sz w:val="20"/>
                <w:szCs w:val="20"/>
              </w:rPr>
            </w:pPr>
          </w:p>
          <w:p w14:paraId="013D56D7" w14:textId="77777777" w:rsidR="00E553C8" w:rsidRPr="00FB003D" w:rsidRDefault="00E553C8" w:rsidP="00FB003D">
            <w:pPr>
              <w:jc w:val="both"/>
              <w:rPr>
                <w:rFonts w:ascii="Arial" w:hAnsi="Arial" w:cs="Arial"/>
                <w:sz w:val="20"/>
                <w:szCs w:val="20"/>
              </w:rPr>
            </w:pPr>
          </w:p>
          <w:p w14:paraId="611D5009" w14:textId="77777777" w:rsidR="00E2797D" w:rsidRPr="00FB003D" w:rsidRDefault="00E553C8" w:rsidP="00FB003D">
            <w:pPr>
              <w:jc w:val="both"/>
              <w:rPr>
                <w:rFonts w:ascii="Arial" w:hAnsi="Arial" w:cs="Arial"/>
                <w:sz w:val="20"/>
                <w:szCs w:val="20"/>
              </w:rPr>
            </w:pPr>
            <w:r w:rsidRPr="00FB003D">
              <w:rPr>
                <w:rFonts w:ascii="Arial" w:hAnsi="Arial" w:cs="Arial"/>
                <w:sz w:val="20"/>
                <w:szCs w:val="20"/>
              </w:rPr>
              <w:t>For student visa</w:t>
            </w:r>
          </w:p>
        </w:tc>
        <w:tc>
          <w:tcPr>
            <w:tcW w:w="1890" w:type="dxa"/>
            <w:tcBorders>
              <w:bottom w:val="nil"/>
            </w:tcBorders>
          </w:tcPr>
          <w:p w14:paraId="3C944B80" w14:textId="01B556A9"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613" w:type="dxa"/>
            <w:tcBorders>
              <w:bottom w:val="nil"/>
            </w:tcBorders>
          </w:tcPr>
          <w:p w14:paraId="20214C5D"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982" w:type="dxa"/>
            <w:tcBorders>
              <w:bottom w:val="nil"/>
            </w:tcBorders>
          </w:tcPr>
          <w:p w14:paraId="387B3D9D"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8.52%</w:t>
            </w:r>
          </w:p>
        </w:tc>
      </w:tr>
      <w:tr w:rsidR="00E2797D" w:rsidRPr="00FB003D" w14:paraId="745A05F6" w14:textId="77777777" w:rsidTr="000A4251">
        <w:tc>
          <w:tcPr>
            <w:tcW w:w="1615" w:type="dxa"/>
            <w:vMerge/>
          </w:tcPr>
          <w:p w14:paraId="343D95E3" w14:textId="77777777" w:rsidR="00E2797D" w:rsidRPr="00FB003D" w:rsidRDefault="00E2797D" w:rsidP="00FB003D">
            <w:pPr>
              <w:jc w:val="both"/>
              <w:rPr>
                <w:rFonts w:ascii="Arial" w:hAnsi="Arial" w:cs="Arial"/>
                <w:sz w:val="20"/>
                <w:szCs w:val="20"/>
              </w:rPr>
            </w:pPr>
          </w:p>
        </w:tc>
        <w:tc>
          <w:tcPr>
            <w:tcW w:w="2250" w:type="dxa"/>
            <w:vMerge/>
          </w:tcPr>
          <w:p w14:paraId="39ABEB86"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13774727" w14:textId="6B5A01F0" w:rsidR="00E2797D" w:rsidRPr="00FB003D" w:rsidRDefault="00E2797D" w:rsidP="00FB003D">
            <w:pPr>
              <w:jc w:val="both"/>
              <w:rPr>
                <w:rFonts w:ascii="Arial" w:hAnsi="Arial" w:cs="Arial"/>
                <w:sz w:val="20"/>
                <w:szCs w:val="20"/>
              </w:rPr>
            </w:pPr>
            <w:r w:rsidRPr="00FB003D">
              <w:rPr>
                <w:rFonts w:ascii="Arial" w:hAnsi="Arial" w:cs="Arial"/>
                <w:sz w:val="20"/>
                <w:szCs w:val="20"/>
              </w:rPr>
              <w:t>6-10</w:t>
            </w:r>
          </w:p>
        </w:tc>
        <w:tc>
          <w:tcPr>
            <w:tcW w:w="1613" w:type="dxa"/>
            <w:tcBorders>
              <w:top w:val="nil"/>
              <w:bottom w:val="nil"/>
            </w:tcBorders>
          </w:tcPr>
          <w:p w14:paraId="61F163F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40</w:t>
            </w:r>
          </w:p>
        </w:tc>
        <w:tc>
          <w:tcPr>
            <w:tcW w:w="1982" w:type="dxa"/>
            <w:tcBorders>
              <w:top w:val="nil"/>
              <w:bottom w:val="nil"/>
            </w:tcBorders>
          </w:tcPr>
          <w:p w14:paraId="04957299"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22.73%</w:t>
            </w:r>
          </w:p>
        </w:tc>
      </w:tr>
      <w:tr w:rsidR="00E2797D" w:rsidRPr="00FB003D" w14:paraId="1CB0C4BB" w14:textId="77777777" w:rsidTr="000A4251">
        <w:tc>
          <w:tcPr>
            <w:tcW w:w="1615" w:type="dxa"/>
            <w:vMerge/>
          </w:tcPr>
          <w:p w14:paraId="3CA398EA" w14:textId="77777777" w:rsidR="00E2797D" w:rsidRPr="00FB003D" w:rsidRDefault="00E2797D" w:rsidP="00FB003D">
            <w:pPr>
              <w:jc w:val="both"/>
              <w:rPr>
                <w:rFonts w:ascii="Arial" w:hAnsi="Arial" w:cs="Arial"/>
                <w:sz w:val="20"/>
                <w:szCs w:val="20"/>
              </w:rPr>
            </w:pPr>
          </w:p>
        </w:tc>
        <w:tc>
          <w:tcPr>
            <w:tcW w:w="2250" w:type="dxa"/>
            <w:vMerge/>
          </w:tcPr>
          <w:p w14:paraId="6B2E2E3C"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65B09CD8" w14:textId="36AE2E34" w:rsidR="00E2797D" w:rsidRPr="00FB003D" w:rsidRDefault="00E2797D" w:rsidP="00FB003D">
            <w:pPr>
              <w:jc w:val="both"/>
              <w:rPr>
                <w:rFonts w:ascii="Arial" w:hAnsi="Arial" w:cs="Arial"/>
                <w:sz w:val="20"/>
                <w:szCs w:val="20"/>
              </w:rPr>
            </w:pPr>
            <w:r w:rsidRPr="00FB003D">
              <w:rPr>
                <w:rFonts w:ascii="Arial" w:hAnsi="Arial" w:cs="Arial"/>
                <w:sz w:val="20"/>
                <w:szCs w:val="20"/>
              </w:rPr>
              <w:t>11-15</w:t>
            </w:r>
          </w:p>
        </w:tc>
        <w:tc>
          <w:tcPr>
            <w:tcW w:w="1613" w:type="dxa"/>
            <w:tcBorders>
              <w:top w:val="nil"/>
              <w:bottom w:val="nil"/>
            </w:tcBorders>
          </w:tcPr>
          <w:p w14:paraId="437DFDC9"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62 (Mode)</w:t>
            </w:r>
          </w:p>
        </w:tc>
        <w:tc>
          <w:tcPr>
            <w:tcW w:w="1982" w:type="dxa"/>
            <w:tcBorders>
              <w:top w:val="nil"/>
              <w:bottom w:val="nil"/>
            </w:tcBorders>
          </w:tcPr>
          <w:p w14:paraId="537DD066"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35.23%</w:t>
            </w:r>
          </w:p>
        </w:tc>
      </w:tr>
      <w:tr w:rsidR="00E2797D" w:rsidRPr="00FB003D" w14:paraId="64B2355E" w14:textId="77777777" w:rsidTr="000A4251">
        <w:tc>
          <w:tcPr>
            <w:tcW w:w="1615" w:type="dxa"/>
            <w:vMerge/>
          </w:tcPr>
          <w:p w14:paraId="4477EE15" w14:textId="77777777" w:rsidR="00E2797D" w:rsidRPr="00FB003D" w:rsidRDefault="00E2797D" w:rsidP="00FB003D">
            <w:pPr>
              <w:jc w:val="both"/>
              <w:rPr>
                <w:rFonts w:ascii="Arial" w:hAnsi="Arial" w:cs="Arial"/>
                <w:sz w:val="20"/>
                <w:szCs w:val="20"/>
              </w:rPr>
            </w:pPr>
          </w:p>
        </w:tc>
        <w:tc>
          <w:tcPr>
            <w:tcW w:w="2250" w:type="dxa"/>
            <w:vMerge/>
          </w:tcPr>
          <w:p w14:paraId="47F585A7"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31153255" w14:textId="79AB8DB8" w:rsidR="00E2797D" w:rsidRPr="00FB003D" w:rsidRDefault="00E2797D" w:rsidP="00FB003D">
            <w:pPr>
              <w:jc w:val="both"/>
              <w:rPr>
                <w:rFonts w:ascii="Arial" w:hAnsi="Arial" w:cs="Arial"/>
                <w:sz w:val="20"/>
                <w:szCs w:val="20"/>
              </w:rPr>
            </w:pPr>
            <w:r w:rsidRPr="00FB003D">
              <w:rPr>
                <w:rFonts w:ascii="Arial" w:hAnsi="Arial" w:cs="Arial"/>
                <w:sz w:val="20"/>
                <w:szCs w:val="20"/>
              </w:rPr>
              <w:t>16-20</w:t>
            </w:r>
          </w:p>
        </w:tc>
        <w:tc>
          <w:tcPr>
            <w:tcW w:w="1613" w:type="dxa"/>
            <w:tcBorders>
              <w:top w:val="nil"/>
              <w:bottom w:val="nil"/>
            </w:tcBorders>
          </w:tcPr>
          <w:p w14:paraId="1538B87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982" w:type="dxa"/>
            <w:tcBorders>
              <w:top w:val="nil"/>
              <w:bottom w:val="nil"/>
            </w:tcBorders>
          </w:tcPr>
          <w:p w14:paraId="3C09F2B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8.52%</w:t>
            </w:r>
          </w:p>
        </w:tc>
      </w:tr>
      <w:tr w:rsidR="00E2797D" w:rsidRPr="00FB003D" w14:paraId="79647A61" w14:textId="77777777" w:rsidTr="000A4251">
        <w:tc>
          <w:tcPr>
            <w:tcW w:w="1615" w:type="dxa"/>
            <w:vMerge/>
          </w:tcPr>
          <w:p w14:paraId="23B648E4" w14:textId="77777777" w:rsidR="00E2797D" w:rsidRPr="00FB003D" w:rsidRDefault="00E2797D" w:rsidP="00FB003D">
            <w:pPr>
              <w:jc w:val="both"/>
              <w:rPr>
                <w:rFonts w:ascii="Arial" w:hAnsi="Arial" w:cs="Arial"/>
                <w:sz w:val="20"/>
                <w:szCs w:val="20"/>
              </w:rPr>
            </w:pPr>
          </w:p>
        </w:tc>
        <w:tc>
          <w:tcPr>
            <w:tcW w:w="2250" w:type="dxa"/>
            <w:vMerge/>
          </w:tcPr>
          <w:p w14:paraId="23172254"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498CBFA4" w14:textId="54AF23CE" w:rsidR="00E2797D" w:rsidRPr="00FB003D" w:rsidRDefault="00E2797D" w:rsidP="00FB003D">
            <w:pPr>
              <w:jc w:val="both"/>
              <w:rPr>
                <w:rFonts w:ascii="Arial" w:hAnsi="Arial" w:cs="Arial"/>
                <w:sz w:val="20"/>
                <w:szCs w:val="20"/>
              </w:rPr>
            </w:pPr>
            <w:r w:rsidRPr="00FB003D">
              <w:rPr>
                <w:rFonts w:ascii="Arial" w:hAnsi="Arial" w:cs="Arial"/>
                <w:sz w:val="20"/>
                <w:szCs w:val="20"/>
              </w:rPr>
              <w:t>21-25</w:t>
            </w:r>
          </w:p>
        </w:tc>
        <w:tc>
          <w:tcPr>
            <w:tcW w:w="1613" w:type="dxa"/>
            <w:tcBorders>
              <w:top w:val="nil"/>
              <w:bottom w:val="nil"/>
            </w:tcBorders>
          </w:tcPr>
          <w:p w14:paraId="37A0C93A"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17</w:t>
            </w:r>
          </w:p>
        </w:tc>
        <w:tc>
          <w:tcPr>
            <w:tcW w:w="1982" w:type="dxa"/>
            <w:tcBorders>
              <w:top w:val="nil"/>
              <w:bottom w:val="nil"/>
            </w:tcBorders>
          </w:tcPr>
          <w:p w14:paraId="2E5476F6"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9.66%</w:t>
            </w:r>
          </w:p>
        </w:tc>
      </w:tr>
      <w:tr w:rsidR="00E2797D" w:rsidRPr="00FB003D" w14:paraId="6164F320" w14:textId="77777777" w:rsidTr="000A4251">
        <w:tc>
          <w:tcPr>
            <w:tcW w:w="1615" w:type="dxa"/>
            <w:vMerge/>
          </w:tcPr>
          <w:p w14:paraId="1EB7D23A" w14:textId="77777777" w:rsidR="00E2797D" w:rsidRPr="00FB003D" w:rsidRDefault="00E2797D" w:rsidP="00FB003D">
            <w:pPr>
              <w:jc w:val="both"/>
              <w:rPr>
                <w:rFonts w:ascii="Arial" w:hAnsi="Arial" w:cs="Arial"/>
                <w:sz w:val="20"/>
                <w:szCs w:val="20"/>
              </w:rPr>
            </w:pPr>
          </w:p>
        </w:tc>
        <w:tc>
          <w:tcPr>
            <w:tcW w:w="2250" w:type="dxa"/>
            <w:vMerge/>
          </w:tcPr>
          <w:p w14:paraId="0D08BFA2" w14:textId="77777777" w:rsidR="00E2797D" w:rsidRPr="00FB003D" w:rsidRDefault="00E2797D" w:rsidP="00FB003D">
            <w:pPr>
              <w:jc w:val="both"/>
              <w:rPr>
                <w:rFonts w:ascii="Arial" w:hAnsi="Arial" w:cs="Arial"/>
                <w:sz w:val="20"/>
                <w:szCs w:val="20"/>
              </w:rPr>
            </w:pPr>
          </w:p>
        </w:tc>
        <w:tc>
          <w:tcPr>
            <w:tcW w:w="1890" w:type="dxa"/>
            <w:tcBorders>
              <w:top w:val="nil"/>
            </w:tcBorders>
          </w:tcPr>
          <w:p w14:paraId="23AC650C" w14:textId="3F8B0445" w:rsidR="00E2797D" w:rsidRPr="00FB003D" w:rsidRDefault="00E2797D" w:rsidP="00FB003D">
            <w:pPr>
              <w:jc w:val="both"/>
              <w:rPr>
                <w:rFonts w:ascii="Arial" w:hAnsi="Arial" w:cs="Arial"/>
                <w:sz w:val="20"/>
                <w:szCs w:val="20"/>
              </w:rPr>
            </w:pPr>
            <w:r w:rsidRPr="00FB003D">
              <w:rPr>
                <w:rFonts w:ascii="Arial" w:hAnsi="Arial" w:cs="Arial"/>
                <w:sz w:val="20"/>
                <w:szCs w:val="20"/>
              </w:rPr>
              <w:t>25</w:t>
            </w:r>
            <w:r w:rsidR="009E037A" w:rsidRPr="00FB003D">
              <w:rPr>
                <w:rFonts w:ascii="Arial" w:hAnsi="Arial" w:cs="Arial"/>
                <w:sz w:val="20"/>
                <w:szCs w:val="20"/>
              </w:rPr>
              <w:t>+</w:t>
            </w:r>
          </w:p>
        </w:tc>
        <w:tc>
          <w:tcPr>
            <w:tcW w:w="1613" w:type="dxa"/>
            <w:tcBorders>
              <w:top w:val="nil"/>
            </w:tcBorders>
          </w:tcPr>
          <w:p w14:paraId="27AD43D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04</w:t>
            </w:r>
          </w:p>
        </w:tc>
        <w:tc>
          <w:tcPr>
            <w:tcW w:w="1982" w:type="dxa"/>
            <w:tcBorders>
              <w:top w:val="nil"/>
            </w:tcBorders>
          </w:tcPr>
          <w:p w14:paraId="3D117291"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2.27%</w:t>
            </w:r>
          </w:p>
        </w:tc>
      </w:tr>
      <w:tr w:rsidR="000A4251" w:rsidRPr="00FB003D" w14:paraId="17095BDD" w14:textId="77777777" w:rsidTr="000C19FA">
        <w:tc>
          <w:tcPr>
            <w:tcW w:w="1615" w:type="dxa"/>
            <w:vMerge/>
          </w:tcPr>
          <w:p w14:paraId="78CFF348" w14:textId="77777777" w:rsidR="000A4251" w:rsidRPr="00FB003D" w:rsidRDefault="000A4251" w:rsidP="00FB003D">
            <w:pPr>
              <w:jc w:val="both"/>
              <w:rPr>
                <w:rFonts w:ascii="Arial" w:hAnsi="Arial" w:cs="Arial"/>
                <w:sz w:val="20"/>
                <w:szCs w:val="20"/>
              </w:rPr>
            </w:pPr>
          </w:p>
        </w:tc>
        <w:tc>
          <w:tcPr>
            <w:tcW w:w="2250" w:type="dxa"/>
            <w:vMerge/>
          </w:tcPr>
          <w:p w14:paraId="5CB4F722" w14:textId="77777777" w:rsidR="000A4251" w:rsidRPr="00FB003D" w:rsidRDefault="000A4251" w:rsidP="00FB003D">
            <w:pPr>
              <w:jc w:val="both"/>
              <w:rPr>
                <w:rFonts w:ascii="Arial" w:hAnsi="Arial" w:cs="Arial"/>
                <w:sz w:val="20"/>
                <w:szCs w:val="20"/>
              </w:rPr>
            </w:pPr>
          </w:p>
        </w:tc>
        <w:tc>
          <w:tcPr>
            <w:tcW w:w="5485" w:type="dxa"/>
            <w:gridSpan w:val="3"/>
            <w:tcBorders>
              <w:bottom w:val="single" w:sz="4" w:space="0" w:color="auto"/>
            </w:tcBorders>
          </w:tcPr>
          <w:p w14:paraId="260B3552" w14:textId="3FC78493"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153 </w:t>
            </w:r>
            <w:r>
              <w:rPr>
                <w:rFonts w:ascii="Arial" w:hAnsi="Arial" w:cs="Arial"/>
                <w:sz w:val="20"/>
                <w:szCs w:val="20"/>
              </w:rPr>
              <w:t>(</w:t>
            </w:r>
            <w:r w:rsidRPr="00FB003D">
              <w:rPr>
                <w:rFonts w:ascii="Arial" w:hAnsi="Arial" w:cs="Arial"/>
                <w:sz w:val="20"/>
                <w:szCs w:val="20"/>
              </w:rPr>
              <w:t>86.93%</w:t>
            </w:r>
            <w:r>
              <w:rPr>
                <w:rFonts w:ascii="Arial" w:hAnsi="Arial" w:cs="Arial"/>
                <w:sz w:val="20"/>
                <w:szCs w:val="20"/>
              </w:rPr>
              <w:t>)</w:t>
            </w:r>
          </w:p>
        </w:tc>
      </w:tr>
      <w:tr w:rsidR="00E2797D" w:rsidRPr="00FB003D" w14:paraId="42AA9BD1" w14:textId="77777777" w:rsidTr="000A4251">
        <w:tc>
          <w:tcPr>
            <w:tcW w:w="1615" w:type="dxa"/>
            <w:vMerge/>
          </w:tcPr>
          <w:p w14:paraId="5D15F54A" w14:textId="77777777" w:rsidR="00E2797D" w:rsidRPr="00FB003D" w:rsidRDefault="00E2797D" w:rsidP="00FB003D">
            <w:pPr>
              <w:jc w:val="both"/>
              <w:rPr>
                <w:rFonts w:ascii="Arial" w:hAnsi="Arial" w:cs="Arial"/>
                <w:sz w:val="20"/>
                <w:szCs w:val="20"/>
              </w:rPr>
            </w:pPr>
          </w:p>
        </w:tc>
        <w:tc>
          <w:tcPr>
            <w:tcW w:w="2250" w:type="dxa"/>
            <w:vMerge w:val="restart"/>
          </w:tcPr>
          <w:p w14:paraId="2E700714" w14:textId="77777777" w:rsidR="00E2797D" w:rsidRPr="00FB003D" w:rsidRDefault="00E2797D" w:rsidP="00FB003D">
            <w:pPr>
              <w:jc w:val="both"/>
              <w:rPr>
                <w:rFonts w:ascii="Arial" w:hAnsi="Arial" w:cs="Arial"/>
                <w:sz w:val="20"/>
                <w:szCs w:val="20"/>
              </w:rPr>
            </w:pPr>
          </w:p>
          <w:p w14:paraId="1ACC5306" w14:textId="77777777" w:rsidR="00E2797D" w:rsidRPr="00FB003D" w:rsidRDefault="00E2797D" w:rsidP="00FB003D">
            <w:pPr>
              <w:jc w:val="both"/>
              <w:rPr>
                <w:rFonts w:ascii="Arial" w:hAnsi="Arial" w:cs="Arial"/>
                <w:sz w:val="20"/>
                <w:szCs w:val="20"/>
              </w:rPr>
            </w:pPr>
          </w:p>
          <w:p w14:paraId="2B99CEF8" w14:textId="77777777" w:rsidR="00E2797D" w:rsidRPr="00FB003D" w:rsidRDefault="00E2797D" w:rsidP="00FB003D">
            <w:pPr>
              <w:jc w:val="both"/>
              <w:rPr>
                <w:rFonts w:ascii="Arial" w:hAnsi="Arial" w:cs="Arial"/>
                <w:sz w:val="20"/>
                <w:szCs w:val="20"/>
              </w:rPr>
            </w:pPr>
          </w:p>
          <w:p w14:paraId="46A5C600" w14:textId="44BBF417" w:rsidR="00E2797D" w:rsidRPr="00FB003D" w:rsidRDefault="00E2797D" w:rsidP="00FB003D">
            <w:pPr>
              <w:jc w:val="both"/>
              <w:rPr>
                <w:rFonts w:ascii="Arial" w:hAnsi="Arial" w:cs="Arial"/>
                <w:sz w:val="20"/>
                <w:szCs w:val="20"/>
              </w:rPr>
            </w:pPr>
            <w:r w:rsidRPr="00FB003D">
              <w:rPr>
                <w:rFonts w:ascii="Arial" w:hAnsi="Arial" w:cs="Arial"/>
                <w:sz w:val="20"/>
                <w:szCs w:val="20"/>
              </w:rPr>
              <w:t>For</w:t>
            </w:r>
            <w:r w:rsidR="00D567F8" w:rsidRPr="00FB003D">
              <w:rPr>
                <w:rFonts w:ascii="Arial" w:hAnsi="Arial" w:cs="Arial"/>
                <w:sz w:val="20"/>
                <w:szCs w:val="20"/>
              </w:rPr>
              <w:t xml:space="preserve"> </w:t>
            </w:r>
            <w:r w:rsidRPr="00FB003D">
              <w:rPr>
                <w:rFonts w:ascii="Arial" w:hAnsi="Arial" w:cs="Arial"/>
                <w:sz w:val="20"/>
                <w:szCs w:val="20"/>
              </w:rPr>
              <w:t>working purpose</w:t>
            </w:r>
          </w:p>
        </w:tc>
        <w:tc>
          <w:tcPr>
            <w:tcW w:w="1890" w:type="dxa"/>
            <w:tcBorders>
              <w:bottom w:val="nil"/>
            </w:tcBorders>
          </w:tcPr>
          <w:p w14:paraId="60A9D9E5" w14:textId="64EE7482" w:rsidR="00E2797D" w:rsidRPr="00FB003D" w:rsidRDefault="00E2797D" w:rsidP="00FB003D">
            <w:pPr>
              <w:jc w:val="both"/>
              <w:rPr>
                <w:rFonts w:ascii="Arial" w:hAnsi="Arial" w:cs="Arial"/>
                <w:sz w:val="20"/>
                <w:szCs w:val="20"/>
              </w:rPr>
            </w:pPr>
            <w:r w:rsidRPr="00FB003D">
              <w:rPr>
                <w:rFonts w:ascii="Arial" w:hAnsi="Arial" w:cs="Arial"/>
                <w:sz w:val="20"/>
                <w:szCs w:val="20"/>
              </w:rPr>
              <w:t>1-5</w:t>
            </w:r>
          </w:p>
        </w:tc>
        <w:tc>
          <w:tcPr>
            <w:tcW w:w="1613" w:type="dxa"/>
            <w:tcBorders>
              <w:bottom w:val="nil"/>
            </w:tcBorders>
          </w:tcPr>
          <w:p w14:paraId="6F19159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02</w:t>
            </w:r>
          </w:p>
        </w:tc>
        <w:tc>
          <w:tcPr>
            <w:tcW w:w="1982" w:type="dxa"/>
            <w:tcBorders>
              <w:bottom w:val="nil"/>
            </w:tcBorders>
          </w:tcPr>
          <w:p w14:paraId="305EDF55"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1.14%</w:t>
            </w:r>
          </w:p>
        </w:tc>
      </w:tr>
      <w:tr w:rsidR="00E2797D" w:rsidRPr="00FB003D" w14:paraId="3E3E8F8A" w14:textId="77777777" w:rsidTr="000A4251">
        <w:tc>
          <w:tcPr>
            <w:tcW w:w="1615" w:type="dxa"/>
            <w:vMerge/>
          </w:tcPr>
          <w:p w14:paraId="262875E5" w14:textId="77777777" w:rsidR="00E2797D" w:rsidRPr="00FB003D" w:rsidRDefault="00E2797D" w:rsidP="00FB003D">
            <w:pPr>
              <w:jc w:val="both"/>
              <w:rPr>
                <w:rFonts w:ascii="Arial" w:hAnsi="Arial" w:cs="Arial"/>
                <w:sz w:val="20"/>
                <w:szCs w:val="20"/>
              </w:rPr>
            </w:pPr>
          </w:p>
        </w:tc>
        <w:tc>
          <w:tcPr>
            <w:tcW w:w="2250" w:type="dxa"/>
            <w:vMerge/>
          </w:tcPr>
          <w:p w14:paraId="793FAB47"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1A9AC1E0" w14:textId="4E0AC50F" w:rsidR="00E2797D" w:rsidRPr="00FB003D" w:rsidRDefault="00E2797D" w:rsidP="00FB003D">
            <w:pPr>
              <w:jc w:val="both"/>
              <w:rPr>
                <w:rFonts w:ascii="Arial" w:hAnsi="Arial" w:cs="Arial"/>
                <w:sz w:val="20"/>
                <w:szCs w:val="20"/>
              </w:rPr>
            </w:pPr>
            <w:r w:rsidRPr="00FB003D">
              <w:rPr>
                <w:rFonts w:ascii="Arial" w:hAnsi="Arial" w:cs="Arial"/>
                <w:sz w:val="20"/>
                <w:szCs w:val="20"/>
              </w:rPr>
              <w:t>6-10</w:t>
            </w:r>
          </w:p>
        </w:tc>
        <w:tc>
          <w:tcPr>
            <w:tcW w:w="1613" w:type="dxa"/>
            <w:tcBorders>
              <w:top w:val="nil"/>
              <w:bottom w:val="nil"/>
            </w:tcBorders>
          </w:tcPr>
          <w:p w14:paraId="3E0C6440"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05 (Mode)</w:t>
            </w:r>
          </w:p>
        </w:tc>
        <w:tc>
          <w:tcPr>
            <w:tcW w:w="1982" w:type="dxa"/>
            <w:tcBorders>
              <w:top w:val="nil"/>
              <w:bottom w:val="nil"/>
            </w:tcBorders>
          </w:tcPr>
          <w:p w14:paraId="7C6EB5BA"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2.84%</w:t>
            </w:r>
          </w:p>
        </w:tc>
      </w:tr>
      <w:tr w:rsidR="00E2797D" w:rsidRPr="00FB003D" w14:paraId="4468493F" w14:textId="77777777" w:rsidTr="000A4251">
        <w:tc>
          <w:tcPr>
            <w:tcW w:w="1615" w:type="dxa"/>
            <w:vMerge/>
          </w:tcPr>
          <w:p w14:paraId="01157B6D" w14:textId="77777777" w:rsidR="00E2797D" w:rsidRPr="00FB003D" w:rsidRDefault="00E2797D" w:rsidP="00FB003D">
            <w:pPr>
              <w:jc w:val="both"/>
              <w:rPr>
                <w:rFonts w:ascii="Arial" w:hAnsi="Arial" w:cs="Arial"/>
                <w:sz w:val="20"/>
                <w:szCs w:val="20"/>
              </w:rPr>
            </w:pPr>
          </w:p>
        </w:tc>
        <w:tc>
          <w:tcPr>
            <w:tcW w:w="2250" w:type="dxa"/>
            <w:vMerge/>
          </w:tcPr>
          <w:p w14:paraId="302CB35B"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3DE96AB9" w14:textId="23FD32E0" w:rsidR="00E2797D" w:rsidRPr="00FB003D" w:rsidRDefault="00E2797D" w:rsidP="00FB003D">
            <w:pPr>
              <w:jc w:val="both"/>
              <w:rPr>
                <w:rFonts w:ascii="Arial" w:hAnsi="Arial" w:cs="Arial"/>
                <w:sz w:val="20"/>
                <w:szCs w:val="20"/>
              </w:rPr>
            </w:pPr>
            <w:r w:rsidRPr="00FB003D">
              <w:rPr>
                <w:rFonts w:ascii="Arial" w:hAnsi="Arial" w:cs="Arial"/>
                <w:sz w:val="20"/>
                <w:szCs w:val="20"/>
              </w:rPr>
              <w:t>11-15</w:t>
            </w:r>
          </w:p>
        </w:tc>
        <w:tc>
          <w:tcPr>
            <w:tcW w:w="1613" w:type="dxa"/>
            <w:tcBorders>
              <w:top w:val="nil"/>
              <w:bottom w:val="nil"/>
            </w:tcBorders>
          </w:tcPr>
          <w:p w14:paraId="3EB0172F"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03</w:t>
            </w:r>
          </w:p>
        </w:tc>
        <w:tc>
          <w:tcPr>
            <w:tcW w:w="1982" w:type="dxa"/>
            <w:tcBorders>
              <w:top w:val="nil"/>
              <w:bottom w:val="nil"/>
            </w:tcBorders>
          </w:tcPr>
          <w:p w14:paraId="04762B50"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1.70%</w:t>
            </w:r>
          </w:p>
        </w:tc>
      </w:tr>
      <w:tr w:rsidR="00E2797D" w:rsidRPr="00FB003D" w14:paraId="05D23008" w14:textId="77777777" w:rsidTr="000A4251">
        <w:tc>
          <w:tcPr>
            <w:tcW w:w="1615" w:type="dxa"/>
            <w:vMerge/>
          </w:tcPr>
          <w:p w14:paraId="6FCEBDAA" w14:textId="77777777" w:rsidR="00E2797D" w:rsidRPr="00FB003D" w:rsidRDefault="00E2797D" w:rsidP="00FB003D">
            <w:pPr>
              <w:jc w:val="both"/>
              <w:rPr>
                <w:rFonts w:ascii="Arial" w:hAnsi="Arial" w:cs="Arial"/>
                <w:sz w:val="20"/>
                <w:szCs w:val="20"/>
              </w:rPr>
            </w:pPr>
          </w:p>
        </w:tc>
        <w:tc>
          <w:tcPr>
            <w:tcW w:w="2250" w:type="dxa"/>
            <w:vMerge/>
          </w:tcPr>
          <w:p w14:paraId="694F2368"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1C0E4857" w14:textId="5E47ACE6" w:rsidR="00E2797D" w:rsidRPr="00FB003D" w:rsidRDefault="00E2797D" w:rsidP="00FB003D">
            <w:pPr>
              <w:jc w:val="both"/>
              <w:rPr>
                <w:rFonts w:ascii="Arial" w:hAnsi="Arial" w:cs="Arial"/>
                <w:sz w:val="20"/>
                <w:szCs w:val="20"/>
              </w:rPr>
            </w:pPr>
            <w:r w:rsidRPr="00FB003D">
              <w:rPr>
                <w:rFonts w:ascii="Arial" w:hAnsi="Arial" w:cs="Arial"/>
                <w:sz w:val="20"/>
                <w:szCs w:val="20"/>
              </w:rPr>
              <w:t>16-20</w:t>
            </w:r>
          </w:p>
        </w:tc>
        <w:tc>
          <w:tcPr>
            <w:tcW w:w="1613" w:type="dxa"/>
            <w:tcBorders>
              <w:top w:val="nil"/>
              <w:bottom w:val="nil"/>
            </w:tcBorders>
          </w:tcPr>
          <w:p w14:paraId="6AF9F93C"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03</w:t>
            </w:r>
          </w:p>
        </w:tc>
        <w:tc>
          <w:tcPr>
            <w:tcW w:w="1982" w:type="dxa"/>
            <w:tcBorders>
              <w:top w:val="nil"/>
              <w:bottom w:val="nil"/>
            </w:tcBorders>
          </w:tcPr>
          <w:p w14:paraId="12DB6584"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1.70%</w:t>
            </w:r>
          </w:p>
        </w:tc>
      </w:tr>
      <w:tr w:rsidR="00E2797D" w:rsidRPr="00FB003D" w14:paraId="55C9169A" w14:textId="77777777" w:rsidTr="000A4251">
        <w:tc>
          <w:tcPr>
            <w:tcW w:w="1615" w:type="dxa"/>
            <w:vMerge/>
          </w:tcPr>
          <w:p w14:paraId="6B89436C" w14:textId="77777777" w:rsidR="00E2797D" w:rsidRPr="00FB003D" w:rsidRDefault="00E2797D" w:rsidP="00FB003D">
            <w:pPr>
              <w:jc w:val="both"/>
              <w:rPr>
                <w:rFonts w:ascii="Arial" w:hAnsi="Arial" w:cs="Arial"/>
                <w:sz w:val="20"/>
                <w:szCs w:val="20"/>
              </w:rPr>
            </w:pPr>
          </w:p>
        </w:tc>
        <w:tc>
          <w:tcPr>
            <w:tcW w:w="2250" w:type="dxa"/>
            <w:vMerge/>
          </w:tcPr>
          <w:p w14:paraId="0BEC7FFF" w14:textId="77777777" w:rsidR="00E2797D" w:rsidRPr="00FB003D" w:rsidRDefault="00E2797D" w:rsidP="00FB003D">
            <w:pPr>
              <w:jc w:val="both"/>
              <w:rPr>
                <w:rFonts w:ascii="Arial" w:hAnsi="Arial" w:cs="Arial"/>
                <w:sz w:val="20"/>
                <w:szCs w:val="20"/>
              </w:rPr>
            </w:pPr>
          </w:p>
        </w:tc>
        <w:tc>
          <w:tcPr>
            <w:tcW w:w="1890" w:type="dxa"/>
            <w:tcBorders>
              <w:top w:val="nil"/>
              <w:bottom w:val="nil"/>
            </w:tcBorders>
          </w:tcPr>
          <w:p w14:paraId="0AF7138F" w14:textId="72557737" w:rsidR="00E2797D" w:rsidRPr="00FB003D" w:rsidRDefault="00E2797D" w:rsidP="00FB003D">
            <w:pPr>
              <w:jc w:val="both"/>
              <w:rPr>
                <w:rFonts w:ascii="Arial" w:hAnsi="Arial" w:cs="Arial"/>
                <w:sz w:val="20"/>
                <w:szCs w:val="20"/>
              </w:rPr>
            </w:pPr>
            <w:r w:rsidRPr="00FB003D">
              <w:rPr>
                <w:rFonts w:ascii="Arial" w:hAnsi="Arial" w:cs="Arial"/>
                <w:sz w:val="20"/>
                <w:szCs w:val="20"/>
              </w:rPr>
              <w:t>21-25</w:t>
            </w:r>
          </w:p>
        </w:tc>
        <w:tc>
          <w:tcPr>
            <w:tcW w:w="1613" w:type="dxa"/>
            <w:tcBorders>
              <w:top w:val="nil"/>
              <w:bottom w:val="nil"/>
            </w:tcBorders>
          </w:tcPr>
          <w:p w14:paraId="43B61816"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04</w:t>
            </w:r>
          </w:p>
        </w:tc>
        <w:tc>
          <w:tcPr>
            <w:tcW w:w="1982" w:type="dxa"/>
            <w:tcBorders>
              <w:top w:val="nil"/>
              <w:bottom w:val="nil"/>
            </w:tcBorders>
          </w:tcPr>
          <w:p w14:paraId="3BC6D43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2.27%</w:t>
            </w:r>
          </w:p>
        </w:tc>
      </w:tr>
      <w:tr w:rsidR="00E2797D" w:rsidRPr="00FB003D" w14:paraId="1F5EA4B9" w14:textId="77777777" w:rsidTr="000A4251">
        <w:tc>
          <w:tcPr>
            <w:tcW w:w="1615" w:type="dxa"/>
            <w:vMerge/>
          </w:tcPr>
          <w:p w14:paraId="1E75081C" w14:textId="77777777" w:rsidR="00E2797D" w:rsidRPr="00FB003D" w:rsidRDefault="00E2797D" w:rsidP="00FB003D">
            <w:pPr>
              <w:jc w:val="both"/>
              <w:rPr>
                <w:rFonts w:ascii="Arial" w:hAnsi="Arial" w:cs="Arial"/>
                <w:sz w:val="20"/>
                <w:szCs w:val="20"/>
              </w:rPr>
            </w:pPr>
          </w:p>
        </w:tc>
        <w:tc>
          <w:tcPr>
            <w:tcW w:w="2250" w:type="dxa"/>
            <w:vMerge/>
          </w:tcPr>
          <w:p w14:paraId="0AC4DECF" w14:textId="77777777" w:rsidR="00E2797D" w:rsidRPr="00FB003D" w:rsidRDefault="00E2797D" w:rsidP="00FB003D">
            <w:pPr>
              <w:jc w:val="both"/>
              <w:rPr>
                <w:rFonts w:ascii="Arial" w:hAnsi="Arial" w:cs="Arial"/>
                <w:sz w:val="20"/>
                <w:szCs w:val="20"/>
              </w:rPr>
            </w:pPr>
          </w:p>
        </w:tc>
        <w:tc>
          <w:tcPr>
            <w:tcW w:w="1890" w:type="dxa"/>
            <w:tcBorders>
              <w:top w:val="nil"/>
            </w:tcBorders>
          </w:tcPr>
          <w:p w14:paraId="3DA46D5D" w14:textId="0C3B0C60" w:rsidR="00E2797D" w:rsidRPr="00FB003D" w:rsidRDefault="00E2797D" w:rsidP="00FB003D">
            <w:pPr>
              <w:jc w:val="both"/>
              <w:rPr>
                <w:rFonts w:ascii="Arial" w:hAnsi="Arial" w:cs="Arial"/>
                <w:sz w:val="20"/>
                <w:szCs w:val="20"/>
              </w:rPr>
            </w:pPr>
            <w:r w:rsidRPr="00FB003D">
              <w:rPr>
                <w:rFonts w:ascii="Arial" w:hAnsi="Arial" w:cs="Arial"/>
                <w:sz w:val="20"/>
                <w:szCs w:val="20"/>
              </w:rPr>
              <w:t>25</w:t>
            </w:r>
            <w:r w:rsidR="009E037A" w:rsidRPr="00FB003D">
              <w:rPr>
                <w:rFonts w:ascii="Arial" w:hAnsi="Arial" w:cs="Arial"/>
                <w:sz w:val="20"/>
                <w:szCs w:val="20"/>
              </w:rPr>
              <w:t>+</w:t>
            </w:r>
          </w:p>
        </w:tc>
        <w:tc>
          <w:tcPr>
            <w:tcW w:w="1613" w:type="dxa"/>
            <w:tcBorders>
              <w:top w:val="nil"/>
            </w:tcBorders>
          </w:tcPr>
          <w:p w14:paraId="68044B2B"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01</w:t>
            </w:r>
          </w:p>
        </w:tc>
        <w:tc>
          <w:tcPr>
            <w:tcW w:w="1982" w:type="dxa"/>
            <w:tcBorders>
              <w:top w:val="nil"/>
            </w:tcBorders>
          </w:tcPr>
          <w:p w14:paraId="07C4AE48"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0.57%</w:t>
            </w:r>
          </w:p>
        </w:tc>
      </w:tr>
      <w:tr w:rsidR="000A4251" w:rsidRPr="00FB003D" w14:paraId="6C0ED454" w14:textId="77777777" w:rsidTr="000C19FA">
        <w:tc>
          <w:tcPr>
            <w:tcW w:w="1615" w:type="dxa"/>
            <w:vMerge/>
          </w:tcPr>
          <w:p w14:paraId="0CE21943" w14:textId="77777777" w:rsidR="000A4251" w:rsidRPr="00FB003D" w:rsidRDefault="000A4251" w:rsidP="00FB003D">
            <w:pPr>
              <w:jc w:val="both"/>
              <w:rPr>
                <w:rFonts w:ascii="Arial" w:hAnsi="Arial" w:cs="Arial"/>
                <w:sz w:val="20"/>
                <w:szCs w:val="20"/>
              </w:rPr>
            </w:pPr>
          </w:p>
        </w:tc>
        <w:tc>
          <w:tcPr>
            <w:tcW w:w="2250" w:type="dxa"/>
            <w:vMerge/>
          </w:tcPr>
          <w:p w14:paraId="58EFE0D3" w14:textId="77777777" w:rsidR="000A4251" w:rsidRPr="00FB003D" w:rsidRDefault="000A4251" w:rsidP="00FB003D">
            <w:pPr>
              <w:jc w:val="both"/>
              <w:rPr>
                <w:rFonts w:ascii="Arial" w:hAnsi="Arial" w:cs="Arial"/>
                <w:sz w:val="20"/>
                <w:szCs w:val="20"/>
              </w:rPr>
            </w:pPr>
          </w:p>
        </w:tc>
        <w:tc>
          <w:tcPr>
            <w:tcW w:w="5485" w:type="dxa"/>
            <w:gridSpan w:val="3"/>
          </w:tcPr>
          <w:p w14:paraId="66913799" w14:textId="60F68E2E"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18 </w:t>
            </w:r>
            <w:r>
              <w:rPr>
                <w:rFonts w:ascii="Arial" w:hAnsi="Arial" w:cs="Arial"/>
                <w:sz w:val="20"/>
                <w:szCs w:val="20"/>
              </w:rPr>
              <w:t>(</w:t>
            </w:r>
            <w:r w:rsidRPr="00FB003D">
              <w:rPr>
                <w:rFonts w:ascii="Arial" w:hAnsi="Arial" w:cs="Arial"/>
                <w:sz w:val="20"/>
                <w:szCs w:val="20"/>
              </w:rPr>
              <w:t>10.22%</w:t>
            </w:r>
            <w:r>
              <w:rPr>
                <w:rFonts w:ascii="Arial" w:hAnsi="Arial" w:cs="Arial"/>
                <w:sz w:val="20"/>
                <w:szCs w:val="20"/>
              </w:rPr>
              <w:t>)</w:t>
            </w:r>
          </w:p>
        </w:tc>
      </w:tr>
      <w:tr w:rsidR="00E2797D" w:rsidRPr="00FB003D" w14:paraId="38580114" w14:textId="77777777" w:rsidTr="000A4251">
        <w:trPr>
          <w:trHeight w:val="305"/>
        </w:trPr>
        <w:tc>
          <w:tcPr>
            <w:tcW w:w="1615" w:type="dxa"/>
            <w:vMerge/>
          </w:tcPr>
          <w:p w14:paraId="0FF47C00" w14:textId="77777777" w:rsidR="00E2797D" w:rsidRPr="00FB003D" w:rsidRDefault="00E2797D" w:rsidP="00FB003D">
            <w:pPr>
              <w:jc w:val="both"/>
              <w:rPr>
                <w:rFonts w:ascii="Arial" w:hAnsi="Arial" w:cs="Arial"/>
                <w:sz w:val="20"/>
                <w:szCs w:val="20"/>
              </w:rPr>
            </w:pPr>
          </w:p>
        </w:tc>
        <w:tc>
          <w:tcPr>
            <w:tcW w:w="2250" w:type="dxa"/>
            <w:vMerge w:val="restart"/>
          </w:tcPr>
          <w:p w14:paraId="3145CB9E"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For visit purpose</w:t>
            </w:r>
          </w:p>
        </w:tc>
        <w:tc>
          <w:tcPr>
            <w:tcW w:w="1890" w:type="dxa"/>
          </w:tcPr>
          <w:p w14:paraId="5DA1280A" w14:textId="77777777" w:rsidR="00E2797D" w:rsidRPr="00FB003D" w:rsidRDefault="00E2797D" w:rsidP="00FB003D">
            <w:pPr>
              <w:jc w:val="both"/>
              <w:rPr>
                <w:rFonts w:ascii="Arial" w:hAnsi="Arial" w:cs="Arial"/>
                <w:sz w:val="20"/>
                <w:szCs w:val="20"/>
              </w:rPr>
            </w:pPr>
          </w:p>
        </w:tc>
        <w:tc>
          <w:tcPr>
            <w:tcW w:w="1613" w:type="dxa"/>
          </w:tcPr>
          <w:p w14:paraId="0A89F7F4"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00</w:t>
            </w:r>
          </w:p>
        </w:tc>
        <w:tc>
          <w:tcPr>
            <w:tcW w:w="1982" w:type="dxa"/>
          </w:tcPr>
          <w:p w14:paraId="69FA09D4" w14:textId="77777777" w:rsidR="00E2797D" w:rsidRPr="00FB003D" w:rsidRDefault="00E2797D" w:rsidP="00FB003D">
            <w:pPr>
              <w:jc w:val="both"/>
              <w:rPr>
                <w:rFonts w:ascii="Arial" w:hAnsi="Arial" w:cs="Arial"/>
                <w:sz w:val="20"/>
                <w:szCs w:val="20"/>
              </w:rPr>
            </w:pPr>
            <w:r w:rsidRPr="00FB003D">
              <w:rPr>
                <w:rFonts w:ascii="Arial" w:hAnsi="Arial" w:cs="Arial"/>
                <w:sz w:val="20"/>
                <w:szCs w:val="20"/>
              </w:rPr>
              <w:t>0.00%</w:t>
            </w:r>
          </w:p>
        </w:tc>
      </w:tr>
      <w:tr w:rsidR="000A4251" w:rsidRPr="00FB003D" w14:paraId="7BEDF4DE" w14:textId="77777777" w:rsidTr="000A4251">
        <w:trPr>
          <w:trHeight w:val="350"/>
        </w:trPr>
        <w:tc>
          <w:tcPr>
            <w:tcW w:w="1615" w:type="dxa"/>
            <w:vMerge/>
          </w:tcPr>
          <w:p w14:paraId="232E27CC" w14:textId="77777777" w:rsidR="000A4251" w:rsidRPr="00FB003D" w:rsidRDefault="000A4251" w:rsidP="00FB003D">
            <w:pPr>
              <w:jc w:val="both"/>
              <w:rPr>
                <w:rFonts w:ascii="Arial" w:hAnsi="Arial" w:cs="Arial"/>
                <w:sz w:val="20"/>
                <w:szCs w:val="20"/>
              </w:rPr>
            </w:pPr>
          </w:p>
        </w:tc>
        <w:tc>
          <w:tcPr>
            <w:tcW w:w="2250" w:type="dxa"/>
            <w:vMerge/>
          </w:tcPr>
          <w:p w14:paraId="3CB9742F" w14:textId="77777777" w:rsidR="000A4251" w:rsidRPr="00FB003D" w:rsidRDefault="000A4251" w:rsidP="00FB003D">
            <w:pPr>
              <w:jc w:val="both"/>
              <w:rPr>
                <w:rFonts w:ascii="Arial" w:hAnsi="Arial" w:cs="Arial"/>
                <w:sz w:val="20"/>
                <w:szCs w:val="20"/>
              </w:rPr>
            </w:pPr>
          </w:p>
        </w:tc>
        <w:tc>
          <w:tcPr>
            <w:tcW w:w="5485" w:type="dxa"/>
            <w:gridSpan w:val="3"/>
          </w:tcPr>
          <w:p w14:paraId="57B2A843" w14:textId="11DD4BBE" w:rsidR="000A4251" w:rsidRPr="00FB003D" w:rsidRDefault="001F016A" w:rsidP="001F016A">
            <w:pPr>
              <w:tabs>
                <w:tab w:val="left" w:pos="750"/>
                <w:tab w:val="center" w:pos="2634"/>
              </w:tabs>
              <w:rPr>
                <w:rFonts w:ascii="Arial" w:hAnsi="Arial" w:cs="Arial"/>
                <w:sz w:val="20"/>
                <w:szCs w:val="20"/>
              </w:rPr>
            </w:pPr>
            <w:r>
              <w:rPr>
                <w:rFonts w:ascii="Arial" w:hAnsi="Arial" w:cs="Arial"/>
                <w:sz w:val="20"/>
                <w:szCs w:val="20"/>
              </w:rPr>
              <w:tab/>
            </w:r>
            <w:r>
              <w:rPr>
                <w:rFonts w:ascii="Arial" w:hAnsi="Arial" w:cs="Arial"/>
                <w:sz w:val="20"/>
                <w:szCs w:val="20"/>
              </w:rPr>
              <w:tab/>
            </w:r>
            <w:r w:rsidR="000A4251" w:rsidRPr="00FB003D">
              <w:rPr>
                <w:rFonts w:ascii="Arial" w:hAnsi="Arial" w:cs="Arial"/>
                <w:sz w:val="20"/>
                <w:szCs w:val="20"/>
              </w:rPr>
              <w:t>Total = 00</w:t>
            </w:r>
            <w:r w:rsidR="000A4251">
              <w:rPr>
                <w:rFonts w:ascii="Arial" w:hAnsi="Arial" w:cs="Arial"/>
                <w:sz w:val="20"/>
                <w:szCs w:val="20"/>
              </w:rPr>
              <w:t xml:space="preserve"> (</w:t>
            </w:r>
            <w:r w:rsidR="000A4251" w:rsidRPr="00FB003D">
              <w:rPr>
                <w:rFonts w:ascii="Arial" w:hAnsi="Arial" w:cs="Arial"/>
                <w:sz w:val="20"/>
                <w:szCs w:val="20"/>
              </w:rPr>
              <w:t>0.00%</w:t>
            </w:r>
            <w:r w:rsidR="000A4251">
              <w:rPr>
                <w:rFonts w:ascii="Arial" w:hAnsi="Arial" w:cs="Arial"/>
                <w:sz w:val="20"/>
                <w:szCs w:val="20"/>
              </w:rPr>
              <w:t>)</w:t>
            </w:r>
          </w:p>
        </w:tc>
      </w:tr>
      <w:tr w:rsidR="000A4251" w:rsidRPr="00FB003D" w14:paraId="47D54956" w14:textId="77777777" w:rsidTr="000A4251">
        <w:trPr>
          <w:trHeight w:val="260"/>
        </w:trPr>
        <w:tc>
          <w:tcPr>
            <w:tcW w:w="1615" w:type="dxa"/>
            <w:vMerge/>
          </w:tcPr>
          <w:p w14:paraId="72D7E361" w14:textId="77777777" w:rsidR="000A4251" w:rsidRPr="00FB003D" w:rsidRDefault="000A4251" w:rsidP="00FB003D">
            <w:pPr>
              <w:jc w:val="both"/>
              <w:rPr>
                <w:rFonts w:ascii="Arial" w:hAnsi="Arial" w:cs="Arial"/>
                <w:sz w:val="20"/>
                <w:szCs w:val="20"/>
              </w:rPr>
            </w:pPr>
          </w:p>
        </w:tc>
        <w:tc>
          <w:tcPr>
            <w:tcW w:w="2250" w:type="dxa"/>
          </w:tcPr>
          <w:p w14:paraId="5F3AEE75" w14:textId="77777777" w:rsidR="000A4251" w:rsidRPr="00FB003D" w:rsidRDefault="000A4251" w:rsidP="00FB003D">
            <w:pPr>
              <w:jc w:val="both"/>
              <w:rPr>
                <w:rFonts w:ascii="Arial" w:hAnsi="Arial" w:cs="Arial"/>
                <w:sz w:val="20"/>
                <w:szCs w:val="20"/>
              </w:rPr>
            </w:pPr>
            <w:r w:rsidRPr="00FB003D">
              <w:rPr>
                <w:rFonts w:ascii="Arial" w:hAnsi="Arial" w:cs="Arial"/>
                <w:sz w:val="20"/>
                <w:szCs w:val="20"/>
              </w:rPr>
              <w:t>Skill development</w:t>
            </w:r>
          </w:p>
        </w:tc>
        <w:tc>
          <w:tcPr>
            <w:tcW w:w="5485" w:type="dxa"/>
            <w:gridSpan w:val="3"/>
          </w:tcPr>
          <w:p w14:paraId="4A8ABF2F" w14:textId="4251F3C7"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05 </w:t>
            </w:r>
            <w:r>
              <w:rPr>
                <w:rFonts w:ascii="Arial" w:hAnsi="Arial" w:cs="Arial"/>
                <w:sz w:val="20"/>
                <w:szCs w:val="20"/>
              </w:rPr>
              <w:t>(</w:t>
            </w:r>
            <w:r w:rsidRPr="00FB003D">
              <w:rPr>
                <w:rFonts w:ascii="Arial" w:hAnsi="Arial" w:cs="Arial"/>
                <w:sz w:val="20"/>
                <w:szCs w:val="20"/>
              </w:rPr>
              <w:t>2.84%</w:t>
            </w:r>
            <w:r>
              <w:rPr>
                <w:rFonts w:ascii="Arial" w:hAnsi="Arial" w:cs="Arial"/>
                <w:sz w:val="20"/>
                <w:szCs w:val="20"/>
              </w:rPr>
              <w:t>)</w:t>
            </w:r>
          </w:p>
        </w:tc>
      </w:tr>
      <w:tr w:rsidR="000A4251" w:rsidRPr="00FB003D" w14:paraId="7131711B" w14:textId="77777777" w:rsidTr="000C19FA">
        <w:tc>
          <w:tcPr>
            <w:tcW w:w="1615" w:type="dxa"/>
            <w:vMerge/>
          </w:tcPr>
          <w:p w14:paraId="5C6B4B39" w14:textId="77777777" w:rsidR="000A4251" w:rsidRPr="00FB003D" w:rsidRDefault="000A4251" w:rsidP="00FB003D">
            <w:pPr>
              <w:jc w:val="both"/>
              <w:rPr>
                <w:rFonts w:ascii="Arial" w:hAnsi="Arial" w:cs="Arial"/>
                <w:sz w:val="20"/>
                <w:szCs w:val="20"/>
              </w:rPr>
            </w:pPr>
          </w:p>
        </w:tc>
        <w:tc>
          <w:tcPr>
            <w:tcW w:w="2250" w:type="dxa"/>
          </w:tcPr>
          <w:p w14:paraId="1B31A187" w14:textId="77777777" w:rsidR="000A4251" w:rsidRPr="00FB003D" w:rsidRDefault="000A4251" w:rsidP="00FB003D">
            <w:pPr>
              <w:jc w:val="both"/>
              <w:rPr>
                <w:rFonts w:ascii="Arial" w:hAnsi="Arial" w:cs="Arial"/>
                <w:sz w:val="20"/>
                <w:szCs w:val="20"/>
              </w:rPr>
            </w:pPr>
          </w:p>
        </w:tc>
        <w:tc>
          <w:tcPr>
            <w:tcW w:w="5485" w:type="dxa"/>
            <w:gridSpan w:val="3"/>
            <w:tcBorders>
              <w:bottom w:val="single" w:sz="4" w:space="0" w:color="auto"/>
            </w:tcBorders>
          </w:tcPr>
          <w:p w14:paraId="294257DD" w14:textId="5593E0DF" w:rsidR="000A4251" w:rsidRPr="00FB003D" w:rsidRDefault="000A4251" w:rsidP="000A4251">
            <w:pPr>
              <w:jc w:val="center"/>
              <w:rPr>
                <w:rFonts w:ascii="Arial" w:hAnsi="Arial" w:cs="Arial"/>
                <w:sz w:val="20"/>
                <w:szCs w:val="20"/>
              </w:rPr>
            </w:pPr>
            <w:r w:rsidRPr="00FB003D">
              <w:rPr>
                <w:rFonts w:ascii="Arial" w:hAnsi="Arial" w:cs="Arial"/>
                <w:sz w:val="20"/>
                <w:szCs w:val="20"/>
              </w:rPr>
              <w:t xml:space="preserve">Total = 176 </w:t>
            </w:r>
            <w:r>
              <w:rPr>
                <w:rFonts w:ascii="Arial" w:hAnsi="Arial" w:cs="Arial"/>
                <w:sz w:val="20"/>
                <w:szCs w:val="20"/>
              </w:rPr>
              <w:t>(</w:t>
            </w:r>
            <w:r w:rsidRPr="00FB003D">
              <w:rPr>
                <w:rFonts w:ascii="Arial" w:hAnsi="Arial" w:cs="Arial"/>
                <w:sz w:val="20"/>
                <w:szCs w:val="20"/>
              </w:rPr>
              <w:t>100%</w:t>
            </w:r>
            <w:r>
              <w:rPr>
                <w:rFonts w:ascii="Arial" w:hAnsi="Arial" w:cs="Arial"/>
                <w:sz w:val="20"/>
                <w:szCs w:val="20"/>
              </w:rPr>
              <w:t>)</w:t>
            </w:r>
          </w:p>
        </w:tc>
      </w:tr>
      <w:bookmarkEnd w:id="3"/>
    </w:tbl>
    <w:p w14:paraId="23BEEBAA" w14:textId="77777777" w:rsidR="00D567F8" w:rsidRPr="005F5D3E" w:rsidRDefault="00D567F8" w:rsidP="005F5D3E">
      <w:pPr>
        <w:spacing w:after="0" w:line="240" w:lineRule="auto"/>
        <w:jc w:val="both"/>
        <w:rPr>
          <w:rFonts w:ascii="Arial" w:hAnsi="Arial" w:cs="Arial"/>
          <w:sz w:val="20"/>
          <w:szCs w:val="20"/>
        </w:rPr>
      </w:pPr>
    </w:p>
    <w:p w14:paraId="5C3A3341"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720"/>
          <w:titlePg/>
          <w:docGrid w:linePitch="360"/>
        </w:sectPr>
      </w:pPr>
    </w:p>
    <w:p w14:paraId="43BBC356" w14:textId="76E5214E" w:rsidR="00E2797D" w:rsidRDefault="009367B2" w:rsidP="005F5D3E">
      <w:pPr>
        <w:spacing w:after="0" w:line="240" w:lineRule="auto"/>
        <w:jc w:val="both"/>
        <w:rPr>
          <w:rFonts w:ascii="Arial" w:hAnsi="Arial" w:cs="Arial"/>
          <w:sz w:val="20"/>
          <w:szCs w:val="20"/>
        </w:rPr>
      </w:pPr>
      <w:r w:rsidRPr="005F5D3E">
        <w:rPr>
          <w:rFonts w:ascii="Arial" w:hAnsi="Arial" w:cs="Arial"/>
          <w:sz w:val="20"/>
          <w:szCs w:val="20"/>
        </w:rPr>
        <w:t>Participants</w:t>
      </w:r>
      <w:r w:rsidR="00055658">
        <w:rPr>
          <w:rFonts w:ascii="Arial" w:hAnsi="Arial" w:cs="Arial"/>
          <w:sz w:val="20"/>
          <w:szCs w:val="20"/>
        </w:rPr>
        <w:t>’</w:t>
      </w:r>
      <w:r w:rsidR="00E2797D" w:rsidRPr="005F5D3E">
        <w:rPr>
          <w:rFonts w:ascii="Arial" w:hAnsi="Arial" w:cs="Arial"/>
          <w:sz w:val="20"/>
          <w:szCs w:val="20"/>
        </w:rPr>
        <w:t xml:space="preserve"> budget</w:t>
      </w:r>
      <w:r w:rsidR="00055658">
        <w:rPr>
          <w:rFonts w:ascii="Arial" w:hAnsi="Arial" w:cs="Arial"/>
          <w:sz w:val="20"/>
          <w:szCs w:val="20"/>
        </w:rPr>
        <w:t>s</w:t>
      </w:r>
      <w:r w:rsidR="00E2797D" w:rsidRPr="005F5D3E">
        <w:rPr>
          <w:rFonts w:ascii="Arial" w:hAnsi="Arial" w:cs="Arial"/>
          <w:sz w:val="20"/>
          <w:szCs w:val="20"/>
        </w:rPr>
        <w:t xml:space="preserve"> for going abroad are shown in </w:t>
      </w:r>
      <w:r w:rsidR="00055658" w:rsidRPr="00AD2469">
        <w:rPr>
          <w:rFonts w:ascii="Arial" w:hAnsi="Arial" w:cs="Arial"/>
          <w:b/>
          <w:sz w:val="20"/>
          <w:szCs w:val="20"/>
        </w:rPr>
        <w:t>T</w:t>
      </w:r>
      <w:r w:rsidR="00E2797D" w:rsidRPr="00AD2469">
        <w:rPr>
          <w:rFonts w:ascii="Arial" w:hAnsi="Arial" w:cs="Arial"/>
          <w:b/>
          <w:sz w:val="20"/>
          <w:szCs w:val="20"/>
        </w:rPr>
        <w:t xml:space="preserve">able </w:t>
      </w:r>
      <w:r w:rsidR="00F44842" w:rsidRPr="00AD2469">
        <w:rPr>
          <w:rFonts w:ascii="Arial" w:hAnsi="Arial" w:cs="Arial"/>
          <w:b/>
          <w:sz w:val="20"/>
          <w:szCs w:val="20"/>
        </w:rPr>
        <w:t>6</w:t>
      </w:r>
      <w:r w:rsidR="00E2797D" w:rsidRPr="005F5D3E">
        <w:rPr>
          <w:rFonts w:ascii="Arial" w:hAnsi="Arial" w:cs="Arial"/>
          <w:sz w:val="20"/>
          <w:szCs w:val="20"/>
        </w:rPr>
        <w:t xml:space="preserve">. Respondents have three reasons for taking the IELTS exam. One of these involves taking the IELTS exam, which has the highest percentage in the Sylhet region (86.93%), </w:t>
      </w:r>
      <w:r w:rsidR="00055658">
        <w:rPr>
          <w:rFonts w:ascii="Arial" w:hAnsi="Arial" w:cs="Arial"/>
          <w:sz w:val="20"/>
          <w:szCs w:val="20"/>
        </w:rPr>
        <w:t>to</w:t>
      </w:r>
      <w:r w:rsidR="00E2797D" w:rsidRPr="005F5D3E">
        <w:rPr>
          <w:rFonts w:ascii="Arial" w:hAnsi="Arial" w:cs="Arial"/>
          <w:sz w:val="20"/>
          <w:szCs w:val="20"/>
        </w:rPr>
        <w:t xml:space="preserve"> pursue higher education abroad. Another </w:t>
      </w:r>
      <w:r w:rsidR="00055658">
        <w:rPr>
          <w:rFonts w:ascii="Arial" w:hAnsi="Arial" w:cs="Arial"/>
          <w:sz w:val="20"/>
          <w:szCs w:val="20"/>
        </w:rPr>
        <w:t>reason</w:t>
      </w:r>
      <w:r w:rsidR="00E2797D" w:rsidRPr="005F5D3E">
        <w:rPr>
          <w:rFonts w:ascii="Arial" w:hAnsi="Arial" w:cs="Arial"/>
          <w:sz w:val="20"/>
          <w:szCs w:val="20"/>
        </w:rPr>
        <w:t xml:space="preserve"> is for working purpose they want to develop their English communication skill which will be helpful to communicate with English</w:t>
      </w:r>
      <w:r w:rsidR="00055658">
        <w:rPr>
          <w:rFonts w:ascii="Arial" w:hAnsi="Arial" w:cs="Arial"/>
          <w:sz w:val="20"/>
          <w:szCs w:val="20"/>
        </w:rPr>
        <w:t>-speaking</w:t>
      </w:r>
      <w:r w:rsidR="00E2797D" w:rsidRPr="005F5D3E">
        <w:rPr>
          <w:rFonts w:ascii="Arial" w:hAnsi="Arial" w:cs="Arial"/>
          <w:sz w:val="20"/>
          <w:szCs w:val="20"/>
        </w:rPr>
        <w:t xml:space="preserve"> country’s people which </w:t>
      </w:r>
      <w:r w:rsidR="000B60FC">
        <w:rPr>
          <w:rFonts w:ascii="Arial" w:hAnsi="Arial" w:cs="Arial"/>
          <w:sz w:val="20"/>
          <w:szCs w:val="20"/>
        </w:rPr>
        <w:t>makes</w:t>
      </w:r>
      <w:r w:rsidR="00E2797D" w:rsidRPr="005F5D3E">
        <w:rPr>
          <w:rFonts w:ascii="Arial" w:hAnsi="Arial" w:cs="Arial"/>
          <w:sz w:val="20"/>
          <w:szCs w:val="20"/>
        </w:rPr>
        <w:t xml:space="preserve"> up 10.22%. It’s interesting to note that nobody is using the IELTS exam as a visitor. And just 2.84% of people in the Sylhet region are taking the IELTS exam to</w:t>
      </w:r>
      <w:r w:rsidR="000B60FC">
        <w:rPr>
          <w:rFonts w:ascii="Arial" w:hAnsi="Arial" w:cs="Arial"/>
          <w:sz w:val="20"/>
          <w:szCs w:val="20"/>
        </w:rPr>
        <w:t xml:space="preserve"> strengthen</w:t>
      </w:r>
      <w:r w:rsidR="00E2797D" w:rsidRPr="005F5D3E">
        <w:rPr>
          <w:rFonts w:ascii="Arial" w:hAnsi="Arial" w:cs="Arial"/>
          <w:sz w:val="20"/>
          <w:szCs w:val="20"/>
        </w:rPr>
        <w:t xml:space="preserve"> their English skills. This is the lowest percentage of people taking the test.</w:t>
      </w:r>
      <w:r w:rsidR="00724077">
        <w:rPr>
          <w:rFonts w:ascii="Arial" w:hAnsi="Arial" w:cs="Arial"/>
          <w:sz w:val="20"/>
          <w:szCs w:val="20"/>
        </w:rPr>
        <w:t xml:space="preserve"> </w:t>
      </w:r>
      <w:r w:rsidR="00E2797D" w:rsidRPr="005F5D3E">
        <w:rPr>
          <w:rFonts w:ascii="Arial" w:hAnsi="Arial" w:cs="Arial"/>
          <w:sz w:val="20"/>
          <w:szCs w:val="20"/>
        </w:rPr>
        <w:t xml:space="preserve">For student visas, the most common (mode) budget range is </w:t>
      </w:r>
      <w:r w:rsidR="001C6BD9">
        <w:rPr>
          <w:rFonts w:ascii="Arial" w:hAnsi="Arial" w:cs="Arial"/>
          <w:sz w:val="20"/>
          <w:szCs w:val="20"/>
        </w:rPr>
        <w:t>Tk</w:t>
      </w:r>
      <w:r w:rsidR="000B60FC">
        <w:rPr>
          <w:rFonts w:ascii="Arial" w:hAnsi="Arial" w:cs="Arial"/>
          <w:sz w:val="20"/>
          <w:szCs w:val="20"/>
        </w:rPr>
        <w:t xml:space="preserve"> </w:t>
      </w:r>
      <w:r w:rsidR="00E2797D" w:rsidRPr="005F5D3E">
        <w:rPr>
          <w:rFonts w:ascii="Arial" w:hAnsi="Arial" w:cs="Arial"/>
          <w:sz w:val="20"/>
          <w:szCs w:val="20"/>
        </w:rPr>
        <w:t xml:space="preserve">11-15 </w:t>
      </w:r>
      <w:r w:rsidR="000B60FC">
        <w:rPr>
          <w:rFonts w:ascii="Arial" w:hAnsi="Arial" w:cs="Arial"/>
          <w:sz w:val="20"/>
          <w:szCs w:val="20"/>
        </w:rPr>
        <w:t>l</w:t>
      </w:r>
      <w:r w:rsidR="00E2797D" w:rsidRPr="005F5D3E">
        <w:rPr>
          <w:rFonts w:ascii="Arial" w:hAnsi="Arial" w:cs="Arial"/>
          <w:sz w:val="20"/>
          <w:szCs w:val="20"/>
        </w:rPr>
        <w:t xml:space="preserve">akhs, with 62 respondents (35.23% of the total). There’s a significant concentration in the </w:t>
      </w:r>
      <w:r w:rsidR="001C6BD9">
        <w:rPr>
          <w:rFonts w:ascii="Arial" w:hAnsi="Arial" w:cs="Arial"/>
          <w:sz w:val="20"/>
          <w:szCs w:val="20"/>
        </w:rPr>
        <w:t>Tk</w:t>
      </w:r>
      <w:r w:rsidR="000B60FC">
        <w:rPr>
          <w:rFonts w:ascii="Arial" w:hAnsi="Arial" w:cs="Arial"/>
          <w:sz w:val="20"/>
          <w:szCs w:val="20"/>
        </w:rPr>
        <w:t xml:space="preserve"> </w:t>
      </w:r>
      <w:r w:rsidR="00E2797D" w:rsidRPr="005F5D3E">
        <w:rPr>
          <w:rFonts w:ascii="Arial" w:hAnsi="Arial" w:cs="Arial"/>
          <w:sz w:val="20"/>
          <w:szCs w:val="20"/>
        </w:rPr>
        <w:t xml:space="preserve">6-15 </w:t>
      </w:r>
      <w:r w:rsidR="000B60FC">
        <w:rPr>
          <w:rFonts w:ascii="Arial" w:hAnsi="Arial" w:cs="Arial"/>
          <w:sz w:val="20"/>
          <w:szCs w:val="20"/>
        </w:rPr>
        <w:t>l</w:t>
      </w:r>
      <w:r w:rsidR="00E2797D" w:rsidRPr="005F5D3E">
        <w:rPr>
          <w:rFonts w:ascii="Arial" w:hAnsi="Arial" w:cs="Arial"/>
          <w:sz w:val="20"/>
          <w:szCs w:val="20"/>
        </w:rPr>
        <w:t xml:space="preserve">akhs range, accounting for 57.96% of all respondents. For working </w:t>
      </w:r>
      <w:r w:rsidR="00D525EE" w:rsidRPr="005F5D3E">
        <w:rPr>
          <w:rFonts w:ascii="Arial" w:hAnsi="Arial" w:cs="Arial"/>
          <w:sz w:val="20"/>
          <w:szCs w:val="20"/>
        </w:rPr>
        <w:t>purposes,</w:t>
      </w:r>
      <w:r w:rsidR="00E2797D" w:rsidRPr="005F5D3E">
        <w:rPr>
          <w:rFonts w:ascii="Arial" w:hAnsi="Arial" w:cs="Arial"/>
          <w:sz w:val="20"/>
          <w:szCs w:val="20"/>
        </w:rPr>
        <w:t xml:space="preserve"> </w:t>
      </w:r>
      <w:r w:rsidR="00247303">
        <w:rPr>
          <w:rFonts w:ascii="Arial" w:hAnsi="Arial" w:cs="Arial"/>
          <w:sz w:val="20"/>
          <w:szCs w:val="20"/>
        </w:rPr>
        <w:t xml:space="preserve">the </w:t>
      </w:r>
      <w:r w:rsidR="00E2797D" w:rsidRPr="005F5D3E">
        <w:rPr>
          <w:rFonts w:ascii="Arial" w:hAnsi="Arial" w:cs="Arial"/>
          <w:sz w:val="20"/>
          <w:szCs w:val="20"/>
        </w:rPr>
        <w:t xml:space="preserve">IELTS test results </w:t>
      </w:r>
      <w:r w:rsidR="003233CF" w:rsidRPr="005F5D3E">
        <w:rPr>
          <w:rFonts w:ascii="Arial" w:hAnsi="Arial" w:cs="Arial"/>
          <w:sz w:val="20"/>
          <w:szCs w:val="20"/>
        </w:rPr>
        <w:t>are</w:t>
      </w:r>
      <w:r w:rsidR="00E2797D" w:rsidRPr="005F5D3E">
        <w:rPr>
          <w:rFonts w:ascii="Arial" w:hAnsi="Arial" w:cs="Arial"/>
          <w:sz w:val="20"/>
          <w:szCs w:val="20"/>
        </w:rPr>
        <w:t xml:space="preserve"> not mandatory</w:t>
      </w:r>
      <w:r w:rsidR="000B60FC">
        <w:rPr>
          <w:rFonts w:ascii="Arial" w:hAnsi="Arial" w:cs="Arial"/>
          <w:sz w:val="20"/>
          <w:szCs w:val="20"/>
        </w:rPr>
        <w:t>,</w:t>
      </w:r>
      <w:r w:rsidR="00E2797D" w:rsidRPr="005F5D3E">
        <w:rPr>
          <w:rFonts w:ascii="Arial" w:hAnsi="Arial" w:cs="Arial"/>
          <w:sz w:val="20"/>
          <w:szCs w:val="20"/>
        </w:rPr>
        <w:t xml:space="preserve"> but many people (10.22%) take </w:t>
      </w:r>
      <w:r w:rsidR="00501248" w:rsidRPr="005F5D3E">
        <w:rPr>
          <w:rFonts w:ascii="Arial" w:hAnsi="Arial" w:cs="Arial"/>
          <w:sz w:val="20"/>
          <w:szCs w:val="20"/>
        </w:rPr>
        <w:t>the IELTS</w:t>
      </w:r>
      <w:r w:rsidR="00E2797D" w:rsidRPr="005F5D3E">
        <w:rPr>
          <w:rFonts w:ascii="Arial" w:hAnsi="Arial" w:cs="Arial"/>
          <w:sz w:val="20"/>
          <w:szCs w:val="20"/>
        </w:rPr>
        <w:t xml:space="preserve"> test for </w:t>
      </w:r>
      <w:r w:rsidR="00501248" w:rsidRPr="005F5D3E">
        <w:rPr>
          <w:rFonts w:ascii="Arial" w:hAnsi="Arial" w:cs="Arial"/>
          <w:sz w:val="20"/>
          <w:szCs w:val="20"/>
        </w:rPr>
        <w:t>going</w:t>
      </w:r>
      <w:r w:rsidR="00E2797D" w:rsidRPr="005F5D3E">
        <w:rPr>
          <w:rFonts w:ascii="Arial" w:hAnsi="Arial" w:cs="Arial"/>
          <w:sz w:val="20"/>
          <w:szCs w:val="20"/>
        </w:rPr>
        <w:t xml:space="preserve"> abroad for working purposes. By taking </w:t>
      </w:r>
      <w:r w:rsidR="000B60FC">
        <w:rPr>
          <w:rFonts w:ascii="Arial" w:hAnsi="Arial" w:cs="Arial"/>
          <w:sz w:val="20"/>
          <w:szCs w:val="20"/>
        </w:rPr>
        <w:t xml:space="preserve">the </w:t>
      </w:r>
      <w:r w:rsidR="00E2797D" w:rsidRPr="005F5D3E">
        <w:rPr>
          <w:rFonts w:ascii="Arial" w:hAnsi="Arial" w:cs="Arial"/>
          <w:sz w:val="20"/>
          <w:szCs w:val="20"/>
        </w:rPr>
        <w:t>IELTS test</w:t>
      </w:r>
      <w:r w:rsidR="000B60FC">
        <w:rPr>
          <w:rFonts w:ascii="Arial" w:hAnsi="Arial" w:cs="Arial"/>
          <w:sz w:val="20"/>
          <w:szCs w:val="20"/>
        </w:rPr>
        <w:t>, those</w:t>
      </w:r>
      <w:r w:rsidR="00E2797D" w:rsidRPr="005F5D3E">
        <w:rPr>
          <w:rFonts w:ascii="Arial" w:hAnsi="Arial" w:cs="Arial"/>
          <w:sz w:val="20"/>
          <w:szCs w:val="20"/>
        </w:rPr>
        <w:t xml:space="preserve"> who want to go abroad for working purposes</w:t>
      </w:r>
      <w:r w:rsidR="000B60FC">
        <w:rPr>
          <w:rFonts w:ascii="Arial" w:hAnsi="Arial" w:cs="Arial"/>
          <w:sz w:val="20"/>
          <w:szCs w:val="20"/>
        </w:rPr>
        <w:t xml:space="preserve"> have</w:t>
      </w:r>
      <w:r w:rsidR="00E2797D" w:rsidRPr="005F5D3E">
        <w:rPr>
          <w:rFonts w:ascii="Arial" w:hAnsi="Arial" w:cs="Arial"/>
          <w:sz w:val="20"/>
          <w:szCs w:val="20"/>
        </w:rPr>
        <w:t xml:space="preserve"> their </w:t>
      </w:r>
      <w:r w:rsidR="00D525EE" w:rsidRPr="005F5D3E">
        <w:rPr>
          <w:rFonts w:ascii="Arial" w:hAnsi="Arial" w:cs="Arial"/>
          <w:sz w:val="20"/>
          <w:szCs w:val="20"/>
        </w:rPr>
        <w:t>budget</w:t>
      </w:r>
      <w:r w:rsidR="00E2797D" w:rsidRPr="005F5D3E">
        <w:rPr>
          <w:rFonts w:ascii="Arial" w:hAnsi="Arial" w:cs="Arial"/>
          <w:sz w:val="20"/>
          <w:szCs w:val="20"/>
        </w:rPr>
        <w:t xml:space="preserve">; the mode is in the </w:t>
      </w:r>
      <w:r w:rsidR="001C6BD9">
        <w:rPr>
          <w:rFonts w:ascii="Arial" w:hAnsi="Arial" w:cs="Arial"/>
          <w:sz w:val="20"/>
          <w:szCs w:val="20"/>
        </w:rPr>
        <w:t>Tk</w:t>
      </w:r>
      <w:r w:rsidR="000B60FC">
        <w:rPr>
          <w:rFonts w:ascii="Arial" w:hAnsi="Arial" w:cs="Arial"/>
          <w:sz w:val="20"/>
          <w:szCs w:val="20"/>
        </w:rPr>
        <w:t xml:space="preserve"> </w:t>
      </w:r>
      <w:r w:rsidR="00E2797D" w:rsidRPr="005F5D3E">
        <w:rPr>
          <w:rFonts w:ascii="Arial" w:hAnsi="Arial" w:cs="Arial"/>
          <w:sz w:val="20"/>
          <w:szCs w:val="20"/>
        </w:rPr>
        <w:t>6-10 lakhs range, with 5 respondents (2.84% of the total). There’s a slight preference for budgets between</w:t>
      </w:r>
      <w:r w:rsidR="000B60FC">
        <w:rPr>
          <w:rFonts w:ascii="Arial" w:hAnsi="Arial" w:cs="Arial"/>
          <w:sz w:val="20"/>
          <w:szCs w:val="20"/>
        </w:rPr>
        <w:t xml:space="preserve"> </w:t>
      </w:r>
      <w:r w:rsidR="001C6BD9">
        <w:rPr>
          <w:rFonts w:ascii="Arial" w:hAnsi="Arial" w:cs="Arial"/>
          <w:sz w:val="20"/>
          <w:szCs w:val="20"/>
        </w:rPr>
        <w:t>Tk</w:t>
      </w:r>
      <w:r w:rsidR="00E2797D" w:rsidRPr="005F5D3E">
        <w:rPr>
          <w:rFonts w:ascii="Arial" w:hAnsi="Arial" w:cs="Arial"/>
          <w:sz w:val="20"/>
          <w:szCs w:val="20"/>
        </w:rPr>
        <w:t xml:space="preserve"> 6-15 lakhs. And no further breakdown of budget ranges is provided for the skill development category.</w:t>
      </w:r>
      <w:r w:rsidR="00713093" w:rsidRPr="005F5D3E">
        <w:rPr>
          <w:rFonts w:ascii="Arial" w:hAnsi="Arial" w:cs="Arial"/>
          <w:sz w:val="20"/>
          <w:szCs w:val="20"/>
        </w:rPr>
        <w:t xml:space="preserve"> This is the initial budget for students. Later they </w:t>
      </w:r>
      <w:r w:rsidR="00501248" w:rsidRPr="005F5D3E">
        <w:rPr>
          <w:rFonts w:ascii="Arial" w:hAnsi="Arial" w:cs="Arial"/>
          <w:sz w:val="20"/>
          <w:szCs w:val="20"/>
        </w:rPr>
        <w:t>would</w:t>
      </w:r>
      <w:r w:rsidR="00713093" w:rsidRPr="005F5D3E">
        <w:rPr>
          <w:rFonts w:ascii="Arial" w:hAnsi="Arial" w:cs="Arial"/>
          <w:sz w:val="20"/>
          <w:szCs w:val="20"/>
        </w:rPr>
        <w:t xml:space="preserve"> pay by doing a part</w:t>
      </w:r>
      <w:r w:rsidR="000B60FC">
        <w:rPr>
          <w:rFonts w:ascii="Arial" w:hAnsi="Arial" w:cs="Arial"/>
          <w:sz w:val="20"/>
          <w:szCs w:val="20"/>
        </w:rPr>
        <w:t>-</w:t>
      </w:r>
      <w:r w:rsidR="00713093" w:rsidRPr="005F5D3E">
        <w:rPr>
          <w:rFonts w:ascii="Arial" w:hAnsi="Arial" w:cs="Arial"/>
          <w:sz w:val="20"/>
          <w:szCs w:val="20"/>
        </w:rPr>
        <w:t xml:space="preserve">time job </w:t>
      </w:r>
      <w:r w:rsidR="003233CF" w:rsidRPr="005F5D3E">
        <w:rPr>
          <w:rFonts w:ascii="Arial" w:hAnsi="Arial" w:cs="Arial"/>
          <w:sz w:val="20"/>
          <w:szCs w:val="20"/>
        </w:rPr>
        <w:t>if they</w:t>
      </w:r>
      <w:r w:rsidR="00713093" w:rsidRPr="005F5D3E">
        <w:rPr>
          <w:rFonts w:ascii="Arial" w:hAnsi="Arial" w:cs="Arial"/>
          <w:sz w:val="20"/>
          <w:szCs w:val="20"/>
        </w:rPr>
        <w:t xml:space="preserve"> needed more </w:t>
      </w:r>
      <w:r w:rsidR="000B60FC">
        <w:rPr>
          <w:rFonts w:ascii="Arial" w:hAnsi="Arial" w:cs="Arial"/>
          <w:sz w:val="20"/>
          <w:szCs w:val="20"/>
        </w:rPr>
        <w:t>money</w:t>
      </w:r>
      <w:r w:rsidR="00713093" w:rsidRPr="005F5D3E">
        <w:rPr>
          <w:rFonts w:ascii="Arial" w:hAnsi="Arial" w:cs="Arial"/>
          <w:sz w:val="20"/>
          <w:szCs w:val="20"/>
        </w:rPr>
        <w:t xml:space="preserve"> to pursue </w:t>
      </w:r>
      <w:r w:rsidR="00501248" w:rsidRPr="005F5D3E">
        <w:rPr>
          <w:rFonts w:ascii="Arial" w:hAnsi="Arial" w:cs="Arial"/>
          <w:sz w:val="20"/>
          <w:szCs w:val="20"/>
        </w:rPr>
        <w:t>their</w:t>
      </w:r>
      <w:r w:rsidR="00713093" w:rsidRPr="005F5D3E">
        <w:rPr>
          <w:rFonts w:ascii="Arial" w:hAnsi="Arial" w:cs="Arial"/>
          <w:sz w:val="20"/>
          <w:szCs w:val="20"/>
        </w:rPr>
        <w:t xml:space="preserve"> degree. If they find a fully funded scholarship, then more of his money will be saved.</w:t>
      </w:r>
    </w:p>
    <w:p w14:paraId="782F4351"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288"/>
          <w:titlePg/>
          <w:docGrid w:linePitch="360"/>
        </w:sectPr>
      </w:pPr>
    </w:p>
    <w:p w14:paraId="5F72443A" w14:textId="77777777" w:rsidR="00960C51" w:rsidRDefault="00960C51" w:rsidP="005F5D3E">
      <w:pPr>
        <w:spacing w:after="0" w:line="240" w:lineRule="auto"/>
        <w:jc w:val="both"/>
        <w:rPr>
          <w:rFonts w:ascii="Arial" w:hAnsi="Arial" w:cs="Arial"/>
          <w:sz w:val="20"/>
          <w:szCs w:val="20"/>
        </w:rPr>
      </w:pPr>
    </w:p>
    <w:p w14:paraId="3FCD3947" w14:textId="77777777" w:rsidR="00383BEE" w:rsidRDefault="00383BEE" w:rsidP="005F5D3E">
      <w:pPr>
        <w:spacing w:after="0" w:line="240" w:lineRule="auto"/>
        <w:jc w:val="both"/>
        <w:rPr>
          <w:rFonts w:ascii="Arial" w:hAnsi="Arial" w:cs="Arial"/>
          <w:sz w:val="20"/>
          <w:szCs w:val="20"/>
        </w:rPr>
        <w:sectPr w:rsidR="00383BEE" w:rsidSect="00383BEE">
          <w:type w:val="continuous"/>
          <w:pgSz w:w="12240" w:h="15840"/>
          <w:pgMar w:top="1440" w:right="1440" w:bottom="1440" w:left="1440" w:header="720" w:footer="720" w:gutter="0"/>
          <w:cols w:space="144"/>
          <w:titlePg/>
          <w:docGrid w:linePitch="360"/>
        </w:sectPr>
      </w:pPr>
    </w:p>
    <w:p w14:paraId="3274E840" w14:textId="77777777" w:rsidR="00960C51" w:rsidRDefault="00960C51" w:rsidP="005F5D3E">
      <w:pPr>
        <w:spacing w:after="0" w:line="240" w:lineRule="auto"/>
        <w:jc w:val="both"/>
        <w:rPr>
          <w:rFonts w:ascii="Arial" w:hAnsi="Arial" w:cs="Arial"/>
          <w:sz w:val="20"/>
          <w:szCs w:val="20"/>
        </w:rPr>
      </w:pPr>
    </w:p>
    <w:p w14:paraId="4AA82931" w14:textId="77777777" w:rsidR="00960C51" w:rsidRDefault="00960C51" w:rsidP="005F5D3E">
      <w:pPr>
        <w:spacing w:after="0" w:line="240" w:lineRule="auto"/>
        <w:jc w:val="both"/>
        <w:rPr>
          <w:rFonts w:ascii="Arial" w:hAnsi="Arial" w:cs="Arial"/>
          <w:sz w:val="20"/>
          <w:szCs w:val="20"/>
        </w:rPr>
      </w:pPr>
    </w:p>
    <w:p w14:paraId="4E72A7B4" w14:textId="77777777" w:rsidR="00960C51" w:rsidRPr="005F5D3E" w:rsidRDefault="00960C51" w:rsidP="005F5D3E">
      <w:pPr>
        <w:spacing w:after="0" w:line="240" w:lineRule="auto"/>
        <w:jc w:val="both"/>
        <w:rPr>
          <w:rFonts w:ascii="Arial" w:hAnsi="Arial" w:cs="Arial"/>
          <w:sz w:val="20"/>
          <w:szCs w:val="20"/>
        </w:rPr>
      </w:pPr>
    </w:p>
    <w:p w14:paraId="25288B18" w14:textId="69CF4D32" w:rsidR="005912ED" w:rsidRPr="00960C51" w:rsidRDefault="009367B2" w:rsidP="00960C51">
      <w:pPr>
        <w:spacing w:after="0" w:line="240" w:lineRule="auto"/>
        <w:jc w:val="both"/>
        <w:rPr>
          <w:rFonts w:ascii="Arial" w:hAnsi="Arial" w:cs="Arial"/>
          <w:sz w:val="20"/>
          <w:szCs w:val="20"/>
        </w:rPr>
      </w:pPr>
      <w:r w:rsidRPr="00960C51">
        <w:rPr>
          <w:rFonts w:ascii="Arial" w:hAnsi="Arial" w:cs="Arial"/>
          <w:b/>
          <w:bCs/>
          <w:sz w:val="20"/>
          <w:szCs w:val="20"/>
        </w:rPr>
        <w:t xml:space="preserve">Table </w:t>
      </w:r>
      <w:r w:rsidR="00F44842" w:rsidRPr="00960C51">
        <w:rPr>
          <w:rFonts w:ascii="Arial" w:hAnsi="Arial" w:cs="Arial"/>
          <w:b/>
          <w:bCs/>
          <w:sz w:val="20"/>
          <w:szCs w:val="20"/>
        </w:rPr>
        <w:t>7</w:t>
      </w:r>
      <w:r w:rsidRPr="00960C51">
        <w:rPr>
          <w:rFonts w:ascii="Arial" w:hAnsi="Arial" w:cs="Arial"/>
          <w:b/>
          <w:bCs/>
          <w:sz w:val="20"/>
          <w:szCs w:val="20"/>
        </w:rPr>
        <w:t>:</w:t>
      </w:r>
      <w:r w:rsidRPr="00960C51">
        <w:rPr>
          <w:rFonts w:ascii="Arial" w:hAnsi="Arial" w:cs="Arial"/>
          <w:sz w:val="20"/>
          <w:szCs w:val="20"/>
        </w:rPr>
        <w:t xml:space="preserve"> </w:t>
      </w:r>
      <w:r w:rsidR="005912ED" w:rsidRPr="00960C51">
        <w:rPr>
          <w:rFonts w:ascii="Arial" w:hAnsi="Arial" w:cs="Arial"/>
          <w:sz w:val="20"/>
          <w:szCs w:val="20"/>
        </w:rPr>
        <w:t xml:space="preserve">Budget according to enrollment </w:t>
      </w:r>
      <w:proofErr w:type="spellStart"/>
      <w:r w:rsidR="005912ED" w:rsidRPr="00960C51">
        <w:rPr>
          <w:rFonts w:ascii="Arial" w:hAnsi="Arial" w:cs="Arial"/>
          <w:sz w:val="20"/>
          <w:szCs w:val="20"/>
        </w:rPr>
        <w:t>programme</w:t>
      </w:r>
      <w:proofErr w:type="spellEnd"/>
    </w:p>
    <w:tbl>
      <w:tblPr>
        <w:tblStyle w:val="TableGrid"/>
        <w:tblW w:w="9355" w:type="dxa"/>
        <w:tblLook w:val="04A0" w:firstRow="1" w:lastRow="0" w:firstColumn="1" w:lastColumn="0" w:noHBand="0" w:noVBand="1"/>
      </w:tblPr>
      <w:tblGrid>
        <w:gridCol w:w="1870"/>
        <w:gridCol w:w="2355"/>
        <w:gridCol w:w="2430"/>
        <w:gridCol w:w="2700"/>
      </w:tblGrid>
      <w:tr w:rsidR="000A4251" w:rsidRPr="00960C51" w14:paraId="7A4CADD0" w14:textId="77777777" w:rsidTr="00FB7C74">
        <w:tc>
          <w:tcPr>
            <w:tcW w:w="1870" w:type="dxa"/>
            <w:vMerge w:val="restart"/>
          </w:tcPr>
          <w:p w14:paraId="5229C41C" w14:textId="77777777" w:rsidR="000A4251" w:rsidRPr="00960C51" w:rsidRDefault="000A4251" w:rsidP="00960C51">
            <w:pPr>
              <w:jc w:val="both"/>
              <w:rPr>
                <w:rFonts w:ascii="Arial" w:hAnsi="Arial" w:cs="Arial"/>
                <w:sz w:val="20"/>
                <w:szCs w:val="20"/>
              </w:rPr>
            </w:pPr>
          </w:p>
          <w:p w14:paraId="27553F43" w14:textId="77777777" w:rsidR="000A4251" w:rsidRPr="00960C51" w:rsidRDefault="000A4251" w:rsidP="00960C51">
            <w:pPr>
              <w:jc w:val="both"/>
              <w:rPr>
                <w:rFonts w:ascii="Arial" w:hAnsi="Arial" w:cs="Arial"/>
                <w:sz w:val="20"/>
                <w:szCs w:val="20"/>
              </w:rPr>
            </w:pPr>
          </w:p>
          <w:p w14:paraId="0C68C60F" w14:textId="77777777" w:rsidR="000A4251" w:rsidRPr="00960C51" w:rsidRDefault="000A4251" w:rsidP="00960C51">
            <w:pPr>
              <w:jc w:val="both"/>
              <w:rPr>
                <w:rFonts w:ascii="Arial" w:hAnsi="Arial" w:cs="Arial"/>
                <w:sz w:val="20"/>
                <w:szCs w:val="20"/>
              </w:rPr>
            </w:pPr>
          </w:p>
          <w:p w14:paraId="2A82E353" w14:textId="77777777" w:rsidR="000A4251" w:rsidRPr="00960C51" w:rsidRDefault="000A4251" w:rsidP="00960C51">
            <w:pPr>
              <w:jc w:val="both"/>
              <w:rPr>
                <w:rFonts w:ascii="Arial" w:hAnsi="Arial" w:cs="Arial"/>
                <w:sz w:val="20"/>
                <w:szCs w:val="20"/>
              </w:rPr>
            </w:pPr>
          </w:p>
          <w:p w14:paraId="7A57B1A1" w14:textId="77777777" w:rsidR="000A4251" w:rsidRPr="00960C51" w:rsidRDefault="000A4251" w:rsidP="00960C51">
            <w:pPr>
              <w:jc w:val="both"/>
              <w:rPr>
                <w:rFonts w:ascii="Arial" w:hAnsi="Arial" w:cs="Arial"/>
                <w:sz w:val="20"/>
                <w:szCs w:val="20"/>
              </w:rPr>
            </w:pPr>
          </w:p>
          <w:p w14:paraId="11465C76" w14:textId="77777777" w:rsidR="000A4251" w:rsidRPr="00960C51" w:rsidRDefault="000A4251" w:rsidP="00960C51">
            <w:pPr>
              <w:jc w:val="both"/>
              <w:rPr>
                <w:rFonts w:ascii="Arial" w:hAnsi="Arial" w:cs="Arial"/>
                <w:sz w:val="20"/>
                <w:szCs w:val="20"/>
              </w:rPr>
            </w:pPr>
          </w:p>
          <w:p w14:paraId="5355CECB" w14:textId="77777777" w:rsidR="000A4251" w:rsidRPr="00960C51" w:rsidRDefault="000A4251" w:rsidP="00960C51">
            <w:pPr>
              <w:jc w:val="both"/>
              <w:rPr>
                <w:rFonts w:ascii="Arial" w:hAnsi="Arial" w:cs="Arial"/>
                <w:sz w:val="20"/>
                <w:szCs w:val="20"/>
              </w:rPr>
            </w:pPr>
          </w:p>
          <w:p w14:paraId="1DEB16DE" w14:textId="77777777" w:rsidR="000A4251" w:rsidRPr="00960C51" w:rsidRDefault="000A4251" w:rsidP="00960C51">
            <w:pPr>
              <w:jc w:val="both"/>
              <w:rPr>
                <w:rFonts w:ascii="Arial" w:hAnsi="Arial" w:cs="Arial"/>
                <w:sz w:val="20"/>
                <w:szCs w:val="20"/>
              </w:rPr>
            </w:pPr>
          </w:p>
          <w:p w14:paraId="5ED9034F" w14:textId="77777777" w:rsidR="000A4251" w:rsidRPr="00960C51" w:rsidRDefault="000A4251" w:rsidP="00960C51">
            <w:pPr>
              <w:jc w:val="both"/>
              <w:rPr>
                <w:rFonts w:ascii="Arial" w:hAnsi="Arial" w:cs="Arial"/>
                <w:sz w:val="20"/>
                <w:szCs w:val="20"/>
              </w:rPr>
            </w:pPr>
          </w:p>
          <w:p w14:paraId="4660E489" w14:textId="77777777" w:rsidR="000A4251" w:rsidRPr="00960C51" w:rsidRDefault="000A4251" w:rsidP="00960C51">
            <w:pPr>
              <w:jc w:val="both"/>
              <w:rPr>
                <w:rFonts w:ascii="Arial" w:hAnsi="Arial" w:cs="Arial"/>
                <w:sz w:val="20"/>
                <w:szCs w:val="20"/>
              </w:rPr>
            </w:pPr>
          </w:p>
          <w:p w14:paraId="0E2C38C2" w14:textId="77777777" w:rsidR="000A4251" w:rsidRPr="00960C51" w:rsidRDefault="000A4251" w:rsidP="00960C51">
            <w:pPr>
              <w:jc w:val="both"/>
              <w:rPr>
                <w:rFonts w:ascii="Arial" w:hAnsi="Arial" w:cs="Arial"/>
                <w:sz w:val="20"/>
                <w:szCs w:val="20"/>
              </w:rPr>
            </w:pPr>
          </w:p>
          <w:p w14:paraId="518A2DE9" w14:textId="77777777" w:rsidR="000A4251" w:rsidRPr="00960C51" w:rsidRDefault="000A4251" w:rsidP="00960C51">
            <w:pPr>
              <w:jc w:val="both"/>
              <w:rPr>
                <w:rFonts w:ascii="Arial" w:hAnsi="Arial" w:cs="Arial"/>
                <w:sz w:val="20"/>
                <w:szCs w:val="20"/>
              </w:rPr>
            </w:pPr>
          </w:p>
          <w:p w14:paraId="3D102FC4" w14:textId="77777777" w:rsidR="000A4251" w:rsidRPr="00960C51" w:rsidRDefault="000A4251" w:rsidP="00960C51">
            <w:pPr>
              <w:jc w:val="both"/>
              <w:rPr>
                <w:rFonts w:ascii="Arial" w:hAnsi="Arial" w:cs="Arial"/>
                <w:sz w:val="20"/>
                <w:szCs w:val="20"/>
              </w:rPr>
            </w:pPr>
          </w:p>
          <w:p w14:paraId="3105502A" w14:textId="77777777" w:rsidR="000A4251" w:rsidRPr="00960C51" w:rsidRDefault="000A4251" w:rsidP="00960C51">
            <w:pPr>
              <w:jc w:val="both"/>
              <w:rPr>
                <w:rFonts w:ascii="Arial" w:hAnsi="Arial" w:cs="Arial"/>
                <w:sz w:val="20"/>
                <w:szCs w:val="20"/>
              </w:rPr>
            </w:pPr>
          </w:p>
          <w:p w14:paraId="33E12C8E"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 xml:space="preserve">Budget according to </w:t>
            </w:r>
            <w:proofErr w:type="spellStart"/>
            <w:r w:rsidRPr="00960C51">
              <w:rPr>
                <w:rFonts w:ascii="Arial" w:hAnsi="Arial" w:cs="Arial"/>
                <w:sz w:val="20"/>
                <w:szCs w:val="20"/>
              </w:rPr>
              <w:t>programme</w:t>
            </w:r>
            <w:proofErr w:type="spellEnd"/>
          </w:p>
        </w:tc>
        <w:tc>
          <w:tcPr>
            <w:tcW w:w="2355" w:type="dxa"/>
          </w:tcPr>
          <w:p w14:paraId="6077207F" w14:textId="77777777" w:rsidR="000A4251" w:rsidRPr="00960C51" w:rsidRDefault="000A4251" w:rsidP="00960C51">
            <w:pPr>
              <w:jc w:val="both"/>
              <w:rPr>
                <w:rFonts w:ascii="Arial" w:hAnsi="Arial" w:cs="Arial"/>
                <w:b/>
                <w:bCs/>
                <w:sz w:val="20"/>
                <w:szCs w:val="20"/>
              </w:rPr>
            </w:pPr>
            <w:proofErr w:type="spellStart"/>
            <w:r w:rsidRPr="00960C51">
              <w:rPr>
                <w:rFonts w:ascii="Arial" w:hAnsi="Arial" w:cs="Arial"/>
                <w:b/>
                <w:bCs/>
                <w:sz w:val="20"/>
                <w:szCs w:val="20"/>
              </w:rPr>
              <w:t>Programme</w:t>
            </w:r>
            <w:proofErr w:type="spellEnd"/>
          </w:p>
        </w:tc>
        <w:tc>
          <w:tcPr>
            <w:tcW w:w="2430" w:type="dxa"/>
            <w:tcBorders>
              <w:bottom w:val="single" w:sz="4" w:space="0" w:color="auto"/>
            </w:tcBorders>
          </w:tcPr>
          <w:p w14:paraId="55268AF7" w14:textId="5092EC1C" w:rsidR="000A4251" w:rsidRPr="00960C51" w:rsidRDefault="000A4251" w:rsidP="00960C51">
            <w:pPr>
              <w:jc w:val="both"/>
              <w:rPr>
                <w:rFonts w:ascii="Arial" w:hAnsi="Arial" w:cs="Arial"/>
                <w:b/>
                <w:bCs/>
                <w:sz w:val="20"/>
                <w:szCs w:val="20"/>
              </w:rPr>
            </w:pPr>
            <w:r w:rsidRPr="00960C51">
              <w:rPr>
                <w:rFonts w:ascii="Arial" w:hAnsi="Arial" w:cs="Arial"/>
                <w:b/>
                <w:bCs/>
                <w:sz w:val="20"/>
                <w:szCs w:val="20"/>
              </w:rPr>
              <w:t>Budget (In Lakhs</w:t>
            </w:r>
            <w:r w:rsidR="005F2D25">
              <w:rPr>
                <w:rFonts w:ascii="Arial" w:hAnsi="Arial" w:cs="Arial"/>
                <w:b/>
                <w:bCs/>
                <w:sz w:val="20"/>
                <w:szCs w:val="20"/>
              </w:rPr>
              <w:t xml:space="preserve"> BDT.</w:t>
            </w:r>
            <w:r w:rsidRPr="00960C51">
              <w:rPr>
                <w:rFonts w:ascii="Arial" w:hAnsi="Arial" w:cs="Arial"/>
                <w:b/>
                <w:bCs/>
                <w:sz w:val="20"/>
                <w:szCs w:val="20"/>
              </w:rPr>
              <w:t>)</w:t>
            </w:r>
          </w:p>
        </w:tc>
        <w:tc>
          <w:tcPr>
            <w:tcW w:w="2700" w:type="dxa"/>
            <w:tcBorders>
              <w:bottom w:val="single" w:sz="4" w:space="0" w:color="auto"/>
            </w:tcBorders>
          </w:tcPr>
          <w:p w14:paraId="42AE15F9" w14:textId="77777777" w:rsidR="000A4251" w:rsidRPr="00960C51" w:rsidRDefault="000A4251" w:rsidP="00960C51">
            <w:pPr>
              <w:jc w:val="both"/>
              <w:rPr>
                <w:rFonts w:ascii="Arial" w:hAnsi="Arial" w:cs="Arial"/>
                <w:b/>
                <w:bCs/>
                <w:sz w:val="20"/>
                <w:szCs w:val="20"/>
              </w:rPr>
            </w:pPr>
            <w:r w:rsidRPr="00960C51">
              <w:rPr>
                <w:rFonts w:ascii="Arial" w:hAnsi="Arial" w:cs="Arial"/>
                <w:b/>
                <w:bCs/>
                <w:sz w:val="20"/>
                <w:szCs w:val="20"/>
              </w:rPr>
              <w:t>Total</w:t>
            </w:r>
          </w:p>
        </w:tc>
      </w:tr>
      <w:tr w:rsidR="000A4251" w:rsidRPr="00960C51" w14:paraId="61B6E404" w14:textId="77777777" w:rsidTr="00FB7C74">
        <w:tc>
          <w:tcPr>
            <w:tcW w:w="1870" w:type="dxa"/>
            <w:vMerge/>
          </w:tcPr>
          <w:p w14:paraId="6AB4F614" w14:textId="77777777" w:rsidR="000A4251" w:rsidRPr="00960C51" w:rsidRDefault="000A4251" w:rsidP="00960C51">
            <w:pPr>
              <w:jc w:val="both"/>
              <w:rPr>
                <w:rFonts w:ascii="Arial" w:hAnsi="Arial" w:cs="Arial"/>
                <w:sz w:val="20"/>
                <w:szCs w:val="20"/>
              </w:rPr>
            </w:pPr>
          </w:p>
        </w:tc>
        <w:tc>
          <w:tcPr>
            <w:tcW w:w="2355" w:type="dxa"/>
            <w:vMerge w:val="restart"/>
          </w:tcPr>
          <w:p w14:paraId="3B513E4C" w14:textId="77777777" w:rsidR="000A4251" w:rsidRPr="00960C51" w:rsidRDefault="000A4251" w:rsidP="00960C51">
            <w:pPr>
              <w:jc w:val="both"/>
              <w:rPr>
                <w:rFonts w:ascii="Arial" w:hAnsi="Arial" w:cs="Arial"/>
                <w:sz w:val="20"/>
                <w:szCs w:val="20"/>
              </w:rPr>
            </w:pPr>
          </w:p>
          <w:p w14:paraId="36CFCC1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Foundation</w:t>
            </w:r>
          </w:p>
        </w:tc>
        <w:tc>
          <w:tcPr>
            <w:tcW w:w="2430" w:type="dxa"/>
            <w:tcBorders>
              <w:bottom w:val="nil"/>
            </w:tcBorders>
          </w:tcPr>
          <w:p w14:paraId="5CD47593" w14:textId="52D79CBC"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bottom w:val="nil"/>
            </w:tcBorders>
          </w:tcPr>
          <w:p w14:paraId="5DAF7A97"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6BB999B5" w14:textId="77777777" w:rsidTr="00FB7C74">
        <w:tc>
          <w:tcPr>
            <w:tcW w:w="1870" w:type="dxa"/>
            <w:vMerge/>
          </w:tcPr>
          <w:p w14:paraId="405668B6" w14:textId="77777777" w:rsidR="000A4251" w:rsidRPr="00960C51" w:rsidRDefault="000A4251" w:rsidP="00960C51">
            <w:pPr>
              <w:jc w:val="both"/>
              <w:rPr>
                <w:rFonts w:ascii="Arial" w:hAnsi="Arial" w:cs="Arial"/>
                <w:sz w:val="20"/>
                <w:szCs w:val="20"/>
              </w:rPr>
            </w:pPr>
          </w:p>
        </w:tc>
        <w:tc>
          <w:tcPr>
            <w:tcW w:w="2355" w:type="dxa"/>
            <w:vMerge/>
          </w:tcPr>
          <w:p w14:paraId="4DFBE03D" w14:textId="77777777" w:rsidR="000A4251" w:rsidRPr="00960C51" w:rsidRDefault="000A4251" w:rsidP="00960C51">
            <w:pPr>
              <w:jc w:val="both"/>
              <w:rPr>
                <w:rFonts w:ascii="Arial" w:hAnsi="Arial" w:cs="Arial"/>
                <w:sz w:val="20"/>
                <w:szCs w:val="20"/>
              </w:rPr>
            </w:pPr>
          </w:p>
        </w:tc>
        <w:tc>
          <w:tcPr>
            <w:tcW w:w="2430" w:type="dxa"/>
            <w:tcBorders>
              <w:top w:val="nil"/>
            </w:tcBorders>
          </w:tcPr>
          <w:p w14:paraId="52D660FF" w14:textId="510B020B"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tcBorders>
          </w:tcPr>
          <w:p w14:paraId="0553F28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1054AAE5" w14:textId="12CEDD10" w:rsidTr="00FB7C74">
        <w:tc>
          <w:tcPr>
            <w:tcW w:w="1870" w:type="dxa"/>
            <w:vMerge/>
          </w:tcPr>
          <w:p w14:paraId="4A4AB375" w14:textId="77777777" w:rsidR="000A4251" w:rsidRPr="00960C51" w:rsidRDefault="000A4251" w:rsidP="00960C51">
            <w:pPr>
              <w:jc w:val="both"/>
              <w:rPr>
                <w:rFonts w:ascii="Arial" w:hAnsi="Arial" w:cs="Arial"/>
                <w:sz w:val="20"/>
                <w:szCs w:val="20"/>
              </w:rPr>
            </w:pPr>
          </w:p>
        </w:tc>
        <w:tc>
          <w:tcPr>
            <w:tcW w:w="2355" w:type="dxa"/>
            <w:vMerge/>
          </w:tcPr>
          <w:p w14:paraId="2ED37AE1" w14:textId="77777777" w:rsidR="000A4251" w:rsidRPr="00960C51" w:rsidRDefault="000A4251" w:rsidP="00960C51">
            <w:pPr>
              <w:jc w:val="both"/>
              <w:rPr>
                <w:rFonts w:ascii="Arial" w:hAnsi="Arial" w:cs="Arial"/>
                <w:sz w:val="20"/>
                <w:szCs w:val="20"/>
              </w:rPr>
            </w:pPr>
          </w:p>
        </w:tc>
        <w:tc>
          <w:tcPr>
            <w:tcW w:w="5130" w:type="dxa"/>
            <w:gridSpan w:val="2"/>
          </w:tcPr>
          <w:p w14:paraId="61E459C4" w14:textId="3DFC5AD6" w:rsidR="000A4251" w:rsidRPr="00960C51" w:rsidRDefault="000A4251" w:rsidP="000A4251">
            <w:pPr>
              <w:jc w:val="center"/>
              <w:rPr>
                <w:rFonts w:ascii="Arial" w:hAnsi="Arial" w:cs="Arial"/>
                <w:sz w:val="20"/>
                <w:szCs w:val="20"/>
              </w:rPr>
            </w:pPr>
            <w:r w:rsidRPr="00960C51">
              <w:rPr>
                <w:rFonts w:ascii="Arial" w:hAnsi="Arial" w:cs="Arial"/>
                <w:sz w:val="20"/>
                <w:szCs w:val="20"/>
              </w:rPr>
              <w:t>Total = 02</w:t>
            </w:r>
            <w:r>
              <w:rPr>
                <w:rFonts w:ascii="Arial" w:hAnsi="Arial" w:cs="Arial"/>
                <w:sz w:val="20"/>
                <w:szCs w:val="20"/>
              </w:rPr>
              <w:t xml:space="preserve"> (</w:t>
            </w:r>
            <w:r w:rsidRPr="00960C51">
              <w:rPr>
                <w:rFonts w:ascii="Arial" w:hAnsi="Arial" w:cs="Arial"/>
                <w:sz w:val="20"/>
                <w:szCs w:val="20"/>
              </w:rPr>
              <w:t>1.31%</w:t>
            </w:r>
            <w:r>
              <w:rPr>
                <w:rFonts w:ascii="Arial" w:hAnsi="Arial" w:cs="Arial"/>
                <w:sz w:val="20"/>
                <w:szCs w:val="20"/>
              </w:rPr>
              <w:t>)</w:t>
            </w:r>
          </w:p>
        </w:tc>
      </w:tr>
      <w:tr w:rsidR="000A4251" w:rsidRPr="00960C51" w14:paraId="73C848B3" w14:textId="77777777" w:rsidTr="00856FD9">
        <w:tc>
          <w:tcPr>
            <w:tcW w:w="1870" w:type="dxa"/>
            <w:vMerge/>
          </w:tcPr>
          <w:p w14:paraId="1B2CBBE1" w14:textId="77777777" w:rsidR="000A4251" w:rsidRPr="00960C51" w:rsidRDefault="000A4251" w:rsidP="00960C51">
            <w:pPr>
              <w:jc w:val="both"/>
              <w:rPr>
                <w:rFonts w:ascii="Arial" w:hAnsi="Arial" w:cs="Arial"/>
                <w:sz w:val="20"/>
                <w:szCs w:val="20"/>
              </w:rPr>
            </w:pPr>
          </w:p>
        </w:tc>
        <w:tc>
          <w:tcPr>
            <w:tcW w:w="2355" w:type="dxa"/>
            <w:vMerge w:val="restart"/>
          </w:tcPr>
          <w:p w14:paraId="1E30726B" w14:textId="77777777" w:rsidR="000A4251" w:rsidRPr="00960C51" w:rsidRDefault="000A4251" w:rsidP="00960C51">
            <w:pPr>
              <w:jc w:val="both"/>
              <w:rPr>
                <w:rFonts w:ascii="Arial" w:hAnsi="Arial" w:cs="Arial"/>
                <w:sz w:val="20"/>
                <w:szCs w:val="20"/>
              </w:rPr>
            </w:pPr>
          </w:p>
          <w:p w14:paraId="43A237E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A-Level</w:t>
            </w:r>
          </w:p>
        </w:tc>
        <w:tc>
          <w:tcPr>
            <w:tcW w:w="2430" w:type="dxa"/>
            <w:tcBorders>
              <w:bottom w:val="nil"/>
            </w:tcBorders>
          </w:tcPr>
          <w:p w14:paraId="414697BE" w14:textId="259853A9"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bottom w:val="nil"/>
            </w:tcBorders>
          </w:tcPr>
          <w:p w14:paraId="4C38282B"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3D55BBA6" w14:textId="77777777" w:rsidTr="00856FD9">
        <w:tc>
          <w:tcPr>
            <w:tcW w:w="1870" w:type="dxa"/>
            <w:vMerge/>
          </w:tcPr>
          <w:p w14:paraId="6599F981" w14:textId="77777777" w:rsidR="000A4251" w:rsidRPr="00960C51" w:rsidRDefault="000A4251" w:rsidP="00960C51">
            <w:pPr>
              <w:jc w:val="both"/>
              <w:rPr>
                <w:rFonts w:ascii="Arial" w:hAnsi="Arial" w:cs="Arial"/>
                <w:sz w:val="20"/>
                <w:szCs w:val="20"/>
              </w:rPr>
            </w:pPr>
          </w:p>
        </w:tc>
        <w:tc>
          <w:tcPr>
            <w:tcW w:w="2355" w:type="dxa"/>
            <w:vMerge/>
          </w:tcPr>
          <w:p w14:paraId="5F05BB14"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79E6D9B6" w14:textId="706AF4EC"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283B0717"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02</w:t>
            </w:r>
          </w:p>
        </w:tc>
      </w:tr>
      <w:tr w:rsidR="000A4251" w:rsidRPr="00960C51" w14:paraId="20DB7282" w14:textId="77777777" w:rsidTr="00856FD9">
        <w:tc>
          <w:tcPr>
            <w:tcW w:w="1870" w:type="dxa"/>
            <w:vMerge/>
          </w:tcPr>
          <w:p w14:paraId="1D0CA759" w14:textId="77777777" w:rsidR="000A4251" w:rsidRPr="00960C51" w:rsidRDefault="000A4251" w:rsidP="00960C51">
            <w:pPr>
              <w:jc w:val="both"/>
              <w:rPr>
                <w:rFonts w:ascii="Arial" w:hAnsi="Arial" w:cs="Arial"/>
                <w:sz w:val="20"/>
                <w:szCs w:val="20"/>
              </w:rPr>
            </w:pPr>
          </w:p>
        </w:tc>
        <w:tc>
          <w:tcPr>
            <w:tcW w:w="2355" w:type="dxa"/>
            <w:vMerge/>
          </w:tcPr>
          <w:p w14:paraId="097CC539" w14:textId="77777777" w:rsidR="000A4251" w:rsidRPr="00960C51" w:rsidRDefault="000A4251" w:rsidP="00960C51">
            <w:pPr>
              <w:jc w:val="both"/>
              <w:rPr>
                <w:rFonts w:ascii="Arial" w:hAnsi="Arial" w:cs="Arial"/>
                <w:sz w:val="20"/>
                <w:szCs w:val="20"/>
              </w:rPr>
            </w:pPr>
          </w:p>
        </w:tc>
        <w:tc>
          <w:tcPr>
            <w:tcW w:w="2430" w:type="dxa"/>
            <w:tcBorders>
              <w:top w:val="nil"/>
            </w:tcBorders>
          </w:tcPr>
          <w:p w14:paraId="12A6BE8D" w14:textId="3BD4446D" w:rsidR="000A4251" w:rsidRPr="00960C51" w:rsidRDefault="000A4251" w:rsidP="00960C51">
            <w:pPr>
              <w:jc w:val="both"/>
              <w:rPr>
                <w:rFonts w:ascii="Arial" w:hAnsi="Arial" w:cs="Arial"/>
                <w:sz w:val="20"/>
                <w:szCs w:val="20"/>
              </w:rPr>
            </w:pPr>
            <w:r w:rsidRPr="00960C51">
              <w:rPr>
                <w:rFonts w:ascii="Arial" w:hAnsi="Arial" w:cs="Arial"/>
                <w:sz w:val="20"/>
                <w:szCs w:val="20"/>
              </w:rPr>
              <w:t>25+</w:t>
            </w:r>
          </w:p>
        </w:tc>
        <w:tc>
          <w:tcPr>
            <w:tcW w:w="2700" w:type="dxa"/>
            <w:tcBorders>
              <w:top w:val="nil"/>
            </w:tcBorders>
          </w:tcPr>
          <w:p w14:paraId="21E8EC75"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0E0B9AE6" w14:textId="77777777" w:rsidTr="00FB7C74">
        <w:tc>
          <w:tcPr>
            <w:tcW w:w="1870" w:type="dxa"/>
            <w:vMerge/>
          </w:tcPr>
          <w:p w14:paraId="1DC4994E" w14:textId="77777777" w:rsidR="000A4251" w:rsidRPr="00960C51" w:rsidRDefault="000A4251" w:rsidP="00960C51">
            <w:pPr>
              <w:jc w:val="both"/>
              <w:rPr>
                <w:rFonts w:ascii="Arial" w:hAnsi="Arial" w:cs="Arial"/>
                <w:sz w:val="20"/>
                <w:szCs w:val="20"/>
              </w:rPr>
            </w:pPr>
          </w:p>
        </w:tc>
        <w:tc>
          <w:tcPr>
            <w:tcW w:w="2355" w:type="dxa"/>
            <w:vMerge/>
          </w:tcPr>
          <w:p w14:paraId="1A3A0208" w14:textId="77777777" w:rsidR="000A4251" w:rsidRPr="00960C51" w:rsidRDefault="000A4251" w:rsidP="00960C51">
            <w:pPr>
              <w:jc w:val="both"/>
              <w:rPr>
                <w:rFonts w:ascii="Arial" w:hAnsi="Arial" w:cs="Arial"/>
                <w:sz w:val="20"/>
                <w:szCs w:val="20"/>
              </w:rPr>
            </w:pPr>
          </w:p>
        </w:tc>
        <w:tc>
          <w:tcPr>
            <w:tcW w:w="5130" w:type="dxa"/>
            <w:gridSpan w:val="2"/>
          </w:tcPr>
          <w:p w14:paraId="690F58BC" w14:textId="0816126E" w:rsidR="000A4251" w:rsidRPr="00960C51" w:rsidRDefault="000A4251" w:rsidP="000A4251">
            <w:pPr>
              <w:jc w:val="center"/>
              <w:rPr>
                <w:rFonts w:ascii="Arial" w:hAnsi="Arial" w:cs="Arial"/>
                <w:sz w:val="20"/>
                <w:szCs w:val="20"/>
              </w:rPr>
            </w:pPr>
            <w:r w:rsidRPr="00960C51">
              <w:rPr>
                <w:rFonts w:ascii="Arial" w:hAnsi="Arial" w:cs="Arial"/>
                <w:sz w:val="20"/>
                <w:szCs w:val="20"/>
              </w:rPr>
              <w:t>Total = 04</w:t>
            </w:r>
            <w:r>
              <w:rPr>
                <w:rFonts w:ascii="Arial" w:hAnsi="Arial" w:cs="Arial"/>
                <w:sz w:val="20"/>
                <w:szCs w:val="20"/>
              </w:rPr>
              <w:t xml:space="preserve"> (2.61%)</w:t>
            </w:r>
          </w:p>
        </w:tc>
      </w:tr>
      <w:tr w:rsidR="000A4251" w:rsidRPr="00960C51" w14:paraId="60FBF1FF" w14:textId="77777777" w:rsidTr="00856FD9">
        <w:tc>
          <w:tcPr>
            <w:tcW w:w="1870" w:type="dxa"/>
            <w:vMerge/>
          </w:tcPr>
          <w:p w14:paraId="6E42330F" w14:textId="77777777" w:rsidR="000A4251" w:rsidRPr="00960C51" w:rsidRDefault="000A4251" w:rsidP="00960C51">
            <w:pPr>
              <w:jc w:val="both"/>
              <w:rPr>
                <w:rFonts w:ascii="Arial" w:hAnsi="Arial" w:cs="Arial"/>
                <w:sz w:val="20"/>
                <w:szCs w:val="20"/>
              </w:rPr>
            </w:pPr>
          </w:p>
        </w:tc>
        <w:tc>
          <w:tcPr>
            <w:tcW w:w="2355" w:type="dxa"/>
            <w:vMerge w:val="restart"/>
          </w:tcPr>
          <w:p w14:paraId="7CADA78E" w14:textId="77777777" w:rsidR="000A4251" w:rsidRPr="00960C51" w:rsidRDefault="000A4251" w:rsidP="00960C51">
            <w:pPr>
              <w:jc w:val="both"/>
              <w:rPr>
                <w:rFonts w:ascii="Arial" w:hAnsi="Arial" w:cs="Arial"/>
                <w:sz w:val="20"/>
                <w:szCs w:val="20"/>
              </w:rPr>
            </w:pPr>
          </w:p>
          <w:p w14:paraId="2D01DC03" w14:textId="77777777" w:rsidR="000A4251" w:rsidRPr="00960C51" w:rsidRDefault="000A4251" w:rsidP="00960C51">
            <w:pPr>
              <w:jc w:val="both"/>
              <w:rPr>
                <w:rFonts w:ascii="Arial" w:hAnsi="Arial" w:cs="Arial"/>
                <w:sz w:val="20"/>
                <w:szCs w:val="20"/>
              </w:rPr>
            </w:pPr>
          </w:p>
          <w:p w14:paraId="3B622872" w14:textId="77777777" w:rsidR="000A4251" w:rsidRPr="00960C51" w:rsidRDefault="000A4251" w:rsidP="00960C51">
            <w:pPr>
              <w:jc w:val="both"/>
              <w:rPr>
                <w:rFonts w:ascii="Arial" w:hAnsi="Arial" w:cs="Arial"/>
                <w:sz w:val="20"/>
                <w:szCs w:val="20"/>
              </w:rPr>
            </w:pPr>
          </w:p>
          <w:p w14:paraId="3FB67096"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Undergraduate</w:t>
            </w:r>
          </w:p>
        </w:tc>
        <w:tc>
          <w:tcPr>
            <w:tcW w:w="2430" w:type="dxa"/>
            <w:tcBorders>
              <w:bottom w:val="nil"/>
            </w:tcBorders>
          </w:tcPr>
          <w:p w14:paraId="5509F5CB" w14:textId="6EA3BE76" w:rsidR="000A4251" w:rsidRPr="00960C51" w:rsidRDefault="000A4251" w:rsidP="00960C51">
            <w:pPr>
              <w:jc w:val="both"/>
              <w:rPr>
                <w:rFonts w:ascii="Arial" w:hAnsi="Arial" w:cs="Arial"/>
                <w:sz w:val="20"/>
                <w:szCs w:val="20"/>
              </w:rPr>
            </w:pPr>
            <w:r w:rsidRPr="00960C51">
              <w:rPr>
                <w:rFonts w:ascii="Arial" w:hAnsi="Arial" w:cs="Arial"/>
                <w:sz w:val="20"/>
                <w:szCs w:val="20"/>
              </w:rPr>
              <w:t>1-5</w:t>
            </w:r>
          </w:p>
        </w:tc>
        <w:tc>
          <w:tcPr>
            <w:tcW w:w="2700" w:type="dxa"/>
            <w:tcBorders>
              <w:bottom w:val="nil"/>
            </w:tcBorders>
          </w:tcPr>
          <w:p w14:paraId="7A275BA3"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07</w:t>
            </w:r>
          </w:p>
        </w:tc>
      </w:tr>
      <w:tr w:rsidR="000A4251" w:rsidRPr="00960C51" w14:paraId="517FB61B" w14:textId="77777777" w:rsidTr="00856FD9">
        <w:tc>
          <w:tcPr>
            <w:tcW w:w="1870" w:type="dxa"/>
            <w:vMerge/>
          </w:tcPr>
          <w:p w14:paraId="3C7FB561" w14:textId="77777777" w:rsidR="000A4251" w:rsidRPr="00960C51" w:rsidRDefault="000A4251" w:rsidP="00960C51">
            <w:pPr>
              <w:jc w:val="both"/>
              <w:rPr>
                <w:rFonts w:ascii="Arial" w:hAnsi="Arial" w:cs="Arial"/>
                <w:sz w:val="20"/>
                <w:szCs w:val="20"/>
              </w:rPr>
            </w:pPr>
          </w:p>
        </w:tc>
        <w:tc>
          <w:tcPr>
            <w:tcW w:w="2355" w:type="dxa"/>
            <w:vMerge/>
          </w:tcPr>
          <w:p w14:paraId="0A5E19BE"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570E36C9" w14:textId="23CA4DC6"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top w:val="nil"/>
              <w:bottom w:val="nil"/>
            </w:tcBorders>
          </w:tcPr>
          <w:p w14:paraId="57588FAA"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24</w:t>
            </w:r>
          </w:p>
        </w:tc>
      </w:tr>
      <w:tr w:rsidR="000A4251" w:rsidRPr="00960C51" w14:paraId="59D2072E" w14:textId="77777777" w:rsidTr="00856FD9">
        <w:tc>
          <w:tcPr>
            <w:tcW w:w="1870" w:type="dxa"/>
            <w:vMerge/>
          </w:tcPr>
          <w:p w14:paraId="2B79FA82" w14:textId="77777777" w:rsidR="000A4251" w:rsidRPr="00960C51" w:rsidRDefault="000A4251" w:rsidP="00960C51">
            <w:pPr>
              <w:jc w:val="both"/>
              <w:rPr>
                <w:rFonts w:ascii="Arial" w:hAnsi="Arial" w:cs="Arial"/>
                <w:sz w:val="20"/>
                <w:szCs w:val="20"/>
              </w:rPr>
            </w:pPr>
          </w:p>
        </w:tc>
        <w:tc>
          <w:tcPr>
            <w:tcW w:w="2355" w:type="dxa"/>
            <w:vMerge/>
          </w:tcPr>
          <w:p w14:paraId="018C18C2"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769E818C" w14:textId="2CCB8E20"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39DCC51B"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31</w:t>
            </w:r>
          </w:p>
        </w:tc>
      </w:tr>
      <w:tr w:rsidR="000A4251" w:rsidRPr="00960C51" w14:paraId="4970D189" w14:textId="77777777" w:rsidTr="00856FD9">
        <w:tc>
          <w:tcPr>
            <w:tcW w:w="1870" w:type="dxa"/>
            <w:vMerge/>
          </w:tcPr>
          <w:p w14:paraId="696A63C6" w14:textId="77777777" w:rsidR="000A4251" w:rsidRPr="00960C51" w:rsidRDefault="000A4251" w:rsidP="00960C51">
            <w:pPr>
              <w:jc w:val="both"/>
              <w:rPr>
                <w:rFonts w:ascii="Arial" w:hAnsi="Arial" w:cs="Arial"/>
                <w:sz w:val="20"/>
                <w:szCs w:val="20"/>
              </w:rPr>
            </w:pPr>
          </w:p>
        </w:tc>
        <w:tc>
          <w:tcPr>
            <w:tcW w:w="2355" w:type="dxa"/>
            <w:vMerge/>
          </w:tcPr>
          <w:p w14:paraId="31828AA2"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780D2B4F" w14:textId="18182BE2" w:rsidR="000A4251" w:rsidRPr="00960C51" w:rsidRDefault="000A4251" w:rsidP="00960C51">
            <w:pPr>
              <w:jc w:val="both"/>
              <w:rPr>
                <w:rFonts w:ascii="Arial" w:hAnsi="Arial" w:cs="Arial"/>
                <w:sz w:val="20"/>
                <w:szCs w:val="20"/>
              </w:rPr>
            </w:pPr>
            <w:r w:rsidRPr="00960C51">
              <w:rPr>
                <w:rFonts w:ascii="Arial" w:hAnsi="Arial" w:cs="Arial"/>
                <w:sz w:val="20"/>
                <w:szCs w:val="20"/>
              </w:rPr>
              <w:t>16-20</w:t>
            </w:r>
          </w:p>
        </w:tc>
        <w:tc>
          <w:tcPr>
            <w:tcW w:w="2700" w:type="dxa"/>
            <w:tcBorders>
              <w:top w:val="nil"/>
              <w:bottom w:val="nil"/>
            </w:tcBorders>
          </w:tcPr>
          <w:p w14:paraId="2C437A53"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10</w:t>
            </w:r>
          </w:p>
        </w:tc>
      </w:tr>
      <w:tr w:rsidR="000A4251" w:rsidRPr="00960C51" w14:paraId="59CA229E" w14:textId="77777777" w:rsidTr="00856FD9">
        <w:tc>
          <w:tcPr>
            <w:tcW w:w="1870" w:type="dxa"/>
            <w:vMerge/>
          </w:tcPr>
          <w:p w14:paraId="082350DC" w14:textId="77777777" w:rsidR="000A4251" w:rsidRPr="00960C51" w:rsidRDefault="000A4251" w:rsidP="00960C51">
            <w:pPr>
              <w:jc w:val="both"/>
              <w:rPr>
                <w:rFonts w:ascii="Arial" w:hAnsi="Arial" w:cs="Arial"/>
                <w:sz w:val="20"/>
                <w:szCs w:val="20"/>
              </w:rPr>
            </w:pPr>
          </w:p>
        </w:tc>
        <w:tc>
          <w:tcPr>
            <w:tcW w:w="2355" w:type="dxa"/>
            <w:vMerge/>
          </w:tcPr>
          <w:p w14:paraId="4DE1C477"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693ADA13" w14:textId="725830CD" w:rsidR="000A4251" w:rsidRPr="00960C51" w:rsidRDefault="000A4251" w:rsidP="00960C51">
            <w:pPr>
              <w:jc w:val="both"/>
              <w:rPr>
                <w:rFonts w:ascii="Arial" w:hAnsi="Arial" w:cs="Arial"/>
                <w:sz w:val="20"/>
                <w:szCs w:val="20"/>
              </w:rPr>
            </w:pPr>
            <w:r w:rsidRPr="00960C51">
              <w:rPr>
                <w:rFonts w:ascii="Arial" w:hAnsi="Arial" w:cs="Arial"/>
                <w:sz w:val="20"/>
                <w:szCs w:val="20"/>
              </w:rPr>
              <w:t>21-25</w:t>
            </w:r>
          </w:p>
        </w:tc>
        <w:tc>
          <w:tcPr>
            <w:tcW w:w="2700" w:type="dxa"/>
            <w:tcBorders>
              <w:top w:val="nil"/>
              <w:bottom w:val="nil"/>
            </w:tcBorders>
          </w:tcPr>
          <w:p w14:paraId="11CD0ABC"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12</w:t>
            </w:r>
          </w:p>
        </w:tc>
      </w:tr>
      <w:tr w:rsidR="000A4251" w:rsidRPr="00960C51" w14:paraId="3BD53192" w14:textId="77777777" w:rsidTr="00856FD9">
        <w:tc>
          <w:tcPr>
            <w:tcW w:w="1870" w:type="dxa"/>
            <w:vMerge/>
          </w:tcPr>
          <w:p w14:paraId="3A9EFA1E" w14:textId="77777777" w:rsidR="000A4251" w:rsidRPr="00960C51" w:rsidRDefault="000A4251" w:rsidP="00960C51">
            <w:pPr>
              <w:jc w:val="both"/>
              <w:rPr>
                <w:rFonts w:ascii="Arial" w:hAnsi="Arial" w:cs="Arial"/>
                <w:sz w:val="20"/>
                <w:szCs w:val="20"/>
              </w:rPr>
            </w:pPr>
          </w:p>
        </w:tc>
        <w:tc>
          <w:tcPr>
            <w:tcW w:w="2355" w:type="dxa"/>
            <w:vMerge/>
          </w:tcPr>
          <w:p w14:paraId="7FEE1EE5" w14:textId="77777777" w:rsidR="000A4251" w:rsidRPr="00960C51" w:rsidRDefault="000A4251" w:rsidP="00960C51">
            <w:pPr>
              <w:jc w:val="both"/>
              <w:rPr>
                <w:rFonts w:ascii="Arial" w:hAnsi="Arial" w:cs="Arial"/>
                <w:sz w:val="20"/>
                <w:szCs w:val="20"/>
              </w:rPr>
            </w:pPr>
          </w:p>
        </w:tc>
        <w:tc>
          <w:tcPr>
            <w:tcW w:w="2430" w:type="dxa"/>
            <w:tcBorders>
              <w:top w:val="nil"/>
            </w:tcBorders>
          </w:tcPr>
          <w:p w14:paraId="6D243AC3" w14:textId="3C550F0D" w:rsidR="000A4251" w:rsidRPr="00960C51" w:rsidRDefault="000A4251" w:rsidP="00960C51">
            <w:pPr>
              <w:jc w:val="both"/>
              <w:rPr>
                <w:rFonts w:ascii="Arial" w:hAnsi="Arial" w:cs="Arial"/>
                <w:sz w:val="20"/>
                <w:szCs w:val="20"/>
              </w:rPr>
            </w:pPr>
            <w:r w:rsidRPr="00960C51">
              <w:rPr>
                <w:rFonts w:ascii="Arial" w:hAnsi="Arial" w:cs="Arial"/>
                <w:sz w:val="20"/>
                <w:szCs w:val="20"/>
              </w:rPr>
              <w:t>25 +</w:t>
            </w:r>
          </w:p>
        </w:tc>
        <w:tc>
          <w:tcPr>
            <w:tcW w:w="2700" w:type="dxa"/>
            <w:tcBorders>
              <w:top w:val="nil"/>
            </w:tcBorders>
          </w:tcPr>
          <w:p w14:paraId="21EF498C"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13E01D88" w14:textId="77777777" w:rsidTr="00FB7C74">
        <w:tc>
          <w:tcPr>
            <w:tcW w:w="1870" w:type="dxa"/>
            <w:vMerge/>
          </w:tcPr>
          <w:p w14:paraId="7CDB70CC" w14:textId="77777777" w:rsidR="000A4251" w:rsidRPr="00960C51" w:rsidRDefault="000A4251" w:rsidP="00960C51">
            <w:pPr>
              <w:jc w:val="both"/>
              <w:rPr>
                <w:rFonts w:ascii="Arial" w:hAnsi="Arial" w:cs="Arial"/>
                <w:sz w:val="20"/>
                <w:szCs w:val="20"/>
              </w:rPr>
            </w:pPr>
          </w:p>
        </w:tc>
        <w:tc>
          <w:tcPr>
            <w:tcW w:w="2355" w:type="dxa"/>
            <w:vMerge/>
          </w:tcPr>
          <w:p w14:paraId="09833C3F" w14:textId="77777777" w:rsidR="000A4251" w:rsidRPr="00960C51" w:rsidRDefault="000A4251" w:rsidP="00960C51">
            <w:pPr>
              <w:jc w:val="both"/>
              <w:rPr>
                <w:rFonts w:ascii="Arial" w:hAnsi="Arial" w:cs="Arial"/>
                <w:sz w:val="20"/>
                <w:szCs w:val="20"/>
              </w:rPr>
            </w:pPr>
          </w:p>
        </w:tc>
        <w:tc>
          <w:tcPr>
            <w:tcW w:w="5130" w:type="dxa"/>
            <w:gridSpan w:val="2"/>
          </w:tcPr>
          <w:p w14:paraId="5B46EC48" w14:textId="4877692F" w:rsidR="000A4251" w:rsidRPr="00960C51" w:rsidRDefault="000A4251" w:rsidP="000A4251">
            <w:pPr>
              <w:jc w:val="center"/>
              <w:rPr>
                <w:rFonts w:ascii="Arial" w:hAnsi="Arial" w:cs="Arial"/>
                <w:sz w:val="20"/>
                <w:szCs w:val="20"/>
              </w:rPr>
            </w:pPr>
            <w:r w:rsidRPr="00960C51">
              <w:rPr>
                <w:rFonts w:ascii="Arial" w:hAnsi="Arial" w:cs="Arial"/>
                <w:sz w:val="20"/>
                <w:szCs w:val="20"/>
              </w:rPr>
              <w:t>Total = 85</w:t>
            </w:r>
            <w:r>
              <w:rPr>
                <w:rFonts w:ascii="Arial" w:hAnsi="Arial" w:cs="Arial"/>
                <w:sz w:val="20"/>
                <w:szCs w:val="20"/>
              </w:rPr>
              <w:t xml:space="preserve"> (55.56%)</w:t>
            </w:r>
          </w:p>
        </w:tc>
      </w:tr>
      <w:tr w:rsidR="000A4251" w:rsidRPr="00960C51" w14:paraId="6795B2C5" w14:textId="77777777" w:rsidTr="00856FD9">
        <w:tc>
          <w:tcPr>
            <w:tcW w:w="1870" w:type="dxa"/>
            <w:vMerge/>
          </w:tcPr>
          <w:p w14:paraId="17D99C63" w14:textId="77777777" w:rsidR="000A4251" w:rsidRPr="00960C51" w:rsidRDefault="000A4251" w:rsidP="00960C51">
            <w:pPr>
              <w:jc w:val="both"/>
              <w:rPr>
                <w:rFonts w:ascii="Arial" w:hAnsi="Arial" w:cs="Arial"/>
                <w:sz w:val="20"/>
                <w:szCs w:val="20"/>
              </w:rPr>
            </w:pPr>
          </w:p>
        </w:tc>
        <w:tc>
          <w:tcPr>
            <w:tcW w:w="2355" w:type="dxa"/>
            <w:vMerge w:val="restart"/>
          </w:tcPr>
          <w:p w14:paraId="12513B5D" w14:textId="77777777" w:rsidR="000A4251" w:rsidRPr="00960C51" w:rsidRDefault="000A4251" w:rsidP="00960C51">
            <w:pPr>
              <w:jc w:val="both"/>
              <w:rPr>
                <w:rFonts w:ascii="Arial" w:hAnsi="Arial" w:cs="Arial"/>
                <w:sz w:val="20"/>
                <w:szCs w:val="20"/>
              </w:rPr>
            </w:pPr>
          </w:p>
          <w:p w14:paraId="515F1781" w14:textId="77777777" w:rsidR="000A4251" w:rsidRPr="00960C51" w:rsidRDefault="000A4251" w:rsidP="00960C51">
            <w:pPr>
              <w:jc w:val="both"/>
              <w:rPr>
                <w:rFonts w:ascii="Arial" w:hAnsi="Arial" w:cs="Arial"/>
                <w:sz w:val="20"/>
                <w:szCs w:val="20"/>
              </w:rPr>
            </w:pPr>
          </w:p>
          <w:p w14:paraId="48159CF5" w14:textId="77777777" w:rsidR="000A4251" w:rsidRPr="00960C51" w:rsidRDefault="000A4251" w:rsidP="00960C51">
            <w:pPr>
              <w:jc w:val="both"/>
              <w:rPr>
                <w:rFonts w:ascii="Arial" w:hAnsi="Arial" w:cs="Arial"/>
                <w:sz w:val="20"/>
                <w:szCs w:val="20"/>
              </w:rPr>
            </w:pPr>
          </w:p>
          <w:p w14:paraId="00334ED4"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Graduate</w:t>
            </w:r>
          </w:p>
        </w:tc>
        <w:tc>
          <w:tcPr>
            <w:tcW w:w="2430" w:type="dxa"/>
            <w:tcBorders>
              <w:bottom w:val="nil"/>
            </w:tcBorders>
          </w:tcPr>
          <w:p w14:paraId="4B63DD1A" w14:textId="262F32D3" w:rsidR="000A4251" w:rsidRPr="00960C51" w:rsidRDefault="000A4251" w:rsidP="00960C51">
            <w:pPr>
              <w:jc w:val="both"/>
              <w:rPr>
                <w:rFonts w:ascii="Arial" w:hAnsi="Arial" w:cs="Arial"/>
                <w:sz w:val="20"/>
                <w:szCs w:val="20"/>
              </w:rPr>
            </w:pPr>
            <w:r w:rsidRPr="00960C51">
              <w:rPr>
                <w:rFonts w:ascii="Arial" w:hAnsi="Arial" w:cs="Arial"/>
                <w:sz w:val="20"/>
                <w:szCs w:val="20"/>
              </w:rPr>
              <w:t>1-5</w:t>
            </w:r>
          </w:p>
        </w:tc>
        <w:tc>
          <w:tcPr>
            <w:tcW w:w="2700" w:type="dxa"/>
            <w:tcBorders>
              <w:bottom w:val="nil"/>
            </w:tcBorders>
          </w:tcPr>
          <w:p w14:paraId="5126103A"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05</w:t>
            </w:r>
          </w:p>
        </w:tc>
      </w:tr>
      <w:tr w:rsidR="000A4251" w:rsidRPr="00960C51" w14:paraId="1A20243C" w14:textId="77777777" w:rsidTr="00856FD9">
        <w:tc>
          <w:tcPr>
            <w:tcW w:w="1870" w:type="dxa"/>
            <w:vMerge/>
          </w:tcPr>
          <w:p w14:paraId="74F80D86" w14:textId="77777777" w:rsidR="000A4251" w:rsidRPr="00960C51" w:rsidRDefault="000A4251" w:rsidP="00960C51">
            <w:pPr>
              <w:jc w:val="both"/>
              <w:rPr>
                <w:rFonts w:ascii="Arial" w:hAnsi="Arial" w:cs="Arial"/>
                <w:sz w:val="20"/>
                <w:szCs w:val="20"/>
              </w:rPr>
            </w:pPr>
          </w:p>
        </w:tc>
        <w:tc>
          <w:tcPr>
            <w:tcW w:w="2355" w:type="dxa"/>
            <w:vMerge/>
          </w:tcPr>
          <w:p w14:paraId="6B2BC556"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093E7798" w14:textId="7BBD9EF7"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top w:val="nil"/>
              <w:bottom w:val="nil"/>
            </w:tcBorders>
          </w:tcPr>
          <w:p w14:paraId="3C7EC5BB"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08</w:t>
            </w:r>
          </w:p>
        </w:tc>
      </w:tr>
      <w:tr w:rsidR="000A4251" w:rsidRPr="00960C51" w14:paraId="7993521A" w14:textId="77777777" w:rsidTr="00856FD9">
        <w:tc>
          <w:tcPr>
            <w:tcW w:w="1870" w:type="dxa"/>
            <w:vMerge/>
          </w:tcPr>
          <w:p w14:paraId="5E1AE378" w14:textId="77777777" w:rsidR="000A4251" w:rsidRPr="00960C51" w:rsidRDefault="000A4251" w:rsidP="00960C51">
            <w:pPr>
              <w:jc w:val="both"/>
              <w:rPr>
                <w:rFonts w:ascii="Arial" w:hAnsi="Arial" w:cs="Arial"/>
                <w:sz w:val="20"/>
                <w:szCs w:val="20"/>
              </w:rPr>
            </w:pPr>
          </w:p>
        </w:tc>
        <w:tc>
          <w:tcPr>
            <w:tcW w:w="2355" w:type="dxa"/>
            <w:vMerge/>
          </w:tcPr>
          <w:p w14:paraId="48954BFC"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2290D0C6" w14:textId="34887386"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28A607AF"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16</w:t>
            </w:r>
          </w:p>
        </w:tc>
      </w:tr>
      <w:tr w:rsidR="000A4251" w:rsidRPr="00960C51" w14:paraId="2920EB54" w14:textId="77777777" w:rsidTr="00856FD9">
        <w:tc>
          <w:tcPr>
            <w:tcW w:w="1870" w:type="dxa"/>
            <w:vMerge/>
          </w:tcPr>
          <w:p w14:paraId="23C1AA54" w14:textId="77777777" w:rsidR="000A4251" w:rsidRPr="00960C51" w:rsidRDefault="000A4251" w:rsidP="00960C51">
            <w:pPr>
              <w:jc w:val="both"/>
              <w:rPr>
                <w:rFonts w:ascii="Arial" w:hAnsi="Arial" w:cs="Arial"/>
                <w:sz w:val="20"/>
                <w:szCs w:val="20"/>
              </w:rPr>
            </w:pPr>
          </w:p>
        </w:tc>
        <w:tc>
          <w:tcPr>
            <w:tcW w:w="2355" w:type="dxa"/>
            <w:vMerge/>
          </w:tcPr>
          <w:p w14:paraId="57B02E28"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1CE7A5FA" w14:textId="71C4B704" w:rsidR="000A4251" w:rsidRPr="00960C51" w:rsidRDefault="000A4251" w:rsidP="00960C51">
            <w:pPr>
              <w:jc w:val="both"/>
              <w:rPr>
                <w:rFonts w:ascii="Arial" w:hAnsi="Arial" w:cs="Arial"/>
                <w:sz w:val="20"/>
                <w:szCs w:val="20"/>
              </w:rPr>
            </w:pPr>
            <w:r w:rsidRPr="00960C51">
              <w:rPr>
                <w:rFonts w:ascii="Arial" w:hAnsi="Arial" w:cs="Arial"/>
                <w:sz w:val="20"/>
                <w:szCs w:val="20"/>
              </w:rPr>
              <w:t>16-20</w:t>
            </w:r>
          </w:p>
        </w:tc>
        <w:tc>
          <w:tcPr>
            <w:tcW w:w="2700" w:type="dxa"/>
            <w:tcBorders>
              <w:top w:val="nil"/>
              <w:bottom w:val="nil"/>
            </w:tcBorders>
          </w:tcPr>
          <w:p w14:paraId="7DD71B71"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76CD2B17" w14:textId="77777777" w:rsidTr="00856FD9">
        <w:tc>
          <w:tcPr>
            <w:tcW w:w="1870" w:type="dxa"/>
            <w:vMerge/>
          </w:tcPr>
          <w:p w14:paraId="6EF0C47D" w14:textId="77777777" w:rsidR="000A4251" w:rsidRPr="00960C51" w:rsidRDefault="000A4251" w:rsidP="00960C51">
            <w:pPr>
              <w:jc w:val="both"/>
              <w:rPr>
                <w:rFonts w:ascii="Arial" w:hAnsi="Arial" w:cs="Arial"/>
                <w:sz w:val="20"/>
                <w:szCs w:val="20"/>
              </w:rPr>
            </w:pPr>
          </w:p>
        </w:tc>
        <w:tc>
          <w:tcPr>
            <w:tcW w:w="2355" w:type="dxa"/>
            <w:vMerge/>
          </w:tcPr>
          <w:p w14:paraId="25AEDA7C"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40009041" w14:textId="22ADFE67" w:rsidR="000A4251" w:rsidRPr="00960C51" w:rsidRDefault="000A4251" w:rsidP="00960C51">
            <w:pPr>
              <w:jc w:val="both"/>
              <w:rPr>
                <w:rFonts w:ascii="Arial" w:hAnsi="Arial" w:cs="Arial"/>
                <w:sz w:val="20"/>
                <w:szCs w:val="20"/>
              </w:rPr>
            </w:pPr>
            <w:r w:rsidRPr="00960C51">
              <w:rPr>
                <w:rFonts w:ascii="Arial" w:hAnsi="Arial" w:cs="Arial"/>
                <w:sz w:val="20"/>
                <w:szCs w:val="20"/>
              </w:rPr>
              <w:t>21-25</w:t>
            </w:r>
          </w:p>
        </w:tc>
        <w:tc>
          <w:tcPr>
            <w:tcW w:w="2700" w:type="dxa"/>
            <w:tcBorders>
              <w:top w:val="nil"/>
              <w:bottom w:val="nil"/>
            </w:tcBorders>
          </w:tcPr>
          <w:p w14:paraId="70AAD2D8"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04</w:t>
            </w:r>
          </w:p>
        </w:tc>
      </w:tr>
      <w:tr w:rsidR="000A4251" w:rsidRPr="00960C51" w14:paraId="5CAFC8DE" w14:textId="77777777" w:rsidTr="00856FD9">
        <w:tc>
          <w:tcPr>
            <w:tcW w:w="1870" w:type="dxa"/>
            <w:vMerge/>
          </w:tcPr>
          <w:p w14:paraId="37FB18FA" w14:textId="77777777" w:rsidR="000A4251" w:rsidRPr="00960C51" w:rsidRDefault="000A4251" w:rsidP="00960C51">
            <w:pPr>
              <w:jc w:val="both"/>
              <w:rPr>
                <w:rFonts w:ascii="Arial" w:hAnsi="Arial" w:cs="Arial"/>
                <w:sz w:val="20"/>
                <w:szCs w:val="20"/>
              </w:rPr>
            </w:pPr>
          </w:p>
        </w:tc>
        <w:tc>
          <w:tcPr>
            <w:tcW w:w="2355" w:type="dxa"/>
            <w:vMerge/>
          </w:tcPr>
          <w:p w14:paraId="36F9FFF8" w14:textId="77777777" w:rsidR="000A4251" w:rsidRPr="00960C51" w:rsidRDefault="000A4251" w:rsidP="00960C51">
            <w:pPr>
              <w:jc w:val="both"/>
              <w:rPr>
                <w:rFonts w:ascii="Arial" w:hAnsi="Arial" w:cs="Arial"/>
                <w:sz w:val="20"/>
                <w:szCs w:val="20"/>
              </w:rPr>
            </w:pPr>
          </w:p>
        </w:tc>
        <w:tc>
          <w:tcPr>
            <w:tcW w:w="2430" w:type="dxa"/>
            <w:tcBorders>
              <w:top w:val="nil"/>
            </w:tcBorders>
          </w:tcPr>
          <w:p w14:paraId="2FDD9C12" w14:textId="576FB2FE" w:rsidR="000A4251" w:rsidRPr="00960C51" w:rsidRDefault="000A4251" w:rsidP="00960C51">
            <w:pPr>
              <w:jc w:val="both"/>
              <w:rPr>
                <w:rFonts w:ascii="Arial" w:hAnsi="Arial" w:cs="Arial"/>
                <w:sz w:val="20"/>
                <w:szCs w:val="20"/>
              </w:rPr>
            </w:pPr>
            <w:r w:rsidRPr="00960C51">
              <w:rPr>
                <w:rFonts w:ascii="Arial" w:hAnsi="Arial" w:cs="Arial"/>
                <w:sz w:val="20"/>
                <w:szCs w:val="20"/>
              </w:rPr>
              <w:t>25+</w:t>
            </w:r>
          </w:p>
        </w:tc>
        <w:tc>
          <w:tcPr>
            <w:tcW w:w="2700" w:type="dxa"/>
            <w:tcBorders>
              <w:top w:val="nil"/>
            </w:tcBorders>
          </w:tcPr>
          <w:p w14:paraId="63B9233F"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6F7CEE70" w14:textId="77777777" w:rsidTr="00FB7C74">
        <w:tc>
          <w:tcPr>
            <w:tcW w:w="1870" w:type="dxa"/>
            <w:vMerge/>
          </w:tcPr>
          <w:p w14:paraId="5EB9C450" w14:textId="77777777" w:rsidR="000A4251" w:rsidRPr="00960C51" w:rsidRDefault="000A4251" w:rsidP="00960C51">
            <w:pPr>
              <w:jc w:val="both"/>
              <w:rPr>
                <w:rFonts w:ascii="Arial" w:hAnsi="Arial" w:cs="Arial"/>
                <w:sz w:val="20"/>
                <w:szCs w:val="20"/>
              </w:rPr>
            </w:pPr>
          </w:p>
        </w:tc>
        <w:tc>
          <w:tcPr>
            <w:tcW w:w="2355" w:type="dxa"/>
            <w:vMerge/>
          </w:tcPr>
          <w:p w14:paraId="17AD1ED6" w14:textId="77777777" w:rsidR="000A4251" w:rsidRPr="00960C51" w:rsidRDefault="000A4251" w:rsidP="00960C51">
            <w:pPr>
              <w:jc w:val="both"/>
              <w:rPr>
                <w:rFonts w:ascii="Arial" w:hAnsi="Arial" w:cs="Arial"/>
                <w:sz w:val="20"/>
                <w:szCs w:val="20"/>
              </w:rPr>
            </w:pPr>
          </w:p>
        </w:tc>
        <w:tc>
          <w:tcPr>
            <w:tcW w:w="5130" w:type="dxa"/>
            <w:gridSpan w:val="2"/>
          </w:tcPr>
          <w:p w14:paraId="6841AE29" w14:textId="6E7650B3" w:rsidR="000A4251" w:rsidRPr="00960C51" w:rsidRDefault="000A4251" w:rsidP="000A4251">
            <w:pPr>
              <w:jc w:val="center"/>
              <w:rPr>
                <w:rFonts w:ascii="Arial" w:hAnsi="Arial" w:cs="Arial"/>
                <w:sz w:val="20"/>
                <w:szCs w:val="20"/>
              </w:rPr>
            </w:pPr>
            <w:r w:rsidRPr="00960C51">
              <w:rPr>
                <w:rFonts w:ascii="Arial" w:hAnsi="Arial" w:cs="Arial"/>
                <w:sz w:val="20"/>
                <w:szCs w:val="20"/>
              </w:rPr>
              <w:t>Total = 35</w:t>
            </w:r>
            <w:r>
              <w:rPr>
                <w:rFonts w:ascii="Arial" w:hAnsi="Arial" w:cs="Arial"/>
                <w:sz w:val="20"/>
                <w:szCs w:val="20"/>
              </w:rPr>
              <w:t xml:space="preserve"> (22.88%)</w:t>
            </w:r>
          </w:p>
        </w:tc>
      </w:tr>
      <w:tr w:rsidR="000A4251" w:rsidRPr="00960C51" w14:paraId="14ABDFE0" w14:textId="77777777" w:rsidTr="00856FD9">
        <w:tc>
          <w:tcPr>
            <w:tcW w:w="1870" w:type="dxa"/>
            <w:vMerge/>
          </w:tcPr>
          <w:p w14:paraId="26D435FA" w14:textId="77777777" w:rsidR="000A4251" w:rsidRPr="00960C51" w:rsidRDefault="000A4251" w:rsidP="00960C51">
            <w:pPr>
              <w:jc w:val="both"/>
              <w:rPr>
                <w:rFonts w:ascii="Arial" w:hAnsi="Arial" w:cs="Arial"/>
                <w:sz w:val="20"/>
                <w:szCs w:val="20"/>
              </w:rPr>
            </w:pPr>
          </w:p>
        </w:tc>
        <w:tc>
          <w:tcPr>
            <w:tcW w:w="2355" w:type="dxa"/>
            <w:vMerge w:val="restart"/>
          </w:tcPr>
          <w:p w14:paraId="362771E4" w14:textId="77777777" w:rsidR="000A4251" w:rsidRPr="00960C51" w:rsidRDefault="000A4251" w:rsidP="00960C51">
            <w:pPr>
              <w:jc w:val="both"/>
              <w:rPr>
                <w:rFonts w:ascii="Arial" w:hAnsi="Arial" w:cs="Arial"/>
                <w:sz w:val="20"/>
                <w:szCs w:val="20"/>
              </w:rPr>
            </w:pPr>
          </w:p>
          <w:p w14:paraId="224908E7" w14:textId="77777777" w:rsidR="000A4251" w:rsidRPr="00960C51" w:rsidRDefault="000A4251" w:rsidP="00960C51">
            <w:pPr>
              <w:jc w:val="both"/>
              <w:rPr>
                <w:rFonts w:ascii="Arial" w:hAnsi="Arial" w:cs="Arial"/>
                <w:sz w:val="20"/>
                <w:szCs w:val="20"/>
              </w:rPr>
            </w:pPr>
          </w:p>
          <w:p w14:paraId="66E74DEC" w14:textId="77777777" w:rsidR="000A4251" w:rsidRPr="00960C51" w:rsidRDefault="000A4251" w:rsidP="00960C51">
            <w:pPr>
              <w:jc w:val="both"/>
              <w:rPr>
                <w:rFonts w:ascii="Arial" w:hAnsi="Arial" w:cs="Arial"/>
                <w:sz w:val="20"/>
                <w:szCs w:val="20"/>
              </w:rPr>
            </w:pPr>
          </w:p>
          <w:p w14:paraId="52A545ED"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Postgraduate</w:t>
            </w:r>
          </w:p>
        </w:tc>
        <w:tc>
          <w:tcPr>
            <w:tcW w:w="2430" w:type="dxa"/>
            <w:tcBorders>
              <w:bottom w:val="nil"/>
            </w:tcBorders>
          </w:tcPr>
          <w:p w14:paraId="29788438" w14:textId="7332AA70" w:rsidR="000A4251" w:rsidRPr="00960C51" w:rsidRDefault="000A4251" w:rsidP="00960C51">
            <w:pPr>
              <w:jc w:val="both"/>
              <w:rPr>
                <w:rFonts w:ascii="Arial" w:hAnsi="Arial" w:cs="Arial"/>
                <w:sz w:val="20"/>
                <w:szCs w:val="20"/>
              </w:rPr>
            </w:pPr>
            <w:r w:rsidRPr="00960C51">
              <w:rPr>
                <w:rFonts w:ascii="Arial" w:hAnsi="Arial" w:cs="Arial"/>
                <w:sz w:val="20"/>
                <w:szCs w:val="20"/>
              </w:rPr>
              <w:t>1-5</w:t>
            </w:r>
          </w:p>
        </w:tc>
        <w:tc>
          <w:tcPr>
            <w:tcW w:w="2700" w:type="dxa"/>
            <w:tcBorders>
              <w:bottom w:val="nil"/>
            </w:tcBorders>
          </w:tcPr>
          <w:p w14:paraId="0F751A22"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03</w:t>
            </w:r>
          </w:p>
        </w:tc>
      </w:tr>
      <w:tr w:rsidR="000A4251" w:rsidRPr="00960C51" w14:paraId="1FF1E262" w14:textId="77777777" w:rsidTr="00856FD9">
        <w:tc>
          <w:tcPr>
            <w:tcW w:w="1870" w:type="dxa"/>
            <w:vMerge/>
          </w:tcPr>
          <w:p w14:paraId="20B85D6F" w14:textId="77777777" w:rsidR="000A4251" w:rsidRPr="00960C51" w:rsidRDefault="000A4251" w:rsidP="00960C51">
            <w:pPr>
              <w:jc w:val="both"/>
              <w:rPr>
                <w:rFonts w:ascii="Arial" w:hAnsi="Arial" w:cs="Arial"/>
                <w:sz w:val="20"/>
                <w:szCs w:val="20"/>
              </w:rPr>
            </w:pPr>
          </w:p>
        </w:tc>
        <w:tc>
          <w:tcPr>
            <w:tcW w:w="2355" w:type="dxa"/>
            <w:vMerge/>
          </w:tcPr>
          <w:p w14:paraId="5BE5229F"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006E098E" w14:textId="79C187AA" w:rsidR="000A4251" w:rsidRPr="00960C51" w:rsidRDefault="000A4251" w:rsidP="00960C51">
            <w:pPr>
              <w:jc w:val="both"/>
              <w:rPr>
                <w:rFonts w:ascii="Arial" w:hAnsi="Arial" w:cs="Arial"/>
                <w:sz w:val="20"/>
                <w:szCs w:val="20"/>
              </w:rPr>
            </w:pPr>
            <w:r w:rsidRPr="00960C51">
              <w:rPr>
                <w:rFonts w:ascii="Arial" w:hAnsi="Arial" w:cs="Arial"/>
                <w:sz w:val="20"/>
                <w:szCs w:val="20"/>
              </w:rPr>
              <w:t>6-10</w:t>
            </w:r>
          </w:p>
        </w:tc>
        <w:tc>
          <w:tcPr>
            <w:tcW w:w="2700" w:type="dxa"/>
            <w:tcBorders>
              <w:top w:val="nil"/>
              <w:bottom w:val="nil"/>
            </w:tcBorders>
          </w:tcPr>
          <w:p w14:paraId="18712D42"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06</w:t>
            </w:r>
          </w:p>
        </w:tc>
      </w:tr>
      <w:tr w:rsidR="000A4251" w:rsidRPr="00960C51" w14:paraId="568A557D" w14:textId="77777777" w:rsidTr="00856FD9">
        <w:tc>
          <w:tcPr>
            <w:tcW w:w="1870" w:type="dxa"/>
            <w:vMerge/>
          </w:tcPr>
          <w:p w14:paraId="1D869522" w14:textId="77777777" w:rsidR="000A4251" w:rsidRPr="00960C51" w:rsidRDefault="000A4251" w:rsidP="00960C51">
            <w:pPr>
              <w:jc w:val="both"/>
              <w:rPr>
                <w:rFonts w:ascii="Arial" w:hAnsi="Arial" w:cs="Arial"/>
                <w:sz w:val="20"/>
                <w:szCs w:val="20"/>
              </w:rPr>
            </w:pPr>
          </w:p>
        </w:tc>
        <w:tc>
          <w:tcPr>
            <w:tcW w:w="2355" w:type="dxa"/>
            <w:vMerge/>
          </w:tcPr>
          <w:p w14:paraId="4F13F06C"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4AFB4C7B" w14:textId="107E8410" w:rsidR="000A4251" w:rsidRPr="00960C51" w:rsidRDefault="000A4251" w:rsidP="00960C51">
            <w:pPr>
              <w:jc w:val="both"/>
              <w:rPr>
                <w:rFonts w:ascii="Arial" w:hAnsi="Arial" w:cs="Arial"/>
                <w:sz w:val="20"/>
                <w:szCs w:val="20"/>
              </w:rPr>
            </w:pPr>
            <w:r w:rsidRPr="00960C51">
              <w:rPr>
                <w:rFonts w:ascii="Arial" w:hAnsi="Arial" w:cs="Arial"/>
                <w:sz w:val="20"/>
                <w:szCs w:val="20"/>
              </w:rPr>
              <w:t>11-15</w:t>
            </w:r>
          </w:p>
        </w:tc>
        <w:tc>
          <w:tcPr>
            <w:tcW w:w="2700" w:type="dxa"/>
            <w:tcBorders>
              <w:top w:val="nil"/>
              <w:bottom w:val="nil"/>
            </w:tcBorders>
          </w:tcPr>
          <w:p w14:paraId="25B1DE15"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12</w:t>
            </w:r>
          </w:p>
        </w:tc>
      </w:tr>
      <w:tr w:rsidR="000A4251" w:rsidRPr="00960C51" w14:paraId="392039F5" w14:textId="77777777" w:rsidTr="00856FD9">
        <w:tc>
          <w:tcPr>
            <w:tcW w:w="1870" w:type="dxa"/>
            <w:vMerge/>
          </w:tcPr>
          <w:p w14:paraId="13FE70C8" w14:textId="77777777" w:rsidR="000A4251" w:rsidRPr="00960C51" w:rsidRDefault="000A4251" w:rsidP="00960C51">
            <w:pPr>
              <w:jc w:val="both"/>
              <w:rPr>
                <w:rFonts w:ascii="Arial" w:hAnsi="Arial" w:cs="Arial"/>
                <w:sz w:val="20"/>
                <w:szCs w:val="20"/>
              </w:rPr>
            </w:pPr>
          </w:p>
        </w:tc>
        <w:tc>
          <w:tcPr>
            <w:tcW w:w="2355" w:type="dxa"/>
            <w:vMerge/>
          </w:tcPr>
          <w:p w14:paraId="2339705D"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6D98731A" w14:textId="609D24AA" w:rsidR="000A4251" w:rsidRPr="00960C51" w:rsidRDefault="000A4251" w:rsidP="00960C51">
            <w:pPr>
              <w:jc w:val="both"/>
              <w:rPr>
                <w:rFonts w:ascii="Arial" w:hAnsi="Arial" w:cs="Arial"/>
                <w:sz w:val="20"/>
                <w:szCs w:val="20"/>
              </w:rPr>
            </w:pPr>
            <w:r w:rsidRPr="00960C51">
              <w:rPr>
                <w:rFonts w:ascii="Arial" w:hAnsi="Arial" w:cs="Arial"/>
                <w:sz w:val="20"/>
                <w:szCs w:val="20"/>
              </w:rPr>
              <w:t>16-20</w:t>
            </w:r>
          </w:p>
        </w:tc>
        <w:tc>
          <w:tcPr>
            <w:tcW w:w="2700" w:type="dxa"/>
            <w:tcBorders>
              <w:top w:val="nil"/>
              <w:bottom w:val="nil"/>
            </w:tcBorders>
          </w:tcPr>
          <w:p w14:paraId="0C84AC0D"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04</w:t>
            </w:r>
          </w:p>
        </w:tc>
      </w:tr>
      <w:tr w:rsidR="000A4251" w:rsidRPr="00960C51" w14:paraId="692DCE88" w14:textId="77777777" w:rsidTr="00856FD9">
        <w:tc>
          <w:tcPr>
            <w:tcW w:w="1870" w:type="dxa"/>
            <w:vMerge/>
          </w:tcPr>
          <w:p w14:paraId="245C331D" w14:textId="77777777" w:rsidR="000A4251" w:rsidRPr="00960C51" w:rsidRDefault="000A4251" w:rsidP="00960C51">
            <w:pPr>
              <w:jc w:val="both"/>
              <w:rPr>
                <w:rFonts w:ascii="Arial" w:hAnsi="Arial" w:cs="Arial"/>
                <w:sz w:val="20"/>
                <w:szCs w:val="20"/>
              </w:rPr>
            </w:pPr>
          </w:p>
        </w:tc>
        <w:tc>
          <w:tcPr>
            <w:tcW w:w="2355" w:type="dxa"/>
            <w:vMerge/>
          </w:tcPr>
          <w:p w14:paraId="0021A17A" w14:textId="77777777" w:rsidR="000A4251" w:rsidRPr="00960C51" w:rsidRDefault="000A4251" w:rsidP="00960C51">
            <w:pPr>
              <w:jc w:val="both"/>
              <w:rPr>
                <w:rFonts w:ascii="Arial" w:hAnsi="Arial" w:cs="Arial"/>
                <w:sz w:val="20"/>
                <w:szCs w:val="20"/>
              </w:rPr>
            </w:pPr>
          </w:p>
        </w:tc>
        <w:tc>
          <w:tcPr>
            <w:tcW w:w="2430" w:type="dxa"/>
            <w:tcBorders>
              <w:top w:val="nil"/>
              <w:bottom w:val="nil"/>
            </w:tcBorders>
          </w:tcPr>
          <w:p w14:paraId="253C72CE" w14:textId="07947935" w:rsidR="000A4251" w:rsidRPr="00960C51" w:rsidRDefault="000A4251" w:rsidP="00960C51">
            <w:pPr>
              <w:jc w:val="both"/>
              <w:rPr>
                <w:rFonts w:ascii="Arial" w:hAnsi="Arial" w:cs="Arial"/>
                <w:sz w:val="20"/>
                <w:szCs w:val="20"/>
              </w:rPr>
            </w:pPr>
            <w:r w:rsidRPr="00960C51">
              <w:rPr>
                <w:rFonts w:ascii="Arial" w:hAnsi="Arial" w:cs="Arial"/>
                <w:sz w:val="20"/>
                <w:szCs w:val="20"/>
              </w:rPr>
              <w:t>21-25</w:t>
            </w:r>
          </w:p>
        </w:tc>
        <w:tc>
          <w:tcPr>
            <w:tcW w:w="2700" w:type="dxa"/>
            <w:tcBorders>
              <w:top w:val="nil"/>
              <w:bottom w:val="nil"/>
            </w:tcBorders>
          </w:tcPr>
          <w:p w14:paraId="1B0D0622"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7F7AA560" w14:textId="77777777" w:rsidTr="00856FD9">
        <w:tc>
          <w:tcPr>
            <w:tcW w:w="1870" w:type="dxa"/>
            <w:vMerge/>
          </w:tcPr>
          <w:p w14:paraId="1D591EBC" w14:textId="77777777" w:rsidR="000A4251" w:rsidRPr="00960C51" w:rsidRDefault="000A4251" w:rsidP="00960C51">
            <w:pPr>
              <w:jc w:val="both"/>
              <w:rPr>
                <w:rFonts w:ascii="Arial" w:hAnsi="Arial" w:cs="Arial"/>
                <w:sz w:val="20"/>
                <w:szCs w:val="20"/>
              </w:rPr>
            </w:pPr>
          </w:p>
        </w:tc>
        <w:tc>
          <w:tcPr>
            <w:tcW w:w="2355" w:type="dxa"/>
            <w:vMerge/>
          </w:tcPr>
          <w:p w14:paraId="7EFCD847" w14:textId="77777777" w:rsidR="000A4251" w:rsidRPr="00960C51" w:rsidRDefault="000A4251" w:rsidP="00960C51">
            <w:pPr>
              <w:jc w:val="both"/>
              <w:rPr>
                <w:rFonts w:ascii="Arial" w:hAnsi="Arial" w:cs="Arial"/>
                <w:sz w:val="20"/>
                <w:szCs w:val="20"/>
              </w:rPr>
            </w:pPr>
          </w:p>
        </w:tc>
        <w:tc>
          <w:tcPr>
            <w:tcW w:w="2430" w:type="dxa"/>
            <w:tcBorders>
              <w:top w:val="nil"/>
            </w:tcBorders>
          </w:tcPr>
          <w:p w14:paraId="45020EA8" w14:textId="65FAABDC" w:rsidR="000A4251" w:rsidRPr="00960C51" w:rsidRDefault="000A4251" w:rsidP="00960C51">
            <w:pPr>
              <w:jc w:val="both"/>
              <w:rPr>
                <w:rFonts w:ascii="Arial" w:hAnsi="Arial" w:cs="Arial"/>
                <w:sz w:val="20"/>
                <w:szCs w:val="20"/>
              </w:rPr>
            </w:pPr>
            <w:r w:rsidRPr="00960C51">
              <w:rPr>
                <w:rFonts w:ascii="Arial" w:hAnsi="Arial" w:cs="Arial"/>
                <w:sz w:val="20"/>
                <w:szCs w:val="20"/>
              </w:rPr>
              <w:t>25 +</w:t>
            </w:r>
          </w:p>
        </w:tc>
        <w:tc>
          <w:tcPr>
            <w:tcW w:w="2700" w:type="dxa"/>
            <w:tcBorders>
              <w:top w:val="nil"/>
            </w:tcBorders>
          </w:tcPr>
          <w:p w14:paraId="7AF92E66" w14:textId="77777777" w:rsidR="000A4251" w:rsidRPr="00960C51" w:rsidRDefault="000A4251" w:rsidP="00960C51">
            <w:pPr>
              <w:jc w:val="both"/>
              <w:rPr>
                <w:rFonts w:ascii="Arial" w:hAnsi="Arial" w:cs="Arial"/>
                <w:sz w:val="20"/>
                <w:szCs w:val="20"/>
              </w:rPr>
            </w:pPr>
            <w:r w:rsidRPr="00960C51">
              <w:rPr>
                <w:rFonts w:ascii="Arial" w:hAnsi="Arial" w:cs="Arial"/>
                <w:sz w:val="20"/>
                <w:szCs w:val="20"/>
              </w:rPr>
              <w:t>01</w:t>
            </w:r>
          </w:p>
        </w:tc>
      </w:tr>
      <w:tr w:rsidR="000A4251" w:rsidRPr="00960C51" w14:paraId="51C4D019" w14:textId="77777777" w:rsidTr="00FB7C74">
        <w:tc>
          <w:tcPr>
            <w:tcW w:w="1870" w:type="dxa"/>
            <w:vMerge/>
          </w:tcPr>
          <w:p w14:paraId="1F275368" w14:textId="77777777" w:rsidR="000A4251" w:rsidRPr="00960C51" w:rsidRDefault="000A4251" w:rsidP="00960C51">
            <w:pPr>
              <w:jc w:val="both"/>
              <w:rPr>
                <w:rFonts w:ascii="Arial" w:hAnsi="Arial" w:cs="Arial"/>
                <w:sz w:val="20"/>
                <w:szCs w:val="20"/>
              </w:rPr>
            </w:pPr>
          </w:p>
        </w:tc>
        <w:tc>
          <w:tcPr>
            <w:tcW w:w="2355" w:type="dxa"/>
            <w:vMerge/>
          </w:tcPr>
          <w:p w14:paraId="42B77640" w14:textId="77777777" w:rsidR="000A4251" w:rsidRPr="00960C51" w:rsidRDefault="000A4251" w:rsidP="00960C51">
            <w:pPr>
              <w:jc w:val="both"/>
              <w:rPr>
                <w:rFonts w:ascii="Arial" w:hAnsi="Arial" w:cs="Arial"/>
                <w:sz w:val="20"/>
                <w:szCs w:val="20"/>
              </w:rPr>
            </w:pPr>
          </w:p>
        </w:tc>
        <w:tc>
          <w:tcPr>
            <w:tcW w:w="5130" w:type="dxa"/>
            <w:gridSpan w:val="2"/>
          </w:tcPr>
          <w:p w14:paraId="26FB81F3" w14:textId="63D16329" w:rsidR="000A4251" w:rsidRPr="00960C51" w:rsidRDefault="000A4251" w:rsidP="000A4251">
            <w:pPr>
              <w:jc w:val="center"/>
              <w:rPr>
                <w:rFonts w:ascii="Arial" w:hAnsi="Arial" w:cs="Arial"/>
                <w:sz w:val="20"/>
                <w:szCs w:val="20"/>
              </w:rPr>
            </w:pPr>
            <w:r w:rsidRPr="00960C51">
              <w:rPr>
                <w:rFonts w:ascii="Arial" w:hAnsi="Arial" w:cs="Arial"/>
                <w:sz w:val="20"/>
                <w:szCs w:val="20"/>
              </w:rPr>
              <w:t>Total = 27</w:t>
            </w:r>
            <w:r>
              <w:rPr>
                <w:rFonts w:ascii="Arial" w:hAnsi="Arial" w:cs="Arial"/>
                <w:sz w:val="20"/>
                <w:szCs w:val="20"/>
              </w:rPr>
              <w:t xml:space="preserve"> (17.65%)</w:t>
            </w:r>
          </w:p>
        </w:tc>
      </w:tr>
      <w:tr w:rsidR="000A4251" w:rsidRPr="00960C51" w14:paraId="6EAACC65" w14:textId="77777777" w:rsidTr="00FB7C74">
        <w:tc>
          <w:tcPr>
            <w:tcW w:w="1870" w:type="dxa"/>
            <w:vMerge/>
          </w:tcPr>
          <w:p w14:paraId="067042A0" w14:textId="77777777" w:rsidR="000A4251" w:rsidRPr="00960C51" w:rsidRDefault="000A4251" w:rsidP="00960C51">
            <w:pPr>
              <w:jc w:val="both"/>
              <w:rPr>
                <w:rFonts w:ascii="Arial" w:hAnsi="Arial" w:cs="Arial"/>
                <w:sz w:val="20"/>
                <w:szCs w:val="20"/>
              </w:rPr>
            </w:pPr>
          </w:p>
        </w:tc>
        <w:tc>
          <w:tcPr>
            <w:tcW w:w="2355" w:type="dxa"/>
          </w:tcPr>
          <w:p w14:paraId="1BB8AB0D" w14:textId="77777777" w:rsidR="000A4251" w:rsidRPr="00960C51" w:rsidRDefault="000A4251" w:rsidP="00960C51">
            <w:pPr>
              <w:jc w:val="both"/>
              <w:rPr>
                <w:rFonts w:ascii="Arial" w:hAnsi="Arial" w:cs="Arial"/>
                <w:sz w:val="20"/>
                <w:szCs w:val="20"/>
              </w:rPr>
            </w:pPr>
          </w:p>
        </w:tc>
        <w:tc>
          <w:tcPr>
            <w:tcW w:w="5130" w:type="dxa"/>
            <w:gridSpan w:val="2"/>
          </w:tcPr>
          <w:p w14:paraId="4C19DDC2" w14:textId="1778F1DB" w:rsidR="000A4251" w:rsidRPr="00960C51" w:rsidRDefault="000A4251" w:rsidP="000A4251">
            <w:pPr>
              <w:jc w:val="center"/>
              <w:rPr>
                <w:rFonts w:ascii="Arial" w:hAnsi="Arial" w:cs="Arial"/>
                <w:sz w:val="20"/>
                <w:szCs w:val="20"/>
              </w:rPr>
            </w:pPr>
            <w:r w:rsidRPr="00960C51">
              <w:rPr>
                <w:rFonts w:ascii="Arial" w:hAnsi="Arial" w:cs="Arial"/>
                <w:sz w:val="20"/>
                <w:szCs w:val="20"/>
              </w:rPr>
              <w:t>Total = 153</w:t>
            </w:r>
            <w:r>
              <w:rPr>
                <w:rFonts w:ascii="Arial" w:hAnsi="Arial" w:cs="Arial"/>
                <w:sz w:val="20"/>
                <w:szCs w:val="20"/>
              </w:rPr>
              <w:t xml:space="preserve"> (100%)</w:t>
            </w:r>
          </w:p>
        </w:tc>
      </w:tr>
    </w:tbl>
    <w:p w14:paraId="38CD87FE" w14:textId="77777777" w:rsidR="00960C51" w:rsidRDefault="00960C51" w:rsidP="00FA7D02">
      <w:pPr>
        <w:spacing w:after="0" w:line="360" w:lineRule="auto"/>
        <w:jc w:val="both"/>
        <w:rPr>
          <w:rFonts w:ascii="Arial" w:hAnsi="Arial" w:cs="Arial"/>
          <w:sz w:val="24"/>
          <w:szCs w:val="24"/>
        </w:rPr>
      </w:pPr>
    </w:p>
    <w:p w14:paraId="3C0A9E40" w14:textId="2F656A86" w:rsidR="009367B2" w:rsidRPr="00960C51" w:rsidRDefault="008625A2" w:rsidP="00960C51">
      <w:pPr>
        <w:spacing w:after="0" w:line="240" w:lineRule="auto"/>
        <w:jc w:val="both"/>
        <w:rPr>
          <w:rFonts w:ascii="Arial" w:hAnsi="Arial" w:cs="Arial"/>
          <w:sz w:val="20"/>
          <w:szCs w:val="20"/>
        </w:rPr>
      </w:pPr>
      <w:r w:rsidRPr="00242B01">
        <w:rPr>
          <w:b/>
          <w:noProof/>
        </w:rPr>
        <w:drawing>
          <wp:anchor distT="0" distB="0" distL="114300" distR="114300" simplePos="0" relativeHeight="251658240" behindDoc="0" locked="0" layoutInCell="1" allowOverlap="1" wp14:anchorId="2718BE33" wp14:editId="7E490C08">
            <wp:simplePos x="0" y="0"/>
            <wp:positionH relativeFrom="margin">
              <wp:align>right</wp:align>
            </wp:positionH>
            <wp:positionV relativeFrom="paragraph">
              <wp:posOffset>197485</wp:posOffset>
            </wp:positionV>
            <wp:extent cx="3428365" cy="2743200"/>
            <wp:effectExtent l="0" t="0" r="635" b="0"/>
            <wp:wrapSquare wrapText="bothSides"/>
            <wp:docPr id="1426989760" name="Chart 1">
              <a:extLst xmlns:a="http://schemas.openxmlformats.org/drawingml/2006/main">
                <a:ext uri="{FF2B5EF4-FFF2-40B4-BE49-F238E27FC236}">
                  <a16:creationId xmlns:a16="http://schemas.microsoft.com/office/drawing/2014/main" id="{CEEFA27C-6CEF-2EE1-0641-6823CAD12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9367B2" w:rsidRPr="00242B01">
        <w:rPr>
          <w:rFonts w:ascii="Arial" w:hAnsi="Arial" w:cs="Arial"/>
          <w:b/>
          <w:sz w:val="20"/>
          <w:szCs w:val="20"/>
        </w:rPr>
        <w:t>Table 7</w:t>
      </w:r>
      <w:r w:rsidR="009367B2" w:rsidRPr="00960C51">
        <w:rPr>
          <w:rFonts w:ascii="Arial" w:hAnsi="Arial" w:cs="Arial"/>
          <w:sz w:val="20"/>
          <w:szCs w:val="20"/>
        </w:rPr>
        <w:t xml:space="preserve"> displays the distribution of individuals who intend to enroll in different educational programs. The majority, 55.56%, want to enroll in undergraduate </w:t>
      </w:r>
      <w:proofErr w:type="spellStart"/>
      <w:r w:rsidR="009367B2" w:rsidRPr="00960C51">
        <w:rPr>
          <w:rFonts w:ascii="Arial" w:hAnsi="Arial" w:cs="Arial"/>
          <w:sz w:val="20"/>
          <w:szCs w:val="20"/>
        </w:rPr>
        <w:t>program</w:t>
      </w:r>
      <w:r w:rsidR="00E3431C">
        <w:rPr>
          <w:rFonts w:ascii="Arial" w:hAnsi="Arial" w:cs="Arial"/>
          <w:sz w:val="20"/>
          <w:szCs w:val="20"/>
        </w:rPr>
        <w:t>mes</w:t>
      </w:r>
      <w:proofErr w:type="spellEnd"/>
      <w:r w:rsidR="009367B2" w:rsidRPr="00960C51">
        <w:rPr>
          <w:rFonts w:ascii="Arial" w:hAnsi="Arial" w:cs="Arial"/>
          <w:sz w:val="20"/>
          <w:szCs w:val="20"/>
        </w:rPr>
        <w:t xml:space="preserve">. Graduate and postgraduate </w:t>
      </w:r>
      <w:proofErr w:type="spellStart"/>
      <w:r w:rsidR="009367B2" w:rsidRPr="00960C51">
        <w:rPr>
          <w:rFonts w:ascii="Arial" w:hAnsi="Arial" w:cs="Arial"/>
          <w:sz w:val="20"/>
          <w:szCs w:val="20"/>
        </w:rPr>
        <w:t>program</w:t>
      </w:r>
      <w:r w:rsidR="00E3431C">
        <w:rPr>
          <w:rFonts w:ascii="Arial" w:hAnsi="Arial" w:cs="Arial"/>
          <w:sz w:val="20"/>
          <w:szCs w:val="20"/>
        </w:rPr>
        <w:t>mes</w:t>
      </w:r>
      <w:proofErr w:type="spellEnd"/>
      <w:r w:rsidR="009367B2" w:rsidRPr="00960C51">
        <w:rPr>
          <w:rFonts w:ascii="Arial" w:hAnsi="Arial" w:cs="Arial"/>
          <w:sz w:val="20"/>
          <w:szCs w:val="20"/>
        </w:rPr>
        <w:t xml:space="preserve"> </w:t>
      </w:r>
      <w:r w:rsidR="00E3431C">
        <w:rPr>
          <w:rFonts w:ascii="Arial" w:hAnsi="Arial" w:cs="Arial"/>
          <w:sz w:val="20"/>
          <w:szCs w:val="20"/>
        </w:rPr>
        <w:t>represent</w:t>
      </w:r>
      <w:r w:rsidR="009367B2" w:rsidRPr="00960C51">
        <w:rPr>
          <w:rFonts w:ascii="Arial" w:hAnsi="Arial" w:cs="Arial"/>
          <w:sz w:val="20"/>
          <w:szCs w:val="20"/>
        </w:rPr>
        <w:t xml:space="preserve"> 22.88% and 17.65%</w:t>
      </w:r>
      <w:r w:rsidR="00E3431C">
        <w:rPr>
          <w:rFonts w:ascii="Arial" w:hAnsi="Arial" w:cs="Arial"/>
          <w:sz w:val="20"/>
          <w:szCs w:val="20"/>
        </w:rPr>
        <w:t xml:space="preserve"> of the total</w:t>
      </w:r>
      <w:r w:rsidR="009367B2" w:rsidRPr="00960C51">
        <w:rPr>
          <w:rFonts w:ascii="Arial" w:hAnsi="Arial" w:cs="Arial"/>
          <w:sz w:val="20"/>
          <w:szCs w:val="20"/>
        </w:rPr>
        <w:t>. Foundation and A-Level programs attract fewer individuals, at 1.13% and 2.61%, respectively.</w:t>
      </w:r>
      <w:r w:rsidRPr="008625A2">
        <w:rPr>
          <w:noProof/>
        </w:rPr>
        <w:t xml:space="preserve"> </w:t>
      </w:r>
    </w:p>
    <w:p w14:paraId="68AF7573" w14:textId="59847F9C" w:rsidR="008625A2" w:rsidRDefault="009367B2" w:rsidP="00960C51">
      <w:pPr>
        <w:spacing w:after="0" w:line="240" w:lineRule="auto"/>
        <w:jc w:val="both"/>
        <w:rPr>
          <w:rFonts w:ascii="Arial" w:hAnsi="Arial" w:cs="Arial"/>
          <w:sz w:val="20"/>
          <w:szCs w:val="20"/>
        </w:rPr>
      </w:pPr>
      <w:r w:rsidRPr="00960C51">
        <w:rPr>
          <w:rFonts w:ascii="Arial" w:hAnsi="Arial" w:cs="Arial"/>
          <w:sz w:val="20"/>
          <w:szCs w:val="20"/>
        </w:rPr>
        <w:t xml:space="preserve">Also, table 7 presents "Budget according to </w:t>
      </w:r>
      <w:proofErr w:type="spellStart"/>
      <w:r w:rsidRPr="00960C51">
        <w:rPr>
          <w:rFonts w:ascii="Arial" w:hAnsi="Arial" w:cs="Arial"/>
          <w:sz w:val="20"/>
          <w:szCs w:val="20"/>
        </w:rPr>
        <w:t>programme</w:t>
      </w:r>
      <w:proofErr w:type="spellEnd"/>
      <w:r w:rsidRPr="00960C51">
        <w:rPr>
          <w:rFonts w:ascii="Arial" w:hAnsi="Arial" w:cs="Arial"/>
          <w:sz w:val="20"/>
          <w:szCs w:val="20"/>
        </w:rPr>
        <w:t xml:space="preserve">" for undergraduate, graduate, postgraduate, A-level, and foundation </w:t>
      </w:r>
      <w:proofErr w:type="spellStart"/>
      <w:r w:rsidRPr="00960C51">
        <w:rPr>
          <w:rFonts w:ascii="Arial" w:hAnsi="Arial" w:cs="Arial"/>
          <w:sz w:val="20"/>
          <w:szCs w:val="20"/>
        </w:rPr>
        <w:t>progra</w:t>
      </w:r>
      <w:r w:rsidR="00E3431C">
        <w:rPr>
          <w:rFonts w:ascii="Arial" w:hAnsi="Arial" w:cs="Arial"/>
          <w:sz w:val="20"/>
          <w:szCs w:val="20"/>
        </w:rPr>
        <w:t>mmes</w:t>
      </w:r>
      <w:proofErr w:type="spellEnd"/>
      <w:r w:rsidRPr="00960C51">
        <w:rPr>
          <w:rFonts w:ascii="Arial" w:hAnsi="Arial" w:cs="Arial"/>
          <w:sz w:val="20"/>
          <w:szCs w:val="20"/>
        </w:rPr>
        <w:t xml:space="preserve">. The categories are divided into various budget ranges from </w:t>
      </w:r>
      <w:r w:rsidR="001C6BD9">
        <w:rPr>
          <w:rFonts w:ascii="Arial" w:hAnsi="Arial" w:cs="Arial"/>
          <w:sz w:val="20"/>
          <w:szCs w:val="20"/>
        </w:rPr>
        <w:t>Tk</w:t>
      </w:r>
      <w:r w:rsidR="00E3431C">
        <w:rPr>
          <w:rFonts w:ascii="Arial" w:hAnsi="Arial" w:cs="Arial"/>
          <w:sz w:val="20"/>
          <w:szCs w:val="20"/>
        </w:rPr>
        <w:t xml:space="preserve"> </w:t>
      </w:r>
      <w:r w:rsidRPr="00960C51">
        <w:rPr>
          <w:rFonts w:ascii="Arial" w:hAnsi="Arial" w:cs="Arial"/>
          <w:sz w:val="20"/>
          <w:szCs w:val="20"/>
        </w:rPr>
        <w:t xml:space="preserve">1-5 </w:t>
      </w:r>
      <w:r w:rsidR="00E3431C">
        <w:rPr>
          <w:rFonts w:ascii="Arial" w:hAnsi="Arial" w:cs="Arial"/>
          <w:sz w:val="20"/>
          <w:szCs w:val="20"/>
        </w:rPr>
        <w:t>l</w:t>
      </w:r>
      <w:r w:rsidRPr="00960C51">
        <w:rPr>
          <w:rFonts w:ascii="Arial" w:hAnsi="Arial" w:cs="Arial"/>
          <w:sz w:val="20"/>
          <w:szCs w:val="20"/>
        </w:rPr>
        <w:t>akhs up to</w:t>
      </w:r>
      <w:r w:rsidR="00E3431C">
        <w:rPr>
          <w:rFonts w:ascii="Arial" w:hAnsi="Arial" w:cs="Arial"/>
          <w:sz w:val="20"/>
          <w:szCs w:val="20"/>
        </w:rPr>
        <w:t xml:space="preserve"> </w:t>
      </w:r>
      <w:r w:rsidR="001C6BD9">
        <w:rPr>
          <w:rFonts w:ascii="Arial" w:hAnsi="Arial" w:cs="Arial"/>
          <w:sz w:val="20"/>
          <w:szCs w:val="20"/>
        </w:rPr>
        <w:t>Tk</w:t>
      </w:r>
      <w:r w:rsidRPr="00960C51">
        <w:rPr>
          <w:rFonts w:ascii="Arial" w:hAnsi="Arial" w:cs="Arial"/>
          <w:sz w:val="20"/>
          <w:szCs w:val="20"/>
        </w:rPr>
        <w:t xml:space="preserve"> 25 </w:t>
      </w:r>
      <w:r w:rsidR="00E3431C">
        <w:rPr>
          <w:rFonts w:ascii="Arial" w:hAnsi="Arial" w:cs="Arial"/>
          <w:sz w:val="20"/>
          <w:szCs w:val="20"/>
        </w:rPr>
        <w:t>l</w:t>
      </w:r>
      <w:r w:rsidRPr="00960C51">
        <w:rPr>
          <w:rFonts w:ascii="Arial" w:hAnsi="Arial" w:cs="Arial"/>
          <w:sz w:val="20"/>
          <w:szCs w:val="20"/>
        </w:rPr>
        <w:t>akhs+. Each program shows the number of students in each budget category and the total. The undergraduate has the highest percentage at 55.56%</w:t>
      </w:r>
      <w:r w:rsidR="00E3431C">
        <w:rPr>
          <w:rFonts w:ascii="Arial" w:hAnsi="Arial" w:cs="Arial"/>
          <w:sz w:val="20"/>
          <w:szCs w:val="20"/>
        </w:rPr>
        <w:t>,</w:t>
      </w:r>
      <w:r w:rsidRPr="00960C51">
        <w:rPr>
          <w:rFonts w:ascii="Arial" w:hAnsi="Arial" w:cs="Arial"/>
          <w:sz w:val="20"/>
          <w:szCs w:val="20"/>
        </w:rPr>
        <w:t xml:space="preserve"> with 85 students. Among undergraduates, the maximum budget is</w:t>
      </w:r>
      <w:r w:rsidR="005F2D25">
        <w:rPr>
          <w:rFonts w:ascii="Arial" w:hAnsi="Arial" w:cs="Arial"/>
          <w:sz w:val="20"/>
          <w:szCs w:val="20"/>
        </w:rPr>
        <w:t xml:space="preserve"> </w:t>
      </w:r>
      <w:r w:rsidR="001C6BD9">
        <w:rPr>
          <w:rFonts w:ascii="Arial" w:hAnsi="Arial" w:cs="Arial"/>
          <w:sz w:val="20"/>
          <w:szCs w:val="20"/>
        </w:rPr>
        <w:t>Tk</w:t>
      </w:r>
      <w:r w:rsidRPr="00960C51">
        <w:rPr>
          <w:rFonts w:ascii="Arial" w:hAnsi="Arial" w:cs="Arial"/>
          <w:sz w:val="20"/>
          <w:szCs w:val="20"/>
        </w:rPr>
        <w:t xml:space="preserve"> </w:t>
      </w:r>
      <w:r w:rsidR="003A1788" w:rsidRPr="00960C51">
        <w:rPr>
          <w:rFonts w:ascii="Arial" w:hAnsi="Arial" w:cs="Arial"/>
          <w:sz w:val="20"/>
          <w:szCs w:val="20"/>
        </w:rPr>
        <w:t>11-15</w:t>
      </w:r>
      <w:r w:rsidRPr="00960C51">
        <w:rPr>
          <w:rFonts w:ascii="Arial" w:hAnsi="Arial" w:cs="Arial"/>
          <w:sz w:val="20"/>
          <w:szCs w:val="20"/>
        </w:rPr>
        <w:t xml:space="preserve"> lakhs (</w:t>
      </w:r>
      <w:r w:rsidR="003A1788" w:rsidRPr="00960C51">
        <w:rPr>
          <w:rFonts w:ascii="Arial" w:hAnsi="Arial" w:cs="Arial"/>
          <w:sz w:val="20"/>
          <w:szCs w:val="20"/>
        </w:rPr>
        <w:t>31</w:t>
      </w:r>
      <w:r w:rsidRPr="00960C51">
        <w:rPr>
          <w:rFonts w:ascii="Arial" w:hAnsi="Arial" w:cs="Arial"/>
          <w:sz w:val="20"/>
          <w:szCs w:val="20"/>
        </w:rPr>
        <w:t xml:space="preserve"> respondents out of 85)</w:t>
      </w:r>
      <w:r w:rsidR="00E3431C">
        <w:rPr>
          <w:rFonts w:ascii="Arial" w:hAnsi="Arial" w:cs="Arial"/>
          <w:sz w:val="20"/>
          <w:szCs w:val="20"/>
        </w:rPr>
        <w:t>,</w:t>
      </w:r>
      <w:r w:rsidRPr="00960C51">
        <w:rPr>
          <w:rFonts w:ascii="Arial" w:hAnsi="Arial" w:cs="Arial"/>
          <w:sz w:val="20"/>
          <w:szCs w:val="20"/>
        </w:rPr>
        <w:t xml:space="preserve"> and the minimum budget is </w:t>
      </w:r>
      <w:r w:rsidR="001C6BD9">
        <w:rPr>
          <w:rFonts w:ascii="Arial" w:hAnsi="Arial" w:cs="Arial"/>
          <w:sz w:val="20"/>
          <w:szCs w:val="20"/>
        </w:rPr>
        <w:t>Tk</w:t>
      </w:r>
      <w:r w:rsidR="005F2D25">
        <w:rPr>
          <w:rFonts w:ascii="Arial" w:hAnsi="Arial" w:cs="Arial"/>
          <w:sz w:val="20"/>
          <w:szCs w:val="20"/>
        </w:rPr>
        <w:t xml:space="preserve"> </w:t>
      </w:r>
      <w:r w:rsidR="003A1788" w:rsidRPr="00960C51">
        <w:rPr>
          <w:rFonts w:ascii="Arial" w:hAnsi="Arial" w:cs="Arial"/>
          <w:sz w:val="20"/>
          <w:szCs w:val="20"/>
        </w:rPr>
        <w:t>25+</w:t>
      </w:r>
      <w:r w:rsidRPr="00960C51">
        <w:rPr>
          <w:rFonts w:ascii="Arial" w:hAnsi="Arial" w:cs="Arial"/>
          <w:sz w:val="20"/>
          <w:szCs w:val="20"/>
        </w:rPr>
        <w:t xml:space="preserve"> lakhs (</w:t>
      </w:r>
      <w:r w:rsidR="003A1788" w:rsidRPr="00960C51">
        <w:rPr>
          <w:rFonts w:ascii="Arial" w:hAnsi="Arial" w:cs="Arial"/>
          <w:sz w:val="20"/>
          <w:szCs w:val="20"/>
        </w:rPr>
        <w:t>1</w:t>
      </w:r>
      <w:r w:rsidRPr="00960C51">
        <w:rPr>
          <w:rFonts w:ascii="Arial" w:hAnsi="Arial" w:cs="Arial"/>
          <w:sz w:val="20"/>
          <w:szCs w:val="20"/>
        </w:rPr>
        <w:t xml:space="preserve"> respondents out of 85). Followed by graduates at </w:t>
      </w:r>
    </w:p>
    <w:p w14:paraId="0915545A" w14:textId="46471D85" w:rsidR="009367B2" w:rsidRDefault="009367B2" w:rsidP="00960C51">
      <w:pPr>
        <w:spacing w:after="0" w:line="240" w:lineRule="auto"/>
        <w:jc w:val="both"/>
        <w:rPr>
          <w:rFonts w:ascii="Arial" w:hAnsi="Arial" w:cs="Arial"/>
          <w:sz w:val="20"/>
          <w:szCs w:val="20"/>
        </w:rPr>
      </w:pPr>
      <w:r w:rsidRPr="00960C51">
        <w:rPr>
          <w:rFonts w:ascii="Arial" w:hAnsi="Arial" w:cs="Arial"/>
          <w:sz w:val="20"/>
          <w:szCs w:val="20"/>
        </w:rPr>
        <w:t>22.88% with 35 students</w:t>
      </w:r>
      <w:r w:rsidR="00E3431C">
        <w:rPr>
          <w:rFonts w:ascii="Arial" w:hAnsi="Arial" w:cs="Arial"/>
          <w:sz w:val="20"/>
          <w:szCs w:val="20"/>
        </w:rPr>
        <w:t>;</w:t>
      </w:r>
      <w:r w:rsidRPr="00960C51">
        <w:rPr>
          <w:rFonts w:ascii="Arial" w:hAnsi="Arial" w:cs="Arial"/>
          <w:sz w:val="20"/>
          <w:szCs w:val="20"/>
        </w:rPr>
        <w:t xml:space="preserve"> among the 35 respondents, the maximum budget is </w:t>
      </w:r>
      <w:r w:rsidR="001C6BD9">
        <w:rPr>
          <w:rFonts w:ascii="Arial" w:hAnsi="Arial" w:cs="Arial"/>
          <w:sz w:val="20"/>
          <w:szCs w:val="20"/>
        </w:rPr>
        <w:t>Tk</w:t>
      </w:r>
      <w:r w:rsidR="005F2D25">
        <w:rPr>
          <w:rFonts w:ascii="Arial" w:hAnsi="Arial" w:cs="Arial"/>
          <w:sz w:val="20"/>
          <w:szCs w:val="20"/>
        </w:rPr>
        <w:t xml:space="preserve"> </w:t>
      </w:r>
      <w:r w:rsidRPr="00960C51">
        <w:rPr>
          <w:rFonts w:ascii="Arial" w:hAnsi="Arial" w:cs="Arial"/>
          <w:sz w:val="20"/>
          <w:szCs w:val="20"/>
        </w:rPr>
        <w:t xml:space="preserve">11-15 lakhs, and the minimum budget is </w:t>
      </w:r>
      <w:r w:rsidR="001C6BD9">
        <w:rPr>
          <w:rFonts w:ascii="Arial" w:hAnsi="Arial" w:cs="Arial"/>
          <w:sz w:val="20"/>
          <w:szCs w:val="20"/>
        </w:rPr>
        <w:t>Tk</w:t>
      </w:r>
      <w:r w:rsidR="005F2D25">
        <w:rPr>
          <w:rFonts w:ascii="Arial" w:hAnsi="Arial" w:cs="Arial"/>
          <w:sz w:val="20"/>
          <w:szCs w:val="20"/>
        </w:rPr>
        <w:t xml:space="preserve"> </w:t>
      </w:r>
      <w:r w:rsidRPr="00960C51">
        <w:rPr>
          <w:rFonts w:ascii="Arial" w:hAnsi="Arial" w:cs="Arial"/>
          <w:sz w:val="20"/>
          <w:szCs w:val="20"/>
        </w:rPr>
        <w:t>25+</w:t>
      </w:r>
      <w:r w:rsidR="005F2D25">
        <w:rPr>
          <w:rFonts w:ascii="Arial" w:hAnsi="Arial" w:cs="Arial"/>
          <w:sz w:val="20"/>
          <w:szCs w:val="20"/>
        </w:rPr>
        <w:t xml:space="preserve"> lakhs</w:t>
      </w:r>
      <w:r w:rsidR="00E3431C">
        <w:rPr>
          <w:rFonts w:ascii="Arial" w:hAnsi="Arial" w:cs="Arial"/>
          <w:sz w:val="20"/>
          <w:szCs w:val="20"/>
        </w:rPr>
        <w:t>.</w:t>
      </w:r>
      <w:r w:rsidRPr="00960C51">
        <w:rPr>
          <w:rFonts w:ascii="Arial" w:hAnsi="Arial" w:cs="Arial"/>
          <w:sz w:val="20"/>
          <w:szCs w:val="20"/>
        </w:rPr>
        <w:t xml:space="preserve"> And the Postgraduate</w:t>
      </w:r>
      <w:r w:rsidR="00E3431C">
        <w:rPr>
          <w:rFonts w:ascii="Arial" w:hAnsi="Arial" w:cs="Arial"/>
          <w:sz w:val="20"/>
          <w:szCs w:val="20"/>
        </w:rPr>
        <w:t xml:space="preserve"> is</w:t>
      </w:r>
      <w:r w:rsidRPr="00960C51">
        <w:rPr>
          <w:rFonts w:ascii="Arial" w:hAnsi="Arial" w:cs="Arial"/>
          <w:sz w:val="20"/>
          <w:szCs w:val="20"/>
        </w:rPr>
        <w:t xml:space="preserve"> at 17.65% with 27 students. A-level and Foundation have smaller percentages.</w:t>
      </w:r>
    </w:p>
    <w:p w14:paraId="4BECD89A" w14:textId="1C24BC0C" w:rsidR="00960C51" w:rsidRDefault="00960C51" w:rsidP="00960C51">
      <w:pPr>
        <w:spacing w:after="0" w:line="240" w:lineRule="auto"/>
        <w:jc w:val="both"/>
        <w:rPr>
          <w:rFonts w:ascii="Arial" w:hAnsi="Arial" w:cs="Arial"/>
          <w:sz w:val="20"/>
          <w:szCs w:val="20"/>
        </w:rPr>
      </w:pPr>
    </w:p>
    <w:p w14:paraId="37425F9C" w14:textId="77777777" w:rsidR="00AB07B0" w:rsidRDefault="00AB07B0" w:rsidP="00960C51">
      <w:pPr>
        <w:spacing w:after="0" w:line="240" w:lineRule="auto"/>
        <w:jc w:val="both"/>
        <w:rPr>
          <w:rFonts w:ascii="Arial" w:hAnsi="Arial" w:cs="Arial"/>
          <w:sz w:val="20"/>
          <w:szCs w:val="20"/>
        </w:rPr>
      </w:pPr>
    </w:p>
    <w:p w14:paraId="7F15A614" w14:textId="3F1C6FCD" w:rsidR="00B7165C" w:rsidRDefault="00C32A65" w:rsidP="00960C51">
      <w:pPr>
        <w:spacing w:after="0" w:line="240" w:lineRule="auto"/>
        <w:jc w:val="both"/>
        <w:rPr>
          <w:rFonts w:ascii="Arial" w:hAnsi="Arial" w:cs="Arial"/>
          <w:sz w:val="20"/>
          <w:szCs w:val="20"/>
        </w:rPr>
      </w:pPr>
      <w:r>
        <w:rPr>
          <w:rFonts w:ascii="Arial" w:hAnsi="Arial" w:cs="Arial"/>
          <w:sz w:val="20"/>
          <w:szCs w:val="20"/>
        </w:rPr>
        <w:t>Figure</w:t>
      </w:r>
      <w:r w:rsidR="00B7165C">
        <w:rPr>
          <w:rFonts w:ascii="Arial" w:hAnsi="Arial" w:cs="Arial"/>
          <w:sz w:val="20"/>
          <w:szCs w:val="20"/>
        </w:rPr>
        <w:t xml:space="preserve"> </w:t>
      </w:r>
      <w:r w:rsidR="003E0F73">
        <w:rPr>
          <w:rFonts w:ascii="Arial" w:hAnsi="Arial" w:cs="Arial"/>
          <w:sz w:val="20"/>
          <w:szCs w:val="20"/>
        </w:rPr>
        <w:t>2</w:t>
      </w:r>
      <w:r w:rsidR="00B7165C">
        <w:rPr>
          <w:rFonts w:ascii="Arial" w:hAnsi="Arial" w:cs="Arial"/>
          <w:sz w:val="20"/>
          <w:szCs w:val="20"/>
        </w:rPr>
        <w:t xml:space="preserve">: </w:t>
      </w:r>
      <w:r w:rsidR="00C93BF9" w:rsidRPr="00FC4D2F">
        <w:rPr>
          <w:rFonts w:ascii="Arial" w:hAnsi="Arial" w:cs="Arial"/>
          <w:sz w:val="20"/>
          <w:szCs w:val="20"/>
          <w:highlight w:val="yellow"/>
        </w:rPr>
        <w:t xml:space="preserve">Distribution of </w:t>
      </w:r>
      <w:r w:rsidR="00924940" w:rsidRPr="00FC4D2F">
        <w:rPr>
          <w:rFonts w:ascii="Arial" w:hAnsi="Arial" w:cs="Arial"/>
          <w:sz w:val="20"/>
          <w:szCs w:val="20"/>
          <w:highlight w:val="yellow"/>
        </w:rPr>
        <w:t xml:space="preserve">participants </w:t>
      </w:r>
      <w:r w:rsidR="00C93BF9" w:rsidRPr="00FC4D2F">
        <w:rPr>
          <w:rFonts w:ascii="Arial" w:hAnsi="Arial" w:cs="Arial"/>
          <w:sz w:val="20"/>
          <w:szCs w:val="20"/>
          <w:highlight w:val="yellow"/>
        </w:rPr>
        <w:t>who intend</w:t>
      </w:r>
      <w:r w:rsidR="00FC4D2F">
        <w:rPr>
          <w:rFonts w:ascii="Arial" w:hAnsi="Arial" w:cs="Arial"/>
          <w:sz w:val="20"/>
          <w:szCs w:val="20"/>
          <w:highlight w:val="yellow"/>
        </w:rPr>
        <w:t>ed</w:t>
      </w:r>
      <w:r w:rsidR="00C93BF9" w:rsidRPr="00FC4D2F">
        <w:rPr>
          <w:rFonts w:ascii="Arial" w:hAnsi="Arial" w:cs="Arial"/>
          <w:sz w:val="20"/>
          <w:szCs w:val="20"/>
          <w:highlight w:val="yellow"/>
        </w:rPr>
        <w:t xml:space="preserve"> to enroll in different educational programs</w:t>
      </w:r>
    </w:p>
    <w:p w14:paraId="24E7726A" w14:textId="77777777" w:rsidR="00960C51" w:rsidRDefault="00960C51" w:rsidP="00960C51">
      <w:pPr>
        <w:spacing w:after="0" w:line="240" w:lineRule="auto"/>
        <w:jc w:val="both"/>
        <w:rPr>
          <w:rFonts w:ascii="Arial" w:hAnsi="Arial" w:cs="Arial"/>
          <w:sz w:val="20"/>
          <w:szCs w:val="20"/>
        </w:rPr>
      </w:pPr>
    </w:p>
    <w:p w14:paraId="4101677F" w14:textId="77777777" w:rsidR="00724077" w:rsidRDefault="00724077" w:rsidP="00960C51">
      <w:pPr>
        <w:spacing w:after="0" w:line="240" w:lineRule="auto"/>
        <w:jc w:val="both"/>
        <w:rPr>
          <w:rFonts w:ascii="Arial" w:hAnsi="Arial" w:cs="Arial"/>
          <w:sz w:val="20"/>
          <w:szCs w:val="20"/>
        </w:rPr>
      </w:pPr>
    </w:p>
    <w:p w14:paraId="1C748E74" w14:textId="77777777" w:rsidR="00724077" w:rsidRDefault="00724077" w:rsidP="00960C51">
      <w:pPr>
        <w:spacing w:after="0" w:line="240" w:lineRule="auto"/>
        <w:jc w:val="both"/>
        <w:rPr>
          <w:rFonts w:ascii="Arial" w:hAnsi="Arial" w:cs="Arial"/>
          <w:sz w:val="20"/>
          <w:szCs w:val="20"/>
        </w:rPr>
      </w:pPr>
    </w:p>
    <w:p w14:paraId="440ACCBE" w14:textId="77777777" w:rsidR="00724077" w:rsidRPr="00960C51" w:rsidRDefault="00724077" w:rsidP="00960C51">
      <w:pPr>
        <w:spacing w:after="0" w:line="240" w:lineRule="auto"/>
        <w:jc w:val="both"/>
        <w:rPr>
          <w:rFonts w:ascii="Arial" w:hAnsi="Arial" w:cs="Arial"/>
          <w:sz w:val="20"/>
          <w:szCs w:val="20"/>
        </w:rPr>
      </w:pPr>
    </w:p>
    <w:p w14:paraId="7031E4CC" w14:textId="0C8CFD77" w:rsidR="00CA5F4B" w:rsidRPr="00960C51" w:rsidRDefault="00E2797D" w:rsidP="00960C51">
      <w:pPr>
        <w:spacing w:after="0" w:line="240" w:lineRule="auto"/>
        <w:jc w:val="both"/>
        <w:rPr>
          <w:rFonts w:ascii="Arial" w:hAnsi="Arial" w:cs="Arial"/>
          <w:b/>
          <w:bCs/>
          <w:sz w:val="20"/>
          <w:szCs w:val="20"/>
        </w:rPr>
      </w:pPr>
      <w:r w:rsidRPr="00960C51">
        <w:rPr>
          <w:rFonts w:ascii="Arial" w:hAnsi="Arial" w:cs="Arial"/>
          <w:b/>
          <w:bCs/>
          <w:sz w:val="20"/>
          <w:szCs w:val="20"/>
        </w:rPr>
        <w:t xml:space="preserve">Table </w:t>
      </w:r>
      <w:r w:rsidR="00F44842" w:rsidRPr="00960C51">
        <w:rPr>
          <w:rFonts w:ascii="Arial" w:hAnsi="Arial" w:cs="Arial"/>
          <w:b/>
          <w:bCs/>
          <w:sz w:val="20"/>
          <w:szCs w:val="20"/>
        </w:rPr>
        <w:t>8</w:t>
      </w:r>
      <w:r w:rsidRPr="00960C51">
        <w:rPr>
          <w:rFonts w:ascii="Arial" w:hAnsi="Arial" w:cs="Arial"/>
          <w:b/>
          <w:bCs/>
          <w:sz w:val="20"/>
          <w:szCs w:val="20"/>
        </w:rPr>
        <w:t xml:space="preserve">: Budget according to </w:t>
      </w:r>
      <w:r w:rsidR="00E553C8" w:rsidRPr="00960C51">
        <w:rPr>
          <w:rFonts w:ascii="Arial" w:hAnsi="Arial" w:cs="Arial"/>
          <w:b/>
          <w:bCs/>
          <w:sz w:val="20"/>
          <w:szCs w:val="20"/>
        </w:rPr>
        <w:t xml:space="preserve">their preferable </w:t>
      </w:r>
      <w:r w:rsidRPr="00960C51">
        <w:rPr>
          <w:rFonts w:ascii="Arial" w:hAnsi="Arial" w:cs="Arial"/>
          <w:b/>
          <w:bCs/>
          <w:sz w:val="20"/>
          <w:szCs w:val="20"/>
        </w:rPr>
        <w:t>continent</w:t>
      </w:r>
    </w:p>
    <w:tbl>
      <w:tblPr>
        <w:tblStyle w:val="TableGrid"/>
        <w:tblW w:w="9445" w:type="dxa"/>
        <w:tblLook w:val="04A0" w:firstRow="1" w:lastRow="0" w:firstColumn="1" w:lastColumn="0" w:noHBand="0" w:noVBand="1"/>
      </w:tblPr>
      <w:tblGrid>
        <w:gridCol w:w="1227"/>
        <w:gridCol w:w="1198"/>
        <w:gridCol w:w="1980"/>
        <w:gridCol w:w="2177"/>
        <w:gridCol w:w="1417"/>
        <w:gridCol w:w="1446"/>
      </w:tblGrid>
      <w:tr w:rsidR="00FB7C74" w:rsidRPr="00960C51" w14:paraId="7302F5B8" w14:textId="77777777" w:rsidTr="00FB7C74">
        <w:tc>
          <w:tcPr>
            <w:tcW w:w="1227" w:type="dxa"/>
          </w:tcPr>
          <w:p w14:paraId="482FC2D9" w14:textId="77777777" w:rsidR="00D567F8" w:rsidRPr="00960C51" w:rsidRDefault="00D567F8" w:rsidP="00960C51">
            <w:pPr>
              <w:jc w:val="both"/>
              <w:rPr>
                <w:rFonts w:ascii="Arial" w:hAnsi="Arial" w:cs="Arial"/>
                <w:b/>
                <w:bCs/>
                <w:sz w:val="20"/>
                <w:szCs w:val="20"/>
              </w:rPr>
            </w:pPr>
            <w:bookmarkStart w:id="4" w:name="_Hlk173110932"/>
            <w:r w:rsidRPr="00960C51">
              <w:rPr>
                <w:rFonts w:ascii="Arial" w:hAnsi="Arial" w:cs="Arial"/>
                <w:b/>
                <w:bCs/>
                <w:sz w:val="20"/>
                <w:szCs w:val="20"/>
              </w:rPr>
              <w:t>Continent</w:t>
            </w:r>
          </w:p>
        </w:tc>
        <w:tc>
          <w:tcPr>
            <w:tcW w:w="1198" w:type="dxa"/>
            <w:tcBorders>
              <w:bottom w:val="single" w:sz="4" w:space="0" w:color="auto"/>
            </w:tcBorders>
          </w:tcPr>
          <w:p w14:paraId="1D51A7D6" w14:textId="77777777" w:rsidR="00D567F8" w:rsidRPr="00960C51" w:rsidRDefault="00C33A24" w:rsidP="00960C51">
            <w:pPr>
              <w:jc w:val="both"/>
              <w:rPr>
                <w:rFonts w:ascii="Arial" w:hAnsi="Arial" w:cs="Arial"/>
                <w:b/>
                <w:bCs/>
                <w:sz w:val="20"/>
                <w:szCs w:val="20"/>
              </w:rPr>
            </w:pPr>
            <w:r w:rsidRPr="00960C51">
              <w:rPr>
                <w:rFonts w:ascii="Arial" w:hAnsi="Arial" w:cs="Arial"/>
                <w:b/>
                <w:bCs/>
                <w:sz w:val="20"/>
                <w:szCs w:val="20"/>
              </w:rPr>
              <w:t>Budget</w:t>
            </w:r>
          </w:p>
          <w:p w14:paraId="6B52DF30" w14:textId="3CC91199" w:rsidR="00C33A24" w:rsidRPr="00960C51" w:rsidRDefault="00C33A24" w:rsidP="00960C51">
            <w:pPr>
              <w:jc w:val="both"/>
              <w:rPr>
                <w:rFonts w:ascii="Arial" w:hAnsi="Arial" w:cs="Arial"/>
                <w:b/>
                <w:bCs/>
                <w:sz w:val="20"/>
                <w:szCs w:val="20"/>
              </w:rPr>
            </w:pPr>
            <w:r w:rsidRPr="00960C51">
              <w:rPr>
                <w:rFonts w:ascii="Arial" w:hAnsi="Arial" w:cs="Arial"/>
                <w:b/>
                <w:bCs/>
                <w:sz w:val="20"/>
                <w:szCs w:val="20"/>
              </w:rPr>
              <w:t>(In Lakhs</w:t>
            </w:r>
            <w:r w:rsidR="005F2D25">
              <w:rPr>
                <w:rFonts w:ascii="Arial" w:hAnsi="Arial" w:cs="Arial"/>
                <w:b/>
                <w:bCs/>
                <w:sz w:val="20"/>
                <w:szCs w:val="20"/>
              </w:rPr>
              <w:t xml:space="preserve"> BDT.</w:t>
            </w:r>
            <w:r w:rsidRPr="00960C51">
              <w:rPr>
                <w:rFonts w:ascii="Arial" w:hAnsi="Arial" w:cs="Arial"/>
                <w:b/>
                <w:bCs/>
                <w:sz w:val="20"/>
                <w:szCs w:val="20"/>
              </w:rPr>
              <w:t>)</w:t>
            </w:r>
          </w:p>
        </w:tc>
        <w:tc>
          <w:tcPr>
            <w:tcW w:w="1980" w:type="dxa"/>
            <w:tcBorders>
              <w:bottom w:val="single" w:sz="4" w:space="0" w:color="auto"/>
            </w:tcBorders>
          </w:tcPr>
          <w:p w14:paraId="692051DC" w14:textId="77777777"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 xml:space="preserve">Total </w:t>
            </w:r>
          </w:p>
          <w:p w14:paraId="4219A47C" w14:textId="634451C5"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Respondents of student purpose</w:t>
            </w:r>
          </w:p>
        </w:tc>
        <w:tc>
          <w:tcPr>
            <w:tcW w:w="2177" w:type="dxa"/>
            <w:tcBorders>
              <w:bottom w:val="single" w:sz="4" w:space="0" w:color="auto"/>
            </w:tcBorders>
          </w:tcPr>
          <w:p w14:paraId="579E57C0" w14:textId="77777777" w:rsidR="00EE797A" w:rsidRPr="00960C51" w:rsidRDefault="00D567F8" w:rsidP="00960C51">
            <w:pPr>
              <w:jc w:val="both"/>
              <w:rPr>
                <w:rFonts w:ascii="Arial" w:hAnsi="Arial" w:cs="Arial"/>
                <w:b/>
                <w:bCs/>
                <w:sz w:val="20"/>
                <w:szCs w:val="20"/>
              </w:rPr>
            </w:pPr>
            <w:r w:rsidRPr="00960C51">
              <w:rPr>
                <w:rFonts w:ascii="Arial" w:hAnsi="Arial" w:cs="Arial"/>
                <w:b/>
                <w:bCs/>
                <w:sz w:val="20"/>
                <w:szCs w:val="20"/>
              </w:rPr>
              <w:t>Total</w:t>
            </w:r>
            <w:r w:rsidR="00EE797A" w:rsidRPr="00960C51">
              <w:rPr>
                <w:rFonts w:ascii="Arial" w:hAnsi="Arial" w:cs="Arial"/>
                <w:b/>
                <w:bCs/>
                <w:sz w:val="20"/>
                <w:szCs w:val="20"/>
              </w:rPr>
              <w:t xml:space="preserve"> </w:t>
            </w:r>
          </w:p>
          <w:p w14:paraId="08D1B34D" w14:textId="66311FDA" w:rsidR="00EE797A" w:rsidRPr="00960C51" w:rsidRDefault="00D567F8" w:rsidP="00960C51">
            <w:pPr>
              <w:jc w:val="both"/>
              <w:rPr>
                <w:rFonts w:ascii="Arial" w:hAnsi="Arial" w:cs="Arial"/>
                <w:b/>
                <w:bCs/>
                <w:sz w:val="20"/>
                <w:szCs w:val="20"/>
              </w:rPr>
            </w:pPr>
            <w:r w:rsidRPr="00960C51">
              <w:rPr>
                <w:rFonts w:ascii="Arial" w:hAnsi="Arial" w:cs="Arial"/>
                <w:b/>
                <w:bCs/>
                <w:sz w:val="20"/>
                <w:szCs w:val="20"/>
              </w:rPr>
              <w:t>respondent</w:t>
            </w:r>
            <w:r w:rsidR="00926B28" w:rsidRPr="00960C51">
              <w:rPr>
                <w:rFonts w:ascii="Arial" w:hAnsi="Arial" w:cs="Arial"/>
                <w:b/>
                <w:bCs/>
                <w:sz w:val="20"/>
                <w:szCs w:val="20"/>
              </w:rPr>
              <w:t>s</w:t>
            </w:r>
            <w:r w:rsidRPr="00960C51">
              <w:rPr>
                <w:rFonts w:ascii="Arial" w:hAnsi="Arial" w:cs="Arial"/>
                <w:b/>
                <w:bCs/>
                <w:sz w:val="20"/>
                <w:szCs w:val="20"/>
              </w:rPr>
              <w:t xml:space="preserve"> of </w:t>
            </w:r>
          </w:p>
          <w:p w14:paraId="6CC7F878" w14:textId="521849BD"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working</w:t>
            </w:r>
            <w:r w:rsidR="00EE797A" w:rsidRPr="00960C51">
              <w:rPr>
                <w:rFonts w:ascii="Arial" w:hAnsi="Arial" w:cs="Arial"/>
                <w:b/>
                <w:bCs/>
                <w:sz w:val="20"/>
                <w:szCs w:val="20"/>
              </w:rPr>
              <w:t xml:space="preserve"> </w:t>
            </w:r>
            <w:r w:rsidRPr="00960C51">
              <w:rPr>
                <w:rFonts w:ascii="Arial" w:hAnsi="Arial" w:cs="Arial"/>
                <w:b/>
                <w:bCs/>
                <w:sz w:val="20"/>
                <w:szCs w:val="20"/>
              </w:rPr>
              <w:t>purpose</w:t>
            </w:r>
          </w:p>
        </w:tc>
        <w:tc>
          <w:tcPr>
            <w:tcW w:w="1417" w:type="dxa"/>
          </w:tcPr>
          <w:p w14:paraId="4E94021D" w14:textId="77777777"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Total respondents</w:t>
            </w:r>
          </w:p>
        </w:tc>
        <w:tc>
          <w:tcPr>
            <w:tcW w:w="1446" w:type="dxa"/>
          </w:tcPr>
          <w:p w14:paraId="1F21E961" w14:textId="77777777" w:rsidR="00D567F8" w:rsidRPr="00960C51" w:rsidRDefault="00D567F8" w:rsidP="00960C51">
            <w:pPr>
              <w:jc w:val="both"/>
              <w:rPr>
                <w:rFonts w:ascii="Arial" w:hAnsi="Arial" w:cs="Arial"/>
                <w:b/>
                <w:bCs/>
                <w:sz w:val="20"/>
                <w:szCs w:val="20"/>
              </w:rPr>
            </w:pPr>
            <w:r w:rsidRPr="00960C51">
              <w:rPr>
                <w:rFonts w:ascii="Arial" w:hAnsi="Arial" w:cs="Arial"/>
                <w:b/>
                <w:bCs/>
                <w:sz w:val="20"/>
                <w:szCs w:val="20"/>
              </w:rPr>
              <w:t>% of total respondents</w:t>
            </w:r>
          </w:p>
        </w:tc>
      </w:tr>
      <w:tr w:rsidR="00FB7C74" w:rsidRPr="00960C51" w14:paraId="225653AC" w14:textId="77777777" w:rsidTr="00FB7C74">
        <w:tc>
          <w:tcPr>
            <w:tcW w:w="1227" w:type="dxa"/>
            <w:vMerge w:val="restart"/>
          </w:tcPr>
          <w:p w14:paraId="40E63F83" w14:textId="77777777" w:rsidR="00D567F8" w:rsidRPr="00960C51" w:rsidRDefault="00D567F8" w:rsidP="00960C51">
            <w:pPr>
              <w:jc w:val="both"/>
              <w:rPr>
                <w:rFonts w:ascii="Arial" w:hAnsi="Arial" w:cs="Arial"/>
                <w:sz w:val="20"/>
                <w:szCs w:val="20"/>
              </w:rPr>
            </w:pPr>
          </w:p>
          <w:p w14:paraId="5C1F67A5" w14:textId="77777777" w:rsidR="00D567F8" w:rsidRPr="00960C51" w:rsidRDefault="00D567F8" w:rsidP="00960C51">
            <w:pPr>
              <w:jc w:val="both"/>
              <w:rPr>
                <w:rFonts w:ascii="Arial" w:hAnsi="Arial" w:cs="Arial"/>
                <w:sz w:val="20"/>
                <w:szCs w:val="20"/>
              </w:rPr>
            </w:pPr>
          </w:p>
          <w:p w14:paraId="3BD803BA" w14:textId="77777777" w:rsidR="00D567F8" w:rsidRPr="00960C51" w:rsidRDefault="00D567F8" w:rsidP="00960C51">
            <w:pPr>
              <w:jc w:val="both"/>
              <w:rPr>
                <w:rFonts w:ascii="Arial" w:hAnsi="Arial" w:cs="Arial"/>
                <w:sz w:val="20"/>
                <w:szCs w:val="20"/>
              </w:rPr>
            </w:pPr>
          </w:p>
          <w:p w14:paraId="6913C7C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w:t>
            </w:r>
          </w:p>
        </w:tc>
        <w:tc>
          <w:tcPr>
            <w:tcW w:w="1198" w:type="dxa"/>
            <w:tcBorders>
              <w:bottom w:val="nil"/>
            </w:tcBorders>
          </w:tcPr>
          <w:p w14:paraId="36E48CB1" w14:textId="57CFA51B"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78F622E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06</w:t>
            </w:r>
          </w:p>
        </w:tc>
        <w:tc>
          <w:tcPr>
            <w:tcW w:w="2177" w:type="dxa"/>
            <w:tcBorders>
              <w:bottom w:val="nil"/>
            </w:tcBorders>
          </w:tcPr>
          <w:p w14:paraId="15A54E5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val="restart"/>
          </w:tcPr>
          <w:p w14:paraId="7C31D3D7" w14:textId="77777777" w:rsidR="00D567F8" w:rsidRPr="00960C51" w:rsidRDefault="00D567F8" w:rsidP="00960C51">
            <w:pPr>
              <w:jc w:val="both"/>
              <w:rPr>
                <w:rFonts w:ascii="Arial" w:hAnsi="Arial" w:cs="Arial"/>
                <w:sz w:val="20"/>
                <w:szCs w:val="20"/>
              </w:rPr>
            </w:pPr>
          </w:p>
          <w:p w14:paraId="1E98CAA2" w14:textId="77777777" w:rsidR="00D567F8" w:rsidRPr="00960C51" w:rsidRDefault="00D567F8" w:rsidP="00960C51">
            <w:pPr>
              <w:jc w:val="both"/>
              <w:rPr>
                <w:rFonts w:ascii="Arial" w:hAnsi="Arial" w:cs="Arial"/>
                <w:sz w:val="20"/>
                <w:szCs w:val="20"/>
              </w:rPr>
            </w:pPr>
          </w:p>
          <w:p w14:paraId="66A26611" w14:textId="77777777" w:rsidR="00D567F8" w:rsidRPr="00960C51" w:rsidRDefault="00D567F8" w:rsidP="00960C51">
            <w:pPr>
              <w:jc w:val="both"/>
              <w:rPr>
                <w:rFonts w:ascii="Arial" w:hAnsi="Arial" w:cs="Arial"/>
                <w:sz w:val="20"/>
                <w:szCs w:val="20"/>
              </w:rPr>
            </w:pPr>
          </w:p>
          <w:p w14:paraId="7F32835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63</w:t>
            </w:r>
          </w:p>
        </w:tc>
        <w:tc>
          <w:tcPr>
            <w:tcW w:w="1446" w:type="dxa"/>
            <w:vMerge w:val="restart"/>
          </w:tcPr>
          <w:p w14:paraId="4FE6D49D" w14:textId="77777777" w:rsidR="00D567F8" w:rsidRPr="00960C51" w:rsidRDefault="00D567F8" w:rsidP="00960C51">
            <w:pPr>
              <w:jc w:val="both"/>
              <w:rPr>
                <w:rFonts w:ascii="Arial" w:hAnsi="Arial" w:cs="Arial"/>
                <w:sz w:val="20"/>
                <w:szCs w:val="20"/>
              </w:rPr>
            </w:pPr>
          </w:p>
          <w:p w14:paraId="3037B91E" w14:textId="77777777" w:rsidR="00D567F8" w:rsidRPr="00960C51" w:rsidRDefault="00D567F8" w:rsidP="00960C51">
            <w:pPr>
              <w:jc w:val="both"/>
              <w:rPr>
                <w:rFonts w:ascii="Arial" w:hAnsi="Arial" w:cs="Arial"/>
                <w:sz w:val="20"/>
                <w:szCs w:val="20"/>
              </w:rPr>
            </w:pPr>
          </w:p>
          <w:p w14:paraId="64C5827F" w14:textId="77777777" w:rsidR="00D567F8" w:rsidRPr="00960C51" w:rsidRDefault="00D567F8" w:rsidP="00960C51">
            <w:pPr>
              <w:jc w:val="both"/>
              <w:rPr>
                <w:rFonts w:ascii="Arial" w:hAnsi="Arial" w:cs="Arial"/>
                <w:sz w:val="20"/>
                <w:szCs w:val="20"/>
              </w:rPr>
            </w:pPr>
          </w:p>
          <w:p w14:paraId="082C30B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36.84%</w:t>
            </w:r>
          </w:p>
        </w:tc>
      </w:tr>
      <w:tr w:rsidR="00FB7C74" w:rsidRPr="00960C51" w14:paraId="0256AD70" w14:textId="77777777" w:rsidTr="00FB7C74">
        <w:tc>
          <w:tcPr>
            <w:tcW w:w="1227" w:type="dxa"/>
            <w:vMerge/>
          </w:tcPr>
          <w:p w14:paraId="4D85DFA6"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3E1C503" w14:textId="4E429767"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274FD88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13</w:t>
            </w:r>
          </w:p>
        </w:tc>
        <w:tc>
          <w:tcPr>
            <w:tcW w:w="2177" w:type="dxa"/>
            <w:tcBorders>
              <w:top w:val="nil"/>
              <w:bottom w:val="nil"/>
            </w:tcBorders>
          </w:tcPr>
          <w:p w14:paraId="3D32CE7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1417" w:type="dxa"/>
            <w:vMerge/>
          </w:tcPr>
          <w:p w14:paraId="6126BA9D" w14:textId="77777777" w:rsidR="00D567F8" w:rsidRPr="00960C51" w:rsidRDefault="00D567F8" w:rsidP="00960C51">
            <w:pPr>
              <w:jc w:val="both"/>
              <w:rPr>
                <w:rFonts w:ascii="Arial" w:hAnsi="Arial" w:cs="Arial"/>
                <w:sz w:val="20"/>
                <w:szCs w:val="20"/>
              </w:rPr>
            </w:pPr>
          </w:p>
        </w:tc>
        <w:tc>
          <w:tcPr>
            <w:tcW w:w="1446" w:type="dxa"/>
            <w:vMerge/>
          </w:tcPr>
          <w:p w14:paraId="25D1F2A7" w14:textId="77777777" w:rsidR="00D567F8" w:rsidRPr="00960C51" w:rsidRDefault="00D567F8" w:rsidP="00960C51">
            <w:pPr>
              <w:jc w:val="both"/>
              <w:rPr>
                <w:rFonts w:ascii="Arial" w:hAnsi="Arial" w:cs="Arial"/>
                <w:sz w:val="20"/>
                <w:szCs w:val="20"/>
              </w:rPr>
            </w:pPr>
          </w:p>
        </w:tc>
      </w:tr>
      <w:tr w:rsidR="00FB7C74" w:rsidRPr="00960C51" w14:paraId="2C85C2E7" w14:textId="77777777" w:rsidTr="00FB7C74">
        <w:tc>
          <w:tcPr>
            <w:tcW w:w="1227" w:type="dxa"/>
            <w:vMerge/>
          </w:tcPr>
          <w:p w14:paraId="3DC1095F"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31914878" w14:textId="6BB73A6F"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2D95FDF5"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24 (Mode)</w:t>
            </w:r>
          </w:p>
        </w:tc>
        <w:tc>
          <w:tcPr>
            <w:tcW w:w="2177" w:type="dxa"/>
            <w:tcBorders>
              <w:top w:val="nil"/>
              <w:bottom w:val="nil"/>
            </w:tcBorders>
          </w:tcPr>
          <w:p w14:paraId="6E3C7C1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21716143" w14:textId="77777777" w:rsidR="00D567F8" w:rsidRPr="00960C51" w:rsidRDefault="00D567F8" w:rsidP="00960C51">
            <w:pPr>
              <w:jc w:val="both"/>
              <w:rPr>
                <w:rFonts w:ascii="Arial" w:hAnsi="Arial" w:cs="Arial"/>
                <w:sz w:val="20"/>
                <w:szCs w:val="20"/>
              </w:rPr>
            </w:pPr>
          </w:p>
        </w:tc>
        <w:tc>
          <w:tcPr>
            <w:tcW w:w="1446" w:type="dxa"/>
            <w:vMerge/>
          </w:tcPr>
          <w:p w14:paraId="15AD1831" w14:textId="77777777" w:rsidR="00D567F8" w:rsidRPr="00960C51" w:rsidRDefault="00D567F8" w:rsidP="00960C51">
            <w:pPr>
              <w:jc w:val="both"/>
              <w:rPr>
                <w:rFonts w:ascii="Arial" w:hAnsi="Arial" w:cs="Arial"/>
                <w:sz w:val="20"/>
                <w:szCs w:val="20"/>
              </w:rPr>
            </w:pPr>
          </w:p>
        </w:tc>
      </w:tr>
      <w:tr w:rsidR="00FB7C74" w:rsidRPr="00960C51" w14:paraId="57BA26A8" w14:textId="77777777" w:rsidTr="00FB7C74">
        <w:tc>
          <w:tcPr>
            <w:tcW w:w="1227" w:type="dxa"/>
            <w:vMerge/>
          </w:tcPr>
          <w:p w14:paraId="799F392A"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C60F2F8" w14:textId="6F49A35E"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5E5617E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top w:val="nil"/>
              <w:bottom w:val="nil"/>
            </w:tcBorders>
          </w:tcPr>
          <w:p w14:paraId="27DF732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4251532B" w14:textId="77777777" w:rsidR="00D567F8" w:rsidRPr="00960C51" w:rsidRDefault="00D567F8" w:rsidP="00960C51">
            <w:pPr>
              <w:jc w:val="both"/>
              <w:rPr>
                <w:rFonts w:ascii="Arial" w:hAnsi="Arial" w:cs="Arial"/>
                <w:sz w:val="20"/>
                <w:szCs w:val="20"/>
              </w:rPr>
            </w:pPr>
          </w:p>
        </w:tc>
        <w:tc>
          <w:tcPr>
            <w:tcW w:w="1446" w:type="dxa"/>
            <w:vMerge/>
          </w:tcPr>
          <w:p w14:paraId="44F074B5" w14:textId="77777777" w:rsidR="00D567F8" w:rsidRPr="00960C51" w:rsidRDefault="00D567F8" w:rsidP="00960C51">
            <w:pPr>
              <w:jc w:val="both"/>
              <w:rPr>
                <w:rFonts w:ascii="Arial" w:hAnsi="Arial" w:cs="Arial"/>
                <w:sz w:val="20"/>
                <w:szCs w:val="20"/>
              </w:rPr>
            </w:pPr>
          </w:p>
        </w:tc>
      </w:tr>
      <w:tr w:rsidR="00FB7C74" w:rsidRPr="00960C51" w14:paraId="5C42B6DA" w14:textId="77777777" w:rsidTr="00FB7C74">
        <w:tc>
          <w:tcPr>
            <w:tcW w:w="1227" w:type="dxa"/>
            <w:vMerge/>
          </w:tcPr>
          <w:p w14:paraId="4A7F0DFD"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748781B" w14:textId="770D2E7A"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02346B7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08</w:t>
            </w:r>
          </w:p>
        </w:tc>
        <w:tc>
          <w:tcPr>
            <w:tcW w:w="2177" w:type="dxa"/>
            <w:tcBorders>
              <w:top w:val="nil"/>
              <w:bottom w:val="nil"/>
            </w:tcBorders>
          </w:tcPr>
          <w:p w14:paraId="300A9A6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03 (Mode)</w:t>
            </w:r>
          </w:p>
        </w:tc>
        <w:tc>
          <w:tcPr>
            <w:tcW w:w="1417" w:type="dxa"/>
            <w:vMerge/>
          </w:tcPr>
          <w:p w14:paraId="21D23EC8" w14:textId="77777777" w:rsidR="00D567F8" w:rsidRPr="00960C51" w:rsidRDefault="00D567F8" w:rsidP="00960C51">
            <w:pPr>
              <w:jc w:val="both"/>
              <w:rPr>
                <w:rFonts w:ascii="Arial" w:hAnsi="Arial" w:cs="Arial"/>
                <w:sz w:val="20"/>
                <w:szCs w:val="20"/>
              </w:rPr>
            </w:pPr>
          </w:p>
        </w:tc>
        <w:tc>
          <w:tcPr>
            <w:tcW w:w="1446" w:type="dxa"/>
            <w:vMerge/>
          </w:tcPr>
          <w:p w14:paraId="19BF5593" w14:textId="77777777" w:rsidR="00D567F8" w:rsidRPr="00960C51" w:rsidRDefault="00D567F8" w:rsidP="00960C51">
            <w:pPr>
              <w:jc w:val="both"/>
              <w:rPr>
                <w:rFonts w:ascii="Arial" w:hAnsi="Arial" w:cs="Arial"/>
                <w:sz w:val="20"/>
                <w:szCs w:val="20"/>
              </w:rPr>
            </w:pPr>
          </w:p>
        </w:tc>
      </w:tr>
      <w:tr w:rsidR="00FB7C74" w:rsidRPr="00960C51" w14:paraId="5A50CC25" w14:textId="77777777" w:rsidTr="00FB7C74">
        <w:tc>
          <w:tcPr>
            <w:tcW w:w="1227" w:type="dxa"/>
            <w:vMerge/>
          </w:tcPr>
          <w:p w14:paraId="3819F62C" w14:textId="77777777" w:rsidR="00D567F8" w:rsidRPr="00960C51" w:rsidRDefault="00D567F8" w:rsidP="00960C51">
            <w:pPr>
              <w:jc w:val="both"/>
              <w:rPr>
                <w:rFonts w:ascii="Arial" w:hAnsi="Arial" w:cs="Arial"/>
                <w:sz w:val="20"/>
                <w:szCs w:val="20"/>
              </w:rPr>
            </w:pPr>
          </w:p>
        </w:tc>
        <w:tc>
          <w:tcPr>
            <w:tcW w:w="1198" w:type="dxa"/>
            <w:tcBorders>
              <w:top w:val="nil"/>
            </w:tcBorders>
          </w:tcPr>
          <w:p w14:paraId="5705D7FD" w14:textId="4FBCFCB9" w:rsidR="00D567F8" w:rsidRPr="00960C51" w:rsidRDefault="00D567F8" w:rsidP="00960C51">
            <w:pPr>
              <w:jc w:val="both"/>
              <w:rPr>
                <w:rFonts w:ascii="Arial" w:hAnsi="Arial" w:cs="Arial"/>
                <w:sz w:val="20"/>
                <w:szCs w:val="20"/>
              </w:rPr>
            </w:pPr>
            <w:r w:rsidRPr="00960C51">
              <w:rPr>
                <w:rFonts w:ascii="Arial" w:hAnsi="Arial" w:cs="Arial"/>
                <w:sz w:val="20"/>
                <w:szCs w:val="20"/>
              </w:rPr>
              <w:t>25 +</w:t>
            </w:r>
          </w:p>
        </w:tc>
        <w:tc>
          <w:tcPr>
            <w:tcW w:w="1980" w:type="dxa"/>
            <w:tcBorders>
              <w:top w:val="nil"/>
            </w:tcBorders>
          </w:tcPr>
          <w:p w14:paraId="163BF53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153B96A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2A0E48D3" w14:textId="77777777" w:rsidR="00D567F8" w:rsidRPr="00960C51" w:rsidRDefault="00D567F8" w:rsidP="00960C51">
            <w:pPr>
              <w:jc w:val="both"/>
              <w:rPr>
                <w:rFonts w:ascii="Arial" w:hAnsi="Arial" w:cs="Arial"/>
                <w:sz w:val="20"/>
                <w:szCs w:val="20"/>
              </w:rPr>
            </w:pPr>
          </w:p>
        </w:tc>
        <w:tc>
          <w:tcPr>
            <w:tcW w:w="1446" w:type="dxa"/>
            <w:vMerge/>
          </w:tcPr>
          <w:p w14:paraId="010C922F" w14:textId="77777777" w:rsidR="00D567F8" w:rsidRPr="00960C51" w:rsidRDefault="00D567F8" w:rsidP="00960C51">
            <w:pPr>
              <w:jc w:val="both"/>
              <w:rPr>
                <w:rFonts w:ascii="Arial" w:hAnsi="Arial" w:cs="Arial"/>
                <w:sz w:val="20"/>
                <w:szCs w:val="20"/>
              </w:rPr>
            </w:pPr>
          </w:p>
        </w:tc>
      </w:tr>
      <w:tr w:rsidR="00FB7C74" w:rsidRPr="00960C51" w14:paraId="77B4565F" w14:textId="77777777" w:rsidTr="00FB7C74">
        <w:tc>
          <w:tcPr>
            <w:tcW w:w="1227" w:type="dxa"/>
            <w:vMerge/>
          </w:tcPr>
          <w:p w14:paraId="72B902CB"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3EAD244D"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13566FDF" w14:textId="77777777" w:rsidR="00D567F8" w:rsidRPr="00960C51" w:rsidRDefault="00D567F8" w:rsidP="00FB7C74">
            <w:pPr>
              <w:jc w:val="center"/>
              <w:rPr>
                <w:rFonts w:ascii="Arial" w:hAnsi="Arial" w:cs="Arial"/>
                <w:sz w:val="20"/>
                <w:szCs w:val="20"/>
              </w:rPr>
            </w:pPr>
            <w:r w:rsidRPr="00960C51">
              <w:rPr>
                <w:rFonts w:ascii="Arial" w:hAnsi="Arial" w:cs="Arial"/>
                <w:sz w:val="20"/>
                <w:szCs w:val="20"/>
              </w:rPr>
              <w:t>Total = 55 (35.95%)</w:t>
            </w:r>
          </w:p>
        </w:tc>
        <w:tc>
          <w:tcPr>
            <w:tcW w:w="2177" w:type="dxa"/>
            <w:tcBorders>
              <w:bottom w:val="single" w:sz="4" w:space="0" w:color="auto"/>
            </w:tcBorders>
          </w:tcPr>
          <w:p w14:paraId="263556C7" w14:textId="4B184474" w:rsidR="00D567F8" w:rsidRPr="00960C51" w:rsidRDefault="00D567F8" w:rsidP="00960C51">
            <w:pPr>
              <w:jc w:val="both"/>
              <w:rPr>
                <w:rFonts w:ascii="Arial" w:hAnsi="Arial" w:cs="Arial"/>
                <w:sz w:val="20"/>
                <w:szCs w:val="20"/>
              </w:rPr>
            </w:pPr>
            <w:r w:rsidRPr="00960C51">
              <w:rPr>
                <w:rFonts w:ascii="Arial" w:hAnsi="Arial" w:cs="Arial"/>
                <w:sz w:val="20"/>
                <w:szCs w:val="20"/>
              </w:rPr>
              <w:t>Total = 08</w:t>
            </w:r>
            <w:r w:rsidR="00FB7C74">
              <w:rPr>
                <w:rFonts w:ascii="Arial" w:hAnsi="Arial" w:cs="Arial"/>
                <w:sz w:val="20"/>
                <w:szCs w:val="20"/>
              </w:rPr>
              <w:t xml:space="preserve"> </w:t>
            </w:r>
            <w:r w:rsidRPr="00960C51">
              <w:rPr>
                <w:rFonts w:ascii="Arial" w:hAnsi="Arial" w:cs="Arial"/>
                <w:sz w:val="20"/>
                <w:szCs w:val="20"/>
              </w:rPr>
              <w:t>(44.44%)</w:t>
            </w:r>
          </w:p>
        </w:tc>
        <w:tc>
          <w:tcPr>
            <w:tcW w:w="1417" w:type="dxa"/>
            <w:vMerge/>
          </w:tcPr>
          <w:p w14:paraId="674EDD3E" w14:textId="77777777" w:rsidR="00D567F8" w:rsidRPr="00960C51" w:rsidRDefault="00D567F8" w:rsidP="00960C51">
            <w:pPr>
              <w:jc w:val="both"/>
              <w:rPr>
                <w:rFonts w:ascii="Arial" w:hAnsi="Arial" w:cs="Arial"/>
                <w:sz w:val="20"/>
                <w:szCs w:val="20"/>
              </w:rPr>
            </w:pPr>
          </w:p>
        </w:tc>
        <w:tc>
          <w:tcPr>
            <w:tcW w:w="1446" w:type="dxa"/>
            <w:vMerge/>
          </w:tcPr>
          <w:p w14:paraId="578A8244" w14:textId="77777777" w:rsidR="00D567F8" w:rsidRPr="00960C51" w:rsidRDefault="00D567F8" w:rsidP="00960C51">
            <w:pPr>
              <w:jc w:val="both"/>
              <w:rPr>
                <w:rFonts w:ascii="Arial" w:hAnsi="Arial" w:cs="Arial"/>
                <w:sz w:val="20"/>
                <w:szCs w:val="20"/>
              </w:rPr>
            </w:pPr>
          </w:p>
        </w:tc>
      </w:tr>
      <w:tr w:rsidR="00FB7C74" w:rsidRPr="00960C51" w14:paraId="2CE3D4F5" w14:textId="77777777" w:rsidTr="00FB7C74">
        <w:tc>
          <w:tcPr>
            <w:tcW w:w="1227" w:type="dxa"/>
            <w:vMerge w:val="restart"/>
          </w:tcPr>
          <w:p w14:paraId="49246EFD" w14:textId="77777777" w:rsidR="00D567F8" w:rsidRPr="00960C51" w:rsidRDefault="00D567F8" w:rsidP="00960C51">
            <w:pPr>
              <w:jc w:val="both"/>
              <w:rPr>
                <w:rFonts w:ascii="Arial" w:hAnsi="Arial" w:cs="Arial"/>
                <w:sz w:val="20"/>
                <w:szCs w:val="20"/>
              </w:rPr>
            </w:pPr>
          </w:p>
          <w:p w14:paraId="15C2BA94" w14:textId="77777777" w:rsidR="00D567F8" w:rsidRPr="00960C51" w:rsidRDefault="00D567F8" w:rsidP="00960C51">
            <w:pPr>
              <w:jc w:val="both"/>
              <w:rPr>
                <w:rFonts w:ascii="Arial" w:hAnsi="Arial" w:cs="Arial"/>
                <w:sz w:val="20"/>
                <w:szCs w:val="20"/>
              </w:rPr>
            </w:pPr>
          </w:p>
          <w:p w14:paraId="6A7C6AFF" w14:textId="77777777" w:rsidR="00D567F8" w:rsidRPr="00960C51" w:rsidRDefault="00D567F8" w:rsidP="00960C51">
            <w:pPr>
              <w:jc w:val="both"/>
              <w:rPr>
                <w:rFonts w:ascii="Arial" w:hAnsi="Arial" w:cs="Arial"/>
                <w:sz w:val="20"/>
                <w:szCs w:val="20"/>
              </w:rPr>
            </w:pPr>
          </w:p>
          <w:p w14:paraId="4221B16C" w14:textId="77777777" w:rsidR="00D567F8" w:rsidRPr="00960C51" w:rsidRDefault="00D567F8" w:rsidP="00960C51">
            <w:pPr>
              <w:jc w:val="both"/>
              <w:rPr>
                <w:rFonts w:ascii="Arial" w:hAnsi="Arial" w:cs="Arial"/>
                <w:sz w:val="20"/>
                <w:szCs w:val="20"/>
              </w:rPr>
            </w:pPr>
          </w:p>
          <w:p w14:paraId="21A04E95" w14:textId="77777777" w:rsidR="00D567F8" w:rsidRPr="00960C51" w:rsidRDefault="00D567F8" w:rsidP="00960C51">
            <w:pPr>
              <w:jc w:val="both"/>
              <w:rPr>
                <w:rFonts w:ascii="Arial" w:hAnsi="Arial" w:cs="Arial"/>
                <w:sz w:val="20"/>
                <w:szCs w:val="20"/>
              </w:rPr>
            </w:pPr>
          </w:p>
          <w:p w14:paraId="1DF3758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North America</w:t>
            </w:r>
          </w:p>
        </w:tc>
        <w:tc>
          <w:tcPr>
            <w:tcW w:w="1198" w:type="dxa"/>
            <w:tcBorders>
              <w:bottom w:val="nil"/>
            </w:tcBorders>
          </w:tcPr>
          <w:p w14:paraId="1FEFCBBA" w14:textId="20382F88"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4D676DB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bottom w:val="nil"/>
            </w:tcBorders>
          </w:tcPr>
          <w:p w14:paraId="13E8185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49F975F3" w14:textId="77777777" w:rsidR="00D567F8" w:rsidRPr="00960C51" w:rsidRDefault="00D567F8" w:rsidP="00960C51">
            <w:pPr>
              <w:jc w:val="both"/>
              <w:rPr>
                <w:rFonts w:ascii="Arial" w:hAnsi="Arial" w:cs="Arial"/>
                <w:sz w:val="20"/>
                <w:szCs w:val="20"/>
              </w:rPr>
            </w:pPr>
          </w:p>
          <w:p w14:paraId="022ED0A9" w14:textId="77777777" w:rsidR="00D567F8" w:rsidRPr="00960C51" w:rsidRDefault="00D567F8" w:rsidP="00960C51">
            <w:pPr>
              <w:jc w:val="both"/>
              <w:rPr>
                <w:rFonts w:ascii="Arial" w:hAnsi="Arial" w:cs="Arial"/>
                <w:sz w:val="20"/>
                <w:szCs w:val="20"/>
              </w:rPr>
            </w:pPr>
          </w:p>
          <w:p w14:paraId="11D22A99" w14:textId="77777777" w:rsidR="00D567F8" w:rsidRPr="00960C51" w:rsidRDefault="00D567F8" w:rsidP="00960C51">
            <w:pPr>
              <w:jc w:val="both"/>
              <w:rPr>
                <w:rFonts w:ascii="Arial" w:hAnsi="Arial" w:cs="Arial"/>
                <w:sz w:val="20"/>
                <w:szCs w:val="20"/>
              </w:rPr>
            </w:pPr>
          </w:p>
          <w:p w14:paraId="46B8DB6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33</w:t>
            </w:r>
          </w:p>
        </w:tc>
        <w:tc>
          <w:tcPr>
            <w:tcW w:w="1446" w:type="dxa"/>
            <w:vMerge w:val="restart"/>
          </w:tcPr>
          <w:p w14:paraId="3CC65550" w14:textId="77777777" w:rsidR="00D567F8" w:rsidRPr="00960C51" w:rsidRDefault="00D567F8" w:rsidP="00960C51">
            <w:pPr>
              <w:jc w:val="both"/>
              <w:rPr>
                <w:rFonts w:ascii="Arial" w:hAnsi="Arial" w:cs="Arial"/>
                <w:sz w:val="20"/>
                <w:szCs w:val="20"/>
              </w:rPr>
            </w:pPr>
          </w:p>
          <w:p w14:paraId="32226E36" w14:textId="77777777" w:rsidR="00D567F8" w:rsidRPr="00960C51" w:rsidRDefault="00D567F8" w:rsidP="00960C51">
            <w:pPr>
              <w:jc w:val="both"/>
              <w:rPr>
                <w:rFonts w:ascii="Arial" w:hAnsi="Arial" w:cs="Arial"/>
                <w:sz w:val="20"/>
                <w:szCs w:val="20"/>
              </w:rPr>
            </w:pPr>
          </w:p>
          <w:p w14:paraId="6DEAE74E" w14:textId="77777777" w:rsidR="00D567F8" w:rsidRPr="00960C51" w:rsidRDefault="00D567F8" w:rsidP="00960C51">
            <w:pPr>
              <w:jc w:val="both"/>
              <w:rPr>
                <w:rFonts w:ascii="Arial" w:hAnsi="Arial" w:cs="Arial"/>
                <w:sz w:val="20"/>
                <w:szCs w:val="20"/>
              </w:rPr>
            </w:pPr>
          </w:p>
          <w:p w14:paraId="67B8856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19.30%</w:t>
            </w:r>
          </w:p>
        </w:tc>
      </w:tr>
      <w:tr w:rsidR="00FB7C74" w:rsidRPr="00960C51" w14:paraId="2DC196D0" w14:textId="77777777" w:rsidTr="00FB7C74">
        <w:tc>
          <w:tcPr>
            <w:tcW w:w="1227" w:type="dxa"/>
            <w:vMerge/>
          </w:tcPr>
          <w:p w14:paraId="7419A97A"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787A283" w14:textId="26844495"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4972325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09</w:t>
            </w:r>
          </w:p>
        </w:tc>
        <w:tc>
          <w:tcPr>
            <w:tcW w:w="2177" w:type="dxa"/>
            <w:tcBorders>
              <w:top w:val="nil"/>
              <w:bottom w:val="nil"/>
            </w:tcBorders>
          </w:tcPr>
          <w:p w14:paraId="3D02EB2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4044169" w14:textId="77777777" w:rsidR="00D567F8" w:rsidRPr="00960C51" w:rsidRDefault="00D567F8" w:rsidP="00960C51">
            <w:pPr>
              <w:jc w:val="both"/>
              <w:rPr>
                <w:rFonts w:ascii="Arial" w:hAnsi="Arial" w:cs="Arial"/>
                <w:sz w:val="20"/>
                <w:szCs w:val="20"/>
              </w:rPr>
            </w:pPr>
          </w:p>
        </w:tc>
        <w:tc>
          <w:tcPr>
            <w:tcW w:w="1446" w:type="dxa"/>
            <w:vMerge/>
          </w:tcPr>
          <w:p w14:paraId="224E37DB" w14:textId="77777777" w:rsidR="00D567F8" w:rsidRPr="00960C51" w:rsidRDefault="00D567F8" w:rsidP="00960C51">
            <w:pPr>
              <w:jc w:val="both"/>
              <w:rPr>
                <w:rFonts w:ascii="Arial" w:hAnsi="Arial" w:cs="Arial"/>
                <w:sz w:val="20"/>
                <w:szCs w:val="20"/>
              </w:rPr>
            </w:pPr>
          </w:p>
        </w:tc>
      </w:tr>
      <w:tr w:rsidR="00FB7C74" w:rsidRPr="00960C51" w14:paraId="499C0788" w14:textId="77777777" w:rsidTr="00FB7C74">
        <w:tc>
          <w:tcPr>
            <w:tcW w:w="1227" w:type="dxa"/>
            <w:vMerge/>
          </w:tcPr>
          <w:p w14:paraId="459D77B4"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506017E" w14:textId="3B47C93E"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1274151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14 (Mode)</w:t>
            </w:r>
          </w:p>
        </w:tc>
        <w:tc>
          <w:tcPr>
            <w:tcW w:w="2177" w:type="dxa"/>
            <w:tcBorders>
              <w:top w:val="nil"/>
              <w:bottom w:val="nil"/>
            </w:tcBorders>
          </w:tcPr>
          <w:p w14:paraId="0A59F6C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85D5848" w14:textId="77777777" w:rsidR="00D567F8" w:rsidRPr="00960C51" w:rsidRDefault="00D567F8" w:rsidP="00960C51">
            <w:pPr>
              <w:jc w:val="both"/>
              <w:rPr>
                <w:rFonts w:ascii="Arial" w:hAnsi="Arial" w:cs="Arial"/>
                <w:sz w:val="20"/>
                <w:szCs w:val="20"/>
              </w:rPr>
            </w:pPr>
          </w:p>
        </w:tc>
        <w:tc>
          <w:tcPr>
            <w:tcW w:w="1446" w:type="dxa"/>
            <w:vMerge/>
          </w:tcPr>
          <w:p w14:paraId="7010A522" w14:textId="77777777" w:rsidR="00D567F8" w:rsidRPr="00960C51" w:rsidRDefault="00D567F8" w:rsidP="00960C51">
            <w:pPr>
              <w:jc w:val="both"/>
              <w:rPr>
                <w:rFonts w:ascii="Arial" w:hAnsi="Arial" w:cs="Arial"/>
                <w:sz w:val="20"/>
                <w:szCs w:val="20"/>
              </w:rPr>
            </w:pPr>
          </w:p>
        </w:tc>
      </w:tr>
      <w:tr w:rsidR="00FB7C74" w:rsidRPr="00960C51" w14:paraId="46B0A078" w14:textId="77777777" w:rsidTr="00FB7C74">
        <w:tc>
          <w:tcPr>
            <w:tcW w:w="1227" w:type="dxa"/>
            <w:vMerge/>
          </w:tcPr>
          <w:p w14:paraId="19EAB852"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5CADE5E6" w14:textId="4C002371"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16599DA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top w:val="nil"/>
              <w:bottom w:val="nil"/>
            </w:tcBorders>
          </w:tcPr>
          <w:p w14:paraId="07027F4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05DA0F61" w14:textId="77777777" w:rsidR="00D567F8" w:rsidRPr="00960C51" w:rsidRDefault="00D567F8" w:rsidP="00960C51">
            <w:pPr>
              <w:jc w:val="both"/>
              <w:rPr>
                <w:rFonts w:ascii="Arial" w:hAnsi="Arial" w:cs="Arial"/>
                <w:sz w:val="20"/>
                <w:szCs w:val="20"/>
              </w:rPr>
            </w:pPr>
          </w:p>
        </w:tc>
        <w:tc>
          <w:tcPr>
            <w:tcW w:w="1446" w:type="dxa"/>
            <w:vMerge/>
          </w:tcPr>
          <w:p w14:paraId="198CB962" w14:textId="77777777" w:rsidR="00D567F8" w:rsidRPr="00960C51" w:rsidRDefault="00D567F8" w:rsidP="00960C51">
            <w:pPr>
              <w:jc w:val="both"/>
              <w:rPr>
                <w:rFonts w:ascii="Arial" w:hAnsi="Arial" w:cs="Arial"/>
                <w:sz w:val="20"/>
                <w:szCs w:val="20"/>
              </w:rPr>
            </w:pPr>
          </w:p>
        </w:tc>
      </w:tr>
      <w:tr w:rsidR="00FB7C74" w:rsidRPr="00960C51" w14:paraId="4D2489D1" w14:textId="77777777" w:rsidTr="00FB7C74">
        <w:tc>
          <w:tcPr>
            <w:tcW w:w="1227" w:type="dxa"/>
            <w:vMerge/>
          </w:tcPr>
          <w:p w14:paraId="507D0C55"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84EEAB3" w14:textId="3C5C90AD"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368EC7D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1E94814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422F7CC5" w14:textId="77777777" w:rsidR="00D567F8" w:rsidRPr="00960C51" w:rsidRDefault="00D567F8" w:rsidP="00960C51">
            <w:pPr>
              <w:jc w:val="both"/>
              <w:rPr>
                <w:rFonts w:ascii="Arial" w:hAnsi="Arial" w:cs="Arial"/>
                <w:sz w:val="20"/>
                <w:szCs w:val="20"/>
              </w:rPr>
            </w:pPr>
          </w:p>
        </w:tc>
        <w:tc>
          <w:tcPr>
            <w:tcW w:w="1446" w:type="dxa"/>
            <w:vMerge/>
          </w:tcPr>
          <w:p w14:paraId="32D26975" w14:textId="77777777" w:rsidR="00D567F8" w:rsidRPr="00960C51" w:rsidRDefault="00D567F8" w:rsidP="00960C51">
            <w:pPr>
              <w:jc w:val="both"/>
              <w:rPr>
                <w:rFonts w:ascii="Arial" w:hAnsi="Arial" w:cs="Arial"/>
                <w:sz w:val="20"/>
                <w:szCs w:val="20"/>
              </w:rPr>
            </w:pPr>
          </w:p>
        </w:tc>
      </w:tr>
      <w:tr w:rsidR="00FB7C74" w:rsidRPr="00960C51" w14:paraId="0C0E2BFE" w14:textId="77777777" w:rsidTr="00FB7C74">
        <w:tc>
          <w:tcPr>
            <w:tcW w:w="1227" w:type="dxa"/>
            <w:vMerge/>
          </w:tcPr>
          <w:p w14:paraId="492A6F5C" w14:textId="77777777" w:rsidR="00D567F8" w:rsidRPr="00960C51" w:rsidRDefault="00D567F8" w:rsidP="00960C51">
            <w:pPr>
              <w:jc w:val="both"/>
              <w:rPr>
                <w:rFonts w:ascii="Arial" w:hAnsi="Arial" w:cs="Arial"/>
                <w:sz w:val="20"/>
                <w:szCs w:val="20"/>
              </w:rPr>
            </w:pPr>
          </w:p>
        </w:tc>
        <w:tc>
          <w:tcPr>
            <w:tcW w:w="1198" w:type="dxa"/>
            <w:tcBorders>
              <w:top w:val="nil"/>
            </w:tcBorders>
          </w:tcPr>
          <w:p w14:paraId="7BFEF702" w14:textId="46270288" w:rsidR="00D567F8" w:rsidRPr="00960C51" w:rsidRDefault="00D567F8" w:rsidP="00960C51">
            <w:pPr>
              <w:jc w:val="both"/>
              <w:rPr>
                <w:rFonts w:ascii="Arial" w:hAnsi="Arial" w:cs="Arial"/>
                <w:sz w:val="20"/>
                <w:szCs w:val="20"/>
              </w:rPr>
            </w:pPr>
            <w:r w:rsidRPr="00960C51">
              <w:rPr>
                <w:rFonts w:ascii="Arial" w:hAnsi="Arial" w:cs="Arial"/>
                <w:sz w:val="20"/>
                <w:szCs w:val="20"/>
              </w:rPr>
              <w:t>25 +</w:t>
            </w:r>
          </w:p>
        </w:tc>
        <w:tc>
          <w:tcPr>
            <w:tcW w:w="1980" w:type="dxa"/>
            <w:tcBorders>
              <w:top w:val="nil"/>
            </w:tcBorders>
          </w:tcPr>
          <w:p w14:paraId="7F56F8B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tcBorders>
          </w:tcPr>
          <w:p w14:paraId="4690816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0C08503" w14:textId="77777777" w:rsidR="00D567F8" w:rsidRPr="00960C51" w:rsidRDefault="00D567F8" w:rsidP="00960C51">
            <w:pPr>
              <w:jc w:val="both"/>
              <w:rPr>
                <w:rFonts w:ascii="Arial" w:hAnsi="Arial" w:cs="Arial"/>
                <w:sz w:val="20"/>
                <w:szCs w:val="20"/>
              </w:rPr>
            </w:pPr>
          </w:p>
        </w:tc>
        <w:tc>
          <w:tcPr>
            <w:tcW w:w="1446" w:type="dxa"/>
            <w:vMerge/>
          </w:tcPr>
          <w:p w14:paraId="64BB99F5" w14:textId="77777777" w:rsidR="00D567F8" w:rsidRPr="00960C51" w:rsidRDefault="00D567F8" w:rsidP="00960C51">
            <w:pPr>
              <w:jc w:val="both"/>
              <w:rPr>
                <w:rFonts w:ascii="Arial" w:hAnsi="Arial" w:cs="Arial"/>
                <w:sz w:val="20"/>
                <w:szCs w:val="20"/>
              </w:rPr>
            </w:pPr>
          </w:p>
        </w:tc>
      </w:tr>
      <w:tr w:rsidR="00FB7C74" w:rsidRPr="00960C51" w14:paraId="14CF6580" w14:textId="77777777" w:rsidTr="00FB7C74">
        <w:tc>
          <w:tcPr>
            <w:tcW w:w="1227" w:type="dxa"/>
            <w:vMerge/>
          </w:tcPr>
          <w:p w14:paraId="0596A681"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7F7E6971"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2BD10C61" w14:textId="0DF7C472" w:rsidR="00D567F8" w:rsidRPr="00960C51" w:rsidRDefault="00D567F8" w:rsidP="00960C51">
            <w:pPr>
              <w:jc w:val="both"/>
              <w:rPr>
                <w:rFonts w:ascii="Arial" w:hAnsi="Arial" w:cs="Arial"/>
                <w:sz w:val="20"/>
                <w:szCs w:val="20"/>
              </w:rPr>
            </w:pPr>
            <w:r w:rsidRPr="00960C51">
              <w:rPr>
                <w:rFonts w:ascii="Arial" w:hAnsi="Arial" w:cs="Arial"/>
                <w:sz w:val="20"/>
                <w:szCs w:val="20"/>
              </w:rPr>
              <w:t>Total = 33</w:t>
            </w:r>
            <w:r w:rsidR="00FB7C74">
              <w:rPr>
                <w:rFonts w:ascii="Arial" w:hAnsi="Arial" w:cs="Arial"/>
                <w:sz w:val="20"/>
                <w:szCs w:val="20"/>
              </w:rPr>
              <w:t xml:space="preserve"> </w:t>
            </w:r>
            <w:r w:rsidRPr="00960C51">
              <w:rPr>
                <w:rFonts w:ascii="Arial" w:hAnsi="Arial" w:cs="Arial"/>
                <w:sz w:val="20"/>
                <w:szCs w:val="20"/>
              </w:rPr>
              <w:t>(21.57%)</w:t>
            </w:r>
          </w:p>
        </w:tc>
        <w:tc>
          <w:tcPr>
            <w:tcW w:w="2177" w:type="dxa"/>
            <w:tcBorders>
              <w:bottom w:val="single" w:sz="4" w:space="0" w:color="auto"/>
            </w:tcBorders>
          </w:tcPr>
          <w:p w14:paraId="0DD4A6E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3212BDB6" w14:textId="77777777" w:rsidR="00D567F8" w:rsidRPr="00960C51" w:rsidRDefault="00D567F8" w:rsidP="00960C51">
            <w:pPr>
              <w:jc w:val="both"/>
              <w:rPr>
                <w:rFonts w:ascii="Arial" w:hAnsi="Arial" w:cs="Arial"/>
                <w:sz w:val="20"/>
                <w:szCs w:val="20"/>
              </w:rPr>
            </w:pPr>
          </w:p>
        </w:tc>
        <w:tc>
          <w:tcPr>
            <w:tcW w:w="1446" w:type="dxa"/>
            <w:vMerge/>
          </w:tcPr>
          <w:p w14:paraId="1404BCE5" w14:textId="77777777" w:rsidR="00D567F8" w:rsidRPr="00960C51" w:rsidRDefault="00D567F8" w:rsidP="00960C51">
            <w:pPr>
              <w:jc w:val="both"/>
              <w:rPr>
                <w:rFonts w:ascii="Arial" w:hAnsi="Arial" w:cs="Arial"/>
                <w:sz w:val="20"/>
                <w:szCs w:val="20"/>
              </w:rPr>
            </w:pPr>
          </w:p>
        </w:tc>
      </w:tr>
      <w:tr w:rsidR="00FB7C74" w:rsidRPr="00960C51" w14:paraId="30561234" w14:textId="77777777" w:rsidTr="00FB7C74">
        <w:tc>
          <w:tcPr>
            <w:tcW w:w="1227" w:type="dxa"/>
            <w:vMerge w:val="restart"/>
          </w:tcPr>
          <w:p w14:paraId="02351FBE" w14:textId="77777777" w:rsidR="00D567F8" w:rsidRPr="00960C51" w:rsidRDefault="00D567F8" w:rsidP="00960C51">
            <w:pPr>
              <w:jc w:val="both"/>
              <w:rPr>
                <w:rFonts w:ascii="Arial" w:hAnsi="Arial" w:cs="Arial"/>
                <w:sz w:val="20"/>
                <w:szCs w:val="20"/>
              </w:rPr>
            </w:pPr>
          </w:p>
          <w:p w14:paraId="4B0F7F62" w14:textId="77777777" w:rsidR="00D567F8" w:rsidRPr="00960C51" w:rsidRDefault="00D567F8" w:rsidP="00960C51">
            <w:pPr>
              <w:jc w:val="both"/>
              <w:rPr>
                <w:rFonts w:ascii="Arial" w:hAnsi="Arial" w:cs="Arial"/>
                <w:sz w:val="20"/>
                <w:szCs w:val="20"/>
              </w:rPr>
            </w:pPr>
          </w:p>
          <w:p w14:paraId="2C96B7C2" w14:textId="77777777" w:rsidR="00D567F8" w:rsidRPr="00960C51" w:rsidRDefault="00D567F8" w:rsidP="00960C51">
            <w:pPr>
              <w:jc w:val="both"/>
              <w:rPr>
                <w:rFonts w:ascii="Arial" w:hAnsi="Arial" w:cs="Arial"/>
                <w:sz w:val="20"/>
                <w:szCs w:val="20"/>
              </w:rPr>
            </w:pPr>
          </w:p>
          <w:p w14:paraId="2D146033" w14:textId="77777777" w:rsidR="00D567F8" w:rsidRPr="00960C51" w:rsidRDefault="00D567F8" w:rsidP="00960C51">
            <w:pPr>
              <w:jc w:val="both"/>
              <w:rPr>
                <w:rFonts w:ascii="Arial" w:hAnsi="Arial" w:cs="Arial"/>
                <w:sz w:val="20"/>
                <w:szCs w:val="20"/>
              </w:rPr>
            </w:pPr>
          </w:p>
          <w:p w14:paraId="01BB4C6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Australia</w:t>
            </w:r>
          </w:p>
        </w:tc>
        <w:tc>
          <w:tcPr>
            <w:tcW w:w="1198" w:type="dxa"/>
            <w:tcBorders>
              <w:bottom w:val="nil"/>
            </w:tcBorders>
          </w:tcPr>
          <w:p w14:paraId="096E2CDD" w14:textId="43980879" w:rsidR="00D567F8" w:rsidRPr="00960C51" w:rsidRDefault="00D567F8" w:rsidP="00960C51">
            <w:pPr>
              <w:jc w:val="both"/>
              <w:rPr>
                <w:rFonts w:ascii="Arial" w:hAnsi="Arial" w:cs="Arial"/>
                <w:sz w:val="20"/>
                <w:szCs w:val="20"/>
              </w:rPr>
            </w:pPr>
            <w:r w:rsidRPr="00960C51">
              <w:rPr>
                <w:rFonts w:ascii="Arial" w:hAnsi="Arial" w:cs="Arial"/>
                <w:sz w:val="20"/>
                <w:szCs w:val="20"/>
              </w:rPr>
              <w:lastRenderedPageBreak/>
              <w:t>1-5</w:t>
            </w:r>
          </w:p>
        </w:tc>
        <w:tc>
          <w:tcPr>
            <w:tcW w:w="1980" w:type="dxa"/>
            <w:tcBorders>
              <w:bottom w:val="nil"/>
            </w:tcBorders>
          </w:tcPr>
          <w:p w14:paraId="62BBC4E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bottom w:val="nil"/>
            </w:tcBorders>
          </w:tcPr>
          <w:p w14:paraId="587E69C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04AC5F2C" w14:textId="77777777" w:rsidR="00D567F8" w:rsidRPr="00960C51" w:rsidRDefault="00D567F8" w:rsidP="00960C51">
            <w:pPr>
              <w:jc w:val="both"/>
              <w:rPr>
                <w:rFonts w:ascii="Arial" w:hAnsi="Arial" w:cs="Arial"/>
                <w:sz w:val="20"/>
                <w:szCs w:val="20"/>
              </w:rPr>
            </w:pPr>
          </w:p>
          <w:p w14:paraId="63CBBBBA" w14:textId="77777777" w:rsidR="00D567F8" w:rsidRPr="00960C51" w:rsidRDefault="00D567F8" w:rsidP="00960C51">
            <w:pPr>
              <w:jc w:val="both"/>
              <w:rPr>
                <w:rFonts w:ascii="Arial" w:hAnsi="Arial" w:cs="Arial"/>
                <w:sz w:val="20"/>
                <w:szCs w:val="20"/>
              </w:rPr>
            </w:pPr>
          </w:p>
          <w:p w14:paraId="19EDB6E0" w14:textId="77777777" w:rsidR="00D567F8" w:rsidRPr="00960C51" w:rsidRDefault="00D567F8" w:rsidP="00960C51">
            <w:pPr>
              <w:jc w:val="both"/>
              <w:rPr>
                <w:rFonts w:ascii="Arial" w:hAnsi="Arial" w:cs="Arial"/>
                <w:sz w:val="20"/>
                <w:szCs w:val="20"/>
              </w:rPr>
            </w:pPr>
          </w:p>
          <w:p w14:paraId="4F8D5CD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lastRenderedPageBreak/>
              <w:t>07</w:t>
            </w:r>
          </w:p>
        </w:tc>
        <w:tc>
          <w:tcPr>
            <w:tcW w:w="1446" w:type="dxa"/>
            <w:vMerge w:val="restart"/>
          </w:tcPr>
          <w:p w14:paraId="7D302136" w14:textId="77777777" w:rsidR="00D567F8" w:rsidRPr="00960C51" w:rsidRDefault="00D567F8" w:rsidP="00960C51">
            <w:pPr>
              <w:jc w:val="both"/>
              <w:rPr>
                <w:rFonts w:ascii="Arial" w:hAnsi="Arial" w:cs="Arial"/>
                <w:sz w:val="20"/>
                <w:szCs w:val="20"/>
              </w:rPr>
            </w:pPr>
          </w:p>
          <w:p w14:paraId="3A7704C9" w14:textId="77777777" w:rsidR="00D567F8" w:rsidRPr="00960C51" w:rsidRDefault="00D567F8" w:rsidP="00960C51">
            <w:pPr>
              <w:jc w:val="both"/>
              <w:rPr>
                <w:rFonts w:ascii="Arial" w:hAnsi="Arial" w:cs="Arial"/>
                <w:sz w:val="20"/>
                <w:szCs w:val="20"/>
              </w:rPr>
            </w:pPr>
          </w:p>
          <w:p w14:paraId="02FF69B7" w14:textId="77777777" w:rsidR="00D567F8" w:rsidRPr="00960C51" w:rsidRDefault="00D567F8" w:rsidP="00960C51">
            <w:pPr>
              <w:jc w:val="both"/>
              <w:rPr>
                <w:rFonts w:ascii="Arial" w:hAnsi="Arial" w:cs="Arial"/>
                <w:sz w:val="20"/>
                <w:szCs w:val="20"/>
              </w:rPr>
            </w:pPr>
          </w:p>
          <w:p w14:paraId="1B874B0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lastRenderedPageBreak/>
              <w:t>4.09%</w:t>
            </w:r>
          </w:p>
        </w:tc>
      </w:tr>
      <w:tr w:rsidR="00FB7C74" w:rsidRPr="00960C51" w14:paraId="11A8B1C8" w14:textId="77777777" w:rsidTr="00FB7C74">
        <w:tc>
          <w:tcPr>
            <w:tcW w:w="1227" w:type="dxa"/>
            <w:vMerge/>
          </w:tcPr>
          <w:p w14:paraId="6E37D51B"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EF74F09" w14:textId="575C5620"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20A0119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2177" w:type="dxa"/>
            <w:tcBorders>
              <w:top w:val="nil"/>
              <w:bottom w:val="nil"/>
            </w:tcBorders>
          </w:tcPr>
          <w:p w14:paraId="37CEC6E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12B1AD51" w14:textId="77777777" w:rsidR="00D567F8" w:rsidRPr="00960C51" w:rsidRDefault="00D567F8" w:rsidP="00960C51">
            <w:pPr>
              <w:jc w:val="both"/>
              <w:rPr>
                <w:rFonts w:ascii="Arial" w:hAnsi="Arial" w:cs="Arial"/>
                <w:sz w:val="20"/>
                <w:szCs w:val="20"/>
              </w:rPr>
            </w:pPr>
          </w:p>
        </w:tc>
        <w:tc>
          <w:tcPr>
            <w:tcW w:w="1446" w:type="dxa"/>
            <w:vMerge/>
          </w:tcPr>
          <w:p w14:paraId="4552B9A4" w14:textId="77777777" w:rsidR="00D567F8" w:rsidRPr="00960C51" w:rsidRDefault="00D567F8" w:rsidP="00960C51">
            <w:pPr>
              <w:jc w:val="both"/>
              <w:rPr>
                <w:rFonts w:ascii="Arial" w:hAnsi="Arial" w:cs="Arial"/>
                <w:sz w:val="20"/>
                <w:szCs w:val="20"/>
              </w:rPr>
            </w:pPr>
          </w:p>
        </w:tc>
      </w:tr>
      <w:tr w:rsidR="00FB7C74" w:rsidRPr="00960C51" w14:paraId="40BA3646" w14:textId="77777777" w:rsidTr="00FB7C74">
        <w:tc>
          <w:tcPr>
            <w:tcW w:w="1227" w:type="dxa"/>
            <w:vMerge/>
          </w:tcPr>
          <w:p w14:paraId="465CDD79"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73A93941" w14:textId="7CB555E1"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3E066BB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175E79E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E76B45C" w14:textId="77777777" w:rsidR="00D567F8" w:rsidRPr="00960C51" w:rsidRDefault="00D567F8" w:rsidP="00960C51">
            <w:pPr>
              <w:jc w:val="both"/>
              <w:rPr>
                <w:rFonts w:ascii="Arial" w:hAnsi="Arial" w:cs="Arial"/>
                <w:sz w:val="20"/>
                <w:szCs w:val="20"/>
              </w:rPr>
            </w:pPr>
          </w:p>
        </w:tc>
        <w:tc>
          <w:tcPr>
            <w:tcW w:w="1446" w:type="dxa"/>
            <w:vMerge/>
          </w:tcPr>
          <w:p w14:paraId="4AF1FE6B" w14:textId="77777777" w:rsidR="00D567F8" w:rsidRPr="00960C51" w:rsidRDefault="00D567F8" w:rsidP="00960C51">
            <w:pPr>
              <w:jc w:val="both"/>
              <w:rPr>
                <w:rFonts w:ascii="Arial" w:hAnsi="Arial" w:cs="Arial"/>
                <w:sz w:val="20"/>
                <w:szCs w:val="20"/>
              </w:rPr>
            </w:pPr>
          </w:p>
        </w:tc>
      </w:tr>
      <w:tr w:rsidR="00FB7C74" w:rsidRPr="00960C51" w14:paraId="2A598FDE" w14:textId="77777777" w:rsidTr="00FB7C74">
        <w:tc>
          <w:tcPr>
            <w:tcW w:w="1227" w:type="dxa"/>
            <w:vMerge/>
          </w:tcPr>
          <w:p w14:paraId="7D9FBFFB"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7494EBDA" w14:textId="21571193"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10290B2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119D7B8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619807BC" w14:textId="77777777" w:rsidR="00D567F8" w:rsidRPr="00960C51" w:rsidRDefault="00D567F8" w:rsidP="00960C51">
            <w:pPr>
              <w:jc w:val="both"/>
              <w:rPr>
                <w:rFonts w:ascii="Arial" w:hAnsi="Arial" w:cs="Arial"/>
                <w:sz w:val="20"/>
                <w:szCs w:val="20"/>
              </w:rPr>
            </w:pPr>
          </w:p>
        </w:tc>
        <w:tc>
          <w:tcPr>
            <w:tcW w:w="1446" w:type="dxa"/>
            <w:vMerge/>
          </w:tcPr>
          <w:p w14:paraId="206DAB83" w14:textId="77777777" w:rsidR="00D567F8" w:rsidRPr="00960C51" w:rsidRDefault="00D567F8" w:rsidP="00960C51">
            <w:pPr>
              <w:jc w:val="both"/>
              <w:rPr>
                <w:rFonts w:ascii="Arial" w:hAnsi="Arial" w:cs="Arial"/>
                <w:sz w:val="20"/>
                <w:szCs w:val="20"/>
              </w:rPr>
            </w:pPr>
          </w:p>
        </w:tc>
      </w:tr>
      <w:tr w:rsidR="00FB7C74" w:rsidRPr="00960C51" w14:paraId="300B8C01" w14:textId="77777777" w:rsidTr="00FB7C74">
        <w:tc>
          <w:tcPr>
            <w:tcW w:w="1227" w:type="dxa"/>
            <w:vMerge/>
          </w:tcPr>
          <w:p w14:paraId="5E7BB0A8"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A350329" w14:textId="43068C43"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6EC7057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6429DB0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4C4A749" w14:textId="77777777" w:rsidR="00D567F8" w:rsidRPr="00960C51" w:rsidRDefault="00D567F8" w:rsidP="00960C51">
            <w:pPr>
              <w:jc w:val="both"/>
              <w:rPr>
                <w:rFonts w:ascii="Arial" w:hAnsi="Arial" w:cs="Arial"/>
                <w:sz w:val="20"/>
                <w:szCs w:val="20"/>
              </w:rPr>
            </w:pPr>
          </w:p>
        </w:tc>
        <w:tc>
          <w:tcPr>
            <w:tcW w:w="1446" w:type="dxa"/>
            <w:vMerge/>
          </w:tcPr>
          <w:p w14:paraId="77526C24" w14:textId="77777777" w:rsidR="00D567F8" w:rsidRPr="00960C51" w:rsidRDefault="00D567F8" w:rsidP="00960C51">
            <w:pPr>
              <w:jc w:val="both"/>
              <w:rPr>
                <w:rFonts w:ascii="Arial" w:hAnsi="Arial" w:cs="Arial"/>
                <w:sz w:val="20"/>
                <w:szCs w:val="20"/>
              </w:rPr>
            </w:pPr>
          </w:p>
        </w:tc>
      </w:tr>
      <w:tr w:rsidR="00FB7C74" w:rsidRPr="00960C51" w14:paraId="037E70CA" w14:textId="77777777" w:rsidTr="00FB7C74">
        <w:tc>
          <w:tcPr>
            <w:tcW w:w="1227" w:type="dxa"/>
            <w:vMerge/>
          </w:tcPr>
          <w:p w14:paraId="0BA5BD55" w14:textId="77777777" w:rsidR="00D567F8" w:rsidRPr="00960C51" w:rsidRDefault="00D567F8" w:rsidP="00960C51">
            <w:pPr>
              <w:jc w:val="both"/>
              <w:rPr>
                <w:rFonts w:ascii="Arial" w:hAnsi="Arial" w:cs="Arial"/>
                <w:sz w:val="20"/>
                <w:szCs w:val="20"/>
              </w:rPr>
            </w:pPr>
          </w:p>
        </w:tc>
        <w:tc>
          <w:tcPr>
            <w:tcW w:w="1198" w:type="dxa"/>
            <w:tcBorders>
              <w:top w:val="nil"/>
            </w:tcBorders>
          </w:tcPr>
          <w:p w14:paraId="705D124F" w14:textId="430147C5"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3D9455E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2177" w:type="dxa"/>
            <w:tcBorders>
              <w:top w:val="nil"/>
            </w:tcBorders>
          </w:tcPr>
          <w:p w14:paraId="7EAFC29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7C95F51" w14:textId="77777777" w:rsidR="00D567F8" w:rsidRPr="00960C51" w:rsidRDefault="00D567F8" w:rsidP="00960C51">
            <w:pPr>
              <w:jc w:val="both"/>
              <w:rPr>
                <w:rFonts w:ascii="Arial" w:hAnsi="Arial" w:cs="Arial"/>
                <w:sz w:val="20"/>
                <w:szCs w:val="20"/>
              </w:rPr>
            </w:pPr>
          </w:p>
        </w:tc>
        <w:tc>
          <w:tcPr>
            <w:tcW w:w="1446" w:type="dxa"/>
            <w:vMerge/>
          </w:tcPr>
          <w:p w14:paraId="435A8A75" w14:textId="77777777" w:rsidR="00D567F8" w:rsidRPr="00960C51" w:rsidRDefault="00D567F8" w:rsidP="00960C51">
            <w:pPr>
              <w:jc w:val="both"/>
              <w:rPr>
                <w:rFonts w:ascii="Arial" w:hAnsi="Arial" w:cs="Arial"/>
                <w:sz w:val="20"/>
                <w:szCs w:val="20"/>
              </w:rPr>
            </w:pPr>
          </w:p>
        </w:tc>
      </w:tr>
      <w:tr w:rsidR="00D567F8" w:rsidRPr="00960C51" w14:paraId="7C29BBB5" w14:textId="77777777" w:rsidTr="00FB7C74">
        <w:tc>
          <w:tcPr>
            <w:tcW w:w="1227" w:type="dxa"/>
            <w:vMerge/>
          </w:tcPr>
          <w:p w14:paraId="03BD7882" w14:textId="77777777" w:rsidR="00D567F8" w:rsidRPr="00960C51" w:rsidRDefault="00D567F8" w:rsidP="00960C51">
            <w:pPr>
              <w:jc w:val="both"/>
              <w:rPr>
                <w:rFonts w:ascii="Arial" w:hAnsi="Arial" w:cs="Arial"/>
                <w:sz w:val="20"/>
                <w:szCs w:val="20"/>
              </w:rPr>
            </w:pPr>
          </w:p>
        </w:tc>
        <w:tc>
          <w:tcPr>
            <w:tcW w:w="1198" w:type="dxa"/>
          </w:tcPr>
          <w:p w14:paraId="16C4CC66" w14:textId="232B24B7" w:rsidR="00D567F8" w:rsidRPr="00960C51" w:rsidRDefault="00D567F8" w:rsidP="00960C51">
            <w:pPr>
              <w:jc w:val="both"/>
              <w:rPr>
                <w:rFonts w:ascii="Arial" w:hAnsi="Arial" w:cs="Arial"/>
                <w:sz w:val="20"/>
                <w:szCs w:val="20"/>
              </w:rPr>
            </w:pPr>
          </w:p>
        </w:tc>
        <w:tc>
          <w:tcPr>
            <w:tcW w:w="1980" w:type="dxa"/>
          </w:tcPr>
          <w:p w14:paraId="16E22F3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06 (3.92%)</w:t>
            </w:r>
          </w:p>
        </w:tc>
        <w:tc>
          <w:tcPr>
            <w:tcW w:w="2177" w:type="dxa"/>
          </w:tcPr>
          <w:p w14:paraId="34458C87" w14:textId="00BC7F31"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r w:rsidR="00FB7C74">
              <w:rPr>
                <w:rFonts w:ascii="Arial" w:hAnsi="Arial" w:cs="Arial"/>
                <w:sz w:val="20"/>
                <w:szCs w:val="20"/>
              </w:rPr>
              <w:t xml:space="preserve"> </w:t>
            </w:r>
            <w:r w:rsidRPr="00960C51">
              <w:rPr>
                <w:rFonts w:ascii="Arial" w:hAnsi="Arial" w:cs="Arial"/>
                <w:sz w:val="20"/>
                <w:szCs w:val="20"/>
              </w:rPr>
              <w:t>(5.56%)</w:t>
            </w:r>
          </w:p>
        </w:tc>
        <w:tc>
          <w:tcPr>
            <w:tcW w:w="1417" w:type="dxa"/>
            <w:vMerge/>
          </w:tcPr>
          <w:p w14:paraId="6B2CE3B1" w14:textId="77777777" w:rsidR="00D567F8" w:rsidRPr="00960C51" w:rsidRDefault="00D567F8" w:rsidP="00960C51">
            <w:pPr>
              <w:jc w:val="both"/>
              <w:rPr>
                <w:rFonts w:ascii="Arial" w:hAnsi="Arial" w:cs="Arial"/>
                <w:sz w:val="20"/>
                <w:szCs w:val="20"/>
              </w:rPr>
            </w:pPr>
          </w:p>
        </w:tc>
        <w:tc>
          <w:tcPr>
            <w:tcW w:w="1446" w:type="dxa"/>
            <w:vMerge/>
          </w:tcPr>
          <w:p w14:paraId="3427F689" w14:textId="77777777" w:rsidR="00D567F8" w:rsidRPr="00960C51" w:rsidRDefault="00D567F8" w:rsidP="00960C51">
            <w:pPr>
              <w:jc w:val="both"/>
              <w:rPr>
                <w:rFonts w:ascii="Arial" w:hAnsi="Arial" w:cs="Arial"/>
                <w:sz w:val="20"/>
                <w:szCs w:val="20"/>
              </w:rPr>
            </w:pPr>
          </w:p>
        </w:tc>
      </w:tr>
      <w:tr w:rsidR="00D567F8" w:rsidRPr="00960C51" w14:paraId="1392014A" w14:textId="77777777" w:rsidTr="00FB7C74">
        <w:tc>
          <w:tcPr>
            <w:tcW w:w="1227" w:type="dxa"/>
            <w:vMerge w:val="restart"/>
          </w:tcPr>
          <w:p w14:paraId="4028A832" w14:textId="77777777" w:rsidR="00D567F8" w:rsidRPr="00960C51" w:rsidRDefault="00D567F8" w:rsidP="00960C51">
            <w:pPr>
              <w:jc w:val="both"/>
              <w:rPr>
                <w:rFonts w:ascii="Arial" w:hAnsi="Arial" w:cs="Arial"/>
                <w:sz w:val="20"/>
                <w:szCs w:val="20"/>
              </w:rPr>
            </w:pPr>
          </w:p>
          <w:p w14:paraId="72C94ED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Asia</w:t>
            </w:r>
          </w:p>
        </w:tc>
        <w:tc>
          <w:tcPr>
            <w:tcW w:w="1198" w:type="dxa"/>
          </w:tcPr>
          <w:p w14:paraId="2FE295A7" w14:textId="3FB830D7"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Pr>
          <w:p w14:paraId="2293F1C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Pr>
          <w:p w14:paraId="20AF050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vAlign w:val="center"/>
          </w:tcPr>
          <w:p w14:paraId="45CB088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46" w:type="dxa"/>
            <w:vMerge w:val="restart"/>
            <w:vAlign w:val="center"/>
          </w:tcPr>
          <w:p w14:paraId="35FBAFBF" w14:textId="5CDBDCFB" w:rsidR="00D567F8" w:rsidRPr="00960C51" w:rsidRDefault="00D567F8" w:rsidP="00960C51">
            <w:pPr>
              <w:jc w:val="both"/>
              <w:rPr>
                <w:rFonts w:ascii="Arial" w:hAnsi="Arial" w:cs="Arial"/>
                <w:sz w:val="20"/>
                <w:szCs w:val="20"/>
              </w:rPr>
            </w:pPr>
            <w:r w:rsidRPr="00960C51">
              <w:rPr>
                <w:rFonts w:ascii="Arial" w:hAnsi="Arial" w:cs="Arial"/>
                <w:sz w:val="20"/>
                <w:szCs w:val="20"/>
              </w:rPr>
              <w:t>0.58%</w:t>
            </w:r>
          </w:p>
        </w:tc>
      </w:tr>
      <w:tr w:rsidR="00FB7C74" w:rsidRPr="00960C51" w14:paraId="5867364A" w14:textId="77777777" w:rsidTr="00FB7C74">
        <w:tc>
          <w:tcPr>
            <w:tcW w:w="1227" w:type="dxa"/>
            <w:vMerge/>
          </w:tcPr>
          <w:p w14:paraId="63A49460"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3BDD0B21"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2A00CC2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01 (0.65%)</w:t>
            </w:r>
          </w:p>
        </w:tc>
        <w:tc>
          <w:tcPr>
            <w:tcW w:w="2177" w:type="dxa"/>
            <w:tcBorders>
              <w:bottom w:val="single" w:sz="4" w:space="0" w:color="auto"/>
            </w:tcBorders>
          </w:tcPr>
          <w:p w14:paraId="7BA5B65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1F51C35C" w14:textId="77777777" w:rsidR="00D567F8" w:rsidRPr="00960C51" w:rsidRDefault="00D567F8" w:rsidP="00960C51">
            <w:pPr>
              <w:jc w:val="both"/>
              <w:rPr>
                <w:rFonts w:ascii="Arial" w:hAnsi="Arial" w:cs="Arial"/>
                <w:sz w:val="20"/>
                <w:szCs w:val="20"/>
              </w:rPr>
            </w:pPr>
          </w:p>
        </w:tc>
        <w:tc>
          <w:tcPr>
            <w:tcW w:w="1446" w:type="dxa"/>
            <w:vMerge/>
          </w:tcPr>
          <w:p w14:paraId="1EC07578" w14:textId="77777777" w:rsidR="00D567F8" w:rsidRPr="00960C51" w:rsidRDefault="00D567F8" w:rsidP="00960C51">
            <w:pPr>
              <w:jc w:val="both"/>
              <w:rPr>
                <w:rFonts w:ascii="Arial" w:hAnsi="Arial" w:cs="Arial"/>
                <w:sz w:val="20"/>
                <w:szCs w:val="20"/>
              </w:rPr>
            </w:pPr>
          </w:p>
        </w:tc>
      </w:tr>
      <w:tr w:rsidR="00FB7C74" w:rsidRPr="00960C51" w14:paraId="508677AC" w14:textId="77777777" w:rsidTr="00FB7C74">
        <w:tc>
          <w:tcPr>
            <w:tcW w:w="1227" w:type="dxa"/>
            <w:vMerge w:val="restart"/>
          </w:tcPr>
          <w:p w14:paraId="6598E9EE" w14:textId="77777777" w:rsidR="00D567F8" w:rsidRPr="00960C51" w:rsidRDefault="00D567F8" w:rsidP="00960C51">
            <w:pPr>
              <w:jc w:val="both"/>
              <w:rPr>
                <w:rFonts w:ascii="Arial" w:hAnsi="Arial" w:cs="Arial"/>
                <w:sz w:val="20"/>
                <w:szCs w:val="20"/>
              </w:rPr>
            </w:pPr>
          </w:p>
          <w:p w14:paraId="33945EE8" w14:textId="77777777" w:rsidR="00D567F8" w:rsidRPr="00960C51" w:rsidRDefault="00D567F8" w:rsidP="00960C51">
            <w:pPr>
              <w:jc w:val="both"/>
              <w:rPr>
                <w:rFonts w:ascii="Arial" w:hAnsi="Arial" w:cs="Arial"/>
                <w:sz w:val="20"/>
                <w:szCs w:val="20"/>
              </w:rPr>
            </w:pPr>
          </w:p>
          <w:p w14:paraId="5E09A6D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Europe-North America</w:t>
            </w:r>
          </w:p>
        </w:tc>
        <w:tc>
          <w:tcPr>
            <w:tcW w:w="1198" w:type="dxa"/>
            <w:tcBorders>
              <w:bottom w:val="nil"/>
            </w:tcBorders>
          </w:tcPr>
          <w:p w14:paraId="3351BD80" w14:textId="18368039"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61DFB0F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2177" w:type="dxa"/>
            <w:tcBorders>
              <w:bottom w:val="nil"/>
            </w:tcBorders>
          </w:tcPr>
          <w:p w14:paraId="5D94C8E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val="restart"/>
          </w:tcPr>
          <w:p w14:paraId="2FECF3BB" w14:textId="77777777" w:rsidR="00D567F8" w:rsidRPr="00960C51" w:rsidRDefault="00D567F8" w:rsidP="00960C51">
            <w:pPr>
              <w:jc w:val="both"/>
              <w:rPr>
                <w:rFonts w:ascii="Arial" w:hAnsi="Arial" w:cs="Arial"/>
                <w:sz w:val="20"/>
                <w:szCs w:val="20"/>
              </w:rPr>
            </w:pPr>
          </w:p>
          <w:p w14:paraId="304F1949" w14:textId="77777777" w:rsidR="00D567F8" w:rsidRPr="00960C51" w:rsidRDefault="00D567F8" w:rsidP="00960C51">
            <w:pPr>
              <w:jc w:val="both"/>
              <w:rPr>
                <w:rFonts w:ascii="Arial" w:hAnsi="Arial" w:cs="Arial"/>
                <w:sz w:val="20"/>
                <w:szCs w:val="20"/>
              </w:rPr>
            </w:pPr>
          </w:p>
          <w:p w14:paraId="6589E2E1" w14:textId="77777777" w:rsidR="00D567F8" w:rsidRPr="00960C51" w:rsidRDefault="00D567F8" w:rsidP="00960C51">
            <w:pPr>
              <w:jc w:val="both"/>
              <w:rPr>
                <w:rFonts w:ascii="Arial" w:hAnsi="Arial" w:cs="Arial"/>
                <w:sz w:val="20"/>
                <w:szCs w:val="20"/>
              </w:rPr>
            </w:pPr>
          </w:p>
          <w:p w14:paraId="75D1B803" w14:textId="77777777" w:rsidR="00D567F8" w:rsidRPr="00960C51" w:rsidRDefault="00D567F8" w:rsidP="00960C51">
            <w:pPr>
              <w:jc w:val="both"/>
              <w:rPr>
                <w:rFonts w:ascii="Arial" w:hAnsi="Arial" w:cs="Arial"/>
                <w:sz w:val="20"/>
                <w:szCs w:val="20"/>
              </w:rPr>
            </w:pPr>
          </w:p>
          <w:p w14:paraId="098D48F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40</w:t>
            </w:r>
          </w:p>
        </w:tc>
        <w:tc>
          <w:tcPr>
            <w:tcW w:w="1446" w:type="dxa"/>
            <w:vMerge w:val="restart"/>
          </w:tcPr>
          <w:p w14:paraId="0C3531EE" w14:textId="77777777" w:rsidR="00D567F8" w:rsidRPr="00960C51" w:rsidRDefault="00D567F8" w:rsidP="00960C51">
            <w:pPr>
              <w:jc w:val="both"/>
              <w:rPr>
                <w:rFonts w:ascii="Arial" w:hAnsi="Arial" w:cs="Arial"/>
                <w:sz w:val="20"/>
                <w:szCs w:val="20"/>
              </w:rPr>
            </w:pPr>
          </w:p>
          <w:p w14:paraId="6FC93726" w14:textId="77777777" w:rsidR="00D567F8" w:rsidRPr="00960C51" w:rsidRDefault="00D567F8" w:rsidP="00960C51">
            <w:pPr>
              <w:jc w:val="both"/>
              <w:rPr>
                <w:rFonts w:ascii="Arial" w:hAnsi="Arial" w:cs="Arial"/>
                <w:sz w:val="20"/>
                <w:szCs w:val="20"/>
              </w:rPr>
            </w:pPr>
          </w:p>
          <w:p w14:paraId="155595C8" w14:textId="77777777" w:rsidR="00D567F8" w:rsidRPr="00960C51" w:rsidRDefault="00D567F8" w:rsidP="00960C51">
            <w:pPr>
              <w:jc w:val="both"/>
              <w:rPr>
                <w:rFonts w:ascii="Arial" w:hAnsi="Arial" w:cs="Arial"/>
                <w:sz w:val="20"/>
                <w:szCs w:val="20"/>
              </w:rPr>
            </w:pPr>
          </w:p>
          <w:p w14:paraId="0F5FDF91" w14:textId="77777777" w:rsidR="00D567F8" w:rsidRPr="00960C51" w:rsidRDefault="00D567F8" w:rsidP="00960C51">
            <w:pPr>
              <w:jc w:val="both"/>
              <w:rPr>
                <w:rFonts w:ascii="Arial" w:hAnsi="Arial" w:cs="Arial"/>
                <w:sz w:val="20"/>
                <w:szCs w:val="20"/>
              </w:rPr>
            </w:pPr>
          </w:p>
          <w:p w14:paraId="6C108335"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23.39%</w:t>
            </w:r>
          </w:p>
        </w:tc>
      </w:tr>
      <w:tr w:rsidR="00FB7C74" w:rsidRPr="00960C51" w14:paraId="31DDBFBC" w14:textId="77777777" w:rsidTr="00FB7C74">
        <w:tc>
          <w:tcPr>
            <w:tcW w:w="1227" w:type="dxa"/>
            <w:vMerge/>
          </w:tcPr>
          <w:p w14:paraId="7CE54A19"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3588A5C" w14:textId="7DE1D58F"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76C0A6D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10</w:t>
            </w:r>
          </w:p>
        </w:tc>
        <w:tc>
          <w:tcPr>
            <w:tcW w:w="2177" w:type="dxa"/>
            <w:tcBorders>
              <w:top w:val="nil"/>
              <w:bottom w:val="nil"/>
            </w:tcBorders>
          </w:tcPr>
          <w:p w14:paraId="57CD618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7D22F5DE" w14:textId="77777777" w:rsidR="00D567F8" w:rsidRPr="00960C51" w:rsidRDefault="00D567F8" w:rsidP="00960C51">
            <w:pPr>
              <w:jc w:val="both"/>
              <w:rPr>
                <w:rFonts w:ascii="Arial" w:hAnsi="Arial" w:cs="Arial"/>
                <w:sz w:val="20"/>
                <w:szCs w:val="20"/>
              </w:rPr>
            </w:pPr>
          </w:p>
        </w:tc>
        <w:tc>
          <w:tcPr>
            <w:tcW w:w="1446" w:type="dxa"/>
            <w:vMerge/>
          </w:tcPr>
          <w:p w14:paraId="413F3B96" w14:textId="77777777" w:rsidR="00D567F8" w:rsidRPr="00960C51" w:rsidRDefault="00D567F8" w:rsidP="00960C51">
            <w:pPr>
              <w:jc w:val="both"/>
              <w:rPr>
                <w:rFonts w:ascii="Arial" w:hAnsi="Arial" w:cs="Arial"/>
                <w:sz w:val="20"/>
                <w:szCs w:val="20"/>
              </w:rPr>
            </w:pPr>
          </w:p>
        </w:tc>
      </w:tr>
      <w:tr w:rsidR="00FB7C74" w:rsidRPr="00960C51" w14:paraId="0CC08ECB" w14:textId="77777777" w:rsidTr="00FB7C74">
        <w:tc>
          <w:tcPr>
            <w:tcW w:w="1227" w:type="dxa"/>
            <w:vMerge/>
          </w:tcPr>
          <w:p w14:paraId="6E5FD0DC"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CDC6A86" w14:textId="5BCABA65"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5EEF986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12 (Mode)</w:t>
            </w:r>
          </w:p>
        </w:tc>
        <w:tc>
          <w:tcPr>
            <w:tcW w:w="2177" w:type="dxa"/>
            <w:tcBorders>
              <w:top w:val="nil"/>
              <w:bottom w:val="nil"/>
            </w:tcBorders>
          </w:tcPr>
          <w:p w14:paraId="28B5AB4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1417" w:type="dxa"/>
            <w:vMerge/>
          </w:tcPr>
          <w:p w14:paraId="5C780400" w14:textId="77777777" w:rsidR="00D567F8" w:rsidRPr="00960C51" w:rsidRDefault="00D567F8" w:rsidP="00960C51">
            <w:pPr>
              <w:jc w:val="both"/>
              <w:rPr>
                <w:rFonts w:ascii="Arial" w:hAnsi="Arial" w:cs="Arial"/>
                <w:sz w:val="20"/>
                <w:szCs w:val="20"/>
              </w:rPr>
            </w:pPr>
          </w:p>
        </w:tc>
        <w:tc>
          <w:tcPr>
            <w:tcW w:w="1446" w:type="dxa"/>
            <w:vMerge/>
          </w:tcPr>
          <w:p w14:paraId="033E6BF7" w14:textId="77777777" w:rsidR="00D567F8" w:rsidRPr="00960C51" w:rsidRDefault="00D567F8" w:rsidP="00960C51">
            <w:pPr>
              <w:jc w:val="both"/>
              <w:rPr>
                <w:rFonts w:ascii="Arial" w:hAnsi="Arial" w:cs="Arial"/>
                <w:sz w:val="20"/>
                <w:szCs w:val="20"/>
              </w:rPr>
            </w:pPr>
          </w:p>
        </w:tc>
      </w:tr>
      <w:tr w:rsidR="00FB7C74" w:rsidRPr="00960C51" w14:paraId="554C67DC" w14:textId="77777777" w:rsidTr="00FB7C74">
        <w:tc>
          <w:tcPr>
            <w:tcW w:w="1227" w:type="dxa"/>
            <w:vMerge/>
          </w:tcPr>
          <w:p w14:paraId="7D3FC14D"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1E7AAD9" w14:textId="0B5DA0D1"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7F9214A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w:t>
            </w:r>
          </w:p>
        </w:tc>
        <w:tc>
          <w:tcPr>
            <w:tcW w:w="2177" w:type="dxa"/>
            <w:tcBorders>
              <w:top w:val="nil"/>
              <w:bottom w:val="nil"/>
            </w:tcBorders>
          </w:tcPr>
          <w:p w14:paraId="22304CD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02</w:t>
            </w:r>
          </w:p>
        </w:tc>
        <w:tc>
          <w:tcPr>
            <w:tcW w:w="1417" w:type="dxa"/>
            <w:vMerge/>
          </w:tcPr>
          <w:p w14:paraId="32010191" w14:textId="77777777" w:rsidR="00D567F8" w:rsidRPr="00960C51" w:rsidRDefault="00D567F8" w:rsidP="00960C51">
            <w:pPr>
              <w:jc w:val="both"/>
              <w:rPr>
                <w:rFonts w:ascii="Arial" w:hAnsi="Arial" w:cs="Arial"/>
                <w:sz w:val="20"/>
                <w:szCs w:val="20"/>
              </w:rPr>
            </w:pPr>
          </w:p>
        </w:tc>
        <w:tc>
          <w:tcPr>
            <w:tcW w:w="1446" w:type="dxa"/>
            <w:vMerge/>
          </w:tcPr>
          <w:p w14:paraId="6BA5DE42" w14:textId="77777777" w:rsidR="00D567F8" w:rsidRPr="00960C51" w:rsidRDefault="00D567F8" w:rsidP="00960C51">
            <w:pPr>
              <w:jc w:val="both"/>
              <w:rPr>
                <w:rFonts w:ascii="Arial" w:hAnsi="Arial" w:cs="Arial"/>
                <w:sz w:val="20"/>
                <w:szCs w:val="20"/>
              </w:rPr>
            </w:pPr>
          </w:p>
        </w:tc>
      </w:tr>
      <w:tr w:rsidR="00FB7C74" w:rsidRPr="00960C51" w14:paraId="789F08DE" w14:textId="77777777" w:rsidTr="00FB7C74">
        <w:tc>
          <w:tcPr>
            <w:tcW w:w="1227" w:type="dxa"/>
            <w:vMerge/>
          </w:tcPr>
          <w:p w14:paraId="054C6EF1"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048CB85" w14:textId="21EF2986"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63B4A17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4</w:t>
            </w:r>
          </w:p>
        </w:tc>
        <w:tc>
          <w:tcPr>
            <w:tcW w:w="2177" w:type="dxa"/>
            <w:tcBorders>
              <w:top w:val="nil"/>
              <w:bottom w:val="nil"/>
            </w:tcBorders>
          </w:tcPr>
          <w:p w14:paraId="23A2CDD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37BE62E7" w14:textId="77777777" w:rsidR="00D567F8" w:rsidRPr="00960C51" w:rsidRDefault="00D567F8" w:rsidP="00960C51">
            <w:pPr>
              <w:jc w:val="both"/>
              <w:rPr>
                <w:rFonts w:ascii="Arial" w:hAnsi="Arial" w:cs="Arial"/>
                <w:sz w:val="20"/>
                <w:szCs w:val="20"/>
              </w:rPr>
            </w:pPr>
          </w:p>
        </w:tc>
        <w:tc>
          <w:tcPr>
            <w:tcW w:w="1446" w:type="dxa"/>
            <w:vMerge/>
          </w:tcPr>
          <w:p w14:paraId="1DE5168E" w14:textId="77777777" w:rsidR="00D567F8" w:rsidRPr="00960C51" w:rsidRDefault="00D567F8" w:rsidP="00960C51">
            <w:pPr>
              <w:jc w:val="both"/>
              <w:rPr>
                <w:rFonts w:ascii="Arial" w:hAnsi="Arial" w:cs="Arial"/>
                <w:sz w:val="20"/>
                <w:szCs w:val="20"/>
              </w:rPr>
            </w:pPr>
          </w:p>
        </w:tc>
      </w:tr>
      <w:tr w:rsidR="00FB7C74" w:rsidRPr="00960C51" w14:paraId="02610EFD" w14:textId="77777777" w:rsidTr="00FB7C74">
        <w:tc>
          <w:tcPr>
            <w:tcW w:w="1227" w:type="dxa"/>
            <w:vMerge/>
          </w:tcPr>
          <w:p w14:paraId="6F803170" w14:textId="77777777" w:rsidR="00D567F8" w:rsidRPr="00960C51" w:rsidRDefault="00D567F8" w:rsidP="00960C51">
            <w:pPr>
              <w:jc w:val="both"/>
              <w:rPr>
                <w:rFonts w:ascii="Arial" w:hAnsi="Arial" w:cs="Arial"/>
                <w:sz w:val="20"/>
                <w:szCs w:val="20"/>
              </w:rPr>
            </w:pPr>
          </w:p>
        </w:tc>
        <w:tc>
          <w:tcPr>
            <w:tcW w:w="1198" w:type="dxa"/>
            <w:tcBorders>
              <w:top w:val="nil"/>
            </w:tcBorders>
          </w:tcPr>
          <w:p w14:paraId="23F59392" w14:textId="252FB5BC"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1F2B018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w:t>
            </w:r>
          </w:p>
        </w:tc>
        <w:tc>
          <w:tcPr>
            <w:tcW w:w="2177" w:type="dxa"/>
            <w:tcBorders>
              <w:top w:val="nil"/>
            </w:tcBorders>
          </w:tcPr>
          <w:p w14:paraId="4FE5BE4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3BC192C5" w14:textId="77777777" w:rsidR="00D567F8" w:rsidRPr="00960C51" w:rsidRDefault="00D567F8" w:rsidP="00960C51">
            <w:pPr>
              <w:jc w:val="both"/>
              <w:rPr>
                <w:rFonts w:ascii="Arial" w:hAnsi="Arial" w:cs="Arial"/>
                <w:sz w:val="20"/>
                <w:szCs w:val="20"/>
              </w:rPr>
            </w:pPr>
          </w:p>
        </w:tc>
        <w:tc>
          <w:tcPr>
            <w:tcW w:w="1446" w:type="dxa"/>
            <w:vMerge/>
          </w:tcPr>
          <w:p w14:paraId="0C285567" w14:textId="77777777" w:rsidR="00D567F8" w:rsidRPr="00960C51" w:rsidRDefault="00D567F8" w:rsidP="00960C51">
            <w:pPr>
              <w:jc w:val="both"/>
              <w:rPr>
                <w:rFonts w:ascii="Arial" w:hAnsi="Arial" w:cs="Arial"/>
                <w:sz w:val="20"/>
                <w:szCs w:val="20"/>
              </w:rPr>
            </w:pPr>
          </w:p>
        </w:tc>
      </w:tr>
      <w:tr w:rsidR="00FB7C74" w:rsidRPr="00960C51" w14:paraId="18ABB718" w14:textId="77777777" w:rsidTr="00FB7C74">
        <w:tc>
          <w:tcPr>
            <w:tcW w:w="1227" w:type="dxa"/>
            <w:vMerge/>
          </w:tcPr>
          <w:p w14:paraId="7570E47E"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06FAAC17"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34414678" w14:textId="2BF3C21E" w:rsidR="00D567F8" w:rsidRPr="00960C51" w:rsidRDefault="00D567F8" w:rsidP="00960C51">
            <w:pPr>
              <w:jc w:val="both"/>
              <w:rPr>
                <w:rFonts w:ascii="Arial" w:hAnsi="Arial" w:cs="Arial"/>
                <w:sz w:val="20"/>
                <w:szCs w:val="20"/>
              </w:rPr>
            </w:pPr>
            <w:r w:rsidRPr="00960C51">
              <w:rPr>
                <w:rFonts w:ascii="Arial" w:hAnsi="Arial" w:cs="Arial"/>
                <w:sz w:val="20"/>
                <w:szCs w:val="20"/>
              </w:rPr>
              <w:t>Total = 33</w:t>
            </w:r>
            <w:r w:rsidR="00FB7C74">
              <w:rPr>
                <w:rFonts w:ascii="Arial" w:hAnsi="Arial" w:cs="Arial"/>
                <w:sz w:val="20"/>
                <w:szCs w:val="20"/>
              </w:rPr>
              <w:t xml:space="preserve"> </w:t>
            </w:r>
            <w:r w:rsidRPr="00960C51">
              <w:rPr>
                <w:rFonts w:ascii="Arial" w:hAnsi="Arial" w:cs="Arial"/>
                <w:sz w:val="20"/>
                <w:szCs w:val="20"/>
              </w:rPr>
              <w:t>(21.57%)</w:t>
            </w:r>
          </w:p>
        </w:tc>
        <w:tc>
          <w:tcPr>
            <w:tcW w:w="2177" w:type="dxa"/>
            <w:tcBorders>
              <w:bottom w:val="single" w:sz="4" w:space="0" w:color="auto"/>
            </w:tcBorders>
          </w:tcPr>
          <w:p w14:paraId="76D7B94B" w14:textId="6B3F9A65" w:rsidR="00D567F8" w:rsidRPr="00960C51" w:rsidRDefault="00D567F8" w:rsidP="00960C51">
            <w:pPr>
              <w:jc w:val="both"/>
              <w:rPr>
                <w:rFonts w:ascii="Arial" w:hAnsi="Arial" w:cs="Arial"/>
                <w:sz w:val="20"/>
                <w:szCs w:val="20"/>
              </w:rPr>
            </w:pPr>
            <w:r w:rsidRPr="00960C51">
              <w:rPr>
                <w:rFonts w:ascii="Arial" w:hAnsi="Arial" w:cs="Arial"/>
                <w:sz w:val="20"/>
                <w:szCs w:val="20"/>
              </w:rPr>
              <w:t>Total = 07</w:t>
            </w:r>
            <w:r w:rsidR="00FB7C74">
              <w:rPr>
                <w:rFonts w:ascii="Arial" w:hAnsi="Arial" w:cs="Arial"/>
                <w:sz w:val="20"/>
                <w:szCs w:val="20"/>
              </w:rPr>
              <w:t xml:space="preserve"> </w:t>
            </w:r>
            <w:r w:rsidRPr="00960C51">
              <w:rPr>
                <w:rFonts w:ascii="Arial" w:hAnsi="Arial" w:cs="Arial"/>
                <w:sz w:val="20"/>
                <w:szCs w:val="20"/>
              </w:rPr>
              <w:t>(38.89%)</w:t>
            </w:r>
          </w:p>
        </w:tc>
        <w:tc>
          <w:tcPr>
            <w:tcW w:w="1417" w:type="dxa"/>
            <w:vMerge/>
          </w:tcPr>
          <w:p w14:paraId="4CEC5D2B" w14:textId="77777777" w:rsidR="00D567F8" w:rsidRPr="00960C51" w:rsidRDefault="00D567F8" w:rsidP="00960C51">
            <w:pPr>
              <w:jc w:val="both"/>
              <w:rPr>
                <w:rFonts w:ascii="Arial" w:hAnsi="Arial" w:cs="Arial"/>
                <w:sz w:val="20"/>
                <w:szCs w:val="20"/>
              </w:rPr>
            </w:pPr>
          </w:p>
        </w:tc>
        <w:tc>
          <w:tcPr>
            <w:tcW w:w="1446" w:type="dxa"/>
            <w:vMerge/>
          </w:tcPr>
          <w:p w14:paraId="22BF1C41" w14:textId="77777777" w:rsidR="00D567F8" w:rsidRPr="00960C51" w:rsidRDefault="00D567F8" w:rsidP="00960C51">
            <w:pPr>
              <w:jc w:val="both"/>
              <w:rPr>
                <w:rFonts w:ascii="Arial" w:hAnsi="Arial" w:cs="Arial"/>
                <w:sz w:val="20"/>
                <w:szCs w:val="20"/>
              </w:rPr>
            </w:pPr>
          </w:p>
        </w:tc>
      </w:tr>
      <w:tr w:rsidR="00FB7C74" w:rsidRPr="00960C51" w14:paraId="067AC23D" w14:textId="77777777" w:rsidTr="00FB7C74">
        <w:tc>
          <w:tcPr>
            <w:tcW w:w="1227" w:type="dxa"/>
            <w:vMerge w:val="restart"/>
          </w:tcPr>
          <w:p w14:paraId="082766FF" w14:textId="77777777" w:rsidR="00D567F8" w:rsidRPr="00960C51" w:rsidRDefault="00D567F8" w:rsidP="00960C51">
            <w:pPr>
              <w:jc w:val="both"/>
              <w:rPr>
                <w:rFonts w:ascii="Arial" w:hAnsi="Arial" w:cs="Arial"/>
                <w:sz w:val="20"/>
                <w:szCs w:val="20"/>
              </w:rPr>
            </w:pPr>
          </w:p>
          <w:p w14:paraId="2307BC85" w14:textId="77777777" w:rsidR="00D567F8" w:rsidRPr="00960C51" w:rsidRDefault="00D567F8" w:rsidP="00960C51">
            <w:pPr>
              <w:jc w:val="both"/>
              <w:rPr>
                <w:rFonts w:ascii="Arial" w:hAnsi="Arial" w:cs="Arial"/>
                <w:sz w:val="20"/>
                <w:szCs w:val="20"/>
              </w:rPr>
            </w:pPr>
          </w:p>
          <w:p w14:paraId="7AD7F7D4"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Europe-North America-Australia</w:t>
            </w:r>
          </w:p>
        </w:tc>
        <w:tc>
          <w:tcPr>
            <w:tcW w:w="1198" w:type="dxa"/>
            <w:tcBorders>
              <w:bottom w:val="nil"/>
            </w:tcBorders>
          </w:tcPr>
          <w:p w14:paraId="4A4B8517" w14:textId="018C8E16"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4E3D8D9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bottom w:val="nil"/>
            </w:tcBorders>
          </w:tcPr>
          <w:p w14:paraId="2A6E73B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6A5AD9DF" w14:textId="77777777" w:rsidR="00D567F8" w:rsidRPr="00960C51" w:rsidRDefault="00D567F8" w:rsidP="00960C51">
            <w:pPr>
              <w:jc w:val="both"/>
              <w:rPr>
                <w:rFonts w:ascii="Arial" w:hAnsi="Arial" w:cs="Arial"/>
                <w:sz w:val="20"/>
                <w:szCs w:val="20"/>
              </w:rPr>
            </w:pPr>
          </w:p>
          <w:p w14:paraId="3A653367" w14:textId="77777777" w:rsidR="00D567F8" w:rsidRPr="00960C51" w:rsidRDefault="00D567F8" w:rsidP="00960C51">
            <w:pPr>
              <w:jc w:val="both"/>
              <w:rPr>
                <w:rFonts w:ascii="Arial" w:hAnsi="Arial" w:cs="Arial"/>
                <w:sz w:val="20"/>
                <w:szCs w:val="20"/>
              </w:rPr>
            </w:pPr>
          </w:p>
          <w:p w14:paraId="5771C5C4" w14:textId="77777777" w:rsidR="00D567F8" w:rsidRPr="00960C51" w:rsidRDefault="00D567F8" w:rsidP="00960C51">
            <w:pPr>
              <w:jc w:val="both"/>
              <w:rPr>
                <w:rFonts w:ascii="Arial" w:hAnsi="Arial" w:cs="Arial"/>
                <w:sz w:val="20"/>
                <w:szCs w:val="20"/>
              </w:rPr>
            </w:pPr>
          </w:p>
          <w:p w14:paraId="42BCD7C1" w14:textId="77777777" w:rsidR="00D567F8" w:rsidRPr="00960C51" w:rsidRDefault="00D567F8" w:rsidP="00960C51">
            <w:pPr>
              <w:jc w:val="both"/>
              <w:rPr>
                <w:rFonts w:ascii="Arial" w:hAnsi="Arial" w:cs="Arial"/>
                <w:sz w:val="20"/>
                <w:szCs w:val="20"/>
              </w:rPr>
            </w:pPr>
          </w:p>
          <w:p w14:paraId="61ADE20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446" w:type="dxa"/>
            <w:vMerge w:val="restart"/>
          </w:tcPr>
          <w:p w14:paraId="66C40080" w14:textId="77777777" w:rsidR="00D567F8" w:rsidRPr="00960C51" w:rsidRDefault="00D567F8" w:rsidP="00960C51">
            <w:pPr>
              <w:jc w:val="both"/>
              <w:rPr>
                <w:rFonts w:ascii="Arial" w:hAnsi="Arial" w:cs="Arial"/>
                <w:sz w:val="20"/>
                <w:szCs w:val="20"/>
              </w:rPr>
            </w:pPr>
          </w:p>
          <w:p w14:paraId="08541AED" w14:textId="77777777" w:rsidR="00D567F8" w:rsidRPr="00960C51" w:rsidRDefault="00D567F8" w:rsidP="00960C51">
            <w:pPr>
              <w:jc w:val="both"/>
              <w:rPr>
                <w:rFonts w:ascii="Arial" w:hAnsi="Arial" w:cs="Arial"/>
                <w:sz w:val="20"/>
                <w:szCs w:val="20"/>
              </w:rPr>
            </w:pPr>
          </w:p>
          <w:p w14:paraId="1D99A335" w14:textId="77777777" w:rsidR="00D567F8" w:rsidRPr="00960C51" w:rsidRDefault="00D567F8" w:rsidP="00960C51">
            <w:pPr>
              <w:jc w:val="both"/>
              <w:rPr>
                <w:rFonts w:ascii="Arial" w:hAnsi="Arial" w:cs="Arial"/>
                <w:sz w:val="20"/>
                <w:szCs w:val="20"/>
              </w:rPr>
            </w:pPr>
          </w:p>
          <w:p w14:paraId="2A16E912" w14:textId="77777777" w:rsidR="00D567F8" w:rsidRPr="00960C51" w:rsidRDefault="00D567F8" w:rsidP="00960C51">
            <w:pPr>
              <w:jc w:val="both"/>
              <w:rPr>
                <w:rFonts w:ascii="Arial" w:hAnsi="Arial" w:cs="Arial"/>
                <w:sz w:val="20"/>
                <w:szCs w:val="20"/>
              </w:rPr>
            </w:pPr>
          </w:p>
          <w:p w14:paraId="4BF80F9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8.77%</w:t>
            </w:r>
          </w:p>
        </w:tc>
      </w:tr>
      <w:tr w:rsidR="00FB7C74" w:rsidRPr="00960C51" w14:paraId="3851CEA1" w14:textId="77777777" w:rsidTr="00FB7C74">
        <w:tc>
          <w:tcPr>
            <w:tcW w:w="1227" w:type="dxa"/>
            <w:vMerge/>
          </w:tcPr>
          <w:p w14:paraId="281BAF0C"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9173A79" w14:textId="3E89A7CD"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1B2B090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04</w:t>
            </w:r>
          </w:p>
        </w:tc>
        <w:tc>
          <w:tcPr>
            <w:tcW w:w="2177" w:type="dxa"/>
            <w:tcBorders>
              <w:top w:val="nil"/>
              <w:bottom w:val="nil"/>
            </w:tcBorders>
          </w:tcPr>
          <w:p w14:paraId="5D05250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296B850C" w14:textId="77777777" w:rsidR="00D567F8" w:rsidRPr="00960C51" w:rsidRDefault="00D567F8" w:rsidP="00960C51">
            <w:pPr>
              <w:jc w:val="both"/>
              <w:rPr>
                <w:rFonts w:ascii="Arial" w:hAnsi="Arial" w:cs="Arial"/>
                <w:sz w:val="20"/>
                <w:szCs w:val="20"/>
              </w:rPr>
            </w:pPr>
          </w:p>
        </w:tc>
        <w:tc>
          <w:tcPr>
            <w:tcW w:w="1446" w:type="dxa"/>
            <w:vMerge/>
          </w:tcPr>
          <w:p w14:paraId="1CDBD39C" w14:textId="77777777" w:rsidR="00D567F8" w:rsidRPr="00960C51" w:rsidRDefault="00D567F8" w:rsidP="00960C51">
            <w:pPr>
              <w:jc w:val="both"/>
              <w:rPr>
                <w:rFonts w:ascii="Arial" w:hAnsi="Arial" w:cs="Arial"/>
                <w:sz w:val="20"/>
                <w:szCs w:val="20"/>
              </w:rPr>
            </w:pPr>
          </w:p>
        </w:tc>
      </w:tr>
      <w:tr w:rsidR="00FB7C74" w:rsidRPr="00960C51" w14:paraId="37E8EAC2" w14:textId="77777777" w:rsidTr="00FB7C74">
        <w:tc>
          <w:tcPr>
            <w:tcW w:w="1227" w:type="dxa"/>
            <w:vMerge/>
          </w:tcPr>
          <w:p w14:paraId="44091748"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BCF0810" w14:textId="41F73A21"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40751EA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07 (Mode)</w:t>
            </w:r>
          </w:p>
        </w:tc>
        <w:tc>
          <w:tcPr>
            <w:tcW w:w="2177" w:type="dxa"/>
            <w:tcBorders>
              <w:top w:val="nil"/>
              <w:bottom w:val="nil"/>
            </w:tcBorders>
          </w:tcPr>
          <w:p w14:paraId="682612D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7AE571E" w14:textId="77777777" w:rsidR="00D567F8" w:rsidRPr="00960C51" w:rsidRDefault="00D567F8" w:rsidP="00960C51">
            <w:pPr>
              <w:jc w:val="both"/>
              <w:rPr>
                <w:rFonts w:ascii="Arial" w:hAnsi="Arial" w:cs="Arial"/>
                <w:sz w:val="20"/>
                <w:szCs w:val="20"/>
              </w:rPr>
            </w:pPr>
          </w:p>
        </w:tc>
        <w:tc>
          <w:tcPr>
            <w:tcW w:w="1446" w:type="dxa"/>
            <w:vMerge/>
          </w:tcPr>
          <w:p w14:paraId="1650E188" w14:textId="77777777" w:rsidR="00D567F8" w:rsidRPr="00960C51" w:rsidRDefault="00D567F8" w:rsidP="00960C51">
            <w:pPr>
              <w:jc w:val="both"/>
              <w:rPr>
                <w:rFonts w:ascii="Arial" w:hAnsi="Arial" w:cs="Arial"/>
                <w:sz w:val="20"/>
                <w:szCs w:val="20"/>
              </w:rPr>
            </w:pPr>
          </w:p>
        </w:tc>
      </w:tr>
      <w:tr w:rsidR="00FB7C74" w:rsidRPr="00960C51" w14:paraId="3F057B16" w14:textId="77777777" w:rsidTr="00FB7C74">
        <w:tc>
          <w:tcPr>
            <w:tcW w:w="1227" w:type="dxa"/>
            <w:vMerge/>
          </w:tcPr>
          <w:p w14:paraId="23848505"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DEFE869" w14:textId="447DCD45"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67B3C495"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76896A0F"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0B6AACD" w14:textId="77777777" w:rsidR="00D567F8" w:rsidRPr="00960C51" w:rsidRDefault="00D567F8" w:rsidP="00960C51">
            <w:pPr>
              <w:jc w:val="both"/>
              <w:rPr>
                <w:rFonts w:ascii="Arial" w:hAnsi="Arial" w:cs="Arial"/>
                <w:sz w:val="20"/>
                <w:szCs w:val="20"/>
              </w:rPr>
            </w:pPr>
          </w:p>
        </w:tc>
        <w:tc>
          <w:tcPr>
            <w:tcW w:w="1446" w:type="dxa"/>
            <w:vMerge/>
          </w:tcPr>
          <w:p w14:paraId="4AC33CEF" w14:textId="77777777" w:rsidR="00D567F8" w:rsidRPr="00960C51" w:rsidRDefault="00D567F8" w:rsidP="00960C51">
            <w:pPr>
              <w:jc w:val="both"/>
              <w:rPr>
                <w:rFonts w:ascii="Arial" w:hAnsi="Arial" w:cs="Arial"/>
                <w:sz w:val="20"/>
                <w:szCs w:val="20"/>
              </w:rPr>
            </w:pPr>
          </w:p>
        </w:tc>
      </w:tr>
      <w:tr w:rsidR="00FB7C74" w:rsidRPr="00960C51" w14:paraId="211CCB6A" w14:textId="77777777" w:rsidTr="00FB7C74">
        <w:tc>
          <w:tcPr>
            <w:tcW w:w="1227" w:type="dxa"/>
            <w:vMerge/>
          </w:tcPr>
          <w:p w14:paraId="1ECAA1E7"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5EB1D8E2" w14:textId="7BCFD27D"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67DA384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39AD13D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FE007F6" w14:textId="77777777" w:rsidR="00D567F8" w:rsidRPr="00960C51" w:rsidRDefault="00D567F8" w:rsidP="00960C51">
            <w:pPr>
              <w:jc w:val="both"/>
              <w:rPr>
                <w:rFonts w:ascii="Arial" w:hAnsi="Arial" w:cs="Arial"/>
                <w:sz w:val="20"/>
                <w:szCs w:val="20"/>
              </w:rPr>
            </w:pPr>
          </w:p>
        </w:tc>
        <w:tc>
          <w:tcPr>
            <w:tcW w:w="1446" w:type="dxa"/>
            <w:vMerge/>
          </w:tcPr>
          <w:p w14:paraId="109E39D1" w14:textId="77777777" w:rsidR="00D567F8" w:rsidRPr="00960C51" w:rsidRDefault="00D567F8" w:rsidP="00960C51">
            <w:pPr>
              <w:jc w:val="both"/>
              <w:rPr>
                <w:rFonts w:ascii="Arial" w:hAnsi="Arial" w:cs="Arial"/>
                <w:sz w:val="20"/>
                <w:szCs w:val="20"/>
              </w:rPr>
            </w:pPr>
          </w:p>
        </w:tc>
      </w:tr>
      <w:tr w:rsidR="00FB7C74" w:rsidRPr="00960C51" w14:paraId="5F91AB4F" w14:textId="77777777" w:rsidTr="00FB7C74">
        <w:tc>
          <w:tcPr>
            <w:tcW w:w="1227" w:type="dxa"/>
            <w:vMerge/>
          </w:tcPr>
          <w:p w14:paraId="6949D7EC" w14:textId="77777777" w:rsidR="00D567F8" w:rsidRPr="00960C51" w:rsidRDefault="00D567F8" w:rsidP="00960C51">
            <w:pPr>
              <w:jc w:val="both"/>
              <w:rPr>
                <w:rFonts w:ascii="Arial" w:hAnsi="Arial" w:cs="Arial"/>
                <w:sz w:val="20"/>
                <w:szCs w:val="20"/>
              </w:rPr>
            </w:pPr>
          </w:p>
        </w:tc>
        <w:tc>
          <w:tcPr>
            <w:tcW w:w="1198" w:type="dxa"/>
            <w:tcBorders>
              <w:top w:val="nil"/>
            </w:tcBorders>
          </w:tcPr>
          <w:p w14:paraId="50ED75A4" w14:textId="6ECAF3ED" w:rsidR="00D567F8" w:rsidRPr="00960C51" w:rsidRDefault="00D567F8" w:rsidP="00960C51">
            <w:pPr>
              <w:jc w:val="both"/>
              <w:rPr>
                <w:rFonts w:ascii="Arial" w:hAnsi="Arial" w:cs="Arial"/>
                <w:sz w:val="20"/>
                <w:szCs w:val="20"/>
              </w:rPr>
            </w:pPr>
            <w:r w:rsidRPr="00960C51">
              <w:rPr>
                <w:rFonts w:ascii="Arial" w:hAnsi="Arial" w:cs="Arial"/>
                <w:sz w:val="20"/>
                <w:szCs w:val="20"/>
              </w:rPr>
              <w:t>25 +</w:t>
            </w:r>
          </w:p>
        </w:tc>
        <w:tc>
          <w:tcPr>
            <w:tcW w:w="1980" w:type="dxa"/>
            <w:tcBorders>
              <w:top w:val="nil"/>
            </w:tcBorders>
          </w:tcPr>
          <w:p w14:paraId="40C6E68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29877E2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4DFE4F5E" w14:textId="77777777" w:rsidR="00D567F8" w:rsidRPr="00960C51" w:rsidRDefault="00D567F8" w:rsidP="00960C51">
            <w:pPr>
              <w:jc w:val="both"/>
              <w:rPr>
                <w:rFonts w:ascii="Arial" w:hAnsi="Arial" w:cs="Arial"/>
                <w:sz w:val="20"/>
                <w:szCs w:val="20"/>
              </w:rPr>
            </w:pPr>
          </w:p>
        </w:tc>
        <w:tc>
          <w:tcPr>
            <w:tcW w:w="1446" w:type="dxa"/>
            <w:vMerge/>
          </w:tcPr>
          <w:p w14:paraId="30379667" w14:textId="77777777" w:rsidR="00D567F8" w:rsidRPr="00960C51" w:rsidRDefault="00D567F8" w:rsidP="00960C51">
            <w:pPr>
              <w:jc w:val="both"/>
              <w:rPr>
                <w:rFonts w:ascii="Arial" w:hAnsi="Arial" w:cs="Arial"/>
                <w:sz w:val="20"/>
                <w:szCs w:val="20"/>
              </w:rPr>
            </w:pPr>
          </w:p>
        </w:tc>
      </w:tr>
      <w:tr w:rsidR="00FB7C74" w:rsidRPr="00960C51" w14:paraId="4EF1129E" w14:textId="77777777" w:rsidTr="00FB7C74">
        <w:tc>
          <w:tcPr>
            <w:tcW w:w="1227" w:type="dxa"/>
            <w:vMerge/>
          </w:tcPr>
          <w:p w14:paraId="470B707A"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1CE6D443"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19826902" w14:textId="36F04A32" w:rsidR="00D567F8" w:rsidRPr="00960C51" w:rsidRDefault="00D567F8" w:rsidP="00960C51">
            <w:pPr>
              <w:jc w:val="both"/>
              <w:rPr>
                <w:rFonts w:ascii="Arial" w:hAnsi="Arial" w:cs="Arial"/>
                <w:sz w:val="20"/>
                <w:szCs w:val="20"/>
              </w:rPr>
            </w:pPr>
            <w:r w:rsidRPr="00960C51">
              <w:rPr>
                <w:rFonts w:ascii="Arial" w:hAnsi="Arial" w:cs="Arial"/>
                <w:sz w:val="20"/>
                <w:szCs w:val="20"/>
              </w:rPr>
              <w:t>Total = 14</w:t>
            </w:r>
            <w:r w:rsidR="00FB7C74">
              <w:rPr>
                <w:rFonts w:ascii="Arial" w:hAnsi="Arial" w:cs="Arial"/>
                <w:sz w:val="20"/>
                <w:szCs w:val="20"/>
              </w:rPr>
              <w:t xml:space="preserve"> </w:t>
            </w:r>
            <w:r w:rsidRPr="00960C51">
              <w:rPr>
                <w:rFonts w:ascii="Arial" w:hAnsi="Arial" w:cs="Arial"/>
                <w:sz w:val="20"/>
                <w:szCs w:val="20"/>
              </w:rPr>
              <w:t>(9.15%)</w:t>
            </w:r>
          </w:p>
        </w:tc>
        <w:tc>
          <w:tcPr>
            <w:tcW w:w="2177" w:type="dxa"/>
            <w:tcBorders>
              <w:bottom w:val="single" w:sz="4" w:space="0" w:color="auto"/>
            </w:tcBorders>
          </w:tcPr>
          <w:p w14:paraId="028BEF82" w14:textId="3229B3F0"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r w:rsidR="00FB7C74">
              <w:rPr>
                <w:rFonts w:ascii="Arial" w:hAnsi="Arial" w:cs="Arial"/>
                <w:sz w:val="20"/>
                <w:szCs w:val="20"/>
              </w:rPr>
              <w:t xml:space="preserve"> </w:t>
            </w:r>
            <w:r w:rsidRPr="00960C51">
              <w:rPr>
                <w:rFonts w:ascii="Arial" w:hAnsi="Arial" w:cs="Arial"/>
                <w:sz w:val="20"/>
                <w:szCs w:val="20"/>
              </w:rPr>
              <w:t>(5.56%)</w:t>
            </w:r>
          </w:p>
        </w:tc>
        <w:tc>
          <w:tcPr>
            <w:tcW w:w="1417" w:type="dxa"/>
            <w:vMerge/>
          </w:tcPr>
          <w:p w14:paraId="4D6FF257" w14:textId="77777777" w:rsidR="00D567F8" w:rsidRPr="00960C51" w:rsidRDefault="00D567F8" w:rsidP="00960C51">
            <w:pPr>
              <w:jc w:val="both"/>
              <w:rPr>
                <w:rFonts w:ascii="Arial" w:hAnsi="Arial" w:cs="Arial"/>
                <w:sz w:val="20"/>
                <w:szCs w:val="20"/>
              </w:rPr>
            </w:pPr>
          </w:p>
        </w:tc>
        <w:tc>
          <w:tcPr>
            <w:tcW w:w="1446" w:type="dxa"/>
            <w:vMerge/>
          </w:tcPr>
          <w:p w14:paraId="5AB0E293" w14:textId="77777777" w:rsidR="00D567F8" w:rsidRPr="00960C51" w:rsidRDefault="00D567F8" w:rsidP="00960C51">
            <w:pPr>
              <w:jc w:val="both"/>
              <w:rPr>
                <w:rFonts w:ascii="Arial" w:hAnsi="Arial" w:cs="Arial"/>
                <w:sz w:val="20"/>
                <w:szCs w:val="20"/>
              </w:rPr>
            </w:pPr>
          </w:p>
        </w:tc>
      </w:tr>
      <w:tr w:rsidR="00FB7C74" w:rsidRPr="00960C51" w14:paraId="617351A5" w14:textId="77777777" w:rsidTr="00FB7C74">
        <w:tc>
          <w:tcPr>
            <w:tcW w:w="1227" w:type="dxa"/>
            <w:vMerge w:val="restart"/>
          </w:tcPr>
          <w:p w14:paraId="29BBA037" w14:textId="77777777" w:rsidR="00D567F8" w:rsidRPr="00960C51" w:rsidRDefault="00D567F8" w:rsidP="00960C51">
            <w:pPr>
              <w:jc w:val="both"/>
              <w:rPr>
                <w:rFonts w:ascii="Arial" w:hAnsi="Arial" w:cs="Arial"/>
                <w:sz w:val="20"/>
                <w:szCs w:val="20"/>
              </w:rPr>
            </w:pPr>
          </w:p>
          <w:p w14:paraId="1DFE21A5" w14:textId="77777777" w:rsidR="00D567F8" w:rsidRPr="00960C51" w:rsidRDefault="00D567F8" w:rsidP="00960C51">
            <w:pPr>
              <w:jc w:val="both"/>
              <w:rPr>
                <w:rFonts w:ascii="Arial" w:hAnsi="Arial" w:cs="Arial"/>
                <w:sz w:val="20"/>
                <w:szCs w:val="20"/>
              </w:rPr>
            </w:pPr>
          </w:p>
          <w:p w14:paraId="395D6B3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Europe-Australia</w:t>
            </w:r>
          </w:p>
        </w:tc>
        <w:tc>
          <w:tcPr>
            <w:tcW w:w="1198" w:type="dxa"/>
            <w:tcBorders>
              <w:bottom w:val="nil"/>
            </w:tcBorders>
          </w:tcPr>
          <w:p w14:paraId="4FE7FB1F" w14:textId="7AFCC84D"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1199A6B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bottom w:val="nil"/>
            </w:tcBorders>
          </w:tcPr>
          <w:p w14:paraId="4E9C59E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5F327E1C" w14:textId="77777777" w:rsidR="00D567F8" w:rsidRPr="00960C51" w:rsidRDefault="00D567F8" w:rsidP="00960C51">
            <w:pPr>
              <w:jc w:val="both"/>
              <w:rPr>
                <w:rFonts w:ascii="Arial" w:hAnsi="Arial" w:cs="Arial"/>
                <w:sz w:val="20"/>
                <w:szCs w:val="20"/>
              </w:rPr>
            </w:pPr>
          </w:p>
          <w:p w14:paraId="2F1CEE09" w14:textId="77777777" w:rsidR="00D567F8" w:rsidRPr="00960C51" w:rsidRDefault="00D567F8" w:rsidP="00960C51">
            <w:pPr>
              <w:jc w:val="both"/>
              <w:rPr>
                <w:rFonts w:ascii="Arial" w:hAnsi="Arial" w:cs="Arial"/>
                <w:sz w:val="20"/>
                <w:szCs w:val="20"/>
              </w:rPr>
            </w:pPr>
          </w:p>
          <w:p w14:paraId="03E49E66" w14:textId="77777777" w:rsidR="00D567F8" w:rsidRPr="00960C51" w:rsidRDefault="00D567F8" w:rsidP="00960C51">
            <w:pPr>
              <w:jc w:val="both"/>
              <w:rPr>
                <w:rFonts w:ascii="Arial" w:hAnsi="Arial" w:cs="Arial"/>
                <w:sz w:val="20"/>
                <w:szCs w:val="20"/>
              </w:rPr>
            </w:pPr>
          </w:p>
          <w:p w14:paraId="749D5B56" w14:textId="77777777" w:rsidR="00D567F8" w:rsidRPr="00960C51" w:rsidRDefault="00D567F8" w:rsidP="00960C51">
            <w:pPr>
              <w:jc w:val="both"/>
              <w:rPr>
                <w:rFonts w:ascii="Arial" w:hAnsi="Arial" w:cs="Arial"/>
                <w:sz w:val="20"/>
                <w:szCs w:val="20"/>
              </w:rPr>
            </w:pPr>
          </w:p>
          <w:p w14:paraId="53C5D97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05</w:t>
            </w:r>
          </w:p>
        </w:tc>
        <w:tc>
          <w:tcPr>
            <w:tcW w:w="1446" w:type="dxa"/>
            <w:vMerge w:val="restart"/>
          </w:tcPr>
          <w:p w14:paraId="68359C4D" w14:textId="77777777" w:rsidR="00D567F8" w:rsidRPr="00960C51" w:rsidRDefault="00D567F8" w:rsidP="00960C51">
            <w:pPr>
              <w:jc w:val="both"/>
              <w:rPr>
                <w:rFonts w:ascii="Arial" w:hAnsi="Arial" w:cs="Arial"/>
                <w:sz w:val="20"/>
                <w:szCs w:val="20"/>
              </w:rPr>
            </w:pPr>
          </w:p>
          <w:p w14:paraId="6BBA1488" w14:textId="77777777" w:rsidR="00D567F8" w:rsidRPr="00960C51" w:rsidRDefault="00D567F8" w:rsidP="00960C51">
            <w:pPr>
              <w:jc w:val="both"/>
              <w:rPr>
                <w:rFonts w:ascii="Arial" w:hAnsi="Arial" w:cs="Arial"/>
                <w:sz w:val="20"/>
                <w:szCs w:val="20"/>
              </w:rPr>
            </w:pPr>
          </w:p>
          <w:p w14:paraId="5CB28816" w14:textId="77777777" w:rsidR="00D567F8" w:rsidRPr="00960C51" w:rsidRDefault="00D567F8" w:rsidP="00960C51">
            <w:pPr>
              <w:jc w:val="both"/>
              <w:rPr>
                <w:rFonts w:ascii="Arial" w:hAnsi="Arial" w:cs="Arial"/>
                <w:sz w:val="20"/>
                <w:szCs w:val="20"/>
              </w:rPr>
            </w:pPr>
          </w:p>
          <w:p w14:paraId="481B965F" w14:textId="77777777" w:rsidR="00D567F8" w:rsidRPr="00960C51" w:rsidRDefault="00D567F8" w:rsidP="00960C51">
            <w:pPr>
              <w:jc w:val="both"/>
              <w:rPr>
                <w:rFonts w:ascii="Arial" w:hAnsi="Arial" w:cs="Arial"/>
                <w:sz w:val="20"/>
                <w:szCs w:val="20"/>
              </w:rPr>
            </w:pPr>
          </w:p>
          <w:p w14:paraId="6564A74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2.92%</w:t>
            </w:r>
          </w:p>
        </w:tc>
      </w:tr>
      <w:tr w:rsidR="00FB7C74" w:rsidRPr="00960C51" w14:paraId="05E748E7" w14:textId="77777777" w:rsidTr="00FB7C74">
        <w:tc>
          <w:tcPr>
            <w:tcW w:w="1227" w:type="dxa"/>
            <w:vMerge/>
          </w:tcPr>
          <w:p w14:paraId="25A3B4A9"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4567A89" w14:textId="7CDD59A6"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54A783A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39728C1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7A760455" w14:textId="77777777" w:rsidR="00D567F8" w:rsidRPr="00960C51" w:rsidRDefault="00D567F8" w:rsidP="00960C51">
            <w:pPr>
              <w:jc w:val="both"/>
              <w:rPr>
                <w:rFonts w:ascii="Arial" w:hAnsi="Arial" w:cs="Arial"/>
                <w:sz w:val="20"/>
                <w:szCs w:val="20"/>
              </w:rPr>
            </w:pPr>
          </w:p>
        </w:tc>
        <w:tc>
          <w:tcPr>
            <w:tcW w:w="1446" w:type="dxa"/>
            <w:vMerge/>
          </w:tcPr>
          <w:p w14:paraId="1C911BE1" w14:textId="77777777" w:rsidR="00D567F8" w:rsidRPr="00960C51" w:rsidRDefault="00D567F8" w:rsidP="00960C51">
            <w:pPr>
              <w:jc w:val="both"/>
              <w:rPr>
                <w:rFonts w:ascii="Arial" w:hAnsi="Arial" w:cs="Arial"/>
                <w:sz w:val="20"/>
                <w:szCs w:val="20"/>
              </w:rPr>
            </w:pPr>
          </w:p>
        </w:tc>
      </w:tr>
      <w:tr w:rsidR="00FB7C74" w:rsidRPr="00960C51" w14:paraId="4AD3B963" w14:textId="77777777" w:rsidTr="00FB7C74">
        <w:tc>
          <w:tcPr>
            <w:tcW w:w="1227" w:type="dxa"/>
            <w:vMerge/>
          </w:tcPr>
          <w:p w14:paraId="1E4DEFA1"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2EEEBE6B" w14:textId="52C51DC1"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180BDAE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03 (Mode)</w:t>
            </w:r>
          </w:p>
        </w:tc>
        <w:tc>
          <w:tcPr>
            <w:tcW w:w="2177" w:type="dxa"/>
            <w:tcBorders>
              <w:top w:val="nil"/>
              <w:bottom w:val="nil"/>
            </w:tcBorders>
          </w:tcPr>
          <w:p w14:paraId="19DA7796"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6D2A85E3" w14:textId="77777777" w:rsidR="00D567F8" w:rsidRPr="00960C51" w:rsidRDefault="00D567F8" w:rsidP="00960C51">
            <w:pPr>
              <w:jc w:val="both"/>
              <w:rPr>
                <w:rFonts w:ascii="Arial" w:hAnsi="Arial" w:cs="Arial"/>
                <w:sz w:val="20"/>
                <w:szCs w:val="20"/>
              </w:rPr>
            </w:pPr>
          </w:p>
        </w:tc>
        <w:tc>
          <w:tcPr>
            <w:tcW w:w="1446" w:type="dxa"/>
            <w:vMerge/>
          </w:tcPr>
          <w:p w14:paraId="135F51D9" w14:textId="77777777" w:rsidR="00D567F8" w:rsidRPr="00960C51" w:rsidRDefault="00D567F8" w:rsidP="00960C51">
            <w:pPr>
              <w:jc w:val="both"/>
              <w:rPr>
                <w:rFonts w:ascii="Arial" w:hAnsi="Arial" w:cs="Arial"/>
                <w:sz w:val="20"/>
                <w:szCs w:val="20"/>
              </w:rPr>
            </w:pPr>
          </w:p>
        </w:tc>
      </w:tr>
      <w:tr w:rsidR="00FB7C74" w:rsidRPr="00960C51" w14:paraId="1B57F4EE" w14:textId="77777777" w:rsidTr="00FB7C74">
        <w:tc>
          <w:tcPr>
            <w:tcW w:w="1227" w:type="dxa"/>
            <w:vMerge/>
          </w:tcPr>
          <w:p w14:paraId="29B4859A"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D76247D" w14:textId="6F13570B"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0862841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46720E1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2092865B" w14:textId="77777777" w:rsidR="00D567F8" w:rsidRPr="00960C51" w:rsidRDefault="00D567F8" w:rsidP="00960C51">
            <w:pPr>
              <w:jc w:val="both"/>
              <w:rPr>
                <w:rFonts w:ascii="Arial" w:hAnsi="Arial" w:cs="Arial"/>
                <w:sz w:val="20"/>
                <w:szCs w:val="20"/>
              </w:rPr>
            </w:pPr>
          </w:p>
        </w:tc>
        <w:tc>
          <w:tcPr>
            <w:tcW w:w="1446" w:type="dxa"/>
            <w:vMerge/>
          </w:tcPr>
          <w:p w14:paraId="30392547" w14:textId="77777777" w:rsidR="00D567F8" w:rsidRPr="00960C51" w:rsidRDefault="00D567F8" w:rsidP="00960C51">
            <w:pPr>
              <w:jc w:val="both"/>
              <w:rPr>
                <w:rFonts w:ascii="Arial" w:hAnsi="Arial" w:cs="Arial"/>
                <w:sz w:val="20"/>
                <w:szCs w:val="20"/>
              </w:rPr>
            </w:pPr>
          </w:p>
        </w:tc>
      </w:tr>
      <w:tr w:rsidR="00FB7C74" w:rsidRPr="00960C51" w14:paraId="67CA3F86" w14:textId="77777777" w:rsidTr="00FB7C74">
        <w:tc>
          <w:tcPr>
            <w:tcW w:w="1227" w:type="dxa"/>
            <w:vMerge/>
          </w:tcPr>
          <w:p w14:paraId="1D0542E3"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6DE3C5CB" w14:textId="53FF2A58"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5627F9F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56ACCD3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E48E2E9" w14:textId="77777777" w:rsidR="00D567F8" w:rsidRPr="00960C51" w:rsidRDefault="00D567F8" w:rsidP="00960C51">
            <w:pPr>
              <w:jc w:val="both"/>
              <w:rPr>
                <w:rFonts w:ascii="Arial" w:hAnsi="Arial" w:cs="Arial"/>
                <w:sz w:val="20"/>
                <w:szCs w:val="20"/>
              </w:rPr>
            </w:pPr>
          </w:p>
        </w:tc>
        <w:tc>
          <w:tcPr>
            <w:tcW w:w="1446" w:type="dxa"/>
            <w:vMerge/>
          </w:tcPr>
          <w:p w14:paraId="0D35E621" w14:textId="77777777" w:rsidR="00D567F8" w:rsidRPr="00960C51" w:rsidRDefault="00D567F8" w:rsidP="00960C51">
            <w:pPr>
              <w:jc w:val="both"/>
              <w:rPr>
                <w:rFonts w:ascii="Arial" w:hAnsi="Arial" w:cs="Arial"/>
                <w:sz w:val="20"/>
                <w:szCs w:val="20"/>
              </w:rPr>
            </w:pPr>
          </w:p>
        </w:tc>
      </w:tr>
      <w:tr w:rsidR="00FB7C74" w:rsidRPr="00960C51" w14:paraId="6F6D0FB6" w14:textId="77777777" w:rsidTr="00FB7C74">
        <w:tc>
          <w:tcPr>
            <w:tcW w:w="1227" w:type="dxa"/>
            <w:vMerge/>
          </w:tcPr>
          <w:p w14:paraId="2EA768B5" w14:textId="77777777" w:rsidR="00D567F8" w:rsidRPr="00960C51" w:rsidRDefault="00D567F8" w:rsidP="00960C51">
            <w:pPr>
              <w:jc w:val="both"/>
              <w:rPr>
                <w:rFonts w:ascii="Arial" w:hAnsi="Arial" w:cs="Arial"/>
                <w:sz w:val="20"/>
                <w:szCs w:val="20"/>
              </w:rPr>
            </w:pPr>
          </w:p>
        </w:tc>
        <w:tc>
          <w:tcPr>
            <w:tcW w:w="1198" w:type="dxa"/>
            <w:tcBorders>
              <w:top w:val="nil"/>
            </w:tcBorders>
          </w:tcPr>
          <w:p w14:paraId="6768A591" w14:textId="7E8FFC01"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34A4A64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2B8B121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14297BD" w14:textId="77777777" w:rsidR="00D567F8" w:rsidRPr="00960C51" w:rsidRDefault="00D567F8" w:rsidP="00960C51">
            <w:pPr>
              <w:jc w:val="both"/>
              <w:rPr>
                <w:rFonts w:ascii="Arial" w:hAnsi="Arial" w:cs="Arial"/>
                <w:sz w:val="20"/>
                <w:szCs w:val="20"/>
              </w:rPr>
            </w:pPr>
          </w:p>
        </w:tc>
        <w:tc>
          <w:tcPr>
            <w:tcW w:w="1446" w:type="dxa"/>
            <w:vMerge/>
          </w:tcPr>
          <w:p w14:paraId="42C3DFCA" w14:textId="77777777" w:rsidR="00D567F8" w:rsidRPr="00960C51" w:rsidRDefault="00D567F8" w:rsidP="00960C51">
            <w:pPr>
              <w:jc w:val="both"/>
              <w:rPr>
                <w:rFonts w:ascii="Arial" w:hAnsi="Arial" w:cs="Arial"/>
                <w:sz w:val="20"/>
                <w:szCs w:val="20"/>
              </w:rPr>
            </w:pPr>
          </w:p>
        </w:tc>
      </w:tr>
      <w:tr w:rsidR="00D567F8" w:rsidRPr="00960C51" w14:paraId="6F8B1D5F" w14:textId="77777777" w:rsidTr="00FB7C74">
        <w:tc>
          <w:tcPr>
            <w:tcW w:w="1227" w:type="dxa"/>
            <w:vMerge/>
          </w:tcPr>
          <w:p w14:paraId="245F55B6" w14:textId="77777777" w:rsidR="00D567F8" w:rsidRPr="00960C51" w:rsidRDefault="00D567F8" w:rsidP="00960C51">
            <w:pPr>
              <w:jc w:val="both"/>
              <w:rPr>
                <w:rFonts w:ascii="Arial" w:hAnsi="Arial" w:cs="Arial"/>
                <w:sz w:val="20"/>
                <w:szCs w:val="20"/>
              </w:rPr>
            </w:pPr>
          </w:p>
        </w:tc>
        <w:tc>
          <w:tcPr>
            <w:tcW w:w="1198" w:type="dxa"/>
          </w:tcPr>
          <w:p w14:paraId="7867EC7F" w14:textId="77777777" w:rsidR="00D567F8" w:rsidRPr="00960C51" w:rsidRDefault="00D567F8" w:rsidP="00960C51">
            <w:pPr>
              <w:jc w:val="both"/>
              <w:rPr>
                <w:rFonts w:ascii="Arial" w:hAnsi="Arial" w:cs="Arial"/>
                <w:sz w:val="20"/>
                <w:szCs w:val="20"/>
              </w:rPr>
            </w:pPr>
          </w:p>
        </w:tc>
        <w:tc>
          <w:tcPr>
            <w:tcW w:w="1980" w:type="dxa"/>
          </w:tcPr>
          <w:p w14:paraId="0EE6422A" w14:textId="7283A3EC" w:rsidR="00D567F8" w:rsidRPr="00960C51" w:rsidRDefault="00D567F8" w:rsidP="00960C51">
            <w:pPr>
              <w:jc w:val="both"/>
              <w:rPr>
                <w:rFonts w:ascii="Arial" w:hAnsi="Arial" w:cs="Arial"/>
                <w:sz w:val="20"/>
                <w:szCs w:val="20"/>
              </w:rPr>
            </w:pPr>
            <w:r w:rsidRPr="00960C51">
              <w:rPr>
                <w:rFonts w:ascii="Arial" w:hAnsi="Arial" w:cs="Arial"/>
                <w:sz w:val="20"/>
                <w:szCs w:val="20"/>
              </w:rPr>
              <w:t>Total = 05</w:t>
            </w:r>
            <w:r w:rsidR="00FB7C74">
              <w:rPr>
                <w:rFonts w:ascii="Arial" w:hAnsi="Arial" w:cs="Arial"/>
                <w:sz w:val="20"/>
                <w:szCs w:val="20"/>
              </w:rPr>
              <w:t xml:space="preserve"> </w:t>
            </w:r>
            <w:r w:rsidRPr="00960C51">
              <w:rPr>
                <w:rFonts w:ascii="Arial" w:hAnsi="Arial" w:cs="Arial"/>
                <w:sz w:val="20"/>
                <w:szCs w:val="20"/>
              </w:rPr>
              <w:t>(3.27%)</w:t>
            </w:r>
          </w:p>
        </w:tc>
        <w:tc>
          <w:tcPr>
            <w:tcW w:w="2177" w:type="dxa"/>
          </w:tcPr>
          <w:p w14:paraId="328500E7"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338067E0" w14:textId="77777777" w:rsidR="00D567F8" w:rsidRPr="00960C51" w:rsidRDefault="00D567F8" w:rsidP="00960C51">
            <w:pPr>
              <w:jc w:val="both"/>
              <w:rPr>
                <w:rFonts w:ascii="Arial" w:hAnsi="Arial" w:cs="Arial"/>
                <w:sz w:val="20"/>
                <w:szCs w:val="20"/>
              </w:rPr>
            </w:pPr>
          </w:p>
        </w:tc>
        <w:tc>
          <w:tcPr>
            <w:tcW w:w="1446" w:type="dxa"/>
            <w:vMerge/>
          </w:tcPr>
          <w:p w14:paraId="601DBA90" w14:textId="77777777" w:rsidR="00D567F8" w:rsidRPr="00960C51" w:rsidRDefault="00D567F8" w:rsidP="00960C51">
            <w:pPr>
              <w:jc w:val="both"/>
              <w:rPr>
                <w:rFonts w:ascii="Arial" w:hAnsi="Arial" w:cs="Arial"/>
                <w:sz w:val="20"/>
                <w:szCs w:val="20"/>
              </w:rPr>
            </w:pPr>
          </w:p>
        </w:tc>
      </w:tr>
      <w:tr w:rsidR="00D567F8" w:rsidRPr="00960C51" w14:paraId="52BFDDF8" w14:textId="77777777" w:rsidTr="00FB7C74">
        <w:tc>
          <w:tcPr>
            <w:tcW w:w="1227" w:type="dxa"/>
            <w:vMerge w:val="restart"/>
          </w:tcPr>
          <w:p w14:paraId="6872C7DA" w14:textId="77777777" w:rsidR="00D567F8" w:rsidRPr="00960C51" w:rsidRDefault="00D567F8" w:rsidP="00960C51">
            <w:pPr>
              <w:jc w:val="both"/>
              <w:rPr>
                <w:rFonts w:ascii="Arial" w:hAnsi="Arial" w:cs="Arial"/>
                <w:sz w:val="20"/>
                <w:szCs w:val="20"/>
              </w:rPr>
            </w:pPr>
          </w:p>
          <w:p w14:paraId="1669E372" w14:textId="48F0B161" w:rsidR="00D567F8" w:rsidRPr="00960C51" w:rsidRDefault="00D567F8" w:rsidP="00960C51">
            <w:pPr>
              <w:jc w:val="both"/>
              <w:rPr>
                <w:rFonts w:ascii="Arial" w:hAnsi="Arial" w:cs="Arial"/>
                <w:sz w:val="20"/>
                <w:szCs w:val="20"/>
              </w:rPr>
            </w:pPr>
            <w:r w:rsidRPr="00960C51">
              <w:rPr>
                <w:rFonts w:ascii="Arial" w:hAnsi="Arial" w:cs="Arial"/>
                <w:sz w:val="20"/>
                <w:szCs w:val="20"/>
              </w:rPr>
              <w:t>Europe</w:t>
            </w:r>
            <w:r w:rsidR="00FB7C74">
              <w:rPr>
                <w:rFonts w:ascii="Arial" w:hAnsi="Arial" w:cs="Arial"/>
                <w:sz w:val="20"/>
                <w:szCs w:val="20"/>
              </w:rPr>
              <w:t>-</w:t>
            </w:r>
            <w:r w:rsidRPr="00960C51">
              <w:rPr>
                <w:rFonts w:ascii="Arial" w:hAnsi="Arial" w:cs="Arial"/>
                <w:sz w:val="20"/>
                <w:szCs w:val="20"/>
              </w:rPr>
              <w:t>Asia</w:t>
            </w:r>
          </w:p>
        </w:tc>
        <w:tc>
          <w:tcPr>
            <w:tcW w:w="1198" w:type="dxa"/>
          </w:tcPr>
          <w:p w14:paraId="77473971" w14:textId="74C39FAE"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Pr>
          <w:p w14:paraId="0273AAA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Pr>
          <w:p w14:paraId="2A65784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11C4A99F" w14:textId="77777777" w:rsidR="00D567F8" w:rsidRPr="00960C51" w:rsidRDefault="00D567F8" w:rsidP="00960C51">
            <w:pPr>
              <w:jc w:val="both"/>
              <w:rPr>
                <w:rFonts w:ascii="Arial" w:hAnsi="Arial" w:cs="Arial"/>
                <w:sz w:val="20"/>
                <w:szCs w:val="20"/>
              </w:rPr>
            </w:pPr>
          </w:p>
          <w:p w14:paraId="40ABF11C"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46" w:type="dxa"/>
            <w:vMerge w:val="restart"/>
          </w:tcPr>
          <w:p w14:paraId="1F4D896E" w14:textId="77777777" w:rsidR="00D567F8" w:rsidRPr="00960C51" w:rsidRDefault="00D567F8" w:rsidP="00960C51">
            <w:pPr>
              <w:jc w:val="both"/>
              <w:rPr>
                <w:rFonts w:ascii="Arial" w:hAnsi="Arial" w:cs="Arial"/>
                <w:sz w:val="20"/>
                <w:szCs w:val="20"/>
              </w:rPr>
            </w:pPr>
          </w:p>
          <w:p w14:paraId="7C9DF4A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0.58%</w:t>
            </w:r>
          </w:p>
        </w:tc>
      </w:tr>
      <w:tr w:rsidR="00FB7C74" w:rsidRPr="00960C51" w14:paraId="7150107E" w14:textId="77777777" w:rsidTr="00FB7C74">
        <w:tc>
          <w:tcPr>
            <w:tcW w:w="1227" w:type="dxa"/>
            <w:vMerge/>
          </w:tcPr>
          <w:p w14:paraId="6E725244" w14:textId="77777777" w:rsidR="00D567F8" w:rsidRPr="00960C51" w:rsidRDefault="00D567F8" w:rsidP="00960C51">
            <w:pPr>
              <w:jc w:val="both"/>
              <w:rPr>
                <w:rFonts w:ascii="Arial" w:hAnsi="Arial" w:cs="Arial"/>
                <w:sz w:val="20"/>
                <w:szCs w:val="20"/>
              </w:rPr>
            </w:pPr>
          </w:p>
        </w:tc>
        <w:tc>
          <w:tcPr>
            <w:tcW w:w="1198" w:type="dxa"/>
            <w:tcBorders>
              <w:bottom w:val="single" w:sz="4" w:space="0" w:color="auto"/>
            </w:tcBorders>
          </w:tcPr>
          <w:p w14:paraId="32CADE22" w14:textId="77777777" w:rsidR="00D567F8" w:rsidRPr="00960C51" w:rsidRDefault="00D567F8" w:rsidP="00960C51">
            <w:pPr>
              <w:jc w:val="both"/>
              <w:rPr>
                <w:rFonts w:ascii="Arial" w:hAnsi="Arial" w:cs="Arial"/>
                <w:sz w:val="20"/>
                <w:szCs w:val="20"/>
              </w:rPr>
            </w:pPr>
          </w:p>
        </w:tc>
        <w:tc>
          <w:tcPr>
            <w:tcW w:w="1980" w:type="dxa"/>
            <w:tcBorders>
              <w:bottom w:val="single" w:sz="4" w:space="0" w:color="auto"/>
            </w:tcBorders>
          </w:tcPr>
          <w:p w14:paraId="2BB899B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p>
          <w:p w14:paraId="63ECDEE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(0.65%)</w:t>
            </w:r>
          </w:p>
        </w:tc>
        <w:tc>
          <w:tcPr>
            <w:tcW w:w="2177" w:type="dxa"/>
            <w:tcBorders>
              <w:bottom w:val="single" w:sz="4" w:space="0" w:color="auto"/>
            </w:tcBorders>
          </w:tcPr>
          <w:p w14:paraId="112F7E2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00</w:t>
            </w:r>
          </w:p>
        </w:tc>
        <w:tc>
          <w:tcPr>
            <w:tcW w:w="1417" w:type="dxa"/>
            <w:vMerge/>
          </w:tcPr>
          <w:p w14:paraId="6607C09C" w14:textId="77777777" w:rsidR="00D567F8" w:rsidRPr="00960C51" w:rsidRDefault="00D567F8" w:rsidP="00960C51">
            <w:pPr>
              <w:jc w:val="both"/>
              <w:rPr>
                <w:rFonts w:ascii="Arial" w:hAnsi="Arial" w:cs="Arial"/>
                <w:sz w:val="20"/>
                <w:szCs w:val="20"/>
              </w:rPr>
            </w:pPr>
          </w:p>
        </w:tc>
        <w:tc>
          <w:tcPr>
            <w:tcW w:w="1446" w:type="dxa"/>
            <w:vMerge/>
          </w:tcPr>
          <w:p w14:paraId="52751915" w14:textId="77777777" w:rsidR="00D567F8" w:rsidRPr="00960C51" w:rsidRDefault="00D567F8" w:rsidP="00960C51">
            <w:pPr>
              <w:jc w:val="both"/>
              <w:rPr>
                <w:rFonts w:ascii="Arial" w:hAnsi="Arial" w:cs="Arial"/>
                <w:sz w:val="20"/>
                <w:szCs w:val="20"/>
              </w:rPr>
            </w:pPr>
          </w:p>
        </w:tc>
      </w:tr>
      <w:tr w:rsidR="00FB7C74" w:rsidRPr="00960C51" w14:paraId="7FAD637D" w14:textId="77777777" w:rsidTr="00FB7C74">
        <w:tc>
          <w:tcPr>
            <w:tcW w:w="1227" w:type="dxa"/>
            <w:vMerge w:val="restart"/>
          </w:tcPr>
          <w:p w14:paraId="35C54AF7" w14:textId="77777777" w:rsidR="00D567F8" w:rsidRPr="00960C51" w:rsidRDefault="00D567F8" w:rsidP="00960C51">
            <w:pPr>
              <w:jc w:val="both"/>
              <w:rPr>
                <w:rFonts w:ascii="Arial" w:hAnsi="Arial" w:cs="Arial"/>
                <w:sz w:val="20"/>
                <w:szCs w:val="20"/>
              </w:rPr>
            </w:pPr>
          </w:p>
          <w:p w14:paraId="6CD9A711" w14:textId="77777777" w:rsidR="00D567F8" w:rsidRPr="00960C51" w:rsidRDefault="00D567F8" w:rsidP="00960C51">
            <w:pPr>
              <w:jc w:val="both"/>
              <w:rPr>
                <w:rFonts w:ascii="Arial" w:hAnsi="Arial" w:cs="Arial"/>
                <w:sz w:val="20"/>
                <w:szCs w:val="20"/>
              </w:rPr>
            </w:pPr>
          </w:p>
          <w:p w14:paraId="74EB1FFF" w14:textId="77777777" w:rsidR="00D567F8" w:rsidRPr="00960C51" w:rsidRDefault="00D567F8" w:rsidP="00960C51">
            <w:pPr>
              <w:jc w:val="both"/>
              <w:rPr>
                <w:rFonts w:ascii="Arial" w:hAnsi="Arial" w:cs="Arial"/>
                <w:sz w:val="20"/>
                <w:szCs w:val="20"/>
              </w:rPr>
            </w:pPr>
          </w:p>
          <w:p w14:paraId="7B377E55" w14:textId="77777777" w:rsidR="00D567F8" w:rsidRPr="00960C51" w:rsidRDefault="00D567F8" w:rsidP="00960C51">
            <w:pPr>
              <w:jc w:val="both"/>
              <w:rPr>
                <w:rFonts w:ascii="Arial" w:hAnsi="Arial" w:cs="Arial"/>
                <w:sz w:val="20"/>
                <w:szCs w:val="20"/>
              </w:rPr>
            </w:pPr>
          </w:p>
          <w:p w14:paraId="1AF6771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North America-Australia</w:t>
            </w:r>
          </w:p>
        </w:tc>
        <w:tc>
          <w:tcPr>
            <w:tcW w:w="1198" w:type="dxa"/>
            <w:tcBorders>
              <w:bottom w:val="nil"/>
            </w:tcBorders>
          </w:tcPr>
          <w:p w14:paraId="7C43A311" w14:textId="0FD1D704" w:rsidR="00D567F8" w:rsidRPr="00960C51" w:rsidRDefault="00D567F8" w:rsidP="00960C51">
            <w:pPr>
              <w:jc w:val="both"/>
              <w:rPr>
                <w:rFonts w:ascii="Arial" w:hAnsi="Arial" w:cs="Arial"/>
                <w:sz w:val="20"/>
                <w:szCs w:val="20"/>
              </w:rPr>
            </w:pPr>
            <w:r w:rsidRPr="00960C51">
              <w:rPr>
                <w:rFonts w:ascii="Arial" w:hAnsi="Arial" w:cs="Arial"/>
                <w:sz w:val="20"/>
                <w:szCs w:val="20"/>
              </w:rPr>
              <w:t>1-5</w:t>
            </w:r>
          </w:p>
        </w:tc>
        <w:tc>
          <w:tcPr>
            <w:tcW w:w="1980" w:type="dxa"/>
            <w:tcBorders>
              <w:bottom w:val="nil"/>
            </w:tcBorders>
          </w:tcPr>
          <w:p w14:paraId="49D3AAB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bottom w:val="nil"/>
            </w:tcBorders>
          </w:tcPr>
          <w:p w14:paraId="58497C9B"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val="restart"/>
          </w:tcPr>
          <w:p w14:paraId="163E3AC0" w14:textId="77777777" w:rsidR="00D567F8" w:rsidRPr="00960C51" w:rsidRDefault="00D567F8" w:rsidP="00960C51">
            <w:pPr>
              <w:jc w:val="both"/>
              <w:rPr>
                <w:rFonts w:ascii="Arial" w:hAnsi="Arial" w:cs="Arial"/>
                <w:sz w:val="20"/>
                <w:szCs w:val="20"/>
              </w:rPr>
            </w:pPr>
          </w:p>
          <w:p w14:paraId="6C609590" w14:textId="77777777" w:rsidR="00D567F8" w:rsidRPr="00960C51" w:rsidRDefault="00D567F8" w:rsidP="00960C51">
            <w:pPr>
              <w:jc w:val="both"/>
              <w:rPr>
                <w:rFonts w:ascii="Arial" w:hAnsi="Arial" w:cs="Arial"/>
                <w:sz w:val="20"/>
                <w:szCs w:val="20"/>
              </w:rPr>
            </w:pPr>
          </w:p>
          <w:p w14:paraId="5056AFE5" w14:textId="77777777" w:rsidR="00D567F8" w:rsidRPr="00960C51" w:rsidRDefault="00D567F8" w:rsidP="00960C51">
            <w:pPr>
              <w:jc w:val="both"/>
              <w:rPr>
                <w:rFonts w:ascii="Arial" w:hAnsi="Arial" w:cs="Arial"/>
                <w:sz w:val="20"/>
                <w:szCs w:val="20"/>
              </w:rPr>
            </w:pPr>
          </w:p>
          <w:p w14:paraId="28A6C453" w14:textId="77777777" w:rsidR="00D567F8" w:rsidRPr="00960C51" w:rsidRDefault="00D567F8" w:rsidP="00960C51">
            <w:pPr>
              <w:jc w:val="both"/>
              <w:rPr>
                <w:rFonts w:ascii="Arial" w:hAnsi="Arial" w:cs="Arial"/>
                <w:sz w:val="20"/>
                <w:szCs w:val="20"/>
              </w:rPr>
            </w:pPr>
          </w:p>
          <w:p w14:paraId="20C67FB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06</w:t>
            </w:r>
          </w:p>
        </w:tc>
        <w:tc>
          <w:tcPr>
            <w:tcW w:w="1446" w:type="dxa"/>
            <w:vMerge w:val="restart"/>
          </w:tcPr>
          <w:p w14:paraId="7A1E67F8" w14:textId="77777777" w:rsidR="00D567F8" w:rsidRPr="00960C51" w:rsidRDefault="00D567F8" w:rsidP="00960C51">
            <w:pPr>
              <w:jc w:val="both"/>
              <w:rPr>
                <w:rFonts w:ascii="Arial" w:hAnsi="Arial" w:cs="Arial"/>
                <w:sz w:val="20"/>
                <w:szCs w:val="20"/>
              </w:rPr>
            </w:pPr>
          </w:p>
          <w:p w14:paraId="7B8782C9" w14:textId="77777777" w:rsidR="00D567F8" w:rsidRPr="00960C51" w:rsidRDefault="00D567F8" w:rsidP="00960C51">
            <w:pPr>
              <w:jc w:val="both"/>
              <w:rPr>
                <w:rFonts w:ascii="Arial" w:hAnsi="Arial" w:cs="Arial"/>
                <w:sz w:val="20"/>
                <w:szCs w:val="20"/>
              </w:rPr>
            </w:pPr>
          </w:p>
          <w:p w14:paraId="18B1563A" w14:textId="77777777" w:rsidR="00D567F8" w:rsidRPr="00960C51" w:rsidRDefault="00D567F8" w:rsidP="00960C51">
            <w:pPr>
              <w:jc w:val="both"/>
              <w:rPr>
                <w:rFonts w:ascii="Arial" w:hAnsi="Arial" w:cs="Arial"/>
                <w:sz w:val="20"/>
                <w:szCs w:val="20"/>
              </w:rPr>
            </w:pPr>
          </w:p>
          <w:p w14:paraId="6645B6A0" w14:textId="77777777" w:rsidR="00D567F8" w:rsidRPr="00960C51" w:rsidRDefault="00D567F8" w:rsidP="00960C51">
            <w:pPr>
              <w:jc w:val="both"/>
              <w:rPr>
                <w:rFonts w:ascii="Arial" w:hAnsi="Arial" w:cs="Arial"/>
                <w:sz w:val="20"/>
                <w:szCs w:val="20"/>
              </w:rPr>
            </w:pPr>
          </w:p>
          <w:p w14:paraId="1B7C03E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3.51%</w:t>
            </w:r>
          </w:p>
        </w:tc>
      </w:tr>
      <w:tr w:rsidR="00FB7C74" w:rsidRPr="00960C51" w14:paraId="289791B3" w14:textId="77777777" w:rsidTr="00FB7C74">
        <w:tc>
          <w:tcPr>
            <w:tcW w:w="1227" w:type="dxa"/>
            <w:vMerge/>
          </w:tcPr>
          <w:p w14:paraId="4B75CDE3"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01684B8B" w14:textId="00327139" w:rsidR="00D567F8" w:rsidRPr="00960C51" w:rsidRDefault="00D567F8" w:rsidP="00960C51">
            <w:pPr>
              <w:jc w:val="both"/>
              <w:rPr>
                <w:rFonts w:ascii="Arial" w:hAnsi="Arial" w:cs="Arial"/>
                <w:sz w:val="20"/>
                <w:szCs w:val="20"/>
              </w:rPr>
            </w:pPr>
            <w:r w:rsidRPr="00960C51">
              <w:rPr>
                <w:rFonts w:ascii="Arial" w:hAnsi="Arial" w:cs="Arial"/>
                <w:sz w:val="20"/>
                <w:szCs w:val="20"/>
              </w:rPr>
              <w:t>6-10</w:t>
            </w:r>
          </w:p>
        </w:tc>
        <w:tc>
          <w:tcPr>
            <w:tcW w:w="1980" w:type="dxa"/>
            <w:tcBorders>
              <w:top w:val="nil"/>
              <w:bottom w:val="nil"/>
            </w:tcBorders>
          </w:tcPr>
          <w:p w14:paraId="1926D15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0138BE4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1417" w:type="dxa"/>
            <w:vMerge/>
          </w:tcPr>
          <w:p w14:paraId="78E8BBCA" w14:textId="77777777" w:rsidR="00D567F8" w:rsidRPr="00960C51" w:rsidRDefault="00D567F8" w:rsidP="00960C51">
            <w:pPr>
              <w:jc w:val="both"/>
              <w:rPr>
                <w:rFonts w:ascii="Arial" w:hAnsi="Arial" w:cs="Arial"/>
                <w:sz w:val="20"/>
                <w:szCs w:val="20"/>
              </w:rPr>
            </w:pPr>
          </w:p>
        </w:tc>
        <w:tc>
          <w:tcPr>
            <w:tcW w:w="1446" w:type="dxa"/>
            <w:vMerge/>
          </w:tcPr>
          <w:p w14:paraId="13791E99" w14:textId="77777777" w:rsidR="00D567F8" w:rsidRPr="00960C51" w:rsidRDefault="00D567F8" w:rsidP="00960C51">
            <w:pPr>
              <w:jc w:val="both"/>
              <w:rPr>
                <w:rFonts w:ascii="Arial" w:hAnsi="Arial" w:cs="Arial"/>
                <w:sz w:val="20"/>
                <w:szCs w:val="20"/>
              </w:rPr>
            </w:pPr>
          </w:p>
        </w:tc>
      </w:tr>
      <w:tr w:rsidR="00FB7C74" w:rsidRPr="00960C51" w14:paraId="180CB406" w14:textId="77777777" w:rsidTr="00FB7C74">
        <w:tc>
          <w:tcPr>
            <w:tcW w:w="1227" w:type="dxa"/>
            <w:vMerge/>
          </w:tcPr>
          <w:p w14:paraId="4DC36720"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5C5813AF" w14:textId="2A2E5719" w:rsidR="00D567F8" w:rsidRPr="00960C51" w:rsidRDefault="00D567F8" w:rsidP="00960C51">
            <w:pPr>
              <w:jc w:val="both"/>
              <w:rPr>
                <w:rFonts w:ascii="Arial" w:hAnsi="Arial" w:cs="Arial"/>
                <w:sz w:val="20"/>
                <w:szCs w:val="20"/>
              </w:rPr>
            </w:pPr>
            <w:r w:rsidRPr="00960C51">
              <w:rPr>
                <w:rFonts w:ascii="Arial" w:hAnsi="Arial" w:cs="Arial"/>
                <w:sz w:val="20"/>
                <w:szCs w:val="20"/>
              </w:rPr>
              <w:t>11-15</w:t>
            </w:r>
          </w:p>
        </w:tc>
        <w:tc>
          <w:tcPr>
            <w:tcW w:w="1980" w:type="dxa"/>
            <w:tcBorders>
              <w:top w:val="nil"/>
              <w:bottom w:val="nil"/>
            </w:tcBorders>
          </w:tcPr>
          <w:p w14:paraId="39F8115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03 (Mode)</w:t>
            </w:r>
          </w:p>
        </w:tc>
        <w:tc>
          <w:tcPr>
            <w:tcW w:w="2177" w:type="dxa"/>
            <w:tcBorders>
              <w:top w:val="nil"/>
              <w:bottom w:val="nil"/>
            </w:tcBorders>
          </w:tcPr>
          <w:p w14:paraId="7CBE1E9A"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24A8FEA5" w14:textId="77777777" w:rsidR="00D567F8" w:rsidRPr="00960C51" w:rsidRDefault="00D567F8" w:rsidP="00960C51">
            <w:pPr>
              <w:jc w:val="both"/>
              <w:rPr>
                <w:rFonts w:ascii="Arial" w:hAnsi="Arial" w:cs="Arial"/>
                <w:sz w:val="20"/>
                <w:szCs w:val="20"/>
              </w:rPr>
            </w:pPr>
          </w:p>
        </w:tc>
        <w:tc>
          <w:tcPr>
            <w:tcW w:w="1446" w:type="dxa"/>
            <w:vMerge/>
          </w:tcPr>
          <w:p w14:paraId="023DCDCC" w14:textId="77777777" w:rsidR="00D567F8" w:rsidRPr="00960C51" w:rsidRDefault="00D567F8" w:rsidP="00960C51">
            <w:pPr>
              <w:jc w:val="both"/>
              <w:rPr>
                <w:rFonts w:ascii="Arial" w:hAnsi="Arial" w:cs="Arial"/>
                <w:sz w:val="20"/>
                <w:szCs w:val="20"/>
              </w:rPr>
            </w:pPr>
          </w:p>
        </w:tc>
      </w:tr>
      <w:tr w:rsidR="00FB7C74" w:rsidRPr="00960C51" w14:paraId="69BB0EAF" w14:textId="77777777" w:rsidTr="00FB7C74">
        <w:tc>
          <w:tcPr>
            <w:tcW w:w="1227" w:type="dxa"/>
            <w:vMerge/>
          </w:tcPr>
          <w:p w14:paraId="03ACB312"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135E703D" w14:textId="227C1AC8" w:rsidR="00D567F8" w:rsidRPr="00960C51" w:rsidRDefault="00D567F8" w:rsidP="00960C51">
            <w:pPr>
              <w:jc w:val="both"/>
              <w:rPr>
                <w:rFonts w:ascii="Arial" w:hAnsi="Arial" w:cs="Arial"/>
                <w:sz w:val="20"/>
                <w:szCs w:val="20"/>
              </w:rPr>
            </w:pPr>
            <w:r w:rsidRPr="00960C51">
              <w:rPr>
                <w:rFonts w:ascii="Arial" w:hAnsi="Arial" w:cs="Arial"/>
                <w:sz w:val="20"/>
                <w:szCs w:val="20"/>
              </w:rPr>
              <w:t>16-20</w:t>
            </w:r>
          </w:p>
        </w:tc>
        <w:tc>
          <w:tcPr>
            <w:tcW w:w="1980" w:type="dxa"/>
            <w:tcBorders>
              <w:top w:val="nil"/>
              <w:bottom w:val="nil"/>
            </w:tcBorders>
          </w:tcPr>
          <w:p w14:paraId="29049E9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01</w:t>
            </w:r>
          </w:p>
        </w:tc>
        <w:tc>
          <w:tcPr>
            <w:tcW w:w="2177" w:type="dxa"/>
            <w:tcBorders>
              <w:top w:val="nil"/>
              <w:bottom w:val="nil"/>
            </w:tcBorders>
          </w:tcPr>
          <w:p w14:paraId="3143E250"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144DF566" w14:textId="77777777" w:rsidR="00D567F8" w:rsidRPr="00960C51" w:rsidRDefault="00D567F8" w:rsidP="00960C51">
            <w:pPr>
              <w:jc w:val="both"/>
              <w:rPr>
                <w:rFonts w:ascii="Arial" w:hAnsi="Arial" w:cs="Arial"/>
                <w:sz w:val="20"/>
                <w:szCs w:val="20"/>
              </w:rPr>
            </w:pPr>
          </w:p>
        </w:tc>
        <w:tc>
          <w:tcPr>
            <w:tcW w:w="1446" w:type="dxa"/>
            <w:vMerge/>
          </w:tcPr>
          <w:p w14:paraId="0DCC17D5" w14:textId="77777777" w:rsidR="00D567F8" w:rsidRPr="00960C51" w:rsidRDefault="00D567F8" w:rsidP="00960C51">
            <w:pPr>
              <w:jc w:val="both"/>
              <w:rPr>
                <w:rFonts w:ascii="Arial" w:hAnsi="Arial" w:cs="Arial"/>
                <w:sz w:val="20"/>
                <w:szCs w:val="20"/>
              </w:rPr>
            </w:pPr>
          </w:p>
        </w:tc>
      </w:tr>
      <w:tr w:rsidR="00FB7C74" w:rsidRPr="00960C51" w14:paraId="06773AF4" w14:textId="77777777" w:rsidTr="00FB7C74">
        <w:tc>
          <w:tcPr>
            <w:tcW w:w="1227" w:type="dxa"/>
            <w:vMerge/>
          </w:tcPr>
          <w:p w14:paraId="55F5666D" w14:textId="77777777" w:rsidR="00D567F8" w:rsidRPr="00960C51" w:rsidRDefault="00D567F8" w:rsidP="00960C51">
            <w:pPr>
              <w:jc w:val="both"/>
              <w:rPr>
                <w:rFonts w:ascii="Arial" w:hAnsi="Arial" w:cs="Arial"/>
                <w:sz w:val="20"/>
                <w:szCs w:val="20"/>
              </w:rPr>
            </w:pPr>
          </w:p>
        </w:tc>
        <w:tc>
          <w:tcPr>
            <w:tcW w:w="1198" w:type="dxa"/>
            <w:tcBorders>
              <w:top w:val="nil"/>
              <w:bottom w:val="nil"/>
            </w:tcBorders>
          </w:tcPr>
          <w:p w14:paraId="42674D3F" w14:textId="6874C7BF" w:rsidR="00D567F8" w:rsidRPr="00960C51" w:rsidRDefault="00D567F8" w:rsidP="00960C51">
            <w:pPr>
              <w:jc w:val="both"/>
              <w:rPr>
                <w:rFonts w:ascii="Arial" w:hAnsi="Arial" w:cs="Arial"/>
                <w:sz w:val="20"/>
                <w:szCs w:val="20"/>
              </w:rPr>
            </w:pPr>
            <w:r w:rsidRPr="00960C51">
              <w:rPr>
                <w:rFonts w:ascii="Arial" w:hAnsi="Arial" w:cs="Arial"/>
                <w:sz w:val="20"/>
                <w:szCs w:val="20"/>
              </w:rPr>
              <w:t>21-25</w:t>
            </w:r>
          </w:p>
        </w:tc>
        <w:tc>
          <w:tcPr>
            <w:tcW w:w="1980" w:type="dxa"/>
            <w:tcBorders>
              <w:top w:val="nil"/>
              <w:bottom w:val="nil"/>
            </w:tcBorders>
          </w:tcPr>
          <w:p w14:paraId="100B4813"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bottom w:val="nil"/>
            </w:tcBorders>
          </w:tcPr>
          <w:p w14:paraId="1BD8C0B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65670992" w14:textId="77777777" w:rsidR="00D567F8" w:rsidRPr="00960C51" w:rsidRDefault="00D567F8" w:rsidP="00960C51">
            <w:pPr>
              <w:jc w:val="both"/>
              <w:rPr>
                <w:rFonts w:ascii="Arial" w:hAnsi="Arial" w:cs="Arial"/>
                <w:sz w:val="20"/>
                <w:szCs w:val="20"/>
              </w:rPr>
            </w:pPr>
          </w:p>
        </w:tc>
        <w:tc>
          <w:tcPr>
            <w:tcW w:w="1446" w:type="dxa"/>
            <w:vMerge/>
          </w:tcPr>
          <w:p w14:paraId="3CE709FE" w14:textId="77777777" w:rsidR="00D567F8" w:rsidRPr="00960C51" w:rsidRDefault="00D567F8" w:rsidP="00960C51">
            <w:pPr>
              <w:jc w:val="both"/>
              <w:rPr>
                <w:rFonts w:ascii="Arial" w:hAnsi="Arial" w:cs="Arial"/>
                <w:sz w:val="20"/>
                <w:szCs w:val="20"/>
              </w:rPr>
            </w:pPr>
          </w:p>
        </w:tc>
      </w:tr>
      <w:tr w:rsidR="00FB7C74" w:rsidRPr="00960C51" w14:paraId="7C2D9196" w14:textId="77777777" w:rsidTr="00FB7C74">
        <w:tc>
          <w:tcPr>
            <w:tcW w:w="1227" w:type="dxa"/>
            <w:vMerge/>
          </w:tcPr>
          <w:p w14:paraId="2E494E5F" w14:textId="77777777" w:rsidR="00D567F8" w:rsidRPr="00960C51" w:rsidRDefault="00D567F8" w:rsidP="00960C51">
            <w:pPr>
              <w:jc w:val="both"/>
              <w:rPr>
                <w:rFonts w:ascii="Arial" w:hAnsi="Arial" w:cs="Arial"/>
                <w:sz w:val="20"/>
                <w:szCs w:val="20"/>
              </w:rPr>
            </w:pPr>
          </w:p>
        </w:tc>
        <w:tc>
          <w:tcPr>
            <w:tcW w:w="1198" w:type="dxa"/>
            <w:tcBorders>
              <w:top w:val="nil"/>
            </w:tcBorders>
          </w:tcPr>
          <w:p w14:paraId="4D504F34" w14:textId="555E6F3E" w:rsidR="00D567F8" w:rsidRPr="00960C51" w:rsidRDefault="00D567F8" w:rsidP="00960C51">
            <w:pPr>
              <w:jc w:val="both"/>
              <w:rPr>
                <w:rFonts w:ascii="Arial" w:hAnsi="Arial" w:cs="Arial"/>
                <w:sz w:val="20"/>
                <w:szCs w:val="20"/>
              </w:rPr>
            </w:pPr>
            <w:r w:rsidRPr="00960C51">
              <w:rPr>
                <w:rFonts w:ascii="Arial" w:hAnsi="Arial" w:cs="Arial"/>
                <w:sz w:val="20"/>
                <w:szCs w:val="20"/>
              </w:rPr>
              <w:t>25+</w:t>
            </w:r>
          </w:p>
        </w:tc>
        <w:tc>
          <w:tcPr>
            <w:tcW w:w="1980" w:type="dxa"/>
            <w:tcBorders>
              <w:top w:val="nil"/>
            </w:tcBorders>
          </w:tcPr>
          <w:p w14:paraId="1CFB5CAD"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2177" w:type="dxa"/>
            <w:tcBorders>
              <w:top w:val="nil"/>
            </w:tcBorders>
          </w:tcPr>
          <w:p w14:paraId="721F2A11"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00</w:t>
            </w:r>
          </w:p>
        </w:tc>
        <w:tc>
          <w:tcPr>
            <w:tcW w:w="1417" w:type="dxa"/>
            <w:vMerge/>
          </w:tcPr>
          <w:p w14:paraId="309DCA7C" w14:textId="77777777" w:rsidR="00D567F8" w:rsidRPr="00960C51" w:rsidRDefault="00D567F8" w:rsidP="00960C51">
            <w:pPr>
              <w:jc w:val="both"/>
              <w:rPr>
                <w:rFonts w:ascii="Arial" w:hAnsi="Arial" w:cs="Arial"/>
                <w:sz w:val="20"/>
                <w:szCs w:val="20"/>
              </w:rPr>
            </w:pPr>
          </w:p>
        </w:tc>
        <w:tc>
          <w:tcPr>
            <w:tcW w:w="1446" w:type="dxa"/>
            <w:vMerge/>
          </w:tcPr>
          <w:p w14:paraId="306DB7B6" w14:textId="77777777" w:rsidR="00D567F8" w:rsidRPr="00960C51" w:rsidRDefault="00D567F8" w:rsidP="00960C51">
            <w:pPr>
              <w:jc w:val="both"/>
              <w:rPr>
                <w:rFonts w:ascii="Arial" w:hAnsi="Arial" w:cs="Arial"/>
                <w:sz w:val="20"/>
                <w:szCs w:val="20"/>
              </w:rPr>
            </w:pPr>
          </w:p>
        </w:tc>
      </w:tr>
      <w:tr w:rsidR="00D567F8" w:rsidRPr="00960C51" w14:paraId="7FDEE56C" w14:textId="77777777" w:rsidTr="00FB7C74">
        <w:tc>
          <w:tcPr>
            <w:tcW w:w="1227" w:type="dxa"/>
            <w:vMerge/>
          </w:tcPr>
          <w:p w14:paraId="0E7363FC" w14:textId="77777777" w:rsidR="00D567F8" w:rsidRPr="00960C51" w:rsidRDefault="00D567F8" w:rsidP="00960C51">
            <w:pPr>
              <w:jc w:val="both"/>
              <w:rPr>
                <w:rFonts w:ascii="Arial" w:hAnsi="Arial" w:cs="Arial"/>
                <w:sz w:val="20"/>
                <w:szCs w:val="20"/>
              </w:rPr>
            </w:pPr>
          </w:p>
        </w:tc>
        <w:tc>
          <w:tcPr>
            <w:tcW w:w="1198" w:type="dxa"/>
          </w:tcPr>
          <w:p w14:paraId="7BCF60FB" w14:textId="77777777" w:rsidR="00D567F8" w:rsidRPr="00960C51" w:rsidRDefault="00D567F8" w:rsidP="00960C51">
            <w:pPr>
              <w:jc w:val="both"/>
              <w:rPr>
                <w:rFonts w:ascii="Arial" w:hAnsi="Arial" w:cs="Arial"/>
                <w:sz w:val="20"/>
                <w:szCs w:val="20"/>
              </w:rPr>
            </w:pPr>
          </w:p>
        </w:tc>
        <w:tc>
          <w:tcPr>
            <w:tcW w:w="1980" w:type="dxa"/>
          </w:tcPr>
          <w:p w14:paraId="708A649B" w14:textId="5BAAB651" w:rsidR="00D567F8" w:rsidRPr="00960C51" w:rsidRDefault="00D567F8" w:rsidP="00960C51">
            <w:pPr>
              <w:jc w:val="both"/>
              <w:rPr>
                <w:rFonts w:ascii="Arial" w:hAnsi="Arial" w:cs="Arial"/>
                <w:sz w:val="20"/>
                <w:szCs w:val="20"/>
              </w:rPr>
            </w:pPr>
            <w:r w:rsidRPr="00960C51">
              <w:rPr>
                <w:rFonts w:ascii="Arial" w:hAnsi="Arial" w:cs="Arial"/>
                <w:sz w:val="20"/>
                <w:szCs w:val="20"/>
              </w:rPr>
              <w:t>Total = 05</w:t>
            </w:r>
            <w:r w:rsidR="00FB7C74">
              <w:rPr>
                <w:rFonts w:ascii="Arial" w:hAnsi="Arial" w:cs="Arial"/>
                <w:sz w:val="20"/>
                <w:szCs w:val="20"/>
              </w:rPr>
              <w:t xml:space="preserve"> </w:t>
            </w:r>
            <w:r w:rsidRPr="00960C51">
              <w:rPr>
                <w:rFonts w:ascii="Arial" w:hAnsi="Arial" w:cs="Arial"/>
                <w:sz w:val="20"/>
                <w:szCs w:val="20"/>
              </w:rPr>
              <w:t>(3.27%)</w:t>
            </w:r>
          </w:p>
        </w:tc>
        <w:tc>
          <w:tcPr>
            <w:tcW w:w="2177" w:type="dxa"/>
          </w:tcPr>
          <w:p w14:paraId="7C5F298A" w14:textId="7741CD4A" w:rsidR="00D567F8" w:rsidRPr="00960C51" w:rsidRDefault="00D567F8" w:rsidP="00960C51">
            <w:pPr>
              <w:jc w:val="both"/>
              <w:rPr>
                <w:rFonts w:ascii="Arial" w:hAnsi="Arial" w:cs="Arial"/>
                <w:sz w:val="20"/>
                <w:szCs w:val="20"/>
              </w:rPr>
            </w:pPr>
            <w:r w:rsidRPr="00960C51">
              <w:rPr>
                <w:rFonts w:ascii="Arial" w:hAnsi="Arial" w:cs="Arial"/>
                <w:sz w:val="20"/>
                <w:szCs w:val="20"/>
              </w:rPr>
              <w:t>Total = 01</w:t>
            </w:r>
            <w:r w:rsidR="00FB7C74">
              <w:rPr>
                <w:rFonts w:ascii="Arial" w:hAnsi="Arial" w:cs="Arial"/>
                <w:sz w:val="20"/>
                <w:szCs w:val="20"/>
              </w:rPr>
              <w:t xml:space="preserve"> </w:t>
            </w:r>
            <w:r w:rsidRPr="00960C51">
              <w:rPr>
                <w:rFonts w:ascii="Arial" w:hAnsi="Arial" w:cs="Arial"/>
                <w:sz w:val="20"/>
                <w:szCs w:val="20"/>
              </w:rPr>
              <w:t>(5.56%)</w:t>
            </w:r>
          </w:p>
        </w:tc>
        <w:tc>
          <w:tcPr>
            <w:tcW w:w="1417" w:type="dxa"/>
            <w:vMerge/>
          </w:tcPr>
          <w:p w14:paraId="69C97E94" w14:textId="77777777" w:rsidR="00D567F8" w:rsidRPr="00960C51" w:rsidRDefault="00D567F8" w:rsidP="00960C51">
            <w:pPr>
              <w:jc w:val="both"/>
              <w:rPr>
                <w:rFonts w:ascii="Arial" w:hAnsi="Arial" w:cs="Arial"/>
                <w:sz w:val="20"/>
                <w:szCs w:val="20"/>
              </w:rPr>
            </w:pPr>
          </w:p>
        </w:tc>
        <w:tc>
          <w:tcPr>
            <w:tcW w:w="1446" w:type="dxa"/>
            <w:vMerge/>
          </w:tcPr>
          <w:p w14:paraId="7209DFE2" w14:textId="77777777" w:rsidR="00D567F8" w:rsidRPr="00960C51" w:rsidRDefault="00D567F8" w:rsidP="00960C51">
            <w:pPr>
              <w:jc w:val="both"/>
              <w:rPr>
                <w:rFonts w:ascii="Arial" w:hAnsi="Arial" w:cs="Arial"/>
                <w:sz w:val="20"/>
                <w:szCs w:val="20"/>
              </w:rPr>
            </w:pPr>
          </w:p>
        </w:tc>
      </w:tr>
      <w:tr w:rsidR="00D567F8" w:rsidRPr="00960C51" w14:paraId="7A9A9F4D" w14:textId="77777777" w:rsidTr="00FB7C74">
        <w:tc>
          <w:tcPr>
            <w:tcW w:w="1227" w:type="dxa"/>
            <w:vMerge/>
          </w:tcPr>
          <w:p w14:paraId="188288EC" w14:textId="77777777" w:rsidR="00D567F8" w:rsidRPr="00960C51" w:rsidRDefault="00D567F8" w:rsidP="00960C51">
            <w:pPr>
              <w:jc w:val="both"/>
              <w:rPr>
                <w:rFonts w:ascii="Arial" w:hAnsi="Arial" w:cs="Arial"/>
                <w:sz w:val="20"/>
                <w:szCs w:val="20"/>
              </w:rPr>
            </w:pPr>
          </w:p>
        </w:tc>
        <w:tc>
          <w:tcPr>
            <w:tcW w:w="1198" w:type="dxa"/>
          </w:tcPr>
          <w:p w14:paraId="62CB80ED" w14:textId="77777777" w:rsidR="00D567F8" w:rsidRPr="00960C51" w:rsidRDefault="00D567F8" w:rsidP="00960C51">
            <w:pPr>
              <w:jc w:val="both"/>
              <w:rPr>
                <w:rFonts w:ascii="Arial" w:hAnsi="Arial" w:cs="Arial"/>
                <w:sz w:val="20"/>
                <w:szCs w:val="20"/>
              </w:rPr>
            </w:pPr>
          </w:p>
        </w:tc>
        <w:tc>
          <w:tcPr>
            <w:tcW w:w="1980" w:type="dxa"/>
          </w:tcPr>
          <w:p w14:paraId="341DF0F8"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153 (100%)</w:t>
            </w:r>
          </w:p>
        </w:tc>
        <w:tc>
          <w:tcPr>
            <w:tcW w:w="2177" w:type="dxa"/>
          </w:tcPr>
          <w:p w14:paraId="7BB23102"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18 (100%)</w:t>
            </w:r>
          </w:p>
        </w:tc>
        <w:tc>
          <w:tcPr>
            <w:tcW w:w="1417" w:type="dxa"/>
          </w:tcPr>
          <w:p w14:paraId="7E0F0E89"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171</w:t>
            </w:r>
          </w:p>
        </w:tc>
        <w:tc>
          <w:tcPr>
            <w:tcW w:w="1446" w:type="dxa"/>
          </w:tcPr>
          <w:p w14:paraId="22ADA4DE" w14:textId="77777777" w:rsidR="00D567F8" w:rsidRPr="00960C51" w:rsidRDefault="00D567F8" w:rsidP="00960C51">
            <w:pPr>
              <w:jc w:val="both"/>
              <w:rPr>
                <w:rFonts w:ascii="Arial" w:hAnsi="Arial" w:cs="Arial"/>
                <w:sz w:val="20"/>
                <w:szCs w:val="20"/>
              </w:rPr>
            </w:pPr>
            <w:r w:rsidRPr="00960C51">
              <w:rPr>
                <w:rFonts w:ascii="Arial" w:hAnsi="Arial" w:cs="Arial"/>
                <w:sz w:val="20"/>
                <w:szCs w:val="20"/>
              </w:rPr>
              <w:t>Total = 100%</w:t>
            </w:r>
          </w:p>
        </w:tc>
      </w:tr>
      <w:bookmarkEnd w:id="4"/>
    </w:tbl>
    <w:p w14:paraId="0A377592" w14:textId="77777777" w:rsidR="00C67731" w:rsidRPr="008E46F9" w:rsidRDefault="00C67731" w:rsidP="00CD7D72">
      <w:pPr>
        <w:spacing w:line="240" w:lineRule="auto"/>
        <w:jc w:val="both"/>
        <w:rPr>
          <w:rFonts w:ascii="Arial" w:hAnsi="Arial" w:cs="Arial"/>
          <w:sz w:val="24"/>
          <w:szCs w:val="24"/>
        </w:rPr>
      </w:pPr>
    </w:p>
    <w:p w14:paraId="7E1393D9" w14:textId="28013463" w:rsidR="00E2797D" w:rsidRPr="003550F0" w:rsidRDefault="00E2797D" w:rsidP="003550F0">
      <w:pPr>
        <w:spacing w:after="0" w:line="240" w:lineRule="auto"/>
        <w:jc w:val="both"/>
        <w:rPr>
          <w:rFonts w:ascii="Arial" w:hAnsi="Arial" w:cs="Arial"/>
          <w:sz w:val="20"/>
          <w:szCs w:val="20"/>
        </w:rPr>
      </w:pPr>
      <w:r w:rsidRPr="00242B01">
        <w:rPr>
          <w:rFonts w:ascii="Arial" w:hAnsi="Arial" w:cs="Arial"/>
          <w:b/>
          <w:sz w:val="20"/>
          <w:szCs w:val="20"/>
        </w:rPr>
        <w:t xml:space="preserve">Table </w:t>
      </w:r>
      <w:r w:rsidR="00F44842" w:rsidRPr="00242B01">
        <w:rPr>
          <w:rFonts w:ascii="Arial" w:hAnsi="Arial" w:cs="Arial"/>
          <w:b/>
          <w:sz w:val="20"/>
          <w:szCs w:val="20"/>
        </w:rPr>
        <w:t>8</w:t>
      </w:r>
      <w:r w:rsidRPr="003550F0">
        <w:rPr>
          <w:rFonts w:ascii="Arial" w:hAnsi="Arial" w:cs="Arial"/>
          <w:sz w:val="20"/>
          <w:szCs w:val="20"/>
        </w:rPr>
        <w:t xml:space="preserve"> shows the budgets of those who want to go overseas by taking the IELTS test according to continent. The result reveals that most people (36.84% of total respondents) want to go to Europe with </w:t>
      </w:r>
      <w:r w:rsidR="00247303">
        <w:rPr>
          <w:rFonts w:ascii="Arial" w:hAnsi="Arial" w:cs="Arial"/>
          <w:sz w:val="20"/>
          <w:szCs w:val="20"/>
        </w:rPr>
        <w:t xml:space="preserve">the </w:t>
      </w:r>
      <w:r w:rsidRPr="003550F0">
        <w:rPr>
          <w:rFonts w:ascii="Arial" w:hAnsi="Arial" w:cs="Arial"/>
          <w:sz w:val="20"/>
          <w:szCs w:val="20"/>
        </w:rPr>
        <w:t xml:space="preserve">IELTS, where 35.95% are on student visas and 44.44% are on working visas. Both purposes the people of Sylhet want to go to Europe more. </w:t>
      </w:r>
      <w:r w:rsidR="00F941C0" w:rsidRPr="00F941C0">
        <w:rPr>
          <w:rFonts w:ascii="Arial" w:hAnsi="Arial" w:cs="Arial"/>
          <w:sz w:val="20"/>
          <w:szCs w:val="20"/>
        </w:rPr>
        <w:t xml:space="preserve">Among the respondents, 24 out of 55 people budget </w:t>
      </w:r>
      <w:r w:rsidR="001C6BD9">
        <w:rPr>
          <w:rFonts w:ascii="Arial" w:hAnsi="Arial" w:cs="Arial"/>
          <w:sz w:val="20"/>
          <w:szCs w:val="20"/>
        </w:rPr>
        <w:t>Tk</w:t>
      </w:r>
      <w:r w:rsidR="00F941C0" w:rsidRPr="00F941C0">
        <w:rPr>
          <w:rFonts w:ascii="Arial" w:hAnsi="Arial" w:cs="Arial"/>
          <w:sz w:val="20"/>
          <w:szCs w:val="20"/>
        </w:rPr>
        <w:t xml:space="preserve"> 11–15 lakhs for a student visa to Europe, while a budget of </w:t>
      </w:r>
      <w:r w:rsidR="001C6BD9">
        <w:rPr>
          <w:rFonts w:ascii="Arial" w:hAnsi="Arial" w:cs="Arial"/>
          <w:sz w:val="20"/>
          <w:szCs w:val="20"/>
        </w:rPr>
        <w:t>Tk</w:t>
      </w:r>
      <w:r w:rsidR="005F2D25">
        <w:rPr>
          <w:rFonts w:ascii="Arial" w:hAnsi="Arial" w:cs="Arial"/>
          <w:sz w:val="20"/>
          <w:szCs w:val="20"/>
        </w:rPr>
        <w:t xml:space="preserve"> </w:t>
      </w:r>
      <w:r w:rsidR="00F941C0" w:rsidRPr="00F941C0">
        <w:rPr>
          <w:rFonts w:ascii="Arial" w:hAnsi="Arial" w:cs="Arial"/>
          <w:sz w:val="20"/>
          <w:szCs w:val="20"/>
        </w:rPr>
        <w:t>6–10 lakhs is also somewhat preferred</w:t>
      </w:r>
      <w:r w:rsidRPr="003550F0">
        <w:rPr>
          <w:rFonts w:ascii="Arial" w:hAnsi="Arial" w:cs="Arial"/>
          <w:sz w:val="20"/>
          <w:szCs w:val="20"/>
        </w:rPr>
        <w:t>. And for working purposes, more people’s (3 out of 8 people) budget for Europe is</w:t>
      </w:r>
      <w:r w:rsidR="005F2D25">
        <w:rPr>
          <w:rFonts w:ascii="Arial" w:hAnsi="Arial" w:cs="Arial"/>
          <w:sz w:val="20"/>
          <w:szCs w:val="20"/>
        </w:rPr>
        <w:t xml:space="preserve"> </w:t>
      </w:r>
      <w:r w:rsidR="001C6BD9">
        <w:rPr>
          <w:rFonts w:ascii="Arial" w:hAnsi="Arial" w:cs="Arial"/>
          <w:sz w:val="20"/>
          <w:szCs w:val="20"/>
        </w:rPr>
        <w:t>Tk</w:t>
      </w:r>
      <w:r w:rsidRPr="003550F0">
        <w:rPr>
          <w:rFonts w:ascii="Arial" w:hAnsi="Arial" w:cs="Arial"/>
          <w:sz w:val="20"/>
          <w:szCs w:val="20"/>
        </w:rPr>
        <w:t xml:space="preserve"> 21–25 lakhs. 21.57% of people want to </w:t>
      </w:r>
      <w:r w:rsidR="00F941C0">
        <w:rPr>
          <w:rFonts w:ascii="Arial" w:hAnsi="Arial" w:cs="Arial"/>
          <w:sz w:val="20"/>
          <w:szCs w:val="20"/>
        </w:rPr>
        <w:t>study in North America</w:t>
      </w:r>
      <w:r w:rsidRPr="003550F0">
        <w:rPr>
          <w:rFonts w:ascii="Arial" w:hAnsi="Arial" w:cs="Arial"/>
          <w:sz w:val="20"/>
          <w:szCs w:val="20"/>
        </w:rPr>
        <w:t xml:space="preserve">, </w:t>
      </w:r>
      <w:r w:rsidR="00F941C0">
        <w:rPr>
          <w:rFonts w:ascii="Arial" w:hAnsi="Arial" w:cs="Arial"/>
          <w:sz w:val="20"/>
          <w:szCs w:val="20"/>
        </w:rPr>
        <w:t>where the</w:t>
      </w:r>
      <w:r w:rsidRPr="003550F0">
        <w:rPr>
          <w:rFonts w:ascii="Arial" w:hAnsi="Arial" w:cs="Arial"/>
          <w:sz w:val="20"/>
          <w:szCs w:val="20"/>
        </w:rPr>
        <w:t xml:space="preserve"> budget is the same as in Europe. But no one wants to go to North America for work purposes with</w:t>
      </w:r>
      <w:r w:rsidR="00F941C0">
        <w:rPr>
          <w:rFonts w:ascii="Arial" w:hAnsi="Arial" w:cs="Arial"/>
          <w:sz w:val="20"/>
          <w:szCs w:val="20"/>
        </w:rPr>
        <w:t xml:space="preserve"> the</w:t>
      </w:r>
      <w:r w:rsidRPr="003550F0">
        <w:rPr>
          <w:rFonts w:ascii="Arial" w:hAnsi="Arial" w:cs="Arial"/>
          <w:sz w:val="20"/>
          <w:szCs w:val="20"/>
        </w:rPr>
        <w:t xml:space="preserve"> IELTS</w:t>
      </w:r>
      <w:r w:rsidR="00F941C0">
        <w:rPr>
          <w:rFonts w:ascii="Arial" w:hAnsi="Arial" w:cs="Arial"/>
          <w:sz w:val="20"/>
          <w:szCs w:val="20"/>
        </w:rPr>
        <w:t>,</w:t>
      </w:r>
      <w:r w:rsidRPr="003550F0">
        <w:rPr>
          <w:rFonts w:ascii="Arial" w:hAnsi="Arial" w:cs="Arial"/>
          <w:sz w:val="20"/>
          <w:szCs w:val="20"/>
        </w:rPr>
        <w:t xml:space="preserve"> and 19.30% of total respondents want to go to North America for study. 4.09% of people want to go to Australia continent, where 3.92% are for study purposes (6 out of 153) and 5.56% for work purposes (01 out of 18). </w:t>
      </w:r>
      <w:r w:rsidR="00DA654B" w:rsidRPr="003550F0">
        <w:rPr>
          <w:rFonts w:ascii="Arial" w:hAnsi="Arial" w:cs="Arial"/>
          <w:sz w:val="20"/>
          <w:szCs w:val="20"/>
        </w:rPr>
        <w:t>As</w:t>
      </w:r>
      <w:r w:rsidRPr="003550F0">
        <w:rPr>
          <w:rFonts w:ascii="Arial" w:hAnsi="Arial" w:cs="Arial"/>
          <w:sz w:val="20"/>
          <w:szCs w:val="20"/>
        </w:rPr>
        <w:t xml:space="preserve"> per continent</w:t>
      </w:r>
      <w:r w:rsidR="0075015A" w:rsidRPr="003550F0">
        <w:rPr>
          <w:rFonts w:ascii="Arial" w:hAnsi="Arial" w:cs="Arial"/>
          <w:sz w:val="20"/>
          <w:szCs w:val="20"/>
        </w:rPr>
        <w:t>,</w:t>
      </w:r>
      <w:r w:rsidRPr="003550F0">
        <w:rPr>
          <w:rFonts w:ascii="Arial" w:hAnsi="Arial" w:cs="Arial"/>
          <w:sz w:val="20"/>
          <w:szCs w:val="20"/>
        </w:rPr>
        <w:t xml:space="preserve"> </w:t>
      </w:r>
      <w:r w:rsidR="00F941C0">
        <w:rPr>
          <w:rFonts w:ascii="Arial" w:hAnsi="Arial" w:cs="Arial"/>
          <w:sz w:val="20"/>
          <w:szCs w:val="20"/>
        </w:rPr>
        <w:t xml:space="preserve">in </w:t>
      </w:r>
      <w:r w:rsidRPr="003550F0">
        <w:rPr>
          <w:rFonts w:ascii="Arial" w:hAnsi="Arial" w:cs="Arial"/>
          <w:sz w:val="20"/>
          <w:szCs w:val="20"/>
        </w:rPr>
        <w:t>Asia 1 person is on a student visa (0.65%).</w:t>
      </w:r>
    </w:p>
    <w:p w14:paraId="74620509" w14:textId="5C9DE733" w:rsidR="00CE12E7" w:rsidRDefault="00E2797D" w:rsidP="003550F0">
      <w:pPr>
        <w:spacing w:after="0" w:line="240" w:lineRule="auto"/>
        <w:jc w:val="both"/>
        <w:rPr>
          <w:rFonts w:ascii="Arial" w:hAnsi="Arial" w:cs="Arial"/>
          <w:sz w:val="20"/>
          <w:szCs w:val="20"/>
        </w:rPr>
      </w:pPr>
      <w:r w:rsidRPr="003550F0">
        <w:rPr>
          <w:rFonts w:ascii="Arial" w:hAnsi="Arial" w:cs="Arial"/>
          <w:sz w:val="20"/>
          <w:szCs w:val="20"/>
        </w:rPr>
        <w:t xml:space="preserve">Many of the respondents chose more than one continent. Their target is to see which countries' visas are available and affordable for them, then they will select one. </w:t>
      </w:r>
      <w:r w:rsidR="00F941C0" w:rsidRPr="00F941C0">
        <w:rPr>
          <w:rFonts w:ascii="Arial" w:hAnsi="Arial" w:cs="Arial"/>
          <w:sz w:val="20"/>
          <w:szCs w:val="20"/>
        </w:rPr>
        <w:t xml:space="preserve">In Europe and North America combined, 21.5% (33 out of 153) of respondents wanted to pursue a degree, 38.89% (7 out of 18) wanted to work, and </w:t>
      </w:r>
      <w:r w:rsidR="00F941C0" w:rsidRPr="00F941C0">
        <w:rPr>
          <w:rFonts w:ascii="Arial" w:hAnsi="Arial" w:cs="Arial"/>
          <w:sz w:val="20"/>
          <w:szCs w:val="20"/>
        </w:rPr>
        <w:lastRenderedPageBreak/>
        <w:t>23.39% of all respondents expressed a desire to go.</w:t>
      </w:r>
      <w:r w:rsidRPr="003550F0">
        <w:rPr>
          <w:rFonts w:ascii="Arial" w:hAnsi="Arial" w:cs="Arial"/>
          <w:sz w:val="20"/>
          <w:szCs w:val="20"/>
        </w:rPr>
        <w:t xml:space="preserve"> </w:t>
      </w:r>
      <w:r w:rsidR="006C269E" w:rsidRPr="006C269E">
        <w:rPr>
          <w:rFonts w:ascii="Arial" w:hAnsi="Arial" w:cs="Arial"/>
          <w:sz w:val="20"/>
          <w:szCs w:val="20"/>
        </w:rPr>
        <w:t xml:space="preserve">In total, 8.77% of people want to go to Europe, Australia, and North America for study (9.15%, 14 out of 153) </w:t>
      </w:r>
      <w:r w:rsidR="006C269E">
        <w:rPr>
          <w:rFonts w:ascii="Arial" w:hAnsi="Arial" w:cs="Arial"/>
          <w:sz w:val="20"/>
          <w:szCs w:val="20"/>
        </w:rPr>
        <w:t>and</w:t>
      </w:r>
      <w:r w:rsidR="006C269E" w:rsidRPr="006C269E">
        <w:rPr>
          <w:rFonts w:ascii="Arial" w:hAnsi="Arial" w:cs="Arial"/>
          <w:sz w:val="20"/>
          <w:szCs w:val="20"/>
        </w:rPr>
        <w:t xml:space="preserve"> work (5.56%, 1 out of 18).</w:t>
      </w:r>
      <w:r w:rsidRPr="003550F0">
        <w:rPr>
          <w:rFonts w:ascii="Arial" w:hAnsi="Arial" w:cs="Arial"/>
          <w:sz w:val="20"/>
          <w:szCs w:val="20"/>
        </w:rPr>
        <w:t xml:space="preserve"> </w:t>
      </w:r>
      <w:r w:rsidR="006C269E" w:rsidRPr="006C269E">
        <w:rPr>
          <w:rFonts w:ascii="Arial" w:hAnsi="Arial" w:cs="Arial"/>
          <w:sz w:val="20"/>
          <w:szCs w:val="20"/>
        </w:rPr>
        <w:t>A total of 2.92% of people want to go to Europe-Australia, with 3.27% (5 out of 153) being students; in Europe-Asia, this figure is 0.58%, with students making up 0.65% (1 out of 153); and in North America-Australia, 3.51% of people wish to go, including 3.27% (5 out of 153) who want student visas and 5.56% (1 out of 18) who want to work.</w:t>
      </w:r>
    </w:p>
    <w:p w14:paraId="0AADD039" w14:textId="17C7E24B" w:rsidR="00CE12E7" w:rsidRPr="003550F0" w:rsidRDefault="00CE12E7" w:rsidP="003550F0">
      <w:pPr>
        <w:spacing w:after="0" w:line="240" w:lineRule="auto"/>
        <w:jc w:val="both"/>
        <w:rPr>
          <w:rFonts w:ascii="Arial" w:hAnsi="Arial" w:cs="Arial"/>
          <w:sz w:val="20"/>
          <w:szCs w:val="20"/>
        </w:rPr>
      </w:pPr>
      <w:r>
        <w:rPr>
          <w:noProof/>
        </w:rPr>
        <mc:AlternateContent>
          <mc:Choice Requires="cx1">
            <w:drawing>
              <wp:inline distT="0" distB="0" distL="0" distR="0" wp14:anchorId="6A411DC0" wp14:editId="0F768FFB">
                <wp:extent cx="5467350" cy="2771775"/>
                <wp:effectExtent l="0" t="0" r="0" b="9525"/>
                <wp:docPr id="1882567569" name="Chart 1">
                  <a:extLst xmlns:a="http://schemas.openxmlformats.org/drawingml/2006/main">
                    <a:ext uri="{FF2B5EF4-FFF2-40B4-BE49-F238E27FC236}">
                      <a16:creationId xmlns:a16="http://schemas.microsoft.com/office/drawing/2014/main" id="{62730A24-BABB-C3A7-8BD8-1474191C7C8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6A411DC0" wp14:editId="0F768FFB">
                <wp:extent cx="5467350" cy="2771775"/>
                <wp:effectExtent l="0" t="0" r="0" b="9525"/>
                <wp:docPr id="1882567569" name="Chart 1">
                  <a:extLst xmlns:a="http://schemas.openxmlformats.org/drawingml/2006/main">
                    <a:ext uri="{FF2B5EF4-FFF2-40B4-BE49-F238E27FC236}">
                      <a16:creationId xmlns:a16="http://schemas.microsoft.com/office/drawing/2014/main" id="{62730A24-BABB-C3A7-8BD8-1474191C7C8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82567569" name="Chart 1">
                          <a:extLst>
                            <a:ext uri="{FF2B5EF4-FFF2-40B4-BE49-F238E27FC236}">
                              <a16:creationId xmlns:a16="http://schemas.microsoft.com/office/drawing/2014/main" id="{62730A24-BABB-C3A7-8BD8-1474191C7C88}"/>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5467350" cy="2771775"/>
                        </a:xfrm>
                        <a:prstGeom prst="rect">
                          <a:avLst/>
                        </a:prstGeom>
                      </pic:spPr>
                    </pic:pic>
                  </a:graphicData>
                </a:graphic>
              </wp:inline>
            </w:drawing>
          </mc:Fallback>
        </mc:AlternateContent>
      </w:r>
    </w:p>
    <w:p w14:paraId="3AF92CF3" w14:textId="4B106011" w:rsidR="00910D9D" w:rsidRDefault="00910D9D" w:rsidP="00910D9D">
      <w:pPr>
        <w:spacing w:after="0" w:line="240" w:lineRule="auto"/>
        <w:jc w:val="both"/>
        <w:rPr>
          <w:rFonts w:ascii="Arial" w:hAnsi="Arial" w:cs="Arial"/>
          <w:color w:val="000000" w:themeColor="text1"/>
          <w:sz w:val="20"/>
          <w:szCs w:val="20"/>
        </w:rPr>
      </w:pPr>
      <w:bookmarkStart w:id="5" w:name="_Hlk189135534"/>
      <w:r>
        <w:rPr>
          <w:rFonts w:ascii="Arial" w:hAnsi="Arial" w:cs="Arial"/>
          <w:color w:val="000000" w:themeColor="text1"/>
          <w:sz w:val="20"/>
          <w:szCs w:val="20"/>
        </w:rPr>
        <w:t xml:space="preserve">Figure </w:t>
      </w:r>
      <w:r w:rsidR="003E0F73">
        <w:rPr>
          <w:rFonts w:ascii="Arial" w:hAnsi="Arial" w:cs="Arial"/>
          <w:color w:val="000000" w:themeColor="text1"/>
          <w:sz w:val="20"/>
          <w:szCs w:val="20"/>
        </w:rPr>
        <w:t>3</w:t>
      </w:r>
      <w:r>
        <w:rPr>
          <w:rFonts w:ascii="Arial" w:hAnsi="Arial" w:cs="Arial"/>
          <w:color w:val="000000" w:themeColor="text1"/>
          <w:sz w:val="20"/>
          <w:szCs w:val="20"/>
        </w:rPr>
        <w:t>: Family background who want to go abroad</w:t>
      </w:r>
    </w:p>
    <w:p w14:paraId="1CB515D0" w14:textId="77777777" w:rsidR="00191BF9" w:rsidRDefault="00191BF9" w:rsidP="00910D9D">
      <w:pPr>
        <w:spacing w:after="0" w:line="240" w:lineRule="auto"/>
        <w:jc w:val="both"/>
        <w:rPr>
          <w:rFonts w:ascii="Arial" w:hAnsi="Arial" w:cs="Arial"/>
          <w:color w:val="000000" w:themeColor="text1"/>
          <w:sz w:val="20"/>
          <w:szCs w:val="20"/>
        </w:rPr>
      </w:pPr>
    </w:p>
    <w:p w14:paraId="06643AC9" w14:textId="48687DA6" w:rsidR="00B114D7" w:rsidRDefault="006C269E" w:rsidP="00910D9D">
      <w:pPr>
        <w:spacing w:after="0" w:line="240" w:lineRule="auto"/>
        <w:jc w:val="both"/>
        <w:rPr>
          <w:rFonts w:ascii="Arial" w:hAnsi="Arial" w:cs="Arial"/>
          <w:color w:val="000000" w:themeColor="text1"/>
          <w:sz w:val="20"/>
          <w:szCs w:val="20"/>
        </w:rPr>
      </w:pPr>
      <w:r w:rsidRPr="006C269E">
        <w:rPr>
          <w:rFonts w:ascii="Arial" w:hAnsi="Arial" w:cs="Arial"/>
          <w:color w:val="000000" w:themeColor="text1"/>
          <w:sz w:val="20"/>
          <w:szCs w:val="20"/>
        </w:rPr>
        <w:t>Among the occupations of businessman, abroad, government employee, farmer, private job holder, etc. – businessman family members are in the highest position for going abroad, while family members already exist abroad, and family members of government employees are in 2nd and 3rd position respectively.</w:t>
      </w:r>
      <w:r w:rsidR="00191BF9">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 xml:space="preserve">Appendix table 2 </w:t>
      </w:r>
      <w:r>
        <w:rPr>
          <w:rFonts w:ascii="Arial" w:hAnsi="Arial" w:cs="Arial"/>
          <w:color w:val="000000" w:themeColor="text1"/>
          <w:sz w:val="20"/>
          <w:szCs w:val="20"/>
        </w:rPr>
        <w:t>illustrates how individuals allocate their budgets based on</w:t>
      </w:r>
      <w:r w:rsidR="00910D9D" w:rsidRPr="00910D9D">
        <w:rPr>
          <w:rFonts w:ascii="Arial" w:hAnsi="Arial" w:cs="Arial"/>
          <w:color w:val="000000" w:themeColor="text1"/>
          <w:sz w:val="20"/>
          <w:szCs w:val="20"/>
        </w:rPr>
        <w:t xml:space="preserve"> their family income. Who want to go abroad by taking the IELTS test, their family members are associated with various occupation</w:t>
      </w:r>
      <w:r>
        <w:rPr>
          <w:rFonts w:ascii="Arial" w:hAnsi="Arial" w:cs="Arial"/>
          <w:color w:val="000000" w:themeColor="text1"/>
          <w:sz w:val="20"/>
          <w:szCs w:val="20"/>
        </w:rPr>
        <w:t>s</w:t>
      </w:r>
      <w:r w:rsidR="00910D9D" w:rsidRPr="00910D9D">
        <w:rPr>
          <w:rFonts w:ascii="Arial" w:hAnsi="Arial" w:cs="Arial"/>
          <w:color w:val="000000" w:themeColor="text1"/>
          <w:sz w:val="20"/>
          <w:szCs w:val="20"/>
        </w:rPr>
        <w:t xml:space="preserve">, like </w:t>
      </w:r>
      <w:r>
        <w:rPr>
          <w:rFonts w:ascii="Arial" w:hAnsi="Arial" w:cs="Arial"/>
          <w:color w:val="000000" w:themeColor="text1"/>
          <w:sz w:val="20"/>
          <w:szCs w:val="20"/>
        </w:rPr>
        <w:t>g</w:t>
      </w:r>
      <w:r w:rsidR="00910D9D" w:rsidRPr="00910D9D">
        <w:rPr>
          <w:rFonts w:ascii="Arial" w:hAnsi="Arial" w:cs="Arial"/>
          <w:color w:val="000000" w:themeColor="text1"/>
          <w:sz w:val="20"/>
          <w:szCs w:val="20"/>
        </w:rPr>
        <w:t xml:space="preserve">overnment employee, </w:t>
      </w:r>
      <w:r>
        <w:rPr>
          <w:rFonts w:ascii="Arial" w:hAnsi="Arial" w:cs="Arial"/>
          <w:color w:val="000000" w:themeColor="text1"/>
          <w:sz w:val="20"/>
          <w:szCs w:val="20"/>
        </w:rPr>
        <w:t>b</w:t>
      </w:r>
      <w:r w:rsidR="00910D9D" w:rsidRPr="00910D9D">
        <w:rPr>
          <w:rFonts w:ascii="Arial" w:hAnsi="Arial" w:cs="Arial"/>
          <w:color w:val="000000" w:themeColor="text1"/>
          <w:sz w:val="20"/>
          <w:szCs w:val="20"/>
        </w:rPr>
        <w:t xml:space="preserve">usinessman, </w:t>
      </w:r>
      <w:r>
        <w:rPr>
          <w:rFonts w:ascii="Arial" w:hAnsi="Arial" w:cs="Arial"/>
          <w:color w:val="000000" w:themeColor="text1"/>
          <w:sz w:val="20"/>
          <w:szCs w:val="20"/>
        </w:rPr>
        <w:t>f</w:t>
      </w:r>
      <w:r w:rsidR="00910D9D" w:rsidRPr="00910D9D">
        <w:rPr>
          <w:rFonts w:ascii="Arial" w:hAnsi="Arial" w:cs="Arial"/>
          <w:color w:val="000000" w:themeColor="text1"/>
          <w:sz w:val="20"/>
          <w:szCs w:val="20"/>
        </w:rPr>
        <w:t xml:space="preserve">armer, </w:t>
      </w:r>
      <w:r>
        <w:rPr>
          <w:rFonts w:ascii="Arial" w:hAnsi="Arial" w:cs="Arial"/>
          <w:color w:val="000000" w:themeColor="text1"/>
          <w:sz w:val="20"/>
          <w:szCs w:val="20"/>
        </w:rPr>
        <w:t>f</w:t>
      </w:r>
      <w:r w:rsidR="00910D9D" w:rsidRPr="00910D9D">
        <w:rPr>
          <w:rFonts w:ascii="Arial" w:hAnsi="Arial" w:cs="Arial"/>
          <w:color w:val="000000" w:themeColor="text1"/>
          <w:sz w:val="20"/>
          <w:szCs w:val="20"/>
        </w:rPr>
        <w:t xml:space="preserve">isherman, </w:t>
      </w:r>
      <w:r>
        <w:rPr>
          <w:rFonts w:ascii="Arial" w:hAnsi="Arial" w:cs="Arial"/>
          <w:color w:val="000000" w:themeColor="text1"/>
          <w:sz w:val="20"/>
          <w:szCs w:val="20"/>
        </w:rPr>
        <w:t>p</w:t>
      </w:r>
      <w:r w:rsidR="00910D9D" w:rsidRPr="00910D9D">
        <w:rPr>
          <w:rFonts w:ascii="Arial" w:hAnsi="Arial" w:cs="Arial"/>
          <w:color w:val="000000" w:themeColor="text1"/>
          <w:sz w:val="20"/>
          <w:szCs w:val="20"/>
        </w:rPr>
        <w:t xml:space="preserve">rivate job holder etc. Also, their family members are already living abroad. Among this occupation, 13.45% (23 out of 171) of </w:t>
      </w:r>
      <w:r w:rsidR="00B114D7" w:rsidRPr="00910D9D">
        <w:rPr>
          <w:rFonts w:ascii="Arial" w:hAnsi="Arial" w:cs="Arial"/>
          <w:color w:val="000000" w:themeColor="text1"/>
          <w:sz w:val="20"/>
          <w:szCs w:val="20"/>
        </w:rPr>
        <w:t>the total</w:t>
      </w:r>
      <w:r w:rsidR="00910D9D" w:rsidRPr="00910D9D">
        <w:rPr>
          <w:rFonts w:ascii="Arial" w:hAnsi="Arial" w:cs="Arial"/>
          <w:color w:val="000000" w:themeColor="text1"/>
          <w:sz w:val="20"/>
          <w:szCs w:val="20"/>
        </w:rPr>
        <w:t xml:space="preserve"> respondent’s family members </w:t>
      </w:r>
      <w:r w:rsidR="00B114D7">
        <w:rPr>
          <w:rFonts w:ascii="Arial" w:hAnsi="Arial" w:cs="Arial"/>
          <w:color w:val="000000" w:themeColor="text1"/>
          <w:sz w:val="20"/>
          <w:szCs w:val="20"/>
        </w:rPr>
        <w:t>are</w:t>
      </w:r>
      <w:r w:rsidR="00910D9D" w:rsidRPr="00910D9D">
        <w:rPr>
          <w:rFonts w:ascii="Arial" w:hAnsi="Arial" w:cs="Arial"/>
          <w:color w:val="000000" w:themeColor="text1"/>
          <w:sz w:val="20"/>
          <w:szCs w:val="20"/>
        </w:rPr>
        <w:t xml:space="preserve"> </w:t>
      </w:r>
      <w:r>
        <w:rPr>
          <w:rFonts w:ascii="Arial" w:hAnsi="Arial" w:cs="Arial"/>
          <w:color w:val="000000" w:themeColor="text1"/>
          <w:sz w:val="20"/>
          <w:szCs w:val="20"/>
        </w:rPr>
        <w:t>g</w:t>
      </w:r>
      <w:r w:rsidR="00910D9D" w:rsidRPr="00910D9D">
        <w:rPr>
          <w:rFonts w:ascii="Arial" w:hAnsi="Arial" w:cs="Arial"/>
          <w:color w:val="000000" w:themeColor="text1"/>
          <w:sz w:val="20"/>
          <w:szCs w:val="20"/>
        </w:rPr>
        <w:t xml:space="preserve">overnment </w:t>
      </w:r>
      <w:r w:rsidR="00B114D7" w:rsidRPr="00910D9D">
        <w:rPr>
          <w:rFonts w:ascii="Arial" w:hAnsi="Arial" w:cs="Arial"/>
          <w:color w:val="000000" w:themeColor="text1"/>
          <w:sz w:val="20"/>
          <w:szCs w:val="20"/>
        </w:rPr>
        <w:t>employees</w:t>
      </w:r>
      <w:r w:rsidR="00910D9D" w:rsidRPr="00910D9D">
        <w:rPr>
          <w:rFonts w:ascii="Arial" w:hAnsi="Arial" w:cs="Arial"/>
          <w:color w:val="000000" w:themeColor="text1"/>
          <w:sz w:val="20"/>
          <w:szCs w:val="20"/>
        </w:rPr>
        <w:t xml:space="preserve"> where their annual income </w:t>
      </w:r>
      <w:r w:rsidR="00B114D7">
        <w:rPr>
          <w:rFonts w:ascii="Arial" w:hAnsi="Arial" w:cs="Arial"/>
          <w:color w:val="000000" w:themeColor="text1"/>
          <w:sz w:val="20"/>
          <w:szCs w:val="20"/>
        </w:rPr>
        <w:t xml:space="preserve">is </w:t>
      </w:r>
      <w:r w:rsidR="001C6BD9">
        <w:rPr>
          <w:rFonts w:ascii="Arial" w:hAnsi="Arial" w:cs="Arial"/>
          <w:color w:val="000000" w:themeColor="text1"/>
          <w:sz w:val="20"/>
          <w:szCs w:val="20"/>
        </w:rPr>
        <w:t>Tk</w:t>
      </w:r>
      <w:r w:rsidR="00B114D7">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 xml:space="preserve">1-3 lakh, and   </w:t>
      </w:r>
      <w:r w:rsidR="001C6BD9">
        <w:rPr>
          <w:rFonts w:ascii="Arial" w:hAnsi="Arial" w:cs="Arial"/>
          <w:color w:val="000000" w:themeColor="text1"/>
          <w:sz w:val="20"/>
          <w:szCs w:val="20"/>
        </w:rPr>
        <w:t>Tk</w:t>
      </w:r>
      <w:r w:rsidR="00B114D7">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 xml:space="preserve">3-5 lakh also considerable. </w:t>
      </w:r>
      <w:r w:rsidR="00B114D7">
        <w:rPr>
          <w:rFonts w:ascii="Arial" w:hAnsi="Arial" w:cs="Arial"/>
          <w:color w:val="000000" w:themeColor="text1"/>
          <w:sz w:val="20"/>
          <w:szCs w:val="20"/>
        </w:rPr>
        <w:t>Of t</w:t>
      </w:r>
      <w:r w:rsidR="00910D9D" w:rsidRPr="00910D9D">
        <w:rPr>
          <w:rFonts w:ascii="Arial" w:hAnsi="Arial" w:cs="Arial"/>
          <w:color w:val="000000" w:themeColor="text1"/>
          <w:sz w:val="20"/>
          <w:szCs w:val="20"/>
        </w:rPr>
        <w:t xml:space="preserve">he respondents whose family members are associated with </w:t>
      </w:r>
      <w:r w:rsidR="00B114D7">
        <w:rPr>
          <w:rFonts w:ascii="Arial" w:hAnsi="Arial" w:cs="Arial"/>
          <w:color w:val="000000" w:themeColor="text1"/>
          <w:sz w:val="20"/>
          <w:szCs w:val="20"/>
        </w:rPr>
        <w:t>g</w:t>
      </w:r>
      <w:r w:rsidR="00910D9D" w:rsidRPr="00910D9D">
        <w:rPr>
          <w:rFonts w:ascii="Arial" w:hAnsi="Arial" w:cs="Arial"/>
          <w:color w:val="000000" w:themeColor="text1"/>
          <w:sz w:val="20"/>
          <w:szCs w:val="20"/>
        </w:rPr>
        <w:t>overnment jobs, 12.42% (19 out of 153) of total respondents want to go</w:t>
      </w:r>
      <w:r w:rsidR="00B114D7">
        <w:rPr>
          <w:rFonts w:ascii="Arial" w:hAnsi="Arial" w:cs="Arial"/>
          <w:color w:val="000000" w:themeColor="text1"/>
          <w:sz w:val="20"/>
          <w:szCs w:val="20"/>
        </w:rPr>
        <w:t xml:space="preserve"> to a</w:t>
      </w:r>
      <w:r w:rsidR="00910D9D" w:rsidRPr="00910D9D">
        <w:rPr>
          <w:rFonts w:ascii="Arial" w:hAnsi="Arial" w:cs="Arial"/>
          <w:color w:val="000000" w:themeColor="text1"/>
          <w:sz w:val="20"/>
          <w:szCs w:val="20"/>
        </w:rPr>
        <w:t xml:space="preserve"> foreign country to pursue </w:t>
      </w:r>
      <w:r w:rsidR="00B114D7">
        <w:rPr>
          <w:rFonts w:ascii="Arial" w:hAnsi="Arial" w:cs="Arial"/>
          <w:color w:val="000000" w:themeColor="text1"/>
          <w:sz w:val="20"/>
          <w:szCs w:val="20"/>
        </w:rPr>
        <w:t xml:space="preserve">a </w:t>
      </w:r>
      <w:r w:rsidR="00910D9D" w:rsidRPr="00910D9D">
        <w:rPr>
          <w:rFonts w:ascii="Arial" w:hAnsi="Arial" w:cs="Arial"/>
          <w:color w:val="000000" w:themeColor="text1"/>
          <w:sz w:val="20"/>
          <w:szCs w:val="20"/>
        </w:rPr>
        <w:t xml:space="preserve">higher degree. Government job holder family members budget for student visas around </w:t>
      </w:r>
      <w:r w:rsidR="001C6BD9">
        <w:rPr>
          <w:rFonts w:ascii="Arial" w:hAnsi="Arial" w:cs="Arial"/>
          <w:color w:val="000000" w:themeColor="text1"/>
          <w:sz w:val="20"/>
          <w:szCs w:val="20"/>
        </w:rPr>
        <w:t>Tk</w:t>
      </w:r>
      <w:r w:rsidR="00B114D7">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 xml:space="preserve">11-15 </w:t>
      </w:r>
      <w:r w:rsidR="00B114D7">
        <w:rPr>
          <w:rFonts w:ascii="Arial" w:hAnsi="Arial" w:cs="Arial"/>
          <w:color w:val="000000" w:themeColor="text1"/>
          <w:sz w:val="20"/>
          <w:szCs w:val="20"/>
        </w:rPr>
        <w:t>l</w:t>
      </w:r>
      <w:r w:rsidR="00910D9D" w:rsidRPr="00910D9D">
        <w:rPr>
          <w:rFonts w:ascii="Arial" w:hAnsi="Arial" w:cs="Arial"/>
          <w:color w:val="000000" w:themeColor="text1"/>
          <w:sz w:val="20"/>
          <w:szCs w:val="20"/>
        </w:rPr>
        <w:t>akhs where</w:t>
      </w:r>
      <w:r w:rsidR="00B114D7">
        <w:rPr>
          <w:rFonts w:ascii="Arial" w:hAnsi="Arial" w:cs="Arial"/>
          <w:color w:val="000000" w:themeColor="text1"/>
          <w:sz w:val="20"/>
          <w:szCs w:val="20"/>
        </w:rPr>
        <w:t>as</w:t>
      </w:r>
      <w:r w:rsidR="00910D9D" w:rsidRPr="00910D9D">
        <w:rPr>
          <w:rFonts w:ascii="Arial" w:hAnsi="Arial" w:cs="Arial"/>
          <w:color w:val="000000" w:themeColor="text1"/>
          <w:sz w:val="20"/>
          <w:szCs w:val="20"/>
        </w:rPr>
        <w:t xml:space="preserve"> for working visa </w:t>
      </w:r>
      <w:r w:rsidR="001C6BD9">
        <w:rPr>
          <w:rFonts w:ascii="Arial" w:hAnsi="Arial" w:cs="Arial"/>
          <w:color w:val="000000" w:themeColor="text1"/>
          <w:sz w:val="20"/>
          <w:szCs w:val="20"/>
        </w:rPr>
        <w:t>Tk</w:t>
      </w:r>
      <w:r w:rsidR="00B114D7">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 xml:space="preserve">6-10 </w:t>
      </w:r>
      <w:r w:rsidR="00B114D7">
        <w:rPr>
          <w:rFonts w:ascii="Arial" w:hAnsi="Arial" w:cs="Arial"/>
          <w:color w:val="000000" w:themeColor="text1"/>
          <w:sz w:val="20"/>
          <w:szCs w:val="20"/>
        </w:rPr>
        <w:t>l</w:t>
      </w:r>
      <w:r w:rsidR="00910D9D" w:rsidRPr="00910D9D">
        <w:rPr>
          <w:rFonts w:ascii="Arial" w:hAnsi="Arial" w:cs="Arial"/>
          <w:color w:val="000000" w:themeColor="text1"/>
          <w:sz w:val="20"/>
          <w:szCs w:val="20"/>
        </w:rPr>
        <w:t>akhs</w:t>
      </w:r>
      <w:r w:rsidR="00B114D7">
        <w:rPr>
          <w:rFonts w:ascii="Arial" w:hAnsi="Arial" w:cs="Arial"/>
          <w:color w:val="000000" w:themeColor="text1"/>
          <w:sz w:val="20"/>
          <w:szCs w:val="20"/>
        </w:rPr>
        <w:t>,</w:t>
      </w:r>
      <w:r w:rsidR="00910D9D" w:rsidRPr="00910D9D">
        <w:rPr>
          <w:rFonts w:ascii="Arial" w:hAnsi="Arial" w:cs="Arial"/>
          <w:color w:val="000000" w:themeColor="text1"/>
          <w:sz w:val="20"/>
          <w:szCs w:val="20"/>
        </w:rPr>
        <w:t xml:space="preserve"> and only 22.22% (4 out of 18) want to go as a worker visa. </w:t>
      </w:r>
      <w:r w:rsidR="00B114D7" w:rsidRPr="00B114D7">
        <w:rPr>
          <w:rFonts w:ascii="Arial" w:hAnsi="Arial" w:cs="Arial"/>
          <w:color w:val="000000" w:themeColor="text1"/>
          <w:sz w:val="20"/>
          <w:szCs w:val="20"/>
        </w:rPr>
        <w:t>For considering business, 38.60% (66 out of 171) of total respondents’ family members are businessmen, where their annual income is below 1 lakh, and 3-5 lakh is also considerable.</w:t>
      </w:r>
      <w:r w:rsidR="00910D9D" w:rsidRPr="00910D9D">
        <w:rPr>
          <w:rFonts w:ascii="Arial" w:hAnsi="Arial" w:cs="Arial"/>
          <w:color w:val="000000" w:themeColor="text1"/>
          <w:sz w:val="20"/>
          <w:szCs w:val="20"/>
        </w:rPr>
        <w:t xml:space="preserve"> In businessman family 41.18% (63 out of 153) of total respondents want to go</w:t>
      </w:r>
      <w:r w:rsidR="00B114D7">
        <w:rPr>
          <w:rFonts w:ascii="Arial" w:hAnsi="Arial" w:cs="Arial"/>
          <w:color w:val="000000" w:themeColor="text1"/>
          <w:sz w:val="20"/>
          <w:szCs w:val="20"/>
        </w:rPr>
        <w:t xml:space="preserve"> to a</w:t>
      </w:r>
      <w:r w:rsidR="00910D9D" w:rsidRPr="00910D9D">
        <w:rPr>
          <w:rFonts w:ascii="Arial" w:hAnsi="Arial" w:cs="Arial"/>
          <w:color w:val="000000" w:themeColor="text1"/>
          <w:sz w:val="20"/>
          <w:szCs w:val="20"/>
        </w:rPr>
        <w:t xml:space="preserve"> foreign country to</w:t>
      </w:r>
      <w:r w:rsidR="00242B01">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 xml:space="preserve">pursue higher degree. </w:t>
      </w:r>
    </w:p>
    <w:p w14:paraId="773EEB95" w14:textId="6DA24E1C" w:rsidR="00910D9D" w:rsidRPr="00910D9D" w:rsidRDefault="00651E90" w:rsidP="00910D9D">
      <w:pPr>
        <w:spacing w:after="0" w:line="240" w:lineRule="auto"/>
        <w:jc w:val="both"/>
        <w:rPr>
          <w:rFonts w:ascii="Arial" w:hAnsi="Arial" w:cs="Arial"/>
          <w:color w:val="000000" w:themeColor="text1"/>
          <w:sz w:val="20"/>
          <w:szCs w:val="20"/>
        </w:rPr>
      </w:pPr>
      <w:r w:rsidRPr="00651E90">
        <w:rPr>
          <w:rFonts w:ascii="Arial" w:hAnsi="Arial" w:cs="Arial"/>
          <w:color w:val="000000" w:themeColor="text1"/>
          <w:sz w:val="20"/>
          <w:szCs w:val="20"/>
        </w:rPr>
        <w:t>Businessman family members budget for student visas around</w:t>
      </w:r>
      <w:r w:rsidR="005F2D25">
        <w:rPr>
          <w:rFonts w:ascii="Arial" w:hAnsi="Arial" w:cs="Arial"/>
          <w:color w:val="000000" w:themeColor="text1"/>
          <w:sz w:val="20"/>
          <w:szCs w:val="20"/>
        </w:rPr>
        <w:t xml:space="preserve"> </w:t>
      </w:r>
      <w:r w:rsidR="001C6BD9">
        <w:rPr>
          <w:rFonts w:ascii="Arial" w:hAnsi="Arial" w:cs="Arial"/>
          <w:color w:val="000000" w:themeColor="text1"/>
          <w:sz w:val="20"/>
          <w:szCs w:val="20"/>
        </w:rPr>
        <w:t>Tk</w:t>
      </w:r>
      <w:r w:rsidRPr="00651E90">
        <w:rPr>
          <w:rFonts w:ascii="Arial" w:hAnsi="Arial" w:cs="Arial"/>
          <w:color w:val="000000" w:themeColor="text1"/>
          <w:sz w:val="20"/>
          <w:szCs w:val="20"/>
        </w:rPr>
        <w:t xml:space="preserve"> 11–15 lakhs; </w:t>
      </w:r>
      <w:r w:rsidR="001C6BD9">
        <w:rPr>
          <w:rFonts w:ascii="Arial" w:hAnsi="Arial" w:cs="Arial"/>
          <w:color w:val="000000" w:themeColor="text1"/>
          <w:sz w:val="20"/>
          <w:szCs w:val="20"/>
        </w:rPr>
        <w:t>Tk</w:t>
      </w:r>
      <w:r w:rsidR="005F2D25">
        <w:rPr>
          <w:rFonts w:ascii="Arial" w:hAnsi="Arial" w:cs="Arial"/>
          <w:color w:val="000000" w:themeColor="text1"/>
          <w:sz w:val="20"/>
          <w:szCs w:val="20"/>
        </w:rPr>
        <w:t xml:space="preserve"> </w:t>
      </w:r>
      <w:r w:rsidRPr="00651E90">
        <w:rPr>
          <w:rFonts w:ascii="Arial" w:hAnsi="Arial" w:cs="Arial"/>
          <w:color w:val="000000" w:themeColor="text1"/>
          <w:sz w:val="20"/>
          <w:szCs w:val="20"/>
        </w:rPr>
        <w:t>6–10 lakhs are considerable for working visas, and only 16.67% (3 out of 18) want to go for a worker visa.</w:t>
      </w:r>
      <w:r w:rsidR="00910D9D" w:rsidRPr="00910D9D">
        <w:rPr>
          <w:rFonts w:ascii="Arial" w:hAnsi="Arial" w:cs="Arial"/>
          <w:color w:val="000000" w:themeColor="text1"/>
          <w:sz w:val="20"/>
          <w:szCs w:val="20"/>
        </w:rPr>
        <w:t xml:space="preserve"> 20.47% (35 out of 171) of total respondent’s family members are </w:t>
      </w:r>
      <w:r>
        <w:rPr>
          <w:rFonts w:ascii="Arial" w:hAnsi="Arial" w:cs="Arial"/>
          <w:color w:val="000000" w:themeColor="text1"/>
          <w:sz w:val="20"/>
          <w:szCs w:val="20"/>
        </w:rPr>
        <w:t xml:space="preserve">already </w:t>
      </w:r>
      <w:r w:rsidR="00910D9D" w:rsidRPr="00910D9D">
        <w:rPr>
          <w:rFonts w:ascii="Arial" w:hAnsi="Arial" w:cs="Arial"/>
          <w:color w:val="000000" w:themeColor="text1"/>
          <w:sz w:val="20"/>
          <w:szCs w:val="20"/>
        </w:rPr>
        <w:t>living abroad where their annual income</w:t>
      </w:r>
      <w:r>
        <w:rPr>
          <w:rFonts w:ascii="Arial" w:hAnsi="Arial" w:cs="Arial"/>
          <w:color w:val="000000" w:themeColor="text1"/>
          <w:sz w:val="20"/>
          <w:szCs w:val="20"/>
        </w:rPr>
        <w:t xml:space="preserve"> is b</w:t>
      </w:r>
      <w:r w:rsidR="00910D9D" w:rsidRPr="00910D9D">
        <w:rPr>
          <w:rFonts w:ascii="Arial" w:hAnsi="Arial" w:cs="Arial"/>
          <w:color w:val="000000" w:themeColor="text1"/>
          <w:sz w:val="20"/>
          <w:szCs w:val="20"/>
        </w:rPr>
        <w:t>elow</w:t>
      </w:r>
      <w:r>
        <w:rPr>
          <w:rFonts w:ascii="Arial" w:hAnsi="Arial" w:cs="Arial"/>
          <w:color w:val="000000" w:themeColor="text1"/>
          <w:sz w:val="20"/>
          <w:szCs w:val="20"/>
        </w:rPr>
        <w:t xml:space="preserve"> </w:t>
      </w:r>
      <w:r w:rsidR="001C6BD9">
        <w:rPr>
          <w:rFonts w:ascii="Arial" w:hAnsi="Arial" w:cs="Arial"/>
          <w:color w:val="000000" w:themeColor="text1"/>
          <w:sz w:val="20"/>
          <w:szCs w:val="20"/>
        </w:rPr>
        <w:t>Tk</w:t>
      </w:r>
      <w:r w:rsidR="00910D9D" w:rsidRPr="00910D9D">
        <w:rPr>
          <w:rFonts w:ascii="Arial" w:hAnsi="Arial" w:cs="Arial"/>
          <w:color w:val="000000" w:themeColor="text1"/>
          <w:sz w:val="20"/>
          <w:szCs w:val="20"/>
        </w:rPr>
        <w:t xml:space="preserve"> 1-3 lakhs and </w:t>
      </w:r>
      <w:r w:rsidR="001C6BD9">
        <w:rPr>
          <w:rFonts w:ascii="Arial" w:hAnsi="Arial" w:cs="Arial"/>
          <w:color w:val="000000" w:themeColor="text1"/>
          <w:sz w:val="20"/>
          <w:szCs w:val="20"/>
        </w:rPr>
        <w:t>Tk</w:t>
      </w:r>
      <w:r>
        <w:rPr>
          <w:rFonts w:ascii="Arial" w:hAnsi="Arial" w:cs="Arial"/>
          <w:color w:val="000000" w:themeColor="text1"/>
          <w:sz w:val="20"/>
          <w:szCs w:val="20"/>
        </w:rPr>
        <w:t xml:space="preserve"> </w:t>
      </w:r>
      <w:r w:rsidR="00910D9D" w:rsidRPr="00910D9D">
        <w:rPr>
          <w:rFonts w:ascii="Arial" w:hAnsi="Arial" w:cs="Arial"/>
          <w:color w:val="000000" w:themeColor="text1"/>
          <w:sz w:val="20"/>
          <w:szCs w:val="20"/>
        </w:rPr>
        <w:t>7-9 lakh</w:t>
      </w:r>
      <w:r>
        <w:rPr>
          <w:rFonts w:ascii="Arial" w:hAnsi="Arial" w:cs="Arial"/>
          <w:color w:val="000000" w:themeColor="text1"/>
          <w:sz w:val="20"/>
          <w:szCs w:val="20"/>
        </w:rPr>
        <w:t>s</w:t>
      </w:r>
      <w:r w:rsidR="00910D9D" w:rsidRPr="00910D9D">
        <w:rPr>
          <w:rFonts w:ascii="Arial" w:hAnsi="Arial" w:cs="Arial"/>
          <w:color w:val="000000" w:themeColor="text1"/>
          <w:sz w:val="20"/>
          <w:szCs w:val="20"/>
        </w:rPr>
        <w:t xml:space="preserve"> also considerable. Among the respondents whose family members are living abroad, 21.57% (33 out of 153) of total respondents want to go to a foreign country to pursue </w:t>
      </w:r>
      <w:r>
        <w:rPr>
          <w:rFonts w:ascii="Arial" w:hAnsi="Arial" w:cs="Arial"/>
          <w:color w:val="000000" w:themeColor="text1"/>
          <w:sz w:val="20"/>
          <w:szCs w:val="20"/>
        </w:rPr>
        <w:t xml:space="preserve">a </w:t>
      </w:r>
      <w:r w:rsidR="00910D9D" w:rsidRPr="00910D9D">
        <w:rPr>
          <w:rFonts w:ascii="Arial" w:hAnsi="Arial" w:cs="Arial"/>
          <w:color w:val="000000" w:themeColor="text1"/>
          <w:sz w:val="20"/>
          <w:szCs w:val="20"/>
        </w:rPr>
        <w:t xml:space="preserve">higher degree. </w:t>
      </w:r>
      <w:r w:rsidRPr="00651E90">
        <w:rPr>
          <w:rFonts w:ascii="Arial" w:hAnsi="Arial" w:cs="Arial"/>
          <w:color w:val="000000" w:themeColor="text1"/>
          <w:sz w:val="20"/>
          <w:szCs w:val="20"/>
        </w:rPr>
        <w:t xml:space="preserve">Abroad family members budget for student visas around </w:t>
      </w:r>
      <w:r w:rsidR="001C6BD9">
        <w:rPr>
          <w:rFonts w:ascii="Arial" w:hAnsi="Arial" w:cs="Arial"/>
          <w:color w:val="000000" w:themeColor="text1"/>
          <w:sz w:val="20"/>
          <w:szCs w:val="20"/>
        </w:rPr>
        <w:t>Tk</w:t>
      </w:r>
      <w:r w:rsidR="005F2D25">
        <w:rPr>
          <w:rFonts w:ascii="Arial" w:hAnsi="Arial" w:cs="Arial"/>
          <w:color w:val="000000" w:themeColor="text1"/>
          <w:sz w:val="20"/>
          <w:szCs w:val="20"/>
        </w:rPr>
        <w:t xml:space="preserve"> </w:t>
      </w:r>
      <w:r w:rsidRPr="00651E90">
        <w:rPr>
          <w:rFonts w:ascii="Arial" w:hAnsi="Arial" w:cs="Arial"/>
          <w:color w:val="000000" w:themeColor="text1"/>
          <w:sz w:val="20"/>
          <w:szCs w:val="20"/>
        </w:rPr>
        <w:t xml:space="preserve">11-15 lakhs and </w:t>
      </w:r>
      <w:r w:rsidR="001C6BD9">
        <w:rPr>
          <w:rFonts w:ascii="Arial" w:hAnsi="Arial" w:cs="Arial"/>
          <w:color w:val="000000" w:themeColor="text1"/>
          <w:sz w:val="20"/>
          <w:szCs w:val="20"/>
        </w:rPr>
        <w:t>Tk</w:t>
      </w:r>
      <w:r w:rsidR="005F2D25">
        <w:rPr>
          <w:rFonts w:ascii="Arial" w:hAnsi="Arial" w:cs="Arial"/>
          <w:color w:val="000000" w:themeColor="text1"/>
          <w:sz w:val="20"/>
          <w:szCs w:val="20"/>
        </w:rPr>
        <w:t xml:space="preserve"> </w:t>
      </w:r>
      <w:r w:rsidRPr="00651E90">
        <w:rPr>
          <w:rFonts w:ascii="Arial" w:hAnsi="Arial" w:cs="Arial"/>
          <w:color w:val="000000" w:themeColor="text1"/>
          <w:sz w:val="20"/>
          <w:szCs w:val="20"/>
        </w:rPr>
        <w:t xml:space="preserve">21-25 lakhs, which are also considerable, whereas for working visa </w:t>
      </w:r>
      <w:r w:rsidR="001C6BD9">
        <w:rPr>
          <w:rFonts w:ascii="Arial" w:hAnsi="Arial" w:cs="Arial"/>
          <w:color w:val="000000" w:themeColor="text1"/>
          <w:sz w:val="20"/>
          <w:szCs w:val="20"/>
        </w:rPr>
        <w:t>Tk</w:t>
      </w:r>
      <w:r w:rsidR="005F2D25">
        <w:rPr>
          <w:rFonts w:ascii="Arial" w:hAnsi="Arial" w:cs="Arial"/>
          <w:color w:val="000000" w:themeColor="text1"/>
          <w:sz w:val="20"/>
          <w:szCs w:val="20"/>
        </w:rPr>
        <w:t xml:space="preserve"> </w:t>
      </w:r>
      <w:r w:rsidRPr="00651E90">
        <w:rPr>
          <w:rFonts w:ascii="Arial" w:hAnsi="Arial" w:cs="Arial"/>
          <w:color w:val="000000" w:themeColor="text1"/>
          <w:sz w:val="20"/>
          <w:szCs w:val="20"/>
        </w:rPr>
        <w:t xml:space="preserve">6-10 lakhs and </w:t>
      </w:r>
      <w:r w:rsidR="001C6BD9">
        <w:rPr>
          <w:rFonts w:ascii="Arial" w:hAnsi="Arial" w:cs="Arial"/>
          <w:color w:val="000000" w:themeColor="text1"/>
          <w:sz w:val="20"/>
          <w:szCs w:val="20"/>
        </w:rPr>
        <w:t>Tk</w:t>
      </w:r>
      <w:r w:rsidR="005F2D25">
        <w:rPr>
          <w:rFonts w:ascii="Arial" w:hAnsi="Arial" w:cs="Arial"/>
          <w:color w:val="000000" w:themeColor="text1"/>
          <w:sz w:val="20"/>
          <w:szCs w:val="20"/>
        </w:rPr>
        <w:t xml:space="preserve"> </w:t>
      </w:r>
      <w:r w:rsidRPr="00651E90">
        <w:rPr>
          <w:rFonts w:ascii="Arial" w:hAnsi="Arial" w:cs="Arial"/>
          <w:color w:val="000000" w:themeColor="text1"/>
          <w:sz w:val="20"/>
          <w:szCs w:val="20"/>
        </w:rPr>
        <w:t>25+ lakhs, and only 11.11% (2 out of 18) want to go as a worker visa.</w:t>
      </w:r>
    </w:p>
    <w:p w14:paraId="066606BB" w14:textId="77777777" w:rsidR="00910D9D" w:rsidRPr="00910D9D" w:rsidRDefault="00910D9D" w:rsidP="00910D9D">
      <w:pPr>
        <w:spacing w:after="0" w:line="240" w:lineRule="auto"/>
        <w:jc w:val="both"/>
        <w:rPr>
          <w:rFonts w:ascii="Arial" w:hAnsi="Arial" w:cs="Arial"/>
          <w:color w:val="000000" w:themeColor="text1"/>
          <w:sz w:val="20"/>
          <w:szCs w:val="20"/>
        </w:rPr>
      </w:pPr>
    </w:p>
    <w:bookmarkEnd w:id="5"/>
    <w:p w14:paraId="5C9F368D" w14:textId="35B64CF8" w:rsidR="006F306E" w:rsidRPr="003550F0" w:rsidRDefault="00161262" w:rsidP="003550F0">
      <w:pPr>
        <w:spacing w:line="240" w:lineRule="auto"/>
        <w:jc w:val="both"/>
        <w:rPr>
          <w:rFonts w:ascii="Arial" w:hAnsi="Arial" w:cs="Arial"/>
          <w:b/>
          <w:bCs/>
        </w:rPr>
      </w:pPr>
      <w:r>
        <w:rPr>
          <w:rFonts w:ascii="Arial" w:hAnsi="Arial" w:cs="Arial"/>
          <w:b/>
          <w:bCs/>
        </w:rPr>
        <w:t>7</w:t>
      </w:r>
      <w:r w:rsidR="003550F0" w:rsidRPr="003550F0">
        <w:rPr>
          <w:rFonts w:ascii="Arial" w:hAnsi="Arial" w:cs="Arial"/>
          <w:b/>
          <w:bCs/>
        </w:rPr>
        <w:t>. CASE STUDY</w:t>
      </w:r>
    </w:p>
    <w:p w14:paraId="62FC9ADC" w14:textId="1D7A7D72"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01 Oni</w:t>
      </w:r>
    </w:p>
    <w:p w14:paraId="6CD4EBEA" w14:textId="16D26D83" w:rsidR="003550F0" w:rsidRPr="003550F0" w:rsidRDefault="006F306E" w:rsidP="003550F0">
      <w:pPr>
        <w:spacing w:after="0" w:line="240" w:lineRule="auto"/>
        <w:jc w:val="both"/>
        <w:rPr>
          <w:rFonts w:ascii="Arial" w:hAnsi="Arial" w:cs="Arial"/>
          <w:sz w:val="20"/>
          <w:szCs w:val="20"/>
        </w:rPr>
      </w:pPr>
      <w:r w:rsidRPr="003550F0">
        <w:rPr>
          <w:rFonts w:ascii="Arial" w:hAnsi="Arial" w:cs="Arial"/>
          <w:sz w:val="20"/>
          <w:szCs w:val="20"/>
        </w:rPr>
        <w:t>Oni, a 26-year-old</w:t>
      </w:r>
      <w:r w:rsidR="00117043">
        <w:rPr>
          <w:rFonts w:ascii="Arial" w:hAnsi="Arial" w:cs="Arial"/>
          <w:sz w:val="20"/>
          <w:szCs w:val="20"/>
        </w:rPr>
        <w:t>,</w:t>
      </w:r>
      <w:r w:rsidRPr="003550F0">
        <w:rPr>
          <w:rFonts w:ascii="Arial" w:hAnsi="Arial" w:cs="Arial"/>
          <w:sz w:val="20"/>
          <w:szCs w:val="20"/>
        </w:rPr>
        <w:t xml:space="preserve"> has her permanent address in </w:t>
      </w:r>
      <w:proofErr w:type="spellStart"/>
      <w:r w:rsidRPr="003550F0">
        <w:rPr>
          <w:rFonts w:ascii="Arial" w:hAnsi="Arial" w:cs="Arial"/>
          <w:sz w:val="20"/>
          <w:szCs w:val="20"/>
        </w:rPr>
        <w:t>Jamalganj</w:t>
      </w:r>
      <w:proofErr w:type="spellEnd"/>
      <w:r w:rsidRPr="003550F0">
        <w:rPr>
          <w:rFonts w:ascii="Arial" w:hAnsi="Arial" w:cs="Arial"/>
          <w:sz w:val="20"/>
          <w:szCs w:val="20"/>
        </w:rPr>
        <w:t xml:space="preserve">, Sunamganj, but she is living in Madina Market, Sylhet. She is the third of four children in her family. There are three earners in her family: her father </w:t>
      </w:r>
      <w:r w:rsidRPr="003550F0">
        <w:rPr>
          <w:rFonts w:ascii="Arial" w:hAnsi="Arial" w:cs="Arial"/>
          <w:sz w:val="20"/>
          <w:szCs w:val="20"/>
        </w:rPr>
        <w:lastRenderedPageBreak/>
        <w:t xml:space="preserve">and one of her elder brothers are businessmen, while another brother works as a </w:t>
      </w:r>
      <w:r w:rsidR="003B5F92" w:rsidRPr="003550F0">
        <w:rPr>
          <w:rFonts w:ascii="Arial" w:hAnsi="Arial" w:cs="Arial"/>
          <w:sz w:val="20"/>
          <w:szCs w:val="20"/>
        </w:rPr>
        <w:t>government</w:t>
      </w:r>
      <w:r w:rsidRPr="003550F0">
        <w:rPr>
          <w:rFonts w:ascii="Arial" w:hAnsi="Arial" w:cs="Arial"/>
          <w:sz w:val="20"/>
          <w:szCs w:val="20"/>
        </w:rPr>
        <w:t xml:space="preserve"> employee. The family</w:t>
      </w:r>
      <w:r w:rsidR="003B5F92" w:rsidRPr="003550F0">
        <w:rPr>
          <w:rFonts w:ascii="Arial" w:hAnsi="Arial" w:cs="Arial"/>
          <w:sz w:val="20"/>
          <w:szCs w:val="20"/>
        </w:rPr>
        <w:t>’</w:t>
      </w:r>
      <w:r w:rsidRPr="003550F0">
        <w:rPr>
          <w:rFonts w:ascii="Arial" w:hAnsi="Arial" w:cs="Arial"/>
          <w:sz w:val="20"/>
          <w:szCs w:val="20"/>
        </w:rPr>
        <w:t xml:space="preserve">s annual income is between </w:t>
      </w:r>
      <w:r w:rsidR="001C6BD9">
        <w:rPr>
          <w:rFonts w:ascii="Arial" w:hAnsi="Arial" w:cs="Arial"/>
          <w:sz w:val="20"/>
          <w:szCs w:val="20"/>
        </w:rPr>
        <w:t>Tk</w:t>
      </w:r>
      <w:r w:rsidR="00651E90">
        <w:rPr>
          <w:rFonts w:ascii="Arial" w:hAnsi="Arial" w:cs="Arial"/>
          <w:sz w:val="20"/>
          <w:szCs w:val="20"/>
        </w:rPr>
        <w:t xml:space="preserve"> </w:t>
      </w:r>
      <w:r w:rsidRPr="003550F0">
        <w:rPr>
          <w:rFonts w:ascii="Arial" w:hAnsi="Arial" w:cs="Arial"/>
          <w:sz w:val="20"/>
          <w:szCs w:val="20"/>
        </w:rPr>
        <w:t>7</w:t>
      </w:r>
      <w:r w:rsidR="00651E90">
        <w:rPr>
          <w:rFonts w:ascii="Arial" w:hAnsi="Arial" w:cs="Arial"/>
          <w:sz w:val="20"/>
          <w:szCs w:val="20"/>
        </w:rPr>
        <w:t xml:space="preserve"> and </w:t>
      </w:r>
      <w:r w:rsidRPr="003550F0">
        <w:rPr>
          <w:rFonts w:ascii="Arial" w:hAnsi="Arial" w:cs="Arial"/>
          <w:sz w:val="20"/>
          <w:szCs w:val="20"/>
        </w:rPr>
        <w:t xml:space="preserve">8 </w:t>
      </w:r>
      <w:r w:rsidR="00651E90" w:rsidRPr="003550F0">
        <w:rPr>
          <w:rFonts w:ascii="Arial" w:hAnsi="Arial" w:cs="Arial"/>
          <w:sz w:val="20"/>
          <w:szCs w:val="20"/>
        </w:rPr>
        <w:t>lakhs</w:t>
      </w:r>
      <w:r w:rsidRPr="003550F0">
        <w:rPr>
          <w:rFonts w:ascii="Arial" w:hAnsi="Arial" w:cs="Arial"/>
          <w:sz w:val="20"/>
          <w:szCs w:val="20"/>
        </w:rPr>
        <w:t xml:space="preserve">. Oni completed her bachelor’s and master’s degrees from a renowned public university in Sylhet, Bangladesh. She now aspires to go abroad for higher studies and is preparing for the IELTS exam. She will take her exam within the next one or two months. Unlike many others, she does not have a private tutor or coaching facility for </w:t>
      </w:r>
      <w:r w:rsidR="00926B28" w:rsidRPr="003550F0">
        <w:rPr>
          <w:rFonts w:ascii="Arial" w:hAnsi="Arial" w:cs="Arial"/>
          <w:sz w:val="20"/>
          <w:szCs w:val="20"/>
        </w:rPr>
        <w:t>preparation</w:t>
      </w:r>
      <w:r w:rsidRPr="003550F0">
        <w:rPr>
          <w:rFonts w:ascii="Arial" w:hAnsi="Arial" w:cs="Arial"/>
          <w:sz w:val="20"/>
          <w:szCs w:val="20"/>
        </w:rPr>
        <w:t xml:space="preserve">. Instead, she relies on online resources to study and solve problems. She always considers her target band score 7.5 as she prepares. She mentioned that she spent around 1000 taka to buy </w:t>
      </w:r>
      <w:r w:rsidR="00247303">
        <w:rPr>
          <w:rFonts w:ascii="Arial" w:hAnsi="Arial" w:cs="Arial"/>
          <w:sz w:val="20"/>
          <w:szCs w:val="20"/>
        </w:rPr>
        <w:t xml:space="preserve">the </w:t>
      </w:r>
      <w:r w:rsidRPr="003550F0">
        <w:rPr>
          <w:rFonts w:ascii="Arial" w:hAnsi="Arial" w:cs="Arial"/>
          <w:sz w:val="20"/>
          <w:szCs w:val="20"/>
        </w:rPr>
        <w:t xml:space="preserve">IELTS resources and purchased with her earnings from private tutoring. Her top priority is to study in the United States, with Canada as her second preference. However, she does not have the financial means to fund her studies abroad and hopes to secure a scholarship to go. Despite her determination, her family does not support her in going abroad. She is preparing independently because she believes there are limited opportunities for career advancement in Bangladesh. </w:t>
      </w:r>
    </w:p>
    <w:p w14:paraId="19CD477D" w14:textId="648DD318"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02 Salam</w:t>
      </w:r>
    </w:p>
    <w:p w14:paraId="3BACF532" w14:textId="5C548CCD" w:rsidR="006F306E"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Salam, a 21-year-old, has his permanent address in </w:t>
      </w:r>
      <w:proofErr w:type="spellStart"/>
      <w:r w:rsidRPr="003550F0">
        <w:rPr>
          <w:rFonts w:ascii="Arial" w:hAnsi="Arial" w:cs="Arial"/>
          <w:sz w:val="20"/>
          <w:szCs w:val="20"/>
        </w:rPr>
        <w:t>Lamabazar</w:t>
      </w:r>
      <w:proofErr w:type="spellEnd"/>
      <w:r w:rsidRPr="003550F0">
        <w:rPr>
          <w:rFonts w:ascii="Arial" w:hAnsi="Arial" w:cs="Arial"/>
          <w:sz w:val="20"/>
          <w:szCs w:val="20"/>
        </w:rPr>
        <w:t xml:space="preserve">, Sylhet, but he is currently living in </w:t>
      </w:r>
      <w:proofErr w:type="spellStart"/>
      <w:r w:rsidRPr="003550F0">
        <w:rPr>
          <w:rFonts w:ascii="Arial" w:hAnsi="Arial" w:cs="Arial"/>
          <w:sz w:val="20"/>
          <w:szCs w:val="20"/>
        </w:rPr>
        <w:t>Shahporan</w:t>
      </w:r>
      <w:proofErr w:type="spellEnd"/>
      <w:r w:rsidRPr="003550F0">
        <w:rPr>
          <w:rFonts w:ascii="Arial" w:hAnsi="Arial" w:cs="Arial"/>
          <w:sz w:val="20"/>
          <w:szCs w:val="20"/>
        </w:rPr>
        <w:t xml:space="preserve">, Sylhet. He is the youngest of three children in his family. His mother, a government employee, is the sole earner in the household, with a total income of around </w:t>
      </w:r>
      <w:r w:rsidR="001C6BD9">
        <w:rPr>
          <w:rFonts w:ascii="Arial" w:hAnsi="Arial" w:cs="Arial"/>
          <w:sz w:val="20"/>
          <w:szCs w:val="20"/>
        </w:rPr>
        <w:t>Tk</w:t>
      </w:r>
      <w:r w:rsidRPr="003550F0">
        <w:rPr>
          <w:rFonts w:ascii="Arial" w:hAnsi="Arial" w:cs="Arial"/>
          <w:sz w:val="20"/>
          <w:szCs w:val="20"/>
        </w:rPr>
        <w:t xml:space="preserve"> </w:t>
      </w:r>
      <w:r w:rsidR="00427FFD" w:rsidRPr="003550F0">
        <w:rPr>
          <w:rFonts w:ascii="Arial" w:hAnsi="Arial" w:cs="Arial"/>
          <w:sz w:val="20"/>
          <w:szCs w:val="20"/>
        </w:rPr>
        <w:t>250,000</w:t>
      </w:r>
      <w:r w:rsidRPr="003550F0">
        <w:rPr>
          <w:rFonts w:ascii="Arial" w:hAnsi="Arial" w:cs="Arial"/>
          <w:sz w:val="20"/>
          <w:szCs w:val="20"/>
        </w:rPr>
        <w:t xml:space="preserve">. Salam is in the first year of his undergraduate program at a National University in Sylhet, Bangladesh. He aspires to go to Denmark to pursue his </w:t>
      </w:r>
      <w:r w:rsidR="00651E90">
        <w:rPr>
          <w:rFonts w:ascii="Arial" w:hAnsi="Arial" w:cs="Arial"/>
          <w:sz w:val="20"/>
          <w:szCs w:val="20"/>
        </w:rPr>
        <w:t>u</w:t>
      </w:r>
      <w:r w:rsidRPr="003550F0">
        <w:rPr>
          <w:rFonts w:ascii="Arial" w:hAnsi="Arial" w:cs="Arial"/>
          <w:sz w:val="20"/>
          <w:szCs w:val="20"/>
        </w:rPr>
        <w:t xml:space="preserve">ndergraduate studies and plans to enroll in the fall session 2025. He is the first generation in his family to go abroad. Salam stated that he had been preparing for the IELTS exam </w:t>
      </w:r>
      <w:r w:rsidR="00651E90">
        <w:rPr>
          <w:rFonts w:ascii="Arial" w:hAnsi="Arial" w:cs="Arial"/>
          <w:sz w:val="20"/>
          <w:szCs w:val="20"/>
        </w:rPr>
        <w:t>for</w:t>
      </w:r>
      <w:r w:rsidRPr="003550F0">
        <w:rPr>
          <w:rFonts w:ascii="Arial" w:hAnsi="Arial" w:cs="Arial"/>
          <w:sz w:val="20"/>
          <w:szCs w:val="20"/>
        </w:rPr>
        <w:t xml:space="preserve"> the last </w:t>
      </w:r>
      <w:r w:rsidR="00651E90">
        <w:rPr>
          <w:rFonts w:ascii="Arial" w:hAnsi="Arial" w:cs="Arial"/>
          <w:sz w:val="20"/>
          <w:szCs w:val="20"/>
        </w:rPr>
        <w:t>s</w:t>
      </w:r>
      <w:r w:rsidRPr="003550F0">
        <w:rPr>
          <w:rFonts w:ascii="Arial" w:hAnsi="Arial" w:cs="Arial"/>
          <w:sz w:val="20"/>
          <w:szCs w:val="20"/>
        </w:rPr>
        <w:t>even months and plans to</w:t>
      </w:r>
      <w:r w:rsidR="00967A55" w:rsidRPr="003550F0">
        <w:rPr>
          <w:rFonts w:ascii="Arial" w:hAnsi="Arial" w:cs="Arial"/>
          <w:sz w:val="20"/>
          <w:szCs w:val="20"/>
        </w:rPr>
        <w:t xml:space="preserve"> </w:t>
      </w:r>
      <w:r w:rsidRPr="003550F0">
        <w:rPr>
          <w:rFonts w:ascii="Arial" w:hAnsi="Arial" w:cs="Arial"/>
          <w:sz w:val="20"/>
          <w:szCs w:val="20"/>
        </w:rPr>
        <w:t xml:space="preserve">take the test in two months. To help with his preparation, he is attending a coaching center, which costs around </w:t>
      </w:r>
      <w:r w:rsidR="001C6BD9">
        <w:rPr>
          <w:rFonts w:ascii="Arial" w:hAnsi="Arial" w:cs="Arial"/>
          <w:sz w:val="20"/>
          <w:szCs w:val="20"/>
        </w:rPr>
        <w:t>Tk</w:t>
      </w:r>
      <w:r w:rsidRPr="003550F0">
        <w:rPr>
          <w:rFonts w:ascii="Arial" w:hAnsi="Arial" w:cs="Arial"/>
          <w:sz w:val="20"/>
          <w:szCs w:val="20"/>
        </w:rPr>
        <w:t xml:space="preserve"> 9,000. Due to financial constraints, he paid this fee in two installments</w:t>
      </w:r>
      <w:r w:rsidR="003B5F92" w:rsidRPr="003550F0">
        <w:rPr>
          <w:rFonts w:ascii="Arial" w:hAnsi="Arial" w:cs="Arial"/>
          <w:sz w:val="20"/>
          <w:szCs w:val="20"/>
        </w:rPr>
        <w:t>. His</w:t>
      </w:r>
      <w:r w:rsidRPr="003550F0">
        <w:rPr>
          <w:rFonts w:ascii="Arial" w:hAnsi="Arial" w:cs="Arial"/>
          <w:sz w:val="20"/>
          <w:szCs w:val="20"/>
        </w:rPr>
        <w:t xml:space="preserve"> preparation is good, but he feels the writing section is difficult, so now he is focusing on his writing. </w:t>
      </w:r>
      <w:r w:rsidR="00701C1B" w:rsidRPr="00701C1B">
        <w:rPr>
          <w:rFonts w:ascii="Arial" w:hAnsi="Arial" w:cs="Arial"/>
          <w:sz w:val="20"/>
          <w:szCs w:val="20"/>
        </w:rPr>
        <w:t>He added that because Bangladeshi people, including himself, were not accustomed to using English, it took him longer to improve his proficiency in the language.</w:t>
      </w:r>
      <w:r w:rsidRPr="003550F0">
        <w:rPr>
          <w:rFonts w:ascii="Arial" w:hAnsi="Arial" w:cs="Arial"/>
          <w:sz w:val="20"/>
          <w:szCs w:val="20"/>
        </w:rPr>
        <w:t xml:space="preserve"> His </w:t>
      </w:r>
      <w:r w:rsidR="00427FFD" w:rsidRPr="003550F0">
        <w:rPr>
          <w:rFonts w:ascii="Arial" w:hAnsi="Arial" w:cs="Arial"/>
          <w:sz w:val="20"/>
          <w:szCs w:val="20"/>
        </w:rPr>
        <w:t>target</w:t>
      </w:r>
      <w:r w:rsidRPr="003550F0">
        <w:rPr>
          <w:rFonts w:ascii="Arial" w:hAnsi="Arial" w:cs="Arial"/>
          <w:sz w:val="20"/>
          <w:szCs w:val="20"/>
        </w:rPr>
        <w:t xml:space="preserve"> score is 6.5 or higher. Salam’s motivations for studying abroad include higher education opportunities, the prospect of permanent residency, better income, and an improved standard of living. For his studies, his estimated budget is around </w:t>
      </w:r>
      <w:r w:rsidR="001C6BD9">
        <w:rPr>
          <w:rFonts w:ascii="Arial" w:hAnsi="Arial" w:cs="Arial"/>
          <w:sz w:val="20"/>
          <w:szCs w:val="20"/>
        </w:rPr>
        <w:t>Tk</w:t>
      </w:r>
      <w:r w:rsidRPr="003550F0">
        <w:rPr>
          <w:rFonts w:ascii="Arial" w:hAnsi="Arial" w:cs="Arial"/>
          <w:sz w:val="20"/>
          <w:szCs w:val="20"/>
        </w:rPr>
        <w:t xml:space="preserve"> 15,00,000. However, he is facing challenges in arranging this amount</w:t>
      </w:r>
      <w:r w:rsidR="00701C1B">
        <w:rPr>
          <w:rFonts w:ascii="Arial" w:hAnsi="Arial" w:cs="Arial"/>
          <w:sz w:val="20"/>
          <w:szCs w:val="20"/>
        </w:rPr>
        <w:t>.</w:t>
      </w:r>
      <w:r w:rsidRPr="003550F0">
        <w:rPr>
          <w:rFonts w:ascii="Arial" w:hAnsi="Arial" w:cs="Arial"/>
          <w:sz w:val="20"/>
          <w:szCs w:val="20"/>
        </w:rPr>
        <w:t xml:space="preserve"> His family will contribute a portion of the funds, while the rest</w:t>
      </w:r>
      <w:r w:rsidR="00701C1B">
        <w:rPr>
          <w:rFonts w:ascii="Arial" w:hAnsi="Arial" w:cs="Arial"/>
          <w:sz w:val="20"/>
          <w:szCs w:val="20"/>
        </w:rPr>
        <w:t xml:space="preserve"> of the money</w:t>
      </w:r>
      <w:r w:rsidRPr="003550F0">
        <w:rPr>
          <w:rFonts w:ascii="Arial" w:hAnsi="Arial" w:cs="Arial"/>
          <w:sz w:val="20"/>
          <w:szCs w:val="20"/>
        </w:rPr>
        <w:t xml:space="preserve"> will </w:t>
      </w:r>
      <w:r w:rsidR="00701C1B" w:rsidRPr="003550F0">
        <w:rPr>
          <w:rFonts w:ascii="Arial" w:hAnsi="Arial" w:cs="Arial"/>
          <w:sz w:val="20"/>
          <w:szCs w:val="20"/>
        </w:rPr>
        <w:t>be borrowed</w:t>
      </w:r>
      <w:r w:rsidRPr="003550F0">
        <w:rPr>
          <w:rFonts w:ascii="Arial" w:hAnsi="Arial" w:cs="Arial"/>
          <w:sz w:val="20"/>
          <w:szCs w:val="20"/>
        </w:rPr>
        <w:t xml:space="preserve"> from relatives, particularly his aunts. To manage the financial difficulties, </w:t>
      </w:r>
      <w:r w:rsidR="003B5F92" w:rsidRPr="003550F0">
        <w:rPr>
          <w:rFonts w:ascii="Arial" w:hAnsi="Arial" w:cs="Arial"/>
          <w:sz w:val="20"/>
          <w:szCs w:val="20"/>
        </w:rPr>
        <w:t>Salam plans</w:t>
      </w:r>
      <w:r w:rsidRPr="003550F0">
        <w:rPr>
          <w:rFonts w:ascii="Arial" w:hAnsi="Arial" w:cs="Arial"/>
          <w:sz w:val="20"/>
          <w:szCs w:val="20"/>
        </w:rPr>
        <w:t xml:space="preserve"> to borrow</w:t>
      </w:r>
      <w:r w:rsidR="005067A6" w:rsidRPr="003550F0">
        <w:rPr>
          <w:rFonts w:ascii="Arial" w:hAnsi="Arial" w:cs="Arial"/>
          <w:sz w:val="20"/>
          <w:szCs w:val="20"/>
        </w:rPr>
        <w:t xml:space="preserve"> </w:t>
      </w:r>
      <w:r w:rsidRPr="003550F0">
        <w:rPr>
          <w:rFonts w:ascii="Arial" w:hAnsi="Arial" w:cs="Arial"/>
          <w:sz w:val="20"/>
          <w:szCs w:val="20"/>
        </w:rPr>
        <w:t xml:space="preserve">money on the condition that he will repay </w:t>
      </w:r>
      <w:r w:rsidR="00701C1B">
        <w:rPr>
          <w:rFonts w:ascii="Arial" w:hAnsi="Arial" w:cs="Arial"/>
          <w:sz w:val="20"/>
          <w:szCs w:val="20"/>
        </w:rPr>
        <w:t xml:space="preserve">it </w:t>
      </w:r>
      <w:r w:rsidRPr="003550F0">
        <w:rPr>
          <w:rFonts w:ascii="Arial" w:hAnsi="Arial" w:cs="Arial"/>
          <w:sz w:val="20"/>
          <w:szCs w:val="20"/>
        </w:rPr>
        <w:t>in installments in the future</w:t>
      </w:r>
      <w:r w:rsidR="00701C1B">
        <w:rPr>
          <w:rFonts w:ascii="Arial" w:hAnsi="Arial" w:cs="Arial"/>
          <w:sz w:val="20"/>
          <w:szCs w:val="20"/>
        </w:rPr>
        <w:t>.</w:t>
      </w:r>
      <w:r w:rsidRPr="003550F0">
        <w:rPr>
          <w:rFonts w:ascii="Arial" w:hAnsi="Arial" w:cs="Arial"/>
          <w:sz w:val="20"/>
          <w:szCs w:val="20"/>
        </w:rPr>
        <w:t xml:space="preserve"> He added that managing</w:t>
      </w:r>
      <w:r w:rsidR="005067A6" w:rsidRPr="003550F0">
        <w:rPr>
          <w:rFonts w:ascii="Arial" w:hAnsi="Arial" w:cs="Arial"/>
          <w:sz w:val="20"/>
          <w:szCs w:val="20"/>
        </w:rPr>
        <w:t xml:space="preserve"> </w:t>
      </w:r>
      <w:r w:rsidRPr="003550F0">
        <w:rPr>
          <w:rFonts w:ascii="Arial" w:hAnsi="Arial" w:cs="Arial"/>
          <w:sz w:val="20"/>
          <w:szCs w:val="20"/>
        </w:rPr>
        <w:t>the funds involves convincing his relatives of his immediate need for financial support.</w:t>
      </w:r>
    </w:p>
    <w:p w14:paraId="7C584A50" w14:textId="77777777" w:rsidR="006A178C" w:rsidRDefault="006A178C" w:rsidP="003550F0">
      <w:pPr>
        <w:spacing w:after="0" w:line="240" w:lineRule="auto"/>
        <w:jc w:val="both"/>
        <w:rPr>
          <w:rFonts w:ascii="Arial" w:hAnsi="Arial" w:cs="Arial"/>
          <w:sz w:val="20"/>
          <w:szCs w:val="20"/>
        </w:rPr>
      </w:pPr>
    </w:p>
    <w:p w14:paraId="14166379" w14:textId="77777777" w:rsidR="003550F0" w:rsidRPr="003550F0" w:rsidRDefault="003550F0" w:rsidP="003550F0">
      <w:pPr>
        <w:spacing w:after="0" w:line="240" w:lineRule="auto"/>
        <w:jc w:val="both"/>
        <w:rPr>
          <w:rFonts w:ascii="Arial" w:hAnsi="Arial" w:cs="Arial"/>
          <w:sz w:val="20"/>
          <w:szCs w:val="20"/>
        </w:rPr>
      </w:pPr>
    </w:p>
    <w:p w14:paraId="75474465" w14:textId="43C7AAF5"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03 Begum</w:t>
      </w:r>
    </w:p>
    <w:p w14:paraId="341D9E8A" w14:textId="0D92A160" w:rsidR="003550F0"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Begum, 27 years old, has </w:t>
      </w:r>
      <w:r w:rsidR="003A1CF9" w:rsidRPr="003550F0">
        <w:rPr>
          <w:rFonts w:ascii="Arial" w:hAnsi="Arial" w:cs="Arial"/>
          <w:sz w:val="20"/>
          <w:szCs w:val="20"/>
        </w:rPr>
        <w:t>a</w:t>
      </w:r>
      <w:r w:rsidRPr="003550F0">
        <w:rPr>
          <w:rFonts w:ascii="Arial" w:hAnsi="Arial" w:cs="Arial"/>
          <w:sz w:val="20"/>
          <w:szCs w:val="20"/>
        </w:rPr>
        <w:t xml:space="preserve"> permanent address in </w:t>
      </w:r>
      <w:proofErr w:type="spellStart"/>
      <w:r w:rsidRPr="003550F0">
        <w:rPr>
          <w:rFonts w:ascii="Arial" w:hAnsi="Arial" w:cs="Arial"/>
          <w:sz w:val="20"/>
          <w:szCs w:val="20"/>
        </w:rPr>
        <w:t>Chatak</w:t>
      </w:r>
      <w:proofErr w:type="spellEnd"/>
      <w:r w:rsidRPr="003550F0">
        <w:rPr>
          <w:rFonts w:ascii="Arial" w:hAnsi="Arial" w:cs="Arial"/>
          <w:sz w:val="20"/>
          <w:szCs w:val="20"/>
        </w:rPr>
        <w:t xml:space="preserve">, Sunamganj, but she </w:t>
      </w:r>
      <w:r w:rsidR="003A1CF9" w:rsidRPr="003550F0">
        <w:rPr>
          <w:rFonts w:ascii="Arial" w:hAnsi="Arial" w:cs="Arial"/>
          <w:sz w:val="20"/>
          <w:szCs w:val="20"/>
        </w:rPr>
        <w:t>lives</w:t>
      </w:r>
      <w:r w:rsidRPr="003550F0">
        <w:rPr>
          <w:rFonts w:ascii="Arial" w:hAnsi="Arial" w:cs="Arial"/>
          <w:sz w:val="20"/>
          <w:szCs w:val="20"/>
        </w:rPr>
        <w:t xml:space="preserve"> in</w:t>
      </w:r>
      <w:r w:rsidR="005067A6" w:rsidRPr="003550F0">
        <w:rPr>
          <w:rFonts w:ascii="Arial" w:hAnsi="Arial" w:cs="Arial"/>
          <w:sz w:val="20"/>
          <w:szCs w:val="20"/>
        </w:rPr>
        <w:t xml:space="preserve"> </w:t>
      </w:r>
      <w:r w:rsidRPr="003550F0">
        <w:rPr>
          <w:rFonts w:ascii="Arial" w:hAnsi="Arial" w:cs="Arial"/>
          <w:sz w:val="20"/>
          <w:szCs w:val="20"/>
        </w:rPr>
        <w:t>Modina Market, Sylhet. She is the seventh of eight children in her family. There are four earners</w:t>
      </w:r>
      <w:r w:rsidR="005067A6" w:rsidRPr="003550F0">
        <w:rPr>
          <w:rFonts w:ascii="Arial" w:hAnsi="Arial" w:cs="Arial"/>
          <w:sz w:val="20"/>
          <w:szCs w:val="20"/>
        </w:rPr>
        <w:t xml:space="preserve"> </w:t>
      </w:r>
      <w:r w:rsidRPr="003550F0">
        <w:rPr>
          <w:rFonts w:ascii="Arial" w:hAnsi="Arial" w:cs="Arial"/>
          <w:sz w:val="20"/>
          <w:szCs w:val="20"/>
        </w:rPr>
        <w:t>in her family. She is a private job holder and earns Tk 25,000 per month. Two of her elder</w:t>
      </w:r>
      <w:r w:rsidR="005067A6" w:rsidRPr="003550F0">
        <w:rPr>
          <w:rFonts w:ascii="Arial" w:hAnsi="Arial" w:cs="Arial"/>
          <w:sz w:val="20"/>
          <w:szCs w:val="20"/>
        </w:rPr>
        <w:t xml:space="preserve"> </w:t>
      </w:r>
      <w:r w:rsidRPr="003550F0">
        <w:rPr>
          <w:rFonts w:ascii="Arial" w:hAnsi="Arial" w:cs="Arial"/>
          <w:sz w:val="20"/>
          <w:szCs w:val="20"/>
        </w:rPr>
        <w:t>brothers live overseas—one in London, UK, and the other in France. Also, the elder sister is a</w:t>
      </w:r>
      <w:r w:rsidR="005067A6" w:rsidRPr="003550F0">
        <w:rPr>
          <w:rFonts w:ascii="Arial" w:hAnsi="Arial" w:cs="Arial"/>
          <w:sz w:val="20"/>
          <w:szCs w:val="20"/>
        </w:rPr>
        <w:t xml:space="preserve"> </w:t>
      </w:r>
      <w:r w:rsidR="00D20864">
        <w:rPr>
          <w:rFonts w:ascii="Arial" w:hAnsi="Arial" w:cs="Arial"/>
          <w:sz w:val="20"/>
          <w:szCs w:val="20"/>
        </w:rPr>
        <w:t>g</w:t>
      </w:r>
      <w:r w:rsidRPr="003550F0">
        <w:rPr>
          <w:rFonts w:ascii="Arial" w:hAnsi="Arial" w:cs="Arial"/>
          <w:sz w:val="20"/>
          <w:szCs w:val="20"/>
        </w:rPr>
        <w:t xml:space="preserve">ovt. employee. The annual income of their family is approximately </w:t>
      </w:r>
      <w:r w:rsidR="001C6BD9">
        <w:rPr>
          <w:rFonts w:ascii="Arial" w:hAnsi="Arial" w:cs="Arial"/>
          <w:sz w:val="20"/>
          <w:szCs w:val="20"/>
        </w:rPr>
        <w:t>Tk</w:t>
      </w:r>
      <w:r w:rsidRPr="003550F0">
        <w:rPr>
          <w:rFonts w:ascii="Arial" w:hAnsi="Arial" w:cs="Arial"/>
          <w:sz w:val="20"/>
          <w:szCs w:val="20"/>
        </w:rPr>
        <w:t xml:space="preserve"> 9,00,000. Three years</w:t>
      </w:r>
      <w:r w:rsidR="005067A6" w:rsidRPr="003550F0">
        <w:rPr>
          <w:rFonts w:ascii="Arial" w:hAnsi="Arial" w:cs="Arial"/>
          <w:sz w:val="20"/>
          <w:szCs w:val="20"/>
        </w:rPr>
        <w:t xml:space="preserve"> </w:t>
      </w:r>
      <w:r w:rsidRPr="003550F0">
        <w:rPr>
          <w:rFonts w:ascii="Arial" w:hAnsi="Arial" w:cs="Arial"/>
          <w:sz w:val="20"/>
          <w:szCs w:val="20"/>
        </w:rPr>
        <w:t>ago, she graduated from a public institution with a master</w:t>
      </w:r>
      <w:r w:rsidR="003B5F92" w:rsidRPr="003550F0">
        <w:rPr>
          <w:rFonts w:ascii="Arial" w:hAnsi="Arial" w:cs="Arial"/>
          <w:sz w:val="20"/>
          <w:szCs w:val="20"/>
        </w:rPr>
        <w:t>’</w:t>
      </w:r>
      <w:r w:rsidRPr="003550F0">
        <w:rPr>
          <w:rFonts w:ascii="Arial" w:hAnsi="Arial" w:cs="Arial"/>
          <w:sz w:val="20"/>
          <w:szCs w:val="20"/>
        </w:rPr>
        <w:t>s degree. She could not find a good job</w:t>
      </w:r>
      <w:r w:rsidR="005067A6" w:rsidRPr="003550F0">
        <w:rPr>
          <w:rFonts w:ascii="Arial" w:hAnsi="Arial" w:cs="Arial"/>
          <w:sz w:val="20"/>
          <w:szCs w:val="20"/>
        </w:rPr>
        <w:t xml:space="preserve"> </w:t>
      </w:r>
      <w:r w:rsidRPr="003550F0">
        <w:rPr>
          <w:rFonts w:ascii="Arial" w:hAnsi="Arial" w:cs="Arial"/>
          <w:sz w:val="20"/>
          <w:szCs w:val="20"/>
        </w:rPr>
        <w:t>based on her educational qualifications in the country, so she decided to pursue a Ph.D. abroad.</w:t>
      </w:r>
      <w:r w:rsidR="005067A6" w:rsidRPr="003550F0">
        <w:rPr>
          <w:rFonts w:ascii="Arial" w:hAnsi="Arial" w:cs="Arial"/>
          <w:sz w:val="20"/>
          <w:szCs w:val="20"/>
        </w:rPr>
        <w:t xml:space="preserve"> </w:t>
      </w:r>
      <w:r w:rsidRPr="003550F0">
        <w:rPr>
          <w:rFonts w:ascii="Arial" w:hAnsi="Arial" w:cs="Arial"/>
          <w:sz w:val="20"/>
          <w:szCs w:val="20"/>
        </w:rPr>
        <w:t>She was encouraged to make this choice by her instructors, friends, and family. Initially, she did</w:t>
      </w:r>
      <w:r w:rsidR="005067A6" w:rsidRPr="003550F0">
        <w:rPr>
          <w:rFonts w:ascii="Arial" w:hAnsi="Arial" w:cs="Arial"/>
          <w:sz w:val="20"/>
          <w:szCs w:val="20"/>
        </w:rPr>
        <w:t xml:space="preserve"> </w:t>
      </w:r>
      <w:r w:rsidRPr="003550F0">
        <w:rPr>
          <w:rFonts w:ascii="Arial" w:hAnsi="Arial" w:cs="Arial"/>
          <w:sz w:val="20"/>
          <w:szCs w:val="20"/>
        </w:rPr>
        <w:t xml:space="preserve">not intend to leave the </w:t>
      </w:r>
      <w:r w:rsidR="003A1CF9" w:rsidRPr="003550F0">
        <w:rPr>
          <w:rFonts w:ascii="Arial" w:hAnsi="Arial" w:cs="Arial"/>
          <w:sz w:val="20"/>
          <w:szCs w:val="20"/>
        </w:rPr>
        <w:t>country,</w:t>
      </w:r>
      <w:r w:rsidRPr="003550F0">
        <w:rPr>
          <w:rFonts w:ascii="Arial" w:hAnsi="Arial" w:cs="Arial"/>
          <w:sz w:val="20"/>
          <w:szCs w:val="20"/>
        </w:rPr>
        <w:t xml:space="preserve"> but certain factors</w:t>
      </w:r>
      <w:r w:rsidR="00D20864">
        <w:rPr>
          <w:rFonts w:ascii="Arial" w:hAnsi="Arial" w:cs="Arial"/>
          <w:sz w:val="20"/>
          <w:szCs w:val="20"/>
        </w:rPr>
        <w:t>,</w:t>
      </w:r>
      <w:r w:rsidRPr="003550F0">
        <w:rPr>
          <w:rFonts w:ascii="Arial" w:hAnsi="Arial" w:cs="Arial"/>
          <w:sz w:val="20"/>
          <w:szCs w:val="20"/>
        </w:rPr>
        <w:t xml:space="preserve"> such as low income, political instability, and</w:t>
      </w:r>
      <w:r w:rsidR="005067A6" w:rsidRPr="003550F0">
        <w:rPr>
          <w:rFonts w:ascii="Arial" w:hAnsi="Arial" w:cs="Arial"/>
          <w:sz w:val="20"/>
          <w:szCs w:val="20"/>
        </w:rPr>
        <w:t xml:space="preserve"> </w:t>
      </w:r>
      <w:r w:rsidRPr="003550F0">
        <w:rPr>
          <w:rFonts w:ascii="Arial" w:hAnsi="Arial" w:cs="Arial"/>
          <w:sz w:val="20"/>
          <w:szCs w:val="20"/>
        </w:rPr>
        <w:t>lack of security</w:t>
      </w:r>
      <w:r w:rsidR="00D20864">
        <w:rPr>
          <w:rFonts w:ascii="Arial" w:hAnsi="Arial" w:cs="Arial"/>
          <w:sz w:val="20"/>
          <w:szCs w:val="20"/>
        </w:rPr>
        <w:t>,</w:t>
      </w:r>
      <w:r w:rsidRPr="003550F0">
        <w:rPr>
          <w:rFonts w:ascii="Arial" w:hAnsi="Arial" w:cs="Arial"/>
          <w:sz w:val="20"/>
          <w:szCs w:val="20"/>
        </w:rPr>
        <w:t xml:space="preserve"> convinced her to seek better opportunities and a higher standard of living</w:t>
      </w:r>
      <w:r w:rsidR="005067A6" w:rsidRPr="003550F0">
        <w:rPr>
          <w:rFonts w:ascii="Arial" w:hAnsi="Arial" w:cs="Arial"/>
          <w:sz w:val="20"/>
          <w:szCs w:val="20"/>
        </w:rPr>
        <w:t xml:space="preserve"> </w:t>
      </w:r>
      <w:r w:rsidRPr="003550F0">
        <w:rPr>
          <w:rFonts w:ascii="Arial" w:hAnsi="Arial" w:cs="Arial"/>
          <w:sz w:val="20"/>
          <w:szCs w:val="20"/>
        </w:rPr>
        <w:t>overseas. To meet the requirements set by her prospective professors, Begum is preparing for the</w:t>
      </w:r>
      <w:r w:rsidR="005067A6" w:rsidRPr="003550F0">
        <w:rPr>
          <w:rFonts w:ascii="Arial" w:hAnsi="Arial" w:cs="Arial"/>
          <w:sz w:val="20"/>
          <w:szCs w:val="20"/>
        </w:rPr>
        <w:t xml:space="preserve"> </w:t>
      </w:r>
      <w:r w:rsidRPr="003550F0">
        <w:rPr>
          <w:rFonts w:ascii="Arial" w:hAnsi="Arial" w:cs="Arial"/>
          <w:sz w:val="20"/>
          <w:szCs w:val="20"/>
        </w:rPr>
        <w:t>IELTS exam. She first took the IELTS in January but was dissatisfied with her overall score of</w:t>
      </w:r>
      <w:r w:rsidR="005067A6" w:rsidRPr="003550F0">
        <w:rPr>
          <w:rFonts w:ascii="Arial" w:hAnsi="Arial" w:cs="Arial"/>
          <w:sz w:val="20"/>
          <w:szCs w:val="20"/>
        </w:rPr>
        <w:t xml:space="preserve"> </w:t>
      </w:r>
      <w:r w:rsidRPr="003550F0">
        <w:rPr>
          <w:rFonts w:ascii="Arial" w:hAnsi="Arial" w:cs="Arial"/>
          <w:sz w:val="20"/>
          <w:szCs w:val="20"/>
        </w:rPr>
        <w:t>6.5, as she scored only 5.5 in the speaking section. This result did not meet her professor’s</w:t>
      </w:r>
      <w:r w:rsidR="005067A6" w:rsidRPr="003550F0">
        <w:rPr>
          <w:rFonts w:ascii="Arial" w:hAnsi="Arial" w:cs="Arial"/>
          <w:sz w:val="20"/>
          <w:szCs w:val="20"/>
        </w:rPr>
        <w:t xml:space="preserve"> </w:t>
      </w:r>
      <w:r w:rsidRPr="003550F0">
        <w:rPr>
          <w:rFonts w:ascii="Arial" w:hAnsi="Arial" w:cs="Arial"/>
          <w:sz w:val="20"/>
          <w:szCs w:val="20"/>
        </w:rPr>
        <w:t>requirements, prompting her to retake the test soon. Begum mentioned that the exam fee for her</w:t>
      </w:r>
      <w:r w:rsidR="005067A6" w:rsidRPr="003550F0">
        <w:rPr>
          <w:rFonts w:ascii="Arial" w:hAnsi="Arial" w:cs="Arial"/>
          <w:sz w:val="20"/>
          <w:szCs w:val="20"/>
        </w:rPr>
        <w:t xml:space="preserve"> </w:t>
      </w:r>
      <w:r w:rsidRPr="003550F0">
        <w:rPr>
          <w:rFonts w:ascii="Arial" w:hAnsi="Arial" w:cs="Arial"/>
          <w:sz w:val="20"/>
          <w:szCs w:val="20"/>
        </w:rPr>
        <w:t>first</w:t>
      </w:r>
      <w:r w:rsidR="00247303">
        <w:rPr>
          <w:rFonts w:ascii="Arial" w:hAnsi="Arial" w:cs="Arial"/>
          <w:sz w:val="20"/>
          <w:szCs w:val="20"/>
        </w:rPr>
        <w:t xml:space="preserve"> </w:t>
      </w:r>
      <w:r w:rsidR="00427FFD">
        <w:rPr>
          <w:rFonts w:ascii="Arial" w:hAnsi="Arial" w:cs="Arial"/>
          <w:sz w:val="20"/>
          <w:szCs w:val="20"/>
        </w:rPr>
        <w:t>IELTS</w:t>
      </w:r>
      <w:r w:rsidRPr="003550F0">
        <w:rPr>
          <w:rFonts w:ascii="Arial" w:hAnsi="Arial" w:cs="Arial"/>
          <w:sz w:val="20"/>
          <w:szCs w:val="20"/>
        </w:rPr>
        <w:t xml:space="preserve"> attempt was </w:t>
      </w:r>
      <w:r w:rsidR="001C6BD9">
        <w:rPr>
          <w:rFonts w:ascii="Arial" w:hAnsi="Arial" w:cs="Arial"/>
          <w:sz w:val="20"/>
          <w:szCs w:val="20"/>
        </w:rPr>
        <w:t>Tk</w:t>
      </w:r>
      <w:r w:rsidRPr="003550F0">
        <w:rPr>
          <w:rFonts w:ascii="Arial" w:hAnsi="Arial" w:cs="Arial"/>
          <w:sz w:val="20"/>
          <w:szCs w:val="20"/>
        </w:rPr>
        <w:t xml:space="preserve"> 20,250. She also attended coaching to prepare for the exam, which</w:t>
      </w:r>
      <w:r w:rsidR="005067A6" w:rsidRPr="003550F0">
        <w:rPr>
          <w:rFonts w:ascii="Arial" w:hAnsi="Arial" w:cs="Arial"/>
          <w:sz w:val="20"/>
          <w:szCs w:val="20"/>
        </w:rPr>
        <w:t xml:space="preserve"> </w:t>
      </w:r>
      <w:r w:rsidRPr="003550F0">
        <w:rPr>
          <w:rFonts w:ascii="Arial" w:hAnsi="Arial" w:cs="Arial"/>
          <w:sz w:val="20"/>
          <w:szCs w:val="20"/>
        </w:rPr>
        <w:t xml:space="preserve">cost </w:t>
      </w:r>
      <w:r w:rsidR="001C6BD9">
        <w:rPr>
          <w:rFonts w:ascii="Arial" w:hAnsi="Arial" w:cs="Arial"/>
          <w:sz w:val="20"/>
          <w:szCs w:val="20"/>
        </w:rPr>
        <w:t>Tk</w:t>
      </w:r>
      <w:r w:rsidRPr="003550F0">
        <w:rPr>
          <w:rFonts w:ascii="Arial" w:hAnsi="Arial" w:cs="Arial"/>
          <w:sz w:val="20"/>
          <w:szCs w:val="20"/>
        </w:rPr>
        <w:t xml:space="preserve"> 7,000. Additionally, her daily commuting expenses to the coaching center ranged from</w:t>
      </w:r>
      <w:r w:rsidR="005067A6" w:rsidRPr="003550F0">
        <w:rPr>
          <w:rFonts w:ascii="Arial" w:hAnsi="Arial" w:cs="Arial"/>
          <w:sz w:val="20"/>
          <w:szCs w:val="20"/>
        </w:rPr>
        <w:t xml:space="preserve"> </w:t>
      </w:r>
      <w:r w:rsidR="001C6BD9">
        <w:rPr>
          <w:rFonts w:ascii="Arial" w:hAnsi="Arial" w:cs="Arial"/>
          <w:sz w:val="20"/>
          <w:szCs w:val="20"/>
        </w:rPr>
        <w:t>Tk</w:t>
      </w:r>
      <w:r w:rsidRPr="003550F0">
        <w:rPr>
          <w:rFonts w:ascii="Arial" w:hAnsi="Arial" w:cs="Arial"/>
          <w:sz w:val="20"/>
          <w:szCs w:val="20"/>
        </w:rPr>
        <w:t xml:space="preserve"> 50-60. She covered these expenses without difficulty, as her monthly salary is sufficient to</w:t>
      </w:r>
      <w:r w:rsidR="00967A55" w:rsidRPr="003550F0">
        <w:rPr>
          <w:rFonts w:ascii="Arial" w:hAnsi="Arial" w:cs="Arial"/>
          <w:sz w:val="20"/>
          <w:szCs w:val="20"/>
        </w:rPr>
        <w:t xml:space="preserve"> </w:t>
      </w:r>
      <w:r w:rsidRPr="003550F0">
        <w:rPr>
          <w:rFonts w:ascii="Arial" w:hAnsi="Arial" w:cs="Arial"/>
          <w:sz w:val="20"/>
          <w:szCs w:val="20"/>
        </w:rPr>
        <w:t>manage such costs</w:t>
      </w:r>
      <w:r w:rsidR="00D20864">
        <w:rPr>
          <w:rFonts w:ascii="Arial" w:hAnsi="Arial" w:cs="Arial"/>
          <w:sz w:val="20"/>
          <w:szCs w:val="20"/>
        </w:rPr>
        <w:t>. F</w:t>
      </w:r>
      <w:r w:rsidR="005067A6" w:rsidRPr="003550F0">
        <w:rPr>
          <w:rFonts w:ascii="Arial" w:hAnsi="Arial" w:cs="Arial"/>
          <w:sz w:val="20"/>
          <w:szCs w:val="20"/>
        </w:rPr>
        <w:t>or</w:t>
      </w:r>
      <w:r w:rsidRPr="003550F0">
        <w:rPr>
          <w:rFonts w:ascii="Arial" w:hAnsi="Arial" w:cs="Arial"/>
          <w:sz w:val="20"/>
          <w:szCs w:val="20"/>
        </w:rPr>
        <w:t xml:space="preserve"> her preparation, she used both soft and hard copy materials, which cost</w:t>
      </w:r>
      <w:r w:rsidR="005067A6" w:rsidRPr="003550F0">
        <w:rPr>
          <w:rFonts w:ascii="Arial" w:hAnsi="Arial" w:cs="Arial"/>
          <w:sz w:val="20"/>
          <w:szCs w:val="20"/>
        </w:rPr>
        <w:t xml:space="preserve"> </w:t>
      </w:r>
      <w:r w:rsidRPr="003550F0">
        <w:rPr>
          <w:rFonts w:ascii="Arial" w:hAnsi="Arial" w:cs="Arial"/>
          <w:sz w:val="20"/>
          <w:szCs w:val="20"/>
        </w:rPr>
        <w:t>her around Tk, 1,500-2,000.</w:t>
      </w:r>
      <w:r w:rsidR="005067A6" w:rsidRPr="003550F0">
        <w:rPr>
          <w:rFonts w:ascii="Arial" w:hAnsi="Arial" w:cs="Arial"/>
          <w:sz w:val="20"/>
          <w:szCs w:val="20"/>
        </w:rPr>
        <w:t xml:space="preserve"> </w:t>
      </w:r>
      <w:r w:rsidRPr="003550F0">
        <w:rPr>
          <w:rFonts w:ascii="Arial" w:hAnsi="Arial" w:cs="Arial"/>
          <w:sz w:val="20"/>
          <w:szCs w:val="20"/>
        </w:rPr>
        <w:t>Currently, Begum is attending coaching again, with the costs remaining the same as before</w:t>
      </w:r>
      <w:r w:rsidR="003B5F92" w:rsidRPr="003550F0">
        <w:rPr>
          <w:rFonts w:ascii="Arial" w:hAnsi="Arial" w:cs="Arial"/>
          <w:sz w:val="20"/>
          <w:szCs w:val="20"/>
        </w:rPr>
        <w:t>.</w:t>
      </w:r>
      <w:r w:rsidRPr="003550F0">
        <w:rPr>
          <w:rFonts w:ascii="Arial" w:hAnsi="Arial" w:cs="Arial"/>
          <w:sz w:val="20"/>
          <w:szCs w:val="20"/>
        </w:rPr>
        <w:t xml:space="preserve"> She</w:t>
      </w:r>
      <w:r w:rsidR="005067A6" w:rsidRPr="003550F0">
        <w:rPr>
          <w:rFonts w:ascii="Arial" w:hAnsi="Arial" w:cs="Arial"/>
          <w:sz w:val="20"/>
          <w:szCs w:val="20"/>
        </w:rPr>
        <w:t xml:space="preserve"> </w:t>
      </w:r>
      <w:r w:rsidRPr="003550F0">
        <w:rPr>
          <w:rFonts w:ascii="Arial" w:hAnsi="Arial" w:cs="Arial"/>
          <w:sz w:val="20"/>
          <w:szCs w:val="20"/>
        </w:rPr>
        <w:t>noted that the speaking section seemed particularly challenging during her first attempt because</w:t>
      </w:r>
      <w:r w:rsidR="005067A6" w:rsidRPr="003550F0">
        <w:rPr>
          <w:rFonts w:ascii="Arial" w:hAnsi="Arial" w:cs="Arial"/>
          <w:sz w:val="20"/>
          <w:szCs w:val="20"/>
        </w:rPr>
        <w:t xml:space="preserve"> </w:t>
      </w:r>
      <w:r w:rsidRPr="003550F0">
        <w:rPr>
          <w:rFonts w:ascii="Arial" w:hAnsi="Arial" w:cs="Arial"/>
          <w:sz w:val="20"/>
          <w:szCs w:val="20"/>
        </w:rPr>
        <w:t>she had not practiced speaking extensively</w:t>
      </w:r>
      <w:r w:rsidR="003B5F92" w:rsidRPr="003550F0">
        <w:rPr>
          <w:rFonts w:ascii="Arial" w:hAnsi="Arial" w:cs="Arial"/>
          <w:sz w:val="20"/>
          <w:szCs w:val="20"/>
        </w:rPr>
        <w:t>.</w:t>
      </w:r>
      <w:r w:rsidRPr="003550F0">
        <w:rPr>
          <w:rFonts w:ascii="Arial" w:hAnsi="Arial" w:cs="Arial"/>
          <w:sz w:val="20"/>
          <w:szCs w:val="20"/>
        </w:rPr>
        <w:t xml:space="preserve"> </w:t>
      </w:r>
      <w:r w:rsidR="003B5F92" w:rsidRPr="003550F0">
        <w:rPr>
          <w:rFonts w:ascii="Arial" w:hAnsi="Arial" w:cs="Arial"/>
          <w:sz w:val="20"/>
          <w:szCs w:val="20"/>
        </w:rPr>
        <w:t>This</w:t>
      </w:r>
      <w:r w:rsidRPr="003550F0">
        <w:rPr>
          <w:rFonts w:ascii="Arial" w:hAnsi="Arial" w:cs="Arial"/>
          <w:sz w:val="20"/>
          <w:szCs w:val="20"/>
        </w:rPr>
        <w:t xml:space="preserve"> time she is focusing more on her</w:t>
      </w:r>
      <w:r w:rsidR="005067A6" w:rsidRPr="003550F0">
        <w:rPr>
          <w:rFonts w:ascii="Arial" w:hAnsi="Arial" w:cs="Arial"/>
          <w:sz w:val="20"/>
          <w:szCs w:val="20"/>
        </w:rPr>
        <w:t xml:space="preserve"> </w:t>
      </w:r>
      <w:r w:rsidRPr="003550F0">
        <w:rPr>
          <w:rFonts w:ascii="Arial" w:hAnsi="Arial" w:cs="Arial"/>
          <w:sz w:val="20"/>
          <w:szCs w:val="20"/>
        </w:rPr>
        <w:t>speaking skills. Her target score for the next exam is 7.5. Begum’s first choice for studying</w:t>
      </w:r>
      <w:r w:rsidR="005067A6" w:rsidRPr="003550F0">
        <w:rPr>
          <w:rFonts w:ascii="Arial" w:hAnsi="Arial" w:cs="Arial"/>
          <w:sz w:val="20"/>
          <w:szCs w:val="20"/>
        </w:rPr>
        <w:t xml:space="preserve"> </w:t>
      </w:r>
      <w:r w:rsidRPr="003550F0">
        <w:rPr>
          <w:rFonts w:ascii="Arial" w:hAnsi="Arial" w:cs="Arial"/>
          <w:sz w:val="20"/>
          <w:szCs w:val="20"/>
        </w:rPr>
        <w:t xml:space="preserve">abroad is Australia, followed by Canada. However, she does not have </w:t>
      </w:r>
      <w:r w:rsidR="003B5F92" w:rsidRPr="003550F0">
        <w:rPr>
          <w:rFonts w:ascii="Arial" w:hAnsi="Arial" w:cs="Arial"/>
          <w:sz w:val="20"/>
          <w:szCs w:val="20"/>
        </w:rPr>
        <w:t>enough</w:t>
      </w:r>
      <w:r w:rsidRPr="003550F0">
        <w:rPr>
          <w:rFonts w:ascii="Arial" w:hAnsi="Arial" w:cs="Arial"/>
          <w:sz w:val="20"/>
          <w:szCs w:val="20"/>
        </w:rPr>
        <w:t xml:space="preserve"> financial</w:t>
      </w:r>
      <w:r w:rsidR="005067A6" w:rsidRPr="003550F0">
        <w:rPr>
          <w:rFonts w:ascii="Arial" w:hAnsi="Arial" w:cs="Arial"/>
          <w:sz w:val="20"/>
          <w:szCs w:val="20"/>
        </w:rPr>
        <w:t xml:space="preserve"> </w:t>
      </w:r>
      <w:r w:rsidRPr="003550F0">
        <w:rPr>
          <w:rFonts w:ascii="Arial" w:hAnsi="Arial" w:cs="Arial"/>
          <w:sz w:val="20"/>
          <w:szCs w:val="20"/>
        </w:rPr>
        <w:t xml:space="preserve">support to go abroad. </w:t>
      </w:r>
      <w:r w:rsidR="00D20864" w:rsidRPr="00D20864">
        <w:rPr>
          <w:rFonts w:ascii="Arial" w:hAnsi="Arial" w:cs="Arial"/>
          <w:sz w:val="20"/>
          <w:szCs w:val="20"/>
        </w:rPr>
        <w:t xml:space="preserve">Her family will provide support for any additional costs, which she estimates to be less than </w:t>
      </w:r>
      <w:r w:rsidR="001C6BD9">
        <w:rPr>
          <w:rFonts w:ascii="Arial" w:hAnsi="Arial" w:cs="Arial"/>
          <w:sz w:val="20"/>
          <w:szCs w:val="20"/>
        </w:rPr>
        <w:t>Tk</w:t>
      </w:r>
      <w:r w:rsidR="00D20864" w:rsidRPr="00D20864">
        <w:rPr>
          <w:rFonts w:ascii="Arial" w:hAnsi="Arial" w:cs="Arial"/>
          <w:sz w:val="20"/>
          <w:szCs w:val="20"/>
        </w:rPr>
        <w:t xml:space="preserve"> 1,00,000.</w:t>
      </w:r>
    </w:p>
    <w:p w14:paraId="681DFFD9" w14:textId="77777777" w:rsidR="00D20864" w:rsidRPr="003550F0" w:rsidRDefault="00D20864" w:rsidP="003550F0">
      <w:pPr>
        <w:spacing w:after="0" w:line="240" w:lineRule="auto"/>
        <w:jc w:val="both"/>
        <w:rPr>
          <w:rFonts w:ascii="Arial" w:hAnsi="Arial" w:cs="Arial"/>
          <w:sz w:val="20"/>
          <w:szCs w:val="20"/>
        </w:rPr>
      </w:pPr>
    </w:p>
    <w:p w14:paraId="00D02B9E" w14:textId="78C2D90A" w:rsidR="006F306E"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no. 04 Shumon</w:t>
      </w:r>
    </w:p>
    <w:p w14:paraId="22940643" w14:textId="3E003974" w:rsidR="003B5F92"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Shumon, a 26-year-old, has his permanent address </w:t>
      </w:r>
      <w:r w:rsidR="00D20864">
        <w:rPr>
          <w:rFonts w:ascii="Arial" w:hAnsi="Arial" w:cs="Arial"/>
          <w:sz w:val="20"/>
          <w:szCs w:val="20"/>
        </w:rPr>
        <w:t>as</w:t>
      </w:r>
      <w:r w:rsidRPr="003550F0">
        <w:rPr>
          <w:rFonts w:ascii="Arial" w:hAnsi="Arial" w:cs="Arial"/>
          <w:sz w:val="20"/>
          <w:szCs w:val="20"/>
        </w:rPr>
        <w:t xml:space="preserve"> Ikram, </w:t>
      </w:r>
      <w:proofErr w:type="spellStart"/>
      <w:r w:rsidRPr="003550F0">
        <w:rPr>
          <w:rFonts w:ascii="Arial" w:hAnsi="Arial" w:cs="Arial"/>
          <w:sz w:val="20"/>
          <w:szCs w:val="20"/>
        </w:rPr>
        <w:t>Baniachong</w:t>
      </w:r>
      <w:proofErr w:type="spellEnd"/>
      <w:r w:rsidRPr="003550F0">
        <w:rPr>
          <w:rFonts w:ascii="Arial" w:hAnsi="Arial" w:cs="Arial"/>
          <w:sz w:val="20"/>
          <w:szCs w:val="20"/>
        </w:rPr>
        <w:t xml:space="preserve">, </w:t>
      </w:r>
      <w:proofErr w:type="spellStart"/>
      <w:r w:rsidRPr="003550F0">
        <w:rPr>
          <w:rFonts w:ascii="Arial" w:hAnsi="Arial" w:cs="Arial"/>
          <w:sz w:val="20"/>
          <w:szCs w:val="20"/>
        </w:rPr>
        <w:t>Habiganj</w:t>
      </w:r>
      <w:proofErr w:type="spellEnd"/>
      <w:r w:rsidRPr="003550F0">
        <w:rPr>
          <w:rFonts w:ascii="Arial" w:hAnsi="Arial" w:cs="Arial"/>
          <w:sz w:val="20"/>
          <w:szCs w:val="20"/>
        </w:rPr>
        <w:t>, but he is</w:t>
      </w:r>
      <w:r w:rsidR="005067A6" w:rsidRPr="003550F0">
        <w:rPr>
          <w:rFonts w:ascii="Arial" w:hAnsi="Arial" w:cs="Arial"/>
          <w:sz w:val="20"/>
          <w:szCs w:val="20"/>
        </w:rPr>
        <w:t xml:space="preserve"> </w:t>
      </w:r>
      <w:r w:rsidRPr="003550F0">
        <w:rPr>
          <w:rFonts w:ascii="Arial" w:hAnsi="Arial" w:cs="Arial"/>
          <w:sz w:val="20"/>
          <w:szCs w:val="20"/>
        </w:rPr>
        <w:t>living in Modina Market, Sylhet. He is the eldest of five sons in his family. There are two wage</w:t>
      </w:r>
      <w:r w:rsidR="005067A6" w:rsidRPr="003550F0">
        <w:rPr>
          <w:rFonts w:ascii="Arial" w:hAnsi="Arial" w:cs="Arial"/>
          <w:sz w:val="20"/>
          <w:szCs w:val="20"/>
        </w:rPr>
        <w:t xml:space="preserve"> </w:t>
      </w:r>
      <w:r w:rsidRPr="003550F0">
        <w:rPr>
          <w:rFonts w:ascii="Arial" w:hAnsi="Arial" w:cs="Arial"/>
          <w:sz w:val="20"/>
          <w:szCs w:val="20"/>
        </w:rPr>
        <w:t xml:space="preserve">earners, Shumon and </w:t>
      </w:r>
      <w:r w:rsidR="00D20864">
        <w:rPr>
          <w:rFonts w:ascii="Arial" w:hAnsi="Arial" w:cs="Arial"/>
          <w:sz w:val="20"/>
          <w:szCs w:val="20"/>
        </w:rPr>
        <w:t>h</w:t>
      </w:r>
      <w:r w:rsidRPr="003550F0">
        <w:rPr>
          <w:rFonts w:ascii="Arial" w:hAnsi="Arial" w:cs="Arial"/>
          <w:sz w:val="20"/>
          <w:szCs w:val="20"/>
        </w:rPr>
        <w:t xml:space="preserve">is father, with an annual salary ranging from </w:t>
      </w:r>
      <w:r w:rsidR="001C6BD9">
        <w:rPr>
          <w:rFonts w:ascii="Arial" w:hAnsi="Arial" w:cs="Arial"/>
          <w:sz w:val="20"/>
          <w:szCs w:val="20"/>
        </w:rPr>
        <w:t>Tk</w:t>
      </w:r>
      <w:r w:rsidRPr="003550F0">
        <w:rPr>
          <w:rFonts w:ascii="Arial" w:hAnsi="Arial" w:cs="Arial"/>
          <w:sz w:val="20"/>
          <w:szCs w:val="20"/>
        </w:rPr>
        <w:t>9,00,000 to</w:t>
      </w:r>
      <w:r w:rsidR="005067A6" w:rsidRPr="003550F0">
        <w:rPr>
          <w:rFonts w:ascii="Arial" w:hAnsi="Arial" w:cs="Arial"/>
          <w:sz w:val="20"/>
          <w:szCs w:val="20"/>
        </w:rPr>
        <w:t xml:space="preserve"> </w:t>
      </w:r>
      <w:r w:rsidR="001C6BD9">
        <w:rPr>
          <w:rFonts w:ascii="Arial" w:hAnsi="Arial" w:cs="Arial"/>
          <w:sz w:val="20"/>
          <w:szCs w:val="20"/>
        </w:rPr>
        <w:t>Tk</w:t>
      </w:r>
      <w:r w:rsidRPr="003550F0">
        <w:rPr>
          <w:rFonts w:ascii="Arial" w:hAnsi="Arial" w:cs="Arial"/>
          <w:sz w:val="20"/>
          <w:szCs w:val="20"/>
        </w:rPr>
        <w:t>11,00,000. His goal is to pursue higher studies abroad. None of the members of his family are</w:t>
      </w:r>
      <w:r w:rsidR="005067A6" w:rsidRPr="003550F0">
        <w:rPr>
          <w:rFonts w:ascii="Arial" w:hAnsi="Arial" w:cs="Arial"/>
          <w:sz w:val="20"/>
          <w:szCs w:val="20"/>
        </w:rPr>
        <w:t xml:space="preserve"> </w:t>
      </w:r>
      <w:r w:rsidRPr="003550F0">
        <w:rPr>
          <w:rFonts w:ascii="Arial" w:hAnsi="Arial" w:cs="Arial"/>
          <w:sz w:val="20"/>
          <w:szCs w:val="20"/>
        </w:rPr>
        <w:t>abroad. Taking the IELTS exam was his own decision. He mentioned that he took the IELTS</w:t>
      </w:r>
      <w:r w:rsidR="005067A6" w:rsidRPr="003550F0">
        <w:rPr>
          <w:rFonts w:ascii="Arial" w:hAnsi="Arial" w:cs="Arial"/>
          <w:sz w:val="20"/>
          <w:szCs w:val="20"/>
        </w:rPr>
        <w:t xml:space="preserve"> </w:t>
      </w:r>
      <w:r w:rsidRPr="003550F0">
        <w:rPr>
          <w:rFonts w:ascii="Arial" w:hAnsi="Arial" w:cs="Arial"/>
          <w:sz w:val="20"/>
          <w:szCs w:val="20"/>
        </w:rPr>
        <w:t>exam in September 2023. This time, the IELTS fee was 20,250 BDT. and got an overall band</w:t>
      </w:r>
      <w:r w:rsidR="005067A6" w:rsidRPr="003550F0">
        <w:rPr>
          <w:rFonts w:ascii="Arial" w:hAnsi="Arial" w:cs="Arial"/>
          <w:sz w:val="20"/>
          <w:szCs w:val="20"/>
        </w:rPr>
        <w:t xml:space="preserve"> </w:t>
      </w:r>
      <w:r w:rsidRPr="003550F0">
        <w:rPr>
          <w:rFonts w:ascii="Arial" w:hAnsi="Arial" w:cs="Arial"/>
          <w:sz w:val="20"/>
          <w:szCs w:val="20"/>
        </w:rPr>
        <w:t>score of 7.0. Before taking the IELTS exam, he attended a coaching center near his home</w:t>
      </w:r>
      <w:r w:rsidR="00D20864">
        <w:rPr>
          <w:rFonts w:ascii="Arial" w:hAnsi="Arial" w:cs="Arial"/>
          <w:sz w:val="20"/>
          <w:szCs w:val="20"/>
        </w:rPr>
        <w:t>,</w:t>
      </w:r>
      <w:r w:rsidRPr="003550F0">
        <w:rPr>
          <w:rFonts w:ascii="Arial" w:hAnsi="Arial" w:cs="Arial"/>
          <w:sz w:val="20"/>
          <w:szCs w:val="20"/>
        </w:rPr>
        <w:t xml:space="preserve"> where</w:t>
      </w:r>
      <w:r w:rsidR="005067A6" w:rsidRPr="003550F0">
        <w:rPr>
          <w:rFonts w:ascii="Arial" w:hAnsi="Arial" w:cs="Arial"/>
          <w:sz w:val="20"/>
          <w:szCs w:val="20"/>
        </w:rPr>
        <w:t xml:space="preserve"> </w:t>
      </w:r>
      <w:r w:rsidRPr="003550F0">
        <w:rPr>
          <w:rFonts w:ascii="Arial" w:hAnsi="Arial" w:cs="Arial"/>
          <w:sz w:val="20"/>
          <w:szCs w:val="20"/>
        </w:rPr>
        <w:t xml:space="preserve">he spent </w:t>
      </w:r>
      <w:r w:rsidR="001C6BD9">
        <w:rPr>
          <w:rFonts w:ascii="Arial" w:hAnsi="Arial" w:cs="Arial"/>
          <w:sz w:val="20"/>
          <w:szCs w:val="20"/>
        </w:rPr>
        <w:t>Tk</w:t>
      </w:r>
      <w:r w:rsidRPr="003550F0">
        <w:rPr>
          <w:rFonts w:ascii="Arial" w:hAnsi="Arial" w:cs="Arial"/>
          <w:sz w:val="20"/>
          <w:szCs w:val="20"/>
        </w:rPr>
        <w:t xml:space="preserve"> 100 (daily) </w:t>
      </w:r>
      <w:r w:rsidR="00D20864">
        <w:rPr>
          <w:rFonts w:ascii="Arial" w:hAnsi="Arial" w:cs="Arial"/>
          <w:sz w:val="20"/>
          <w:szCs w:val="20"/>
        </w:rPr>
        <w:t>on</w:t>
      </w:r>
      <w:r w:rsidRPr="003550F0">
        <w:rPr>
          <w:rFonts w:ascii="Arial" w:hAnsi="Arial" w:cs="Arial"/>
          <w:sz w:val="20"/>
          <w:szCs w:val="20"/>
        </w:rPr>
        <w:t xml:space="preserve"> his commuting costs</w:t>
      </w:r>
      <w:r w:rsidR="00D20864">
        <w:rPr>
          <w:rFonts w:ascii="Arial" w:hAnsi="Arial" w:cs="Arial"/>
          <w:sz w:val="20"/>
          <w:szCs w:val="20"/>
        </w:rPr>
        <w:t>,</w:t>
      </w:r>
      <w:r w:rsidRPr="003550F0">
        <w:rPr>
          <w:rFonts w:ascii="Arial" w:hAnsi="Arial" w:cs="Arial"/>
          <w:sz w:val="20"/>
          <w:szCs w:val="20"/>
        </w:rPr>
        <w:t xml:space="preserve"> which he managed through earnings through</w:t>
      </w:r>
      <w:r w:rsidR="005067A6" w:rsidRPr="003550F0">
        <w:rPr>
          <w:rFonts w:ascii="Arial" w:hAnsi="Arial" w:cs="Arial"/>
          <w:sz w:val="20"/>
          <w:szCs w:val="20"/>
        </w:rPr>
        <w:t xml:space="preserve"> </w:t>
      </w:r>
      <w:r w:rsidRPr="003550F0">
        <w:rPr>
          <w:rFonts w:ascii="Arial" w:hAnsi="Arial" w:cs="Arial"/>
          <w:sz w:val="20"/>
          <w:szCs w:val="20"/>
        </w:rPr>
        <w:t>private tuition. He did not face any difficulties managing the whole of the IELTS exam because</w:t>
      </w:r>
      <w:r w:rsidR="005067A6" w:rsidRPr="003550F0">
        <w:rPr>
          <w:rFonts w:ascii="Arial" w:hAnsi="Arial" w:cs="Arial"/>
          <w:sz w:val="20"/>
          <w:szCs w:val="20"/>
        </w:rPr>
        <w:t xml:space="preserve"> </w:t>
      </w:r>
      <w:r w:rsidRPr="003550F0">
        <w:rPr>
          <w:rFonts w:ascii="Arial" w:hAnsi="Arial" w:cs="Arial"/>
          <w:sz w:val="20"/>
          <w:szCs w:val="20"/>
        </w:rPr>
        <w:t xml:space="preserve">he had been saving in advance. Shumon had been preparing for an IELTS exam </w:t>
      </w:r>
      <w:r w:rsidR="003A1CF9" w:rsidRPr="003550F0">
        <w:rPr>
          <w:rFonts w:ascii="Arial" w:hAnsi="Arial" w:cs="Arial"/>
          <w:sz w:val="20"/>
          <w:szCs w:val="20"/>
        </w:rPr>
        <w:t>for</w:t>
      </w:r>
      <w:r w:rsidRPr="003550F0">
        <w:rPr>
          <w:rFonts w:ascii="Arial" w:hAnsi="Arial" w:cs="Arial"/>
          <w:sz w:val="20"/>
          <w:szCs w:val="20"/>
        </w:rPr>
        <w:t xml:space="preserve"> the last three</w:t>
      </w:r>
      <w:r w:rsidR="005067A6" w:rsidRPr="003550F0">
        <w:rPr>
          <w:rFonts w:ascii="Arial" w:hAnsi="Arial" w:cs="Arial"/>
          <w:sz w:val="20"/>
          <w:szCs w:val="20"/>
        </w:rPr>
        <w:t xml:space="preserve"> </w:t>
      </w:r>
      <w:r w:rsidRPr="003550F0">
        <w:rPr>
          <w:rFonts w:ascii="Arial" w:hAnsi="Arial" w:cs="Arial"/>
          <w:sz w:val="20"/>
          <w:szCs w:val="20"/>
        </w:rPr>
        <w:t>months. He realized that the reading section was hard and got the lowest score in this section.</w:t>
      </w:r>
      <w:r w:rsidR="005067A6" w:rsidRPr="003550F0">
        <w:rPr>
          <w:rFonts w:ascii="Arial" w:hAnsi="Arial" w:cs="Arial"/>
          <w:sz w:val="20"/>
          <w:szCs w:val="20"/>
        </w:rPr>
        <w:t xml:space="preserve"> </w:t>
      </w:r>
      <w:r w:rsidRPr="003550F0">
        <w:rPr>
          <w:rFonts w:ascii="Arial" w:hAnsi="Arial" w:cs="Arial"/>
          <w:sz w:val="20"/>
          <w:szCs w:val="20"/>
        </w:rPr>
        <w:t>Now he is applying to an overseas country’s university. He prefers to go to North America or</w:t>
      </w:r>
      <w:r w:rsidR="005067A6" w:rsidRPr="003550F0">
        <w:rPr>
          <w:rFonts w:ascii="Arial" w:hAnsi="Arial" w:cs="Arial"/>
          <w:sz w:val="20"/>
          <w:szCs w:val="20"/>
        </w:rPr>
        <w:t xml:space="preserve"> </w:t>
      </w:r>
      <w:r w:rsidRPr="003550F0">
        <w:rPr>
          <w:rFonts w:ascii="Arial" w:hAnsi="Arial" w:cs="Arial"/>
          <w:sz w:val="20"/>
          <w:szCs w:val="20"/>
        </w:rPr>
        <w:t>Australia (continent), especially Canada or Australia, where he will have greater access to</w:t>
      </w:r>
      <w:r w:rsidR="005067A6" w:rsidRPr="003550F0">
        <w:rPr>
          <w:rFonts w:ascii="Arial" w:hAnsi="Arial" w:cs="Arial"/>
          <w:sz w:val="20"/>
          <w:szCs w:val="20"/>
        </w:rPr>
        <w:t xml:space="preserve"> </w:t>
      </w:r>
      <w:r w:rsidRPr="003550F0">
        <w:rPr>
          <w:rFonts w:ascii="Arial" w:hAnsi="Arial" w:cs="Arial"/>
          <w:sz w:val="20"/>
          <w:szCs w:val="20"/>
        </w:rPr>
        <w:t>financial opportunities. Except for higher education abroad, he is looking forward to higher</w:t>
      </w:r>
      <w:r w:rsidR="005067A6" w:rsidRPr="003550F0">
        <w:rPr>
          <w:rFonts w:ascii="Arial" w:hAnsi="Arial" w:cs="Arial"/>
          <w:sz w:val="20"/>
          <w:szCs w:val="20"/>
        </w:rPr>
        <w:t xml:space="preserve"> </w:t>
      </w:r>
      <w:r w:rsidRPr="003550F0">
        <w:rPr>
          <w:rFonts w:ascii="Arial" w:hAnsi="Arial" w:cs="Arial"/>
          <w:sz w:val="20"/>
          <w:szCs w:val="20"/>
        </w:rPr>
        <w:t>income and PR (permanent residency). For going abroad</w:t>
      </w:r>
      <w:r w:rsidR="00E86D36">
        <w:rPr>
          <w:rFonts w:ascii="Arial" w:hAnsi="Arial" w:cs="Arial"/>
          <w:sz w:val="20"/>
          <w:szCs w:val="20"/>
        </w:rPr>
        <w:t>,</w:t>
      </w:r>
      <w:r w:rsidRPr="003550F0">
        <w:rPr>
          <w:rFonts w:ascii="Arial" w:hAnsi="Arial" w:cs="Arial"/>
          <w:sz w:val="20"/>
          <w:szCs w:val="20"/>
        </w:rPr>
        <w:t xml:space="preserve"> his budget is </w:t>
      </w:r>
      <w:r w:rsidR="001C6BD9">
        <w:rPr>
          <w:rFonts w:ascii="Arial" w:hAnsi="Arial" w:cs="Arial"/>
          <w:sz w:val="20"/>
          <w:szCs w:val="20"/>
        </w:rPr>
        <w:t>Tk</w:t>
      </w:r>
      <w:r w:rsidRPr="003550F0">
        <w:rPr>
          <w:rFonts w:ascii="Arial" w:hAnsi="Arial" w:cs="Arial"/>
          <w:sz w:val="20"/>
          <w:szCs w:val="20"/>
        </w:rPr>
        <w:t xml:space="preserve"> 16,00,000 – </w:t>
      </w:r>
      <w:r w:rsidR="001C6BD9">
        <w:rPr>
          <w:rFonts w:ascii="Arial" w:hAnsi="Arial" w:cs="Arial"/>
          <w:sz w:val="20"/>
          <w:szCs w:val="20"/>
        </w:rPr>
        <w:t>Tk</w:t>
      </w:r>
      <w:r w:rsidR="005067A6" w:rsidRPr="003550F0">
        <w:rPr>
          <w:rFonts w:ascii="Arial" w:hAnsi="Arial" w:cs="Arial"/>
          <w:sz w:val="20"/>
          <w:szCs w:val="20"/>
        </w:rPr>
        <w:t xml:space="preserve"> </w:t>
      </w:r>
      <w:r w:rsidRPr="003550F0">
        <w:rPr>
          <w:rFonts w:ascii="Arial" w:hAnsi="Arial" w:cs="Arial"/>
          <w:sz w:val="20"/>
          <w:szCs w:val="20"/>
        </w:rPr>
        <w:t>20,00,000</w:t>
      </w:r>
      <w:r w:rsidR="00E86D36">
        <w:rPr>
          <w:rFonts w:ascii="Arial" w:hAnsi="Arial" w:cs="Arial"/>
          <w:sz w:val="20"/>
          <w:szCs w:val="20"/>
        </w:rPr>
        <w:t>,</w:t>
      </w:r>
      <w:r w:rsidRPr="003550F0">
        <w:rPr>
          <w:rFonts w:ascii="Arial" w:hAnsi="Arial" w:cs="Arial"/>
          <w:sz w:val="20"/>
          <w:szCs w:val="20"/>
        </w:rPr>
        <w:t xml:space="preserve"> which will be fully funded by his family. He stated that he did not face any difficulties</w:t>
      </w:r>
      <w:r w:rsidR="005067A6" w:rsidRPr="003550F0">
        <w:rPr>
          <w:rFonts w:ascii="Arial" w:hAnsi="Arial" w:cs="Arial"/>
          <w:sz w:val="20"/>
          <w:szCs w:val="20"/>
        </w:rPr>
        <w:t xml:space="preserve"> </w:t>
      </w:r>
      <w:r w:rsidRPr="003550F0">
        <w:rPr>
          <w:rFonts w:ascii="Arial" w:hAnsi="Arial" w:cs="Arial"/>
          <w:sz w:val="20"/>
          <w:szCs w:val="20"/>
        </w:rPr>
        <w:t xml:space="preserve">securing this budget, as his family had agreed to bear the expenses after he </w:t>
      </w:r>
      <w:r w:rsidR="003B5F92" w:rsidRPr="003550F0">
        <w:rPr>
          <w:rFonts w:ascii="Arial" w:hAnsi="Arial" w:cs="Arial"/>
          <w:sz w:val="20"/>
          <w:szCs w:val="20"/>
        </w:rPr>
        <w:t>discussed it</w:t>
      </w:r>
      <w:r w:rsidRPr="003550F0">
        <w:rPr>
          <w:rFonts w:ascii="Arial" w:hAnsi="Arial" w:cs="Arial"/>
          <w:sz w:val="20"/>
          <w:szCs w:val="20"/>
        </w:rPr>
        <w:t xml:space="preserve"> with them.</w:t>
      </w:r>
      <w:r w:rsidR="005067A6" w:rsidRPr="003550F0">
        <w:rPr>
          <w:rFonts w:ascii="Arial" w:hAnsi="Arial" w:cs="Arial"/>
          <w:sz w:val="20"/>
          <w:szCs w:val="20"/>
        </w:rPr>
        <w:t xml:space="preserve"> </w:t>
      </w:r>
    </w:p>
    <w:p w14:paraId="185D3D25" w14:textId="77777777" w:rsidR="003550F0" w:rsidRPr="003550F0" w:rsidRDefault="003550F0" w:rsidP="003550F0">
      <w:pPr>
        <w:spacing w:after="0" w:line="240" w:lineRule="auto"/>
        <w:jc w:val="both"/>
        <w:rPr>
          <w:rFonts w:ascii="Arial" w:hAnsi="Arial" w:cs="Arial"/>
          <w:sz w:val="20"/>
          <w:szCs w:val="20"/>
        </w:rPr>
      </w:pPr>
    </w:p>
    <w:p w14:paraId="16BB60DE" w14:textId="2075A88D" w:rsidR="00967A55" w:rsidRPr="003550F0" w:rsidRDefault="006F306E" w:rsidP="003550F0">
      <w:pPr>
        <w:spacing w:after="0" w:line="240" w:lineRule="auto"/>
        <w:jc w:val="both"/>
        <w:rPr>
          <w:rFonts w:ascii="Arial" w:hAnsi="Arial" w:cs="Arial"/>
          <w:b/>
          <w:bCs/>
          <w:sz w:val="20"/>
          <w:szCs w:val="20"/>
        </w:rPr>
      </w:pPr>
      <w:r w:rsidRPr="003550F0">
        <w:rPr>
          <w:rFonts w:ascii="Arial" w:hAnsi="Arial" w:cs="Arial"/>
          <w:b/>
          <w:bCs/>
          <w:sz w:val="20"/>
          <w:szCs w:val="20"/>
        </w:rPr>
        <w:t>Case study 05 Milton</w:t>
      </w:r>
    </w:p>
    <w:p w14:paraId="3EDBC5BF" w14:textId="355B8CFF" w:rsidR="006F306E" w:rsidRDefault="006F306E" w:rsidP="003550F0">
      <w:pPr>
        <w:spacing w:after="0" w:line="240" w:lineRule="auto"/>
        <w:jc w:val="both"/>
        <w:rPr>
          <w:rFonts w:ascii="Arial" w:hAnsi="Arial" w:cs="Arial"/>
          <w:sz w:val="20"/>
          <w:szCs w:val="20"/>
        </w:rPr>
      </w:pPr>
      <w:r w:rsidRPr="003550F0">
        <w:rPr>
          <w:rFonts w:ascii="Arial" w:hAnsi="Arial" w:cs="Arial"/>
          <w:sz w:val="20"/>
          <w:szCs w:val="20"/>
        </w:rPr>
        <w:t xml:space="preserve">Milton, a </w:t>
      </w:r>
      <w:r w:rsidR="003B5F92" w:rsidRPr="003550F0">
        <w:rPr>
          <w:rFonts w:ascii="Arial" w:hAnsi="Arial" w:cs="Arial"/>
          <w:sz w:val="20"/>
          <w:szCs w:val="20"/>
        </w:rPr>
        <w:t>28-Year-old</w:t>
      </w:r>
      <w:r w:rsidRPr="003550F0">
        <w:rPr>
          <w:rFonts w:ascii="Arial" w:hAnsi="Arial" w:cs="Arial"/>
          <w:sz w:val="20"/>
          <w:szCs w:val="20"/>
        </w:rPr>
        <w:t xml:space="preserve"> has his </w:t>
      </w:r>
      <w:r w:rsidR="00E86D36">
        <w:rPr>
          <w:rFonts w:ascii="Arial" w:hAnsi="Arial" w:cs="Arial"/>
          <w:sz w:val="20"/>
          <w:szCs w:val="20"/>
        </w:rPr>
        <w:t>p</w:t>
      </w:r>
      <w:r w:rsidRPr="003550F0">
        <w:rPr>
          <w:rFonts w:ascii="Arial" w:hAnsi="Arial" w:cs="Arial"/>
          <w:sz w:val="20"/>
          <w:szCs w:val="20"/>
        </w:rPr>
        <w:t xml:space="preserve">ermanent address in </w:t>
      </w:r>
      <w:proofErr w:type="spellStart"/>
      <w:r w:rsidRPr="003550F0">
        <w:rPr>
          <w:rFonts w:ascii="Arial" w:hAnsi="Arial" w:cs="Arial"/>
          <w:sz w:val="20"/>
          <w:szCs w:val="20"/>
        </w:rPr>
        <w:t>Dirai</w:t>
      </w:r>
      <w:proofErr w:type="spellEnd"/>
      <w:r w:rsidRPr="003550F0">
        <w:rPr>
          <w:rFonts w:ascii="Arial" w:hAnsi="Arial" w:cs="Arial"/>
          <w:sz w:val="20"/>
          <w:szCs w:val="20"/>
        </w:rPr>
        <w:t>, Sunamganj.</w:t>
      </w:r>
      <w:r w:rsidR="00E86D36">
        <w:rPr>
          <w:rFonts w:ascii="Arial" w:hAnsi="Arial" w:cs="Arial"/>
          <w:sz w:val="20"/>
          <w:szCs w:val="20"/>
        </w:rPr>
        <w:t xml:space="preserve"> H</w:t>
      </w:r>
      <w:r w:rsidRPr="003550F0">
        <w:rPr>
          <w:rFonts w:ascii="Arial" w:hAnsi="Arial" w:cs="Arial"/>
          <w:sz w:val="20"/>
          <w:szCs w:val="20"/>
        </w:rPr>
        <w:t>e is currently</w:t>
      </w:r>
      <w:r w:rsidR="005067A6" w:rsidRPr="003550F0">
        <w:rPr>
          <w:rFonts w:ascii="Arial" w:hAnsi="Arial" w:cs="Arial"/>
          <w:sz w:val="20"/>
          <w:szCs w:val="20"/>
        </w:rPr>
        <w:t xml:space="preserve"> </w:t>
      </w:r>
      <w:r w:rsidRPr="003550F0">
        <w:rPr>
          <w:rFonts w:ascii="Arial" w:hAnsi="Arial" w:cs="Arial"/>
          <w:sz w:val="20"/>
          <w:szCs w:val="20"/>
        </w:rPr>
        <w:t>living in Winnipeg, Canada. He is the youngest of three siblings in a family of eight members,</w:t>
      </w:r>
      <w:r w:rsidR="005067A6" w:rsidRPr="003550F0">
        <w:rPr>
          <w:rFonts w:ascii="Arial" w:hAnsi="Arial" w:cs="Arial"/>
          <w:sz w:val="20"/>
          <w:szCs w:val="20"/>
        </w:rPr>
        <w:t xml:space="preserve"> </w:t>
      </w:r>
      <w:r w:rsidR="00E86D36">
        <w:rPr>
          <w:rFonts w:ascii="Arial" w:hAnsi="Arial" w:cs="Arial"/>
          <w:sz w:val="20"/>
          <w:szCs w:val="20"/>
        </w:rPr>
        <w:t>a</w:t>
      </w:r>
      <w:r w:rsidRPr="003550F0">
        <w:rPr>
          <w:rFonts w:ascii="Arial" w:hAnsi="Arial" w:cs="Arial"/>
          <w:sz w:val="20"/>
          <w:szCs w:val="20"/>
        </w:rPr>
        <w:t>mong them. Five of eight family members are income holders and have a total family income</w:t>
      </w:r>
      <w:r w:rsidR="003B5F92" w:rsidRPr="003550F0">
        <w:rPr>
          <w:rFonts w:ascii="Arial" w:hAnsi="Arial" w:cs="Arial"/>
          <w:sz w:val="20"/>
          <w:szCs w:val="20"/>
        </w:rPr>
        <w:t xml:space="preserve"> </w:t>
      </w:r>
      <w:r w:rsidRPr="003550F0">
        <w:rPr>
          <w:rFonts w:ascii="Arial" w:hAnsi="Arial" w:cs="Arial"/>
          <w:sz w:val="20"/>
          <w:szCs w:val="20"/>
        </w:rPr>
        <w:t xml:space="preserve">of approximately </w:t>
      </w:r>
      <w:r w:rsidR="001C6BD9">
        <w:rPr>
          <w:rFonts w:ascii="Arial" w:hAnsi="Arial" w:cs="Arial"/>
          <w:sz w:val="20"/>
          <w:szCs w:val="20"/>
        </w:rPr>
        <w:t>Tk</w:t>
      </w:r>
      <w:r w:rsidR="00E86D36">
        <w:rPr>
          <w:rFonts w:ascii="Arial" w:hAnsi="Arial" w:cs="Arial"/>
          <w:sz w:val="20"/>
          <w:szCs w:val="20"/>
        </w:rPr>
        <w:t xml:space="preserve"> </w:t>
      </w:r>
      <w:r w:rsidRPr="003550F0">
        <w:rPr>
          <w:rFonts w:ascii="Arial" w:hAnsi="Arial" w:cs="Arial"/>
          <w:sz w:val="20"/>
          <w:szCs w:val="20"/>
        </w:rPr>
        <w:t xml:space="preserve">25 </w:t>
      </w:r>
      <w:r w:rsidR="00E86D36">
        <w:rPr>
          <w:rFonts w:ascii="Arial" w:hAnsi="Arial" w:cs="Arial"/>
          <w:sz w:val="20"/>
          <w:szCs w:val="20"/>
        </w:rPr>
        <w:t>l</w:t>
      </w:r>
      <w:r w:rsidRPr="003550F0">
        <w:rPr>
          <w:rFonts w:ascii="Arial" w:hAnsi="Arial" w:cs="Arial"/>
          <w:sz w:val="20"/>
          <w:szCs w:val="20"/>
        </w:rPr>
        <w:t>akhs yearly</w:t>
      </w:r>
      <w:r w:rsidR="00E86D36">
        <w:rPr>
          <w:rFonts w:ascii="Arial" w:hAnsi="Arial" w:cs="Arial"/>
          <w:sz w:val="20"/>
          <w:szCs w:val="20"/>
        </w:rPr>
        <w:t>,</w:t>
      </w:r>
      <w:r w:rsidRPr="003550F0">
        <w:rPr>
          <w:rFonts w:ascii="Arial" w:hAnsi="Arial" w:cs="Arial"/>
          <w:sz w:val="20"/>
          <w:szCs w:val="20"/>
        </w:rPr>
        <w:t xml:space="preserve"> where he is generating </w:t>
      </w:r>
      <w:r w:rsidR="001C6BD9">
        <w:rPr>
          <w:rFonts w:ascii="Arial" w:hAnsi="Arial" w:cs="Arial"/>
          <w:sz w:val="20"/>
          <w:szCs w:val="20"/>
        </w:rPr>
        <w:t>Tk</w:t>
      </w:r>
      <w:r w:rsidR="00E86D36">
        <w:rPr>
          <w:rFonts w:ascii="Arial" w:hAnsi="Arial" w:cs="Arial"/>
          <w:sz w:val="20"/>
          <w:szCs w:val="20"/>
        </w:rPr>
        <w:t xml:space="preserve"> </w:t>
      </w:r>
      <w:r w:rsidRPr="003550F0">
        <w:rPr>
          <w:rFonts w:ascii="Arial" w:hAnsi="Arial" w:cs="Arial"/>
          <w:sz w:val="20"/>
          <w:szCs w:val="20"/>
        </w:rPr>
        <w:t xml:space="preserve">1 </w:t>
      </w:r>
      <w:r w:rsidR="00E86D36">
        <w:rPr>
          <w:rFonts w:ascii="Arial" w:hAnsi="Arial" w:cs="Arial"/>
          <w:sz w:val="20"/>
          <w:szCs w:val="20"/>
        </w:rPr>
        <w:t>l</w:t>
      </w:r>
      <w:r w:rsidR="00020154" w:rsidRPr="003550F0">
        <w:rPr>
          <w:rFonts w:ascii="Arial" w:hAnsi="Arial" w:cs="Arial"/>
          <w:sz w:val="20"/>
          <w:szCs w:val="20"/>
        </w:rPr>
        <w:t>akh</w:t>
      </w:r>
      <w:r w:rsidRPr="003550F0">
        <w:rPr>
          <w:rFonts w:ascii="Arial" w:hAnsi="Arial" w:cs="Arial"/>
          <w:sz w:val="20"/>
          <w:szCs w:val="20"/>
        </w:rPr>
        <w:t xml:space="preserve"> per month. One of his brothers</w:t>
      </w:r>
      <w:r w:rsidR="005067A6" w:rsidRPr="003550F0">
        <w:rPr>
          <w:rFonts w:ascii="Arial" w:hAnsi="Arial" w:cs="Arial"/>
          <w:sz w:val="20"/>
          <w:szCs w:val="20"/>
        </w:rPr>
        <w:t xml:space="preserve"> </w:t>
      </w:r>
      <w:r w:rsidRPr="003550F0">
        <w:rPr>
          <w:rFonts w:ascii="Arial" w:hAnsi="Arial" w:cs="Arial"/>
          <w:sz w:val="20"/>
          <w:szCs w:val="20"/>
        </w:rPr>
        <w:t>works in a private job</w:t>
      </w:r>
      <w:r w:rsidR="00E86D36">
        <w:rPr>
          <w:rFonts w:ascii="Arial" w:hAnsi="Arial" w:cs="Arial"/>
          <w:sz w:val="20"/>
          <w:szCs w:val="20"/>
        </w:rPr>
        <w:t>;</w:t>
      </w:r>
      <w:r w:rsidRPr="003550F0">
        <w:rPr>
          <w:rFonts w:ascii="Arial" w:hAnsi="Arial" w:cs="Arial"/>
          <w:sz w:val="20"/>
          <w:szCs w:val="20"/>
        </w:rPr>
        <w:t xml:space="preserve"> another brother is a government employee. He took the IELTS exam in</w:t>
      </w:r>
      <w:r w:rsidR="005067A6" w:rsidRPr="003550F0">
        <w:rPr>
          <w:rFonts w:ascii="Arial" w:hAnsi="Arial" w:cs="Arial"/>
          <w:sz w:val="20"/>
          <w:szCs w:val="20"/>
        </w:rPr>
        <w:t xml:space="preserve"> </w:t>
      </w:r>
      <w:r w:rsidRPr="003550F0">
        <w:rPr>
          <w:rFonts w:ascii="Arial" w:hAnsi="Arial" w:cs="Arial"/>
          <w:sz w:val="20"/>
          <w:szCs w:val="20"/>
        </w:rPr>
        <w:t>March 2022. He took twelve days for preparation. He gained an IELTS score of 7.0. He realized</w:t>
      </w:r>
      <w:r w:rsidR="005067A6" w:rsidRPr="003550F0">
        <w:rPr>
          <w:rFonts w:ascii="Arial" w:hAnsi="Arial" w:cs="Arial"/>
          <w:sz w:val="20"/>
          <w:szCs w:val="20"/>
        </w:rPr>
        <w:t xml:space="preserve"> </w:t>
      </w:r>
      <w:r w:rsidRPr="003550F0">
        <w:rPr>
          <w:rFonts w:ascii="Arial" w:hAnsi="Arial" w:cs="Arial"/>
          <w:sz w:val="20"/>
          <w:szCs w:val="20"/>
        </w:rPr>
        <w:t xml:space="preserve">that the writing section was somewhat difficult. The total cost was </w:t>
      </w:r>
      <w:r w:rsidR="001C6BD9">
        <w:rPr>
          <w:rFonts w:ascii="Arial" w:hAnsi="Arial" w:cs="Arial"/>
          <w:sz w:val="20"/>
          <w:szCs w:val="20"/>
        </w:rPr>
        <w:t>Tk</w:t>
      </w:r>
      <w:r w:rsidRPr="003550F0">
        <w:rPr>
          <w:rFonts w:ascii="Arial" w:hAnsi="Arial" w:cs="Arial"/>
          <w:sz w:val="20"/>
          <w:szCs w:val="20"/>
        </w:rPr>
        <w:t xml:space="preserve"> 18,750. He was a banker</w:t>
      </w:r>
      <w:r w:rsidR="005067A6" w:rsidRPr="003550F0">
        <w:rPr>
          <w:rFonts w:ascii="Arial" w:hAnsi="Arial" w:cs="Arial"/>
          <w:sz w:val="20"/>
          <w:szCs w:val="20"/>
        </w:rPr>
        <w:t xml:space="preserve"> </w:t>
      </w:r>
      <w:r w:rsidRPr="003550F0">
        <w:rPr>
          <w:rFonts w:ascii="Arial" w:hAnsi="Arial" w:cs="Arial"/>
          <w:sz w:val="20"/>
          <w:szCs w:val="20"/>
        </w:rPr>
        <w:t>when he stayed in the country. And by doing this job</w:t>
      </w:r>
      <w:r w:rsidR="00E86D36">
        <w:rPr>
          <w:rFonts w:ascii="Arial" w:hAnsi="Arial" w:cs="Arial"/>
          <w:sz w:val="20"/>
          <w:szCs w:val="20"/>
        </w:rPr>
        <w:t>,</w:t>
      </w:r>
      <w:r w:rsidRPr="003550F0">
        <w:rPr>
          <w:rFonts w:ascii="Arial" w:hAnsi="Arial" w:cs="Arial"/>
          <w:sz w:val="20"/>
          <w:szCs w:val="20"/>
        </w:rPr>
        <w:t xml:space="preserve"> he paid </w:t>
      </w:r>
      <w:r w:rsidR="00E86D36" w:rsidRPr="003550F0">
        <w:rPr>
          <w:rFonts w:ascii="Arial" w:hAnsi="Arial" w:cs="Arial"/>
          <w:sz w:val="20"/>
          <w:szCs w:val="20"/>
        </w:rPr>
        <w:t>the</w:t>
      </w:r>
      <w:r w:rsidRPr="003550F0">
        <w:rPr>
          <w:rFonts w:ascii="Arial" w:hAnsi="Arial" w:cs="Arial"/>
          <w:sz w:val="20"/>
          <w:szCs w:val="20"/>
        </w:rPr>
        <w:t xml:space="preserve"> whole cost of </w:t>
      </w:r>
      <w:r w:rsidR="00247303">
        <w:rPr>
          <w:rFonts w:ascii="Arial" w:hAnsi="Arial" w:cs="Arial"/>
          <w:sz w:val="20"/>
          <w:szCs w:val="20"/>
        </w:rPr>
        <w:t xml:space="preserve">the </w:t>
      </w:r>
      <w:r w:rsidRPr="003550F0">
        <w:rPr>
          <w:rFonts w:ascii="Arial" w:hAnsi="Arial" w:cs="Arial"/>
          <w:sz w:val="20"/>
          <w:szCs w:val="20"/>
        </w:rPr>
        <w:t>IELTS. He used</w:t>
      </w:r>
      <w:r w:rsidR="005067A6" w:rsidRPr="003550F0">
        <w:rPr>
          <w:rFonts w:ascii="Arial" w:hAnsi="Arial" w:cs="Arial"/>
          <w:sz w:val="20"/>
          <w:szCs w:val="20"/>
        </w:rPr>
        <w:t xml:space="preserve"> </w:t>
      </w:r>
      <w:r w:rsidRPr="003550F0">
        <w:rPr>
          <w:rFonts w:ascii="Arial" w:hAnsi="Arial" w:cs="Arial"/>
          <w:sz w:val="20"/>
          <w:szCs w:val="20"/>
        </w:rPr>
        <w:t>soft and hard copies as study material</w:t>
      </w:r>
      <w:r w:rsidR="00E86D36">
        <w:rPr>
          <w:rFonts w:ascii="Arial" w:hAnsi="Arial" w:cs="Arial"/>
          <w:sz w:val="20"/>
          <w:szCs w:val="20"/>
        </w:rPr>
        <w:t>,</w:t>
      </w:r>
      <w:r w:rsidRPr="003550F0">
        <w:rPr>
          <w:rFonts w:ascii="Arial" w:hAnsi="Arial" w:cs="Arial"/>
          <w:sz w:val="20"/>
          <w:szCs w:val="20"/>
        </w:rPr>
        <w:t xml:space="preserve"> which cost around </w:t>
      </w:r>
      <w:r w:rsidR="001C6BD9">
        <w:rPr>
          <w:rFonts w:ascii="Arial" w:hAnsi="Arial" w:cs="Arial"/>
          <w:sz w:val="20"/>
          <w:szCs w:val="20"/>
        </w:rPr>
        <w:t>Tk</w:t>
      </w:r>
      <w:r w:rsidRPr="003550F0">
        <w:rPr>
          <w:rFonts w:ascii="Arial" w:hAnsi="Arial" w:cs="Arial"/>
          <w:sz w:val="20"/>
          <w:szCs w:val="20"/>
        </w:rPr>
        <w:t xml:space="preserve"> 1500. He didn’t face any difficulties</w:t>
      </w:r>
      <w:r w:rsidR="005067A6" w:rsidRPr="003550F0">
        <w:rPr>
          <w:rFonts w:ascii="Arial" w:hAnsi="Arial" w:cs="Arial"/>
          <w:sz w:val="20"/>
          <w:szCs w:val="20"/>
        </w:rPr>
        <w:t xml:space="preserve"> </w:t>
      </w:r>
      <w:r w:rsidRPr="003550F0">
        <w:rPr>
          <w:rFonts w:ascii="Arial" w:hAnsi="Arial" w:cs="Arial"/>
          <w:sz w:val="20"/>
          <w:szCs w:val="20"/>
        </w:rPr>
        <w:t>paying this cost. He is the first family member who is living abroad now. He went abroad in</w:t>
      </w:r>
      <w:r w:rsidR="005067A6" w:rsidRPr="003550F0">
        <w:rPr>
          <w:rFonts w:ascii="Arial" w:hAnsi="Arial" w:cs="Arial"/>
          <w:sz w:val="20"/>
          <w:szCs w:val="20"/>
        </w:rPr>
        <w:t xml:space="preserve"> </w:t>
      </w:r>
      <w:r w:rsidRPr="003550F0">
        <w:rPr>
          <w:rFonts w:ascii="Arial" w:hAnsi="Arial" w:cs="Arial"/>
          <w:sz w:val="20"/>
          <w:szCs w:val="20"/>
        </w:rPr>
        <w:t xml:space="preserve">August 2023. The entire expense of going abroad was </w:t>
      </w:r>
      <w:r w:rsidR="001C6BD9">
        <w:rPr>
          <w:rFonts w:ascii="Arial" w:hAnsi="Arial" w:cs="Arial"/>
          <w:sz w:val="20"/>
          <w:szCs w:val="20"/>
        </w:rPr>
        <w:t>Tk</w:t>
      </w:r>
      <w:r w:rsidRPr="003550F0">
        <w:rPr>
          <w:rFonts w:ascii="Arial" w:hAnsi="Arial" w:cs="Arial"/>
          <w:sz w:val="20"/>
          <w:szCs w:val="20"/>
        </w:rPr>
        <w:t xml:space="preserve"> 17,00,000. Due to previous savings,</w:t>
      </w:r>
      <w:r w:rsidR="005067A6" w:rsidRPr="003550F0">
        <w:rPr>
          <w:rFonts w:ascii="Arial" w:hAnsi="Arial" w:cs="Arial"/>
          <w:sz w:val="20"/>
          <w:szCs w:val="20"/>
        </w:rPr>
        <w:t xml:space="preserve"> </w:t>
      </w:r>
      <w:r w:rsidRPr="003550F0">
        <w:rPr>
          <w:rFonts w:ascii="Arial" w:hAnsi="Arial" w:cs="Arial"/>
          <w:sz w:val="20"/>
          <w:szCs w:val="20"/>
        </w:rPr>
        <w:t>he did not face any difficulties with his total budget. He left the country for better opportunities,</w:t>
      </w:r>
      <w:r w:rsidR="005067A6" w:rsidRPr="003550F0">
        <w:rPr>
          <w:rFonts w:ascii="Arial" w:hAnsi="Arial" w:cs="Arial"/>
          <w:sz w:val="20"/>
          <w:szCs w:val="20"/>
        </w:rPr>
        <w:t xml:space="preserve"> </w:t>
      </w:r>
      <w:r w:rsidRPr="003550F0">
        <w:rPr>
          <w:rFonts w:ascii="Arial" w:hAnsi="Arial" w:cs="Arial"/>
          <w:sz w:val="20"/>
          <w:szCs w:val="20"/>
        </w:rPr>
        <w:t>for PR (Permanent Residency), and to stay away from corruption and political instability. He is</w:t>
      </w:r>
      <w:r w:rsidR="005067A6" w:rsidRPr="003550F0">
        <w:rPr>
          <w:rFonts w:ascii="Arial" w:hAnsi="Arial" w:cs="Arial"/>
          <w:sz w:val="20"/>
          <w:szCs w:val="20"/>
        </w:rPr>
        <w:t xml:space="preserve"> </w:t>
      </w:r>
      <w:r w:rsidRPr="003550F0">
        <w:rPr>
          <w:rFonts w:ascii="Arial" w:hAnsi="Arial" w:cs="Arial"/>
          <w:sz w:val="20"/>
          <w:szCs w:val="20"/>
        </w:rPr>
        <w:t>now struggling as a student, but he is in a better position compared to Bangladesh.</w:t>
      </w:r>
    </w:p>
    <w:p w14:paraId="21A6E402" w14:textId="77777777" w:rsidR="003550F0" w:rsidRPr="003550F0" w:rsidRDefault="003550F0" w:rsidP="003550F0">
      <w:pPr>
        <w:spacing w:after="0" w:line="240" w:lineRule="auto"/>
        <w:jc w:val="both"/>
        <w:rPr>
          <w:rFonts w:ascii="Arial" w:hAnsi="Arial" w:cs="Arial"/>
          <w:sz w:val="20"/>
          <w:szCs w:val="20"/>
        </w:rPr>
      </w:pPr>
    </w:p>
    <w:p w14:paraId="637C75C5" w14:textId="5B3CF156" w:rsidR="00CA5F4B" w:rsidRPr="003550F0" w:rsidRDefault="00161262" w:rsidP="003550F0">
      <w:pPr>
        <w:spacing w:line="240" w:lineRule="auto"/>
        <w:jc w:val="both"/>
        <w:rPr>
          <w:rFonts w:ascii="Arial" w:hAnsi="Arial" w:cs="Arial"/>
          <w:b/>
          <w:bCs/>
        </w:rPr>
      </w:pPr>
      <w:r>
        <w:rPr>
          <w:rFonts w:ascii="Arial" w:hAnsi="Arial" w:cs="Arial"/>
          <w:b/>
          <w:bCs/>
        </w:rPr>
        <w:t>8</w:t>
      </w:r>
      <w:r w:rsidR="003550F0" w:rsidRPr="003550F0">
        <w:rPr>
          <w:rFonts w:ascii="Arial" w:hAnsi="Arial" w:cs="Arial"/>
          <w:b/>
          <w:bCs/>
        </w:rPr>
        <w:t xml:space="preserve">. </w:t>
      </w:r>
      <w:r w:rsidR="003550F0">
        <w:rPr>
          <w:rFonts w:ascii="Arial" w:hAnsi="Arial" w:cs="Arial"/>
          <w:b/>
          <w:bCs/>
        </w:rPr>
        <w:t>BUDGET PROBLEM’S SOLUTION</w:t>
      </w:r>
    </w:p>
    <w:p w14:paraId="24B8D24F" w14:textId="6794C0A2" w:rsidR="00A712E5" w:rsidRPr="003550F0" w:rsidRDefault="00CA5F4B" w:rsidP="003550F0">
      <w:pPr>
        <w:spacing w:after="0" w:line="240" w:lineRule="auto"/>
        <w:jc w:val="both"/>
        <w:rPr>
          <w:rFonts w:ascii="Arial" w:hAnsi="Arial" w:cs="Arial"/>
          <w:sz w:val="20"/>
          <w:szCs w:val="20"/>
        </w:rPr>
      </w:pPr>
      <w:r w:rsidRPr="003550F0">
        <w:rPr>
          <w:rFonts w:ascii="Arial" w:hAnsi="Arial" w:cs="Arial"/>
          <w:b/>
          <w:bCs/>
          <w:sz w:val="20"/>
          <w:szCs w:val="20"/>
        </w:rPr>
        <w:t>Table 9:</w:t>
      </w:r>
      <w:r w:rsidRPr="003550F0">
        <w:rPr>
          <w:rFonts w:ascii="Arial" w:hAnsi="Arial" w:cs="Arial"/>
          <w:sz w:val="20"/>
          <w:szCs w:val="20"/>
        </w:rPr>
        <w:t xml:space="preserve"> Who </w:t>
      </w:r>
      <w:r w:rsidR="008C7345" w:rsidRPr="003550F0">
        <w:rPr>
          <w:rFonts w:ascii="Arial" w:hAnsi="Arial" w:cs="Arial"/>
          <w:sz w:val="20"/>
          <w:szCs w:val="20"/>
        </w:rPr>
        <w:t>bears</w:t>
      </w:r>
      <w:r w:rsidRPr="003550F0">
        <w:rPr>
          <w:rFonts w:ascii="Arial" w:hAnsi="Arial" w:cs="Arial"/>
          <w:sz w:val="20"/>
          <w:szCs w:val="20"/>
        </w:rPr>
        <w:t xml:space="preserve"> their budget cost</w:t>
      </w:r>
    </w:p>
    <w:tbl>
      <w:tblPr>
        <w:tblStyle w:val="TableGrid"/>
        <w:tblW w:w="9355" w:type="dxa"/>
        <w:jc w:val="center"/>
        <w:tblLook w:val="04A0" w:firstRow="1" w:lastRow="0" w:firstColumn="1" w:lastColumn="0" w:noHBand="0" w:noVBand="1"/>
      </w:tblPr>
      <w:tblGrid>
        <w:gridCol w:w="6295"/>
        <w:gridCol w:w="1530"/>
        <w:gridCol w:w="1530"/>
      </w:tblGrid>
      <w:tr w:rsidR="00CA5F4B" w:rsidRPr="003550F0" w14:paraId="111AFF5B" w14:textId="77777777" w:rsidTr="00784F94">
        <w:trPr>
          <w:jc w:val="center"/>
        </w:trPr>
        <w:tc>
          <w:tcPr>
            <w:tcW w:w="6295" w:type="dxa"/>
          </w:tcPr>
          <w:p w14:paraId="32C034D7" w14:textId="77777777" w:rsidR="00CA5F4B" w:rsidRPr="003550F0" w:rsidRDefault="00CA5F4B" w:rsidP="003550F0">
            <w:pPr>
              <w:jc w:val="both"/>
              <w:rPr>
                <w:rFonts w:ascii="Arial" w:hAnsi="Arial" w:cs="Arial"/>
                <w:b/>
                <w:bCs/>
                <w:sz w:val="20"/>
                <w:szCs w:val="20"/>
              </w:rPr>
            </w:pPr>
            <w:r w:rsidRPr="003550F0">
              <w:rPr>
                <w:rFonts w:ascii="Arial" w:hAnsi="Arial" w:cs="Arial"/>
                <w:b/>
                <w:bCs/>
                <w:sz w:val="20"/>
                <w:szCs w:val="20"/>
              </w:rPr>
              <w:t>Budget management</w:t>
            </w:r>
          </w:p>
        </w:tc>
        <w:tc>
          <w:tcPr>
            <w:tcW w:w="1530" w:type="dxa"/>
            <w:tcBorders>
              <w:bottom w:val="single" w:sz="4" w:space="0" w:color="auto"/>
            </w:tcBorders>
          </w:tcPr>
          <w:p w14:paraId="12B7DAE6" w14:textId="77777777" w:rsidR="00CA5F4B" w:rsidRPr="003550F0" w:rsidRDefault="00CA5F4B" w:rsidP="003550F0">
            <w:pPr>
              <w:jc w:val="both"/>
              <w:rPr>
                <w:rFonts w:ascii="Arial" w:hAnsi="Arial" w:cs="Arial"/>
                <w:b/>
                <w:bCs/>
                <w:sz w:val="20"/>
                <w:szCs w:val="20"/>
              </w:rPr>
            </w:pPr>
            <w:r w:rsidRPr="003550F0">
              <w:rPr>
                <w:rFonts w:ascii="Arial" w:hAnsi="Arial" w:cs="Arial"/>
                <w:b/>
                <w:bCs/>
                <w:sz w:val="20"/>
                <w:szCs w:val="20"/>
              </w:rPr>
              <w:t>Total</w:t>
            </w:r>
          </w:p>
        </w:tc>
        <w:tc>
          <w:tcPr>
            <w:tcW w:w="1530" w:type="dxa"/>
            <w:tcBorders>
              <w:bottom w:val="single" w:sz="4" w:space="0" w:color="auto"/>
            </w:tcBorders>
          </w:tcPr>
          <w:p w14:paraId="32556546" w14:textId="77777777" w:rsidR="00CA5F4B" w:rsidRPr="003550F0" w:rsidRDefault="00CA5F4B" w:rsidP="003550F0">
            <w:pPr>
              <w:jc w:val="both"/>
              <w:rPr>
                <w:rFonts w:ascii="Arial" w:hAnsi="Arial" w:cs="Arial"/>
                <w:b/>
                <w:bCs/>
                <w:sz w:val="20"/>
                <w:szCs w:val="20"/>
              </w:rPr>
            </w:pPr>
            <w:r w:rsidRPr="003550F0">
              <w:rPr>
                <w:rFonts w:ascii="Arial" w:hAnsi="Arial" w:cs="Arial"/>
                <w:b/>
                <w:bCs/>
                <w:sz w:val="20"/>
                <w:szCs w:val="20"/>
              </w:rPr>
              <w:t>Percentage</w:t>
            </w:r>
          </w:p>
        </w:tc>
      </w:tr>
      <w:tr w:rsidR="00CA5F4B" w:rsidRPr="003550F0" w14:paraId="0615B533" w14:textId="77777777" w:rsidTr="00784F94">
        <w:trPr>
          <w:jc w:val="center"/>
        </w:trPr>
        <w:tc>
          <w:tcPr>
            <w:tcW w:w="6295" w:type="dxa"/>
          </w:tcPr>
          <w:p w14:paraId="53C3002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w:t>
            </w:r>
          </w:p>
        </w:tc>
        <w:tc>
          <w:tcPr>
            <w:tcW w:w="1530" w:type="dxa"/>
            <w:tcBorders>
              <w:bottom w:val="nil"/>
            </w:tcBorders>
          </w:tcPr>
          <w:p w14:paraId="7AE8C30F"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103 (Mode)</w:t>
            </w:r>
          </w:p>
        </w:tc>
        <w:tc>
          <w:tcPr>
            <w:tcW w:w="1530" w:type="dxa"/>
            <w:tcBorders>
              <w:bottom w:val="nil"/>
            </w:tcBorders>
          </w:tcPr>
          <w:p w14:paraId="4E9004D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60.23%</w:t>
            </w:r>
          </w:p>
        </w:tc>
      </w:tr>
      <w:tr w:rsidR="00CA5F4B" w:rsidRPr="003550F0" w14:paraId="6D74353E" w14:textId="77777777" w:rsidTr="00784F94">
        <w:trPr>
          <w:jc w:val="center"/>
        </w:trPr>
        <w:tc>
          <w:tcPr>
            <w:tcW w:w="6295" w:type="dxa"/>
          </w:tcPr>
          <w:p w14:paraId="09D50EE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Loan from bank</w:t>
            </w:r>
          </w:p>
        </w:tc>
        <w:tc>
          <w:tcPr>
            <w:tcW w:w="1530" w:type="dxa"/>
            <w:tcBorders>
              <w:top w:val="nil"/>
              <w:bottom w:val="nil"/>
            </w:tcBorders>
          </w:tcPr>
          <w:p w14:paraId="4DA8FE7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10</w:t>
            </w:r>
          </w:p>
        </w:tc>
        <w:tc>
          <w:tcPr>
            <w:tcW w:w="1530" w:type="dxa"/>
            <w:tcBorders>
              <w:top w:val="nil"/>
              <w:bottom w:val="nil"/>
            </w:tcBorders>
          </w:tcPr>
          <w:p w14:paraId="6738146B"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5.85%</w:t>
            </w:r>
          </w:p>
        </w:tc>
      </w:tr>
      <w:tr w:rsidR="00CA5F4B" w:rsidRPr="003550F0" w14:paraId="7F5E58DE" w14:textId="77777777" w:rsidTr="00784F94">
        <w:trPr>
          <w:trHeight w:val="332"/>
          <w:jc w:val="center"/>
        </w:trPr>
        <w:tc>
          <w:tcPr>
            <w:tcW w:w="6295" w:type="dxa"/>
          </w:tcPr>
          <w:p w14:paraId="1E2B8CB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Lend from relative from country</w:t>
            </w:r>
          </w:p>
        </w:tc>
        <w:tc>
          <w:tcPr>
            <w:tcW w:w="1530" w:type="dxa"/>
            <w:tcBorders>
              <w:top w:val="nil"/>
              <w:bottom w:val="nil"/>
            </w:tcBorders>
          </w:tcPr>
          <w:p w14:paraId="07C18E9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03</w:t>
            </w:r>
          </w:p>
        </w:tc>
        <w:tc>
          <w:tcPr>
            <w:tcW w:w="1530" w:type="dxa"/>
            <w:tcBorders>
              <w:top w:val="nil"/>
              <w:bottom w:val="nil"/>
            </w:tcBorders>
          </w:tcPr>
          <w:p w14:paraId="2786F47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1.75%</w:t>
            </w:r>
          </w:p>
        </w:tc>
      </w:tr>
      <w:tr w:rsidR="00CA5F4B" w:rsidRPr="003550F0" w14:paraId="3A6CD1AA" w14:textId="77777777" w:rsidTr="00784F94">
        <w:trPr>
          <w:jc w:val="center"/>
        </w:trPr>
        <w:tc>
          <w:tcPr>
            <w:tcW w:w="6295" w:type="dxa"/>
          </w:tcPr>
          <w:p w14:paraId="61842758" w14:textId="346E6482"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Lend from </w:t>
            </w:r>
            <w:r w:rsidR="00020154" w:rsidRPr="003550F0">
              <w:rPr>
                <w:rFonts w:ascii="Arial" w:hAnsi="Arial" w:cs="Arial"/>
                <w:sz w:val="20"/>
                <w:szCs w:val="20"/>
              </w:rPr>
              <w:t>relatives</w:t>
            </w:r>
            <w:r w:rsidRPr="003550F0">
              <w:rPr>
                <w:rFonts w:ascii="Arial" w:hAnsi="Arial" w:cs="Arial"/>
                <w:sz w:val="20"/>
                <w:szCs w:val="20"/>
              </w:rPr>
              <w:t xml:space="preserve"> from abroad</w:t>
            </w:r>
          </w:p>
        </w:tc>
        <w:tc>
          <w:tcPr>
            <w:tcW w:w="1530" w:type="dxa"/>
            <w:tcBorders>
              <w:top w:val="nil"/>
              <w:bottom w:val="nil"/>
            </w:tcBorders>
          </w:tcPr>
          <w:p w14:paraId="25E64DFC"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08</w:t>
            </w:r>
          </w:p>
        </w:tc>
        <w:tc>
          <w:tcPr>
            <w:tcW w:w="1530" w:type="dxa"/>
            <w:tcBorders>
              <w:top w:val="nil"/>
              <w:bottom w:val="nil"/>
            </w:tcBorders>
          </w:tcPr>
          <w:p w14:paraId="0F4A8F6C"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4.68%</w:t>
            </w:r>
          </w:p>
        </w:tc>
      </w:tr>
      <w:tr w:rsidR="00CA5F4B" w:rsidRPr="003550F0" w14:paraId="5900743A" w14:textId="77777777" w:rsidTr="00784F94">
        <w:trPr>
          <w:jc w:val="center"/>
        </w:trPr>
        <w:tc>
          <w:tcPr>
            <w:tcW w:w="6295" w:type="dxa"/>
          </w:tcPr>
          <w:p w14:paraId="7BB43FC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From assets selling</w:t>
            </w:r>
          </w:p>
        </w:tc>
        <w:tc>
          <w:tcPr>
            <w:tcW w:w="1530" w:type="dxa"/>
            <w:tcBorders>
              <w:top w:val="nil"/>
              <w:bottom w:val="nil"/>
            </w:tcBorders>
          </w:tcPr>
          <w:p w14:paraId="4CFF60A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7C2CAD4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027B3195" w14:textId="77777777" w:rsidTr="00784F94">
        <w:trPr>
          <w:jc w:val="center"/>
        </w:trPr>
        <w:tc>
          <w:tcPr>
            <w:tcW w:w="6295" w:type="dxa"/>
          </w:tcPr>
          <w:p w14:paraId="0177C39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Assistance from relative</w:t>
            </w:r>
          </w:p>
        </w:tc>
        <w:tc>
          <w:tcPr>
            <w:tcW w:w="1530" w:type="dxa"/>
            <w:tcBorders>
              <w:top w:val="nil"/>
              <w:bottom w:val="nil"/>
            </w:tcBorders>
          </w:tcPr>
          <w:p w14:paraId="6A974E9F"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49B010A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13B50C0D" w14:textId="77777777" w:rsidTr="00784F94">
        <w:trPr>
          <w:jc w:val="center"/>
        </w:trPr>
        <w:tc>
          <w:tcPr>
            <w:tcW w:w="6295" w:type="dxa"/>
          </w:tcPr>
          <w:p w14:paraId="4B29D7FA"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Lend from relative from country</w:t>
            </w:r>
          </w:p>
        </w:tc>
        <w:tc>
          <w:tcPr>
            <w:tcW w:w="1530" w:type="dxa"/>
            <w:tcBorders>
              <w:top w:val="nil"/>
              <w:bottom w:val="nil"/>
            </w:tcBorders>
          </w:tcPr>
          <w:p w14:paraId="1F4F6A2A"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44A89DA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0FD6163B" w14:textId="77777777" w:rsidTr="00784F94">
        <w:trPr>
          <w:jc w:val="center"/>
        </w:trPr>
        <w:tc>
          <w:tcPr>
            <w:tcW w:w="6295" w:type="dxa"/>
          </w:tcPr>
          <w:p w14:paraId="360F8D8A" w14:textId="1AE6C601"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w:t>
            </w:r>
            <w:r w:rsidR="00784F94">
              <w:rPr>
                <w:rFonts w:ascii="Arial" w:hAnsi="Arial" w:cs="Arial"/>
                <w:sz w:val="20"/>
                <w:szCs w:val="20"/>
              </w:rPr>
              <w:t xml:space="preserve"> </w:t>
            </w:r>
            <w:r w:rsidRPr="003550F0">
              <w:rPr>
                <w:rFonts w:ascii="Arial" w:hAnsi="Arial" w:cs="Arial"/>
                <w:sz w:val="20"/>
                <w:szCs w:val="20"/>
              </w:rPr>
              <w:t>Lend from relative from abroad</w:t>
            </w:r>
          </w:p>
        </w:tc>
        <w:tc>
          <w:tcPr>
            <w:tcW w:w="1530" w:type="dxa"/>
            <w:tcBorders>
              <w:top w:val="nil"/>
              <w:bottom w:val="nil"/>
            </w:tcBorders>
          </w:tcPr>
          <w:p w14:paraId="0DB5C89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06</w:t>
            </w:r>
          </w:p>
        </w:tc>
        <w:tc>
          <w:tcPr>
            <w:tcW w:w="1530" w:type="dxa"/>
            <w:tcBorders>
              <w:top w:val="nil"/>
              <w:bottom w:val="nil"/>
            </w:tcBorders>
          </w:tcPr>
          <w:p w14:paraId="11DE14F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3.51%</w:t>
            </w:r>
          </w:p>
        </w:tc>
      </w:tr>
      <w:tr w:rsidR="00CA5F4B" w:rsidRPr="003550F0" w14:paraId="66FEC051" w14:textId="77777777" w:rsidTr="00784F94">
        <w:trPr>
          <w:jc w:val="center"/>
        </w:trPr>
        <w:tc>
          <w:tcPr>
            <w:tcW w:w="6295" w:type="dxa"/>
          </w:tcPr>
          <w:p w14:paraId="231F7D26"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Assistance from relative</w:t>
            </w:r>
          </w:p>
        </w:tc>
        <w:tc>
          <w:tcPr>
            <w:tcW w:w="1530" w:type="dxa"/>
            <w:tcBorders>
              <w:top w:val="nil"/>
              <w:bottom w:val="nil"/>
            </w:tcBorders>
          </w:tcPr>
          <w:p w14:paraId="0A10D8A0"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06</w:t>
            </w:r>
          </w:p>
        </w:tc>
        <w:tc>
          <w:tcPr>
            <w:tcW w:w="1530" w:type="dxa"/>
            <w:tcBorders>
              <w:top w:val="nil"/>
              <w:bottom w:val="nil"/>
            </w:tcBorders>
          </w:tcPr>
          <w:p w14:paraId="43531FFB"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3.51%</w:t>
            </w:r>
          </w:p>
        </w:tc>
      </w:tr>
      <w:tr w:rsidR="00CA5F4B" w:rsidRPr="003550F0" w14:paraId="33A94298" w14:textId="77777777" w:rsidTr="00784F94">
        <w:trPr>
          <w:jc w:val="center"/>
        </w:trPr>
        <w:tc>
          <w:tcPr>
            <w:tcW w:w="6295" w:type="dxa"/>
          </w:tcPr>
          <w:p w14:paraId="5624BEF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Loan from bank</w:t>
            </w:r>
          </w:p>
        </w:tc>
        <w:tc>
          <w:tcPr>
            <w:tcW w:w="1530" w:type="dxa"/>
            <w:tcBorders>
              <w:top w:val="nil"/>
              <w:bottom w:val="nil"/>
            </w:tcBorders>
          </w:tcPr>
          <w:p w14:paraId="5ABFC866"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14</w:t>
            </w:r>
          </w:p>
        </w:tc>
        <w:tc>
          <w:tcPr>
            <w:tcW w:w="1530" w:type="dxa"/>
            <w:tcBorders>
              <w:top w:val="nil"/>
              <w:bottom w:val="nil"/>
            </w:tcBorders>
          </w:tcPr>
          <w:p w14:paraId="0A77DEC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8.19%</w:t>
            </w:r>
          </w:p>
        </w:tc>
      </w:tr>
      <w:tr w:rsidR="00CA5F4B" w:rsidRPr="003550F0" w14:paraId="05C71918" w14:textId="77777777" w:rsidTr="00784F94">
        <w:trPr>
          <w:jc w:val="center"/>
        </w:trPr>
        <w:tc>
          <w:tcPr>
            <w:tcW w:w="6295" w:type="dxa"/>
          </w:tcPr>
          <w:p w14:paraId="7F6C88B2"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from assets selling</w:t>
            </w:r>
          </w:p>
        </w:tc>
        <w:tc>
          <w:tcPr>
            <w:tcW w:w="1530" w:type="dxa"/>
            <w:tcBorders>
              <w:top w:val="nil"/>
              <w:bottom w:val="nil"/>
            </w:tcBorders>
          </w:tcPr>
          <w:p w14:paraId="01C51FCF"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w:t>
            </w:r>
          </w:p>
        </w:tc>
        <w:tc>
          <w:tcPr>
            <w:tcW w:w="1530" w:type="dxa"/>
            <w:tcBorders>
              <w:top w:val="nil"/>
              <w:bottom w:val="nil"/>
            </w:tcBorders>
          </w:tcPr>
          <w:p w14:paraId="0262078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2.92%</w:t>
            </w:r>
          </w:p>
        </w:tc>
      </w:tr>
      <w:tr w:rsidR="00CA5F4B" w:rsidRPr="003550F0" w14:paraId="3EE672AD" w14:textId="77777777" w:rsidTr="00784F94">
        <w:trPr>
          <w:jc w:val="center"/>
        </w:trPr>
        <w:tc>
          <w:tcPr>
            <w:tcW w:w="6295" w:type="dxa"/>
          </w:tcPr>
          <w:p w14:paraId="421A526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Loan from bank, from assets selling</w:t>
            </w:r>
          </w:p>
        </w:tc>
        <w:tc>
          <w:tcPr>
            <w:tcW w:w="1530" w:type="dxa"/>
            <w:tcBorders>
              <w:top w:val="nil"/>
              <w:bottom w:val="nil"/>
            </w:tcBorders>
          </w:tcPr>
          <w:p w14:paraId="06D91853"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03</w:t>
            </w:r>
          </w:p>
        </w:tc>
        <w:tc>
          <w:tcPr>
            <w:tcW w:w="1530" w:type="dxa"/>
            <w:tcBorders>
              <w:top w:val="nil"/>
              <w:bottom w:val="nil"/>
            </w:tcBorders>
          </w:tcPr>
          <w:p w14:paraId="5186E40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1.75%</w:t>
            </w:r>
          </w:p>
        </w:tc>
      </w:tr>
      <w:tr w:rsidR="00CA5F4B" w:rsidRPr="003550F0" w14:paraId="742A5C44" w14:textId="77777777" w:rsidTr="00784F94">
        <w:trPr>
          <w:jc w:val="center"/>
        </w:trPr>
        <w:tc>
          <w:tcPr>
            <w:tcW w:w="6295" w:type="dxa"/>
          </w:tcPr>
          <w:p w14:paraId="4C7B6474" w14:textId="2246E344"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Lend from </w:t>
            </w:r>
            <w:r w:rsidR="00020154" w:rsidRPr="003550F0">
              <w:rPr>
                <w:rFonts w:ascii="Arial" w:hAnsi="Arial" w:cs="Arial"/>
                <w:sz w:val="20"/>
                <w:szCs w:val="20"/>
              </w:rPr>
              <w:t>relatives</w:t>
            </w:r>
            <w:r w:rsidRPr="003550F0">
              <w:rPr>
                <w:rFonts w:ascii="Arial" w:hAnsi="Arial" w:cs="Arial"/>
                <w:sz w:val="20"/>
                <w:szCs w:val="20"/>
              </w:rPr>
              <w:t xml:space="preserve"> from abroad, Assistance from relative</w:t>
            </w:r>
          </w:p>
        </w:tc>
        <w:tc>
          <w:tcPr>
            <w:tcW w:w="1530" w:type="dxa"/>
            <w:tcBorders>
              <w:top w:val="nil"/>
              <w:bottom w:val="nil"/>
            </w:tcBorders>
          </w:tcPr>
          <w:p w14:paraId="34C99D7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35AACA94"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5972C7E5" w14:textId="77777777" w:rsidTr="00784F94">
        <w:trPr>
          <w:jc w:val="center"/>
        </w:trPr>
        <w:tc>
          <w:tcPr>
            <w:tcW w:w="6295" w:type="dxa"/>
          </w:tcPr>
          <w:p w14:paraId="1822880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Loan from bank, </w:t>
            </w:r>
          </w:p>
          <w:p w14:paraId="7FC8460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Lend from relative from country</w:t>
            </w:r>
          </w:p>
        </w:tc>
        <w:tc>
          <w:tcPr>
            <w:tcW w:w="1530" w:type="dxa"/>
            <w:tcBorders>
              <w:top w:val="nil"/>
              <w:bottom w:val="nil"/>
            </w:tcBorders>
          </w:tcPr>
          <w:p w14:paraId="41339F89"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03</w:t>
            </w:r>
          </w:p>
        </w:tc>
        <w:tc>
          <w:tcPr>
            <w:tcW w:w="1530" w:type="dxa"/>
            <w:tcBorders>
              <w:top w:val="nil"/>
              <w:bottom w:val="nil"/>
            </w:tcBorders>
          </w:tcPr>
          <w:p w14:paraId="747C23B5"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1.75%</w:t>
            </w:r>
          </w:p>
        </w:tc>
      </w:tr>
      <w:tr w:rsidR="00CA5F4B" w:rsidRPr="003550F0" w14:paraId="0708E83D" w14:textId="77777777" w:rsidTr="00784F94">
        <w:trPr>
          <w:jc w:val="center"/>
        </w:trPr>
        <w:tc>
          <w:tcPr>
            <w:tcW w:w="6295" w:type="dxa"/>
          </w:tcPr>
          <w:p w14:paraId="6E39CFF4" w14:textId="14896572"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Loan from bank, Lend from </w:t>
            </w:r>
            <w:r w:rsidR="00020154" w:rsidRPr="003550F0">
              <w:rPr>
                <w:rFonts w:ascii="Arial" w:hAnsi="Arial" w:cs="Arial"/>
                <w:sz w:val="20"/>
                <w:szCs w:val="20"/>
              </w:rPr>
              <w:t>relatives</w:t>
            </w:r>
            <w:r w:rsidRPr="003550F0">
              <w:rPr>
                <w:rFonts w:ascii="Arial" w:hAnsi="Arial" w:cs="Arial"/>
                <w:sz w:val="20"/>
                <w:szCs w:val="20"/>
              </w:rPr>
              <w:t xml:space="preserve"> from abroad</w:t>
            </w:r>
          </w:p>
        </w:tc>
        <w:tc>
          <w:tcPr>
            <w:tcW w:w="1530" w:type="dxa"/>
            <w:tcBorders>
              <w:top w:val="nil"/>
              <w:bottom w:val="nil"/>
            </w:tcBorders>
          </w:tcPr>
          <w:p w14:paraId="3AEBB169"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7F01E70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2B484F21" w14:textId="77777777" w:rsidTr="00784F94">
        <w:trPr>
          <w:jc w:val="center"/>
        </w:trPr>
        <w:tc>
          <w:tcPr>
            <w:tcW w:w="6295" w:type="dxa"/>
          </w:tcPr>
          <w:p w14:paraId="7BC226D3"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w:t>
            </w:r>
            <w:proofErr w:type="gramStart"/>
            <w:r w:rsidRPr="003550F0">
              <w:rPr>
                <w:rFonts w:ascii="Arial" w:hAnsi="Arial" w:cs="Arial"/>
                <w:sz w:val="20"/>
                <w:szCs w:val="20"/>
              </w:rPr>
              <w:t>From</w:t>
            </w:r>
            <w:proofErr w:type="gramEnd"/>
            <w:r w:rsidRPr="003550F0">
              <w:rPr>
                <w:rFonts w:ascii="Arial" w:hAnsi="Arial" w:cs="Arial"/>
                <w:sz w:val="20"/>
                <w:szCs w:val="20"/>
              </w:rPr>
              <w:t xml:space="preserve"> assets selling, </w:t>
            </w:r>
          </w:p>
          <w:p w14:paraId="6258757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lastRenderedPageBreak/>
              <w:t>Assistance from relative</w:t>
            </w:r>
          </w:p>
        </w:tc>
        <w:tc>
          <w:tcPr>
            <w:tcW w:w="1530" w:type="dxa"/>
            <w:tcBorders>
              <w:top w:val="nil"/>
              <w:bottom w:val="nil"/>
            </w:tcBorders>
          </w:tcPr>
          <w:p w14:paraId="769F708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lastRenderedPageBreak/>
              <w:t>01</w:t>
            </w:r>
          </w:p>
        </w:tc>
        <w:tc>
          <w:tcPr>
            <w:tcW w:w="1530" w:type="dxa"/>
            <w:tcBorders>
              <w:top w:val="nil"/>
              <w:bottom w:val="nil"/>
            </w:tcBorders>
          </w:tcPr>
          <w:p w14:paraId="5DAC04F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70BE8D92" w14:textId="77777777" w:rsidTr="00784F94">
        <w:trPr>
          <w:jc w:val="center"/>
        </w:trPr>
        <w:tc>
          <w:tcPr>
            <w:tcW w:w="6295" w:type="dxa"/>
          </w:tcPr>
          <w:p w14:paraId="10106A13"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w:t>
            </w:r>
            <w:proofErr w:type="gramStart"/>
            <w:r w:rsidRPr="003550F0">
              <w:rPr>
                <w:rFonts w:ascii="Arial" w:hAnsi="Arial" w:cs="Arial"/>
                <w:sz w:val="20"/>
                <w:szCs w:val="20"/>
              </w:rPr>
              <w:t>Lend</w:t>
            </w:r>
            <w:proofErr w:type="gramEnd"/>
            <w:r w:rsidRPr="003550F0">
              <w:rPr>
                <w:rFonts w:ascii="Arial" w:hAnsi="Arial" w:cs="Arial"/>
                <w:sz w:val="20"/>
                <w:szCs w:val="20"/>
              </w:rPr>
              <w:t xml:space="preserve"> from relative from country, Lend from relative from abroad</w:t>
            </w:r>
          </w:p>
        </w:tc>
        <w:tc>
          <w:tcPr>
            <w:tcW w:w="1530" w:type="dxa"/>
            <w:tcBorders>
              <w:top w:val="nil"/>
              <w:bottom w:val="nil"/>
            </w:tcBorders>
          </w:tcPr>
          <w:p w14:paraId="60C22082"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bottom w:val="nil"/>
            </w:tcBorders>
          </w:tcPr>
          <w:p w14:paraId="1266119E"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61356228" w14:textId="77777777" w:rsidTr="00784F94">
        <w:trPr>
          <w:jc w:val="center"/>
        </w:trPr>
        <w:tc>
          <w:tcPr>
            <w:tcW w:w="6295" w:type="dxa"/>
          </w:tcPr>
          <w:p w14:paraId="594A1C90"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Your family will bear, Loan from bank,</w:t>
            </w:r>
          </w:p>
          <w:p w14:paraId="0B36AA5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Lend from relative from abroad, Assistance from relative</w:t>
            </w:r>
          </w:p>
        </w:tc>
        <w:tc>
          <w:tcPr>
            <w:tcW w:w="1530" w:type="dxa"/>
            <w:tcBorders>
              <w:top w:val="nil"/>
              <w:bottom w:val="nil"/>
            </w:tcBorders>
          </w:tcPr>
          <w:p w14:paraId="4B317FE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02</w:t>
            </w:r>
          </w:p>
        </w:tc>
        <w:tc>
          <w:tcPr>
            <w:tcW w:w="1530" w:type="dxa"/>
            <w:tcBorders>
              <w:top w:val="nil"/>
              <w:bottom w:val="nil"/>
            </w:tcBorders>
          </w:tcPr>
          <w:p w14:paraId="4504B8E1"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1.17%</w:t>
            </w:r>
          </w:p>
        </w:tc>
      </w:tr>
      <w:tr w:rsidR="00CA5F4B" w:rsidRPr="003550F0" w14:paraId="46B6C2FF" w14:textId="77777777" w:rsidTr="00784F94">
        <w:trPr>
          <w:jc w:val="center"/>
        </w:trPr>
        <w:tc>
          <w:tcPr>
            <w:tcW w:w="6295" w:type="dxa"/>
          </w:tcPr>
          <w:p w14:paraId="5803913D"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 xml:space="preserve">Your family will bear, </w:t>
            </w:r>
            <w:proofErr w:type="gramStart"/>
            <w:r w:rsidRPr="003550F0">
              <w:rPr>
                <w:rFonts w:ascii="Arial" w:hAnsi="Arial" w:cs="Arial"/>
                <w:sz w:val="20"/>
                <w:szCs w:val="20"/>
              </w:rPr>
              <w:t>Lend</w:t>
            </w:r>
            <w:proofErr w:type="gramEnd"/>
            <w:r w:rsidRPr="003550F0">
              <w:rPr>
                <w:rFonts w:ascii="Arial" w:hAnsi="Arial" w:cs="Arial"/>
                <w:sz w:val="20"/>
                <w:szCs w:val="20"/>
              </w:rPr>
              <w:t xml:space="preserve"> from relative from country, </w:t>
            </w:r>
            <w:proofErr w:type="gramStart"/>
            <w:r w:rsidRPr="003550F0">
              <w:rPr>
                <w:rFonts w:ascii="Arial" w:hAnsi="Arial" w:cs="Arial"/>
                <w:sz w:val="20"/>
                <w:szCs w:val="20"/>
              </w:rPr>
              <w:t>Lend</w:t>
            </w:r>
            <w:proofErr w:type="gramEnd"/>
            <w:r w:rsidRPr="003550F0">
              <w:rPr>
                <w:rFonts w:ascii="Arial" w:hAnsi="Arial" w:cs="Arial"/>
                <w:sz w:val="20"/>
                <w:szCs w:val="20"/>
              </w:rPr>
              <w:t xml:space="preserve"> from relative from abroad, </w:t>
            </w:r>
            <w:proofErr w:type="gramStart"/>
            <w:r w:rsidRPr="003550F0">
              <w:rPr>
                <w:rFonts w:ascii="Arial" w:hAnsi="Arial" w:cs="Arial"/>
                <w:sz w:val="20"/>
                <w:szCs w:val="20"/>
              </w:rPr>
              <w:t>From</w:t>
            </w:r>
            <w:proofErr w:type="gramEnd"/>
            <w:r w:rsidRPr="003550F0">
              <w:rPr>
                <w:rFonts w:ascii="Arial" w:hAnsi="Arial" w:cs="Arial"/>
                <w:sz w:val="20"/>
                <w:szCs w:val="20"/>
              </w:rPr>
              <w:t xml:space="preserve"> assets selling, Assistance from relative</w:t>
            </w:r>
          </w:p>
        </w:tc>
        <w:tc>
          <w:tcPr>
            <w:tcW w:w="1530" w:type="dxa"/>
            <w:tcBorders>
              <w:top w:val="nil"/>
            </w:tcBorders>
          </w:tcPr>
          <w:p w14:paraId="1BE7C2E7"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01</w:t>
            </w:r>
          </w:p>
        </w:tc>
        <w:tc>
          <w:tcPr>
            <w:tcW w:w="1530" w:type="dxa"/>
            <w:tcBorders>
              <w:top w:val="nil"/>
            </w:tcBorders>
          </w:tcPr>
          <w:p w14:paraId="252CE76B"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0.58%</w:t>
            </w:r>
          </w:p>
        </w:tc>
      </w:tr>
      <w:tr w:rsidR="00CA5F4B" w:rsidRPr="003550F0" w14:paraId="5643EC42" w14:textId="77777777" w:rsidTr="00784F94">
        <w:trPr>
          <w:jc w:val="center"/>
        </w:trPr>
        <w:tc>
          <w:tcPr>
            <w:tcW w:w="6295" w:type="dxa"/>
          </w:tcPr>
          <w:p w14:paraId="6C638348" w14:textId="77777777" w:rsidR="00CA5F4B" w:rsidRPr="003550F0" w:rsidRDefault="00CA5F4B" w:rsidP="003550F0">
            <w:pPr>
              <w:jc w:val="both"/>
              <w:rPr>
                <w:rFonts w:ascii="Arial" w:hAnsi="Arial" w:cs="Arial"/>
                <w:sz w:val="20"/>
                <w:szCs w:val="20"/>
              </w:rPr>
            </w:pPr>
          </w:p>
        </w:tc>
        <w:tc>
          <w:tcPr>
            <w:tcW w:w="1530" w:type="dxa"/>
          </w:tcPr>
          <w:p w14:paraId="40B04868" w14:textId="77777777" w:rsidR="00CA5F4B" w:rsidRPr="003550F0" w:rsidRDefault="00CA5F4B" w:rsidP="003550F0">
            <w:pPr>
              <w:jc w:val="both"/>
              <w:rPr>
                <w:rFonts w:ascii="Arial" w:hAnsi="Arial" w:cs="Arial"/>
                <w:sz w:val="20"/>
                <w:szCs w:val="20"/>
              </w:rPr>
            </w:pPr>
            <w:r w:rsidRPr="003550F0">
              <w:rPr>
                <w:rFonts w:ascii="Arial" w:hAnsi="Arial" w:cs="Arial"/>
                <w:sz w:val="20"/>
                <w:szCs w:val="20"/>
              </w:rPr>
              <w:t>Total = 171</w:t>
            </w:r>
          </w:p>
        </w:tc>
        <w:tc>
          <w:tcPr>
            <w:tcW w:w="1530" w:type="dxa"/>
          </w:tcPr>
          <w:p w14:paraId="45D6A34F" w14:textId="77777777" w:rsidR="00CA5F4B" w:rsidRPr="003550F0" w:rsidRDefault="00CA5F4B" w:rsidP="003550F0">
            <w:pPr>
              <w:jc w:val="both"/>
              <w:rPr>
                <w:rFonts w:ascii="Arial" w:hAnsi="Arial" w:cs="Arial"/>
                <w:sz w:val="20"/>
                <w:szCs w:val="20"/>
              </w:rPr>
            </w:pPr>
          </w:p>
        </w:tc>
      </w:tr>
    </w:tbl>
    <w:p w14:paraId="27C1DC9C" w14:textId="77777777" w:rsidR="00CA5F4B" w:rsidRPr="003550F0" w:rsidRDefault="00CA5F4B" w:rsidP="003550F0">
      <w:pPr>
        <w:spacing w:after="0" w:line="240" w:lineRule="auto"/>
        <w:jc w:val="both"/>
        <w:rPr>
          <w:rFonts w:ascii="Arial" w:hAnsi="Arial" w:cs="Arial"/>
          <w:sz w:val="20"/>
          <w:szCs w:val="20"/>
        </w:rPr>
      </w:pPr>
    </w:p>
    <w:p w14:paraId="51620E74" w14:textId="6E39B6BD" w:rsidR="00CA5F4B" w:rsidRDefault="00CA5F4B" w:rsidP="003550F0">
      <w:pPr>
        <w:spacing w:after="0" w:line="240" w:lineRule="auto"/>
        <w:jc w:val="both"/>
        <w:rPr>
          <w:rFonts w:ascii="Arial" w:hAnsi="Arial" w:cs="Arial"/>
          <w:sz w:val="20"/>
          <w:szCs w:val="20"/>
        </w:rPr>
      </w:pPr>
      <w:r w:rsidRPr="003550F0">
        <w:rPr>
          <w:rFonts w:ascii="Arial" w:hAnsi="Arial" w:cs="Arial"/>
          <w:sz w:val="20"/>
          <w:szCs w:val="20"/>
        </w:rPr>
        <w:t>Table 9</w:t>
      </w:r>
      <w:r w:rsidR="008B553F" w:rsidRPr="003550F0">
        <w:rPr>
          <w:rFonts w:ascii="Arial" w:hAnsi="Arial" w:cs="Arial"/>
          <w:sz w:val="20"/>
          <w:szCs w:val="20"/>
        </w:rPr>
        <w:t xml:space="preserve"> </w:t>
      </w:r>
      <w:r w:rsidR="003B5F92" w:rsidRPr="003550F0">
        <w:rPr>
          <w:rFonts w:ascii="Arial" w:hAnsi="Arial" w:cs="Arial"/>
          <w:sz w:val="20"/>
          <w:szCs w:val="20"/>
        </w:rPr>
        <w:t>provides</w:t>
      </w:r>
      <w:r w:rsidRPr="003550F0">
        <w:rPr>
          <w:rFonts w:ascii="Arial" w:hAnsi="Arial" w:cs="Arial"/>
          <w:sz w:val="20"/>
          <w:szCs w:val="20"/>
        </w:rPr>
        <w:t xml:space="preserve"> </w:t>
      </w:r>
      <w:r w:rsidR="00EC0225" w:rsidRPr="003550F0">
        <w:rPr>
          <w:rFonts w:ascii="Arial" w:hAnsi="Arial" w:cs="Arial"/>
          <w:sz w:val="20"/>
          <w:szCs w:val="20"/>
        </w:rPr>
        <w:t>detailed</w:t>
      </w:r>
      <w:r w:rsidRPr="003550F0">
        <w:rPr>
          <w:rFonts w:ascii="Arial" w:hAnsi="Arial" w:cs="Arial"/>
          <w:sz w:val="20"/>
          <w:szCs w:val="20"/>
        </w:rPr>
        <w:t xml:space="preserve"> data related to how individuals or families manage their budget costs. Out of 171 total respondents, the most common source of financing is family</w:t>
      </w:r>
      <w:r w:rsidR="00E86D36">
        <w:rPr>
          <w:rFonts w:ascii="Arial" w:hAnsi="Arial" w:cs="Arial"/>
          <w:sz w:val="20"/>
          <w:szCs w:val="20"/>
        </w:rPr>
        <w:t>, with</w:t>
      </w:r>
      <w:r w:rsidRPr="003550F0">
        <w:rPr>
          <w:rFonts w:ascii="Arial" w:hAnsi="Arial" w:cs="Arial"/>
          <w:sz w:val="20"/>
          <w:szCs w:val="20"/>
        </w:rPr>
        <w:t xml:space="preserve"> 103 instances, accounting for 60.23%. 10 people take loans from </w:t>
      </w:r>
      <w:r w:rsidR="008B553F" w:rsidRPr="003550F0">
        <w:rPr>
          <w:rFonts w:ascii="Arial" w:hAnsi="Arial" w:cs="Arial"/>
          <w:sz w:val="20"/>
          <w:szCs w:val="20"/>
        </w:rPr>
        <w:t>the bank</w:t>
      </w:r>
      <w:r w:rsidRPr="003550F0">
        <w:rPr>
          <w:rFonts w:ascii="Arial" w:hAnsi="Arial" w:cs="Arial"/>
          <w:sz w:val="20"/>
          <w:szCs w:val="20"/>
        </w:rPr>
        <w:t xml:space="preserve">. This source is significantly less common, making up 5.85% of the responses. Lend from </w:t>
      </w:r>
      <w:r w:rsidR="00EC0225" w:rsidRPr="003550F0">
        <w:rPr>
          <w:rFonts w:ascii="Arial" w:hAnsi="Arial" w:cs="Arial"/>
          <w:sz w:val="20"/>
          <w:szCs w:val="20"/>
        </w:rPr>
        <w:t>relatives</w:t>
      </w:r>
      <w:r w:rsidRPr="003550F0">
        <w:rPr>
          <w:rFonts w:ascii="Arial" w:hAnsi="Arial" w:cs="Arial"/>
          <w:sz w:val="20"/>
          <w:szCs w:val="20"/>
        </w:rPr>
        <w:t xml:space="preserve"> from country (3 out of 171) instances, 1.71%. Lend</w:t>
      </w:r>
      <w:r w:rsidR="00E86D36">
        <w:rPr>
          <w:rFonts w:ascii="Arial" w:hAnsi="Arial" w:cs="Arial"/>
          <w:sz w:val="20"/>
          <w:szCs w:val="20"/>
        </w:rPr>
        <w:t>ing</w:t>
      </w:r>
      <w:r w:rsidRPr="003550F0">
        <w:rPr>
          <w:rFonts w:ascii="Arial" w:hAnsi="Arial" w:cs="Arial"/>
          <w:sz w:val="20"/>
          <w:szCs w:val="20"/>
        </w:rPr>
        <w:t xml:space="preserve"> from relatives from abroad (8 out of 171) mak</w:t>
      </w:r>
      <w:r w:rsidR="00E86D36">
        <w:rPr>
          <w:rFonts w:ascii="Arial" w:hAnsi="Arial" w:cs="Arial"/>
          <w:sz w:val="20"/>
          <w:szCs w:val="20"/>
        </w:rPr>
        <w:t>es</w:t>
      </w:r>
      <w:r w:rsidRPr="003550F0">
        <w:rPr>
          <w:rFonts w:ascii="Arial" w:hAnsi="Arial" w:cs="Arial"/>
          <w:sz w:val="20"/>
          <w:szCs w:val="20"/>
        </w:rPr>
        <w:t xml:space="preserve"> up 4.68%. </w:t>
      </w:r>
      <w:r w:rsidR="00E86D36" w:rsidRPr="00E86D36">
        <w:rPr>
          <w:rFonts w:ascii="Arial" w:hAnsi="Arial" w:cs="Arial"/>
          <w:sz w:val="20"/>
          <w:szCs w:val="20"/>
        </w:rPr>
        <w:t>Both asset selling and assistance from relatives account for the same proportion of 0.58%.</w:t>
      </w:r>
      <w:r w:rsidRPr="003550F0">
        <w:rPr>
          <w:rFonts w:ascii="Arial" w:hAnsi="Arial" w:cs="Arial"/>
          <w:sz w:val="20"/>
          <w:szCs w:val="20"/>
        </w:rPr>
        <w:t xml:space="preserve"> 0.58% (1 out of 171) borrowed from family and relatives of the country. </w:t>
      </w:r>
      <w:r w:rsidR="00EC0225" w:rsidRPr="003550F0">
        <w:rPr>
          <w:rFonts w:ascii="Arial" w:hAnsi="Arial" w:cs="Arial"/>
          <w:sz w:val="20"/>
          <w:szCs w:val="20"/>
        </w:rPr>
        <w:t>Similarly,</w:t>
      </w:r>
      <w:r w:rsidRPr="003550F0">
        <w:rPr>
          <w:rFonts w:ascii="Arial" w:hAnsi="Arial" w:cs="Arial"/>
          <w:sz w:val="20"/>
          <w:szCs w:val="20"/>
        </w:rPr>
        <w:t xml:space="preserve"> </w:t>
      </w:r>
      <w:r w:rsidR="00EC0225" w:rsidRPr="003550F0">
        <w:rPr>
          <w:rFonts w:ascii="Arial" w:hAnsi="Arial" w:cs="Arial"/>
          <w:sz w:val="20"/>
          <w:szCs w:val="20"/>
        </w:rPr>
        <w:t>lending</w:t>
      </w:r>
      <w:r w:rsidRPr="003550F0">
        <w:rPr>
          <w:rFonts w:ascii="Arial" w:hAnsi="Arial" w:cs="Arial"/>
          <w:sz w:val="20"/>
          <w:szCs w:val="20"/>
        </w:rPr>
        <w:t xml:space="preserve"> from </w:t>
      </w:r>
      <w:r w:rsidR="00EC0225" w:rsidRPr="003550F0">
        <w:rPr>
          <w:rFonts w:ascii="Arial" w:hAnsi="Arial" w:cs="Arial"/>
          <w:sz w:val="20"/>
          <w:szCs w:val="20"/>
        </w:rPr>
        <w:t>relatives</w:t>
      </w:r>
      <w:r w:rsidRPr="003550F0">
        <w:rPr>
          <w:rFonts w:ascii="Arial" w:hAnsi="Arial" w:cs="Arial"/>
          <w:sz w:val="20"/>
          <w:szCs w:val="20"/>
        </w:rPr>
        <w:t xml:space="preserve"> from abroad and assistance from </w:t>
      </w:r>
      <w:r w:rsidR="00EC0225" w:rsidRPr="003550F0">
        <w:rPr>
          <w:rFonts w:ascii="Arial" w:hAnsi="Arial" w:cs="Arial"/>
          <w:sz w:val="20"/>
          <w:szCs w:val="20"/>
        </w:rPr>
        <w:t>relatives</w:t>
      </w:r>
      <w:r w:rsidRPr="003550F0">
        <w:rPr>
          <w:rFonts w:ascii="Arial" w:hAnsi="Arial" w:cs="Arial"/>
          <w:sz w:val="20"/>
          <w:szCs w:val="20"/>
        </w:rPr>
        <w:t xml:space="preserve">. From family and bank, and from family and assistance from </w:t>
      </w:r>
      <w:r w:rsidR="00EC0225" w:rsidRPr="003550F0">
        <w:rPr>
          <w:rFonts w:ascii="Arial" w:hAnsi="Arial" w:cs="Arial"/>
          <w:sz w:val="20"/>
          <w:szCs w:val="20"/>
        </w:rPr>
        <w:t>relatives</w:t>
      </w:r>
      <w:r w:rsidR="00E86D36">
        <w:rPr>
          <w:rFonts w:ascii="Arial" w:hAnsi="Arial" w:cs="Arial"/>
          <w:sz w:val="20"/>
          <w:szCs w:val="20"/>
        </w:rPr>
        <w:t>,</w:t>
      </w:r>
      <w:r w:rsidRPr="003550F0">
        <w:rPr>
          <w:rFonts w:ascii="Arial" w:hAnsi="Arial" w:cs="Arial"/>
          <w:sz w:val="20"/>
          <w:szCs w:val="20"/>
        </w:rPr>
        <w:t xml:space="preserve"> the budget</w:t>
      </w:r>
      <w:r w:rsidR="00E86D36">
        <w:rPr>
          <w:rFonts w:ascii="Arial" w:hAnsi="Arial" w:cs="Arial"/>
          <w:sz w:val="20"/>
          <w:szCs w:val="20"/>
        </w:rPr>
        <w:t xml:space="preserve"> is managed,</w:t>
      </w:r>
      <w:r w:rsidRPr="003550F0">
        <w:rPr>
          <w:rFonts w:ascii="Arial" w:hAnsi="Arial" w:cs="Arial"/>
          <w:sz w:val="20"/>
          <w:szCs w:val="20"/>
        </w:rPr>
        <w:t xml:space="preserve"> which is 3.51% (171 respondents to 6). </w:t>
      </w:r>
      <w:r w:rsidR="00B61136" w:rsidRPr="00B61136">
        <w:rPr>
          <w:rFonts w:ascii="Arial" w:hAnsi="Arial" w:cs="Arial"/>
          <w:sz w:val="20"/>
          <w:szCs w:val="20"/>
        </w:rPr>
        <w:t>Combined, family and bank loans bear the highest cost, at 8.19% (14 respondents).</w:t>
      </w:r>
      <w:r w:rsidRPr="003550F0">
        <w:rPr>
          <w:rFonts w:ascii="Arial" w:hAnsi="Arial" w:cs="Arial"/>
          <w:sz w:val="20"/>
          <w:szCs w:val="20"/>
        </w:rPr>
        <w:t xml:space="preserve"> In the case of some </w:t>
      </w:r>
      <w:r w:rsidR="00863D79" w:rsidRPr="003550F0">
        <w:rPr>
          <w:rFonts w:ascii="Arial" w:hAnsi="Arial" w:cs="Arial"/>
          <w:sz w:val="20"/>
          <w:szCs w:val="20"/>
        </w:rPr>
        <w:t>respondents,</w:t>
      </w:r>
      <w:r w:rsidRPr="003550F0">
        <w:rPr>
          <w:rFonts w:ascii="Arial" w:hAnsi="Arial" w:cs="Arial"/>
          <w:sz w:val="20"/>
          <w:szCs w:val="20"/>
        </w:rPr>
        <w:t xml:space="preserve"> it can be seen that the family </w:t>
      </w:r>
      <w:r w:rsidR="00863D79" w:rsidRPr="003550F0">
        <w:rPr>
          <w:rFonts w:ascii="Arial" w:hAnsi="Arial" w:cs="Arial"/>
          <w:sz w:val="20"/>
          <w:szCs w:val="20"/>
        </w:rPr>
        <w:t>carries</w:t>
      </w:r>
      <w:r w:rsidR="00B61136">
        <w:rPr>
          <w:rFonts w:ascii="Arial" w:hAnsi="Arial" w:cs="Arial"/>
          <w:sz w:val="20"/>
          <w:szCs w:val="20"/>
        </w:rPr>
        <w:t xml:space="preserve"> on</w:t>
      </w:r>
      <w:r w:rsidR="00863D79" w:rsidRPr="003550F0">
        <w:rPr>
          <w:rFonts w:ascii="Arial" w:hAnsi="Arial" w:cs="Arial"/>
          <w:sz w:val="20"/>
          <w:szCs w:val="20"/>
        </w:rPr>
        <w:t>,</w:t>
      </w:r>
      <w:r w:rsidRPr="003550F0">
        <w:rPr>
          <w:rFonts w:ascii="Arial" w:hAnsi="Arial" w:cs="Arial"/>
          <w:sz w:val="20"/>
          <w:szCs w:val="20"/>
        </w:rPr>
        <w:t xml:space="preserve"> and the rest of the assets are </w:t>
      </w:r>
      <w:r w:rsidR="00EC0225" w:rsidRPr="003550F0">
        <w:rPr>
          <w:rFonts w:ascii="Arial" w:hAnsi="Arial" w:cs="Arial"/>
          <w:sz w:val="20"/>
          <w:szCs w:val="20"/>
        </w:rPr>
        <w:t>sold,</w:t>
      </w:r>
      <w:r w:rsidRPr="003550F0">
        <w:rPr>
          <w:rFonts w:ascii="Arial" w:hAnsi="Arial" w:cs="Arial"/>
          <w:sz w:val="20"/>
          <w:szCs w:val="20"/>
        </w:rPr>
        <w:t xml:space="preserve"> which the table shows 2.92% (5 respondents). Many respondents manage the budget by taking loans from banks and selling assets, and in many cases, they bear family costs together, take loans from banks, and borrow from relatives in the country. In both cases, the value is 1.75%</w:t>
      </w:r>
      <w:r w:rsidR="00B61136">
        <w:rPr>
          <w:rFonts w:ascii="Arial" w:hAnsi="Arial" w:cs="Arial"/>
          <w:sz w:val="20"/>
          <w:szCs w:val="20"/>
        </w:rPr>
        <w:t>,</w:t>
      </w:r>
      <w:r w:rsidRPr="003550F0">
        <w:rPr>
          <w:rFonts w:ascii="Arial" w:hAnsi="Arial" w:cs="Arial"/>
          <w:sz w:val="20"/>
          <w:szCs w:val="20"/>
        </w:rPr>
        <w:t xml:space="preserve"> which is 3 out of 171. Some respondents manage loans from family, country and abroad relatives and banks together for a value of 1.17% (2 people out of 171).</w:t>
      </w:r>
      <w:r w:rsidR="00863D79" w:rsidRPr="003550F0">
        <w:rPr>
          <w:rFonts w:ascii="Arial" w:hAnsi="Arial" w:cs="Arial"/>
          <w:sz w:val="20"/>
          <w:szCs w:val="20"/>
        </w:rPr>
        <w:t xml:space="preserve"> A small number of people are taking money from relatives from the country. People prefer to lend money from relative</w:t>
      </w:r>
      <w:r w:rsidR="00B61136">
        <w:rPr>
          <w:rFonts w:ascii="Arial" w:hAnsi="Arial" w:cs="Arial"/>
          <w:sz w:val="20"/>
          <w:szCs w:val="20"/>
        </w:rPr>
        <w:t>s</w:t>
      </w:r>
      <w:r w:rsidR="00863D79" w:rsidRPr="003550F0">
        <w:rPr>
          <w:rFonts w:ascii="Arial" w:hAnsi="Arial" w:cs="Arial"/>
          <w:sz w:val="20"/>
          <w:szCs w:val="20"/>
        </w:rPr>
        <w:t xml:space="preserve"> from abroad, loan</w:t>
      </w:r>
      <w:r w:rsidR="00B61136">
        <w:rPr>
          <w:rFonts w:ascii="Arial" w:hAnsi="Arial" w:cs="Arial"/>
          <w:sz w:val="20"/>
          <w:szCs w:val="20"/>
        </w:rPr>
        <w:t>s</w:t>
      </w:r>
      <w:r w:rsidR="00863D79" w:rsidRPr="003550F0">
        <w:rPr>
          <w:rFonts w:ascii="Arial" w:hAnsi="Arial" w:cs="Arial"/>
          <w:sz w:val="20"/>
          <w:szCs w:val="20"/>
        </w:rPr>
        <w:t xml:space="preserve"> from bank</w:t>
      </w:r>
      <w:r w:rsidR="00B61136">
        <w:rPr>
          <w:rFonts w:ascii="Arial" w:hAnsi="Arial" w:cs="Arial"/>
          <w:sz w:val="20"/>
          <w:szCs w:val="20"/>
        </w:rPr>
        <w:t>s</w:t>
      </w:r>
      <w:r w:rsidR="00863D79" w:rsidRPr="003550F0">
        <w:rPr>
          <w:rFonts w:ascii="Arial" w:hAnsi="Arial" w:cs="Arial"/>
          <w:sz w:val="20"/>
          <w:szCs w:val="20"/>
        </w:rPr>
        <w:t xml:space="preserve">, Assistance from </w:t>
      </w:r>
      <w:r w:rsidR="00B61136">
        <w:rPr>
          <w:rFonts w:ascii="Arial" w:hAnsi="Arial" w:cs="Arial"/>
          <w:sz w:val="20"/>
          <w:szCs w:val="20"/>
        </w:rPr>
        <w:t xml:space="preserve">a </w:t>
      </w:r>
      <w:r w:rsidR="00863D79" w:rsidRPr="003550F0">
        <w:rPr>
          <w:rFonts w:ascii="Arial" w:hAnsi="Arial" w:cs="Arial"/>
          <w:sz w:val="20"/>
          <w:szCs w:val="20"/>
        </w:rPr>
        <w:t>relative</w:t>
      </w:r>
      <w:r w:rsidR="00B61136">
        <w:rPr>
          <w:rFonts w:ascii="Arial" w:hAnsi="Arial" w:cs="Arial"/>
          <w:sz w:val="20"/>
          <w:szCs w:val="20"/>
        </w:rPr>
        <w:t xml:space="preserve"> is</w:t>
      </w:r>
      <w:r w:rsidR="00863D79" w:rsidRPr="003550F0">
        <w:rPr>
          <w:rFonts w:ascii="Arial" w:hAnsi="Arial" w:cs="Arial"/>
          <w:sz w:val="20"/>
          <w:szCs w:val="20"/>
        </w:rPr>
        <w:t xml:space="preserve"> than lend</w:t>
      </w:r>
      <w:r w:rsidR="00B61136">
        <w:rPr>
          <w:rFonts w:ascii="Arial" w:hAnsi="Arial" w:cs="Arial"/>
          <w:sz w:val="20"/>
          <w:szCs w:val="20"/>
        </w:rPr>
        <w:t>ing</w:t>
      </w:r>
      <w:r w:rsidR="00863D79" w:rsidRPr="003550F0">
        <w:rPr>
          <w:rFonts w:ascii="Arial" w:hAnsi="Arial" w:cs="Arial"/>
          <w:sz w:val="20"/>
          <w:szCs w:val="20"/>
        </w:rPr>
        <w:t xml:space="preserve"> from</w:t>
      </w:r>
      <w:r w:rsidR="00B61136">
        <w:rPr>
          <w:rFonts w:ascii="Arial" w:hAnsi="Arial" w:cs="Arial"/>
          <w:sz w:val="20"/>
          <w:szCs w:val="20"/>
        </w:rPr>
        <w:t xml:space="preserve"> a</w:t>
      </w:r>
      <w:r w:rsidR="00863D79" w:rsidRPr="003550F0">
        <w:rPr>
          <w:rFonts w:ascii="Arial" w:hAnsi="Arial" w:cs="Arial"/>
          <w:sz w:val="20"/>
          <w:szCs w:val="20"/>
        </w:rPr>
        <w:t xml:space="preserve"> relative from</w:t>
      </w:r>
      <w:r w:rsidR="00B61136">
        <w:rPr>
          <w:rFonts w:ascii="Arial" w:hAnsi="Arial" w:cs="Arial"/>
          <w:sz w:val="20"/>
          <w:szCs w:val="20"/>
        </w:rPr>
        <w:t xml:space="preserve"> the</w:t>
      </w:r>
      <w:r w:rsidR="00863D79" w:rsidRPr="003550F0">
        <w:rPr>
          <w:rFonts w:ascii="Arial" w:hAnsi="Arial" w:cs="Arial"/>
          <w:sz w:val="20"/>
          <w:szCs w:val="20"/>
        </w:rPr>
        <w:t xml:space="preserve"> country.</w:t>
      </w:r>
    </w:p>
    <w:p w14:paraId="0649B249" w14:textId="77777777" w:rsidR="003550F0" w:rsidRPr="003550F0" w:rsidRDefault="003550F0" w:rsidP="003550F0">
      <w:pPr>
        <w:spacing w:after="0" w:line="240" w:lineRule="auto"/>
        <w:jc w:val="both"/>
        <w:rPr>
          <w:rFonts w:ascii="Arial" w:hAnsi="Arial" w:cs="Arial"/>
          <w:sz w:val="20"/>
          <w:szCs w:val="20"/>
        </w:rPr>
      </w:pPr>
    </w:p>
    <w:p w14:paraId="497F1337" w14:textId="3790DE88" w:rsidR="00EE797A" w:rsidRDefault="00161262" w:rsidP="003550F0">
      <w:pPr>
        <w:spacing w:after="0" w:line="240" w:lineRule="auto"/>
        <w:jc w:val="both"/>
        <w:rPr>
          <w:rFonts w:ascii="Arial" w:hAnsi="Arial" w:cs="Arial"/>
          <w:b/>
          <w:bCs/>
        </w:rPr>
      </w:pPr>
      <w:r>
        <w:rPr>
          <w:rFonts w:ascii="Arial" w:hAnsi="Arial" w:cs="Arial"/>
          <w:b/>
          <w:bCs/>
        </w:rPr>
        <w:t>9</w:t>
      </w:r>
      <w:r w:rsidR="003550F0" w:rsidRPr="003550F0">
        <w:rPr>
          <w:rFonts w:ascii="Arial" w:hAnsi="Arial" w:cs="Arial"/>
          <w:b/>
          <w:bCs/>
        </w:rPr>
        <w:t xml:space="preserve">. </w:t>
      </w:r>
      <w:r w:rsidR="00EE797A" w:rsidRPr="003550F0">
        <w:rPr>
          <w:rFonts w:ascii="Arial" w:hAnsi="Arial" w:cs="Arial"/>
          <w:b/>
          <w:bCs/>
        </w:rPr>
        <w:t>Conclusion</w:t>
      </w:r>
    </w:p>
    <w:p w14:paraId="0BB0DBF2" w14:textId="77777777" w:rsidR="003550F0" w:rsidRPr="003550F0" w:rsidRDefault="003550F0" w:rsidP="003550F0">
      <w:pPr>
        <w:spacing w:after="0" w:line="240" w:lineRule="auto"/>
        <w:jc w:val="both"/>
        <w:rPr>
          <w:rFonts w:ascii="Arial" w:hAnsi="Arial" w:cs="Arial"/>
          <w:b/>
          <w:bCs/>
        </w:rPr>
      </w:pPr>
    </w:p>
    <w:p w14:paraId="65681882" w14:textId="3F0BA104" w:rsidR="003550F0" w:rsidRDefault="00EE797A" w:rsidP="003550F0">
      <w:pPr>
        <w:spacing w:after="0" w:line="240" w:lineRule="auto"/>
        <w:jc w:val="both"/>
        <w:rPr>
          <w:rFonts w:ascii="Arial" w:hAnsi="Arial" w:cs="Arial"/>
          <w:sz w:val="20"/>
          <w:szCs w:val="20"/>
        </w:rPr>
      </w:pPr>
      <w:r w:rsidRPr="003550F0">
        <w:rPr>
          <w:rFonts w:ascii="Arial" w:hAnsi="Arial" w:cs="Arial"/>
          <w:sz w:val="20"/>
          <w:szCs w:val="20"/>
        </w:rPr>
        <w:t xml:space="preserve">The purpose of the research was to investigate the relationship between financial challenges faced by students and how expatriate family members ease the transition and contribute to their academic success in Sylhet. </w:t>
      </w:r>
      <w:r w:rsidR="0047277D">
        <w:rPr>
          <w:rFonts w:ascii="Arial" w:hAnsi="Arial" w:cs="Arial"/>
          <w:sz w:val="20"/>
          <w:szCs w:val="20"/>
        </w:rPr>
        <w:t>Furthermore</w:t>
      </w:r>
      <w:r w:rsidRPr="003550F0">
        <w:rPr>
          <w:rFonts w:ascii="Arial" w:hAnsi="Arial" w:cs="Arial"/>
          <w:sz w:val="20"/>
          <w:szCs w:val="20"/>
        </w:rPr>
        <w:t xml:space="preserve">, this study tried to find out why the people in Sylhet aspire to study abroad, which continent or country they prefer to go to, and the reason for choosing this continent or country. The research has adopted a tabular analysis study design to collect the necessary data and information about the budget to go abroad by taking the IELTS test. Quantitative techniques were applied to gather the </w:t>
      </w:r>
      <w:r w:rsidR="009956C9" w:rsidRPr="003550F0">
        <w:rPr>
          <w:rFonts w:ascii="Arial" w:hAnsi="Arial" w:cs="Arial"/>
          <w:sz w:val="20"/>
          <w:szCs w:val="20"/>
        </w:rPr>
        <w:t>required</w:t>
      </w:r>
      <w:r w:rsidRPr="003550F0">
        <w:rPr>
          <w:rFonts w:ascii="Arial" w:hAnsi="Arial" w:cs="Arial"/>
          <w:sz w:val="20"/>
          <w:szCs w:val="20"/>
        </w:rPr>
        <w:t xml:space="preserve"> primary data and information. This study also adopted </w:t>
      </w:r>
      <w:r w:rsidR="0047277D">
        <w:rPr>
          <w:rFonts w:ascii="Arial" w:hAnsi="Arial" w:cs="Arial"/>
          <w:sz w:val="20"/>
          <w:szCs w:val="20"/>
        </w:rPr>
        <w:t>i</w:t>
      </w:r>
      <w:r w:rsidRPr="003550F0">
        <w:rPr>
          <w:rFonts w:ascii="Arial" w:hAnsi="Arial" w:cs="Arial"/>
          <w:sz w:val="20"/>
          <w:szCs w:val="20"/>
        </w:rPr>
        <w:t xml:space="preserve">n-depth </w:t>
      </w:r>
      <w:r w:rsidR="0047277D">
        <w:rPr>
          <w:rFonts w:ascii="Arial" w:hAnsi="Arial" w:cs="Arial"/>
          <w:sz w:val="20"/>
          <w:szCs w:val="20"/>
        </w:rPr>
        <w:t>i</w:t>
      </w:r>
      <w:r w:rsidRPr="003550F0">
        <w:rPr>
          <w:rFonts w:ascii="Arial" w:hAnsi="Arial" w:cs="Arial"/>
          <w:sz w:val="20"/>
          <w:szCs w:val="20"/>
        </w:rPr>
        <w:t xml:space="preserve">nterviews (IDI), </w:t>
      </w:r>
      <w:r w:rsidR="0047277D">
        <w:rPr>
          <w:rFonts w:ascii="Arial" w:hAnsi="Arial" w:cs="Arial"/>
          <w:sz w:val="20"/>
          <w:szCs w:val="20"/>
        </w:rPr>
        <w:t>c</w:t>
      </w:r>
      <w:r w:rsidRPr="003550F0">
        <w:rPr>
          <w:rFonts w:ascii="Arial" w:hAnsi="Arial" w:cs="Arial"/>
          <w:sz w:val="20"/>
          <w:szCs w:val="20"/>
        </w:rPr>
        <w:t xml:space="preserve">ase </w:t>
      </w:r>
      <w:r w:rsidR="0047277D">
        <w:rPr>
          <w:rFonts w:ascii="Arial" w:hAnsi="Arial" w:cs="Arial"/>
          <w:sz w:val="20"/>
          <w:szCs w:val="20"/>
        </w:rPr>
        <w:t>s</w:t>
      </w:r>
      <w:r w:rsidRPr="003550F0">
        <w:rPr>
          <w:rFonts w:ascii="Arial" w:hAnsi="Arial" w:cs="Arial"/>
          <w:sz w:val="20"/>
          <w:szCs w:val="20"/>
        </w:rPr>
        <w:t xml:space="preserve">tudies, and </w:t>
      </w:r>
      <w:r w:rsidR="0047277D">
        <w:rPr>
          <w:rFonts w:ascii="Arial" w:hAnsi="Arial" w:cs="Arial"/>
          <w:sz w:val="20"/>
          <w:szCs w:val="20"/>
        </w:rPr>
        <w:t>d</w:t>
      </w:r>
      <w:r w:rsidRPr="003550F0">
        <w:rPr>
          <w:rFonts w:ascii="Arial" w:hAnsi="Arial" w:cs="Arial"/>
          <w:sz w:val="20"/>
          <w:szCs w:val="20"/>
        </w:rPr>
        <w:t xml:space="preserve">ocument </w:t>
      </w:r>
      <w:r w:rsidR="0047277D">
        <w:rPr>
          <w:rFonts w:ascii="Arial" w:hAnsi="Arial" w:cs="Arial"/>
          <w:sz w:val="20"/>
          <w:szCs w:val="20"/>
        </w:rPr>
        <w:t>r</w:t>
      </w:r>
      <w:r w:rsidRPr="003550F0">
        <w:rPr>
          <w:rFonts w:ascii="Arial" w:hAnsi="Arial" w:cs="Arial"/>
          <w:sz w:val="20"/>
          <w:szCs w:val="20"/>
        </w:rPr>
        <w:t xml:space="preserve">eview techniques. Data was collected in Sylhet from two sources: </w:t>
      </w:r>
      <w:r w:rsidR="0047277D">
        <w:rPr>
          <w:rFonts w:ascii="Arial" w:hAnsi="Arial" w:cs="Arial"/>
          <w:sz w:val="20"/>
          <w:szCs w:val="20"/>
        </w:rPr>
        <w:t>c</w:t>
      </w:r>
      <w:r w:rsidRPr="003550F0">
        <w:rPr>
          <w:rFonts w:ascii="Arial" w:hAnsi="Arial" w:cs="Arial"/>
          <w:sz w:val="20"/>
          <w:szCs w:val="20"/>
        </w:rPr>
        <w:t xml:space="preserve">oaching centers and an online Google form. The findings of this study provide a new understanding </w:t>
      </w:r>
      <w:r w:rsidR="009956C9" w:rsidRPr="003550F0">
        <w:rPr>
          <w:rFonts w:ascii="Arial" w:hAnsi="Arial" w:cs="Arial"/>
          <w:sz w:val="20"/>
          <w:szCs w:val="20"/>
        </w:rPr>
        <w:t>of</w:t>
      </w:r>
      <w:r w:rsidRPr="003550F0">
        <w:rPr>
          <w:rFonts w:ascii="Arial" w:hAnsi="Arial" w:cs="Arial"/>
          <w:sz w:val="20"/>
          <w:szCs w:val="20"/>
        </w:rPr>
        <w:t xml:space="preserve"> the decision </w:t>
      </w:r>
      <w:r w:rsidR="009956C9" w:rsidRPr="003550F0">
        <w:rPr>
          <w:rFonts w:ascii="Arial" w:hAnsi="Arial" w:cs="Arial"/>
          <w:sz w:val="20"/>
          <w:szCs w:val="20"/>
        </w:rPr>
        <w:t>to go</w:t>
      </w:r>
      <w:r w:rsidRPr="003550F0">
        <w:rPr>
          <w:rFonts w:ascii="Arial" w:hAnsi="Arial" w:cs="Arial"/>
          <w:sz w:val="20"/>
          <w:szCs w:val="20"/>
        </w:rPr>
        <w:t xml:space="preserve"> abroad. Most </w:t>
      </w:r>
      <w:r w:rsidR="009956C9" w:rsidRPr="003550F0">
        <w:rPr>
          <w:rFonts w:ascii="Arial" w:hAnsi="Arial" w:cs="Arial"/>
          <w:sz w:val="20"/>
          <w:szCs w:val="20"/>
        </w:rPr>
        <w:t>respondents were students and chose</w:t>
      </w:r>
      <w:r w:rsidRPr="003550F0">
        <w:rPr>
          <w:rFonts w:ascii="Arial" w:hAnsi="Arial" w:cs="Arial"/>
          <w:sz w:val="20"/>
          <w:szCs w:val="20"/>
        </w:rPr>
        <w:t xml:space="preserve"> European and North American countries as their </w:t>
      </w:r>
      <w:r w:rsidR="009956C9" w:rsidRPr="003550F0">
        <w:rPr>
          <w:rFonts w:ascii="Arial" w:hAnsi="Arial" w:cs="Arial"/>
          <w:sz w:val="20"/>
          <w:szCs w:val="20"/>
        </w:rPr>
        <w:t>destinations</w:t>
      </w:r>
      <w:r w:rsidRPr="003550F0">
        <w:rPr>
          <w:rFonts w:ascii="Arial" w:hAnsi="Arial" w:cs="Arial"/>
          <w:sz w:val="20"/>
          <w:szCs w:val="20"/>
        </w:rPr>
        <w:t xml:space="preserve">. About </w:t>
      </w:r>
      <w:r w:rsidR="00967A55" w:rsidRPr="003550F0">
        <w:rPr>
          <w:rFonts w:ascii="Arial" w:hAnsi="Arial" w:cs="Arial"/>
          <w:sz w:val="20"/>
          <w:szCs w:val="20"/>
        </w:rPr>
        <w:t xml:space="preserve">86.93 </w:t>
      </w:r>
      <w:r w:rsidRPr="003550F0">
        <w:rPr>
          <w:rFonts w:ascii="Arial" w:hAnsi="Arial" w:cs="Arial"/>
          <w:sz w:val="20"/>
          <w:szCs w:val="20"/>
        </w:rPr>
        <w:t>percent of people are going for education purposes</w:t>
      </w:r>
      <w:r w:rsidR="0047277D">
        <w:rPr>
          <w:rFonts w:ascii="Arial" w:hAnsi="Arial" w:cs="Arial"/>
          <w:sz w:val="20"/>
          <w:szCs w:val="20"/>
        </w:rPr>
        <w:t>,</w:t>
      </w:r>
      <w:r w:rsidRPr="003550F0">
        <w:rPr>
          <w:rFonts w:ascii="Arial" w:hAnsi="Arial" w:cs="Arial"/>
          <w:sz w:val="20"/>
          <w:szCs w:val="20"/>
        </w:rPr>
        <w:t xml:space="preserve"> and others are going for work permits and </w:t>
      </w:r>
      <w:r w:rsidR="001718F8" w:rsidRPr="003550F0">
        <w:rPr>
          <w:rFonts w:ascii="Arial" w:hAnsi="Arial" w:cs="Arial"/>
          <w:sz w:val="20"/>
          <w:szCs w:val="20"/>
        </w:rPr>
        <w:t>skill development at around 10.22% and 2.84%</w:t>
      </w:r>
      <w:r w:rsidR="0047277D">
        <w:rPr>
          <w:rFonts w:ascii="Arial" w:hAnsi="Arial" w:cs="Arial"/>
          <w:sz w:val="20"/>
          <w:szCs w:val="20"/>
        </w:rPr>
        <w:t>,</w:t>
      </w:r>
      <w:r w:rsidR="001718F8" w:rsidRPr="003550F0">
        <w:rPr>
          <w:rFonts w:ascii="Arial" w:hAnsi="Arial" w:cs="Arial"/>
          <w:sz w:val="20"/>
          <w:szCs w:val="20"/>
        </w:rPr>
        <w:t xml:space="preserve"> respectively</w:t>
      </w:r>
      <w:r w:rsidRPr="003550F0">
        <w:rPr>
          <w:rFonts w:ascii="Arial" w:hAnsi="Arial" w:cs="Arial"/>
          <w:sz w:val="20"/>
          <w:szCs w:val="20"/>
        </w:rPr>
        <w:t xml:space="preserve">. Political instability and poverty also </w:t>
      </w:r>
      <w:r w:rsidR="00EF1B1B" w:rsidRPr="003550F0">
        <w:rPr>
          <w:rFonts w:ascii="Arial" w:hAnsi="Arial" w:cs="Arial"/>
          <w:sz w:val="20"/>
          <w:szCs w:val="20"/>
        </w:rPr>
        <w:t xml:space="preserve">play significant roles in driving this trend. Despite facing challenges in raising </w:t>
      </w:r>
      <w:r w:rsidR="001C6BD9">
        <w:rPr>
          <w:rFonts w:ascii="Arial" w:hAnsi="Arial" w:cs="Arial"/>
          <w:sz w:val="20"/>
          <w:szCs w:val="20"/>
        </w:rPr>
        <w:t>Tk</w:t>
      </w:r>
      <w:r w:rsidR="0047277D">
        <w:rPr>
          <w:rFonts w:ascii="Arial" w:hAnsi="Arial" w:cs="Arial"/>
          <w:sz w:val="20"/>
          <w:szCs w:val="20"/>
        </w:rPr>
        <w:t xml:space="preserve"> </w:t>
      </w:r>
      <w:r w:rsidR="00EF1B1B" w:rsidRPr="003550F0">
        <w:rPr>
          <w:rFonts w:ascii="Arial" w:hAnsi="Arial" w:cs="Arial"/>
          <w:sz w:val="20"/>
          <w:szCs w:val="20"/>
        </w:rPr>
        <w:t>1</w:t>
      </w:r>
      <w:r w:rsidR="00965F32" w:rsidRPr="003550F0">
        <w:rPr>
          <w:rFonts w:ascii="Arial" w:hAnsi="Arial" w:cs="Arial"/>
          <w:sz w:val="20"/>
          <w:szCs w:val="20"/>
        </w:rPr>
        <w:t>1</w:t>
      </w:r>
      <w:r w:rsidR="00EF1B1B" w:rsidRPr="003550F0">
        <w:rPr>
          <w:rFonts w:ascii="Arial" w:hAnsi="Arial" w:cs="Arial"/>
          <w:sz w:val="20"/>
          <w:szCs w:val="20"/>
        </w:rPr>
        <w:t xml:space="preserve"> to </w:t>
      </w:r>
      <w:r w:rsidR="00965F32" w:rsidRPr="003550F0">
        <w:rPr>
          <w:rFonts w:ascii="Arial" w:hAnsi="Arial" w:cs="Arial"/>
          <w:sz w:val="20"/>
          <w:szCs w:val="20"/>
        </w:rPr>
        <w:t>15</w:t>
      </w:r>
      <w:r w:rsidR="00EF1B1B" w:rsidRPr="003550F0">
        <w:rPr>
          <w:rFonts w:ascii="Arial" w:hAnsi="Arial" w:cs="Arial"/>
          <w:sz w:val="20"/>
          <w:szCs w:val="20"/>
        </w:rPr>
        <w:t xml:space="preserve"> lakh</w:t>
      </w:r>
      <w:r w:rsidR="00020154">
        <w:rPr>
          <w:rFonts w:ascii="Arial" w:hAnsi="Arial" w:cs="Arial"/>
          <w:sz w:val="20"/>
          <w:szCs w:val="20"/>
        </w:rPr>
        <w:t>s</w:t>
      </w:r>
      <w:r w:rsidR="00EF1B1B" w:rsidRPr="003550F0">
        <w:rPr>
          <w:rFonts w:ascii="Arial" w:hAnsi="Arial" w:cs="Arial"/>
          <w:sz w:val="20"/>
          <w:szCs w:val="20"/>
        </w:rPr>
        <w:t>, many rely on financial support from family members.</w:t>
      </w:r>
      <w:r w:rsidR="00242B01">
        <w:rPr>
          <w:rFonts w:ascii="Arial" w:hAnsi="Arial" w:cs="Arial"/>
          <w:sz w:val="20"/>
          <w:szCs w:val="20"/>
        </w:rPr>
        <w:t xml:space="preserve"> The support of these family members </w:t>
      </w:r>
      <w:r w:rsidR="00161262">
        <w:rPr>
          <w:rFonts w:ascii="Arial" w:hAnsi="Arial" w:cs="Arial"/>
          <w:sz w:val="20"/>
          <w:szCs w:val="20"/>
        </w:rPr>
        <w:t>plays</w:t>
      </w:r>
      <w:r w:rsidR="00E140EC">
        <w:rPr>
          <w:rFonts w:ascii="Arial" w:hAnsi="Arial" w:cs="Arial"/>
          <w:sz w:val="20"/>
          <w:szCs w:val="20"/>
        </w:rPr>
        <w:t xml:space="preserve"> an important role for socio economic development.</w:t>
      </w:r>
      <w:r w:rsidR="00EF1B1B" w:rsidRPr="003550F0">
        <w:rPr>
          <w:rFonts w:ascii="Arial" w:hAnsi="Arial" w:cs="Arial"/>
          <w:sz w:val="20"/>
          <w:szCs w:val="20"/>
        </w:rPr>
        <w:t xml:space="preserve"> This study recommends that the government, students, and policymakers focus on the effective utilization of these funds to acquire skills that can contribute to the</w:t>
      </w:r>
      <w:r w:rsidR="00E140EC">
        <w:rPr>
          <w:rFonts w:ascii="Arial" w:hAnsi="Arial" w:cs="Arial"/>
          <w:sz w:val="20"/>
          <w:szCs w:val="20"/>
        </w:rPr>
        <w:t xml:space="preserve"> country’s economic development including remittance income.</w:t>
      </w:r>
    </w:p>
    <w:p w14:paraId="72C64553" w14:textId="3B5E67BB" w:rsidR="00E67837" w:rsidRDefault="00E67837" w:rsidP="003550F0">
      <w:pPr>
        <w:spacing w:after="0" w:line="240" w:lineRule="auto"/>
        <w:jc w:val="both"/>
        <w:rPr>
          <w:rFonts w:ascii="Arial" w:hAnsi="Arial" w:cs="Arial"/>
          <w:sz w:val="20"/>
          <w:szCs w:val="20"/>
        </w:rPr>
      </w:pPr>
    </w:p>
    <w:p w14:paraId="305EB597" w14:textId="77777777" w:rsidR="00E67837" w:rsidRPr="00FE7640" w:rsidRDefault="00E67837" w:rsidP="00E67837">
      <w:pPr>
        <w:rPr>
          <w:rFonts w:ascii="Calibri" w:eastAsia="Calibri" w:hAnsi="Calibri" w:cs="Times New Roman"/>
          <w:highlight w:val="yellow"/>
        </w:rPr>
      </w:pPr>
      <w:bookmarkStart w:id="6" w:name="_Hlk193540946"/>
      <w:bookmarkStart w:id="7" w:name="_Hlk180402183"/>
      <w:bookmarkStart w:id="8" w:name="_Hlk183680988"/>
      <w:r w:rsidRPr="00FE7640">
        <w:rPr>
          <w:rFonts w:ascii="Calibri" w:eastAsia="Calibri" w:hAnsi="Calibri" w:cs="Times New Roman"/>
          <w:highlight w:val="yellow"/>
        </w:rPr>
        <w:t>Disclaimer (Artificial intelligence)</w:t>
      </w:r>
    </w:p>
    <w:p w14:paraId="3C691EEC" w14:textId="77777777" w:rsidR="00E67837" w:rsidRPr="009C5487" w:rsidRDefault="00E67837" w:rsidP="00E67837">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7D41F00" w14:textId="77777777" w:rsidR="00E67837" w:rsidRDefault="00E67837" w:rsidP="00E67837">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p w14:paraId="0306B446" w14:textId="44C7C9FD" w:rsidR="00161262" w:rsidRPr="00161262" w:rsidRDefault="00161262" w:rsidP="00E67837">
      <w:pPr>
        <w:rPr>
          <w:rFonts w:ascii="Calibri" w:eastAsia="Calibri" w:hAnsi="Calibri" w:cs="Times New Roman"/>
          <w:highlight w:val="green"/>
        </w:rPr>
      </w:pPr>
      <w:r w:rsidRPr="00161262">
        <w:rPr>
          <w:rFonts w:ascii="Calibri" w:eastAsia="Calibri" w:hAnsi="Calibri" w:cs="Times New Roman"/>
          <w:highlight w:val="green"/>
        </w:rPr>
        <w:lastRenderedPageBreak/>
        <w:t>Authors hereby declare that NO generative AI technologies such as Large Language Models (ChatGPT, COPILOT, etc.) and text-to-image generators have been used during the writing or editing of this manuscript.</w:t>
      </w:r>
    </w:p>
    <w:p w14:paraId="0208E3CA" w14:textId="77777777" w:rsidR="00161262" w:rsidRPr="009C5487" w:rsidRDefault="00161262" w:rsidP="00E67837">
      <w:pPr>
        <w:rPr>
          <w:rFonts w:ascii="Calibri" w:eastAsia="Calibri" w:hAnsi="Calibri" w:cs="Times New Roman"/>
          <w:highlight w:val="yellow"/>
        </w:rPr>
      </w:pPr>
    </w:p>
    <w:p w14:paraId="0FB5FF9F" w14:textId="77777777" w:rsidR="00E67837" w:rsidRPr="009C5487" w:rsidRDefault="00E67837" w:rsidP="00E67837">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41C2837" w14:textId="77777777" w:rsidR="00E67837" w:rsidRPr="009C5487" w:rsidRDefault="00E67837" w:rsidP="00E67837">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proofErr w:type="gramStart"/>
      <w:r w:rsidRPr="009C5487">
        <w:rPr>
          <w:rFonts w:ascii="Calibri" w:eastAsia="Calibri" w:hAnsi="Calibri" w:cs="Times New Roman"/>
          <w:highlight w:val="yellow"/>
        </w:rPr>
        <w:t>declare</w:t>
      </w:r>
      <w:proofErr w:type="gramEnd"/>
      <w:r w:rsidRPr="009C5487">
        <w:rPr>
          <w:rFonts w:ascii="Calibri" w:eastAsia="Calibri" w:hAnsi="Calibri" w:cs="Times New Roman"/>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3F9B53" w14:textId="77777777" w:rsidR="00E67837" w:rsidRPr="009C5487" w:rsidRDefault="00E67837" w:rsidP="00E67837">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E3694B9" w14:textId="77777777" w:rsidR="00E67837" w:rsidRPr="009C5487" w:rsidRDefault="00E67837" w:rsidP="00E67837">
      <w:pPr>
        <w:rPr>
          <w:rFonts w:ascii="Calibri" w:eastAsia="Calibri" w:hAnsi="Calibri" w:cs="Times New Roman"/>
          <w:highlight w:val="yellow"/>
        </w:rPr>
      </w:pPr>
      <w:r w:rsidRPr="009C5487">
        <w:rPr>
          <w:rFonts w:ascii="Calibri" w:eastAsia="Calibri" w:hAnsi="Calibri" w:cs="Times New Roman"/>
          <w:highlight w:val="yellow"/>
        </w:rPr>
        <w:t>1.</w:t>
      </w:r>
    </w:p>
    <w:p w14:paraId="4EF44151" w14:textId="77777777" w:rsidR="00E67837" w:rsidRPr="009C5487" w:rsidRDefault="00E67837" w:rsidP="00E67837">
      <w:pPr>
        <w:rPr>
          <w:rFonts w:ascii="Calibri" w:eastAsia="Calibri" w:hAnsi="Calibri" w:cs="Times New Roman"/>
          <w:highlight w:val="yellow"/>
        </w:rPr>
      </w:pPr>
      <w:r w:rsidRPr="009C5487">
        <w:rPr>
          <w:rFonts w:ascii="Calibri" w:eastAsia="Calibri" w:hAnsi="Calibri" w:cs="Times New Roman"/>
          <w:highlight w:val="yellow"/>
        </w:rPr>
        <w:t>2.</w:t>
      </w:r>
    </w:p>
    <w:p w14:paraId="0B7A9E8A" w14:textId="77777777" w:rsidR="00E67837" w:rsidRPr="009C5487" w:rsidRDefault="00E67837" w:rsidP="00E67837">
      <w:pPr>
        <w:rPr>
          <w:rFonts w:ascii="Calibri" w:eastAsia="Calibri" w:hAnsi="Calibri" w:cs="Times New Roman"/>
        </w:rPr>
      </w:pPr>
      <w:r w:rsidRPr="009C5487">
        <w:rPr>
          <w:rFonts w:ascii="Calibri" w:eastAsia="Calibri" w:hAnsi="Calibri" w:cs="Times New Roman"/>
          <w:highlight w:val="yellow"/>
        </w:rPr>
        <w:t>3.</w:t>
      </w:r>
      <w:bookmarkEnd w:id="6"/>
    </w:p>
    <w:bookmarkEnd w:id="7"/>
    <w:bookmarkEnd w:id="8"/>
    <w:p w14:paraId="2FBE3E09" w14:textId="77777777" w:rsidR="00E67837" w:rsidRPr="003550F0" w:rsidRDefault="00E67837" w:rsidP="003550F0">
      <w:pPr>
        <w:spacing w:after="0" w:line="240" w:lineRule="auto"/>
        <w:jc w:val="both"/>
        <w:rPr>
          <w:rFonts w:ascii="Arial" w:hAnsi="Arial" w:cs="Arial"/>
          <w:sz w:val="20"/>
          <w:szCs w:val="20"/>
        </w:rPr>
      </w:pPr>
    </w:p>
    <w:p w14:paraId="179DA6BE" w14:textId="2300623A" w:rsidR="008C159F" w:rsidRPr="008E46F9" w:rsidRDefault="00161262" w:rsidP="00020154">
      <w:pPr>
        <w:spacing w:line="240" w:lineRule="auto"/>
        <w:jc w:val="both"/>
        <w:rPr>
          <w:rFonts w:ascii="Arial" w:hAnsi="Arial" w:cs="Arial"/>
          <w:b/>
          <w:bCs/>
          <w:sz w:val="24"/>
          <w:szCs w:val="24"/>
        </w:rPr>
      </w:pPr>
      <w:r>
        <w:rPr>
          <w:rFonts w:ascii="Arial" w:hAnsi="Arial" w:cs="Arial"/>
          <w:b/>
          <w:bCs/>
          <w:sz w:val="24"/>
          <w:szCs w:val="24"/>
        </w:rPr>
        <w:t>10</w:t>
      </w:r>
      <w:r w:rsidR="003550F0">
        <w:rPr>
          <w:rFonts w:ascii="Arial" w:hAnsi="Arial" w:cs="Arial"/>
          <w:b/>
          <w:bCs/>
          <w:sz w:val="24"/>
          <w:szCs w:val="24"/>
        </w:rPr>
        <w:t>. REFERENCES</w:t>
      </w:r>
    </w:p>
    <w:p w14:paraId="6CE46E82" w14:textId="69AD2955" w:rsidR="008C159F" w:rsidRPr="003550F0" w:rsidRDefault="008C159F" w:rsidP="003550F0">
      <w:pPr>
        <w:pStyle w:val="Bibliography"/>
        <w:numPr>
          <w:ilvl w:val="0"/>
          <w:numId w:val="5"/>
        </w:numPr>
        <w:spacing w:after="0" w:line="240" w:lineRule="auto"/>
        <w:ind w:left="360" w:firstLine="0"/>
        <w:jc w:val="both"/>
        <w:rPr>
          <w:rFonts w:ascii="Arial" w:hAnsi="Arial" w:cs="Arial"/>
          <w:i/>
          <w:iCs/>
          <w:sz w:val="20"/>
          <w:szCs w:val="20"/>
        </w:rPr>
      </w:pPr>
      <w:r w:rsidRPr="003550F0">
        <w:rPr>
          <w:rFonts w:ascii="Arial" w:hAnsi="Arial" w:cs="Arial"/>
          <w:sz w:val="20"/>
          <w:szCs w:val="20"/>
        </w:rPr>
        <w:t xml:space="preserve">Erling, E. J., Seargeant, P., Solly, M., Chowdhury, Q. H., &amp; Rahman, S. (2015). English for economic development: A case study of migrant workers from Bangladesh. </w:t>
      </w:r>
      <w:r w:rsidRPr="003550F0">
        <w:rPr>
          <w:rFonts w:ascii="Arial" w:hAnsi="Arial" w:cs="Arial"/>
          <w:i/>
          <w:iCs/>
          <w:sz w:val="20"/>
          <w:szCs w:val="20"/>
        </w:rPr>
        <w:t>ELT Research Papers</w:t>
      </w:r>
      <w:r w:rsidR="00CD229B" w:rsidRPr="003550F0">
        <w:rPr>
          <w:rFonts w:ascii="Arial" w:hAnsi="Arial" w:cs="Arial"/>
          <w:i/>
          <w:iCs/>
          <w:sz w:val="20"/>
          <w:szCs w:val="20"/>
        </w:rPr>
        <w:t>.</w:t>
      </w:r>
      <w:r w:rsidRPr="003550F0">
        <w:rPr>
          <w:rFonts w:ascii="Arial" w:hAnsi="Arial" w:cs="Arial"/>
          <w:i/>
          <w:iCs/>
          <w:sz w:val="20"/>
          <w:szCs w:val="20"/>
        </w:rPr>
        <w:t xml:space="preserve"> </w:t>
      </w:r>
      <w:r w:rsidRPr="003550F0">
        <w:rPr>
          <w:rFonts w:ascii="Arial" w:hAnsi="Arial" w:cs="Arial"/>
          <w:sz w:val="20"/>
          <w:szCs w:val="20"/>
        </w:rPr>
        <w:t>15.3</w:t>
      </w:r>
      <w:r w:rsidRPr="003550F0">
        <w:rPr>
          <w:rFonts w:ascii="Arial" w:hAnsi="Arial" w:cs="Arial"/>
          <w:i/>
          <w:iCs/>
          <w:sz w:val="20"/>
          <w:szCs w:val="20"/>
        </w:rPr>
        <w:t>.</w:t>
      </w:r>
    </w:p>
    <w:p w14:paraId="0CAD96D2" w14:textId="0542CCFE" w:rsidR="00C20292" w:rsidRPr="003550F0" w:rsidRDefault="008C159F" w:rsidP="003550F0">
      <w:pPr>
        <w:pStyle w:val="Bibliography"/>
        <w:numPr>
          <w:ilvl w:val="0"/>
          <w:numId w:val="5"/>
        </w:numPr>
        <w:spacing w:after="0" w:line="240" w:lineRule="auto"/>
        <w:ind w:left="360" w:firstLine="0"/>
        <w:jc w:val="both"/>
        <w:rPr>
          <w:rFonts w:ascii="Arial" w:hAnsi="Arial" w:cs="Arial"/>
          <w:color w:val="0563C1" w:themeColor="hyperlink"/>
          <w:sz w:val="20"/>
          <w:szCs w:val="20"/>
          <w:u w:val="single"/>
        </w:rPr>
      </w:pPr>
      <w:r w:rsidRPr="003550F0">
        <w:rPr>
          <w:rFonts w:ascii="Arial" w:hAnsi="Arial" w:cs="Arial"/>
          <w:sz w:val="20"/>
          <w:szCs w:val="20"/>
        </w:rPr>
        <w:t>Azam, M., Chin, A., &amp; Prakash, N. (201</w:t>
      </w:r>
      <w:r w:rsidR="00B32F21" w:rsidRPr="003550F0">
        <w:rPr>
          <w:rFonts w:ascii="Arial" w:hAnsi="Arial" w:cs="Arial"/>
          <w:sz w:val="20"/>
          <w:szCs w:val="20"/>
        </w:rPr>
        <w:t>5</w:t>
      </w:r>
      <w:r w:rsidRPr="003550F0">
        <w:rPr>
          <w:rFonts w:ascii="Arial" w:hAnsi="Arial" w:cs="Arial"/>
          <w:sz w:val="20"/>
          <w:szCs w:val="20"/>
        </w:rPr>
        <w:t xml:space="preserve">). The Returns to English-Language Skills in India. </w:t>
      </w:r>
      <w:r w:rsidRPr="003550F0">
        <w:rPr>
          <w:rFonts w:ascii="Arial" w:hAnsi="Arial" w:cs="Arial"/>
          <w:i/>
          <w:iCs/>
          <w:color w:val="000000" w:themeColor="text1"/>
          <w:sz w:val="20"/>
          <w:szCs w:val="20"/>
          <w14:textOutline w14:w="0" w14:cap="flat" w14:cmpd="sng" w14:algn="ctr">
            <w14:noFill/>
            <w14:prstDash w14:val="solid"/>
            <w14:round/>
          </w14:textOutline>
        </w:rPr>
        <w:t>Economic Development and Cultural Change</w:t>
      </w:r>
      <w:r w:rsidR="00CD229B" w:rsidRPr="003550F0">
        <w:rPr>
          <w:rFonts w:ascii="Arial" w:hAnsi="Arial" w:cs="Arial"/>
          <w:color w:val="000000" w:themeColor="text1"/>
          <w:sz w:val="20"/>
          <w:szCs w:val="20"/>
          <w14:textOutline w14:w="0" w14:cap="flat" w14:cmpd="sng" w14:algn="ctr">
            <w14:noFill/>
            <w14:prstDash w14:val="solid"/>
            <w14:round/>
          </w14:textOutline>
        </w:rPr>
        <w:t>.</w:t>
      </w:r>
      <w:r w:rsidRPr="003550F0">
        <w:rPr>
          <w:rFonts w:ascii="Arial" w:hAnsi="Arial" w:cs="Arial"/>
          <w:sz w:val="20"/>
          <w:szCs w:val="20"/>
        </w:rPr>
        <w:t xml:space="preserve"> 61(2), 335–367. </w:t>
      </w:r>
      <w:hyperlink r:id="rId19" w:history="1">
        <w:r w:rsidR="008B553F" w:rsidRPr="003550F0">
          <w:rPr>
            <w:rStyle w:val="Hyperlink"/>
            <w:rFonts w:ascii="Arial" w:hAnsi="Arial" w:cs="Arial"/>
            <w:sz w:val="20"/>
            <w:szCs w:val="20"/>
          </w:rPr>
          <w:t>https://doi.org/10.1086/668277</w:t>
        </w:r>
      </w:hyperlink>
    </w:p>
    <w:p w14:paraId="2C69911D" w14:textId="760028BD" w:rsidR="00C20292" w:rsidRPr="003550F0" w:rsidRDefault="00C20292" w:rsidP="003550F0">
      <w:pPr>
        <w:pStyle w:val="ListParagraph"/>
        <w:numPr>
          <w:ilvl w:val="0"/>
          <w:numId w:val="5"/>
        </w:numPr>
        <w:spacing w:after="0" w:line="240" w:lineRule="auto"/>
        <w:ind w:left="360" w:firstLine="0"/>
        <w:jc w:val="both"/>
        <w:rPr>
          <w:rFonts w:ascii="Arial" w:hAnsi="Arial" w:cs="Arial"/>
          <w:sz w:val="20"/>
          <w:szCs w:val="20"/>
        </w:rPr>
      </w:pPr>
      <w:r w:rsidRPr="003550F0">
        <w:rPr>
          <w:rStyle w:val="Hyperlink"/>
          <w:rFonts w:ascii="Arial" w:hAnsi="Arial" w:cs="Arial"/>
          <w:color w:val="auto"/>
          <w:sz w:val="20"/>
          <w:szCs w:val="20"/>
          <w:u w:val="none"/>
        </w:rPr>
        <w:t xml:space="preserve">Read, J. (2022). Test Review: The International English Language Testing System (IELTS). </w:t>
      </w:r>
      <w:r w:rsidRPr="003550F0">
        <w:rPr>
          <w:rStyle w:val="Hyperlink"/>
          <w:rFonts w:ascii="Arial" w:hAnsi="Arial" w:cs="Arial"/>
          <w:i/>
          <w:iCs/>
          <w:color w:val="auto"/>
          <w:sz w:val="20"/>
          <w:szCs w:val="20"/>
          <w:u w:val="none"/>
        </w:rPr>
        <w:t>Language Testing</w:t>
      </w:r>
      <w:r w:rsidRPr="003550F0">
        <w:rPr>
          <w:rStyle w:val="Hyperlink"/>
          <w:rFonts w:ascii="Arial" w:hAnsi="Arial" w:cs="Arial"/>
          <w:color w:val="auto"/>
          <w:sz w:val="20"/>
          <w:szCs w:val="20"/>
          <w:u w:val="none"/>
        </w:rPr>
        <w:t xml:space="preserve">. 39(4), 679-694. </w:t>
      </w:r>
      <w:hyperlink r:id="rId20" w:history="1">
        <w:r w:rsidRPr="003550F0">
          <w:rPr>
            <w:rStyle w:val="Hyperlink"/>
            <w:rFonts w:ascii="Arial" w:hAnsi="Arial" w:cs="Arial"/>
            <w:color w:val="0070C0"/>
            <w:sz w:val="20"/>
            <w:szCs w:val="20"/>
          </w:rPr>
          <w:t>https://doi.org/10.1177/02655322221086211</w:t>
        </w:r>
      </w:hyperlink>
    </w:p>
    <w:p w14:paraId="12A3A318" w14:textId="6EBEE524" w:rsidR="008C159F" w:rsidRPr="003550F0" w:rsidRDefault="008C159F" w:rsidP="003550F0">
      <w:pPr>
        <w:pStyle w:val="Bibliography"/>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Lang, K., &amp; </w:t>
      </w:r>
      <w:proofErr w:type="spellStart"/>
      <w:r w:rsidRPr="003550F0">
        <w:rPr>
          <w:rFonts w:ascii="Arial" w:hAnsi="Arial" w:cs="Arial"/>
          <w:sz w:val="20"/>
          <w:szCs w:val="20"/>
        </w:rPr>
        <w:t>Siniver</w:t>
      </w:r>
      <w:proofErr w:type="spellEnd"/>
      <w:r w:rsidRPr="003550F0">
        <w:rPr>
          <w:rFonts w:ascii="Arial" w:hAnsi="Arial" w:cs="Arial"/>
          <w:sz w:val="20"/>
          <w:szCs w:val="20"/>
        </w:rPr>
        <w:t xml:space="preserve">, E. (2006). The Return </w:t>
      </w:r>
      <w:proofErr w:type="gramStart"/>
      <w:r w:rsidRPr="003550F0">
        <w:rPr>
          <w:rFonts w:ascii="Arial" w:hAnsi="Arial" w:cs="Arial"/>
          <w:sz w:val="20"/>
          <w:szCs w:val="20"/>
        </w:rPr>
        <w:t>To</w:t>
      </w:r>
      <w:proofErr w:type="gramEnd"/>
      <w:r w:rsidRPr="003550F0">
        <w:rPr>
          <w:rFonts w:ascii="Arial" w:hAnsi="Arial" w:cs="Arial"/>
          <w:sz w:val="20"/>
          <w:szCs w:val="20"/>
        </w:rPr>
        <w:t xml:space="preserve"> English </w:t>
      </w:r>
      <w:proofErr w:type="gramStart"/>
      <w:r w:rsidRPr="003550F0">
        <w:rPr>
          <w:rFonts w:ascii="Arial" w:hAnsi="Arial" w:cs="Arial"/>
          <w:sz w:val="20"/>
          <w:szCs w:val="20"/>
        </w:rPr>
        <w:t>In</w:t>
      </w:r>
      <w:proofErr w:type="gramEnd"/>
      <w:r w:rsidRPr="003550F0">
        <w:rPr>
          <w:rFonts w:ascii="Arial" w:hAnsi="Arial" w:cs="Arial"/>
          <w:sz w:val="20"/>
          <w:szCs w:val="20"/>
        </w:rPr>
        <w:t xml:space="preserve"> </w:t>
      </w:r>
      <w:proofErr w:type="gramStart"/>
      <w:r w:rsidRPr="003550F0">
        <w:rPr>
          <w:rFonts w:ascii="Arial" w:hAnsi="Arial" w:cs="Arial"/>
          <w:sz w:val="20"/>
          <w:szCs w:val="20"/>
        </w:rPr>
        <w:t>A</w:t>
      </w:r>
      <w:proofErr w:type="gramEnd"/>
      <w:r w:rsidRPr="003550F0">
        <w:rPr>
          <w:rFonts w:ascii="Arial" w:hAnsi="Arial" w:cs="Arial"/>
          <w:sz w:val="20"/>
          <w:szCs w:val="20"/>
        </w:rPr>
        <w:t xml:space="preserve"> Non-</w:t>
      </w:r>
      <w:proofErr w:type="gramStart"/>
      <w:r w:rsidRPr="003550F0">
        <w:rPr>
          <w:rFonts w:ascii="Arial" w:hAnsi="Arial" w:cs="Arial"/>
          <w:sz w:val="20"/>
          <w:szCs w:val="20"/>
        </w:rPr>
        <w:t>English Speaking</w:t>
      </w:r>
      <w:proofErr w:type="gramEnd"/>
      <w:r w:rsidRPr="003550F0">
        <w:rPr>
          <w:rFonts w:ascii="Arial" w:hAnsi="Arial" w:cs="Arial"/>
          <w:sz w:val="20"/>
          <w:szCs w:val="20"/>
        </w:rPr>
        <w:t xml:space="preserve"> Country: Russian Immigrants </w:t>
      </w:r>
      <w:proofErr w:type="gramStart"/>
      <w:r w:rsidRPr="003550F0">
        <w:rPr>
          <w:rFonts w:ascii="Arial" w:hAnsi="Arial" w:cs="Arial"/>
          <w:sz w:val="20"/>
          <w:szCs w:val="20"/>
        </w:rPr>
        <w:t>And</w:t>
      </w:r>
      <w:proofErr w:type="gramEnd"/>
      <w:r w:rsidRPr="003550F0">
        <w:rPr>
          <w:rFonts w:ascii="Arial" w:hAnsi="Arial" w:cs="Arial"/>
          <w:sz w:val="20"/>
          <w:szCs w:val="20"/>
        </w:rPr>
        <w:t xml:space="preserve"> Native Israelis in Israel. </w:t>
      </w:r>
      <w:r w:rsidRPr="003550F0">
        <w:rPr>
          <w:rFonts w:ascii="Arial" w:hAnsi="Arial" w:cs="Arial"/>
          <w:i/>
          <w:iCs/>
          <w:sz w:val="20"/>
          <w:szCs w:val="20"/>
        </w:rPr>
        <w:t>NATIONAL BUREAU OF ECONOMIC RESEARCH</w:t>
      </w:r>
      <w:r w:rsidRPr="003550F0">
        <w:rPr>
          <w:rFonts w:ascii="Arial" w:hAnsi="Arial" w:cs="Arial"/>
          <w:sz w:val="20"/>
          <w:szCs w:val="20"/>
        </w:rPr>
        <w:t>, Working Paper 12464. 1-27.</w:t>
      </w:r>
    </w:p>
    <w:p w14:paraId="2AB481B3" w14:textId="40825AFF" w:rsidR="008C159F" w:rsidRPr="003550F0" w:rsidRDefault="008C159F"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Coleman, H. (2010). The English Language in Development. </w:t>
      </w:r>
      <w:r w:rsidRPr="003550F0">
        <w:rPr>
          <w:rFonts w:ascii="Arial" w:hAnsi="Arial" w:cs="Arial"/>
          <w:i/>
          <w:iCs/>
          <w:sz w:val="20"/>
          <w:szCs w:val="20"/>
        </w:rPr>
        <w:t>British Council</w:t>
      </w:r>
      <w:r w:rsidRPr="003550F0">
        <w:rPr>
          <w:rFonts w:ascii="Arial" w:hAnsi="Arial" w:cs="Arial"/>
          <w:sz w:val="20"/>
          <w:szCs w:val="20"/>
        </w:rPr>
        <w:t>, 3-23.</w:t>
      </w:r>
    </w:p>
    <w:p w14:paraId="475D3F3A" w14:textId="20C3BA9E" w:rsidR="00B96D6A" w:rsidRPr="003E0F73" w:rsidRDefault="00B96D6A"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lang w:val="nl-BE"/>
        </w:rPr>
      </w:pPr>
      <w:proofErr w:type="spellStart"/>
      <w:r w:rsidRPr="003550F0">
        <w:rPr>
          <w:rStyle w:val="Hyperlink"/>
          <w:rFonts w:ascii="Arial" w:hAnsi="Arial" w:cs="Arial"/>
          <w:color w:val="auto"/>
          <w:sz w:val="20"/>
          <w:szCs w:val="20"/>
          <w:u w:val="none"/>
        </w:rPr>
        <w:t>Mashur</w:t>
      </w:r>
      <w:proofErr w:type="spellEnd"/>
      <w:r w:rsidRPr="003550F0">
        <w:rPr>
          <w:rStyle w:val="Hyperlink"/>
          <w:rFonts w:ascii="Arial" w:hAnsi="Arial" w:cs="Arial"/>
          <w:color w:val="auto"/>
          <w:sz w:val="20"/>
          <w:szCs w:val="20"/>
          <w:u w:val="none"/>
        </w:rPr>
        <w:t>, M.</w:t>
      </w:r>
      <w:r w:rsidR="00B32F21" w:rsidRPr="003550F0">
        <w:rPr>
          <w:rStyle w:val="Hyperlink"/>
          <w:rFonts w:ascii="Arial" w:hAnsi="Arial" w:cs="Arial"/>
          <w:color w:val="auto"/>
          <w:sz w:val="20"/>
          <w:szCs w:val="20"/>
          <w:u w:val="none"/>
        </w:rPr>
        <w:t xml:space="preserve"> (2023).</w:t>
      </w:r>
      <w:r w:rsidRPr="003550F0">
        <w:rPr>
          <w:rStyle w:val="Hyperlink"/>
          <w:rFonts w:ascii="Arial" w:hAnsi="Arial" w:cs="Arial"/>
          <w:color w:val="auto"/>
          <w:sz w:val="20"/>
          <w:szCs w:val="20"/>
          <w:u w:val="none"/>
        </w:rPr>
        <w:t xml:space="preserve"> IMPROVING ACCESS TO HIGHER EDUCATION FOR LOW-INCOME HIGH SCHOOL STUDENTS THROUGH PIP AND STUDENT’S MENTORSHIP: SCHOLARSHIP AWARDEE EXPERIENCES IN LOMBOK. </w:t>
      </w:r>
      <w:r w:rsidRPr="003E0F73">
        <w:rPr>
          <w:rStyle w:val="Hyperlink"/>
          <w:rFonts w:ascii="Arial" w:hAnsi="Arial" w:cs="Arial"/>
          <w:i/>
          <w:iCs/>
          <w:color w:val="auto"/>
          <w:sz w:val="20"/>
          <w:szCs w:val="20"/>
          <w:u w:val="none"/>
          <w:lang w:val="nl-BE"/>
        </w:rPr>
        <w:t>NUSRA: Journal Penelitian Dan Ilmu Pendidikan.</w:t>
      </w:r>
      <w:r w:rsidR="00B32F21" w:rsidRPr="003E0F73">
        <w:rPr>
          <w:rStyle w:val="Hyperlink"/>
          <w:rFonts w:ascii="Arial" w:hAnsi="Arial" w:cs="Arial"/>
          <w:color w:val="auto"/>
          <w:sz w:val="20"/>
          <w:szCs w:val="20"/>
          <w:u w:val="none"/>
          <w:lang w:val="nl-BE"/>
        </w:rPr>
        <w:t xml:space="preserve"> </w:t>
      </w:r>
      <w:r w:rsidRPr="003E0F73">
        <w:rPr>
          <w:rStyle w:val="Hyperlink"/>
          <w:rFonts w:ascii="Arial" w:hAnsi="Arial" w:cs="Arial"/>
          <w:color w:val="auto"/>
          <w:sz w:val="20"/>
          <w:szCs w:val="20"/>
          <w:u w:val="none"/>
          <w:lang w:val="nl-BE"/>
        </w:rPr>
        <w:t>4(2)</w:t>
      </w:r>
      <w:r w:rsidR="00CD229B" w:rsidRPr="003E0F73">
        <w:rPr>
          <w:rStyle w:val="Hyperlink"/>
          <w:rFonts w:ascii="Arial" w:hAnsi="Arial" w:cs="Arial"/>
          <w:color w:val="auto"/>
          <w:sz w:val="20"/>
          <w:szCs w:val="20"/>
          <w:u w:val="none"/>
          <w:lang w:val="nl-BE"/>
        </w:rPr>
        <w:t xml:space="preserve">, </w:t>
      </w:r>
      <w:r w:rsidRPr="003E0F73">
        <w:rPr>
          <w:rStyle w:val="Hyperlink"/>
          <w:rFonts w:ascii="Arial" w:hAnsi="Arial" w:cs="Arial"/>
          <w:color w:val="auto"/>
          <w:sz w:val="20"/>
          <w:szCs w:val="20"/>
          <w:u w:val="none"/>
          <w:lang w:val="nl-BE"/>
        </w:rPr>
        <w:t xml:space="preserve">178-193. </w:t>
      </w:r>
      <w:r>
        <w:fldChar w:fldCharType="begin"/>
      </w:r>
      <w:r w:rsidRPr="003E0F73">
        <w:rPr>
          <w:lang w:val="nl-BE"/>
        </w:rPr>
        <w:instrText>HYPERLINK "https://doi.org/10.55681/nusra.v4i2.804"</w:instrText>
      </w:r>
      <w:r>
        <w:fldChar w:fldCharType="separate"/>
      </w:r>
      <w:r w:rsidRPr="003E0F73">
        <w:rPr>
          <w:rStyle w:val="Hyperlink"/>
          <w:rFonts w:ascii="Arial" w:hAnsi="Arial" w:cs="Arial"/>
          <w:color w:val="0070C0"/>
          <w:sz w:val="20"/>
          <w:szCs w:val="20"/>
          <w:lang w:val="nl-BE"/>
        </w:rPr>
        <w:t>https://doi.org/10.55681/nusra.v4i2.804</w:t>
      </w:r>
      <w:r>
        <w:fldChar w:fldCharType="end"/>
      </w:r>
    </w:p>
    <w:p w14:paraId="35C1B219" w14:textId="7E6FD352" w:rsidR="00967A55" w:rsidRPr="003550F0" w:rsidRDefault="00967A55"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r w:rsidRPr="003E0F73">
        <w:rPr>
          <w:rFonts w:ascii="Arial" w:hAnsi="Arial" w:cs="Arial"/>
          <w:sz w:val="20"/>
          <w:szCs w:val="20"/>
          <w:lang w:val="nl-BE"/>
        </w:rPr>
        <w:t xml:space="preserve">Mutevere, M., Dzinamarira, T. R., Muzenda, L., Nyoka, S., Chokudinga, V., Mugoniwa, T., Moyo, E., Kakumura, F., &amp; Dzinamarira, T. (2024). </w:t>
      </w:r>
      <w:proofErr w:type="spellStart"/>
      <w:r w:rsidRPr="003550F0">
        <w:rPr>
          <w:rFonts w:ascii="Arial" w:hAnsi="Arial" w:cs="Arial"/>
          <w:sz w:val="20"/>
          <w:szCs w:val="20"/>
        </w:rPr>
        <w:t>Emopowering</w:t>
      </w:r>
      <w:proofErr w:type="spellEnd"/>
      <w:r w:rsidRPr="003550F0">
        <w:rPr>
          <w:rFonts w:ascii="Arial" w:hAnsi="Arial" w:cs="Arial"/>
          <w:sz w:val="20"/>
          <w:szCs w:val="20"/>
        </w:rPr>
        <w:t xml:space="preserve"> underprivileged students beyond financial aid: Insights from a scholarship program’s monitoring and evaluation. </w:t>
      </w:r>
      <w:r w:rsidRPr="003550F0">
        <w:rPr>
          <w:rFonts w:ascii="Arial" w:hAnsi="Arial" w:cs="Arial"/>
          <w:i/>
          <w:iCs/>
          <w:sz w:val="20"/>
          <w:szCs w:val="20"/>
        </w:rPr>
        <w:t>Evaluation and Program Planning</w:t>
      </w:r>
      <w:r w:rsidRPr="003550F0">
        <w:rPr>
          <w:rFonts w:ascii="Arial" w:hAnsi="Arial" w:cs="Arial"/>
          <w:sz w:val="20"/>
          <w:szCs w:val="20"/>
        </w:rPr>
        <w:t xml:space="preserve">. 105, 102448. </w:t>
      </w:r>
      <w:hyperlink r:id="rId21" w:history="1">
        <w:r w:rsidRPr="003550F0">
          <w:rPr>
            <w:rStyle w:val="Hyperlink"/>
            <w:rFonts w:ascii="Arial" w:hAnsi="Arial" w:cs="Arial"/>
            <w:sz w:val="20"/>
            <w:szCs w:val="20"/>
          </w:rPr>
          <w:t>https://doi.org/10.1016/j.evalprogplan.2024.102448</w:t>
        </w:r>
      </w:hyperlink>
    </w:p>
    <w:p w14:paraId="174A800C" w14:textId="517786B5" w:rsidR="008B553F" w:rsidRPr="003550F0" w:rsidRDefault="008B553F"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Deb, P., Das, P., &amp; Sultana, M. (2024). Financial Challenges Faced by IELTS Test-Takers in Sylhet, Bangladesh: An Exploration of Family Support and Assistance. </w:t>
      </w:r>
      <w:r w:rsidRPr="003550F0">
        <w:rPr>
          <w:rFonts w:ascii="Arial" w:hAnsi="Arial" w:cs="Arial"/>
          <w:i/>
          <w:iCs/>
          <w:sz w:val="20"/>
          <w:szCs w:val="20"/>
        </w:rPr>
        <w:t>Asian Journal of Education and Social Studies</w:t>
      </w:r>
      <w:r w:rsidRPr="003550F0">
        <w:rPr>
          <w:rFonts w:ascii="Arial" w:hAnsi="Arial" w:cs="Arial"/>
          <w:sz w:val="20"/>
          <w:szCs w:val="20"/>
        </w:rPr>
        <w:t xml:space="preserve">, 50(11), 46-61. </w:t>
      </w:r>
      <w:hyperlink r:id="rId22" w:history="1">
        <w:r w:rsidRPr="003550F0">
          <w:rPr>
            <w:rStyle w:val="Hyperlink"/>
            <w:rFonts w:ascii="Arial" w:hAnsi="Arial" w:cs="Arial"/>
            <w:sz w:val="20"/>
            <w:szCs w:val="20"/>
          </w:rPr>
          <w:t>https://doi.org/10.9734/ajess/2024/v50i111634</w:t>
        </w:r>
      </w:hyperlink>
    </w:p>
    <w:p w14:paraId="50BA5842" w14:textId="598700F0" w:rsidR="00692D90" w:rsidRPr="003550F0" w:rsidRDefault="00B96D6A"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r w:rsidRPr="003550F0">
        <w:rPr>
          <w:rFonts w:ascii="Arial" w:hAnsi="Arial" w:cs="Arial"/>
          <w:sz w:val="20"/>
          <w:szCs w:val="20"/>
        </w:rPr>
        <w:t xml:space="preserve">Rachman, M. A. </w:t>
      </w:r>
      <w:r w:rsidR="00B32F21" w:rsidRPr="003550F0">
        <w:rPr>
          <w:rFonts w:ascii="Arial" w:hAnsi="Arial" w:cs="Arial"/>
          <w:sz w:val="20"/>
          <w:szCs w:val="20"/>
        </w:rPr>
        <w:t xml:space="preserve">(2023). </w:t>
      </w:r>
      <w:r w:rsidRPr="003550F0">
        <w:rPr>
          <w:rFonts w:ascii="Arial" w:hAnsi="Arial" w:cs="Arial"/>
          <w:sz w:val="20"/>
          <w:szCs w:val="20"/>
        </w:rPr>
        <w:t xml:space="preserve">Scholarship for catching up? The Indonesia Endowment Fund for Education (LPDP) scholarship program as a pillar of economic development policy. </w:t>
      </w:r>
      <w:r w:rsidRPr="003550F0">
        <w:rPr>
          <w:rFonts w:ascii="Arial" w:hAnsi="Arial" w:cs="Arial"/>
          <w:i/>
          <w:iCs/>
          <w:sz w:val="20"/>
          <w:szCs w:val="20"/>
        </w:rPr>
        <w:t>International Journal of Educational Development</w:t>
      </w:r>
      <w:r w:rsidRPr="003550F0">
        <w:rPr>
          <w:rFonts w:ascii="Arial" w:hAnsi="Arial" w:cs="Arial"/>
          <w:sz w:val="20"/>
          <w:szCs w:val="20"/>
        </w:rPr>
        <w:t>.</w:t>
      </w:r>
      <w:r w:rsidR="00B32F21" w:rsidRPr="003550F0">
        <w:rPr>
          <w:rFonts w:ascii="Arial" w:hAnsi="Arial" w:cs="Arial"/>
          <w:sz w:val="20"/>
          <w:szCs w:val="20"/>
        </w:rPr>
        <w:t xml:space="preserve"> </w:t>
      </w:r>
      <w:r w:rsidRPr="003550F0">
        <w:rPr>
          <w:rFonts w:ascii="Arial" w:hAnsi="Arial" w:cs="Arial"/>
          <w:sz w:val="20"/>
          <w:szCs w:val="20"/>
        </w:rPr>
        <w:t>96</w:t>
      </w:r>
      <w:r w:rsidR="00CD229B" w:rsidRPr="003550F0">
        <w:rPr>
          <w:rFonts w:ascii="Arial" w:hAnsi="Arial" w:cs="Arial"/>
          <w:sz w:val="20"/>
          <w:szCs w:val="20"/>
        </w:rPr>
        <w:t xml:space="preserve">, </w:t>
      </w:r>
      <w:r w:rsidRPr="003550F0">
        <w:rPr>
          <w:rFonts w:ascii="Arial" w:hAnsi="Arial" w:cs="Arial"/>
          <w:sz w:val="20"/>
          <w:szCs w:val="20"/>
        </w:rPr>
        <w:t xml:space="preserve">102701. </w:t>
      </w:r>
      <w:hyperlink r:id="rId23" w:history="1">
        <w:r w:rsidRPr="003550F0">
          <w:rPr>
            <w:rStyle w:val="Hyperlink"/>
            <w:rFonts w:ascii="Arial" w:hAnsi="Arial" w:cs="Arial"/>
            <w:sz w:val="20"/>
            <w:szCs w:val="20"/>
          </w:rPr>
          <w:t>https://doi.org/10.1016/j.ijedudev.2022.102701</w:t>
        </w:r>
      </w:hyperlink>
      <w:r w:rsidR="00692D90" w:rsidRPr="003550F0">
        <w:rPr>
          <w:rStyle w:val="Hyperlink"/>
          <w:rFonts w:ascii="Arial" w:hAnsi="Arial" w:cs="Arial"/>
          <w:sz w:val="20"/>
          <w:szCs w:val="20"/>
        </w:rPr>
        <w:t xml:space="preserve">  </w:t>
      </w:r>
    </w:p>
    <w:p w14:paraId="1B25979C" w14:textId="6DC6D2F7" w:rsidR="00967A55" w:rsidRPr="003550F0" w:rsidRDefault="00967A55" w:rsidP="003550F0">
      <w:pPr>
        <w:pStyle w:val="ListParagraph"/>
        <w:numPr>
          <w:ilvl w:val="0"/>
          <w:numId w:val="5"/>
        </w:numPr>
        <w:spacing w:after="0" w:line="240" w:lineRule="auto"/>
        <w:ind w:left="360" w:firstLine="0"/>
        <w:jc w:val="both"/>
        <w:rPr>
          <w:rStyle w:val="Hyperlink"/>
          <w:rFonts w:ascii="Arial" w:hAnsi="Arial" w:cs="Arial"/>
          <w:color w:val="auto"/>
          <w:sz w:val="20"/>
          <w:szCs w:val="20"/>
          <w:u w:val="none"/>
        </w:rPr>
      </w:pPr>
      <w:r w:rsidRPr="003550F0">
        <w:rPr>
          <w:rFonts w:ascii="Arial" w:hAnsi="Arial" w:cs="Arial"/>
          <w:sz w:val="20"/>
          <w:szCs w:val="20"/>
        </w:rPr>
        <w:t xml:space="preserve">Whatley, M., &amp; Clayton, A. B. (2020). Study Abroad for Low-income Students: The Relationship Between Need-based Grant Aid and Access to Education Abroad. </w:t>
      </w:r>
      <w:r w:rsidRPr="003550F0">
        <w:rPr>
          <w:rFonts w:ascii="Arial" w:hAnsi="Arial" w:cs="Arial"/>
          <w:i/>
          <w:iCs/>
          <w:sz w:val="20"/>
          <w:szCs w:val="20"/>
        </w:rPr>
        <w:t>Journal of Student Financial Aid</w:t>
      </w:r>
      <w:r w:rsidRPr="003550F0">
        <w:rPr>
          <w:rFonts w:ascii="Arial" w:hAnsi="Arial" w:cs="Arial"/>
          <w:sz w:val="20"/>
          <w:szCs w:val="20"/>
        </w:rPr>
        <w:t xml:space="preserve">. 49(2). </w:t>
      </w:r>
      <w:hyperlink r:id="rId24" w:history="1">
        <w:r w:rsidRPr="003550F0">
          <w:rPr>
            <w:rStyle w:val="Hyperlink"/>
            <w:rFonts w:ascii="Arial" w:hAnsi="Arial" w:cs="Arial"/>
            <w:sz w:val="20"/>
            <w:szCs w:val="20"/>
          </w:rPr>
          <w:t>https://doi.org/10.55504/0884-9153.1679</w:t>
        </w:r>
      </w:hyperlink>
    </w:p>
    <w:p w14:paraId="0CDBDE79" w14:textId="6750A061" w:rsidR="00692D90" w:rsidRPr="003550F0" w:rsidRDefault="00692D90" w:rsidP="003550F0">
      <w:pPr>
        <w:pStyle w:val="ListParagraph"/>
        <w:numPr>
          <w:ilvl w:val="0"/>
          <w:numId w:val="5"/>
        </w:numPr>
        <w:spacing w:after="0" w:line="240" w:lineRule="auto"/>
        <w:ind w:left="360" w:firstLine="0"/>
        <w:jc w:val="both"/>
        <w:rPr>
          <w:rFonts w:ascii="Arial" w:hAnsi="Arial" w:cs="Arial"/>
          <w:sz w:val="20"/>
          <w:szCs w:val="20"/>
        </w:rPr>
      </w:pPr>
      <w:r w:rsidRPr="003550F0">
        <w:rPr>
          <w:rStyle w:val="Hyperlink"/>
          <w:rFonts w:ascii="Arial" w:hAnsi="Arial" w:cs="Arial"/>
          <w:color w:val="000000" w:themeColor="text1"/>
          <w:sz w:val="20"/>
          <w:szCs w:val="20"/>
          <w:u w:val="none"/>
          <w14:textOutline w14:w="0" w14:cap="flat" w14:cmpd="sng" w14:algn="ctr">
            <w14:noFill/>
            <w14:prstDash w14:val="solid"/>
            <w14:round/>
          </w14:textOutline>
        </w:rPr>
        <w:t xml:space="preserve">Whatley, M. (2017). Financing Study Abroad: An Exploration of the influence of Financial Factors on Student Study Abroad Patterns. </w:t>
      </w:r>
      <w:r w:rsidRPr="003550F0">
        <w:rPr>
          <w:rStyle w:val="Hyperlink"/>
          <w:rFonts w:ascii="Arial" w:hAnsi="Arial" w:cs="Arial"/>
          <w:i/>
          <w:iCs/>
          <w:color w:val="000000" w:themeColor="text1"/>
          <w:sz w:val="20"/>
          <w:szCs w:val="20"/>
          <w:u w:val="none"/>
          <w14:textOutline w14:w="0" w14:cap="flat" w14:cmpd="sng" w14:algn="ctr">
            <w14:noFill/>
            <w14:prstDash w14:val="solid"/>
            <w14:round/>
          </w14:textOutline>
        </w:rPr>
        <w:t>Journal of Studies in International Education</w:t>
      </w:r>
      <w:r w:rsidR="00CD229B" w:rsidRPr="003550F0">
        <w:rPr>
          <w:rStyle w:val="Hyperlink"/>
          <w:rFonts w:ascii="Arial" w:hAnsi="Arial" w:cs="Arial"/>
          <w:color w:val="000000" w:themeColor="text1"/>
          <w:sz w:val="20"/>
          <w:szCs w:val="20"/>
          <w:u w:val="none"/>
          <w14:textOutline w14:w="0" w14:cap="flat" w14:cmpd="sng" w14:algn="ctr">
            <w14:noFill/>
            <w14:prstDash w14:val="solid"/>
            <w14:round/>
          </w14:textOutline>
        </w:rPr>
        <w:t xml:space="preserve">. </w:t>
      </w:r>
      <w:r w:rsidRPr="003550F0">
        <w:rPr>
          <w:rStyle w:val="Hyperlink"/>
          <w:rFonts w:ascii="Arial" w:hAnsi="Arial" w:cs="Arial"/>
          <w:color w:val="000000" w:themeColor="text1"/>
          <w:sz w:val="20"/>
          <w:szCs w:val="20"/>
          <w:u w:val="none"/>
          <w14:textOutline w14:w="0" w14:cap="flat" w14:cmpd="sng" w14:algn="ctr">
            <w14:noFill/>
            <w14:prstDash w14:val="solid"/>
            <w14:round/>
          </w14:textOutline>
        </w:rPr>
        <w:t>21(5), 431-449.</w:t>
      </w:r>
      <w:r w:rsidRPr="003550F0">
        <w:rPr>
          <w:rStyle w:val="Hyperlink"/>
          <w:rFonts w:ascii="Arial" w:hAnsi="Arial" w:cs="Arial"/>
          <w:sz w:val="20"/>
          <w:szCs w:val="20"/>
        </w:rPr>
        <w:t xml:space="preserve"> </w:t>
      </w:r>
      <w:hyperlink r:id="rId25" w:history="1">
        <w:r w:rsidRPr="003550F0">
          <w:rPr>
            <w:rStyle w:val="Hyperlink"/>
            <w:rFonts w:ascii="Arial" w:hAnsi="Arial" w:cs="Arial"/>
            <w:sz w:val="20"/>
            <w:szCs w:val="20"/>
          </w:rPr>
          <w:t>https://doi.org/10.1177/1028315317697798</w:t>
        </w:r>
      </w:hyperlink>
    </w:p>
    <w:p w14:paraId="172C51A9" w14:textId="0D8F3C74" w:rsidR="00967A55" w:rsidRPr="003550F0" w:rsidRDefault="00967A55"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lastRenderedPageBreak/>
        <w:t xml:space="preserve">Duong, L. (2018). The financial challenges of studying abroad: Strategies for Vietnamese international students. </w:t>
      </w:r>
      <w:r w:rsidRPr="003550F0">
        <w:rPr>
          <w:rFonts w:ascii="Arial" w:hAnsi="Arial" w:cs="Arial"/>
          <w:i/>
          <w:iCs/>
          <w:sz w:val="20"/>
          <w:szCs w:val="20"/>
        </w:rPr>
        <w:t>THESEUS</w:t>
      </w:r>
      <w:r w:rsidRPr="003550F0">
        <w:rPr>
          <w:rFonts w:ascii="Arial" w:hAnsi="Arial" w:cs="Arial"/>
          <w:sz w:val="20"/>
          <w:szCs w:val="20"/>
        </w:rPr>
        <w:t xml:space="preserve">. </w:t>
      </w:r>
      <w:hyperlink r:id="rId26" w:history="1">
        <w:r w:rsidRPr="003550F0">
          <w:rPr>
            <w:rStyle w:val="Hyperlink"/>
            <w:rFonts w:ascii="Arial" w:hAnsi="Arial" w:cs="Arial"/>
            <w:sz w:val="20"/>
            <w:szCs w:val="20"/>
          </w:rPr>
          <w:t>https://urn.fi/URN:NBN:fi:amk-201805127797</w:t>
        </w:r>
      </w:hyperlink>
    </w:p>
    <w:p w14:paraId="3CAC5B39" w14:textId="10012670" w:rsidR="005418E0" w:rsidRPr="003550F0" w:rsidRDefault="005418E0"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Aktar, F., &amp; Roy, M. (2022). The Socio-Economic Transition of Expatriate Families in Sylhet, Bangladesh. </w:t>
      </w:r>
      <w:r w:rsidRPr="003550F0">
        <w:rPr>
          <w:rFonts w:ascii="Arial" w:hAnsi="Arial" w:cs="Arial"/>
          <w:i/>
          <w:iCs/>
          <w:sz w:val="20"/>
          <w:szCs w:val="20"/>
        </w:rPr>
        <w:t>Journal of Social Science</w:t>
      </w:r>
      <w:r w:rsidRPr="003550F0">
        <w:rPr>
          <w:rFonts w:ascii="Arial" w:hAnsi="Arial" w:cs="Arial"/>
          <w:sz w:val="20"/>
          <w:szCs w:val="20"/>
        </w:rPr>
        <w:t>. 6(1), 191-203.</w:t>
      </w:r>
    </w:p>
    <w:p w14:paraId="09D9700C" w14:textId="468E331C" w:rsidR="00967A55" w:rsidRPr="003550F0" w:rsidRDefault="00967A55" w:rsidP="003550F0">
      <w:pPr>
        <w:pStyle w:val="ListParagraph"/>
        <w:numPr>
          <w:ilvl w:val="0"/>
          <w:numId w:val="5"/>
        </w:numPr>
        <w:spacing w:after="0" w:line="240" w:lineRule="auto"/>
        <w:ind w:left="360" w:firstLine="0"/>
        <w:jc w:val="both"/>
        <w:rPr>
          <w:rFonts w:ascii="Arial" w:hAnsi="Arial" w:cs="Arial"/>
          <w:sz w:val="20"/>
          <w:szCs w:val="20"/>
        </w:rPr>
      </w:pPr>
      <w:r w:rsidRPr="003E0F73">
        <w:rPr>
          <w:rStyle w:val="Hyperlink"/>
          <w:rFonts w:ascii="Arial" w:hAnsi="Arial" w:cs="Arial"/>
          <w:color w:val="auto"/>
          <w:sz w:val="20"/>
          <w:szCs w:val="20"/>
          <w:u w:val="none"/>
          <w:lang w:val="nl-BE"/>
        </w:rPr>
        <w:t xml:space="preserve">Karna, R. K., &amp; Swain, D. K. (2022). </w:t>
      </w:r>
      <w:r w:rsidRPr="003550F0">
        <w:rPr>
          <w:rStyle w:val="Hyperlink"/>
          <w:rFonts w:ascii="Arial" w:hAnsi="Arial" w:cs="Arial"/>
          <w:color w:val="auto"/>
          <w:sz w:val="20"/>
          <w:szCs w:val="20"/>
          <w:u w:val="none"/>
        </w:rPr>
        <w:t xml:space="preserve">THE EFFECTIVENESS OF STUDENTS FINANCIAL AID PROGRAMMES IN INDIA: A POLICY EVALUATIVE STUDY OF POST-MATRIC SCHOLARSHIP SCHEME. </w:t>
      </w:r>
      <w:r w:rsidRPr="003550F0">
        <w:rPr>
          <w:rStyle w:val="Hyperlink"/>
          <w:rFonts w:ascii="Arial" w:hAnsi="Arial" w:cs="Arial"/>
          <w:i/>
          <w:iCs/>
          <w:color w:val="auto"/>
          <w:sz w:val="20"/>
          <w:szCs w:val="20"/>
          <w:u w:val="none"/>
        </w:rPr>
        <w:t>Towards Excellence</w:t>
      </w:r>
      <w:r w:rsidRPr="003550F0">
        <w:rPr>
          <w:rStyle w:val="Hyperlink"/>
          <w:rFonts w:ascii="Arial" w:hAnsi="Arial" w:cs="Arial"/>
          <w:color w:val="auto"/>
          <w:sz w:val="20"/>
          <w:szCs w:val="20"/>
          <w:u w:val="none"/>
        </w:rPr>
        <w:t xml:space="preserve">. 907-925. </w:t>
      </w:r>
      <w:hyperlink r:id="rId27" w:history="1">
        <w:r w:rsidRPr="003550F0">
          <w:rPr>
            <w:rStyle w:val="Hyperlink"/>
            <w:rFonts w:ascii="Arial" w:hAnsi="Arial" w:cs="Arial"/>
            <w:color w:val="0070C0"/>
            <w:sz w:val="20"/>
            <w:szCs w:val="20"/>
          </w:rPr>
          <w:t>https://doi.org/10.37867/TE140383</w:t>
        </w:r>
      </w:hyperlink>
    </w:p>
    <w:p w14:paraId="76CA9599" w14:textId="11356CB7" w:rsidR="00967A55" w:rsidRPr="003550F0" w:rsidRDefault="00967A55"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Islam, M. S., Sarker, N. C., &amp; Islam, S. M. H. Z. (2021). SOCIO-ECONOMIC DEVELOPMENT THROUGH REMITTANCE-EARNING POPULATION: A CASE STUDY OF SYLHET REGION.  </w:t>
      </w:r>
      <w:r w:rsidRPr="003550F0">
        <w:rPr>
          <w:rFonts w:ascii="Arial" w:hAnsi="Arial" w:cs="Arial"/>
          <w:i/>
          <w:iCs/>
          <w:sz w:val="20"/>
          <w:szCs w:val="20"/>
        </w:rPr>
        <w:t>Journal of International Economics and Finance</w:t>
      </w:r>
      <w:r w:rsidRPr="003550F0">
        <w:rPr>
          <w:rFonts w:ascii="Arial" w:hAnsi="Arial" w:cs="Arial"/>
          <w:sz w:val="20"/>
          <w:szCs w:val="20"/>
        </w:rPr>
        <w:t>. 1(2), 25-41.</w:t>
      </w:r>
    </w:p>
    <w:p w14:paraId="450BF780" w14:textId="14FADBAF" w:rsidR="00F52A6F" w:rsidRPr="003550F0" w:rsidRDefault="00F52A6F" w:rsidP="003550F0">
      <w:pPr>
        <w:pStyle w:val="ListParagraph"/>
        <w:numPr>
          <w:ilvl w:val="0"/>
          <w:numId w:val="5"/>
        </w:numPr>
        <w:spacing w:after="0" w:line="240" w:lineRule="auto"/>
        <w:ind w:left="360" w:firstLine="0"/>
        <w:jc w:val="both"/>
        <w:rPr>
          <w:rFonts w:ascii="Arial" w:hAnsi="Arial" w:cs="Arial"/>
          <w:sz w:val="20"/>
          <w:szCs w:val="20"/>
        </w:rPr>
      </w:pPr>
      <w:r w:rsidRPr="003550F0">
        <w:rPr>
          <w:rFonts w:ascii="Arial" w:hAnsi="Arial" w:cs="Arial"/>
          <w:sz w:val="20"/>
          <w:szCs w:val="20"/>
        </w:rPr>
        <w:t xml:space="preserve">Chandler, C. R., &amp; Tsai, Y. (2001). Social factors influencing immigration attitudes: An analysis of data from the General Social Survey. </w:t>
      </w:r>
      <w:r w:rsidRPr="003550F0">
        <w:rPr>
          <w:rFonts w:ascii="Arial" w:hAnsi="Arial" w:cs="Arial"/>
          <w:i/>
          <w:iCs/>
          <w:sz w:val="20"/>
          <w:szCs w:val="20"/>
        </w:rPr>
        <w:t>The Social Science Journal</w:t>
      </w:r>
      <w:r w:rsidRPr="003550F0">
        <w:rPr>
          <w:rFonts w:ascii="Arial" w:hAnsi="Arial" w:cs="Arial"/>
          <w:sz w:val="20"/>
          <w:szCs w:val="20"/>
        </w:rPr>
        <w:t xml:space="preserve">, 38, 177-188. </w:t>
      </w:r>
      <w:hyperlink r:id="rId28" w:history="1">
        <w:r w:rsidRPr="003550F0">
          <w:rPr>
            <w:rStyle w:val="Hyperlink"/>
            <w:rFonts w:ascii="Arial" w:hAnsi="Arial" w:cs="Arial"/>
            <w:sz w:val="20"/>
            <w:szCs w:val="20"/>
          </w:rPr>
          <w:t>https://doi.org/10.1016/S0362-3319(01)00106-9</w:t>
        </w:r>
      </w:hyperlink>
    </w:p>
    <w:p w14:paraId="3B5C57A7" w14:textId="77777777" w:rsidR="00506E29" w:rsidRDefault="00506E29" w:rsidP="003550F0">
      <w:pPr>
        <w:spacing w:after="0" w:line="240" w:lineRule="auto"/>
        <w:jc w:val="both"/>
        <w:rPr>
          <w:rFonts w:ascii="Arial" w:hAnsi="Arial" w:cs="Arial"/>
          <w:b/>
          <w:bCs/>
          <w:sz w:val="24"/>
          <w:szCs w:val="24"/>
        </w:rPr>
      </w:pPr>
    </w:p>
    <w:p w14:paraId="78FB1ADD" w14:textId="77777777" w:rsidR="003550F0" w:rsidRDefault="003550F0" w:rsidP="00506E29">
      <w:pPr>
        <w:spacing w:after="0" w:line="360" w:lineRule="auto"/>
        <w:jc w:val="both"/>
        <w:rPr>
          <w:rFonts w:ascii="Arial" w:hAnsi="Arial" w:cs="Arial"/>
          <w:b/>
          <w:bCs/>
          <w:sz w:val="24"/>
          <w:szCs w:val="24"/>
        </w:rPr>
      </w:pPr>
    </w:p>
    <w:p w14:paraId="180164EB" w14:textId="77777777" w:rsidR="003550F0" w:rsidRDefault="003550F0" w:rsidP="00506E29">
      <w:pPr>
        <w:spacing w:after="0" w:line="360" w:lineRule="auto"/>
        <w:jc w:val="both"/>
        <w:rPr>
          <w:rFonts w:ascii="Arial" w:hAnsi="Arial" w:cs="Arial"/>
          <w:b/>
          <w:bCs/>
          <w:sz w:val="24"/>
          <w:szCs w:val="24"/>
        </w:rPr>
      </w:pPr>
    </w:p>
    <w:p w14:paraId="6415DC92" w14:textId="77777777" w:rsidR="00020154" w:rsidRPr="008E46F9" w:rsidRDefault="00020154" w:rsidP="00506E29">
      <w:pPr>
        <w:spacing w:after="0" w:line="360" w:lineRule="auto"/>
        <w:jc w:val="both"/>
        <w:rPr>
          <w:rFonts w:ascii="Arial" w:hAnsi="Arial" w:cs="Arial"/>
          <w:b/>
          <w:bCs/>
          <w:sz w:val="24"/>
          <w:szCs w:val="24"/>
        </w:rPr>
      </w:pPr>
    </w:p>
    <w:p w14:paraId="3F04D8B7" w14:textId="71FFA73A" w:rsidR="00506E29" w:rsidRDefault="003550F0" w:rsidP="003550F0">
      <w:pPr>
        <w:spacing w:after="0" w:line="240" w:lineRule="auto"/>
        <w:jc w:val="both"/>
        <w:rPr>
          <w:rFonts w:ascii="Arial" w:hAnsi="Arial" w:cs="Arial"/>
          <w:b/>
          <w:bCs/>
        </w:rPr>
      </w:pPr>
      <w:r w:rsidRPr="003550F0">
        <w:rPr>
          <w:rFonts w:ascii="Arial" w:hAnsi="Arial" w:cs="Arial"/>
          <w:b/>
          <w:bCs/>
        </w:rPr>
        <w:t>10. APPENDIX TABLE</w:t>
      </w:r>
    </w:p>
    <w:p w14:paraId="1F9901FD" w14:textId="77777777" w:rsidR="003550F0" w:rsidRPr="003550F0" w:rsidRDefault="003550F0" w:rsidP="003550F0">
      <w:pPr>
        <w:spacing w:after="0" w:line="240" w:lineRule="auto"/>
        <w:jc w:val="both"/>
        <w:rPr>
          <w:rFonts w:ascii="Arial" w:hAnsi="Arial" w:cs="Arial"/>
          <w:b/>
          <w:bCs/>
        </w:rPr>
      </w:pPr>
    </w:p>
    <w:p w14:paraId="148A84D6" w14:textId="4C1E3C87" w:rsidR="000A2D44" w:rsidRPr="003550F0" w:rsidRDefault="00506E29" w:rsidP="003550F0">
      <w:pPr>
        <w:spacing w:after="0" w:line="240" w:lineRule="auto"/>
        <w:jc w:val="both"/>
        <w:rPr>
          <w:rFonts w:ascii="Arial" w:hAnsi="Arial" w:cs="Arial"/>
          <w:b/>
          <w:bCs/>
          <w:sz w:val="20"/>
          <w:szCs w:val="20"/>
        </w:rPr>
      </w:pPr>
      <w:r w:rsidRPr="003550F0">
        <w:rPr>
          <w:rFonts w:ascii="Arial" w:hAnsi="Arial" w:cs="Arial"/>
          <w:b/>
          <w:bCs/>
          <w:sz w:val="20"/>
          <w:szCs w:val="20"/>
        </w:rPr>
        <w:t>Appendix Table 1: Preferred country</w:t>
      </w:r>
    </w:p>
    <w:tbl>
      <w:tblPr>
        <w:tblStyle w:val="TableGrid"/>
        <w:tblW w:w="9355" w:type="dxa"/>
        <w:tblLook w:val="04A0" w:firstRow="1" w:lastRow="0" w:firstColumn="1" w:lastColumn="0" w:noHBand="0" w:noVBand="1"/>
      </w:tblPr>
      <w:tblGrid>
        <w:gridCol w:w="5935"/>
        <w:gridCol w:w="1350"/>
        <w:gridCol w:w="2070"/>
      </w:tblGrid>
      <w:tr w:rsidR="00506E29" w:rsidRPr="003550F0" w14:paraId="24919781" w14:textId="77777777" w:rsidTr="00DE4CDB">
        <w:tc>
          <w:tcPr>
            <w:tcW w:w="5935" w:type="dxa"/>
            <w:tcBorders>
              <w:bottom w:val="single" w:sz="4" w:space="0" w:color="auto"/>
            </w:tcBorders>
          </w:tcPr>
          <w:p w14:paraId="0B68344F" w14:textId="77777777" w:rsidR="00506E29" w:rsidRPr="003550F0" w:rsidRDefault="00506E29" w:rsidP="00A97470">
            <w:pPr>
              <w:jc w:val="center"/>
              <w:rPr>
                <w:rFonts w:ascii="Arial" w:hAnsi="Arial" w:cs="Arial"/>
                <w:b/>
                <w:bCs/>
                <w:sz w:val="20"/>
                <w:szCs w:val="20"/>
              </w:rPr>
            </w:pPr>
            <w:r w:rsidRPr="003550F0">
              <w:rPr>
                <w:rFonts w:ascii="Arial" w:hAnsi="Arial" w:cs="Arial"/>
                <w:b/>
                <w:bCs/>
                <w:sz w:val="20"/>
                <w:szCs w:val="20"/>
              </w:rPr>
              <w:t>Country</w:t>
            </w:r>
          </w:p>
        </w:tc>
        <w:tc>
          <w:tcPr>
            <w:tcW w:w="1350" w:type="dxa"/>
            <w:tcBorders>
              <w:bottom w:val="single" w:sz="4" w:space="0" w:color="auto"/>
            </w:tcBorders>
          </w:tcPr>
          <w:p w14:paraId="37AB6C9A" w14:textId="77777777" w:rsidR="00506E29" w:rsidRPr="003550F0" w:rsidRDefault="00506E29" w:rsidP="007A2DA5">
            <w:pPr>
              <w:jc w:val="center"/>
              <w:rPr>
                <w:rFonts w:ascii="Arial" w:hAnsi="Arial" w:cs="Arial"/>
                <w:b/>
                <w:bCs/>
                <w:sz w:val="20"/>
                <w:szCs w:val="20"/>
              </w:rPr>
            </w:pPr>
            <w:r w:rsidRPr="003550F0">
              <w:rPr>
                <w:rFonts w:ascii="Arial" w:hAnsi="Arial" w:cs="Arial"/>
                <w:b/>
                <w:bCs/>
                <w:sz w:val="20"/>
                <w:szCs w:val="20"/>
              </w:rPr>
              <w:t>Total</w:t>
            </w:r>
          </w:p>
        </w:tc>
        <w:tc>
          <w:tcPr>
            <w:tcW w:w="2070" w:type="dxa"/>
            <w:tcBorders>
              <w:bottom w:val="single" w:sz="4" w:space="0" w:color="auto"/>
            </w:tcBorders>
          </w:tcPr>
          <w:p w14:paraId="467228BC" w14:textId="77777777" w:rsidR="00506E29" w:rsidRPr="003550F0" w:rsidRDefault="00506E29" w:rsidP="007A2DA5">
            <w:pPr>
              <w:jc w:val="center"/>
              <w:rPr>
                <w:rFonts w:ascii="Arial" w:hAnsi="Arial" w:cs="Arial"/>
                <w:b/>
                <w:bCs/>
                <w:sz w:val="20"/>
                <w:szCs w:val="20"/>
              </w:rPr>
            </w:pPr>
            <w:r w:rsidRPr="003550F0">
              <w:rPr>
                <w:rFonts w:ascii="Arial" w:hAnsi="Arial" w:cs="Arial"/>
                <w:b/>
                <w:bCs/>
                <w:sz w:val="20"/>
                <w:szCs w:val="20"/>
              </w:rPr>
              <w:t>Percentage of total</w:t>
            </w:r>
          </w:p>
        </w:tc>
      </w:tr>
      <w:tr w:rsidR="00506E29" w:rsidRPr="003550F0" w14:paraId="65C2A2E5" w14:textId="77777777" w:rsidTr="00DE4CDB">
        <w:tc>
          <w:tcPr>
            <w:tcW w:w="5935" w:type="dxa"/>
            <w:tcBorders>
              <w:bottom w:val="nil"/>
            </w:tcBorders>
          </w:tcPr>
          <w:p w14:paraId="006DF63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w:t>
            </w:r>
          </w:p>
        </w:tc>
        <w:tc>
          <w:tcPr>
            <w:tcW w:w="1350" w:type="dxa"/>
            <w:tcBorders>
              <w:bottom w:val="nil"/>
            </w:tcBorders>
          </w:tcPr>
          <w:p w14:paraId="158BB1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43</w:t>
            </w:r>
          </w:p>
        </w:tc>
        <w:tc>
          <w:tcPr>
            <w:tcW w:w="2070" w:type="dxa"/>
            <w:tcBorders>
              <w:bottom w:val="nil"/>
            </w:tcBorders>
          </w:tcPr>
          <w:p w14:paraId="2B2C83A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25.15%</w:t>
            </w:r>
          </w:p>
        </w:tc>
      </w:tr>
      <w:tr w:rsidR="00506E29" w:rsidRPr="003550F0" w14:paraId="7A9E3D53" w14:textId="77777777" w:rsidTr="00DE4CDB">
        <w:tc>
          <w:tcPr>
            <w:tcW w:w="5935" w:type="dxa"/>
            <w:tcBorders>
              <w:top w:val="nil"/>
              <w:bottom w:val="nil"/>
            </w:tcBorders>
          </w:tcPr>
          <w:p w14:paraId="76F026D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w:t>
            </w:r>
          </w:p>
        </w:tc>
        <w:tc>
          <w:tcPr>
            <w:tcW w:w="1350" w:type="dxa"/>
            <w:tcBorders>
              <w:top w:val="nil"/>
              <w:bottom w:val="nil"/>
            </w:tcBorders>
          </w:tcPr>
          <w:p w14:paraId="760FAB3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14</w:t>
            </w:r>
          </w:p>
        </w:tc>
        <w:tc>
          <w:tcPr>
            <w:tcW w:w="2070" w:type="dxa"/>
            <w:tcBorders>
              <w:top w:val="nil"/>
              <w:bottom w:val="nil"/>
            </w:tcBorders>
          </w:tcPr>
          <w:p w14:paraId="522899B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8.19%</w:t>
            </w:r>
          </w:p>
        </w:tc>
      </w:tr>
      <w:tr w:rsidR="00506E29" w:rsidRPr="003550F0" w14:paraId="3C0B9512" w14:textId="77777777" w:rsidTr="00DE4CDB">
        <w:tc>
          <w:tcPr>
            <w:tcW w:w="5935" w:type="dxa"/>
            <w:tcBorders>
              <w:top w:val="nil"/>
              <w:bottom w:val="nil"/>
            </w:tcBorders>
          </w:tcPr>
          <w:p w14:paraId="23A3814E"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w:t>
            </w:r>
          </w:p>
        </w:tc>
        <w:tc>
          <w:tcPr>
            <w:tcW w:w="1350" w:type="dxa"/>
            <w:tcBorders>
              <w:top w:val="nil"/>
              <w:bottom w:val="nil"/>
            </w:tcBorders>
          </w:tcPr>
          <w:p w14:paraId="52A45365"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13</w:t>
            </w:r>
          </w:p>
        </w:tc>
        <w:tc>
          <w:tcPr>
            <w:tcW w:w="2070" w:type="dxa"/>
            <w:tcBorders>
              <w:top w:val="nil"/>
              <w:bottom w:val="nil"/>
            </w:tcBorders>
          </w:tcPr>
          <w:p w14:paraId="05201D2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7.60%</w:t>
            </w:r>
          </w:p>
        </w:tc>
      </w:tr>
      <w:tr w:rsidR="00506E29" w:rsidRPr="003550F0" w14:paraId="5AB082DD" w14:textId="77777777" w:rsidTr="00DE4CDB">
        <w:tc>
          <w:tcPr>
            <w:tcW w:w="5935" w:type="dxa"/>
            <w:tcBorders>
              <w:top w:val="nil"/>
              <w:bottom w:val="nil"/>
            </w:tcBorders>
          </w:tcPr>
          <w:p w14:paraId="2362B1F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Australia</w:t>
            </w:r>
          </w:p>
        </w:tc>
        <w:tc>
          <w:tcPr>
            <w:tcW w:w="1350" w:type="dxa"/>
            <w:tcBorders>
              <w:top w:val="nil"/>
              <w:bottom w:val="nil"/>
            </w:tcBorders>
          </w:tcPr>
          <w:p w14:paraId="1C518C0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07</w:t>
            </w:r>
          </w:p>
        </w:tc>
        <w:tc>
          <w:tcPr>
            <w:tcW w:w="2070" w:type="dxa"/>
            <w:tcBorders>
              <w:top w:val="nil"/>
              <w:bottom w:val="nil"/>
            </w:tcBorders>
          </w:tcPr>
          <w:p w14:paraId="7F75865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4.09%</w:t>
            </w:r>
          </w:p>
        </w:tc>
      </w:tr>
      <w:tr w:rsidR="00506E29" w:rsidRPr="003550F0" w14:paraId="5411D9E0" w14:textId="77777777" w:rsidTr="00DE4CDB">
        <w:tc>
          <w:tcPr>
            <w:tcW w:w="5935" w:type="dxa"/>
            <w:tcBorders>
              <w:top w:val="nil"/>
              <w:bottom w:val="nil"/>
            </w:tcBorders>
          </w:tcPr>
          <w:p w14:paraId="40993379"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Denmark</w:t>
            </w:r>
          </w:p>
        </w:tc>
        <w:tc>
          <w:tcPr>
            <w:tcW w:w="1350" w:type="dxa"/>
            <w:tcBorders>
              <w:top w:val="nil"/>
              <w:bottom w:val="nil"/>
            </w:tcBorders>
          </w:tcPr>
          <w:p w14:paraId="505884F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08</w:t>
            </w:r>
          </w:p>
        </w:tc>
        <w:tc>
          <w:tcPr>
            <w:tcW w:w="2070" w:type="dxa"/>
            <w:tcBorders>
              <w:top w:val="nil"/>
              <w:bottom w:val="nil"/>
            </w:tcBorders>
          </w:tcPr>
          <w:p w14:paraId="6EF1FA0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4.68%</w:t>
            </w:r>
          </w:p>
        </w:tc>
      </w:tr>
      <w:tr w:rsidR="00506E29" w:rsidRPr="003550F0" w14:paraId="6AABF320" w14:textId="77777777" w:rsidTr="00DE4CDB">
        <w:tc>
          <w:tcPr>
            <w:tcW w:w="5935" w:type="dxa"/>
            <w:tcBorders>
              <w:top w:val="nil"/>
              <w:bottom w:val="nil"/>
            </w:tcBorders>
          </w:tcPr>
          <w:p w14:paraId="4BE03F9D"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Germany</w:t>
            </w:r>
          </w:p>
        </w:tc>
        <w:tc>
          <w:tcPr>
            <w:tcW w:w="1350" w:type="dxa"/>
            <w:tcBorders>
              <w:top w:val="nil"/>
              <w:bottom w:val="nil"/>
            </w:tcBorders>
          </w:tcPr>
          <w:p w14:paraId="74F550AF"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22543F0"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E3AD756" w14:textId="77777777" w:rsidTr="00DE4CDB">
        <w:tc>
          <w:tcPr>
            <w:tcW w:w="5935" w:type="dxa"/>
            <w:tcBorders>
              <w:top w:val="nil"/>
              <w:bottom w:val="nil"/>
            </w:tcBorders>
          </w:tcPr>
          <w:p w14:paraId="619B018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Italy</w:t>
            </w:r>
          </w:p>
        </w:tc>
        <w:tc>
          <w:tcPr>
            <w:tcW w:w="1350" w:type="dxa"/>
            <w:tcBorders>
              <w:top w:val="nil"/>
              <w:bottom w:val="nil"/>
            </w:tcBorders>
          </w:tcPr>
          <w:p w14:paraId="1296359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2791C4E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73358AFA" w14:textId="77777777" w:rsidTr="00DE4CDB">
        <w:tc>
          <w:tcPr>
            <w:tcW w:w="5935" w:type="dxa"/>
            <w:tcBorders>
              <w:top w:val="nil"/>
              <w:bottom w:val="nil"/>
            </w:tcBorders>
          </w:tcPr>
          <w:p w14:paraId="5263D1C9"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France</w:t>
            </w:r>
          </w:p>
        </w:tc>
        <w:tc>
          <w:tcPr>
            <w:tcW w:w="1350" w:type="dxa"/>
            <w:tcBorders>
              <w:top w:val="nil"/>
              <w:bottom w:val="nil"/>
            </w:tcBorders>
          </w:tcPr>
          <w:p w14:paraId="5A73FA2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2E50F78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0710E7B" w14:textId="77777777" w:rsidTr="00DE4CDB">
        <w:tc>
          <w:tcPr>
            <w:tcW w:w="5935" w:type="dxa"/>
            <w:tcBorders>
              <w:top w:val="nil"/>
              <w:bottom w:val="nil"/>
            </w:tcBorders>
          </w:tcPr>
          <w:p w14:paraId="68217FD8"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Finland</w:t>
            </w:r>
          </w:p>
        </w:tc>
        <w:tc>
          <w:tcPr>
            <w:tcW w:w="1350" w:type="dxa"/>
            <w:tcBorders>
              <w:top w:val="nil"/>
              <w:bottom w:val="nil"/>
            </w:tcBorders>
          </w:tcPr>
          <w:p w14:paraId="6832786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341053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5B8AF2B" w14:textId="77777777" w:rsidTr="00DE4CDB">
        <w:tc>
          <w:tcPr>
            <w:tcW w:w="5935" w:type="dxa"/>
            <w:tcBorders>
              <w:top w:val="nil"/>
              <w:bottom w:val="nil"/>
            </w:tcBorders>
          </w:tcPr>
          <w:p w14:paraId="2C454AE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Malaysia</w:t>
            </w:r>
          </w:p>
        </w:tc>
        <w:tc>
          <w:tcPr>
            <w:tcW w:w="1350" w:type="dxa"/>
            <w:tcBorders>
              <w:top w:val="nil"/>
              <w:bottom w:val="nil"/>
            </w:tcBorders>
          </w:tcPr>
          <w:p w14:paraId="7956EE3B"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6FE52B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16225EA" w14:textId="77777777" w:rsidTr="00DE4CDB">
        <w:tc>
          <w:tcPr>
            <w:tcW w:w="5935" w:type="dxa"/>
            <w:tcBorders>
              <w:top w:val="nil"/>
              <w:bottom w:val="nil"/>
            </w:tcBorders>
          </w:tcPr>
          <w:p w14:paraId="0924D94B"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w:t>
            </w:r>
          </w:p>
        </w:tc>
        <w:tc>
          <w:tcPr>
            <w:tcW w:w="1350" w:type="dxa"/>
            <w:tcBorders>
              <w:top w:val="nil"/>
              <w:bottom w:val="nil"/>
            </w:tcBorders>
          </w:tcPr>
          <w:p w14:paraId="65B0CF7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08</w:t>
            </w:r>
          </w:p>
        </w:tc>
        <w:tc>
          <w:tcPr>
            <w:tcW w:w="2070" w:type="dxa"/>
            <w:tcBorders>
              <w:top w:val="nil"/>
              <w:bottom w:val="nil"/>
            </w:tcBorders>
          </w:tcPr>
          <w:p w14:paraId="4B13CB1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4.68%</w:t>
            </w:r>
          </w:p>
        </w:tc>
      </w:tr>
      <w:tr w:rsidR="00506E29" w:rsidRPr="003550F0" w14:paraId="60633B64" w14:textId="77777777" w:rsidTr="00DE4CDB">
        <w:tc>
          <w:tcPr>
            <w:tcW w:w="5935" w:type="dxa"/>
            <w:tcBorders>
              <w:top w:val="nil"/>
              <w:bottom w:val="nil"/>
            </w:tcBorders>
          </w:tcPr>
          <w:p w14:paraId="3D555A9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w:t>
            </w:r>
          </w:p>
        </w:tc>
        <w:tc>
          <w:tcPr>
            <w:tcW w:w="1350" w:type="dxa"/>
            <w:tcBorders>
              <w:top w:val="nil"/>
              <w:bottom w:val="nil"/>
            </w:tcBorders>
          </w:tcPr>
          <w:p w14:paraId="0E8087B5"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06</w:t>
            </w:r>
          </w:p>
        </w:tc>
        <w:tc>
          <w:tcPr>
            <w:tcW w:w="2070" w:type="dxa"/>
            <w:tcBorders>
              <w:top w:val="nil"/>
              <w:bottom w:val="nil"/>
            </w:tcBorders>
          </w:tcPr>
          <w:p w14:paraId="73E2D71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3.51%</w:t>
            </w:r>
          </w:p>
        </w:tc>
      </w:tr>
      <w:tr w:rsidR="00506E29" w:rsidRPr="003550F0" w14:paraId="6E0A81B7" w14:textId="77777777" w:rsidTr="00DE4CDB">
        <w:tc>
          <w:tcPr>
            <w:tcW w:w="5935" w:type="dxa"/>
            <w:tcBorders>
              <w:top w:val="nil"/>
              <w:bottom w:val="nil"/>
            </w:tcBorders>
          </w:tcPr>
          <w:p w14:paraId="59EA4CA9" w14:textId="77777777" w:rsidR="00506E29" w:rsidRPr="003550F0" w:rsidRDefault="00506E29" w:rsidP="00A97470">
            <w:pPr>
              <w:tabs>
                <w:tab w:val="center" w:pos="1888"/>
                <w:tab w:val="right" w:pos="3776"/>
              </w:tabs>
              <w:jc w:val="center"/>
              <w:rPr>
                <w:rFonts w:ascii="Arial" w:hAnsi="Arial" w:cs="Arial"/>
                <w:sz w:val="20"/>
                <w:szCs w:val="20"/>
              </w:rPr>
            </w:pPr>
            <w:r w:rsidRPr="003550F0">
              <w:rPr>
                <w:rFonts w:ascii="Arial" w:hAnsi="Arial" w:cs="Arial"/>
                <w:sz w:val="20"/>
                <w:szCs w:val="20"/>
              </w:rPr>
              <w:t>UK, USA, Canada</w:t>
            </w:r>
          </w:p>
        </w:tc>
        <w:tc>
          <w:tcPr>
            <w:tcW w:w="1350" w:type="dxa"/>
            <w:tcBorders>
              <w:top w:val="nil"/>
              <w:bottom w:val="nil"/>
            </w:tcBorders>
          </w:tcPr>
          <w:p w14:paraId="0C8BC75D"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w:t>
            </w:r>
          </w:p>
        </w:tc>
        <w:tc>
          <w:tcPr>
            <w:tcW w:w="2070" w:type="dxa"/>
            <w:tcBorders>
              <w:top w:val="nil"/>
              <w:bottom w:val="nil"/>
            </w:tcBorders>
          </w:tcPr>
          <w:p w14:paraId="696BF7B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6.43%</w:t>
            </w:r>
          </w:p>
        </w:tc>
      </w:tr>
      <w:tr w:rsidR="00506E29" w:rsidRPr="003550F0" w14:paraId="3E661522" w14:textId="77777777" w:rsidTr="00DE4CDB">
        <w:tc>
          <w:tcPr>
            <w:tcW w:w="5935" w:type="dxa"/>
            <w:tcBorders>
              <w:top w:val="nil"/>
              <w:bottom w:val="nil"/>
            </w:tcBorders>
          </w:tcPr>
          <w:p w14:paraId="241F34B4"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Spain</w:t>
            </w:r>
          </w:p>
        </w:tc>
        <w:tc>
          <w:tcPr>
            <w:tcW w:w="1350" w:type="dxa"/>
            <w:tcBorders>
              <w:top w:val="nil"/>
              <w:bottom w:val="nil"/>
            </w:tcBorders>
          </w:tcPr>
          <w:p w14:paraId="5C35B48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35BA8C4"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8B0B751" w14:textId="77777777" w:rsidTr="00DE4CDB">
        <w:tc>
          <w:tcPr>
            <w:tcW w:w="5935" w:type="dxa"/>
            <w:tcBorders>
              <w:top w:val="nil"/>
              <w:bottom w:val="nil"/>
            </w:tcBorders>
          </w:tcPr>
          <w:p w14:paraId="6D45A07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Germany, Poland</w:t>
            </w:r>
          </w:p>
        </w:tc>
        <w:tc>
          <w:tcPr>
            <w:tcW w:w="1350" w:type="dxa"/>
            <w:tcBorders>
              <w:top w:val="nil"/>
              <w:bottom w:val="nil"/>
            </w:tcBorders>
          </w:tcPr>
          <w:p w14:paraId="2329599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45E821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68CE31B8" w14:textId="77777777" w:rsidTr="00DE4CDB">
        <w:tc>
          <w:tcPr>
            <w:tcW w:w="5935" w:type="dxa"/>
            <w:tcBorders>
              <w:top w:val="nil"/>
              <w:bottom w:val="nil"/>
            </w:tcBorders>
          </w:tcPr>
          <w:p w14:paraId="6E7582E7"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Germany</w:t>
            </w:r>
          </w:p>
        </w:tc>
        <w:tc>
          <w:tcPr>
            <w:tcW w:w="1350" w:type="dxa"/>
            <w:tcBorders>
              <w:top w:val="nil"/>
              <w:bottom w:val="nil"/>
            </w:tcBorders>
          </w:tcPr>
          <w:p w14:paraId="2D2BC80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03A4EAB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5261F210" w14:textId="77777777" w:rsidTr="00DE4CDB">
        <w:tc>
          <w:tcPr>
            <w:tcW w:w="5935" w:type="dxa"/>
            <w:tcBorders>
              <w:top w:val="nil"/>
              <w:bottom w:val="nil"/>
            </w:tcBorders>
          </w:tcPr>
          <w:p w14:paraId="4956509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Denmark, Italy, Finland</w:t>
            </w:r>
          </w:p>
        </w:tc>
        <w:tc>
          <w:tcPr>
            <w:tcW w:w="1350" w:type="dxa"/>
            <w:tcBorders>
              <w:top w:val="nil"/>
              <w:bottom w:val="nil"/>
            </w:tcBorders>
          </w:tcPr>
          <w:p w14:paraId="0F5F58AD"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7D99CD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10C9C3C" w14:textId="77777777" w:rsidTr="00DE4CDB">
        <w:tc>
          <w:tcPr>
            <w:tcW w:w="5935" w:type="dxa"/>
            <w:tcBorders>
              <w:top w:val="nil"/>
              <w:bottom w:val="nil"/>
            </w:tcBorders>
          </w:tcPr>
          <w:p w14:paraId="12903E7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Australia</w:t>
            </w:r>
          </w:p>
        </w:tc>
        <w:tc>
          <w:tcPr>
            <w:tcW w:w="1350" w:type="dxa"/>
            <w:tcBorders>
              <w:top w:val="nil"/>
              <w:bottom w:val="nil"/>
            </w:tcBorders>
          </w:tcPr>
          <w:p w14:paraId="42B9D96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03</w:t>
            </w:r>
          </w:p>
        </w:tc>
        <w:tc>
          <w:tcPr>
            <w:tcW w:w="2070" w:type="dxa"/>
            <w:tcBorders>
              <w:top w:val="nil"/>
              <w:bottom w:val="nil"/>
            </w:tcBorders>
          </w:tcPr>
          <w:p w14:paraId="6ED5899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1.75%</w:t>
            </w:r>
          </w:p>
        </w:tc>
      </w:tr>
      <w:tr w:rsidR="00506E29" w:rsidRPr="003550F0" w14:paraId="78BC8A21" w14:textId="77777777" w:rsidTr="00DE4CDB">
        <w:tc>
          <w:tcPr>
            <w:tcW w:w="5935" w:type="dxa"/>
            <w:tcBorders>
              <w:top w:val="nil"/>
              <w:bottom w:val="nil"/>
            </w:tcBorders>
          </w:tcPr>
          <w:p w14:paraId="2BD261C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Australia</w:t>
            </w:r>
          </w:p>
        </w:tc>
        <w:tc>
          <w:tcPr>
            <w:tcW w:w="1350" w:type="dxa"/>
            <w:tcBorders>
              <w:top w:val="nil"/>
              <w:bottom w:val="nil"/>
            </w:tcBorders>
          </w:tcPr>
          <w:p w14:paraId="40FD905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5A97484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3BF03F4C" w14:textId="77777777" w:rsidTr="00DE4CDB">
        <w:tc>
          <w:tcPr>
            <w:tcW w:w="5935" w:type="dxa"/>
            <w:tcBorders>
              <w:top w:val="nil"/>
              <w:bottom w:val="nil"/>
            </w:tcBorders>
          </w:tcPr>
          <w:p w14:paraId="740C18F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Germany</w:t>
            </w:r>
          </w:p>
        </w:tc>
        <w:tc>
          <w:tcPr>
            <w:tcW w:w="1350" w:type="dxa"/>
            <w:tcBorders>
              <w:top w:val="nil"/>
              <w:bottom w:val="nil"/>
            </w:tcBorders>
          </w:tcPr>
          <w:p w14:paraId="0F27654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564ED4B"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8A7D30C" w14:textId="77777777" w:rsidTr="00DE4CDB">
        <w:tc>
          <w:tcPr>
            <w:tcW w:w="5935" w:type="dxa"/>
            <w:tcBorders>
              <w:top w:val="nil"/>
              <w:bottom w:val="nil"/>
            </w:tcBorders>
          </w:tcPr>
          <w:p w14:paraId="0AB9139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Canada</w:t>
            </w:r>
          </w:p>
        </w:tc>
        <w:tc>
          <w:tcPr>
            <w:tcW w:w="1350" w:type="dxa"/>
            <w:tcBorders>
              <w:top w:val="nil"/>
              <w:bottom w:val="nil"/>
            </w:tcBorders>
          </w:tcPr>
          <w:p w14:paraId="793043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08</w:t>
            </w:r>
          </w:p>
        </w:tc>
        <w:tc>
          <w:tcPr>
            <w:tcW w:w="2070" w:type="dxa"/>
            <w:tcBorders>
              <w:top w:val="nil"/>
              <w:bottom w:val="nil"/>
            </w:tcBorders>
          </w:tcPr>
          <w:p w14:paraId="4BA1C8F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4.68%</w:t>
            </w:r>
          </w:p>
        </w:tc>
      </w:tr>
      <w:tr w:rsidR="00506E29" w:rsidRPr="003550F0" w14:paraId="18BEDC4F" w14:textId="77777777" w:rsidTr="00DE4CDB">
        <w:tc>
          <w:tcPr>
            <w:tcW w:w="5935" w:type="dxa"/>
            <w:tcBorders>
              <w:top w:val="nil"/>
              <w:bottom w:val="nil"/>
            </w:tcBorders>
          </w:tcPr>
          <w:p w14:paraId="79583DF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Australia</w:t>
            </w:r>
          </w:p>
        </w:tc>
        <w:tc>
          <w:tcPr>
            <w:tcW w:w="1350" w:type="dxa"/>
            <w:tcBorders>
              <w:top w:val="nil"/>
              <w:bottom w:val="nil"/>
            </w:tcBorders>
          </w:tcPr>
          <w:p w14:paraId="494EE974"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735ED92F"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1C17C341" w14:textId="77777777" w:rsidTr="00DE4CDB">
        <w:tc>
          <w:tcPr>
            <w:tcW w:w="5935" w:type="dxa"/>
            <w:tcBorders>
              <w:top w:val="nil"/>
              <w:bottom w:val="nil"/>
            </w:tcBorders>
          </w:tcPr>
          <w:p w14:paraId="6D167C77"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Australia, Germany</w:t>
            </w:r>
          </w:p>
        </w:tc>
        <w:tc>
          <w:tcPr>
            <w:tcW w:w="1350" w:type="dxa"/>
            <w:tcBorders>
              <w:top w:val="nil"/>
              <w:bottom w:val="nil"/>
            </w:tcBorders>
          </w:tcPr>
          <w:p w14:paraId="12B1E32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D644E2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8B10574" w14:textId="77777777" w:rsidTr="00DE4CDB">
        <w:tc>
          <w:tcPr>
            <w:tcW w:w="5935" w:type="dxa"/>
            <w:tcBorders>
              <w:top w:val="nil"/>
              <w:bottom w:val="nil"/>
            </w:tcBorders>
          </w:tcPr>
          <w:p w14:paraId="56AA6336"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Germany, Finland</w:t>
            </w:r>
          </w:p>
        </w:tc>
        <w:tc>
          <w:tcPr>
            <w:tcW w:w="1350" w:type="dxa"/>
            <w:tcBorders>
              <w:top w:val="nil"/>
              <w:bottom w:val="nil"/>
            </w:tcBorders>
          </w:tcPr>
          <w:p w14:paraId="61ACFD3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47ADE5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60D1B674" w14:textId="77777777" w:rsidTr="00DE4CDB">
        <w:trPr>
          <w:trHeight w:val="225"/>
        </w:trPr>
        <w:tc>
          <w:tcPr>
            <w:tcW w:w="5935" w:type="dxa"/>
            <w:tcBorders>
              <w:top w:val="nil"/>
              <w:bottom w:val="nil"/>
            </w:tcBorders>
          </w:tcPr>
          <w:p w14:paraId="7A2AF60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Australia, Denmark, Finland</w:t>
            </w:r>
          </w:p>
        </w:tc>
        <w:tc>
          <w:tcPr>
            <w:tcW w:w="1350" w:type="dxa"/>
            <w:tcBorders>
              <w:top w:val="nil"/>
              <w:bottom w:val="nil"/>
            </w:tcBorders>
          </w:tcPr>
          <w:p w14:paraId="5D2E326D"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0517A6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03D0087" w14:textId="77777777" w:rsidTr="00DE4CDB">
        <w:tc>
          <w:tcPr>
            <w:tcW w:w="5935" w:type="dxa"/>
            <w:tcBorders>
              <w:top w:val="nil"/>
              <w:bottom w:val="nil"/>
            </w:tcBorders>
          </w:tcPr>
          <w:p w14:paraId="685175B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Germany, Finland</w:t>
            </w:r>
          </w:p>
        </w:tc>
        <w:tc>
          <w:tcPr>
            <w:tcW w:w="1350" w:type="dxa"/>
            <w:tcBorders>
              <w:top w:val="nil"/>
              <w:bottom w:val="nil"/>
            </w:tcBorders>
          </w:tcPr>
          <w:p w14:paraId="181D540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382C8D7F"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3088F18C" w14:textId="77777777" w:rsidTr="00DE4CDB">
        <w:tc>
          <w:tcPr>
            <w:tcW w:w="5935" w:type="dxa"/>
            <w:tcBorders>
              <w:top w:val="nil"/>
              <w:bottom w:val="nil"/>
            </w:tcBorders>
          </w:tcPr>
          <w:p w14:paraId="5F4A082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Australia</w:t>
            </w:r>
          </w:p>
        </w:tc>
        <w:tc>
          <w:tcPr>
            <w:tcW w:w="1350" w:type="dxa"/>
            <w:tcBorders>
              <w:top w:val="nil"/>
              <w:bottom w:val="nil"/>
            </w:tcBorders>
          </w:tcPr>
          <w:p w14:paraId="362749C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C457AE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20CCD17" w14:textId="77777777" w:rsidTr="00DE4CDB">
        <w:tc>
          <w:tcPr>
            <w:tcW w:w="5935" w:type="dxa"/>
            <w:tcBorders>
              <w:top w:val="nil"/>
              <w:bottom w:val="nil"/>
            </w:tcBorders>
          </w:tcPr>
          <w:p w14:paraId="10A7447B"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Finland</w:t>
            </w:r>
          </w:p>
        </w:tc>
        <w:tc>
          <w:tcPr>
            <w:tcW w:w="1350" w:type="dxa"/>
            <w:tcBorders>
              <w:top w:val="nil"/>
              <w:bottom w:val="nil"/>
            </w:tcBorders>
          </w:tcPr>
          <w:p w14:paraId="7BFAD42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60A9180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010D574" w14:textId="77777777" w:rsidTr="00DE4CDB">
        <w:tc>
          <w:tcPr>
            <w:tcW w:w="5935" w:type="dxa"/>
            <w:tcBorders>
              <w:top w:val="nil"/>
              <w:bottom w:val="nil"/>
            </w:tcBorders>
          </w:tcPr>
          <w:p w14:paraId="5024DCCC"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Germany</w:t>
            </w:r>
          </w:p>
        </w:tc>
        <w:tc>
          <w:tcPr>
            <w:tcW w:w="1350" w:type="dxa"/>
            <w:tcBorders>
              <w:top w:val="nil"/>
              <w:bottom w:val="nil"/>
            </w:tcBorders>
          </w:tcPr>
          <w:p w14:paraId="3137581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333B96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3D1B6F28" w14:textId="77777777" w:rsidTr="00DE4CDB">
        <w:tc>
          <w:tcPr>
            <w:tcW w:w="5935" w:type="dxa"/>
            <w:tcBorders>
              <w:top w:val="nil"/>
              <w:bottom w:val="nil"/>
            </w:tcBorders>
          </w:tcPr>
          <w:p w14:paraId="70D96BC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Denmark, Finland</w:t>
            </w:r>
          </w:p>
        </w:tc>
        <w:tc>
          <w:tcPr>
            <w:tcW w:w="1350" w:type="dxa"/>
            <w:tcBorders>
              <w:top w:val="nil"/>
              <w:bottom w:val="nil"/>
            </w:tcBorders>
          </w:tcPr>
          <w:p w14:paraId="60078FD2"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D255AD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8E6FB6D" w14:textId="77777777" w:rsidTr="00DE4CDB">
        <w:tc>
          <w:tcPr>
            <w:tcW w:w="5935" w:type="dxa"/>
            <w:tcBorders>
              <w:top w:val="nil"/>
              <w:bottom w:val="nil"/>
            </w:tcBorders>
          </w:tcPr>
          <w:p w14:paraId="60842513"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Australia, Switzerland, Finland</w:t>
            </w:r>
          </w:p>
        </w:tc>
        <w:tc>
          <w:tcPr>
            <w:tcW w:w="1350" w:type="dxa"/>
            <w:tcBorders>
              <w:top w:val="nil"/>
              <w:bottom w:val="nil"/>
            </w:tcBorders>
          </w:tcPr>
          <w:p w14:paraId="488F380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3965FEA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38B0F66" w14:textId="77777777" w:rsidTr="00DE4CDB">
        <w:tc>
          <w:tcPr>
            <w:tcW w:w="5935" w:type="dxa"/>
            <w:tcBorders>
              <w:top w:val="nil"/>
              <w:bottom w:val="nil"/>
            </w:tcBorders>
          </w:tcPr>
          <w:p w14:paraId="70484542"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Australia</w:t>
            </w:r>
          </w:p>
        </w:tc>
        <w:tc>
          <w:tcPr>
            <w:tcW w:w="1350" w:type="dxa"/>
            <w:tcBorders>
              <w:top w:val="nil"/>
              <w:bottom w:val="nil"/>
            </w:tcBorders>
          </w:tcPr>
          <w:p w14:paraId="1F95EBD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558467B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193E0C3F" w14:textId="77777777" w:rsidTr="00DE4CDB">
        <w:tc>
          <w:tcPr>
            <w:tcW w:w="5935" w:type="dxa"/>
            <w:tcBorders>
              <w:top w:val="nil"/>
              <w:bottom w:val="nil"/>
            </w:tcBorders>
          </w:tcPr>
          <w:p w14:paraId="18DA9FF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lastRenderedPageBreak/>
              <w:t>USA, Germany</w:t>
            </w:r>
          </w:p>
        </w:tc>
        <w:tc>
          <w:tcPr>
            <w:tcW w:w="1350" w:type="dxa"/>
            <w:tcBorders>
              <w:top w:val="nil"/>
              <w:bottom w:val="nil"/>
            </w:tcBorders>
          </w:tcPr>
          <w:p w14:paraId="1636728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41D4BC0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41D4A7E3" w14:textId="77777777" w:rsidTr="00DE4CDB">
        <w:tc>
          <w:tcPr>
            <w:tcW w:w="5935" w:type="dxa"/>
            <w:tcBorders>
              <w:top w:val="nil"/>
              <w:bottom w:val="nil"/>
            </w:tcBorders>
          </w:tcPr>
          <w:p w14:paraId="7C688D19"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France</w:t>
            </w:r>
          </w:p>
        </w:tc>
        <w:tc>
          <w:tcPr>
            <w:tcW w:w="1350" w:type="dxa"/>
            <w:tcBorders>
              <w:top w:val="nil"/>
              <w:bottom w:val="nil"/>
            </w:tcBorders>
          </w:tcPr>
          <w:p w14:paraId="51F9EB7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BCB504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0A0DD5E" w14:textId="77777777" w:rsidTr="00DE4CDB">
        <w:tc>
          <w:tcPr>
            <w:tcW w:w="5935" w:type="dxa"/>
            <w:tcBorders>
              <w:top w:val="nil"/>
              <w:bottom w:val="nil"/>
            </w:tcBorders>
          </w:tcPr>
          <w:p w14:paraId="16398A81"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Denmark</w:t>
            </w:r>
          </w:p>
        </w:tc>
        <w:tc>
          <w:tcPr>
            <w:tcW w:w="1350" w:type="dxa"/>
            <w:tcBorders>
              <w:top w:val="nil"/>
              <w:bottom w:val="nil"/>
            </w:tcBorders>
          </w:tcPr>
          <w:p w14:paraId="388344F0"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03</w:t>
            </w:r>
          </w:p>
        </w:tc>
        <w:tc>
          <w:tcPr>
            <w:tcW w:w="2070" w:type="dxa"/>
            <w:tcBorders>
              <w:top w:val="nil"/>
              <w:bottom w:val="nil"/>
            </w:tcBorders>
          </w:tcPr>
          <w:p w14:paraId="1EF88F5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1.75%</w:t>
            </w:r>
          </w:p>
        </w:tc>
      </w:tr>
      <w:tr w:rsidR="00506E29" w:rsidRPr="003550F0" w14:paraId="44081151" w14:textId="77777777" w:rsidTr="00DE4CDB">
        <w:tc>
          <w:tcPr>
            <w:tcW w:w="5935" w:type="dxa"/>
            <w:tcBorders>
              <w:top w:val="nil"/>
              <w:bottom w:val="nil"/>
            </w:tcBorders>
          </w:tcPr>
          <w:p w14:paraId="76593F47"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Italy</w:t>
            </w:r>
          </w:p>
        </w:tc>
        <w:tc>
          <w:tcPr>
            <w:tcW w:w="1350" w:type="dxa"/>
            <w:tcBorders>
              <w:top w:val="nil"/>
              <w:bottom w:val="nil"/>
            </w:tcBorders>
          </w:tcPr>
          <w:p w14:paraId="58DD88B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5D2D37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D493083" w14:textId="77777777" w:rsidTr="00DE4CDB">
        <w:tc>
          <w:tcPr>
            <w:tcW w:w="5935" w:type="dxa"/>
            <w:tcBorders>
              <w:top w:val="nil"/>
              <w:bottom w:val="nil"/>
            </w:tcBorders>
          </w:tcPr>
          <w:p w14:paraId="048D1F08"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Denmark</w:t>
            </w:r>
          </w:p>
        </w:tc>
        <w:tc>
          <w:tcPr>
            <w:tcW w:w="1350" w:type="dxa"/>
            <w:tcBorders>
              <w:top w:val="nil"/>
              <w:bottom w:val="nil"/>
            </w:tcBorders>
          </w:tcPr>
          <w:p w14:paraId="34EC17C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6058E4A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4604E84" w14:textId="77777777" w:rsidTr="00DE4CDB">
        <w:tc>
          <w:tcPr>
            <w:tcW w:w="5935" w:type="dxa"/>
            <w:tcBorders>
              <w:top w:val="nil"/>
              <w:bottom w:val="nil"/>
            </w:tcBorders>
          </w:tcPr>
          <w:p w14:paraId="0BD6FADE"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Australia</w:t>
            </w:r>
          </w:p>
        </w:tc>
        <w:tc>
          <w:tcPr>
            <w:tcW w:w="1350" w:type="dxa"/>
            <w:tcBorders>
              <w:top w:val="nil"/>
              <w:bottom w:val="nil"/>
            </w:tcBorders>
          </w:tcPr>
          <w:p w14:paraId="5162D1F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03</w:t>
            </w:r>
          </w:p>
        </w:tc>
        <w:tc>
          <w:tcPr>
            <w:tcW w:w="2070" w:type="dxa"/>
            <w:tcBorders>
              <w:top w:val="nil"/>
              <w:bottom w:val="nil"/>
            </w:tcBorders>
          </w:tcPr>
          <w:p w14:paraId="571ED1B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1.75%</w:t>
            </w:r>
          </w:p>
        </w:tc>
      </w:tr>
      <w:tr w:rsidR="00506E29" w:rsidRPr="003550F0" w14:paraId="60D59596" w14:textId="77777777" w:rsidTr="00DE4CDB">
        <w:tc>
          <w:tcPr>
            <w:tcW w:w="5935" w:type="dxa"/>
            <w:tcBorders>
              <w:top w:val="nil"/>
              <w:bottom w:val="nil"/>
            </w:tcBorders>
          </w:tcPr>
          <w:p w14:paraId="0DB11385"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Denmark</w:t>
            </w:r>
          </w:p>
        </w:tc>
        <w:tc>
          <w:tcPr>
            <w:tcW w:w="1350" w:type="dxa"/>
            <w:tcBorders>
              <w:top w:val="nil"/>
              <w:bottom w:val="nil"/>
            </w:tcBorders>
          </w:tcPr>
          <w:p w14:paraId="5D46889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75F205C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01B273C2" w14:textId="77777777" w:rsidTr="00DE4CDB">
        <w:tc>
          <w:tcPr>
            <w:tcW w:w="5935" w:type="dxa"/>
            <w:tcBorders>
              <w:top w:val="nil"/>
              <w:bottom w:val="nil"/>
            </w:tcBorders>
          </w:tcPr>
          <w:p w14:paraId="7CD88F1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Australia, Denmark</w:t>
            </w:r>
          </w:p>
        </w:tc>
        <w:tc>
          <w:tcPr>
            <w:tcW w:w="1350" w:type="dxa"/>
            <w:tcBorders>
              <w:top w:val="nil"/>
              <w:bottom w:val="nil"/>
            </w:tcBorders>
          </w:tcPr>
          <w:p w14:paraId="1AF6E31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C71B82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1CB6640A" w14:textId="77777777" w:rsidTr="00DE4CDB">
        <w:tc>
          <w:tcPr>
            <w:tcW w:w="5935" w:type="dxa"/>
            <w:tcBorders>
              <w:top w:val="nil"/>
              <w:bottom w:val="nil"/>
            </w:tcBorders>
          </w:tcPr>
          <w:p w14:paraId="360F86CF"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USA, Canada, Australia, Denmark</w:t>
            </w:r>
          </w:p>
        </w:tc>
        <w:tc>
          <w:tcPr>
            <w:tcW w:w="1350" w:type="dxa"/>
            <w:tcBorders>
              <w:top w:val="nil"/>
              <w:bottom w:val="nil"/>
            </w:tcBorders>
          </w:tcPr>
          <w:p w14:paraId="0CB388E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E98886B"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6B52E201" w14:textId="77777777" w:rsidTr="00DE4CDB">
        <w:tc>
          <w:tcPr>
            <w:tcW w:w="5935" w:type="dxa"/>
            <w:tcBorders>
              <w:top w:val="nil"/>
              <w:bottom w:val="nil"/>
            </w:tcBorders>
          </w:tcPr>
          <w:p w14:paraId="1C288E14"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Denmark</w:t>
            </w:r>
          </w:p>
        </w:tc>
        <w:tc>
          <w:tcPr>
            <w:tcW w:w="1350" w:type="dxa"/>
            <w:tcBorders>
              <w:top w:val="nil"/>
              <w:bottom w:val="nil"/>
            </w:tcBorders>
          </w:tcPr>
          <w:p w14:paraId="5ADF62D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6DEC5B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79A6B8B3" w14:textId="77777777" w:rsidTr="00DE4CDB">
        <w:tc>
          <w:tcPr>
            <w:tcW w:w="5935" w:type="dxa"/>
            <w:tcBorders>
              <w:top w:val="nil"/>
              <w:bottom w:val="nil"/>
            </w:tcBorders>
          </w:tcPr>
          <w:p w14:paraId="65B51DDF"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Denmark, France</w:t>
            </w:r>
          </w:p>
        </w:tc>
        <w:tc>
          <w:tcPr>
            <w:tcW w:w="1350" w:type="dxa"/>
            <w:tcBorders>
              <w:top w:val="nil"/>
              <w:bottom w:val="nil"/>
            </w:tcBorders>
          </w:tcPr>
          <w:p w14:paraId="7047E83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11A4C85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AAFFB6C" w14:textId="77777777" w:rsidTr="00DE4CDB">
        <w:tc>
          <w:tcPr>
            <w:tcW w:w="5935" w:type="dxa"/>
            <w:tcBorders>
              <w:top w:val="nil"/>
              <w:bottom w:val="nil"/>
            </w:tcBorders>
          </w:tcPr>
          <w:p w14:paraId="0C0897F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Canada, Australia, Denmark</w:t>
            </w:r>
          </w:p>
        </w:tc>
        <w:tc>
          <w:tcPr>
            <w:tcW w:w="1350" w:type="dxa"/>
            <w:tcBorders>
              <w:top w:val="nil"/>
              <w:bottom w:val="nil"/>
            </w:tcBorders>
          </w:tcPr>
          <w:p w14:paraId="40BB097E"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6267FF0A"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F6A5552" w14:textId="77777777" w:rsidTr="00DE4CDB">
        <w:tc>
          <w:tcPr>
            <w:tcW w:w="5935" w:type="dxa"/>
            <w:tcBorders>
              <w:top w:val="nil"/>
              <w:bottom w:val="nil"/>
            </w:tcBorders>
          </w:tcPr>
          <w:p w14:paraId="5C4D4170"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Australia, Germany</w:t>
            </w:r>
          </w:p>
        </w:tc>
        <w:tc>
          <w:tcPr>
            <w:tcW w:w="1350" w:type="dxa"/>
            <w:tcBorders>
              <w:top w:val="nil"/>
              <w:bottom w:val="nil"/>
            </w:tcBorders>
          </w:tcPr>
          <w:p w14:paraId="1AD4526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5E6A4F20"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7BBB1359" w14:textId="77777777" w:rsidTr="00DE4CDB">
        <w:tc>
          <w:tcPr>
            <w:tcW w:w="5935" w:type="dxa"/>
            <w:tcBorders>
              <w:top w:val="nil"/>
              <w:bottom w:val="nil"/>
            </w:tcBorders>
          </w:tcPr>
          <w:p w14:paraId="1D57E456"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Canada, Australia</w:t>
            </w:r>
          </w:p>
        </w:tc>
        <w:tc>
          <w:tcPr>
            <w:tcW w:w="1350" w:type="dxa"/>
            <w:tcBorders>
              <w:top w:val="nil"/>
              <w:bottom w:val="nil"/>
            </w:tcBorders>
          </w:tcPr>
          <w:p w14:paraId="4FDF7DE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02</w:t>
            </w:r>
          </w:p>
        </w:tc>
        <w:tc>
          <w:tcPr>
            <w:tcW w:w="2070" w:type="dxa"/>
            <w:tcBorders>
              <w:top w:val="nil"/>
              <w:bottom w:val="nil"/>
            </w:tcBorders>
          </w:tcPr>
          <w:p w14:paraId="4BEDC568"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1.17%</w:t>
            </w:r>
          </w:p>
        </w:tc>
      </w:tr>
      <w:tr w:rsidR="00506E29" w:rsidRPr="003550F0" w14:paraId="25B21BC2" w14:textId="77777777" w:rsidTr="00DE4CDB">
        <w:tc>
          <w:tcPr>
            <w:tcW w:w="5935" w:type="dxa"/>
            <w:tcBorders>
              <w:top w:val="nil"/>
              <w:bottom w:val="nil"/>
            </w:tcBorders>
          </w:tcPr>
          <w:p w14:paraId="52E2451A"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Canada, France</w:t>
            </w:r>
          </w:p>
        </w:tc>
        <w:tc>
          <w:tcPr>
            <w:tcW w:w="1350" w:type="dxa"/>
            <w:tcBorders>
              <w:top w:val="nil"/>
              <w:bottom w:val="nil"/>
            </w:tcBorders>
          </w:tcPr>
          <w:p w14:paraId="4D81D561"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08E3C96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4A2BB9E1" w14:textId="77777777" w:rsidTr="00DE4CDB">
        <w:tc>
          <w:tcPr>
            <w:tcW w:w="5935" w:type="dxa"/>
            <w:tcBorders>
              <w:top w:val="nil"/>
              <w:bottom w:val="nil"/>
            </w:tcBorders>
          </w:tcPr>
          <w:p w14:paraId="3CDFA2D1"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USA, Australia, Denmark, Finland</w:t>
            </w:r>
          </w:p>
        </w:tc>
        <w:tc>
          <w:tcPr>
            <w:tcW w:w="1350" w:type="dxa"/>
            <w:tcBorders>
              <w:top w:val="nil"/>
              <w:bottom w:val="nil"/>
            </w:tcBorders>
          </w:tcPr>
          <w:p w14:paraId="6A75EE63"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bottom w:val="nil"/>
            </w:tcBorders>
          </w:tcPr>
          <w:p w14:paraId="49472A39"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2392A859" w14:textId="77777777" w:rsidTr="00DE4CDB">
        <w:tc>
          <w:tcPr>
            <w:tcW w:w="5935" w:type="dxa"/>
            <w:tcBorders>
              <w:top w:val="nil"/>
            </w:tcBorders>
          </w:tcPr>
          <w:p w14:paraId="0A86B92B"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UK, Poland, Netherland, Czech Republic, Norway, South Korea</w:t>
            </w:r>
          </w:p>
        </w:tc>
        <w:tc>
          <w:tcPr>
            <w:tcW w:w="1350" w:type="dxa"/>
            <w:tcBorders>
              <w:top w:val="nil"/>
            </w:tcBorders>
          </w:tcPr>
          <w:p w14:paraId="6D7A6496"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01</w:t>
            </w:r>
          </w:p>
        </w:tc>
        <w:tc>
          <w:tcPr>
            <w:tcW w:w="2070" w:type="dxa"/>
            <w:tcBorders>
              <w:top w:val="nil"/>
            </w:tcBorders>
          </w:tcPr>
          <w:p w14:paraId="0B71B0A7"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0.58%</w:t>
            </w:r>
          </w:p>
        </w:tc>
      </w:tr>
      <w:tr w:rsidR="00506E29" w:rsidRPr="003550F0" w14:paraId="5D91E90C" w14:textId="77777777" w:rsidTr="00DE4CDB">
        <w:tc>
          <w:tcPr>
            <w:tcW w:w="5935" w:type="dxa"/>
            <w:tcBorders>
              <w:bottom w:val="single" w:sz="4" w:space="0" w:color="auto"/>
            </w:tcBorders>
          </w:tcPr>
          <w:p w14:paraId="4C512237" w14:textId="77777777" w:rsidR="00506E29" w:rsidRPr="003550F0" w:rsidRDefault="00506E29" w:rsidP="00A97470">
            <w:pPr>
              <w:jc w:val="center"/>
              <w:rPr>
                <w:rFonts w:ascii="Arial" w:hAnsi="Arial" w:cs="Arial"/>
                <w:sz w:val="20"/>
                <w:szCs w:val="20"/>
              </w:rPr>
            </w:pPr>
          </w:p>
        </w:tc>
        <w:tc>
          <w:tcPr>
            <w:tcW w:w="1350" w:type="dxa"/>
            <w:tcBorders>
              <w:bottom w:val="single" w:sz="4" w:space="0" w:color="auto"/>
            </w:tcBorders>
          </w:tcPr>
          <w:p w14:paraId="5F9A878C" w14:textId="77777777" w:rsidR="00506E29" w:rsidRPr="003550F0" w:rsidRDefault="00506E29" w:rsidP="007A2DA5">
            <w:pPr>
              <w:jc w:val="center"/>
              <w:rPr>
                <w:rFonts w:ascii="Arial" w:hAnsi="Arial" w:cs="Arial"/>
                <w:sz w:val="20"/>
                <w:szCs w:val="20"/>
              </w:rPr>
            </w:pPr>
            <w:r w:rsidRPr="003550F0">
              <w:rPr>
                <w:rFonts w:ascii="Arial" w:hAnsi="Arial" w:cs="Arial"/>
                <w:sz w:val="20"/>
                <w:szCs w:val="20"/>
              </w:rPr>
              <w:t>Total = 171</w:t>
            </w:r>
          </w:p>
        </w:tc>
        <w:tc>
          <w:tcPr>
            <w:tcW w:w="2070" w:type="dxa"/>
            <w:tcBorders>
              <w:bottom w:val="single" w:sz="4" w:space="0" w:color="auto"/>
            </w:tcBorders>
          </w:tcPr>
          <w:p w14:paraId="464EF175" w14:textId="77777777" w:rsidR="00506E29" w:rsidRPr="003550F0" w:rsidRDefault="00506E29" w:rsidP="007A2DA5">
            <w:pPr>
              <w:jc w:val="center"/>
              <w:rPr>
                <w:rFonts w:ascii="Arial" w:hAnsi="Arial" w:cs="Arial"/>
                <w:sz w:val="20"/>
                <w:szCs w:val="20"/>
              </w:rPr>
            </w:pPr>
          </w:p>
        </w:tc>
      </w:tr>
    </w:tbl>
    <w:p w14:paraId="13503258" w14:textId="77777777" w:rsidR="003550F0" w:rsidRDefault="003550F0" w:rsidP="003550F0">
      <w:pPr>
        <w:spacing w:after="0" w:line="240" w:lineRule="auto"/>
        <w:jc w:val="both"/>
        <w:rPr>
          <w:rFonts w:ascii="Arial" w:hAnsi="Arial" w:cs="Arial"/>
          <w:b/>
          <w:bCs/>
          <w:sz w:val="20"/>
          <w:szCs w:val="20"/>
        </w:rPr>
      </w:pPr>
    </w:p>
    <w:p w14:paraId="3E861A3E" w14:textId="77777777" w:rsidR="00DB5657" w:rsidRDefault="00DB5657" w:rsidP="003550F0">
      <w:pPr>
        <w:spacing w:after="0" w:line="240" w:lineRule="auto"/>
        <w:jc w:val="both"/>
        <w:rPr>
          <w:rFonts w:ascii="Arial" w:hAnsi="Arial" w:cs="Arial"/>
          <w:b/>
          <w:bCs/>
          <w:sz w:val="20"/>
          <w:szCs w:val="20"/>
        </w:rPr>
      </w:pPr>
    </w:p>
    <w:p w14:paraId="3A815961" w14:textId="77777777" w:rsidR="00DB5657" w:rsidRDefault="00DB5657" w:rsidP="003550F0">
      <w:pPr>
        <w:spacing w:after="0" w:line="240" w:lineRule="auto"/>
        <w:jc w:val="both"/>
        <w:rPr>
          <w:rFonts w:ascii="Arial" w:hAnsi="Arial" w:cs="Arial"/>
          <w:b/>
          <w:bCs/>
          <w:sz w:val="20"/>
          <w:szCs w:val="20"/>
        </w:rPr>
      </w:pPr>
    </w:p>
    <w:p w14:paraId="599F8CF2" w14:textId="77777777" w:rsidR="00DB5657" w:rsidRDefault="00DB5657" w:rsidP="003550F0">
      <w:pPr>
        <w:spacing w:after="0" w:line="240" w:lineRule="auto"/>
        <w:jc w:val="both"/>
        <w:rPr>
          <w:rFonts w:ascii="Arial" w:hAnsi="Arial" w:cs="Arial"/>
          <w:b/>
          <w:bCs/>
          <w:sz w:val="20"/>
          <w:szCs w:val="20"/>
        </w:rPr>
      </w:pPr>
    </w:p>
    <w:p w14:paraId="5457E1F9" w14:textId="77777777" w:rsidR="00DE4CDB" w:rsidRDefault="00DE4CDB" w:rsidP="003550F0">
      <w:pPr>
        <w:spacing w:after="0" w:line="240" w:lineRule="auto"/>
        <w:jc w:val="both"/>
        <w:rPr>
          <w:rFonts w:ascii="Arial" w:hAnsi="Arial" w:cs="Arial"/>
          <w:b/>
          <w:bCs/>
          <w:sz w:val="20"/>
          <w:szCs w:val="20"/>
        </w:rPr>
      </w:pPr>
    </w:p>
    <w:p w14:paraId="697EAB33" w14:textId="77777777" w:rsidR="00DE4CDB" w:rsidRDefault="00DE4CDB" w:rsidP="003550F0">
      <w:pPr>
        <w:spacing w:after="0" w:line="240" w:lineRule="auto"/>
        <w:jc w:val="both"/>
        <w:rPr>
          <w:rFonts w:ascii="Arial" w:hAnsi="Arial" w:cs="Arial"/>
          <w:b/>
          <w:bCs/>
          <w:sz w:val="20"/>
          <w:szCs w:val="20"/>
        </w:rPr>
      </w:pPr>
    </w:p>
    <w:p w14:paraId="6CB43122" w14:textId="77777777" w:rsidR="00DE4CDB" w:rsidRDefault="00DE4CDB" w:rsidP="003550F0">
      <w:pPr>
        <w:spacing w:after="0" w:line="240" w:lineRule="auto"/>
        <w:jc w:val="both"/>
        <w:rPr>
          <w:rFonts w:ascii="Arial" w:hAnsi="Arial" w:cs="Arial"/>
          <w:b/>
          <w:bCs/>
          <w:sz w:val="20"/>
          <w:szCs w:val="20"/>
        </w:rPr>
      </w:pPr>
    </w:p>
    <w:p w14:paraId="64C4BDB4" w14:textId="77777777" w:rsidR="00DB5657" w:rsidRDefault="00DB5657" w:rsidP="003550F0">
      <w:pPr>
        <w:spacing w:after="0" w:line="240" w:lineRule="auto"/>
        <w:jc w:val="both"/>
        <w:rPr>
          <w:rFonts w:ascii="Arial" w:hAnsi="Arial" w:cs="Arial"/>
          <w:b/>
          <w:bCs/>
          <w:sz w:val="20"/>
          <w:szCs w:val="20"/>
        </w:rPr>
      </w:pPr>
    </w:p>
    <w:p w14:paraId="45A0F56C" w14:textId="77777777" w:rsidR="00DB5657" w:rsidRDefault="00DB5657" w:rsidP="003550F0">
      <w:pPr>
        <w:spacing w:after="0" w:line="240" w:lineRule="auto"/>
        <w:jc w:val="both"/>
        <w:rPr>
          <w:rFonts w:ascii="Arial" w:hAnsi="Arial" w:cs="Arial"/>
          <w:b/>
          <w:bCs/>
          <w:sz w:val="20"/>
          <w:szCs w:val="20"/>
        </w:rPr>
      </w:pPr>
    </w:p>
    <w:p w14:paraId="0D4D826F" w14:textId="77777777" w:rsidR="00DB5657" w:rsidRDefault="00DB5657" w:rsidP="003550F0">
      <w:pPr>
        <w:spacing w:after="0" w:line="240" w:lineRule="auto"/>
        <w:jc w:val="both"/>
        <w:rPr>
          <w:rFonts w:ascii="Arial" w:hAnsi="Arial" w:cs="Arial"/>
          <w:b/>
          <w:bCs/>
          <w:sz w:val="20"/>
          <w:szCs w:val="20"/>
        </w:rPr>
      </w:pPr>
    </w:p>
    <w:p w14:paraId="791853B3" w14:textId="77777777" w:rsidR="00DB5657" w:rsidRDefault="00DB5657" w:rsidP="003550F0">
      <w:pPr>
        <w:spacing w:after="0" w:line="240" w:lineRule="auto"/>
        <w:jc w:val="both"/>
        <w:rPr>
          <w:rFonts w:ascii="Arial" w:hAnsi="Arial" w:cs="Arial"/>
          <w:b/>
          <w:bCs/>
          <w:sz w:val="20"/>
          <w:szCs w:val="20"/>
        </w:rPr>
      </w:pPr>
    </w:p>
    <w:p w14:paraId="5919F15A" w14:textId="77777777" w:rsidR="00DB5657" w:rsidRPr="003550F0" w:rsidRDefault="00DB5657" w:rsidP="003550F0">
      <w:pPr>
        <w:spacing w:after="0" w:line="240" w:lineRule="auto"/>
        <w:jc w:val="both"/>
        <w:rPr>
          <w:rFonts w:ascii="Arial" w:hAnsi="Arial" w:cs="Arial"/>
          <w:b/>
          <w:bCs/>
          <w:sz w:val="20"/>
          <w:szCs w:val="20"/>
        </w:rPr>
      </w:pPr>
    </w:p>
    <w:p w14:paraId="08E52095" w14:textId="1157EE9E" w:rsidR="00B077D2" w:rsidRPr="003550F0" w:rsidRDefault="00506E29" w:rsidP="003550F0">
      <w:pPr>
        <w:spacing w:after="0" w:line="240" w:lineRule="auto"/>
        <w:jc w:val="both"/>
        <w:rPr>
          <w:rFonts w:ascii="Arial" w:hAnsi="Arial" w:cs="Arial"/>
          <w:b/>
          <w:bCs/>
          <w:sz w:val="20"/>
          <w:szCs w:val="20"/>
        </w:rPr>
      </w:pPr>
      <w:r w:rsidRPr="003550F0">
        <w:rPr>
          <w:rFonts w:ascii="Arial" w:hAnsi="Arial" w:cs="Arial"/>
          <w:b/>
          <w:bCs/>
          <w:sz w:val="20"/>
          <w:szCs w:val="20"/>
        </w:rPr>
        <w:t xml:space="preserve">Appendix Table 2: Test takers’ Budget according to their family background </w:t>
      </w:r>
    </w:p>
    <w:tbl>
      <w:tblPr>
        <w:tblStyle w:val="TableGrid"/>
        <w:tblW w:w="9540" w:type="dxa"/>
        <w:tblInd w:w="-5" w:type="dxa"/>
        <w:tblLayout w:type="fixed"/>
        <w:tblLook w:val="04A0" w:firstRow="1" w:lastRow="0" w:firstColumn="1" w:lastColumn="0" w:noHBand="0" w:noVBand="1"/>
      </w:tblPr>
      <w:tblGrid>
        <w:gridCol w:w="1572"/>
        <w:gridCol w:w="1215"/>
        <w:gridCol w:w="22"/>
        <w:gridCol w:w="1239"/>
        <w:gridCol w:w="1172"/>
        <w:gridCol w:w="1170"/>
        <w:gridCol w:w="1620"/>
        <w:gridCol w:w="1530"/>
      </w:tblGrid>
      <w:tr w:rsidR="00506E29" w:rsidRPr="003550F0" w14:paraId="3A00F69F" w14:textId="77777777" w:rsidTr="000A248F">
        <w:tc>
          <w:tcPr>
            <w:tcW w:w="1572" w:type="dxa"/>
            <w:tcBorders>
              <w:bottom w:val="single" w:sz="4" w:space="0" w:color="auto"/>
            </w:tcBorders>
          </w:tcPr>
          <w:p w14:paraId="463B7AC2" w14:textId="77777777" w:rsidR="00506E29" w:rsidRPr="003550F0" w:rsidRDefault="00506E29" w:rsidP="003550F0">
            <w:pPr>
              <w:jc w:val="both"/>
              <w:rPr>
                <w:rFonts w:ascii="Arial" w:hAnsi="Arial" w:cs="Arial"/>
                <w:sz w:val="20"/>
                <w:szCs w:val="20"/>
              </w:rPr>
            </w:pPr>
            <w:bookmarkStart w:id="9" w:name="_Hlk174043406"/>
            <w:r w:rsidRPr="003550F0">
              <w:rPr>
                <w:rFonts w:ascii="Arial" w:hAnsi="Arial" w:cs="Arial"/>
                <w:sz w:val="20"/>
                <w:szCs w:val="20"/>
              </w:rPr>
              <w:t>Budget Category</w:t>
            </w:r>
          </w:p>
          <w:p w14:paraId="72E13C5D" w14:textId="00B13990" w:rsidR="00506E29" w:rsidRPr="003550F0" w:rsidRDefault="00506E29" w:rsidP="003550F0">
            <w:pPr>
              <w:jc w:val="both"/>
              <w:rPr>
                <w:rFonts w:ascii="Arial" w:hAnsi="Arial" w:cs="Arial"/>
                <w:sz w:val="20"/>
                <w:szCs w:val="20"/>
              </w:rPr>
            </w:pPr>
            <w:r w:rsidRPr="003550F0">
              <w:rPr>
                <w:rFonts w:ascii="Arial" w:hAnsi="Arial" w:cs="Arial"/>
                <w:sz w:val="20"/>
                <w:szCs w:val="20"/>
              </w:rPr>
              <w:t>(In Lakhs</w:t>
            </w:r>
            <w:r w:rsidR="005F2D25">
              <w:rPr>
                <w:rFonts w:ascii="Arial" w:hAnsi="Arial" w:cs="Arial"/>
                <w:sz w:val="20"/>
                <w:szCs w:val="20"/>
              </w:rPr>
              <w:t xml:space="preserve"> BDT</w:t>
            </w:r>
            <w:r w:rsidRPr="003550F0">
              <w:rPr>
                <w:rFonts w:ascii="Arial" w:hAnsi="Arial" w:cs="Arial"/>
                <w:sz w:val="20"/>
                <w:szCs w:val="20"/>
              </w:rPr>
              <w:t>)</w:t>
            </w:r>
          </w:p>
        </w:tc>
        <w:tc>
          <w:tcPr>
            <w:tcW w:w="1215" w:type="dxa"/>
            <w:tcBorders>
              <w:bottom w:val="single" w:sz="4" w:space="0" w:color="auto"/>
            </w:tcBorders>
          </w:tcPr>
          <w:p w14:paraId="45D5BE7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For student purpose</w:t>
            </w:r>
          </w:p>
        </w:tc>
        <w:tc>
          <w:tcPr>
            <w:tcW w:w="1261" w:type="dxa"/>
            <w:gridSpan w:val="2"/>
            <w:tcBorders>
              <w:bottom w:val="single" w:sz="4" w:space="0" w:color="auto"/>
            </w:tcBorders>
          </w:tcPr>
          <w:p w14:paraId="33F8865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For working purpose</w:t>
            </w:r>
          </w:p>
        </w:tc>
        <w:tc>
          <w:tcPr>
            <w:tcW w:w="1172" w:type="dxa"/>
          </w:tcPr>
          <w:p w14:paraId="604595E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 of total respondents</w:t>
            </w:r>
          </w:p>
        </w:tc>
        <w:tc>
          <w:tcPr>
            <w:tcW w:w="1170" w:type="dxa"/>
          </w:tcPr>
          <w:p w14:paraId="6894E6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Profile</w:t>
            </w:r>
          </w:p>
        </w:tc>
        <w:tc>
          <w:tcPr>
            <w:tcW w:w="1620" w:type="dxa"/>
            <w:tcBorders>
              <w:bottom w:val="single" w:sz="4" w:space="0" w:color="auto"/>
            </w:tcBorders>
          </w:tcPr>
          <w:p w14:paraId="3351566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 xml:space="preserve">Family’s Income category </w:t>
            </w:r>
          </w:p>
          <w:p w14:paraId="526D6A2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(Per year in Lakhs BDT)</w:t>
            </w:r>
          </w:p>
        </w:tc>
        <w:tc>
          <w:tcPr>
            <w:tcW w:w="1530" w:type="dxa"/>
            <w:tcBorders>
              <w:bottom w:val="single" w:sz="4" w:space="0" w:color="auto"/>
            </w:tcBorders>
          </w:tcPr>
          <w:p w14:paraId="4A8DB90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respondents</w:t>
            </w:r>
          </w:p>
        </w:tc>
      </w:tr>
      <w:tr w:rsidR="00506E29" w:rsidRPr="003550F0" w14:paraId="36FE628C" w14:textId="77777777" w:rsidTr="000A248F">
        <w:tc>
          <w:tcPr>
            <w:tcW w:w="1572" w:type="dxa"/>
            <w:tcBorders>
              <w:bottom w:val="nil"/>
            </w:tcBorders>
          </w:tcPr>
          <w:p w14:paraId="520215D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350DB2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bottom w:val="nil"/>
            </w:tcBorders>
          </w:tcPr>
          <w:p w14:paraId="699505C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val="restart"/>
          </w:tcPr>
          <w:p w14:paraId="150CB164" w14:textId="77777777" w:rsidR="00506E29" w:rsidRPr="003550F0" w:rsidRDefault="00506E29" w:rsidP="003550F0">
            <w:pPr>
              <w:jc w:val="both"/>
              <w:rPr>
                <w:rFonts w:ascii="Arial" w:hAnsi="Arial" w:cs="Arial"/>
                <w:sz w:val="20"/>
                <w:szCs w:val="20"/>
              </w:rPr>
            </w:pPr>
          </w:p>
          <w:p w14:paraId="22FDFEFB" w14:textId="77777777" w:rsidR="00506E29" w:rsidRPr="003550F0" w:rsidRDefault="00506E29" w:rsidP="003550F0">
            <w:pPr>
              <w:jc w:val="both"/>
              <w:rPr>
                <w:rFonts w:ascii="Arial" w:hAnsi="Arial" w:cs="Arial"/>
                <w:sz w:val="20"/>
                <w:szCs w:val="20"/>
              </w:rPr>
            </w:pPr>
          </w:p>
          <w:p w14:paraId="052B98C3" w14:textId="77777777" w:rsidR="00506E29" w:rsidRPr="003550F0" w:rsidRDefault="00506E29" w:rsidP="003550F0">
            <w:pPr>
              <w:jc w:val="both"/>
              <w:rPr>
                <w:rFonts w:ascii="Arial" w:hAnsi="Arial" w:cs="Arial"/>
                <w:sz w:val="20"/>
                <w:szCs w:val="20"/>
              </w:rPr>
            </w:pPr>
          </w:p>
          <w:p w14:paraId="74901F71" w14:textId="77777777" w:rsidR="00506E29" w:rsidRPr="003550F0" w:rsidRDefault="00506E29" w:rsidP="003550F0">
            <w:pPr>
              <w:jc w:val="both"/>
              <w:rPr>
                <w:rFonts w:ascii="Arial" w:hAnsi="Arial" w:cs="Arial"/>
                <w:sz w:val="20"/>
                <w:szCs w:val="20"/>
              </w:rPr>
            </w:pPr>
          </w:p>
          <w:p w14:paraId="581331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13.45%</w:t>
            </w:r>
          </w:p>
        </w:tc>
        <w:tc>
          <w:tcPr>
            <w:tcW w:w="1170" w:type="dxa"/>
            <w:vMerge w:val="restart"/>
          </w:tcPr>
          <w:p w14:paraId="735EFAA7" w14:textId="77777777" w:rsidR="00506E29" w:rsidRPr="003550F0" w:rsidRDefault="00506E29" w:rsidP="003550F0">
            <w:pPr>
              <w:jc w:val="both"/>
              <w:rPr>
                <w:rFonts w:ascii="Arial" w:hAnsi="Arial" w:cs="Arial"/>
                <w:sz w:val="20"/>
                <w:szCs w:val="20"/>
              </w:rPr>
            </w:pPr>
          </w:p>
          <w:p w14:paraId="1DC2BBE0" w14:textId="77777777" w:rsidR="00506E29" w:rsidRPr="003550F0" w:rsidRDefault="00506E29" w:rsidP="003550F0">
            <w:pPr>
              <w:jc w:val="both"/>
              <w:rPr>
                <w:rFonts w:ascii="Arial" w:hAnsi="Arial" w:cs="Arial"/>
                <w:sz w:val="20"/>
                <w:szCs w:val="20"/>
              </w:rPr>
            </w:pPr>
          </w:p>
          <w:p w14:paraId="52AE46BB" w14:textId="77777777" w:rsidR="00506E29" w:rsidRPr="003550F0" w:rsidRDefault="00506E29" w:rsidP="003550F0">
            <w:pPr>
              <w:jc w:val="both"/>
              <w:rPr>
                <w:rFonts w:ascii="Arial" w:hAnsi="Arial" w:cs="Arial"/>
                <w:sz w:val="20"/>
                <w:szCs w:val="20"/>
              </w:rPr>
            </w:pPr>
          </w:p>
          <w:p w14:paraId="02DC6348" w14:textId="77777777" w:rsidR="00506E29" w:rsidRPr="003550F0" w:rsidRDefault="00506E29" w:rsidP="003550F0">
            <w:pPr>
              <w:jc w:val="both"/>
              <w:rPr>
                <w:rFonts w:ascii="Arial" w:hAnsi="Arial" w:cs="Arial"/>
                <w:sz w:val="20"/>
                <w:szCs w:val="20"/>
              </w:rPr>
            </w:pPr>
          </w:p>
          <w:p w14:paraId="5BD9717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Govt. employee</w:t>
            </w:r>
          </w:p>
        </w:tc>
        <w:tc>
          <w:tcPr>
            <w:tcW w:w="1620" w:type="dxa"/>
            <w:tcBorders>
              <w:bottom w:val="nil"/>
            </w:tcBorders>
          </w:tcPr>
          <w:p w14:paraId="3FE381F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15FD71A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506E29" w:rsidRPr="003550F0" w14:paraId="3B29D343" w14:textId="77777777" w:rsidTr="000A248F">
        <w:tc>
          <w:tcPr>
            <w:tcW w:w="1572" w:type="dxa"/>
            <w:tcBorders>
              <w:top w:val="nil"/>
              <w:bottom w:val="nil"/>
            </w:tcBorders>
          </w:tcPr>
          <w:p w14:paraId="58175BE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132D1B2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4477CBD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172" w:type="dxa"/>
            <w:vMerge/>
          </w:tcPr>
          <w:p w14:paraId="42D49A34" w14:textId="77777777" w:rsidR="00506E29" w:rsidRPr="003550F0" w:rsidRDefault="00506E29" w:rsidP="003550F0">
            <w:pPr>
              <w:jc w:val="both"/>
              <w:rPr>
                <w:rFonts w:ascii="Arial" w:hAnsi="Arial" w:cs="Arial"/>
                <w:sz w:val="20"/>
                <w:szCs w:val="20"/>
              </w:rPr>
            </w:pPr>
          </w:p>
        </w:tc>
        <w:tc>
          <w:tcPr>
            <w:tcW w:w="1170" w:type="dxa"/>
            <w:vMerge/>
          </w:tcPr>
          <w:p w14:paraId="712C8A3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4BF4B3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49B4E10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06</w:t>
            </w:r>
          </w:p>
        </w:tc>
      </w:tr>
      <w:tr w:rsidR="00506E29" w:rsidRPr="003550F0" w14:paraId="70AFE943" w14:textId="77777777" w:rsidTr="000A248F">
        <w:tc>
          <w:tcPr>
            <w:tcW w:w="1572" w:type="dxa"/>
            <w:tcBorders>
              <w:top w:val="nil"/>
              <w:bottom w:val="nil"/>
            </w:tcBorders>
          </w:tcPr>
          <w:p w14:paraId="4E9A85A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19057EF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12 (Mode)</w:t>
            </w:r>
          </w:p>
        </w:tc>
        <w:tc>
          <w:tcPr>
            <w:tcW w:w="1261" w:type="dxa"/>
            <w:gridSpan w:val="2"/>
            <w:tcBorders>
              <w:top w:val="nil"/>
              <w:bottom w:val="nil"/>
            </w:tcBorders>
          </w:tcPr>
          <w:p w14:paraId="02E42E1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tcPr>
          <w:p w14:paraId="06C8B47F" w14:textId="77777777" w:rsidR="00506E29" w:rsidRPr="003550F0" w:rsidRDefault="00506E29" w:rsidP="003550F0">
            <w:pPr>
              <w:jc w:val="both"/>
              <w:rPr>
                <w:rFonts w:ascii="Arial" w:hAnsi="Arial" w:cs="Arial"/>
                <w:sz w:val="20"/>
                <w:szCs w:val="20"/>
              </w:rPr>
            </w:pPr>
          </w:p>
        </w:tc>
        <w:tc>
          <w:tcPr>
            <w:tcW w:w="1170" w:type="dxa"/>
            <w:vMerge/>
          </w:tcPr>
          <w:p w14:paraId="5CC12FF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A5956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5058909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r>
      <w:tr w:rsidR="00506E29" w:rsidRPr="003550F0" w14:paraId="6FB92C31" w14:textId="77777777" w:rsidTr="000A248F">
        <w:tc>
          <w:tcPr>
            <w:tcW w:w="1572" w:type="dxa"/>
            <w:tcBorders>
              <w:top w:val="nil"/>
              <w:bottom w:val="nil"/>
            </w:tcBorders>
          </w:tcPr>
          <w:p w14:paraId="2794AB9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0D86E02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0A52D38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tcPr>
          <w:p w14:paraId="268A7A5A" w14:textId="77777777" w:rsidR="00506E29" w:rsidRPr="003550F0" w:rsidRDefault="00506E29" w:rsidP="003550F0">
            <w:pPr>
              <w:jc w:val="both"/>
              <w:rPr>
                <w:rFonts w:ascii="Arial" w:hAnsi="Arial" w:cs="Arial"/>
                <w:sz w:val="20"/>
                <w:szCs w:val="20"/>
              </w:rPr>
            </w:pPr>
          </w:p>
        </w:tc>
        <w:tc>
          <w:tcPr>
            <w:tcW w:w="1170" w:type="dxa"/>
            <w:vMerge/>
          </w:tcPr>
          <w:p w14:paraId="2984960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E7C616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64B0DA7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506E29" w:rsidRPr="003550F0" w14:paraId="2AAE4EE2" w14:textId="77777777" w:rsidTr="000A248F">
        <w:tc>
          <w:tcPr>
            <w:tcW w:w="1572" w:type="dxa"/>
            <w:tcBorders>
              <w:top w:val="nil"/>
              <w:bottom w:val="nil"/>
            </w:tcBorders>
          </w:tcPr>
          <w:p w14:paraId="2DE1396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346409F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7CDE677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7B346FA2" w14:textId="77777777" w:rsidR="00506E29" w:rsidRPr="003550F0" w:rsidRDefault="00506E29" w:rsidP="003550F0">
            <w:pPr>
              <w:jc w:val="both"/>
              <w:rPr>
                <w:rFonts w:ascii="Arial" w:hAnsi="Arial" w:cs="Arial"/>
                <w:sz w:val="20"/>
                <w:szCs w:val="20"/>
              </w:rPr>
            </w:pPr>
          </w:p>
        </w:tc>
        <w:tc>
          <w:tcPr>
            <w:tcW w:w="1170" w:type="dxa"/>
            <w:vMerge/>
          </w:tcPr>
          <w:p w14:paraId="25ABA299"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4898E1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6C1CDF4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506E29" w:rsidRPr="003550F0" w14:paraId="0A2523B2" w14:textId="77777777" w:rsidTr="000A248F">
        <w:tc>
          <w:tcPr>
            <w:tcW w:w="1572" w:type="dxa"/>
            <w:tcBorders>
              <w:top w:val="nil"/>
            </w:tcBorders>
          </w:tcPr>
          <w:p w14:paraId="7C14EE7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4A0D5E8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tcBorders>
          </w:tcPr>
          <w:p w14:paraId="7DF0B22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172" w:type="dxa"/>
            <w:vMerge/>
          </w:tcPr>
          <w:p w14:paraId="15EFF3E4" w14:textId="77777777" w:rsidR="00506E29" w:rsidRPr="003550F0" w:rsidRDefault="00506E29" w:rsidP="003550F0">
            <w:pPr>
              <w:jc w:val="both"/>
              <w:rPr>
                <w:rFonts w:ascii="Arial" w:hAnsi="Arial" w:cs="Arial"/>
                <w:sz w:val="20"/>
                <w:szCs w:val="20"/>
              </w:rPr>
            </w:pPr>
          </w:p>
        </w:tc>
        <w:tc>
          <w:tcPr>
            <w:tcW w:w="1170" w:type="dxa"/>
            <w:vMerge/>
          </w:tcPr>
          <w:p w14:paraId="316C2468"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CBD7490" w14:textId="7BEC57FA" w:rsidR="001B1A55"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2B2D766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36A96099" w14:textId="77777777" w:rsidTr="000A248F">
        <w:trPr>
          <w:trHeight w:val="305"/>
        </w:trPr>
        <w:tc>
          <w:tcPr>
            <w:tcW w:w="1572" w:type="dxa"/>
            <w:vMerge w:val="restart"/>
          </w:tcPr>
          <w:p w14:paraId="4DD70CF3" w14:textId="77777777" w:rsidR="00506E29" w:rsidRPr="003550F0" w:rsidRDefault="00506E29" w:rsidP="003550F0">
            <w:pPr>
              <w:jc w:val="both"/>
              <w:rPr>
                <w:rFonts w:ascii="Arial" w:hAnsi="Arial" w:cs="Arial"/>
                <w:sz w:val="20"/>
                <w:szCs w:val="20"/>
              </w:rPr>
            </w:pPr>
          </w:p>
        </w:tc>
        <w:tc>
          <w:tcPr>
            <w:tcW w:w="1215" w:type="dxa"/>
          </w:tcPr>
          <w:p w14:paraId="4E18A35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19</w:t>
            </w:r>
          </w:p>
          <w:p w14:paraId="223F0B0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(12.42%)</w:t>
            </w:r>
          </w:p>
        </w:tc>
        <w:tc>
          <w:tcPr>
            <w:tcW w:w="1261" w:type="dxa"/>
            <w:gridSpan w:val="2"/>
          </w:tcPr>
          <w:p w14:paraId="679633B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04</w:t>
            </w:r>
          </w:p>
          <w:p w14:paraId="084B44E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(22.22%)</w:t>
            </w:r>
          </w:p>
        </w:tc>
        <w:tc>
          <w:tcPr>
            <w:tcW w:w="1172" w:type="dxa"/>
            <w:vMerge/>
          </w:tcPr>
          <w:p w14:paraId="4A9F460E" w14:textId="77777777" w:rsidR="00506E29" w:rsidRPr="003550F0" w:rsidRDefault="00506E29" w:rsidP="003550F0">
            <w:pPr>
              <w:jc w:val="both"/>
              <w:rPr>
                <w:rFonts w:ascii="Arial" w:hAnsi="Arial" w:cs="Arial"/>
                <w:sz w:val="20"/>
                <w:szCs w:val="20"/>
              </w:rPr>
            </w:pPr>
          </w:p>
        </w:tc>
        <w:tc>
          <w:tcPr>
            <w:tcW w:w="1170" w:type="dxa"/>
            <w:vMerge/>
          </w:tcPr>
          <w:p w14:paraId="5B4F75C1" w14:textId="77777777" w:rsidR="00506E29" w:rsidRPr="003550F0" w:rsidRDefault="00506E29" w:rsidP="003550F0">
            <w:pPr>
              <w:jc w:val="both"/>
              <w:rPr>
                <w:rFonts w:ascii="Arial" w:hAnsi="Arial" w:cs="Arial"/>
                <w:sz w:val="20"/>
                <w:szCs w:val="20"/>
              </w:rPr>
            </w:pPr>
          </w:p>
        </w:tc>
        <w:tc>
          <w:tcPr>
            <w:tcW w:w="1620" w:type="dxa"/>
            <w:tcBorders>
              <w:top w:val="nil"/>
            </w:tcBorders>
          </w:tcPr>
          <w:p w14:paraId="126551D2" w14:textId="712AB7A2" w:rsidR="00506E29" w:rsidRPr="003550F0" w:rsidRDefault="001B1A55" w:rsidP="003550F0">
            <w:pPr>
              <w:jc w:val="both"/>
              <w:rPr>
                <w:rFonts w:ascii="Arial" w:hAnsi="Arial" w:cs="Arial"/>
                <w:sz w:val="20"/>
                <w:szCs w:val="20"/>
              </w:rPr>
            </w:pPr>
            <w:r>
              <w:rPr>
                <w:rFonts w:ascii="Arial" w:hAnsi="Arial" w:cs="Arial"/>
                <w:sz w:val="20"/>
                <w:szCs w:val="20"/>
              </w:rPr>
              <w:t>11-13</w:t>
            </w:r>
          </w:p>
        </w:tc>
        <w:tc>
          <w:tcPr>
            <w:tcW w:w="1530" w:type="dxa"/>
            <w:tcBorders>
              <w:top w:val="nil"/>
            </w:tcBorders>
          </w:tcPr>
          <w:p w14:paraId="54009D8F" w14:textId="6A27C318" w:rsidR="00506E29" w:rsidRPr="003550F0" w:rsidRDefault="00506E29" w:rsidP="003550F0">
            <w:pPr>
              <w:jc w:val="both"/>
              <w:rPr>
                <w:rFonts w:ascii="Arial" w:hAnsi="Arial" w:cs="Arial"/>
                <w:sz w:val="20"/>
                <w:szCs w:val="20"/>
              </w:rPr>
            </w:pPr>
            <w:r w:rsidRPr="003550F0">
              <w:rPr>
                <w:rFonts w:ascii="Arial" w:hAnsi="Arial" w:cs="Arial"/>
                <w:sz w:val="20"/>
                <w:szCs w:val="20"/>
              </w:rPr>
              <w:t>0</w:t>
            </w:r>
            <w:r w:rsidR="001B1A55">
              <w:rPr>
                <w:rFonts w:ascii="Arial" w:hAnsi="Arial" w:cs="Arial"/>
                <w:sz w:val="20"/>
                <w:szCs w:val="20"/>
              </w:rPr>
              <w:t>3</w:t>
            </w:r>
          </w:p>
        </w:tc>
      </w:tr>
      <w:tr w:rsidR="00A97470" w:rsidRPr="003550F0" w14:paraId="0F3A7E89" w14:textId="77777777" w:rsidTr="000A248F">
        <w:trPr>
          <w:trHeight w:val="305"/>
        </w:trPr>
        <w:tc>
          <w:tcPr>
            <w:tcW w:w="1572" w:type="dxa"/>
            <w:vMerge/>
            <w:tcBorders>
              <w:bottom w:val="single" w:sz="4" w:space="0" w:color="auto"/>
            </w:tcBorders>
          </w:tcPr>
          <w:p w14:paraId="1AEBABC5" w14:textId="77777777" w:rsidR="00A97470" w:rsidRPr="003550F0" w:rsidRDefault="00A97470" w:rsidP="003550F0">
            <w:pPr>
              <w:jc w:val="both"/>
              <w:rPr>
                <w:rFonts w:ascii="Arial" w:hAnsi="Arial" w:cs="Arial"/>
                <w:sz w:val="20"/>
                <w:szCs w:val="20"/>
              </w:rPr>
            </w:pPr>
            <w:bookmarkStart w:id="10" w:name="_Hlk172508244"/>
          </w:p>
        </w:tc>
        <w:tc>
          <w:tcPr>
            <w:tcW w:w="2476" w:type="dxa"/>
            <w:gridSpan w:val="3"/>
          </w:tcPr>
          <w:p w14:paraId="5E296467"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23</w:t>
            </w:r>
          </w:p>
        </w:tc>
        <w:tc>
          <w:tcPr>
            <w:tcW w:w="1172" w:type="dxa"/>
            <w:vMerge/>
          </w:tcPr>
          <w:p w14:paraId="74FDBA54" w14:textId="77777777" w:rsidR="00A97470" w:rsidRPr="003550F0" w:rsidRDefault="00A97470" w:rsidP="003550F0">
            <w:pPr>
              <w:jc w:val="both"/>
              <w:rPr>
                <w:rFonts w:ascii="Arial" w:hAnsi="Arial" w:cs="Arial"/>
                <w:sz w:val="20"/>
                <w:szCs w:val="20"/>
              </w:rPr>
            </w:pPr>
          </w:p>
        </w:tc>
        <w:tc>
          <w:tcPr>
            <w:tcW w:w="1170" w:type="dxa"/>
            <w:vMerge/>
          </w:tcPr>
          <w:p w14:paraId="44E20C78" w14:textId="77777777" w:rsidR="00A97470" w:rsidRPr="003550F0" w:rsidRDefault="00A97470" w:rsidP="003550F0">
            <w:pPr>
              <w:jc w:val="both"/>
              <w:rPr>
                <w:rFonts w:ascii="Arial" w:hAnsi="Arial" w:cs="Arial"/>
                <w:sz w:val="20"/>
                <w:szCs w:val="20"/>
              </w:rPr>
            </w:pPr>
          </w:p>
        </w:tc>
        <w:tc>
          <w:tcPr>
            <w:tcW w:w="3150" w:type="dxa"/>
            <w:gridSpan w:val="2"/>
          </w:tcPr>
          <w:p w14:paraId="77122C4D" w14:textId="77777777" w:rsidR="00A97470" w:rsidRPr="003550F0" w:rsidRDefault="00A97470" w:rsidP="00A97470">
            <w:pPr>
              <w:jc w:val="center"/>
              <w:rPr>
                <w:rFonts w:ascii="Arial" w:hAnsi="Arial" w:cs="Arial"/>
                <w:sz w:val="20"/>
                <w:szCs w:val="20"/>
              </w:rPr>
            </w:pPr>
            <w:r w:rsidRPr="001B1A55">
              <w:rPr>
                <w:rFonts w:ascii="Arial" w:hAnsi="Arial" w:cs="Arial"/>
                <w:sz w:val="20"/>
                <w:szCs w:val="20"/>
              </w:rPr>
              <w:t>Total = 23</w:t>
            </w:r>
          </w:p>
        </w:tc>
      </w:tr>
      <w:tr w:rsidR="00506E29" w:rsidRPr="003550F0" w14:paraId="744A805A" w14:textId="77777777" w:rsidTr="00020A3D">
        <w:tc>
          <w:tcPr>
            <w:tcW w:w="1572" w:type="dxa"/>
            <w:tcBorders>
              <w:bottom w:val="nil"/>
            </w:tcBorders>
          </w:tcPr>
          <w:p w14:paraId="52150B49" w14:textId="77777777" w:rsidR="00506E29" w:rsidRPr="003550F0" w:rsidRDefault="00506E29" w:rsidP="003550F0">
            <w:pPr>
              <w:jc w:val="both"/>
              <w:rPr>
                <w:rFonts w:ascii="Arial" w:hAnsi="Arial" w:cs="Arial"/>
                <w:sz w:val="20"/>
                <w:szCs w:val="20"/>
              </w:rPr>
            </w:pPr>
            <w:bookmarkStart w:id="11" w:name="_Hlk172508336"/>
            <w:bookmarkEnd w:id="10"/>
            <w:r w:rsidRPr="003550F0">
              <w:rPr>
                <w:rFonts w:ascii="Arial" w:hAnsi="Arial" w:cs="Arial"/>
                <w:sz w:val="20"/>
                <w:szCs w:val="20"/>
              </w:rPr>
              <w:t>1-5</w:t>
            </w:r>
          </w:p>
        </w:tc>
        <w:tc>
          <w:tcPr>
            <w:tcW w:w="1215" w:type="dxa"/>
            <w:tcBorders>
              <w:bottom w:val="nil"/>
            </w:tcBorders>
          </w:tcPr>
          <w:p w14:paraId="0C5ECE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05</w:t>
            </w:r>
          </w:p>
        </w:tc>
        <w:tc>
          <w:tcPr>
            <w:tcW w:w="1261" w:type="dxa"/>
            <w:gridSpan w:val="2"/>
            <w:tcBorders>
              <w:bottom w:val="nil"/>
            </w:tcBorders>
          </w:tcPr>
          <w:p w14:paraId="2C1A77B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0E6E7501" w14:textId="77777777" w:rsidR="00506E29" w:rsidRPr="003550F0" w:rsidRDefault="00506E29" w:rsidP="003550F0">
            <w:pPr>
              <w:jc w:val="both"/>
              <w:rPr>
                <w:rFonts w:ascii="Arial" w:hAnsi="Arial" w:cs="Arial"/>
                <w:sz w:val="20"/>
                <w:szCs w:val="20"/>
              </w:rPr>
            </w:pPr>
          </w:p>
          <w:p w14:paraId="3E8B6794" w14:textId="77777777" w:rsidR="00506E29" w:rsidRPr="003550F0" w:rsidRDefault="00506E29" w:rsidP="003550F0">
            <w:pPr>
              <w:jc w:val="both"/>
              <w:rPr>
                <w:rFonts w:ascii="Arial" w:hAnsi="Arial" w:cs="Arial"/>
                <w:sz w:val="20"/>
                <w:szCs w:val="20"/>
              </w:rPr>
            </w:pPr>
          </w:p>
          <w:p w14:paraId="051165CC" w14:textId="77777777" w:rsidR="00506E29" w:rsidRPr="003550F0" w:rsidRDefault="00506E29" w:rsidP="003550F0">
            <w:pPr>
              <w:jc w:val="both"/>
              <w:rPr>
                <w:rFonts w:ascii="Arial" w:hAnsi="Arial" w:cs="Arial"/>
                <w:sz w:val="20"/>
                <w:szCs w:val="20"/>
              </w:rPr>
            </w:pPr>
          </w:p>
          <w:p w14:paraId="077AEC19" w14:textId="77777777" w:rsidR="00506E29" w:rsidRPr="003550F0" w:rsidRDefault="00506E29" w:rsidP="003550F0">
            <w:pPr>
              <w:jc w:val="both"/>
              <w:rPr>
                <w:rFonts w:ascii="Arial" w:hAnsi="Arial" w:cs="Arial"/>
                <w:sz w:val="20"/>
                <w:szCs w:val="20"/>
              </w:rPr>
            </w:pPr>
          </w:p>
          <w:p w14:paraId="11C03C46" w14:textId="77777777" w:rsidR="00506E29" w:rsidRPr="003550F0" w:rsidRDefault="00506E29" w:rsidP="003550F0">
            <w:pPr>
              <w:jc w:val="both"/>
              <w:rPr>
                <w:rFonts w:ascii="Arial" w:hAnsi="Arial" w:cs="Arial"/>
                <w:sz w:val="20"/>
                <w:szCs w:val="20"/>
              </w:rPr>
            </w:pPr>
          </w:p>
          <w:p w14:paraId="16D4FDF5" w14:textId="77777777" w:rsidR="00506E29" w:rsidRPr="003550F0" w:rsidRDefault="00506E29" w:rsidP="003550F0">
            <w:pPr>
              <w:jc w:val="both"/>
              <w:rPr>
                <w:rFonts w:ascii="Arial" w:hAnsi="Arial" w:cs="Arial"/>
                <w:sz w:val="20"/>
                <w:szCs w:val="20"/>
              </w:rPr>
            </w:pPr>
          </w:p>
          <w:p w14:paraId="041F602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38.60%</w:t>
            </w:r>
          </w:p>
        </w:tc>
        <w:tc>
          <w:tcPr>
            <w:tcW w:w="1170" w:type="dxa"/>
            <w:vMerge w:val="restart"/>
          </w:tcPr>
          <w:p w14:paraId="42B83180" w14:textId="77777777" w:rsidR="00506E29" w:rsidRPr="003550F0" w:rsidRDefault="00506E29" w:rsidP="003550F0">
            <w:pPr>
              <w:jc w:val="both"/>
              <w:rPr>
                <w:rFonts w:ascii="Arial" w:hAnsi="Arial" w:cs="Arial"/>
                <w:sz w:val="20"/>
                <w:szCs w:val="20"/>
              </w:rPr>
            </w:pPr>
          </w:p>
          <w:p w14:paraId="2F4FCEF9" w14:textId="77777777" w:rsidR="00506E29" w:rsidRPr="003550F0" w:rsidRDefault="00506E29" w:rsidP="003550F0">
            <w:pPr>
              <w:jc w:val="both"/>
              <w:rPr>
                <w:rFonts w:ascii="Arial" w:hAnsi="Arial" w:cs="Arial"/>
                <w:sz w:val="20"/>
                <w:szCs w:val="20"/>
              </w:rPr>
            </w:pPr>
          </w:p>
          <w:p w14:paraId="23C3E746" w14:textId="77777777" w:rsidR="00506E29" w:rsidRPr="003550F0" w:rsidRDefault="00506E29" w:rsidP="003550F0">
            <w:pPr>
              <w:jc w:val="both"/>
              <w:rPr>
                <w:rFonts w:ascii="Arial" w:hAnsi="Arial" w:cs="Arial"/>
                <w:sz w:val="20"/>
                <w:szCs w:val="20"/>
              </w:rPr>
            </w:pPr>
          </w:p>
          <w:p w14:paraId="2D8C207A" w14:textId="77777777" w:rsidR="00506E29" w:rsidRPr="003550F0" w:rsidRDefault="00506E29" w:rsidP="003550F0">
            <w:pPr>
              <w:jc w:val="both"/>
              <w:rPr>
                <w:rFonts w:ascii="Arial" w:hAnsi="Arial" w:cs="Arial"/>
                <w:sz w:val="20"/>
                <w:szCs w:val="20"/>
              </w:rPr>
            </w:pPr>
          </w:p>
          <w:p w14:paraId="73C6BD1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Businessman</w:t>
            </w:r>
          </w:p>
        </w:tc>
        <w:tc>
          <w:tcPr>
            <w:tcW w:w="1620" w:type="dxa"/>
            <w:tcBorders>
              <w:bottom w:val="nil"/>
            </w:tcBorders>
          </w:tcPr>
          <w:p w14:paraId="2A4FF95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591E23A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w:t>
            </w:r>
          </w:p>
        </w:tc>
      </w:tr>
      <w:tr w:rsidR="00506E29" w:rsidRPr="003550F0" w14:paraId="7DEF1DCE" w14:textId="77777777" w:rsidTr="00020A3D">
        <w:tc>
          <w:tcPr>
            <w:tcW w:w="1572" w:type="dxa"/>
            <w:tcBorders>
              <w:top w:val="nil"/>
              <w:bottom w:val="nil"/>
            </w:tcBorders>
          </w:tcPr>
          <w:p w14:paraId="692AEFD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2F40ABC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22</w:t>
            </w:r>
          </w:p>
        </w:tc>
        <w:tc>
          <w:tcPr>
            <w:tcW w:w="1261" w:type="dxa"/>
            <w:gridSpan w:val="2"/>
            <w:tcBorders>
              <w:top w:val="nil"/>
              <w:bottom w:val="nil"/>
            </w:tcBorders>
          </w:tcPr>
          <w:p w14:paraId="5F0BD25A" w14:textId="77777777" w:rsidR="00506E29" w:rsidRPr="003550F0" w:rsidRDefault="00506E29" w:rsidP="003550F0">
            <w:pPr>
              <w:jc w:val="both"/>
              <w:rPr>
                <w:rFonts w:ascii="Arial" w:hAnsi="Arial" w:cs="Arial"/>
                <w:sz w:val="20"/>
                <w:szCs w:val="20"/>
              </w:rPr>
            </w:pPr>
          </w:p>
        </w:tc>
        <w:tc>
          <w:tcPr>
            <w:tcW w:w="1172" w:type="dxa"/>
            <w:vMerge/>
          </w:tcPr>
          <w:p w14:paraId="6391C2B3" w14:textId="77777777" w:rsidR="00506E29" w:rsidRPr="003550F0" w:rsidRDefault="00506E29" w:rsidP="003550F0">
            <w:pPr>
              <w:jc w:val="both"/>
              <w:rPr>
                <w:rFonts w:ascii="Arial" w:hAnsi="Arial" w:cs="Arial"/>
                <w:sz w:val="20"/>
                <w:szCs w:val="20"/>
              </w:rPr>
            </w:pPr>
          </w:p>
        </w:tc>
        <w:tc>
          <w:tcPr>
            <w:tcW w:w="1170" w:type="dxa"/>
            <w:vMerge/>
          </w:tcPr>
          <w:p w14:paraId="69E73E7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7545B9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2A4A42B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w:t>
            </w:r>
          </w:p>
        </w:tc>
      </w:tr>
      <w:tr w:rsidR="00506E29" w:rsidRPr="003550F0" w14:paraId="38823A8E" w14:textId="77777777" w:rsidTr="00020A3D">
        <w:tc>
          <w:tcPr>
            <w:tcW w:w="1572" w:type="dxa"/>
            <w:tcBorders>
              <w:top w:val="nil"/>
              <w:bottom w:val="nil"/>
            </w:tcBorders>
          </w:tcPr>
          <w:p w14:paraId="59575D2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079E4C3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23 (Mode)</w:t>
            </w:r>
          </w:p>
        </w:tc>
        <w:tc>
          <w:tcPr>
            <w:tcW w:w="1261" w:type="dxa"/>
            <w:gridSpan w:val="2"/>
            <w:tcBorders>
              <w:top w:val="nil"/>
              <w:bottom w:val="nil"/>
            </w:tcBorders>
          </w:tcPr>
          <w:p w14:paraId="5EDE645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14BB7A2E" w14:textId="77777777" w:rsidR="00506E29" w:rsidRPr="003550F0" w:rsidRDefault="00506E29" w:rsidP="003550F0">
            <w:pPr>
              <w:jc w:val="both"/>
              <w:rPr>
                <w:rFonts w:ascii="Arial" w:hAnsi="Arial" w:cs="Arial"/>
                <w:sz w:val="20"/>
                <w:szCs w:val="20"/>
              </w:rPr>
            </w:pPr>
          </w:p>
        </w:tc>
        <w:tc>
          <w:tcPr>
            <w:tcW w:w="1170" w:type="dxa"/>
            <w:vMerge/>
          </w:tcPr>
          <w:p w14:paraId="774AE8C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FD0679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492200B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r>
      <w:tr w:rsidR="00506E29" w:rsidRPr="003550F0" w14:paraId="596FE037" w14:textId="77777777" w:rsidTr="00020A3D">
        <w:tc>
          <w:tcPr>
            <w:tcW w:w="1572" w:type="dxa"/>
            <w:tcBorders>
              <w:top w:val="nil"/>
              <w:bottom w:val="nil"/>
            </w:tcBorders>
          </w:tcPr>
          <w:p w14:paraId="770D3DC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52075C6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w:t>
            </w:r>
          </w:p>
        </w:tc>
        <w:tc>
          <w:tcPr>
            <w:tcW w:w="1261" w:type="dxa"/>
            <w:gridSpan w:val="2"/>
            <w:tcBorders>
              <w:top w:val="nil"/>
              <w:bottom w:val="nil"/>
            </w:tcBorders>
          </w:tcPr>
          <w:p w14:paraId="7F717B5D" w14:textId="77777777" w:rsidR="00506E29" w:rsidRPr="003550F0" w:rsidRDefault="00506E29" w:rsidP="003550F0">
            <w:pPr>
              <w:jc w:val="both"/>
              <w:rPr>
                <w:rFonts w:ascii="Arial" w:hAnsi="Arial" w:cs="Arial"/>
                <w:sz w:val="20"/>
                <w:szCs w:val="20"/>
              </w:rPr>
            </w:pPr>
          </w:p>
        </w:tc>
        <w:tc>
          <w:tcPr>
            <w:tcW w:w="1172" w:type="dxa"/>
            <w:vMerge/>
          </w:tcPr>
          <w:p w14:paraId="3F96A0B6" w14:textId="77777777" w:rsidR="00506E29" w:rsidRPr="003550F0" w:rsidRDefault="00506E29" w:rsidP="003550F0">
            <w:pPr>
              <w:jc w:val="both"/>
              <w:rPr>
                <w:rFonts w:ascii="Arial" w:hAnsi="Arial" w:cs="Arial"/>
                <w:sz w:val="20"/>
                <w:szCs w:val="20"/>
              </w:rPr>
            </w:pPr>
          </w:p>
        </w:tc>
        <w:tc>
          <w:tcPr>
            <w:tcW w:w="1170" w:type="dxa"/>
            <w:vMerge/>
          </w:tcPr>
          <w:p w14:paraId="10A03EC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E946DB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4F4306F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w:t>
            </w:r>
          </w:p>
        </w:tc>
      </w:tr>
      <w:tr w:rsidR="00506E29" w:rsidRPr="003550F0" w14:paraId="2841C1A2" w14:textId="77777777" w:rsidTr="00020A3D">
        <w:tc>
          <w:tcPr>
            <w:tcW w:w="1572" w:type="dxa"/>
            <w:tcBorders>
              <w:top w:val="nil"/>
              <w:bottom w:val="nil"/>
            </w:tcBorders>
          </w:tcPr>
          <w:p w14:paraId="33F982A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0617523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c>
          <w:tcPr>
            <w:tcW w:w="1261" w:type="dxa"/>
            <w:gridSpan w:val="2"/>
            <w:tcBorders>
              <w:top w:val="nil"/>
              <w:bottom w:val="nil"/>
            </w:tcBorders>
          </w:tcPr>
          <w:p w14:paraId="47B9A4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37F8101B" w14:textId="77777777" w:rsidR="00506E29" w:rsidRPr="003550F0" w:rsidRDefault="00506E29" w:rsidP="003550F0">
            <w:pPr>
              <w:jc w:val="both"/>
              <w:rPr>
                <w:rFonts w:ascii="Arial" w:hAnsi="Arial" w:cs="Arial"/>
                <w:sz w:val="20"/>
                <w:szCs w:val="20"/>
              </w:rPr>
            </w:pPr>
          </w:p>
        </w:tc>
        <w:tc>
          <w:tcPr>
            <w:tcW w:w="1170" w:type="dxa"/>
            <w:vMerge/>
          </w:tcPr>
          <w:p w14:paraId="428E9BA6"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3F5FFD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3F65322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r>
      <w:tr w:rsidR="00020A3D" w:rsidRPr="003550F0" w14:paraId="5479DB7E" w14:textId="77777777" w:rsidTr="00020A3D">
        <w:trPr>
          <w:trHeight w:val="300"/>
        </w:trPr>
        <w:tc>
          <w:tcPr>
            <w:tcW w:w="1572" w:type="dxa"/>
            <w:vMerge w:val="restart"/>
            <w:tcBorders>
              <w:top w:val="nil"/>
            </w:tcBorders>
          </w:tcPr>
          <w:p w14:paraId="7DAE37EB"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1FA42AEF"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02</w:t>
            </w:r>
          </w:p>
        </w:tc>
        <w:tc>
          <w:tcPr>
            <w:tcW w:w="1261" w:type="dxa"/>
            <w:gridSpan w:val="2"/>
            <w:vMerge w:val="restart"/>
            <w:tcBorders>
              <w:top w:val="nil"/>
            </w:tcBorders>
          </w:tcPr>
          <w:p w14:paraId="780FD056" w14:textId="77777777" w:rsidR="00020A3D" w:rsidRPr="003550F0" w:rsidRDefault="00020A3D" w:rsidP="003550F0">
            <w:pPr>
              <w:jc w:val="both"/>
              <w:rPr>
                <w:rFonts w:ascii="Arial" w:hAnsi="Arial" w:cs="Arial"/>
                <w:sz w:val="20"/>
                <w:szCs w:val="20"/>
              </w:rPr>
            </w:pPr>
          </w:p>
        </w:tc>
        <w:tc>
          <w:tcPr>
            <w:tcW w:w="1172" w:type="dxa"/>
            <w:vMerge/>
          </w:tcPr>
          <w:p w14:paraId="11B87851" w14:textId="77777777" w:rsidR="00020A3D" w:rsidRPr="003550F0" w:rsidRDefault="00020A3D" w:rsidP="003550F0">
            <w:pPr>
              <w:jc w:val="both"/>
              <w:rPr>
                <w:rFonts w:ascii="Arial" w:hAnsi="Arial" w:cs="Arial"/>
                <w:sz w:val="20"/>
                <w:szCs w:val="20"/>
              </w:rPr>
            </w:pPr>
          </w:p>
        </w:tc>
        <w:tc>
          <w:tcPr>
            <w:tcW w:w="1170" w:type="dxa"/>
            <w:vMerge/>
          </w:tcPr>
          <w:p w14:paraId="6CEC85AD"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48D13E46"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1E4EEA29"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04</w:t>
            </w:r>
          </w:p>
        </w:tc>
      </w:tr>
      <w:tr w:rsidR="00020A3D" w:rsidRPr="003550F0" w14:paraId="1DFB9FA0" w14:textId="77777777" w:rsidTr="00020A3D">
        <w:trPr>
          <w:trHeight w:val="285"/>
        </w:trPr>
        <w:tc>
          <w:tcPr>
            <w:tcW w:w="1572" w:type="dxa"/>
            <w:vMerge/>
          </w:tcPr>
          <w:p w14:paraId="5D8D007B" w14:textId="77777777" w:rsidR="00020A3D" w:rsidRPr="003550F0" w:rsidRDefault="00020A3D" w:rsidP="003550F0">
            <w:pPr>
              <w:jc w:val="both"/>
              <w:rPr>
                <w:rFonts w:ascii="Arial" w:hAnsi="Arial" w:cs="Arial"/>
                <w:sz w:val="20"/>
                <w:szCs w:val="20"/>
              </w:rPr>
            </w:pPr>
          </w:p>
        </w:tc>
        <w:tc>
          <w:tcPr>
            <w:tcW w:w="1215" w:type="dxa"/>
            <w:vMerge/>
          </w:tcPr>
          <w:p w14:paraId="05585929" w14:textId="77777777" w:rsidR="00020A3D" w:rsidRPr="003550F0" w:rsidRDefault="00020A3D" w:rsidP="003550F0">
            <w:pPr>
              <w:jc w:val="both"/>
              <w:rPr>
                <w:rFonts w:ascii="Arial" w:hAnsi="Arial" w:cs="Arial"/>
                <w:sz w:val="20"/>
                <w:szCs w:val="20"/>
              </w:rPr>
            </w:pPr>
          </w:p>
        </w:tc>
        <w:tc>
          <w:tcPr>
            <w:tcW w:w="1261" w:type="dxa"/>
            <w:gridSpan w:val="2"/>
            <w:vMerge/>
          </w:tcPr>
          <w:p w14:paraId="296131A5" w14:textId="77777777" w:rsidR="00020A3D" w:rsidRPr="003550F0" w:rsidRDefault="00020A3D" w:rsidP="003550F0">
            <w:pPr>
              <w:jc w:val="both"/>
              <w:rPr>
                <w:rFonts w:ascii="Arial" w:hAnsi="Arial" w:cs="Arial"/>
                <w:sz w:val="20"/>
                <w:szCs w:val="20"/>
              </w:rPr>
            </w:pPr>
          </w:p>
        </w:tc>
        <w:tc>
          <w:tcPr>
            <w:tcW w:w="1172" w:type="dxa"/>
            <w:vMerge/>
          </w:tcPr>
          <w:p w14:paraId="10BA3FD1" w14:textId="77777777" w:rsidR="00020A3D" w:rsidRPr="003550F0" w:rsidRDefault="00020A3D" w:rsidP="003550F0">
            <w:pPr>
              <w:jc w:val="both"/>
              <w:rPr>
                <w:rFonts w:ascii="Arial" w:hAnsi="Arial" w:cs="Arial"/>
                <w:sz w:val="20"/>
                <w:szCs w:val="20"/>
              </w:rPr>
            </w:pPr>
          </w:p>
        </w:tc>
        <w:tc>
          <w:tcPr>
            <w:tcW w:w="1170" w:type="dxa"/>
            <w:vMerge/>
          </w:tcPr>
          <w:p w14:paraId="542EE33B"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25D03204" w14:textId="208EC880" w:rsidR="00020A3D" w:rsidRPr="003550F0" w:rsidRDefault="00020A3D"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3F1B864A" w14:textId="783097FB" w:rsidR="00020A3D" w:rsidRPr="003550F0" w:rsidRDefault="00020A3D" w:rsidP="003550F0">
            <w:pPr>
              <w:jc w:val="both"/>
              <w:rPr>
                <w:rFonts w:ascii="Arial" w:hAnsi="Arial" w:cs="Arial"/>
                <w:sz w:val="20"/>
                <w:szCs w:val="20"/>
              </w:rPr>
            </w:pPr>
            <w:r>
              <w:rPr>
                <w:rFonts w:ascii="Arial" w:hAnsi="Arial" w:cs="Arial"/>
                <w:sz w:val="20"/>
                <w:szCs w:val="20"/>
              </w:rPr>
              <w:t>03</w:t>
            </w:r>
          </w:p>
        </w:tc>
      </w:tr>
      <w:bookmarkEnd w:id="11"/>
      <w:tr w:rsidR="00506E29" w:rsidRPr="003550F0" w14:paraId="0A503FE6" w14:textId="77777777" w:rsidTr="00020A3D">
        <w:tc>
          <w:tcPr>
            <w:tcW w:w="1572" w:type="dxa"/>
            <w:vMerge w:val="restart"/>
          </w:tcPr>
          <w:p w14:paraId="61E65E3E" w14:textId="77777777" w:rsidR="00506E29" w:rsidRPr="003550F0" w:rsidRDefault="00506E29" w:rsidP="003550F0">
            <w:pPr>
              <w:jc w:val="both"/>
              <w:rPr>
                <w:rFonts w:ascii="Arial" w:hAnsi="Arial" w:cs="Arial"/>
                <w:sz w:val="20"/>
                <w:szCs w:val="20"/>
              </w:rPr>
            </w:pPr>
          </w:p>
        </w:tc>
        <w:tc>
          <w:tcPr>
            <w:tcW w:w="1215" w:type="dxa"/>
          </w:tcPr>
          <w:p w14:paraId="5DBA58D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63</w:t>
            </w:r>
          </w:p>
          <w:p w14:paraId="50EE6A7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(41.18%)</w:t>
            </w:r>
          </w:p>
        </w:tc>
        <w:tc>
          <w:tcPr>
            <w:tcW w:w="1261" w:type="dxa"/>
            <w:gridSpan w:val="2"/>
          </w:tcPr>
          <w:p w14:paraId="65786DC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03</w:t>
            </w:r>
          </w:p>
          <w:p w14:paraId="5818CE8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(16.67%)</w:t>
            </w:r>
          </w:p>
        </w:tc>
        <w:tc>
          <w:tcPr>
            <w:tcW w:w="1172" w:type="dxa"/>
            <w:vMerge/>
          </w:tcPr>
          <w:p w14:paraId="4AB8CDD7" w14:textId="77777777" w:rsidR="00506E29" w:rsidRPr="003550F0" w:rsidRDefault="00506E29" w:rsidP="003550F0">
            <w:pPr>
              <w:jc w:val="both"/>
              <w:rPr>
                <w:rFonts w:ascii="Arial" w:hAnsi="Arial" w:cs="Arial"/>
                <w:sz w:val="20"/>
                <w:szCs w:val="20"/>
              </w:rPr>
            </w:pPr>
          </w:p>
        </w:tc>
        <w:tc>
          <w:tcPr>
            <w:tcW w:w="1170" w:type="dxa"/>
            <w:vMerge/>
          </w:tcPr>
          <w:p w14:paraId="2EBD8A0C" w14:textId="77777777" w:rsidR="00506E29" w:rsidRPr="003550F0" w:rsidRDefault="00506E29" w:rsidP="003550F0">
            <w:pPr>
              <w:jc w:val="both"/>
              <w:rPr>
                <w:rFonts w:ascii="Arial" w:hAnsi="Arial" w:cs="Arial"/>
                <w:sz w:val="20"/>
                <w:szCs w:val="20"/>
              </w:rPr>
            </w:pPr>
          </w:p>
        </w:tc>
        <w:tc>
          <w:tcPr>
            <w:tcW w:w="1620" w:type="dxa"/>
            <w:tcBorders>
              <w:top w:val="nil"/>
            </w:tcBorders>
          </w:tcPr>
          <w:p w14:paraId="3865B92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317C583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r>
      <w:tr w:rsidR="00A97470" w:rsidRPr="003550F0" w14:paraId="1A8CD206" w14:textId="77777777" w:rsidTr="000A248F">
        <w:tc>
          <w:tcPr>
            <w:tcW w:w="1572" w:type="dxa"/>
            <w:vMerge/>
            <w:tcBorders>
              <w:bottom w:val="single" w:sz="4" w:space="0" w:color="auto"/>
            </w:tcBorders>
          </w:tcPr>
          <w:p w14:paraId="43B003D7" w14:textId="77777777" w:rsidR="00A97470" w:rsidRPr="003550F0" w:rsidRDefault="00A97470" w:rsidP="003550F0">
            <w:pPr>
              <w:jc w:val="both"/>
              <w:rPr>
                <w:rFonts w:ascii="Arial" w:hAnsi="Arial" w:cs="Arial"/>
                <w:sz w:val="20"/>
                <w:szCs w:val="20"/>
              </w:rPr>
            </w:pPr>
          </w:p>
        </w:tc>
        <w:tc>
          <w:tcPr>
            <w:tcW w:w="2476" w:type="dxa"/>
            <w:gridSpan w:val="3"/>
          </w:tcPr>
          <w:p w14:paraId="52902C2A"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66</w:t>
            </w:r>
          </w:p>
        </w:tc>
        <w:tc>
          <w:tcPr>
            <w:tcW w:w="1172" w:type="dxa"/>
            <w:vMerge/>
          </w:tcPr>
          <w:p w14:paraId="7FFB3805" w14:textId="77777777" w:rsidR="00A97470" w:rsidRPr="003550F0" w:rsidRDefault="00A97470" w:rsidP="003550F0">
            <w:pPr>
              <w:jc w:val="both"/>
              <w:rPr>
                <w:rFonts w:ascii="Arial" w:hAnsi="Arial" w:cs="Arial"/>
                <w:sz w:val="20"/>
                <w:szCs w:val="20"/>
              </w:rPr>
            </w:pPr>
          </w:p>
        </w:tc>
        <w:tc>
          <w:tcPr>
            <w:tcW w:w="1170" w:type="dxa"/>
            <w:vMerge/>
          </w:tcPr>
          <w:p w14:paraId="63A1262E" w14:textId="77777777" w:rsidR="00A97470" w:rsidRPr="003550F0" w:rsidRDefault="00A97470" w:rsidP="003550F0">
            <w:pPr>
              <w:jc w:val="both"/>
              <w:rPr>
                <w:rFonts w:ascii="Arial" w:hAnsi="Arial" w:cs="Arial"/>
                <w:sz w:val="20"/>
                <w:szCs w:val="20"/>
              </w:rPr>
            </w:pPr>
          </w:p>
        </w:tc>
        <w:tc>
          <w:tcPr>
            <w:tcW w:w="3150" w:type="dxa"/>
            <w:gridSpan w:val="2"/>
          </w:tcPr>
          <w:p w14:paraId="6CC34722" w14:textId="77777777" w:rsidR="00A97470" w:rsidRPr="003550F0" w:rsidRDefault="00A97470" w:rsidP="00A97470">
            <w:pPr>
              <w:jc w:val="center"/>
              <w:rPr>
                <w:rFonts w:ascii="Arial" w:hAnsi="Arial" w:cs="Arial"/>
                <w:sz w:val="20"/>
                <w:szCs w:val="20"/>
              </w:rPr>
            </w:pPr>
            <w:r w:rsidRPr="00020A3D">
              <w:rPr>
                <w:rFonts w:ascii="Arial" w:hAnsi="Arial" w:cs="Arial"/>
                <w:sz w:val="20"/>
                <w:szCs w:val="20"/>
              </w:rPr>
              <w:t>Total = 66</w:t>
            </w:r>
          </w:p>
        </w:tc>
      </w:tr>
      <w:tr w:rsidR="00506E29" w:rsidRPr="003550F0" w14:paraId="74E4BB9C" w14:textId="77777777" w:rsidTr="000A248F">
        <w:tc>
          <w:tcPr>
            <w:tcW w:w="1572" w:type="dxa"/>
            <w:tcBorders>
              <w:bottom w:val="nil"/>
            </w:tcBorders>
          </w:tcPr>
          <w:p w14:paraId="2761EE9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730B22D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bottom w:val="nil"/>
            </w:tcBorders>
          </w:tcPr>
          <w:p w14:paraId="0D43B7D2" w14:textId="77777777" w:rsidR="00506E29" w:rsidRPr="003550F0" w:rsidRDefault="00506E29" w:rsidP="003550F0">
            <w:pPr>
              <w:jc w:val="both"/>
              <w:rPr>
                <w:rFonts w:ascii="Arial" w:hAnsi="Arial" w:cs="Arial"/>
                <w:sz w:val="20"/>
                <w:szCs w:val="20"/>
              </w:rPr>
            </w:pPr>
          </w:p>
        </w:tc>
        <w:tc>
          <w:tcPr>
            <w:tcW w:w="1172" w:type="dxa"/>
            <w:vMerge w:val="restart"/>
          </w:tcPr>
          <w:p w14:paraId="79EFAB8F" w14:textId="77777777" w:rsidR="00506E29" w:rsidRPr="003550F0" w:rsidRDefault="00506E29" w:rsidP="003550F0">
            <w:pPr>
              <w:jc w:val="both"/>
              <w:rPr>
                <w:rFonts w:ascii="Arial" w:hAnsi="Arial" w:cs="Arial"/>
                <w:sz w:val="20"/>
                <w:szCs w:val="20"/>
              </w:rPr>
            </w:pPr>
          </w:p>
          <w:p w14:paraId="7A957698" w14:textId="77777777" w:rsidR="00506E29" w:rsidRPr="003550F0" w:rsidRDefault="00506E29" w:rsidP="003550F0">
            <w:pPr>
              <w:jc w:val="both"/>
              <w:rPr>
                <w:rFonts w:ascii="Arial" w:hAnsi="Arial" w:cs="Arial"/>
                <w:sz w:val="20"/>
                <w:szCs w:val="20"/>
              </w:rPr>
            </w:pPr>
          </w:p>
          <w:p w14:paraId="52F3A9EA" w14:textId="77777777" w:rsidR="00506E29" w:rsidRPr="003550F0" w:rsidRDefault="00506E29" w:rsidP="003550F0">
            <w:pPr>
              <w:jc w:val="both"/>
              <w:rPr>
                <w:rFonts w:ascii="Arial" w:hAnsi="Arial" w:cs="Arial"/>
                <w:sz w:val="20"/>
                <w:szCs w:val="20"/>
              </w:rPr>
            </w:pPr>
          </w:p>
          <w:p w14:paraId="68CA6A38" w14:textId="77777777" w:rsidR="00506E29" w:rsidRPr="003550F0" w:rsidRDefault="00506E29" w:rsidP="003550F0">
            <w:pPr>
              <w:jc w:val="both"/>
              <w:rPr>
                <w:rFonts w:ascii="Arial" w:hAnsi="Arial" w:cs="Arial"/>
                <w:sz w:val="20"/>
                <w:szCs w:val="20"/>
              </w:rPr>
            </w:pPr>
          </w:p>
          <w:p w14:paraId="3859DBFB" w14:textId="77777777" w:rsidR="00506E29" w:rsidRPr="003550F0" w:rsidRDefault="00506E29" w:rsidP="003550F0">
            <w:pPr>
              <w:jc w:val="both"/>
              <w:rPr>
                <w:rFonts w:ascii="Arial" w:hAnsi="Arial" w:cs="Arial"/>
                <w:sz w:val="20"/>
                <w:szCs w:val="20"/>
              </w:rPr>
            </w:pPr>
          </w:p>
          <w:p w14:paraId="6A590CC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6.43%</w:t>
            </w:r>
          </w:p>
          <w:p w14:paraId="754B9A36" w14:textId="77777777" w:rsidR="00506E29" w:rsidRPr="003550F0" w:rsidRDefault="00506E29" w:rsidP="003550F0">
            <w:pPr>
              <w:jc w:val="both"/>
              <w:rPr>
                <w:rFonts w:ascii="Arial" w:hAnsi="Arial" w:cs="Arial"/>
                <w:sz w:val="20"/>
                <w:szCs w:val="20"/>
              </w:rPr>
            </w:pPr>
          </w:p>
          <w:p w14:paraId="7067EFBE" w14:textId="77777777" w:rsidR="00506E29" w:rsidRPr="003550F0" w:rsidRDefault="00506E29" w:rsidP="003550F0">
            <w:pPr>
              <w:jc w:val="both"/>
              <w:rPr>
                <w:rFonts w:ascii="Arial" w:hAnsi="Arial" w:cs="Arial"/>
                <w:sz w:val="20"/>
                <w:szCs w:val="20"/>
              </w:rPr>
            </w:pPr>
          </w:p>
        </w:tc>
        <w:tc>
          <w:tcPr>
            <w:tcW w:w="1170" w:type="dxa"/>
            <w:vMerge w:val="restart"/>
          </w:tcPr>
          <w:p w14:paraId="5E653C0A" w14:textId="77777777" w:rsidR="00506E29" w:rsidRPr="003550F0" w:rsidRDefault="00506E29" w:rsidP="003550F0">
            <w:pPr>
              <w:jc w:val="both"/>
              <w:rPr>
                <w:rFonts w:ascii="Arial" w:hAnsi="Arial" w:cs="Arial"/>
                <w:sz w:val="20"/>
                <w:szCs w:val="20"/>
              </w:rPr>
            </w:pPr>
          </w:p>
          <w:p w14:paraId="6CBD3AC0" w14:textId="77777777" w:rsidR="00506E29" w:rsidRPr="003550F0" w:rsidRDefault="00506E29" w:rsidP="003550F0">
            <w:pPr>
              <w:jc w:val="both"/>
              <w:rPr>
                <w:rFonts w:ascii="Arial" w:hAnsi="Arial" w:cs="Arial"/>
                <w:sz w:val="20"/>
                <w:szCs w:val="20"/>
              </w:rPr>
            </w:pPr>
          </w:p>
          <w:p w14:paraId="3283BFE7" w14:textId="77777777" w:rsidR="00506E29" w:rsidRPr="003550F0" w:rsidRDefault="00506E29" w:rsidP="003550F0">
            <w:pPr>
              <w:jc w:val="both"/>
              <w:rPr>
                <w:rFonts w:ascii="Arial" w:hAnsi="Arial" w:cs="Arial"/>
                <w:sz w:val="20"/>
                <w:szCs w:val="20"/>
              </w:rPr>
            </w:pPr>
          </w:p>
          <w:p w14:paraId="0365C6FB" w14:textId="77777777" w:rsidR="00506E29" w:rsidRPr="003550F0" w:rsidRDefault="00506E29" w:rsidP="003550F0">
            <w:pPr>
              <w:jc w:val="both"/>
              <w:rPr>
                <w:rFonts w:ascii="Arial" w:hAnsi="Arial" w:cs="Arial"/>
                <w:sz w:val="20"/>
                <w:szCs w:val="20"/>
              </w:rPr>
            </w:pPr>
          </w:p>
          <w:p w14:paraId="728F384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Farmer</w:t>
            </w:r>
          </w:p>
        </w:tc>
        <w:tc>
          <w:tcPr>
            <w:tcW w:w="1620" w:type="dxa"/>
            <w:tcBorders>
              <w:bottom w:val="nil"/>
            </w:tcBorders>
          </w:tcPr>
          <w:p w14:paraId="7B6F560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79455BE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 (Mode)</w:t>
            </w:r>
          </w:p>
        </w:tc>
      </w:tr>
      <w:tr w:rsidR="00506E29" w:rsidRPr="003550F0" w14:paraId="5038BC29" w14:textId="77777777" w:rsidTr="000A248F">
        <w:tc>
          <w:tcPr>
            <w:tcW w:w="1572" w:type="dxa"/>
            <w:tcBorders>
              <w:top w:val="nil"/>
              <w:bottom w:val="nil"/>
            </w:tcBorders>
          </w:tcPr>
          <w:p w14:paraId="05FE3D2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057C767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 (Mode)</w:t>
            </w:r>
          </w:p>
        </w:tc>
        <w:tc>
          <w:tcPr>
            <w:tcW w:w="1261" w:type="dxa"/>
            <w:gridSpan w:val="2"/>
            <w:tcBorders>
              <w:top w:val="nil"/>
              <w:bottom w:val="nil"/>
            </w:tcBorders>
          </w:tcPr>
          <w:p w14:paraId="12D91AF5" w14:textId="77777777" w:rsidR="00506E29" w:rsidRPr="003550F0" w:rsidRDefault="00506E29" w:rsidP="003550F0">
            <w:pPr>
              <w:jc w:val="both"/>
              <w:rPr>
                <w:rFonts w:ascii="Arial" w:hAnsi="Arial" w:cs="Arial"/>
                <w:sz w:val="20"/>
                <w:szCs w:val="20"/>
              </w:rPr>
            </w:pPr>
          </w:p>
        </w:tc>
        <w:tc>
          <w:tcPr>
            <w:tcW w:w="1172" w:type="dxa"/>
            <w:vMerge/>
          </w:tcPr>
          <w:p w14:paraId="2DEBE22D" w14:textId="77777777" w:rsidR="00506E29" w:rsidRPr="003550F0" w:rsidRDefault="00506E29" w:rsidP="003550F0">
            <w:pPr>
              <w:jc w:val="both"/>
              <w:rPr>
                <w:rFonts w:ascii="Arial" w:hAnsi="Arial" w:cs="Arial"/>
                <w:sz w:val="20"/>
                <w:szCs w:val="20"/>
              </w:rPr>
            </w:pPr>
          </w:p>
        </w:tc>
        <w:tc>
          <w:tcPr>
            <w:tcW w:w="1170" w:type="dxa"/>
            <w:vMerge/>
          </w:tcPr>
          <w:p w14:paraId="4D50A28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977E82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7811716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DC72DE8" w14:textId="77777777" w:rsidTr="000A248F">
        <w:tc>
          <w:tcPr>
            <w:tcW w:w="1572" w:type="dxa"/>
            <w:tcBorders>
              <w:top w:val="nil"/>
              <w:bottom w:val="nil"/>
            </w:tcBorders>
          </w:tcPr>
          <w:p w14:paraId="2B9743D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65126BD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0EC0F88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1C0BBE9F" w14:textId="77777777" w:rsidR="00506E29" w:rsidRPr="003550F0" w:rsidRDefault="00506E29" w:rsidP="003550F0">
            <w:pPr>
              <w:jc w:val="both"/>
              <w:rPr>
                <w:rFonts w:ascii="Arial" w:hAnsi="Arial" w:cs="Arial"/>
                <w:sz w:val="20"/>
                <w:szCs w:val="20"/>
              </w:rPr>
            </w:pPr>
          </w:p>
        </w:tc>
        <w:tc>
          <w:tcPr>
            <w:tcW w:w="1170" w:type="dxa"/>
            <w:vMerge/>
          </w:tcPr>
          <w:p w14:paraId="099C903D"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65629A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4289066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4E982EAC" w14:textId="77777777" w:rsidTr="000A248F">
        <w:tc>
          <w:tcPr>
            <w:tcW w:w="1572" w:type="dxa"/>
            <w:tcBorders>
              <w:top w:val="nil"/>
              <w:bottom w:val="nil"/>
            </w:tcBorders>
          </w:tcPr>
          <w:p w14:paraId="7D38CF4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0773F6B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06CD6989" w14:textId="77777777" w:rsidR="00506E29" w:rsidRPr="003550F0" w:rsidRDefault="00506E29" w:rsidP="003550F0">
            <w:pPr>
              <w:jc w:val="both"/>
              <w:rPr>
                <w:rFonts w:ascii="Arial" w:hAnsi="Arial" w:cs="Arial"/>
                <w:sz w:val="20"/>
                <w:szCs w:val="20"/>
              </w:rPr>
            </w:pPr>
          </w:p>
        </w:tc>
        <w:tc>
          <w:tcPr>
            <w:tcW w:w="1172" w:type="dxa"/>
            <w:vMerge/>
          </w:tcPr>
          <w:p w14:paraId="11565B14" w14:textId="77777777" w:rsidR="00506E29" w:rsidRPr="003550F0" w:rsidRDefault="00506E29" w:rsidP="003550F0">
            <w:pPr>
              <w:jc w:val="both"/>
              <w:rPr>
                <w:rFonts w:ascii="Arial" w:hAnsi="Arial" w:cs="Arial"/>
                <w:sz w:val="20"/>
                <w:szCs w:val="20"/>
              </w:rPr>
            </w:pPr>
          </w:p>
        </w:tc>
        <w:tc>
          <w:tcPr>
            <w:tcW w:w="1170" w:type="dxa"/>
            <w:vMerge/>
          </w:tcPr>
          <w:p w14:paraId="38F0CB7C"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8BB16E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0C69B6D8" w14:textId="77777777" w:rsidR="00506E29" w:rsidRPr="003550F0" w:rsidRDefault="00506E29" w:rsidP="003550F0">
            <w:pPr>
              <w:jc w:val="both"/>
              <w:rPr>
                <w:rFonts w:ascii="Arial" w:hAnsi="Arial" w:cs="Arial"/>
                <w:sz w:val="20"/>
                <w:szCs w:val="20"/>
              </w:rPr>
            </w:pPr>
          </w:p>
        </w:tc>
      </w:tr>
      <w:tr w:rsidR="00506E29" w:rsidRPr="003550F0" w14:paraId="1F2BD90F" w14:textId="77777777" w:rsidTr="000A248F">
        <w:tc>
          <w:tcPr>
            <w:tcW w:w="1572" w:type="dxa"/>
            <w:tcBorders>
              <w:top w:val="nil"/>
              <w:bottom w:val="nil"/>
            </w:tcBorders>
          </w:tcPr>
          <w:p w14:paraId="3F434AC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1398D3BE" w14:textId="595BB439" w:rsidR="00506E29" w:rsidRPr="003550F0" w:rsidRDefault="00A97470" w:rsidP="003550F0">
            <w:pPr>
              <w:jc w:val="both"/>
              <w:rPr>
                <w:rFonts w:ascii="Arial" w:hAnsi="Arial" w:cs="Arial"/>
                <w:sz w:val="20"/>
                <w:szCs w:val="20"/>
              </w:rPr>
            </w:pPr>
            <w:r>
              <w:rPr>
                <w:rFonts w:ascii="Arial" w:hAnsi="Arial" w:cs="Arial"/>
                <w:sz w:val="20"/>
                <w:szCs w:val="20"/>
              </w:rPr>
              <w:t>00</w:t>
            </w:r>
          </w:p>
        </w:tc>
        <w:tc>
          <w:tcPr>
            <w:tcW w:w="1261" w:type="dxa"/>
            <w:gridSpan w:val="2"/>
            <w:tcBorders>
              <w:top w:val="nil"/>
              <w:bottom w:val="nil"/>
            </w:tcBorders>
          </w:tcPr>
          <w:p w14:paraId="68FFE7E1" w14:textId="77777777" w:rsidR="00506E29" w:rsidRPr="003550F0" w:rsidRDefault="00506E29" w:rsidP="003550F0">
            <w:pPr>
              <w:jc w:val="both"/>
              <w:rPr>
                <w:rFonts w:ascii="Arial" w:hAnsi="Arial" w:cs="Arial"/>
                <w:sz w:val="20"/>
                <w:szCs w:val="20"/>
              </w:rPr>
            </w:pPr>
          </w:p>
        </w:tc>
        <w:tc>
          <w:tcPr>
            <w:tcW w:w="1172" w:type="dxa"/>
            <w:vMerge/>
          </w:tcPr>
          <w:p w14:paraId="3C6F83FF" w14:textId="77777777" w:rsidR="00506E29" w:rsidRPr="003550F0" w:rsidRDefault="00506E29" w:rsidP="003550F0">
            <w:pPr>
              <w:jc w:val="both"/>
              <w:rPr>
                <w:rFonts w:ascii="Arial" w:hAnsi="Arial" w:cs="Arial"/>
                <w:sz w:val="20"/>
                <w:szCs w:val="20"/>
              </w:rPr>
            </w:pPr>
          </w:p>
        </w:tc>
        <w:tc>
          <w:tcPr>
            <w:tcW w:w="1170" w:type="dxa"/>
            <w:vMerge/>
          </w:tcPr>
          <w:p w14:paraId="1D279EA3"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3FD944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022D4E9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50282CDF" w14:textId="77777777" w:rsidTr="000A248F">
        <w:tc>
          <w:tcPr>
            <w:tcW w:w="1572" w:type="dxa"/>
            <w:tcBorders>
              <w:top w:val="nil"/>
            </w:tcBorders>
          </w:tcPr>
          <w:p w14:paraId="7032D9C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69D8D8F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tcBorders>
          </w:tcPr>
          <w:p w14:paraId="3F09694E" w14:textId="77777777" w:rsidR="00506E29" w:rsidRPr="003550F0" w:rsidRDefault="00506E29" w:rsidP="003550F0">
            <w:pPr>
              <w:jc w:val="both"/>
              <w:rPr>
                <w:rFonts w:ascii="Arial" w:hAnsi="Arial" w:cs="Arial"/>
                <w:sz w:val="20"/>
                <w:szCs w:val="20"/>
              </w:rPr>
            </w:pPr>
          </w:p>
        </w:tc>
        <w:tc>
          <w:tcPr>
            <w:tcW w:w="1172" w:type="dxa"/>
            <w:vMerge/>
          </w:tcPr>
          <w:p w14:paraId="6719B7CA" w14:textId="77777777" w:rsidR="00506E29" w:rsidRPr="003550F0" w:rsidRDefault="00506E29" w:rsidP="003550F0">
            <w:pPr>
              <w:jc w:val="both"/>
              <w:rPr>
                <w:rFonts w:ascii="Arial" w:hAnsi="Arial" w:cs="Arial"/>
                <w:sz w:val="20"/>
                <w:szCs w:val="20"/>
              </w:rPr>
            </w:pPr>
          </w:p>
        </w:tc>
        <w:tc>
          <w:tcPr>
            <w:tcW w:w="1170" w:type="dxa"/>
            <w:vMerge/>
          </w:tcPr>
          <w:p w14:paraId="60ACB425"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C87E1A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63E7D6CC" w14:textId="77777777" w:rsidR="00506E29" w:rsidRPr="003550F0" w:rsidRDefault="00506E29" w:rsidP="003550F0">
            <w:pPr>
              <w:jc w:val="both"/>
              <w:rPr>
                <w:rFonts w:ascii="Arial" w:hAnsi="Arial" w:cs="Arial"/>
                <w:sz w:val="20"/>
                <w:szCs w:val="20"/>
              </w:rPr>
            </w:pPr>
          </w:p>
        </w:tc>
      </w:tr>
      <w:tr w:rsidR="00506E29" w:rsidRPr="003550F0" w14:paraId="7308B7D1" w14:textId="77777777" w:rsidTr="000A248F">
        <w:tc>
          <w:tcPr>
            <w:tcW w:w="1572" w:type="dxa"/>
            <w:vMerge w:val="restart"/>
          </w:tcPr>
          <w:p w14:paraId="304E3BE8" w14:textId="77777777" w:rsidR="00506E29" w:rsidRPr="003550F0" w:rsidRDefault="00506E29" w:rsidP="003550F0">
            <w:pPr>
              <w:jc w:val="both"/>
              <w:rPr>
                <w:rFonts w:ascii="Arial" w:hAnsi="Arial" w:cs="Arial"/>
                <w:sz w:val="20"/>
                <w:szCs w:val="20"/>
              </w:rPr>
            </w:pPr>
          </w:p>
        </w:tc>
        <w:tc>
          <w:tcPr>
            <w:tcW w:w="1215" w:type="dxa"/>
          </w:tcPr>
          <w:p w14:paraId="445D056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10</w:t>
            </w:r>
          </w:p>
          <w:p w14:paraId="3FA51D4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(6.54%)</w:t>
            </w:r>
          </w:p>
        </w:tc>
        <w:tc>
          <w:tcPr>
            <w:tcW w:w="1261" w:type="dxa"/>
            <w:gridSpan w:val="2"/>
          </w:tcPr>
          <w:p w14:paraId="3C60227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p w14:paraId="4F17705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513CD700" w14:textId="77777777" w:rsidR="00506E29" w:rsidRPr="003550F0" w:rsidRDefault="00506E29" w:rsidP="003550F0">
            <w:pPr>
              <w:jc w:val="both"/>
              <w:rPr>
                <w:rFonts w:ascii="Arial" w:hAnsi="Arial" w:cs="Arial"/>
                <w:sz w:val="20"/>
                <w:szCs w:val="20"/>
              </w:rPr>
            </w:pPr>
          </w:p>
        </w:tc>
        <w:tc>
          <w:tcPr>
            <w:tcW w:w="1170" w:type="dxa"/>
            <w:vMerge/>
          </w:tcPr>
          <w:p w14:paraId="2610F358" w14:textId="77777777" w:rsidR="00506E29" w:rsidRPr="003550F0" w:rsidRDefault="00506E29" w:rsidP="003550F0">
            <w:pPr>
              <w:jc w:val="both"/>
              <w:rPr>
                <w:rFonts w:ascii="Arial" w:hAnsi="Arial" w:cs="Arial"/>
                <w:sz w:val="20"/>
                <w:szCs w:val="20"/>
              </w:rPr>
            </w:pPr>
          </w:p>
        </w:tc>
        <w:tc>
          <w:tcPr>
            <w:tcW w:w="1620" w:type="dxa"/>
            <w:tcBorders>
              <w:top w:val="nil"/>
            </w:tcBorders>
          </w:tcPr>
          <w:p w14:paraId="7354305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7FD03EDE" w14:textId="77777777" w:rsidR="00506E29" w:rsidRPr="003550F0" w:rsidRDefault="00506E29" w:rsidP="003550F0">
            <w:pPr>
              <w:jc w:val="both"/>
              <w:rPr>
                <w:rFonts w:ascii="Arial" w:hAnsi="Arial" w:cs="Arial"/>
                <w:sz w:val="20"/>
                <w:szCs w:val="20"/>
              </w:rPr>
            </w:pPr>
          </w:p>
        </w:tc>
      </w:tr>
      <w:tr w:rsidR="00A97470" w:rsidRPr="003550F0" w14:paraId="212F87E2" w14:textId="77777777" w:rsidTr="000A248F">
        <w:tc>
          <w:tcPr>
            <w:tcW w:w="1572" w:type="dxa"/>
            <w:vMerge/>
          </w:tcPr>
          <w:p w14:paraId="3080BFCB" w14:textId="77777777" w:rsidR="00A97470" w:rsidRPr="003550F0" w:rsidRDefault="00A97470" w:rsidP="003550F0">
            <w:pPr>
              <w:jc w:val="both"/>
              <w:rPr>
                <w:rFonts w:ascii="Arial" w:hAnsi="Arial" w:cs="Arial"/>
                <w:sz w:val="20"/>
                <w:szCs w:val="20"/>
              </w:rPr>
            </w:pPr>
          </w:p>
        </w:tc>
        <w:tc>
          <w:tcPr>
            <w:tcW w:w="2476" w:type="dxa"/>
            <w:gridSpan w:val="3"/>
          </w:tcPr>
          <w:p w14:paraId="564A93C1"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11</w:t>
            </w:r>
          </w:p>
        </w:tc>
        <w:tc>
          <w:tcPr>
            <w:tcW w:w="1172" w:type="dxa"/>
            <w:vMerge/>
          </w:tcPr>
          <w:p w14:paraId="0613381F" w14:textId="77777777" w:rsidR="00A97470" w:rsidRPr="003550F0" w:rsidRDefault="00A97470" w:rsidP="003550F0">
            <w:pPr>
              <w:jc w:val="both"/>
              <w:rPr>
                <w:rFonts w:ascii="Arial" w:hAnsi="Arial" w:cs="Arial"/>
                <w:sz w:val="20"/>
                <w:szCs w:val="20"/>
              </w:rPr>
            </w:pPr>
          </w:p>
        </w:tc>
        <w:tc>
          <w:tcPr>
            <w:tcW w:w="1170" w:type="dxa"/>
            <w:vMerge/>
          </w:tcPr>
          <w:p w14:paraId="2A5CAB0B" w14:textId="77777777" w:rsidR="00A97470" w:rsidRPr="003550F0" w:rsidRDefault="00A97470" w:rsidP="003550F0">
            <w:pPr>
              <w:jc w:val="both"/>
              <w:rPr>
                <w:rFonts w:ascii="Arial" w:hAnsi="Arial" w:cs="Arial"/>
                <w:sz w:val="20"/>
                <w:szCs w:val="20"/>
              </w:rPr>
            </w:pPr>
          </w:p>
        </w:tc>
        <w:tc>
          <w:tcPr>
            <w:tcW w:w="3150" w:type="dxa"/>
            <w:gridSpan w:val="2"/>
          </w:tcPr>
          <w:p w14:paraId="58326A94"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11</w:t>
            </w:r>
          </w:p>
        </w:tc>
      </w:tr>
      <w:tr w:rsidR="00506E29" w:rsidRPr="003550F0" w14:paraId="13066DFE" w14:textId="77777777" w:rsidTr="000A248F">
        <w:tc>
          <w:tcPr>
            <w:tcW w:w="1572" w:type="dxa"/>
          </w:tcPr>
          <w:p w14:paraId="377CB3F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Pr>
          <w:p w14:paraId="4610831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0281CEF8" w14:textId="77777777" w:rsidR="00506E29" w:rsidRPr="003550F0" w:rsidRDefault="00506E29" w:rsidP="003550F0">
            <w:pPr>
              <w:jc w:val="both"/>
              <w:rPr>
                <w:rFonts w:ascii="Arial" w:hAnsi="Arial" w:cs="Arial"/>
                <w:sz w:val="20"/>
                <w:szCs w:val="20"/>
              </w:rPr>
            </w:pPr>
          </w:p>
        </w:tc>
        <w:tc>
          <w:tcPr>
            <w:tcW w:w="1172" w:type="dxa"/>
            <w:vMerge w:val="restart"/>
          </w:tcPr>
          <w:p w14:paraId="4503AF08" w14:textId="77777777" w:rsidR="00E308A6" w:rsidRDefault="00E308A6" w:rsidP="003550F0">
            <w:pPr>
              <w:jc w:val="both"/>
              <w:rPr>
                <w:rFonts w:ascii="Arial" w:hAnsi="Arial" w:cs="Arial"/>
                <w:sz w:val="20"/>
                <w:szCs w:val="20"/>
              </w:rPr>
            </w:pPr>
          </w:p>
          <w:p w14:paraId="48EDA9C1" w14:textId="68EF7260" w:rsidR="00506E29" w:rsidRPr="003550F0" w:rsidRDefault="00506E29" w:rsidP="003550F0">
            <w:pPr>
              <w:jc w:val="both"/>
              <w:rPr>
                <w:rFonts w:ascii="Arial" w:hAnsi="Arial" w:cs="Arial"/>
                <w:sz w:val="20"/>
                <w:szCs w:val="20"/>
              </w:rPr>
            </w:pPr>
            <w:r w:rsidRPr="003550F0">
              <w:rPr>
                <w:rFonts w:ascii="Arial" w:hAnsi="Arial" w:cs="Arial"/>
                <w:sz w:val="20"/>
                <w:szCs w:val="20"/>
              </w:rPr>
              <w:t>0.58%</w:t>
            </w:r>
          </w:p>
        </w:tc>
        <w:tc>
          <w:tcPr>
            <w:tcW w:w="1170" w:type="dxa"/>
            <w:vMerge w:val="restart"/>
          </w:tcPr>
          <w:p w14:paraId="5AFE4D7C" w14:textId="77777777" w:rsidR="00E308A6" w:rsidRDefault="00E308A6" w:rsidP="003550F0">
            <w:pPr>
              <w:jc w:val="both"/>
              <w:rPr>
                <w:rFonts w:ascii="Arial" w:hAnsi="Arial" w:cs="Arial"/>
                <w:sz w:val="20"/>
                <w:szCs w:val="20"/>
              </w:rPr>
            </w:pPr>
          </w:p>
          <w:p w14:paraId="60962AA7" w14:textId="79B9765A" w:rsidR="00506E29" w:rsidRPr="003550F0" w:rsidRDefault="00506E29" w:rsidP="003550F0">
            <w:pPr>
              <w:jc w:val="both"/>
              <w:rPr>
                <w:rFonts w:ascii="Arial" w:hAnsi="Arial" w:cs="Arial"/>
                <w:sz w:val="20"/>
                <w:szCs w:val="20"/>
              </w:rPr>
            </w:pPr>
            <w:r w:rsidRPr="003550F0">
              <w:rPr>
                <w:rFonts w:ascii="Arial" w:hAnsi="Arial" w:cs="Arial"/>
                <w:sz w:val="20"/>
                <w:szCs w:val="20"/>
              </w:rPr>
              <w:t>Fisherman</w:t>
            </w:r>
          </w:p>
        </w:tc>
        <w:tc>
          <w:tcPr>
            <w:tcW w:w="1620" w:type="dxa"/>
          </w:tcPr>
          <w:p w14:paraId="7BEF3BD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Pr>
          <w:p w14:paraId="23D73B3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A97470" w:rsidRPr="003550F0" w14:paraId="7501C74F" w14:textId="77777777" w:rsidTr="000A248F">
        <w:tc>
          <w:tcPr>
            <w:tcW w:w="1572" w:type="dxa"/>
            <w:vMerge w:val="restart"/>
          </w:tcPr>
          <w:p w14:paraId="78B65CAC" w14:textId="77777777" w:rsidR="00A97470" w:rsidRPr="003550F0" w:rsidRDefault="00A97470" w:rsidP="003550F0">
            <w:pPr>
              <w:jc w:val="both"/>
              <w:rPr>
                <w:rFonts w:ascii="Arial" w:hAnsi="Arial" w:cs="Arial"/>
                <w:sz w:val="20"/>
                <w:szCs w:val="20"/>
              </w:rPr>
            </w:pPr>
          </w:p>
        </w:tc>
        <w:tc>
          <w:tcPr>
            <w:tcW w:w="1215" w:type="dxa"/>
          </w:tcPr>
          <w:p w14:paraId="070E238E" w14:textId="77777777" w:rsidR="00A97470" w:rsidRPr="003550F0" w:rsidRDefault="00A97470" w:rsidP="003550F0">
            <w:pPr>
              <w:jc w:val="both"/>
              <w:rPr>
                <w:rFonts w:ascii="Arial" w:hAnsi="Arial" w:cs="Arial"/>
                <w:sz w:val="20"/>
                <w:szCs w:val="20"/>
              </w:rPr>
            </w:pPr>
            <w:r w:rsidRPr="003550F0">
              <w:rPr>
                <w:rFonts w:ascii="Arial" w:hAnsi="Arial" w:cs="Arial"/>
                <w:sz w:val="20"/>
                <w:szCs w:val="20"/>
              </w:rPr>
              <w:t>Total = 01</w:t>
            </w:r>
          </w:p>
          <w:p w14:paraId="4476B5CF" w14:textId="77777777" w:rsidR="00A97470" w:rsidRPr="003550F0" w:rsidRDefault="00A97470" w:rsidP="003550F0">
            <w:pPr>
              <w:jc w:val="both"/>
              <w:rPr>
                <w:rFonts w:ascii="Arial" w:hAnsi="Arial" w:cs="Arial"/>
                <w:sz w:val="20"/>
                <w:szCs w:val="20"/>
              </w:rPr>
            </w:pPr>
            <w:r w:rsidRPr="003550F0">
              <w:rPr>
                <w:rFonts w:ascii="Arial" w:hAnsi="Arial" w:cs="Arial"/>
                <w:sz w:val="20"/>
                <w:szCs w:val="20"/>
              </w:rPr>
              <w:t>(0.65%)</w:t>
            </w:r>
          </w:p>
        </w:tc>
        <w:tc>
          <w:tcPr>
            <w:tcW w:w="1261" w:type="dxa"/>
            <w:gridSpan w:val="2"/>
          </w:tcPr>
          <w:p w14:paraId="19299B05" w14:textId="77777777" w:rsidR="00A97470" w:rsidRPr="003550F0" w:rsidRDefault="00A97470"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6C2CD9F8" w14:textId="77777777" w:rsidR="00A97470" w:rsidRPr="003550F0" w:rsidRDefault="00A97470" w:rsidP="003550F0">
            <w:pPr>
              <w:jc w:val="both"/>
              <w:rPr>
                <w:rFonts w:ascii="Arial" w:hAnsi="Arial" w:cs="Arial"/>
                <w:sz w:val="20"/>
                <w:szCs w:val="20"/>
              </w:rPr>
            </w:pPr>
          </w:p>
        </w:tc>
        <w:tc>
          <w:tcPr>
            <w:tcW w:w="1170" w:type="dxa"/>
            <w:vMerge/>
          </w:tcPr>
          <w:p w14:paraId="0FB2E00E" w14:textId="77777777" w:rsidR="00A97470" w:rsidRPr="003550F0" w:rsidRDefault="00A97470" w:rsidP="003550F0">
            <w:pPr>
              <w:jc w:val="both"/>
              <w:rPr>
                <w:rFonts w:ascii="Arial" w:hAnsi="Arial" w:cs="Arial"/>
                <w:sz w:val="20"/>
                <w:szCs w:val="20"/>
              </w:rPr>
            </w:pPr>
          </w:p>
        </w:tc>
        <w:tc>
          <w:tcPr>
            <w:tcW w:w="3150" w:type="dxa"/>
            <w:gridSpan w:val="2"/>
          </w:tcPr>
          <w:p w14:paraId="24E15EE2"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01</w:t>
            </w:r>
          </w:p>
        </w:tc>
      </w:tr>
      <w:tr w:rsidR="00506E29" w:rsidRPr="003550F0" w14:paraId="0B96C267" w14:textId="77777777" w:rsidTr="00020A3D">
        <w:tc>
          <w:tcPr>
            <w:tcW w:w="1572" w:type="dxa"/>
            <w:vMerge/>
            <w:tcBorders>
              <w:bottom w:val="single" w:sz="4" w:space="0" w:color="auto"/>
            </w:tcBorders>
          </w:tcPr>
          <w:p w14:paraId="60481F47" w14:textId="77777777" w:rsidR="00506E29" w:rsidRPr="003550F0" w:rsidRDefault="00506E29" w:rsidP="003550F0">
            <w:pPr>
              <w:jc w:val="both"/>
              <w:rPr>
                <w:rFonts w:ascii="Arial" w:hAnsi="Arial" w:cs="Arial"/>
                <w:sz w:val="20"/>
                <w:szCs w:val="20"/>
              </w:rPr>
            </w:pPr>
          </w:p>
        </w:tc>
        <w:tc>
          <w:tcPr>
            <w:tcW w:w="2476" w:type="dxa"/>
            <w:gridSpan w:val="3"/>
          </w:tcPr>
          <w:p w14:paraId="49E4D11E" w14:textId="77777777" w:rsidR="00506E29" w:rsidRPr="003550F0" w:rsidRDefault="00506E29" w:rsidP="00A97470">
            <w:pPr>
              <w:jc w:val="center"/>
              <w:rPr>
                <w:rFonts w:ascii="Arial" w:hAnsi="Arial" w:cs="Arial"/>
                <w:sz w:val="20"/>
                <w:szCs w:val="20"/>
              </w:rPr>
            </w:pPr>
            <w:r w:rsidRPr="003550F0">
              <w:rPr>
                <w:rFonts w:ascii="Arial" w:hAnsi="Arial" w:cs="Arial"/>
                <w:sz w:val="20"/>
                <w:szCs w:val="20"/>
              </w:rPr>
              <w:t>Total = 01</w:t>
            </w:r>
          </w:p>
        </w:tc>
        <w:tc>
          <w:tcPr>
            <w:tcW w:w="1172" w:type="dxa"/>
          </w:tcPr>
          <w:p w14:paraId="6A373C12" w14:textId="77777777" w:rsidR="00506E29" w:rsidRPr="003550F0" w:rsidRDefault="00506E29" w:rsidP="003550F0">
            <w:pPr>
              <w:jc w:val="both"/>
              <w:rPr>
                <w:rFonts w:ascii="Arial" w:hAnsi="Arial" w:cs="Arial"/>
                <w:sz w:val="20"/>
                <w:szCs w:val="20"/>
              </w:rPr>
            </w:pPr>
          </w:p>
        </w:tc>
        <w:tc>
          <w:tcPr>
            <w:tcW w:w="1170" w:type="dxa"/>
          </w:tcPr>
          <w:p w14:paraId="64086603" w14:textId="77777777" w:rsidR="00506E29" w:rsidRPr="003550F0" w:rsidRDefault="00506E29" w:rsidP="003550F0">
            <w:pPr>
              <w:jc w:val="both"/>
              <w:rPr>
                <w:rFonts w:ascii="Arial" w:hAnsi="Arial" w:cs="Arial"/>
                <w:sz w:val="20"/>
                <w:szCs w:val="20"/>
              </w:rPr>
            </w:pPr>
          </w:p>
        </w:tc>
        <w:tc>
          <w:tcPr>
            <w:tcW w:w="1620" w:type="dxa"/>
            <w:tcBorders>
              <w:bottom w:val="single" w:sz="4" w:space="0" w:color="auto"/>
            </w:tcBorders>
          </w:tcPr>
          <w:p w14:paraId="313E7B60" w14:textId="77777777" w:rsidR="00506E29" w:rsidRPr="003550F0" w:rsidRDefault="00506E29" w:rsidP="003550F0">
            <w:pPr>
              <w:jc w:val="both"/>
              <w:rPr>
                <w:rFonts w:ascii="Arial" w:hAnsi="Arial" w:cs="Arial"/>
                <w:sz w:val="20"/>
                <w:szCs w:val="20"/>
              </w:rPr>
            </w:pPr>
          </w:p>
        </w:tc>
        <w:tc>
          <w:tcPr>
            <w:tcW w:w="1530" w:type="dxa"/>
            <w:tcBorders>
              <w:bottom w:val="single" w:sz="4" w:space="0" w:color="auto"/>
            </w:tcBorders>
          </w:tcPr>
          <w:p w14:paraId="450FD622" w14:textId="77777777" w:rsidR="00506E29" w:rsidRPr="003550F0" w:rsidRDefault="00506E29" w:rsidP="003550F0">
            <w:pPr>
              <w:jc w:val="both"/>
              <w:rPr>
                <w:rFonts w:ascii="Arial" w:hAnsi="Arial" w:cs="Arial"/>
                <w:sz w:val="20"/>
                <w:szCs w:val="20"/>
              </w:rPr>
            </w:pPr>
          </w:p>
        </w:tc>
      </w:tr>
      <w:tr w:rsidR="00506E29" w:rsidRPr="003550F0" w14:paraId="2FA15A39" w14:textId="77777777" w:rsidTr="00020A3D">
        <w:tc>
          <w:tcPr>
            <w:tcW w:w="1572" w:type="dxa"/>
            <w:tcBorders>
              <w:bottom w:val="nil"/>
            </w:tcBorders>
          </w:tcPr>
          <w:p w14:paraId="31AC9A0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459E93C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261" w:type="dxa"/>
            <w:gridSpan w:val="2"/>
            <w:tcBorders>
              <w:bottom w:val="nil"/>
            </w:tcBorders>
          </w:tcPr>
          <w:p w14:paraId="6F9815D4" w14:textId="77777777" w:rsidR="00506E29" w:rsidRPr="003550F0" w:rsidRDefault="00506E29" w:rsidP="003550F0">
            <w:pPr>
              <w:jc w:val="both"/>
              <w:rPr>
                <w:rFonts w:ascii="Arial" w:hAnsi="Arial" w:cs="Arial"/>
                <w:sz w:val="20"/>
                <w:szCs w:val="20"/>
              </w:rPr>
            </w:pPr>
          </w:p>
        </w:tc>
        <w:tc>
          <w:tcPr>
            <w:tcW w:w="1172" w:type="dxa"/>
            <w:vMerge w:val="restart"/>
          </w:tcPr>
          <w:p w14:paraId="388A4C5E" w14:textId="77777777" w:rsidR="00506E29" w:rsidRPr="003550F0" w:rsidRDefault="00506E29" w:rsidP="003550F0">
            <w:pPr>
              <w:jc w:val="both"/>
              <w:rPr>
                <w:rFonts w:ascii="Arial" w:hAnsi="Arial" w:cs="Arial"/>
                <w:sz w:val="20"/>
                <w:szCs w:val="20"/>
              </w:rPr>
            </w:pPr>
          </w:p>
          <w:p w14:paraId="2CA090C9" w14:textId="77777777" w:rsidR="00506E29" w:rsidRPr="003550F0" w:rsidRDefault="00506E29" w:rsidP="003550F0">
            <w:pPr>
              <w:jc w:val="both"/>
              <w:rPr>
                <w:rFonts w:ascii="Arial" w:hAnsi="Arial" w:cs="Arial"/>
                <w:sz w:val="20"/>
                <w:szCs w:val="20"/>
              </w:rPr>
            </w:pPr>
          </w:p>
          <w:p w14:paraId="26DF324F" w14:textId="77777777" w:rsidR="00506E29" w:rsidRPr="003550F0" w:rsidRDefault="00506E29" w:rsidP="003550F0">
            <w:pPr>
              <w:jc w:val="both"/>
              <w:rPr>
                <w:rFonts w:ascii="Arial" w:hAnsi="Arial" w:cs="Arial"/>
                <w:sz w:val="20"/>
                <w:szCs w:val="20"/>
              </w:rPr>
            </w:pPr>
          </w:p>
          <w:p w14:paraId="5B99B885" w14:textId="77777777" w:rsidR="00506E29" w:rsidRPr="003550F0" w:rsidRDefault="00506E29" w:rsidP="003550F0">
            <w:pPr>
              <w:jc w:val="both"/>
              <w:rPr>
                <w:rFonts w:ascii="Arial" w:hAnsi="Arial" w:cs="Arial"/>
                <w:sz w:val="20"/>
                <w:szCs w:val="20"/>
              </w:rPr>
            </w:pPr>
          </w:p>
          <w:p w14:paraId="3348AC85" w14:textId="77777777" w:rsidR="00506E29" w:rsidRPr="003550F0" w:rsidRDefault="00506E29" w:rsidP="003550F0">
            <w:pPr>
              <w:jc w:val="both"/>
              <w:rPr>
                <w:rFonts w:ascii="Arial" w:hAnsi="Arial" w:cs="Arial"/>
                <w:sz w:val="20"/>
                <w:szCs w:val="20"/>
              </w:rPr>
            </w:pPr>
          </w:p>
          <w:p w14:paraId="060F3AD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20.47%</w:t>
            </w:r>
          </w:p>
        </w:tc>
        <w:tc>
          <w:tcPr>
            <w:tcW w:w="1170" w:type="dxa"/>
            <w:vMerge w:val="restart"/>
          </w:tcPr>
          <w:p w14:paraId="1152143E" w14:textId="77777777" w:rsidR="00506E29" w:rsidRPr="003550F0" w:rsidRDefault="00506E29" w:rsidP="003550F0">
            <w:pPr>
              <w:jc w:val="both"/>
              <w:rPr>
                <w:rFonts w:ascii="Arial" w:hAnsi="Arial" w:cs="Arial"/>
                <w:sz w:val="20"/>
                <w:szCs w:val="20"/>
              </w:rPr>
            </w:pPr>
          </w:p>
          <w:p w14:paraId="14DF4DD7" w14:textId="77777777" w:rsidR="00506E29" w:rsidRDefault="00506E29" w:rsidP="003550F0">
            <w:pPr>
              <w:jc w:val="both"/>
              <w:rPr>
                <w:rFonts w:ascii="Arial" w:hAnsi="Arial" w:cs="Arial"/>
                <w:sz w:val="20"/>
                <w:szCs w:val="20"/>
              </w:rPr>
            </w:pPr>
          </w:p>
          <w:p w14:paraId="7DD8776B" w14:textId="77777777" w:rsidR="00E308A6" w:rsidRDefault="00E308A6" w:rsidP="003550F0">
            <w:pPr>
              <w:jc w:val="both"/>
              <w:rPr>
                <w:rFonts w:ascii="Arial" w:hAnsi="Arial" w:cs="Arial"/>
                <w:sz w:val="20"/>
                <w:szCs w:val="20"/>
              </w:rPr>
            </w:pPr>
          </w:p>
          <w:p w14:paraId="2A806D23" w14:textId="77777777" w:rsidR="00E308A6" w:rsidRPr="003550F0" w:rsidRDefault="00E308A6" w:rsidP="003550F0">
            <w:pPr>
              <w:jc w:val="both"/>
              <w:rPr>
                <w:rFonts w:ascii="Arial" w:hAnsi="Arial" w:cs="Arial"/>
                <w:sz w:val="20"/>
                <w:szCs w:val="20"/>
              </w:rPr>
            </w:pPr>
          </w:p>
          <w:p w14:paraId="55B9F73D" w14:textId="77777777" w:rsidR="00506E29" w:rsidRPr="003550F0" w:rsidRDefault="00506E29" w:rsidP="003550F0">
            <w:pPr>
              <w:jc w:val="both"/>
              <w:rPr>
                <w:rFonts w:ascii="Arial" w:hAnsi="Arial" w:cs="Arial"/>
                <w:sz w:val="20"/>
                <w:szCs w:val="20"/>
              </w:rPr>
            </w:pPr>
          </w:p>
          <w:p w14:paraId="5A4EB99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Abroad</w:t>
            </w:r>
          </w:p>
        </w:tc>
        <w:tc>
          <w:tcPr>
            <w:tcW w:w="1620" w:type="dxa"/>
            <w:tcBorders>
              <w:bottom w:val="nil"/>
            </w:tcBorders>
          </w:tcPr>
          <w:p w14:paraId="193305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556C1D0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08</w:t>
            </w:r>
          </w:p>
        </w:tc>
      </w:tr>
      <w:tr w:rsidR="00506E29" w:rsidRPr="003550F0" w14:paraId="01F31AE5" w14:textId="77777777" w:rsidTr="00020A3D">
        <w:tc>
          <w:tcPr>
            <w:tcW w:w="1572" w:type="dxa"/>
            <w:tcBorders>
              <w:top w:val="nil"/>
              <w:bottom w:val="nil"/>
            </w:tcBorders>
          </w:tcPr>
          <w:p w14:paraId="5C0F12A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494B514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06</w:t>
            </w:r>
          </w:p>
        </w:tc>
        <w:tc>
          <w:tcPr>
            <w:tcW w:w="1261" w:type="dxa"/>
            <w:gridSpan w:val="2"/>
            <w:tcBorders>
              <w:top w:val="nil"/>
              <w:bottom w:val="nil"/>
            </w:tcBorders>
          </w:tcPr>
          <w:p w14:paraId="69791A7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65F9C1CA" w14:textId="77777777" w:rsidR="00506E29" w:rsidRPr="003550F0" w:rsidRDefault="00506E29" w:rsidP="003550F0">
            <w:pPr>
              <w:jc w:val="both"/>
              <w:rPr>
                <w:rFonts w:ascii="Arial" w:hAnsi="Arial" w:cs="Arial"/>
                <w:sz w:val="20"/>
                <w:szCs w:val="20"/>
              </w:rPr>
            </w:pPr>
          </w:p>
        </w:tc>
        <w:tc>
          <w:tcPr>
            <w:tcW w:w="1170" w:type="dxa"/>
            <w:vMerge/>
          </w:tcPr>
          <w:p w14:paraId="398C4BCF"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6450D7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3222F3E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09 (Mode)</w:t>
            </w:r>
          </w:p>
        </w:tc>
      </w:tr>
      <w:tr w:rsidR="00506E29" w:rsidRPr="003550F0" w14:paraId="550AD10F" w14:textId="77777777" w:rsidTr="00020A3D">
        <w:tc>
          <w:tcPr>
            <w:tcW w:w="1572" w:type="dxa"/>
            <w:tcBorders>
              <w:top w:val="nil"/>
              <w:bottom w:val="nil"/>
            </w:tcBorders>
          </w:tcPr>
          <w:p w14:paraId="665B64F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5B3DEE5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 (Mode)</w:t>
            </w:r>
          </w:p>
        </w:tc>
        <w:tc>
          <w:tcPr>
            <w:tcW w:w="1261" w:type="dxa"/>
            <w:gridSpan w:val="2"/>
            <w:tcBorders>
              <w:top w:val="nil"/>
              <w:bottom w:val="nil"/>
            </w:tcBorders>
          </w:tcPr>
          <w:p w14:paraId="71EC70F0" w14:textId="77777777" w:rsidR="00506E29" w:rsidRPr="003550F0" w:rsidRDefault="00506E29" w:rsidP="003550F0">
            <w:pPr>
              <w:jc w:val="both"/>
              <w:rPr>
                <w:rFonts w:ascii="Arial" w:hAnsi="Arial" w:cs="Arial"/>
                <w:sz w:val="20"/>
                <w:szCs w:val="20"/>
              </w:rPr>
            </w:pPr>
          </w:p>
        </w:tc>
        <w:tc>
          <w:tcPr>
            <w:tcW w:w="1172" w:type="dxa"/>
            <w:vMerge/>
          </w:tcPr>
          <w:p w14:paraId="16B5AD63" w14:textId="77777777" w:rsidR="00506E29" w:rsidRPr="003550F0" w:rsidRDefault="00506E29" w:rsidP="003550F0">
            <w:pPr>
              <w:jc w:val="both"/>
              <w:rPr>
                <w:rFonts w:ascii="Arial" w:hAnsi="Arial" w:cs="Arial"/>
                <w:sz w:val="20"/>
                <w:szCs w:val="20"/>
              </w:rPr>
            </w:pPr>
          </w:p>
        </w:tc>
        <w:tc>
          <w:tcPr>
            <w:tcW w:w="1170" w:type="dxa"/>
            <w:vMerge/>
          </w:tcPr>
          <w:p w14:paraId="52C96EBA"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4A9C58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500B1A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04</w:t>
            </w:r>
          </w:p>
        </w:tc>
      </w:tr>
      <w:tr w:rsidR="00506E29" w:rsidRPr="003550F0" w14:paraId="49463875" w14:textId="77777777" w:rsidTr="00020A3D">
        <w:tc>
          <w:tcPr>
            <w:tcW w:w="1572" w:type="dxa"/>
            <w:tcBorders>
              <w:top w:val="nil"/>
              <w:bottom w:val="nil"/>
            </w:tcBorders>
          </w:tcPr>
          <w:p w14:paraId="1B031C7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6167F04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6B798E9C" w14:textId="77777777" w:rsidR="00506E29" w:rsidRPr="003550F0" w:rsidRDefault="00506E29" w:rsidP="003550F0">
            <w:pPr>
              <w:jc w:val="both"/>
              <w:rPr>
                <w:rFonts w:ascii="Arial" w:hAnsi="Arial" w:cs="Arial"/>
                <w:sz w:val="20"/>
                <w:szCs w:val="20"/>
              </w:rPr>
            </w:pPr>
          </w:p>
        </w:tc>
        <w:tc>
          <w:tcPr>
            <w:tcW w:w="1172" w:type="dxa"/>
            <w:vMerge/>
          </w:tcPr>
          <w:p w14:paraId="3160E711" w14:textId="77777777" w:rsidR="00506E29" w:rsidRPr="003550F0" w:rsidRDefault="00506E29" w:rsidP="003550F0">
            <w:pPr>
              <w:jc w:val="both"/>
              <w:rPr>
                <w:rFonts w:ascii="Arial" w:hAnsi="Arial" w:cs="Arial"/>
                <w:sz w:val="20"/>
                <w:szCs w:val="20"/>
              </w:rPr>
            </w:pPr>
          </w:p>
        </w:tc>
        <w:tc>
          <w:tcPr>
            <w:tcW w:w="1170" w:type="dxa"/>
            <w:vMerge/>
          </w:tcPr>
          <w:p w14:paraId="6D8D3C55"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5E507BD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50AAF35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r>
      <w:tr w:rsidR="00506E29" w:rsidRPr="003550F0" w14:paraId="12798251" w14:textId="77777777" w:rsidTr="00020A3D">
        <w:tc>
          <w:tcPr>
            <w:tcW w:w="1572" w:type="dxa"/>
            <w:tcBorders>
              <w:top w:val="nil"/>
              <w:bottom w:val="nil"/>
            </w:tcBorders>
          </w:tcPr>
          <w:p w14:paraId="25F0B0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1DBF63F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07</w:t>
            </w:r>
          </w:p>
        </w:tc>
        <w:tc>
          <w:tcPr>
            <w:tcW w:w="1261" w:type="dxa"/>
            <w:gridSpan w:val="2"/>
            <w:tcBorders>
              <w:top w:val="nil"/>
              <w:bottom w:val="nil"/>
            </w:tcBorders>
          </w:tcPr>
          <w:p w14:paraId="5269B5BE" w14:textId="77777777" w:rsidR="00506E29" w:rsidRPr="003550F0" w:rsidRDefault="00506E29" w:rsidP="003550F0">
            <w:pPr>
              <w:jc w:val="both"/>
              <w:rPr>
                <w:rFonts w:ascii="Arial" w:hAnsi="Arial" w:cs="Arial"/>
                <w:sz w:val="20"/>
                <w:szCs w:val="20"/>
              </w:rPr>
            </w:pPr>
          </w:p>
        </w:tc>
        <w:tc>
          <w:tcPr>
            <w:tcW w:w="1172" w:type="dxa"/>
            <w:vMerge/>
          </w:tcPr>
          <w:p w14:paraId="3C6E25C5" w14:textId="77777777" w:rsidR="00506E29" w:rsidRPr="003550F0" w:rsidRDefault="00506E29" w:rsidP="003550F0">
            <w:pPr>
              <w:jc w:val="both"/>
              <w:rPr>
                <w:rFonts w:ascii="Arial" w:hAnsi="Arial" w:cs="Arial"/>
                <w:sz w:val="20"/>
                <w:szCs w:val="20"/>
              </w:rPr>
            </w:pPr>
          </w:p>
        </w:tc>
        <w:tc>
          <w:tcPr>
            <w:tcW w:w="1170" w:type="dxa"/>
            <w:vMerge/>
          </w:tcPr>
          <w:p w14:paraId="68ABD80C"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38C2A4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533E276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08</w:t>
            </w:r>
          </w:p>
        </w:tc>
      </w:tr>
      <w:tr w:rsidR="00020A3D" w:rsidRPr="003550F0" w14:paraId="7C5910BE" w14:textId="77777777" w:rsidTr="00020A3D">
        <w:trPr>
          <w:trHeight w:val="330"/>
        </w:trPr>
        <w:tc>
          <w:tcPr>
            <w:tcW w:w="1572" w:type="dxa"/>
            <w:vMerge w:val="restart"/>
            <w:tcBorders>
              <w:top w:val="nil"/>
            </w:tcBorders>
          </w:tcPr>
          <w:p w14:paraId="5A891B3E"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58E6EDBE"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00</w:t>
            </w:r>
          </w:p>
        </w:tc>
        <w:tc>
          <w:tcPr>
            <w:tcW w:w="1261" w:type="dxa"/>
            <w:gridSpan w:val="2"/>
            <w:vMerge w:val="restart"/>
            <w:tcBorders>
              <w:top w:val="nil"/>
            </w:tcBorders>
          </w:tcPr>
          <w:p w14:paraId="2E3B7228"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39974418" w14:textId="77777777" w:rsidR="00020A3D" w:rsidRPr="003550F0" w:rsidRDefault="00020A3D" w:rsidP="003550F0">
            <w:pPr>
              <w:jc w:val="both"/>
              <w:rPr>
                <w:rFonts w:ascii="Arial" w:hAnsi="Arial" w:cs="Arial"/>
                <w:sz w:val="20"/>
                <w:szCs w:val="20"/>
              </w:rPr>
            </w:pPr>
          </w:p>
        </w:tc>
        <w:tc>
          <w:tcPr>
            <w:tcW w:w="1170" w:type="dxa"/>
            <w:vMerge/>
          </w:tcPr>
          <w:p w14:paraId="7B1C2535"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01CC4FF4"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1623F41F"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03</w:t>
            </w:r>
          </w:p>
        </w:tc>
      </w:tr>
      <w:tr w:rsidR="00020A3D" w:rsidRPr="003550F0" w14:paraId="2F1CEB34" w14:textId="77777777" w:rsidTr="00020A3D">
        <w:trPr>
          <w:trHeight w:val="293"/>
        </w:trPr>
        <w:tc>
          <w:tcPr>
            <w:tcW w:w="1572" w:type="dxa"/>
            <w:vMerge/>
          </w:tcPr>
          <w:p w14:paraId="6B649471" w14:textId="77777777" w:rsidR="00020A3D" w:rsidRPr="003550F0" w:rsidRDefault="00020A3D" w:rsidP="003550F0">
            <w:pPr>
              <w:jc w:val="both"/>
              <w:rPr>
                <w:rFonts w:ascii="Arial" w:hAnsi="Arial" w:cs="Arial"/>
                <w:sz w:val="20"/>
                <w:szCs w:val="20"/>
              </w:rPr>
            </w:pPr>
          </w:p>
        </w:tc>
        <w:tc>
          <w:tcPr>
            <w:tcW w:w="1215" w:type="dxa"/>
            <w:vMerge/>
          </w:tcPr>
          <w:p w14:paraId="0C9FB5A7" w14:textId="77777777" w:rsidR="00020A3D" w:rsidRPr="003550F0" w:rsidRDefault="00020A3D" w:rsidP="003550F0">
            <w:pPr>
              <w:jc w:val="both"/>
              <w:rPr>
                <w:rFonts w:ascii="Arial" w:hAnsi="Arial" w:cs="Arial"/>
                <w:sz w:val="20"/>
                <w:szCs w:val="20"/>
              </w:rPr>
            </w:pPr>
          </w:p>
        </w:tc>
        <w:tc>
          <w:tcPr>
            <w:tcW w:w="1261" w:type="dxa"/>
            <w:gridSpan w:val="2"/>
            <w:vMerge/>
          </w:tcPr>
          <w:p w14:paraId="66089238" w14:textId="77777777" w:rsidR="00020A3D" w:rsidRPr="003550F0" w:rsidRDefault="00020A3D" w:rsidP="003550F0">
            <w:pPr>
              <w:jc w:val="both"/>
              <w:rPr>
                <w:rFonts w:ascii="Arial" w:hAnsi="Arial" w:cs="Arial"/>
                <w:sz w:val="20"/>
                <w:szCs w:val="20"/>
              </w:rPr>
            </w:pPr>
          </w:p>
        </w:tc>
        <w:tc>
          <w:tcPr>
            <w:tcW w:w="1172" w:type="dxa"/>
            <w:vMerge/>
          </w:tcPr>
          <w:p w14:paraId="71DE6447" w14:textId="77777777" w:rsidR="00020A3D" w:rsidRPr="003550F0" w:rsidRDefault="00020A3D" w:rsidP="003550F0">
            <w:pPr>
              <w:jc w:val="both"/>
              <w:rPr>
                <w:rFonts w:ascii="Arial" w:hAnsi="Arial" w:cs="Arial"/>
                <w:sz w:val="20"/>
                <w:szCs w:val="20"/>
              </w:rPr>
            </w:pPr>
          </w:p>
        </w:tc>
        <w:tc>
          <w:tcPr>
            <w:tcW w:w="1170" w:type="dxa"/>
            <w:vMerge/>
          </w:tcPr>
          <w:p w14:paraId="7BB9F43F"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27DC09DA" w14:textId="33C874FF" w:rsidR="00020A3D" w:rsidRPr="003550F0" w:rsidRDefault="00020A3D"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3F72B880" w14:textId="3F950636" w:rsidR="00020A3D" w:rsidRPr="003550F0" w:rsidRDefault="00020A3D" w:rsidP="003550F0">
            <w:pPr>
              <w:jc w:val="both"/>
              <w:rPr>
                <w:rFonts w:ascii="Arial" w:hAnsi="Arial" w:cs="Arial"/>
                <w:sz w:val="20"/>
                <w:szCs w:val="20"/>
              </w:rPr>
            </w:pPr>
            <w:r>
              <w:rPr>
                <w:rFonts w:ascii="Arial" w:hAnsi="Arial" w:cs="Arial"/>
                <w:sz w:val="20"/>
                <w:szCs w:val="20"/>
              </w:rPr>
              <w:t>02</w:t>
            </w:r>
          </w:p>
        </w:tc>
      </w:tr>
      <w:tr w:rsidR="00506E29" w:rsidRPr="003550F0" w14:paraId="3A18D1F7" w14:textId="77777777" w:rsidTr="00020A3D">
        <w:tc>
          <w:tcPr>
            <w:tcW w:w="1572" w:type="dxa"/>
            <w:vMerge w:val="restart"/>
          </w:tcPr>
          <w:p w14:paraId="7FE444CD" w14:textId="77777777" w:rsidR="00506E29" w:rsidRPr="003550F0" w:rsidRDefault="00506E29" w:rsidP="003550F0">
            <w:pPr>
              <w:jc w:val="both"/>
              <w:rPr>
                <w:rFonts w:ascii="Arial" w:hAnsi="Arial" w:cs="Arial"/>
                <w:sz w:val="20"/>
                <w:szCs w:val="20"/>
              </w:rPr>
            </w:pPr>
          </w:p>
        </w:tc>
        <w:tc>
          <w:tcPr>
            <w:tcW w:w="1215" w:type="dxa"/>
          </w:tcPr>
          <w:p w14:paraId="73306F5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33</w:t>
            </w:r>
          </w:p>
          <w:p w14:paraId="242D75F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(21.57%)</w:t>
            </w:r>
          </w:p>
        </w:tc>
        <w:tc>
          <w:tcPr>
            <w:tcW w:w="1261" w:type="dxa"/>
            <w:gridSpan w:val="2"/>
          </w:tcPr>
          <w:p w14:paraId="7F125DB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02</w:t>
            </w:r>
          </w:p>
          <w:p w14:paraId="7EA2140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(11.11%)</w:t>
            </w:r>
          </w:p>
        </w:tc>
        <w:tc>
          <w:tcPr>
            <w:tcW w:w="1172" w:type="dxa"/>
            <w:vMerge/>
          </w:tcPr>
          <w:p w14:paraId="2AE7A677" w14:textId="77777777" w:rsidR="00506E29" w:rsidRPr="003550F0" w:rsidRDefault="00506E29" w:rsidP="003550F0">
            <w:pPr>
              <w:jc w:val="both"/>
              <w:rPr>
                <w:rFonts w:ascii="Arial" w:hAnsi="Arial" w:cs="Arial"/>
                <w:sz w:val="20"/>
                <w:szCs w:val="20"/>
              </w:rPr>
            </w:pPr>
          </w:p>
        </w:tc>
        <w:tc>
          <w:tcPr>
            <w:tcW w:w="1170" w:type="dxa"/>
            <w:vMerge/>
          </w:tcPr>
          <w:p w14:paraId="13E9ED30" w14:textId="77777777" w:rsidR="00506E29" w:rsidRPr="003550F0" w:rsidRDefault="00506E29" w:rsidP="003550F0">
            <w:pPr>
              <w:jc w:val="both"/>
              <w:rPr>
                <w:rFonts w:ascii="Arial" w:hAnsi="Arial" w:cs="Arial"/>
                <w:sz w:val="20"/>
                <w:szCs w:val="20"/>
              </w:rPr>
            </w:pPr>
          </w:p>
        </w:tc>
        <w:tc>
          <w:tcPr>
            <w:tcW w:w="1620" w:type="dxa"/>
            <w:tcBorders>
              <w:top w:val="nil"/>
            </w:tcBorders>
          </w:tcPr>
          <w:p w14:paraId="103D08A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1080D93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A97470" w:rsidRPr="003550F0" w14:paraId="4D0157CA" w14:textId="77777777" w:rsidTr="000A248F">
        <w:tc>
          <w:tcPr>
            <w:tcW w:w="1572" w:type="dxa"/>
            <w:vMerge/>
            <w:tcBorders>
              <w:bottom w:val="single" w:sz="4" w:space="0" w:color="auto"/>
            </w:tcBorders>
          </w:tcPr>
          <w:p w14:paraId="653BCE2A" w14:textId="77777777" w:rsidR="00A97470" w:rsidRPr="003550F0" w:rsidRDefault="00A97470" w:rsidP="003550F0">
            <w:pPr>
              <w:jc w:val="both"/>
              <w:rPr>
                <w:rFonts w:ascii="Arial" w:hAnsi="Arial" w:cs="Arial"/>
                <w:sz w:val="20"/>
                <w:szCs w:val="20"/>
              </w:rPr>
            </w:pPr>
          </w:p>
        </w:tc>
        <w:tc>
          <w:tcPr>
            <w:tcW w:w="2476" w:type="dxa"/>
            <w:gridSpan w:val="3"/>
          </w:tcPr>
          <w:p w14:paraId="42610E81"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35</w:t>
            </w:r>
          </w:p>
        </w:tc>
        <w:tc>
          <w:tcPr>
            <w:tcW w:w="1172" w:type="dxa"/>
            <w:vMerge/>
          </w:tcPr>
          <w:p w14:paraId="20763E43" w14:textId="77777777" w:rsidR="00A97470" w:rsidRPr="003550F0" w:rsidRDefault="00A97470" w:rsidP="003550F0">
            <w:pPr>
              <w:jc w:val="both"/>
              <w:rPr>
                <w:rFonts w:ascii="Arial" w:hAnsi="Arial" w:cs="Arial"/>
                <w:sz w:val="20"/>
                <w:szCs w:val="20"/>
              </w:rPr>
            </w:pPr>
          </w:p>
        </w:tc>
        <w:tc>
          <w:tcPr>
            <w:tcW w:w="1170" w:type="dxa"/>
            <w:vMerge/>
          </w:tcPr>
          <w:p w14:paraId="733F4A2F" w14:textId="77777777" w:rsidR="00A97470" w:rsidRPr="003550F0" w:rsidRDefault="00A97470" w:rsidP="003550F0">
            <w:pPr>
              <w:jc w:val="both"/>
              <w:rPr>
                <w:rFonts w:ascii="Arial" w:hAnsi="Arial" w:cs="Arial"/>
                <w:sz w:val="20"/>
                <w:szCs w:val="20"/>
              </w:rPr>
            </w:pPr>
          </w:p>
        </w:tc>
        <w:tc>
          <w:tcPr>
            <w:tcW w:w="3150" w:type="dxa"/>
            <w:gridSpan w:val="2"/>
          </w:tcPr>
          <w:p w14:paraId="52E241C0" w14:textId="77777777" w:rsidR="00A97470" w:rsidRPr="003550F0" w:rsidRDefault="00A97470" w:rsidP="00A97470">
            <w:pPr>
              <w:jc w:val="center"/>
              <w:rPr>
                <w:rFonts w:ascii="Arial" w:hAnsi="Arial" w:cs="Arial"/>
                <w:sz w:val="20"/>
                <w:szCs w:val="20"/>
              </w:rPr>
            </w:pPr>
            <w:r w:rsidRPr="00020A3D">
              <w:rPr>
                <w:rFonts w:ascii="Arial" w:hAnsi="Arial" w:cs="Arial"/>
                <w:sz w:val="20"/>
                <w:szCs w:val="20"/>
              </w:rPr>
              <w:t>Total = 35</w:t>
            </w:r>
          </w:p>
        </w:tc>
      </w:tr>
      <w:tr w:rsidR="00506E29" w:rsidRPr="003550F0" w14:paraId="47E8115F" w14:textId="77777777" w:rsidTr="000A248F">
        <w:tc>
          <w:tcPr>
            <w:tcW w:w="1572" w:type="dxa"/>
            <w:tcBorders>
              <w:bottom w:val="nil"/>
            </w:tcBorders>
          </w:tcPr>
          <w:p w14:paraId="4791AF9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3B09C0B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bottom w:val="nil"/>
            </w:tcBorders>
          </w:tcPr>
          <w:p w14:paraId="00341C28" w14:textId="77777777" w:rsidR="00506E29" w:rsidRPr="003550F0" w:rsidRDefault="00506E29" w:rsidP="003550F0">
            <w:pPr>
              <w:jc w:val="both"/>
              <w:rPr>
                <w:rFonts w:ascii="Arial" w:hAnsi="Arial" w:cs="Arial"/>
                <w:sz w:val="20"/>
                <w:szCs w:val="20"/>
              </w:rPr>
            </w:pPr>
          </w:p>
        </w:tc>
        <w:tc>
          <w:tcPr>
            <w:tcW w:w="1172" w:type="dxa"/>
            <w:vMerge w:val="restart"/>
          </w:tcPr>
          <w:p w14:paraId="6A28E9EB" w14:textId="77777777" w:rsidR="00506E29" w:rsidRPr="003550F0" w:rsidRDefault="00506E29" w:rsidP="003550F0">
            <w:pPr>
              <w:jc w:val="both"/>
              <w:rPr>
                <w:rFonts w:ascii="Arial" w:hAnsi="Arial" w:cs="Arial"/>
                <w:sz w:val="20"/>
                <w:szCs w:val="20"/>
              </w:rPr>
            </w:pPr>
          </w:p>
          <w:p w14:paraId="3EA2CFD6" w14:textId="77777777" w:rsidR="00506E29" w:rsidRPr="003550F0" w:rsidRDefault="00506E29" w:rsidP="003550F0">
            <w:pPr>
              <w:jc w:val="both"/>
              <w:rPr>
                <w:rFonts w:ascii="Arial" w:hAnsi="Arial" w:cs="Arial"/>
                <w:sz w:val="20"/>
                <w:szCs w:val="20"/>
              </w:rPr>
            </w:pPr>
          </w:p>
          <w:p w14:paraId="070C2973" w14:textId="77777777" w:rsidR="00506E29" w:rsidRPr="003550F0" w:rsidRDefault="00506E29" w:rsidP="003550F0">
            <w:pPr>
              <w:jc w:val="both"/>
              <w:rPr>
                <w:rFonts w:ascii="Arial" w:hAnsi="Arial" w:cs="Arial"/>
                <w:sz w:val="20"/>
                <w:szCs w:val="20"/>
              </w:rPr>
            </w:pPr>
          </w:p>
          <w:p w14:paraId="789ED90C" w14:textId="77777777" w:rsidR="00506E29" w:rsidRPr="003550F0" w:rsidRDefault="00506E29" w:rsidP="003550F0">
            <w:pPr>
              <w:jc w:val="both"/>
              <w:rPr>
                <w:rFonts w:ascii="Arial" w:hAnsi="Arial" w:cs="Arial"/>
                <w:sz w:val="20"/>
                <w:szCs w:val="20"/>
              </w:rPr>
            </w:pPr>
          </w:p>
          <w:p w14:paraId="00F98B0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2.92%</w:t>
            </w:r>
          </w:p>
        </w:tc>
        <w:tc>
          <w:tcPr>
            <w:tcW w:w="1170" w:type="dxa"/>
            <w:vMerge w:val="restart"/>
          </w:tcPr>
          <w:p w14:paraId="0056AA11" w14:textId="77777777" w:rsidR="00506E29" w:rsidRPr="003550F0" w:rsidRDefault="00506E29" w:rsidP="003550F0">
            <w:pPr>
              <w:jc w:val="both"/>
              <w:rPr>
                <w:rFonts w:ascii="Arial" w:hAnsi="Arial" w:cs="Arial"/>
                <w:sz w:val="20"/>
                <w:szCs w:val="20"/>
              </w:rPr>
            </w:pPr>
          </w:p>
          <w:p w14:paraId="17C6F598" w14:textId="77777777" w:rsidR="00506E29" w:rsidRPr="003550F0" w:rsidRDefault="00506E29" w:rsidP="003550F0">
            <w:pPr>
              <w:jc w:val="both"/>
              <w:rPr>
                <w:rFonts w:ascii="Arial" w:hAnsi="Arial" w:cs="Arial"/>
                <w:sz w:val="20"/>
                <w:szCs w:val="20"/>
              </w:rPr>
            </w:pPr>
          </w:p>
          <w:p w14:paraId="46C875A9" w14:textId="77777777" w:rsidR="00506E29" w:rsidRPr="003550F0" w:rsidRDefault="00506E29" w:rsidP="003550F0">
            <w:pPr>
              <w:jc w:val="both"/>
              <w:rPr>
                <w:rFonts w:ascii="Arial" w:hAnsi="Arial" w:cs="Arial"/>
                <w:sz w:val="20"/>
                <w:szCs w:val="20"/>
              </w:rPr>
            </w:pPr>
          </w:p>
          <w:p w14:paraId="1356B3A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Private job holder</w:t>
            </w:r>
          </w:p>
        </w:tc>
        <w:tc>
          <w:tcPr>
            <w:tcW w:w="1620" w:type="dxa"/>
            <w:tcBorders>
              <w:bottom w:val="nil"/>
            </w:tcBorders>
          </w:tcPr>
          <w:p w14:paraId="0035FC2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32176E1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4D781D9F" w14:textId="77777777" w:rsidTr="000A248F">
        <w:tc>
          <w:tcPr>
            <w:tcW w:w="1572" w:type="dxa"/>
            <w:tcBorders>
              <w:top w:val="nil"/>
              <w:bottom w:val="nil"/>
            </w:tcBorders>
          </w:tcPr>
          <w:p w14:paraId="2CEF52A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74420AF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24AC423C" w14:textId="77777777" w:rsidR="00506E29" w:rsidRPr="003550F0" w:rsidRDefault="00506E29" w:rsidP="003550F0">
            <w:pPr>
              <w:jc w:val="both"/>
              <w:rPr>
                <w:rFonts w:ascii="Arial" w:hAnsi="Arial" w:cs="Arial"/>
                <w:sz w:val="20"/>
                <w:szCs w:val="20"/>
              </w:rPr>
            </w:pPr>
          </w:p>
        </w:tc>
        <w:tc>
          <w:tcPr>
            <w:tcW w:w="1172" w:type="dxa"/>
            <w:vMerge/>
          </w:tcPr>
          <w:p w14:paraId="7F75C5CB" w14:textId="77777777" w:rsidR="00506E29" w:rsidRPr="003550F0" w:rsidRDefault="00506E29" w:rsidP="003550F0">
            <w:pPr>
              <w:jc w:val="both"/>
              <w:rPr>
                <w:rFonts w:ascii="Arial" w:hAnsi="Arial" w:cs="Arial"/>
                <w:sz w:val="20"/>
                <w:szCs w:val="20"/>
              </w:rPr>
            </w:pPr>
          </w:p>
        </w:tc>
        <w:tc>
          <w:tcPr>
            <w:tcW w:w="1170" w:type="dxa"/>
            <w:vMerge/>
          </w:tcPr>
          <w:p w14:paraId="64320051"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D43222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43812BB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474D9258" w14:textId="77777777" w:rsidTr="000A248F">
        <w:tc>
          <w:tcPr>
            <w:tcW w:w="1572" w:type="dxa"/>
            <w:tcBorders>
              <w:top w:val="nil"/>
              <w:bottom w:val="nil"/>
            </w:tcBorders>
          </w:tcPr>
          <w:p w14:paraId="1415316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0C162C8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49B79355" w14:textId="77777777" w:rsidR="00506E29" w:rsidRPr="003550F0" w:rsidRDefault="00506E29" w:rsidP="003550F0">
            <w:pPr>
              <w:jc w:val="both"/>
              <w:rPr>
                <w:rFonts w:ascii="Arial" w:hAnsi="Arial" w:cs="Arial"/>
                <w:sz w:val="20"/>
                <w:szCs w:val="20"/>
              </w:rPr>
            </w:pPr>
          </w:p>
        </w:tc>
        <w:tc>
          <w:tcPr>
            <w:tcW w:w="1172" w:type="dxa"/>
            <w:vMerge/>
          </w:tcPr>
          <w:p w14:paraId="229BFE9F" w14:textId="77777777" w:rsidR="00506E29" w:rsidRPr="003550F0" w:rsidRDefault="00506E29" w:rsidP="003550F0">
            <w:pPr>
              <w:jc w:val="both"/>
              <w:rPr>
                <w:rFonts w:ascii="Arial" w:hAnsi="Arial" w:cs="Arial"/>
                <w:sz w:val="20"/>
                <w:szCs w:val="20"/>
              </w:rPr>
            </w:pPr>
          </w:p>
        </w:tc>
        <w:tc>
          <w:tcPr>
            <w:tcW w:w="1170" w:type="dxa"/>
            <w:vMerge/>
          </w:tcPr>
          <w:p w14:paraId="5583CBF6"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3C34910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47ACB2A0" w14:textId="77777777" w:rsidR="00506E29" w:rsidRPr="003550F0" w:rsidRDefault="00506E29" w:rsidP="003550F0">
            <w:pPr>
              <w:jc w:val="both"/>
              <w:rPr>
                <w:rFonts w:ascii="Arial" w:hAnsi="Arial" w:cs="Arial"/>
                <w:sz w:val="20"/>
                <w:szCs w:val="20"/>
              </w:rPr>
            </w:pPr>
          </w:p>
        </w:tc>
      </w:tr>
      <w:tr w:rsidR="00506E29" w:rsidRPr="003550F0" w14:paraId="3007D9D8" w14:textId="77777777" w:rsidTr="000A248F">
        <w:tc>
          <w:tcPr>
            <w:tcW w:w="1572" w:type="dxa"/>
            <w:tcBorders>
              <w:top w:val="nil"/>
              <w:bottom w:val="nil"/>
            </w:tcBorders>
          </w:tcPr>
          <w:p w14:paraId="05F41B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00C5511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2CC3E094" w14:textId="77777777" w:rsidR="00506E29" w:rsidRPr="003550F0" w:rsidRDefault="00506E29" w:rsidP="003550F0">
            <w:pPr>
              <w:jc w:val="both"/>
              <w:rPr>
                <w:rFonts w:ascii="Arial" w:hAnsi="Arial" w:cs="Arial"/>
                <w:sz w:val="20"/>
                <w:szCs w:val="20"/>
              </w:rPr>
            </w:pPr>
          </w:p>
        </w:tc>
        <w:tc>
          <w:tcPr>
            <w:tcW w:w="1172" w:type="dxa"/>
            <w:vMerge/>
          </w:tcPr>
          <w:p w14:paraId="718B5AB7" w14:textId="77777777" w:rsidR="00506E29" w:rsidRPr="003550F0" w:rsidRDefault="00506E29" w:rsidP="003550F0">
            <w:pPr>
              <w:jc w:val="both"/>
              <w:rPr>
                <w:rFonts w:ascii="Arial" w:hAnsi="Arial" w:cs="Arial"/>
                <w:sz w:val="20"/>
                <w:szCs w:val="20"/>
              </w:rPr>
            </w:pPr>
          </w:p>
        </w:tc>
        <w:tc>
          <w:tcPr>
            <w:tcW w:w="1170" w:type="dxa"/>
            <w:vMerge/>
          </w:tcPr>
          <w:p w14:paraId="0A2418BB"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5D56B9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078C64E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6F8B3B4B" w14:textId="77777777" w:rsidTr="000A248F">
        <w:tc>
          <w:tcPr>
            <w:tcW w:w="1572" w:type="dxa"/>
            <w:tcBorders>
              <w:top w:val="nil"/>
              <w:bottom w:val="nil"/>
            </w:tcBorders>
          </w:tcPr>
          <w:p w14:paraId="383D0AD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18D585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5274AC82" w14:textId="77777777" w:rsidR="00506E29" w:rsidRPr="003550F0" w:rsidRDefault="00506E29" w:rsidP="003550F0">
            <w:pPr>
              <w:jc w:val="both"/>
              <w:rPr>
                <w:rFonts w:ascii="Arial" w:hAnsi="Arial" w:cs="Arial"/>
                <w:sz w:val="20"/>
                <w:szCs w:val="20"/>
              </w:rPr>
            </w:pPr>
          </w:p>
        </w:tc>
        <w:tc>
          <w:tcPr>
            <w:tcW w:w="1172" w:type="dxa"/>
            <w:vMerge/>
          </w:tcPr>
          <w:p w14:paraId="610ADF73" w14:textId="77777777" w:rsidR="00506E29" w:rsidRPr="003550F0" w:rsidRDefault="00506E29" w:rsidP="003550F0">
            <w:pPr>
              <w:jc w:val="both"/>
              <w:rPr>
                <w:rFonts w:ascii="Arial" w:hAnsi="Arial" w:cs="Arial"/>
                <w:sz w:val="20"/>
                <w:szCs w:val="20"/>
              </w:rPr>
            </w:pPr>
          </w:p>
        </w:tc>
        <w:tc>
          <w:tcPr>
            <w:tcW w:w="1170" w:type="dxa"/>
            <w:vMerge/>
          </w:tcPr>
          <w:p w14:paraId="792B3204"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92AAB3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44F7BFF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3B77C5FB" w14:textId="77777777" w:rsidTr="000A248F">
        <w:tc>
          <w:tcPr>
            <w:tcW w:w="1572" w:type="dxa"/>
            <w:tcBorders>
              <w:top w:val="nil"/>
            </w:tcBorders>
          </w:tcPr>
          <w:p w14:paraId="4B6E95A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6C70B0D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tcBorders>
          </w:tcPr>
          <w:p w14:paraId="3A3CFB47" w14:textId="77777777" w:rsidR="00506E29" w:rsidRPr="003550F0" w:rsidRDefault="00506E29" w:rsidP="003550F0">
            <w:pPr>
              <w:jc w:val="both"/>
              <w:rPr>
                <w:rFonts w:ascii="Arial" w:hAnsi="Arial" w:cs="Arial"/>
                <w:sz w:val="20"/>
                <w:szCs w:val="20"/>
              </w:rPr>
            </w:pPr>
          </w:p>
        </w:tc>
        <w:tc>
          <w:tcPr>
            <w:tcW w:w="1172" w:type="dxa"/>
            <w:vMerge/>
          </w:tcPr>
          <w:p w14:paraId="50809E3F" w14:textId="77777777" w:rsidR="00506E29" w:rsidRPr="003550F0" w:rsidRDefault="00506E29" w:rsidP="003550F0">
            <w:pPr>
              <w:jc w:val="both"/>
              <w:rPr>
                <w:rFonts w:ascii="Arial" w:hAnsi="Arial" w:cs="Arial"/>
                <w:sz w:val="20"/>
                <w:szCs w:val="20"/>
              </w:rPr>
            </w:pPr>
          </w:p>
        </w:tc>
        <w:tc>
          <w:tcPr>
            <w:tcW w:w="1170" w:type="dxa"/>
            <w:vMerge/>
          </w:tcPr>
          <w:p w14:paraId="7143AD5A"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C5E471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57D903E8" w14:textId="77777777" w:rsidR="00506E29" w:rsidRPr="003550F0" w:rsidRDefault="00506E29" w:rsidP="003550F0">
            <w:pPr>
              <w:jc w:val="both"/>
              <w:rPr>
                <w:rFonts w:ascii="Arial" w:hAnsi="Arial" w:cs="Arial"/>
                <w:sz w:val="20"/>
                <w:szCs w:val="20"/>
              </w:rPr>
            </w:pPr>
          </w:p>
        </w:tc>
      </w:tr>
      <w:tr w:rsidR="00506E29" w:rsidRPr="003550F0" w14:paraId="4C096417" w14:textId="77777777" w:rsidTr="000A248F">
        <w:tc>
          <w:tcPr>
            <w:tcW w:w="1572" w:type="dxa"/>
            <w:vMerge w:val="restart"/>
          </w:tcPr>
          <w:p w14:paraId="7CF2FAD5" w14:textId="77777777" w:rsidR="00506E29" w:rsidRPr="003550F0" w:rsidRDefault="00506E29" w:rsidP="003550F0">
            <w:pPr>
              <w:jc w:val="both"/>
              <w:rPr>
                <w:rFonts w:ascii="Arial" w:hAnsi="Arial" w:cs="Arial"/>
                <w:sz w:val="20"/>
                <w:szCs w:val="20"/>
              </w:rPr>
            </w:pPr>
          </w:p>
        </w:tc>
        <w:tc>
          <w:tcPr>
            <w:tcW w:w="1215" w:type="dxa"/>
          </w:tcPr>
          <w:p w14:paraId="108DB69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05</w:t>
            </w:r>
          </w:p>
          <w:p w14:paraId="27A37AF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(3.27%)</w:t>
            </w:r>
          </w:p>
        </w:tc>
        <w:tc>
          <w:tcPr>
            <w:tcW w:w="1261" w:type="dxa"/>
            <w:gridSpan w:val="2"/>
          </w:tcPr>
          <w:p w14:paraId="45B1AFC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4CB1086F" w14:textId="77777777" w:rsidR="00506E29" w:rsidRPr="003550F0" w:rsidRDefault="00506E29" w:rsidP="003550F0">
            <w:pPr>
              <w:jc w:val="both"/>
              <w:rPr>
                <w:rFonts w:ascii="Arial" w:hAnsi="Arial" w:cs="Arial"/>
                <w:sz w:val="20"/>
                <w:szCs w:val="20"/>
              </w:rPr>
            </w:pPr>
          </w:p>
        </w:tc>
        <w:tc>
          <w:tcPr>
            <w:tcW w:w="1170" w:type="dxa"/>
            <w:vMerge/>
          </w:tcPr>
          <w:p w14:paraId="3E9D6B6F" w14:textId="77777777" w:rsidR="00506E29" w:rsidRPr="003550F0" w:rsidRDefault="00506E29" w:rsidP="003550F0">
            <w:pPr>
              <w:jc w:val="both"/>
              <w:rPr>
                <w:rFonts w:ascii="Arial" w:hAnsi="Arial" w:cs="Arial"/>
                <w:sz w:val="20"/>
                <w:szCs w:val="20"/>
              </w:rPr>
            </w:pPr>
          </w:p>
        </w:tc>
        <w:tc>
          <w:tcPr>
            <w:tcW w:w="1620" w:type="dxa"/>
            <w:tcBorders>
              <w:top w:val="nil"/>
              <w:bottom w:val="single" w:sz="4" w:space="0" w:color="auto"/>
            </w:tcBorders>
          </w:tcPr>
          <w:p w14:paraId="382F446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11-13</w:t>
            </w:r>
          </w:p>
        </w:tc>
        <w:tc>
          <w:tcPr>
            <w:tcW w:w="1530" w:type="dxa"/>
            <w:tcBorders>
              <w:top w:val="nil"/>
              <w:bottom w:val="single" w:sz="4" w:space="0" w:color="auto"/>
            </w:tcBorders>
          </w:tcPr>
          <w:p w14:paraId="085F5340" w14:textId="77777777" w:rsidR="00506E29" w:rsidRPr="003550F0" w:rsidRDefault="00506E29" w:rsidP="003550F0">
            <w:pPr>
              <w:jc w:val="both"/>
              <w:rPr>
                <w:rFonts w:ascii="Arial" w:hAnsi="Arial" w:cs="Arial"/>
                <w:sz w:val="20"/>
                <w:szCs w:val="20"/>
              </w:rPr>
            </w:pPr>
          </w:p>
        </w:tc>
      </w:tr>
      <w:tr w:rsidR="00A97470" w:rsidRPr="003550F0" w14:paraId="4AA9F7A9" w14:textId="77777777" w:rsidTr="000A248F">
        <w:trPr>
          <w:trHeight w:val="215"/>
        </w:trPr>
        <w:tc>
          <w:tcPr>
            <w:tcW w:w="1572" w:type="dxa"/>
            <w:vMerge/>
            <w:tcBorders>
              <w:bottom w:val="single" w:sz="4" w:space="0" w:color="auto"/>
            </w:tcBorders>
          </w:tcPr>
          <w:p w14:paraId="1F5195C8" w14:textId="77777777" w:rsidR="00A97470" w:rsidRPr="003550F0" w:rsidRDefault="00A97470" w:rsidP="003550F0">
            <w:pPr>
              <w:jc w:val="both"/>
              <w:rPr>
                <w:rFonts w:ascii="Arial" w:hAnsi="Arial" w:cs="Arial"/>
                <w:sz w:val="20"/>
                <w:szCs w:val="20"/>
              </w:rPr>
            </w:pPr>
          </w:p>
        </w:tc>
        <w:tc>
          <w:tcPr>
            <w:tcW w:w="2476" w:type="dxa"/>
            <w:gridSpan w:val="3"/>
          </w:tcPr>
          <w:p w14:paraId="17EBE1D1"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05</w:t>
            </w:r>
          </w:p>
        </w:tc>
        <w:tc>
          <w:tcPr>
            <w:tcW w:w="1172" w:type="dxa"/>
            <w:vMerge/>
          </w:tcPr>
          <w:p w14:paraId="4F42BF54" w14:textId="77777777" w:rsidR="00A97470" w:rsidRPr="003550F0" w:rsidRDefault="00A97470" w:rsidP="003550F0">
            <w:pPr>
              <w:jc w:val="both"/>
              <w:rPr>
                <w:rFonts w:ascii="Arial" w:hAnsi="Arial" w:cs="Arial"/>
                <w:sz w:val="20"/>
                <w:szCs w:val="20"/>
              </w:rPr>
            </w:pPr>
          </w:p>
        </w:tc>
        <w:tc>
          <w:tcPr>
            <w:tcW w:w="1170" w:type="dxa"/>
            <w:vMerge/>
          </w:tcPr>
          <w:p w14:paraId="4EB2E064" w14:textId="77777777" w:rsidR="00A97470" w:rsidRPr="003550F0" w:rsidRDefault="00A97470" w:rsidP="003550F0">
            <w:pPr>
              <w:jc w:val="both"/>
              <w:rPr>
                <w:rFonts w:ascii="Arial" w:hAnsi="Arial" w:cs="Arial"/>
                <w:sz w:val="20"/>
                <w:szCs w:val="20"/>
              </w:rPr>
            </w:pPr>
          </w:p>
        </w:tc>
        <w:tc>
          <w:tcPr>
            <w:tcW w:w="3150" w:type="dxa"/>
            <w:gridSpan w:val="2"/>
            <w:tcBorders>
              <w:top w:val="single" w:sz="4" w:space="0" w:color="auto"/>
            </w:tcBorders>
          </w:tcPr>
          <w:p w14:paraId="1207A74D" w14:textId="671D912B" w:rsidR="00A97470" w:rsidRPr="003550F0" w:rsidRDefault="00A97470" w:rsidP="00A97470">
            <w:pPr>
              <w:jc w:val="center"/>
              <w:rPr>
                <w:rFonts w:ascii="Arial" w:hAnsi="Arial" w:cs="Arial"/>
                <w:sz w:val="20"/>
                <w:szCs w:val="20"/>
              </w:rPr>
            </w:pPr>
            <w:r w:rsidRPr="003550F0">
              <w:rPr>
                <w:rFonts w:ascii="Arial" w:hAnsi="Arial" w:cs="Arial"/>
                <w:sz w:val="20"/>
                <w:szCs w:val="20"/>
              </w:rPr>
              <w:t>Total = 05</w:t>
            </w:r>
          </w:p>
        </w:tc>
      </w:tr>
      <w:tr w:rsidR="00506E29" w:rsidRPr="003550F0" w14:paraId="49F2BDCF" w14:textId="77777777" w:rsidTr="000A248F">
        <w:tc>
          <w:tcPr>
            <w:tcW w:w="1572" w:type="dxa"/>
            <w:tcBorders>
              <w:bottom w:val="nil"/>
            </w:tcBorders>
          </w:tcPr>
          <w:p w14:paraId="4DAC35B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6295415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bottom w:val="nil"/>
            </w:tcBorders>
          </w:tcPr>
          <w:p w14:paraId="12F85F41" w14:textId="77777777" w:rsidR="00506E29" w:rsidRPr="003550F0" w:rsidRDefault="00506E29" w:rsidP="003550F0">
            <w:pPr>
              <w:jc w:val="both"/>
              <w:rPr>
                <w:rFonts w:ascii="Arial" w:hAnsi="Arial" w:cs="Arial"/>
                <w:sz w:val="20"/>
                <w:szCs w:val="20"/>
              </w:rPr>
            </w:pPr>
          </w:p>
        </w:tc>
        <w:tc>
          <w:tcPr>
            <w:tcW w:w="1172" w:type="dxa"/>
            <w:vMerge w:val="restart"/>
          </w:tcPr>
          <w:p w14:paraId="5D6B0060" w14:textId="77777777" w:rsidR="00506E29" w:rsidRPr="003550F0" w:rsidRDefault="00506E29" w:rsidP="003550F0">
            <w:pPr>
              <w:jc w:val="both"/>
              <w:rPr>
                <w:rFonts w:ascii="Arial" w:hAnsi="Arial" w:cs="Arial"/>
                <w:sz w:val="20"/>
                <w:szCs w:val="20"/>
              </w:rPr>
            </w:pPr>
          </w:p>
          <w:p w14:paraId="6CFA52D1" w14:textId="77777777" w:rsidR="00506E29" w:rsidRPr="003550F0" w:rsidRDefault="00506E29" w:rsidP="003550F0">
            <w:pPr>
              <w:jc w:val="both"/>
              <w:rPr>
                <w:rFonts w:ascii="Arial" w:hAnsi="Arial" w:cs="Arial"/>
                <w:sz w:val="20"/>
                <w:szCs w:val="20"/>
              </w:rPr>
            </w:pPr>
          </w:p>
          <w:p w14:paraId="5A480400" w14:textId="77777777" w:rsidR="00506E29" w:rsidRPr="003550F0" w:rsidRDefault="00506E29" w:rsidP="003550F0">
            <w:pPr>
              <w:jc w:val="both"/>
              <w:rPr>
                <w:rFonts w:ascii="Arial" w:hAnsi="Arial" w:cs="Arial"/>
                <w:sz w:val="20"/>
                <w:szCs w:val="20"/>
              </w:rPr>
            </w:pPr>
          </w:p>
          <w:p w14:paraId="17CE596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2.34%</w:t>
            </w:r>
          </w:p>
        </w:tc>
        <w:tc>
          <w:tcPr>
            <w:tcW w:w="1170" w:type="dxa"/>
            <w:vMerge w:val="restart"/>
          </w:tcPr>
          <w:p w14:paraId="6247AEDC" w14:textId="77777777" w:rsidR="00506E29" w:rsidRPr="003550F0" w:rsidRDefault="00506E29" w:rsidP="003550F0">
            <w:pPr>
              <w:jc w:val="both"/>
              <w:rPr>
                <w:rFonts w:ascii="Arial" w:hAnsi="Arial" w:cs="Arial"/>
                <w:sz w:val="20"/>
                <w:szCs w:val="20"/>
              </w:rPr>
            </w:pPr>
          </w:p>
          <w:p w14:paraId="730C18D7" w14:textId="77777777" w:rsidR="00506E29" w:rsidRPr="003550F0" w:rsidRDefault="00506E29" w:rsidP="003550F0">
            <w:pPr>
              <w:jc w:val="both"/>
              <w:rPr>
                <w:rFonts w:ascii="Arial" w:hAnsi="Arial" w:cs="Arial"/>
                <w:sz w:val="20"/>
                <w:szCs w:val="20"/>
              </w:rPr>
            </w:pPr>
          </w:p>
          <w:p w14:paraId="3221F807" w14:textId="430A0DE1" w:rsidR="00506E29" w:rsidRPr="003550F0" w:rsidRDefault="00506E29" w:rsidP="003550F0">
            <w:pPr>
              <w:jc w:val="both"/>
              <w:rPr>
                <w:rFonts w:ascii="Arial" w:hAnsi="Arial" w:cs="Arial"/>
                <w:sz w:val="20"/>
                <w:szCs w:val="20"/>
              </w:rPr>
            </w:pPr>
            <w:r w:rsidRPr="003550F0">
              <w:rPr>
                <w:rFonts w:ascii="Arial" w:hAnsi="Arial" w:cs="Arial"/>
                <w:sz w:val="20"/>
                <w:szCs w:val="20"/>
              </w:rPr>
              <w:t>Govt. employe, Businessman</w:t>
            </w:r>
          </w:p>
        </w:tc>
        <w:tc>
          <w:tcPr>
            <w:tcW w:w="1620" w:type="dxa"/>
            <w:tcBorders>
              <w:bottom w:val="nil"/>
            </w:tcBorders>
          </w:tcPr>
          <w:p w14:paraId="5C34EB3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752FE86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93DE387" w14:textId="77777777" w:rsidTr="000A248F">
        <w:tc>
          <w:tcPr>
            <w:tcW w:w="1572" w:type="dxa"/>
            <w:tcBorders>
              <w:top w:val="nil"/>
              <w:bottom w:val="nil"/>
            </w:tcBorders>
          </w:tcPr>
          <w:p w14:paraId="00688FA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465CEC1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75DAEF92" w14:textId="77777777" w:rsidR="00506E29" w:rsidRPr="003550F0" w:rsidRDefault="00506E29" w:rsidP="003550F0">
            <w:pPr>
              <w:jc w:val="both"/>
              <w:rPr>
                <w:rFonts w:ascii="Arial" w:hAnsi="Arial" w:cs="Arial"/>
                <w:sz w:val="20"/>
                <w:szCs w:val="20"/>
              </w:rPr>
            </w:pPr>
          </w:p>
        </w:tc>
        <w:tc>
          <w:tcPr>
            <w:tcW w:w="1172" w:type="dxa"/>
            <w:vMerge/>
          </w:tcPr>
          <w:p w14:paraId="6B25B6DD" w14:textId="77777777" w:rsidR="00506E29" w:rsidRPr="003550F0" w:rsidRDefault="00506E29" w:rsidP="003550F0">
            <w:pPr>
              <w:jc w:val="both"/>
              <w:rPr>
                <w:rFonts w:ascii="Arial" w:hAnsi="Arial" w:cs="Arial"/>
                <w:sz w:val="20"/>
                <w:szCs w:val="20"/>
              </w:rPr>
            </w:pPr>
          </w:p>
        </w:tc>
        <w:tc>
          <w:tcPr>
            <w:tcW w:w="1170" w:type="dxa"/>
            <w:vMerge/>
          </w:tcPr>
          <w:p w14:paraId="20E51BD2"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069118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29D2DB9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37A2601" w14:textId="77777777" w:rsidTr="000A248F">
        <w:tc>
          <w:tcPr>
            <w:tcW w:w="1572" w:type="dxa"/>
            <w:tcBorders>
              <w:top w:val="nil"/>
              <w:bottom w:val="nil"/>
            </w:tcBorders>
          </w:tcPr>
          <w:p w14:paraId="764E7F1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3C6DA4E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555B8017" w14:textId="77777777" w:rsidR="00506E29" w:rsidRPr="003550F0" w:rsidRDefault="00506E29" w:rsidP="003550F0">
            <w:pPr>
              <w:jc w:val="both"/>
              <w:rPr>
                <w:rFonts w:ascii="Arial" w:hAnsi="Arial" w:cs="Arial"/>
                <w:sz w:val="20"/>
                <w:szCs w:val="20"/>
              </w:rPr>
            </w:pPr>
          </w:p>
        </w:tc>
        <w:tc>
          <w:tcPr>
            <w:tcW w:w="1172" w:type="dxa"/>
            <w:vMerge/>
          </w:tcPr>
          <w:p w14:paraId="324DD437" w14:textId="77777777" w:rsidR="00506E29" w:rsidRPr="003550F0" w:rsidRDefault="00506E29" w:rsidP="003550F0">
            <w:pPr>
              <w:jc w:val="both"/>
              <w:rPr>
                <w:rFonts w:ascii="Arial" w:hAnsi="Arial" w:cs="Arial"/>
                <w:sz w:val="20"/>
                <w:szCs w:val="20"/>
              </w:rPr>
            </w:pPr>
          </w:p>
        </w:tc>
        <w:tc>
          <w:tcPr>
            <w:tcW w:w="1170" w:type="dxa"/>
            <w:vMerge/>
          </w:tcPr>
          <w:p w14:paraId="6ED2FDFF"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2F670C6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1F54CE46" w14:textId="77777777" w:rsidR="00506E29" w:rsidRPr="003550F0" w:rsidRDefault="00506E29" w:rsidP="003550F0">
            <w:pPr>
              <w:jc w:val="both"/>
              <w:rPr>
                <w:rFonts w:ascii="Arial" w:hAnsi="Arial" w:cs="Arial"/>
                <w:sz w:val="20"/>
                <w:szCs w:val="20"/>
              </w:rPr>
            </w:pPr>
          </w:p>
        </w:tc>
      </w:tr>
      <w:tr w:rsidR="00506E29" w:rsidRPr="003550F0" w14:paraId="15BF4C99" w14:textId="77777777" w:rsidTr="000A248F">
        <w:tc>
          <w:tcPr>
            <w:tcW w:w="1572" w:type="dxa"/>
            <w:tcBorders>
              <w:top w:val="nil"/>
              <w:bottom w:val="nil"/>
            </w:tcBorders>
          </w:tcPr>
          <w:p w14:paraId="5010AE4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2AFAE9A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76E2A247" w14:textId="77777777" w:rsidR="00506E29" w:rsidRPr="003550F0" w:rsidRDefault="00506E29" w:rsidP="003550F0">
            <w:pPr>
              <w:jc w:val="both"/>
              <w:rPr>
                <w:rFonts w:ascii="Arial" w:hAnsi="Arial" w:cs="Arial"/>
                <w:sz w:val="20"/>
                <w:szCs w:val="20"/>
              </w:rPr>
            </w:pPr>
          </w:p>
        </w:tc>
        <w:tc>
          <w:tcPr>
            <w:tcW w:w="1172" w:type="dxa"/>
            <w:vMerge/>
          </w:tcPr>
          <w:p w14:paraId="6F786C3C" w14:textId="77777777" w:rsidR="00506E29" w:rsidRPr="003550F0" w:rsidRDefault="00506E29" w:rsidP="003550F0">
            <w:pPr>
              <w:jc w:val="both"/>
              <w:rPr>
                <w:rFonts w:ascii="Arial" w:hAnsi="Arial" w:cs="Arial"/>
                <w:sz w:val="20"/>
                <w:szCs w:val="20"/>
              </w:rPr>
            </w:pPr>
          </w:p>
        </w:tc>
        <w:tc>
          <w:tcPr>
            <w:tcW w:w="1170" w:type="dxa"/>
            <w:vMerge/>
          </w:tcPr>
          <w:p w14:paraId="79DD301B"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358B74D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420D5D41" w14:textId="77777777" w:rsidR="00506E29" w:rsidRPr="003550F0" w:rsidRDefault="00506E29" w:rsidP="003550F0">
            <w:pPr>
              <w:jc w:val="both"/>
              <w:rPr>
                <w:rFonts w:ascii="Arial" w:hAnsi="Arial" w:cs="Arial"/>
                <w:sz w:val="20"/>
                <w:szCs w:val="20"/>
              </w:rPr>
            </w:pPr>
          </w:p>
        </w:tc>
      </w:tr>
      <w:tr w:rsidR="00506E29" w:rsidRPr="003550F0" w14:paraId="70F26D06" w14:textId="77777777" w:rsidTr="000A248F">
        <w:tc>
          <w:tcPr>
            <w:tcW w:w="1572" w:type="dxa"/>
            <w:tcBorders>
              <w:top w:val="nil"/>
              <w:bottom w:val="nil"/>
            </w:tcBorders>
          </w:tcPr>
          <w:p w14:paraId="66EA561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46F54EE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4BE1B822" w14:textId="77777777" w:rsidR="00506E29" w:rsidRPr="003550F0" w:rsidRDefault="00506E29" w:rsidP="003550F0">
            <w:pPr>
              <w:jc w:val="both"/>
              <w:rPr>
                <w:rFonts w:ascii="Arial" w:hAnsi="Arial" w:cs="Arial"/>
                <w:sz w:val="20"/>
                <w:szCs w:val="20"/>
              </w:rPr>
            </w:pPr>
          </w:p>
        </w:tc>
        <w:tc>
          <w:tcPr>
            <w:tcW w:w="1172" w:type="dxa"/>
            <w:vMerge/>
          </w:tcPr>
          <w:p w14:paraId="2D61C89E" w14:textId="77777777" w:rsidR="00506E29" w:rsidRPr="003550F0" w:rsidRDefault="00506E29" w:rsidP="003550F0">
            <w:pPr>
              <w:jc w:val="both"/>
              <w:rPr>
                <w:rFonts w:ascii="Arial" w:hAnsi="Arial" w:cs="Arial"/>
                <w:sz w:val="20"/>
                <w:szCs w:val="20"/>
              </w:rPr>
            </w:pPr>
          </w:p>
        </w:tc>
        <w:tc>
          <w:tcPr>
            <w:tcW w:w="1170" w:type="dxa"/>
            <w:vMerge/>
          </w:tcPr>
          <w:p w14:paraId="1B5A2E31"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DAACA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4C2CE24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30259793" w14:textId="77777777" w:rsidTr="000A248F">
        <w:tc>
          <w:tcPr>
            <w:tcW w:w="1572" w:type="dxa"/>
            <w:tcBorders>
              <w:top w:val="nil"/>
            </w:tcBorders>
          </w:tcPr>
          <w:p w14:paraId="1F4D833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7BAF3DD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tcBorders>
          </w:tcPr>
          <w:p w14:paraId="0CE3C2FD" w14:textId="77777777" w:rsidR="00506E29" w:rsidRPr="003550F0" w:rsidRDefault="00506E29" w:rsidP="003550F0">
            <w:pPr>
              <w:jc w:val="both"/>
              <w:rPr>
                <w:rFonts w:ascii="Arial" w:hAnsi="Arial" w:cs="Arial"/>
                <w:sz w:val="20"/>
                <w:szCs w:val="20"/>
              </w:rPr>
            </w:pPr>
          </w:p>
        </w:tc>
        <w:tc>
          <w:tcPr>
            <w:tcW w:w="1172" w:type="dxa"/>
            <w:vMerge/>
          </w:tcPr>
          <w:p w14:paraId="18BC16CA" w14:textId="77777777" w:rsidR="00506E29" w:rsidRPr="003550F0" w:rsidRDefault="00506E29" w:rsidP="003550F0">
            <w:pPr>
              <w:jc w:val="both"/>
              <w:rPr>
                <w:rFonts w:ascii="Arial" w:hAnsi="Arial" w:cs="Arial"/>
                <w:sz w:val="20"/>
                <w:szCs w:val="20"/>
              </w:rPr>
            </w:pPr>
          </w:p>
        </w:tc>
        <w:tc>
          <w:tcPr>
            <w:tcW w:w="1170" w:type="dxa"/>
            <w:vMerge/>
          </w:tcPr>
          <w:p w14:paraId="02C303AD"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E70B17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145586EB" w14:textId="77777777" w:rsidR="00506E29" w:rsidRPr="003550F0" w:rsidRDefault="00506E29" w:rsidP="003550F0">
            <w:pPr>
              <w:jc w:val="both"/>
              <w:rPr>
                <w:rFonts w:ascii="Arial" w:hAnsi="Arial" w:cs="Arial"/>
                <w:sz w:val="20"/>
                <w:szCs w:val="20"/>
              </w:rPr>
            </w:pPr>
          </w:p>
        </w:tc>
      </w:tr>
      <w:tr w:rsidR="00506E29" w:rsidRPr="003550F0" w14:paraId="2A018AC1" w14:textId="77777777" w:rsidTr="000A248F">
        <w:tc>
          <w:tcPr>
            <w:tcW w:w="1572" w:type="dxa"/>
            <w:vMerge w:val="restart"/>
          </w:tcPr>
          <w:p w14:paraId="2D34B0B4" w14:textId="77777777" w:rsidR="00506E29" w:rsidRPr="003550F0" w:rsidRDefault="00506E29" w:rsidP="003550F0">
            <w:pPr>
              <w:jc w:val="both"/>
              <w:rPr>
                <w:rFonts w:ascii="Arial" w:hAnsi="Arial" w:cs="Arial"/>
                <w:sz w:val="20"/>
                <w:szCs w:val="20"/>
              </w:rPr>
            </w:pPr>
          </w:p>
        </w:tc>
        <w:tc>
          <w:tcPr>
            <w:tcW w:w="1215" w:type="dxa"/>
          </w:tcPr>
          <w:p w14:paraId="596BBC1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04</w:t>
            </w:r>
          </w:p>
          <w:p w14:paraId="151C6C6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(2.61%)</w:t>
            </w:r>
          </w:p>
        </w:tc>
        <w:tc>
          <w:tcPr>
            <w:tcW w:w="1261" w:type="dxa"/>
            <w:gridSpan w:val="2"/>
          </w:tcPr>
          <w:p w14:paraId="7E77199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3A1D607E" w14:textId="77777777" w:rsidR="00506E29" w:rsidRPr="003550F0" w:rsidRDefault="00506E29" w:rsidP="003550F0">
            <w:pPr>
              <w:jc w:val="both"/>
              <w:rPr>
                <w:rFonts w:ascii="Arial" w:hAnsi="Arial" w:cs="Arial"/>
                <w:sz w:val="20"/>
                <w:szCs w:val="20"/>
              </w:rPr>
            </w:pPr>
          </w:p>
        </w:tc>
        <w:tc>
          <w:tcPr>
            <w:tcW w:w="1170" w:type="dxa"/>
            <w:vMerge/>
          </w:tcPr>
          <w:p w14:paraId="140B82E4" w14:textId="77777777" w:rsidR="00506E29" w:rsidRPr="003550F0" w:rsidRDefault="00506E29" w:rsidP="003550F0">
            <w:pPr>
              <w:jc w:val="both"/>
              <w:rPr>
                <w:rFonts w:ascii="Arial" w:hAnsi="Arial" w:cs="Arial"/>
                <w:sz w:val="20"/>
                <w:szCs w:val="20"/>
              </w:rPr>
            </w:pPr>
          </w:p>
        </w:tc>
        <w:tc>
          <w:tcPr>
            <w:tcW w:w="1620" w:type="dxa"/>
            <w:tcBorders>
              <w:top w:val="nil"/>
              <w:bottom w:val="single" w:sz="4" w:space="0" w:color="auto"/>
            </w:tcBorders>
          </w:tcPr>
          <w:p w14:paraId="18A9126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11-13</w:t>
            </w:r>
          </w:p>
        </w:tc>
        <w:tc>
          <w:tcPr>
            <w:tcW w:w="1530" w:type="dxa"/>
            <w:tcBorders>
              <w:top w:val="nil"/>
              <w:bottom w:val="single" w:sz="4" w:space="0" w:color="auto"/>
            </w:tcBorders>
          </w:tcPr>
          <w:p w14:paraId="2933243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A97470" w:rsidRPr="003550F0" w14:paraId="32236935" w14:textId="77777777" w:rsidTr="000A248F">
        <w:trPr>
          <w:trHeight w:val="278"/>
        </w:trPr>
        <w:tc>
          <w:tcPr>
            <w:tcW w:w="1572" w:type="dxa"/>
            <w:vMerge/>
            <w:tcBorders>
              <w:bottom w:val="single" w:sz="4" w:space="0" w:color="auto"/>
            </w:tcBorders>
          </w:tcPr>
          <w:p w14:paraId="1834E51C" w14:textId="77777777" w:rsidR="00A97470" w:rsidRPr="003550F0" w:rsidRDefault="00A97470" w:rsidP="003550F0">
            <w:pPr>
              <w:jc w:val="both"/>
              <w:rPr>
                <w:rFonts w:ascii="Arial" w:hAnsi="Arial" w:cs="Arial"/>
                <w:sz w:val="20"/>
                <w:szCs w:val="20"/>
              </w:rPr>
            </w:pPr>
          </w:p>
        </w:tc>
        <w:tc>
          <w:tcPr>
            <w:tcW w:w="2476" w:type="dxa"/>
            <w:gridSpan w:val="3"/>
          </w:tcPr>
          <w:p w14:paraId="4046123A" w14:textId="77777777" w:rsidR="00A97470" w:rsidRPr="003550F0" w:rsidRDefault="00A97470" w:rsidP="00A97470">
            <w:pPr>
              <w:jc w:val="center"/>
              <w:rPr>
                <w:rFonts w:ascii="Arial" w:hAnsi="Arial" w:cs="Arial"/>
                <w:sz w:val="20"/>
                <w:szCs w:val="20"/>
              </w:rPr>
            </w:pPr>
            <w:r w:rsidRPr="003550F0">
              <w:rPr>
                <w:rFonts w:ascii="Arial" w:hAnsi="Arial" w:cs="Arial"/>
                <w:sz w:val="20"/>
                <w:szCs w:val="20"/>
              </w:rPr>
              <w:t>Total = 04</w:t>
            </w:r>
          </w:p>
        </w:tc>
        <w:tc>
          <w:tcPr>
            <w:tcW w:w="1172" w:type="dxa"/>
            <w:vMerge/>
          </w:tcPr>
          <w:p w14:paraId="5B36179B" w14:textId="77777777" w:rsidR="00A97470" w:rsidRPr="003550F0" w:rsidRDefault="00A97470" w:rsidP="003550F0">
            <w:pPr>
              <w:jc w:val="both"/>
              <w:rPr>
                <w:rFonts w:ascii="Arial" w:hAnsi="Arial" w:cs="Arial"/>
                <w:sz w:val="20"/>
                <w:szCs w:val="20"/>
              </w:rPr>
            </w:pPr>
          </w:p>
        </w:tc>
        <w:tc>
          <w:tcPr>
            <w:tcW w:w="1170" w:type="dxa"/>
            <w:vMerge/>
          </w:tcPr>
          <w:p w14:paraId="45347BA9" w14:textId="77777777" w:rsidR="00A97470" w:rsidRPr="003550F0" w:rsidRDefault="00A97470" w:rsidP="003550F0">
            <w:pPr>
              <w:jc w:val="both"/>
              <w:rPr>
                <w:rFonts w:ascii="Arial" w:hAnsi="Arial" w:cs="Arial"/>
                <w:sz w:val="20"/>
                <w:szCs w:val="20"/>
              </w:rPr>
            </w:pPr>
          </w:p>
        </w:tc>
        <w:tc>
          <w:tcPr>
            <w:tcW w:w="3150" w:type="dxa"/>
            <w:gridSpan w:val="2"/>
            <w:tcBorders>
              <w:top w:val="single" w:sz="4" w:space="0" w:color="auto"/>
            </w:tcBorders>
          </w:tcPr>
          <w:p w14:paraId="7D57F372" w14:textId="5C9C4350" w:rsidR="00A97470" w:rsidRPr="003550F0" w:rsidRDefault="00A97470" w:rsidP="00A97470">
            <w:pPr>
              <w:jc w:val="center"/>
              <w:rPr>
                <w:rFonts w:ascii="Arial" w:hAnsi="Arial" w:cs="Arial"/>
                <w:sz w:val="20"/>
                <w:szCs w:val="20"/>
              </w:rPr>
            </w:pPr>
            <w:r w:rsidRPr="003550F0">
              <w:rPr>
                <w:rFonts w:ascii="Arial" w:hAnsi="Arial" w:cs="Arial"/>
                <w:sz w:val="20"/>
                <w:szCs w:val="20"/>
              </w:rPr>
              <w:t>Total = 04</w:t>
            </w:r>
          </w:p>
        </w:tc>
      </w:tr>
      <w:tr w:rsidR="00506E29" w:rsidRPr="003550F0" w14:paraId="08C91E9A" w14:textId="77777777" w:rsidTr="00020A3D">
        <w:tc>
          <w:tcPr>
            <w:tcW w:w="1572" w:type="dxa"/>
            <w:tcBorders>
              <w:bottom w:val="nil"/>
            </w:tcBorders>
          </w:tcPr>
          <w:p w14:paraId="6961CEB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6845737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bottom w:val="nil"/>
            </w:tcBorders>
          </w:tcPr>
          <w:p w14:paraId="4B6C7726" w14:textId="77777777" w:rsidR="00506E29" w:rsidRPr="003550F0" w:rsidRDefault="00506E29" w:rsidP="003550F0">
            <w:pPr>
              <w:jc w:val="both"/>
              <w:rPr>
                <w:rFonts w:ascii="Arial" w:hAnsi="Arial" w:cs="Arial"/>
                <w:sz w:val="20"/>
                <w:szCs w:val="20"/>
              </w:rPr>
            </w:pPr>
          </w:p>
        </w:tc>
        <w:tc>
          <w:tcPr>
            <w:tcW w:w="1172" w:type="dxa"/>
            <w:vMerge w:val="restart"/>
          </w:tcPr>
          <w:p w14:paraId="1B23C67F" w14:textId="77777777" w:rsidR="00506E29" w:rsidRPr="003550F0" w:rsidRDefault="00506E29" w:rsidP="003550F0">
            <w:pPr>
              <w:jc w:val="both"/>
              <w:rPr>
                <w:rFonts w:ascii="Arial" w:hAnsi="Arial" w:cs="Arial"/>
                <w:sz w:val="20"/>
                <w:szCs w:val="20"/>
              </w:rPr>
            </w:pPr>
          </w:p>
          <w:p w14:paraId="4682B9DF" w14:textId="77777777" w:rsidR="00506E29" w:rsidRPr="003550F0" w:rsidRDefault="00506E29" w:rsidP="003550F0">
            <w:pPr>
              <w:jc w:val="both"/>
              <w:rPr>
                <w:rFonts w:ascii="Arial" w:hAnsi="Arial" w:cs="Arial"/>
                <w:sz w:val="20"/>
                <w:szCs w:val="20"/>
              </w:rPr>
            </w:pPr>
          </w:p>
          <w:p w14:paraId="202181A5" w14:textId="77777777" w:rsidR="00506E29" w:rsidRPr="003550F0" w:rsidRDefault="00506E29" w:rsidP="003550F0">
            <w:pPr>
              <w:jc w:val="both"/>
              <w:rPr>
                <w:rFonts w:ascii="Arial" w:hAnsi="Arial" w:cs="Arial"/>
                <w:sz w:val="20"/>
                <w:szCs w:val="20"/>
              </w:rPr>
            </w:pPr>
          </w:p>
          <w:p w14:paraId="4077646B" w14:textId="77777777" w:rsidR="00506E29" w:rsidRPr="003550F0" w:rsidRDefault="00506E29" w:rsidP="003550F0">
            <w:pPr>
              <w:jc w:val="both"/>
              <w:rPr>
                <w:rFonts w:ascii="Arial" w:hAnsi="Arial" w:cs="Arial"/>
                <w:sz w:val="20"/>
                <w:szCs w:val="20"/>
              </w:rPr>
            </w:pPr>
          </w:p>
          <w:p w14:paraId="3F542FA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2.92%</w:t>
            </w:r>
          </w:p>
        </w:tc>
        <w:tc>
          <w:tcPr>
            <w:tcW w:w="1170" w:type="dxa"/>
          </w:tcPr>
          <w:p w14:paraId="1BB581F3" w14:textId="77777777" w:rsidR="00506E29" w:rsidRPr="003550F0" w:rsidRDefault="00506E29" w:rsidP="003550F0">
            <w:pPr>
              <w:jc w:val="both"/>
              <w:rPr>
                <w:rFonts w:ascii="Arial" w:hAnsi="Arial" w:cs="Arial"/>
                <w:sz w:val="20"/>
                <w:szCs w:val="20"/>
              </w:rPr>
            </w:pPr>
          </w:p>
        </w:tc>
        <w:tc>
          <w:tcPr>
            <w:tcW w:w="1620" w:type="dxa"/>
            <w:tcBorders>
              <w:bottom w:val="nil"/>
            </w:tcBorders>
          </w:tcPr>
          <w:p w14:paraId="1D46FE0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478D0A18" w14:textId="77777777" w:rsidR="00506E29" w:rsidRPr="003550F0" w:rsidRDefault="00506E29" w:rsidP="003550F0">
            <w:pPr>
              <w:jc w:val="both"/>
              <w:rPr>
                <w:rFonts w:ascii="Arial" w:hAnsi="Arial" w:cs="Arial"/>
                <w:sz w:val="20"/>
                <w:szCs w:val="20"/>
              </w:rPr>
            </w:pPr>
          </w:p>
        </w:tc>
      </w:tr>
      <w:tr w:rsidR="00506E29" w:rsidRPr="003550F0" w14:paraId="17702797" w14:textId="77777777" w:rsidTr="00020A3D">
        <w:tc>
          <w:tcPr>
            <w:tcW w:w="1572" w:type="dxa"/>
            <w:tcBorders>
              <w:top w:val="nil"/>
              <w:bottom w:val="nil"/>
            </w:tcBorders>
          </w:tcPr>
          <w:p w14:paraId="26A7B24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0A6FB1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79F9559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6D545BE3" w14:textId="77777777" w:rsidR="00506E29" w:rsidRPr="003550F0" w:rsidRDefault="00506E29" w:rsidP="003550F0">
            <w:pPr>
              <w:jc w:val="both"/>
              <w:rPr>
                <w:rFonts w:ascii="Arial" w:hAnsi="Arial" w:cs="Arial"/>
                <w:sz w:val="20"/>
                <w:szCs w:val="20"/>
              </w:rPr>
            </w:pPr>
          </w:p>
        </w:tc>
        <w:tc>
          <w:tcPr>
            <w:tcW w:w="1170" w:type="dxa"/>
            <w:vMerge w:val="restart"/>
          </w:tcPr>
          <w:p w14:paraId="585606EE" w14:textId="77777777" w:rsidR="00506E29" w:rsidRPr="003550F0" w:rsidRDefault="00506E29" w:rsidP="003550F0">
            <w:pPr>
              <w:jc w:val="both"/>
              <w:rPr>
                <w:rFonts w:ascii="Arial" w:hAnsi="Arial" w:cs="Arial"/>
                <w:sz w:val="20"/>
                <w:szCs w:val="20"/>
              </w:rPr>
            </w:pPr>
          </w:p>
          <w:p w14:paraId="7754AEDA" w14:textId="77777777" w:rsidR="00506E29" w:rsidRPr="003550F0" w:rsidRDefault="00506E29" w:rsidP="003550F0">
            <w:pPr>
              <w:jc w:val="both"/>
              <w:rPr>
                <w:rFonts w:ascii="Arial" w:hAnsi="Arial" w:cs="Arial"/>
                <w:sz w:val="20"/>
                <w:szCs w:val="20"/>
              </w:rPr>
            </w:pPr>
          </w:p>
          <w:p w14:paraId="06C4CB99" w14:textId="0998CAD6" w:rsidR="00506E29" w:rsidRPr="003550F0" w:rsidRDefault="00506E29" w:rsidP="003550F0">
            <w:pPr>
              <w:jc w:val="both"/>
              <w:rPr>
                <w:rFonts w:ascii="Arial" w:hAnsi="Arial" w:cs="Arial"/>
                <w:sz w:val="20"/>
                <w:szCs w:val="20"/>
              </w:rPr>
            </w:pPr>
            <w:r w:rsidRPr="003550F0">
              <w:rPr>
                <w:rFonts w:ascii="Arial" w:hAnsi="Arial" w:cs="Arial"/>
                <w:sz w:val="20"/>
                <w:szCs w:val="20"/>
              </w:rPr>
              <w:t xml:space="preserve">Govt. employe, </w:t>
            </w:r>
            <w:proofErr w:type="gramStart"/>
            <w:r w:rsidRPr="003550F0">
              <w:rPr>
                <w:rFonts w:ascii="Arial" w:hAnsi="Arial" w:cs="Arial"/>
                <w:sz w:val="20"/>
                <w:szCs w:val="20"/>
              </w:rPr>
              <w:t>Abroad</w:t>
            </w:r>
            <w:proofErr w:type="gramEnd"/>
          </w:p>
        </w:tc>
        <w:tc>
          <w:tcPr>
            <w:tcW w:w="1620" w:type="dxa"/>
            <w:tcBorders>
              <w:top w:val="nil"/>
              <w:bottom w:val="nil"/>
            </w:tcBorders>
          </w:tcPr>
          <w:p w14:paraId="46C35D5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4FE175C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5A369C5" w14:textId="77777777" w:rsidTr="00020A3D">
        <w:tc>
          <w:tcPr>
            <w:tcW w:w="1572" w:type="dxa"/>
            <w:tcBorders>
              <w:top w:val="nil"/>
              <w:bottom w:val="nil"/>
            </w:tcBorders>
          </w:tcPr>
          <w:p w14:paraId="44AB8C9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043D7A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45977E42" w14:textId="77777777" w:rsidR="00506E29" w:rsidRPr="003550F0" w:rsidRDefault="00506E29" w:rsidP="003550F0">
            <w:pPr>
              <w:jc w:val="both"/>
              <w:rPr>
                <w:rFonts w:ascii="Arial" w:hAnsi="Arial" w:cs="Arial"/>
                <w:sz w:val="20"/>
                <w:szCs w:val="20"/>
              </w:rPr>
            </w:pPr>
          </w:p>
        </w:tc>
        <w:tc>
          <w:tcPr>
            <w:tcW w:w="1172" w:type="dxa"/>
            <w:vMerge/>
          </w:tcPr>
          <w:p w14:paraId="5FD39426" w14:textId="77777777" w:rsidR="00506E29" w:rsidRPr="003550F0" w:rsidRDefault="00506E29" w:rsidP="003550F0">
            <w:pPr>
              <w:jc w:val="both"/>
              <w:rPr>
                <w:rFonts w:ascii="Arial" w:hAnsi="Arial" w:cs="Arial"/>
                <w:sz w:val="20"/>
                <w:szCs w:val="20"/>
              </w:rPr>
            </w:pPr>
          </w:p>
        </w:tc>
        <w:tc>
          <w:tcPr>
            <w:tcW w:w="1170" w:type="dxa"/>
            <w:vMerge/>
          </w:tcPr>
          <w:p w14:paraId="52E75E6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11D852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348962E3" w14:textId="77777777" w:rsidR="00506E29" w:rsidRPr="003550F0" w:rsidRDefault="00506E29" w:rsidP="003550F0">
            <w:pPr>
              <w:jc w:val="both"/>
              <w:rPr>
                <w:rFonts w:ascii="Arial" w:hAnsi="Arial" w:cs="Arial"/>
                <w:sz w:val="20"/>
                <w:szCs w:val="20"/>
              </w:rPr>
            </w:pPr>
          </w:p>
        </w:tc>
      </w:tr>
      <w:tr w:rsidR="00506E29" w:rsidRPr="003550F0" w14:paraId="461318DA" w14:textId="77777777" w:rsidTr="00020A3D">
        <w:tc>
          <w:tcPr>
            <w:tcW w:w="1572" w:type="dxa"/>
            <w:tcBorders>
              <w:top w:val="nil"/>
              <w:bottom w:val="nil"/>
            </w:tcBorders>
          </w:tcPr>
          <w:p w14:paraId="391D731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39D5595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48D0BDC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0B0DB2CC" w14:textId="77777777" w:rsidR="00506E29" w:rsidRPr="003550F0" w:rsidRDefault="00506E29" w:rsidP="003550F0">
            <w:pPr>
              <w:jc w:val="both"/>
              <w:rPr>
                <w:rFonts w:ascii="Arial" w:hAnsi="Arial" w:cs="Arial"/>
                <w:sz w:val="20"/>
                <w:szCs w:val="20"/>
              </w:rPr>
            </w:pPr>
          </w:p>
        </w:tc>
        <w:tc>
          <w:tcPr>
            <w:tcW w:w="1170" w:type="dxa"/>
            <w:vMerge/>
          </w:tcPr>
          <w:p w14:paraId="2790E95E"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D5589E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559812B9" w14:textId="77777777" w:rsidR="00506E29" w:rsidRPr="003550F0" w:rsidRDefault="00506E29" w:rsidP="003550F0">
            <w:pPr>
              <w:jc w:val="both"/>
              <w:rPr>
                <w:rFonts w:ascii="Arial" w:hAnsi="Arial" w:cs="Arial"/>
                <w:sz w:val="20"/>
                <w:szCs w:val="20"/>
              </w:rPr>
            </w:pPr>
          </w:p>
        </w:tc>
      </w:tr>
      <w:tr w:rsidR="00506E29" w:rsidRPr="003550F0" w14:paraId="5CB8347E" w14:textId="77777777" w:rsidTr="00020A3D">
        <w:tc>
          <w:tcPr>
            <w:tcW w:w="1572" w:type="dxa"/>
            <w:tcBorders>
              <w:top w:val="nil"/>
              <w:bottom w:val="nil"/>
            </w:tcBorders>
          </w:tcPr>
          <w:p w14:paraId="65AD2E4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3FD50D6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00</w:t>
            </w:r>
          </w:p>
        </w:tc>
        <w:tc>
          <w:tcPr>
            <w:tcW w:w="1261" w:type="dxa"/>
            <w:gridSpan w:val="2"/>
            <w:tcBorders>
              <w:top w:val="nil"/>
              <w:bottom w:val="nil"/>
            </w:tcBorders>
          </w:tcPr>
          <w:p w14:paraId="6B70A17A" w14:textId="77777777" w:rsidR="00506E29" w:rsidRPr="003550F0" w:rsidRDefault="00506E29" w:rsidP="003550F0">
            <w:pPr>
              <w:jc w:val="both"/>
              <w:rPr>
                <w:rFonts w:ascii="Arial" w:hAnsi="Arial" w:cs="Arial"/>
                <w:sz w:val="20"/>
                <w:szCs w:val="20"/>
              </w:rPr>
            </w:pPr>
          </w:p>
        </w:tc>
        <w:tc>
          <w:tcPr>
            <w:tcW w:w="1172" w:type="dxa"/>
            <w:vMerge/>
          </w:tcPr>
          <w:p w14:paraId="5AEFBCD4" w14:textId="77777777" w:rsidR="00506E29" w:rsidRPr="003550F0" w:rsidRDefault="00506E29" w:rsidP="003550F0">
            <w:pPr>
              <w:jc w:val="both"/>
              <w:rPr>
                <w:rFonts w:ascii="Arial" w:hAnsi="Arial" w:cs="Arial"/>
                <w:sz w:val="20"/>
                <w:szCs w:val="20"/>
              </w:rPr>
            </w:pPr>
          </w:p>
        </w:tc>
        <w:tc>
          <w:tcPr>
            <w:tcW w:w="1170" w:type="dxa"/>
            <w:vMerge/>
          </w:tcPr>
          <w:p w14:paraId="3A2C066E"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5FF75A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7450D99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020A3D" w:rsidRPr="003550F0" w14:paraId="785B3AC1" w14:textId="77777777" w:rsidTr="00020A3D">
        <w:trPr>
          <w:trHeight w:val="230"/>
        </w:trPr>
        <w:tc>
          <w:tcPr>
            <w:tcW w:w="1572" w:type="dxa"/>
            <w:vMerge w:val="restart"/>
            <w:tcBorders>
              <w:top w:val="nil"/>
            </w:tcBorders>
          </w:tcPr>
          <w:p w14:paraId="21C2C049"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47576352"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00</w:t>
            </w:r>
          </w:p>
        </w:tc>
        <w:tc>
          <w:tcPr>
            <w:tcW w:w="1261" w:type="dxa"/>
            <w:gridSpan w:val="2"/>
            <w:vMerge w:val="restart"/>
            <w:tcBorders>
              <w:top w:val="nil"/>
            </w:tcBorders>
          </w:tcPr>
          <w:p w14:paraId="7E8A2078" w14:textId="77777777" w:rsidR="00020A3D" w:rsidRPr="003550F0" w:rsidRDefault="00020A3D" w:rsidP="003550F0">
            <w:pPr>
              <w:jc w:val="both"/>
              <w:rPr>
                <w:rFonts w:ascii="Arial" w:hAnsi="Arial" w:cs="Arial"/>
                <w:sz w:val="20"/>
                <w:szCs w:val="20"/>
              </w:rPr>
            </w:pPr>
          </w:p>
        </w:tc>
        <w:tc>
          <w:tcPr>
            <w:tcW w:w="1172" w:type="dxa"/>
            <w:vMerge/>
          </w:tcPr>
          <w:p w14:paraId="140C9A13" w14:textId="77777777" w:rsidR="00020A3D" w:rsidRPr="003550F0" w:rsidRDefault="00020A3D" w:rsidP="003550F0">
            <w:pPr>
              <w:jc w:val="both"/>
              <w:rPr>
                <w:rFonts w:ascii="Arial" w:hAnsi="Arial" w:cs="Arial"/>
                <w:sz w:val="20"/>
                <w:szCs w:val="20"/>
              </w:rPr>
            </w:pPr>
          </w:p>
        </w:tc>
        <w:tc>
          <w:tcPr>
            <w:tcW w:w="1170" w:type="dxa"/>
            <w:vMerge/>
          </w:tcPr>
          <w:p w14:paraId="427F95C2"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33A0F890" w14:textId="77777777" w:rsidR="00020A3D" w:rsidRPr="003550F0" w:rsidRDefault="00020A3D"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416C71EC" w14:textId="77777777" w:rsidR="00020A3D" w:rsidRPr="003550F0" w:rsidRDefault="00020A3D" w:rsidP="003550F0">
            <w:pPr>
              <w:jc w:val="both"/>
              <w:rPr>
                <w:rFonts w:ascii="Arial" w:hAnsi="Arial" w:cs="Arial"/>
                <w:sz w:val="20"/>
                <w:szCs w:val="20"/>
              </w:rPr>
            </w:pPr>
          </w:p>
        </w:tc>
      </w:tr>
      <w:tr w:rsidR="00020A3D" w:rsidRPr="003550F0" w14:paraId="7FE602CA" w14:textId="77777777" w:rsidTr="00020A3D">
        <w:trPr>
          <w:trHeight w:val="240"/>
        </w:trPr>
        <w:tc>
          <w:tcPr>
            <w:tcW w:w="1572" w:type="dxa"/>
            <w:vMerge/>
          </w:tcPr>
          <w:p w14:paraId="253FEAE3" w14:textId="77777777" w:rsidR="00020A3D" w:rsidRPr="003550F0" w:rsidRDefault="00020A3D" w:rsidP="003550F0">
            <w:pPr>
              <w:jc w:val="both"/>
              <w:rPr>
                <w:rFonts w:ascii="Arial" w:hAnsi="Arial" w:cs="Arial"/>
                <w:sz w:val="20"/>
                <w:szCs w:val="20"/>
              </w:rPr>
            </w:pPr>
          </w:p>
        </w:tc>
        <w:tc>
          <w:tcPr>
            <w:tcW w:w="1215" w:type="dxa"/>
            <w:vMerge/>
          </w:tcPr>
          <w:p w14:paraId="2022D212" w14:textId="77777777" w:rsidR="00020A3D" w:rsidRPr="003550F0" w:rsidRDefault="00020A3D" w:rsidP="003550F0">
            <w:pPr>
              <w:jc w:val="both"/>
              <w:rPr>
                <w:rFonts w:ascii="Arial" w:hAnsi="Arial" w:cs="Arial"/>
                <w:sz w:val="20"/>
                <w:szCs w:val="20"/>
              </w:rPr>
            </w:pPr>
          </w:p>
        </w:tc>
        <w:tc>
          <w:tcPr>
            <w:tcW w:w="1261" w:type="dxa"/>
            <w:gridSpan w:val="2"/>
            <w:vMerge/>
            <w:tcBorders>
              <w:top w:val="single" w:sz="4" w:space="0" w:color="auto"/>
            </w:tcBorders>
          </w:tcPr>
          <w:p w14:paraId="72E1BA94" w14:textId="77777777" w:rsidR="00020A3D" w:rsidRPr="003550F0" w:rsidRDefault="00020A3D" w:rsidP="003550F0">
            <w:pPr>
              <w:jc w:val="both"/>
              <w:rPr>
                <w:rFonts w:ascii="Arial" w:hAnsi="Arial" w:cs="Arial"/>
                <w:sz w:val="20"/>
                <w:szCs w:val="20"/>
              </w:rPr>
            </w:pPr>
          </w:p>
        </w:tc>
        <w:tc>
          <w:tcPr>
            <w:tcW w:w="1172" w:type="dxa"/>
            <w:vMerge/>
          </w:tcPr>
          <w:p w14:paraId="58BFA8E4" w14:textId="77777777" w:rsidR="00020A3D" w:rsidRPr="003550F0" w:rsidRDefault="00020A3D" w:rsidP="003550F0">
            <w:pPr>
              <w:jc w:val="both"/>
              <w:rPr>
                <w:rFonts w:ascii="Arial" w:hAnsi="Arial" w:cs="Arial"/>
                <w:sz w:val="20"/>
                <w:szCs w:val="20"/>
              </w:rPr>
            </w:pPr>
          </w:p>
        </w:tc>
        <w:tc>
          <w:tcPr>
            <w:tcW w:w="1170" w:type="dxa"/>
            <w:vMerge/>
          </w:tcPr>
          <w:p w14:paraId="4BBF06AC" w14:textId="77777777" w:rsidR="00020A3D" w:rsidRPr="003550F0" w:rsidRDefault="00020A3D" w:rsidP="003550F0">
            <w:pPr>
              <w:jc w:val="both"/>
              <w:rPr>
                <w:rFonts w:ascii="Arial" w:hAnsi="Arial" w:cs="Arial"/>
                <w:sz w:val="20"/>
                <w:szCs w:val="20"/>
              </w:rPr>
            </w:pPr>
          </w:p>
        </w:tc>
        <w:tc>
          <w:tcPr>
            <w:tcW w:w="1620" w:type="dxa"/>
            <w:tcBorders>
              <w:top w:val="nil"/>
              <w:bottom w:val="nil"/>
            </w:tcBorders>
          </w:tcPr>
          <w:p w14:paraId="7A6FD823" w14:textId="03E9DAC7" w:rsidR="00020A3D" w:rsidRPr="003550F0" w:rsidRDefault="00020A3D"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2FC3A6E2" w14:textId="25CF4A6D" w:rsidR="00020A3D" w:rsidRPr="003550F0" w:rsidRDefault="00020A3D" w:rsidP="003550F0">
            <w:pPr>
              <w:jc w:val="both"/>
              <w:rPr>
                <w:rFonts w:ascii="Arial" w:hAnsi="Arial" w:cs="Arial"/>
                <w:sz w:val="20"/>
                <w:szCs w:val="20"/>
              </w:rPr>
            </w:pPr>
            <w:r>
              <w:rPr>
                <w:rFonts w:ascii="Arial" w:hAnsi="Arial" w:cs="Arial"/>
                <w:sz w:val="20"/>
                <w:szCs w:val="20"/>
              </w:rPr>
              <w:t>02</w:t>
            </w:r>
          </w:p>
        </w:tc>
      </w:tr>
      <w:tr w:rsidR="00506E29" w:rsidRPr="003550F0" w14:paraId="31884E20" w14:textId="77777777" w:rsidTr="00020A3D">
        <w:tc>
          <w:tcPr>
            <w:tcW w:w="1572" w:type="dxa"/>
            <w:vMerge w:val="restart"/>
          </w:tcPr>
          <w:p w14:paraId="5EE9FE04" w14:textId="77777777" w:rsidR="00506E29" w:rsidRPr="003550F0" w:rsidRDefault="00506E29" w:rsidP="003550F0">
            <w:pPr>
              <w:jc w:val="both"/>
              <w:rPr>
                <w:rFonts w:ascii="Arial" w:hAnsi="Arial" w:cs="Arial"/>
                <w:sz w:val="20"/>
                <w:szCs w:val="20"/>
              </w:rPr>
            </w:pPr>
          </w:p>
        </w:tc>
        <w:tc>
          <w:tcPr>
            <w:tcW w:w="1215" w:type="dxa"/>
          </w:tcPr>
          <w:p w14:paraId="51C2BBB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03</w:t>
            </w:r>
          </w:p>
          <w:p w14:paraId="36A73FC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(1.96%)</w:t>
            </w:r>
          </w:p>
        </w:tc>
        <w:tc>
          <w:tcPr>
            <w:tcW w:w="1261" w:type="dxa"/>
            <w:gridSpan w:val="2"/>
          </w:tcPr>
          <w:p w14:paraId="4946A44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02</w:t>
            </w:r>
          </w:p>
          <w:p w14:paraId="3618788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(11.11%)</w:t>
            </w:r>
          </w:p>
        </w:tc>
        <w:tc>
          <w:tcPr>
            <w:tcW w:w="1172" w:type="dxa"/>
            <w:vMerge/>
          </w:tcPr>
          <w:p w14:paraId="63D5ADBC" w14:textId="77777777" w:rsidR="00506E29" w:rsidRPr="003550F0" w:rsidRDefault="00506E29" w:rsidP="003550F0">
            <w:pPr>
              <w:jc w:val="both"/>
              <w:rPr>
                <w:rFonts w:ascii="Arial" w:hAnsi="Arial" w:cs="Arial"/>
                <w:sz w:val="20"/>
                <w:szCs w:val="20"/>
              </w:rPr>
            </w:pPr>
          </w:p>
        </w:tc>
        <w:tc>
          <w:tcPr>
            <w:tcW w:w="1170" w:type="dxa"/>
            <w:vMerge/>
          </w:tcPr>
          <w:p w14:paraId="1776F072" w14:textId="77777777" w:rsidR="00506E29" w:rsidRPr="003550F0" w:rsidRDefault="00506E29" w:rsidP="003550F0">
            <w:pPr>
              <w:jc w:val="both"/>
              <w:rPr>
                <w:rFonts w:ascii="Arial" w:hAnsi="Arial" w:cs="Arial"/>
                <w:sz w:val="20"/>
                <w:szCs w:val="20"/>
              </w:rPr>
            </w:pPr>
          </w:p>
        </w:tc>
        <w:tc>
          <w:tcPr>
            <w:tcW w:w="1620" w:type="dxa"/>
            <w:tcBorders>
              <w:top w:val="nil"/>
            </w:tcBorders>
          </w:tcPr>
          <w:p w14:paraId="48F3158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308D2319" w14:textId="77777777" w:rsidR="00506E29" w:rsidRPr="003550F0" w:rsidRDefault="00506E29" w:rsidP="003550F0">
            <w:pPr>
              <w:jc w:val="both"/>
              <w:rPr>
                <w:rFonts w:ascii="Arial" w:hAnsi="Arial" w:cs="Arial"/>
                <w:sz w:val="20"/>
                <w:szCs w:val="20"/>
              </w:rPr>
            </w:pPr>
          </w:p>
        </w:tc>
      </w:tr>
      <w:tr w:rsidR="000A248F" w:rsidRPr="003550F0" w14:paraId="2196C381" w14:textId="77777777" w:rsidTr="000A248F">
        <w:tc>
          <w:tcPr>
            <w:tcW w:w="1572" w:type="dxa"/>
            <w:vMerge/>
          </w:tcPr>
          <w:p w14:paraId="5529E582" w14:textId="77777777" w:rsidR="000A248F" w:rsidRPr="003550F0" w:rsidRDefault="000A248F" w:rsidP="003550F0">
            <w:pPr>
              <w:jc w:val="both"/>
              <w:rPr>
                <w:rFonts w:ascii="Arial" w:hAnsi="Arial" w:cs="Arial"/>
                <w:sz w:val="20"/>
                <w:szCs w:val="20"/>
              </w:rPr>
            </w:pPr>
          </w:p>
        </w:tc>
        <w:tc>
          <w:tcPr>
            <w:tcW w:w="2476" w:type="dxa"/>
            <w:gridSpan w:val="3"/>
          </w:tcPr>
          <w:p w14:paraId="43569BCB"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05</w:t>
            </w:r>
          </w:p>
        </w:tc>
        <w:tc>
          <w:tcPr>
            <w:tcW w:w="1172" w:type="dxa"/>
            <w:vMerge/>
          </w:tcPr>
          <w:p w14:paraId="6CA3A657" w14:textId="77777777" w:rsidR="000A248F" w:rsidRPr="003550F0" w:rsidRDefault="000A248F" w:rsidP="003550F0">
            <w:pPr>
              <w:jc w:val="both"/>
              <w:rPr>
                <w:rFonts w:ascii="Arial" w:hAnsi="Arial" w:cs="Arial"/>
                <w:sz w:val="20"/>
                <w:szCs w:val="20"/>
              </w:rPr>
            </w:pPr>
          </w:p>
        </w:tc>
        <w:tc>
          <w:tcPr>
            <w:tcW w:w="1170" w:type="dxa"/>
            <w:vMerge/>
          </w:tcPr>
          <w:p w14:paraId="5D315183" w14:textId="77777777" w:rsidR="000A248F" w:rsidRPr="003550F0" w:rsidRDefault="000A248F" w:rsidP="003550F0">
            <w:pPr>
              <w:jc w:val="both"/>
              <w:rPr>
                <w:rFonts w:ascii="Arial" w:hAnsi="Arial" w:cs="Arial"/>
                <w:sz w:val="20"/>
                <w:szCs w:val="20"/>
              </w:rPr>
            </w:pPr>
          </w:p>
        </w:tc>
        <w:tc>
          <w:tcPr>
            <w:tcW w:w="3150" w:type="dxa"/>
            <w:gridSpan w:val="2"/>
          </w:tcPr>
          <w:p w14:paraId="4EBF7275" w14:textId="77777777" w:rsidR="000A248F" w:rsidRPr="000A248F" w:rsidRDefault="000A248F" w:rsidP="000A248F">
            <w:pPr>
              <w:jc w:val="center"/>
              <w:rPr>
                <w:rFonts w:ascii="Arial" w:hAnsi="Arial" w:cs="Arial"/>
                <w:sz w:val="20"/>
                <w:szCs w:val="20"/>
                <w:highlight w:val="yellow"/>
              </w:rPr>
            </w:pPr>
            <w:r w:rsidRPr="00020A3D">
              <w:rPr>
                <w:rFonts w:ascii="Arial" w:hAnsi="Arial" w:cs="Arial"/>
                <w:sz w:val="20"/>
                <w:szCs w:val="20"/>
              </w:rPr>
              <w:t>Total = 05</w:t>
            </w:r>
          </w:p>
        </w:tc>
      </w:tr>
      <w:tr w:rsidR="00506E29" w:rsidRPr="003550F0" w14:paraId="388C1B8C" w14:textId="77777777" w:rsidTr="000A248F">
        <w:tc>
          <w:tcPr>
            <w:tcW w:w="1572" w:type="dxa"/>
          </w:tcPr>
          <w:p w14:paraId="2FD6EC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Pr>
          <w:p w14:paraId="634B26D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551F0164" w14:textId="77777777" w:rsidR="00506E29" w:rsidRPr="003550F0" w:rsidRDefault="00506E29" w:rsidP="003550F0">
            <w:pPr>
              <w:jc w:val="both"/>
              <w:rPr>
                <w:rFonts w:ascii="Arial" w:hAnsi="Arial" w:cs="Arial"/>
                <w:sz w:val="20"/>
                <w:szCs w:val="20"/>
              </w:rPr>
            </w:pPr>
          </w:p>
        </w:tc>
        <w:tc>
          <w:tcPr>
            <w:tcW w:w="1172" w:type="dxa"/>
            <w:vMerge w:val="restart"/>
          </w:tcPr>
          <w:p w14:paraId="21854501" w14:textId="77777777" w:rsidR="00506E29" w:rsidRPr="003550F0" w:rsidRDefault="00506E29" w:rsidP="003550F0">
            <w:pPr>
              <w:jc w:val="both"/>
              <w:rPr>
                <w:rFonts w:ascii="Arial" w:hAnsi="Arial" w:cs="Arial"/>
                <w:sz w:val="20"/>
                <w:szCs w:val="20"/>
              </w:rPr>
            </w:pPr>
          </w:p>
          <w:p w14:paraId="10B4EB8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lastRenderedPageBreak/>
              <w:t>0.58%</w:t>
            </w:r>
          </w:p>
        </w:tc>
        <w:tc>
          <w:tcPr>
            <w:tcW w:w="1170" w:type="dxa"/>
            <w:vMerge w:val="restart"/>
          </w:tcPr>
          <w:p w14:paraId="07BBEA9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lastRenderedPageBreak/>
              <w:t>Govt. employee, Private job holder</w:t>
            </w:r>
          </w:p>
        </w:tc>
        <w:tc>
          <w:tcPr>
            <w:tcW w:w="1620" w:type="dxa"/>
          </w:tcPr>
          <w:p w14:paraId="4F2463B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Pr>
          <w:p w14:paraId="42119BA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07012953" w14:textId="77777777" w:rsidTr="000A248F">
        <w:tc>
          <w:tcPr>
            <w:tcW w:w="1572" w:type="dxa"/>
            <w:vMerge w:val="restart"/>
          </w:tcPr>
          <w:p w14:paraId="72099C34" w14:textId="77777777" w:rsidR="00506E29" w:rsidRPr="003550F0" w:rsidRDefault="00506E29" w:rsidP="003550F0">
            <w:pPr>
              <w:jc w:val="both"/>
              <w:rPr>
                <w:rFonts w:ascii="Arial" w:hAnsi="Arial" w:cs="Arial"/>
                <w:sz w:val="20"/>
                <w:szCs w:val="20"/>
              </w:rPr>
            </w:pPr>
          </w:p>
        </w:tc>
        <w:tc>
          <w:tcPr>
            <w:tcW w:w="1215" w:type="dxa"/>
          </w:tcPr>
          <w:p w14:paraId="75BA68A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p w14:paraId="0B4CDE8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(0.65%)</w:t>
            </w:r>
          </w:p>
        </w:tc>
        <w:tc>
          <w:tcPr>
            <w:tcW w:w="1261" w:type="dxa"/>
            <w:gridSpan w:val="2"/>
          </w:tcPr>
          <w:p w14:paraId="1F00B1A3" w14:textId="77777777" w:rsidR="00506E29" w:rsidRPr="003550F0" w:rsidRDefault="00506E29" w:rsidP="003550F0">
            <w:pPr>
              <w:jc w:val="both"/>
              <w:rPr>
                <w:rFonts w:ascii="Arial" w:hAnsi="Arial" w:cs="Arial"/>
                <w:sz w:val="20"/>
                <w:szCs w:val="20"/>
              </w:rPr>
            </w:pPr>
          </w:p>
        </w:tc>
        <w:tc>
          <w:tcPr>
            <w:tcW w:w="1172" w:type="dxa"/>
            <w:vMerge/>
          </w:tcPr>
          <w:p w14:paraId="78AB8B95" w14:textId="77777777" w:rsidR="00506E29" w:rsidRPr="003550F0" w:rsidRDefault="00506E29" w:rsidP="003550F0">
            <w:pPr>
              <w:jc w:val="both"/>
              <w:rPr>
                <w:rFonts w:ascii="Arial" w:hAnsi="Arial" w:cs="Arial"/>
                <w:sz w:val="20"/>
                <w:szCs w:val="20"/>
              </w:rPr>
            </w:pPr>
          </w:p>
        </w:tc>
        <w:tc>
          <w:tcPr>
            <w:tcW w:w="1170" w:type="dxa"/>
            <w:vMerge/>
          </w:tcPr>
          <w:p w14:paraId="6816DD5F" w14:textId="77777777" w:rsidR="00506E29" w:rsidRPr="003550F0" w:rsidRDefault="00506E29" w:rsidP="003550F0">
            <w:pPr>
              <w:jc w:val="both"/>
              <w:rPr>
                <w:rFonts w:ascii="Arial" w:hAnsi="Arial" w:cs="Arial"/>
                <w:sz w:val="20"/>
                <w:szCs w:val="20"/>
              </w:rPr>
            </w:pPr>
          </w:p>
        </w:tc>
        <w:tc>
          <w:tcPr>
            <w:tcW w:w="1620" w:type="dxa"/>
          </w:tcPr>
          <w:p w14:paraId="5037644C" w14:textId="77777777" w:rsidR="00506E29" w:rsidRPr="003550F0" w:rsidRDefault="00506E29" w:rsidP="003550F0">
            <w:pPr>
              <w:jc w:val="both"/>
              <w:rPr>
                <w:rFonts w:ascii="Arial" w:hAnsi="Arial" w:cs="Arial"/>
                <w:sz w:val="20"/>
                <w:szCs w:val="20"/>
              </w:rPr>
            </w:pPr>
          </w:p>
        </w:tc>
        <w:tc>
          <w:tcPr>
            <w:tcW w:w="1530" w:type="dxa"/>
          </w:tcPr>
          <w:p w14:paraId="780F88D4" w14:textId="77777777" w:rsidR="00506E29" w:rsidRPr="003550F0" w:rsidRDefault="00506E29" w:rsidP="003550F0">
            <w:pPr>
              <w:jc w:val="both"/>
              <w:rPr>
                <w:rFonts w:ascii="Arial" w:hAnsi="Arial" w:cs="Arial"/>
                <w:sz w:val="20"/>
                <w:szCs w:val="20"/>
              </w:rPr>
            </w:pPr>
          </w:p>
        </w:tc>
      </w:tr>
      <w:tr w:rsidR="00506E29" w:rsidRPr="003550F0" w14:paraId="19E5AB1A" w14:textId="77777777" w:rsidTr="000A248F">
        <w:tc>
          <w:tcPr>
            <w:tcW w:w="1572" w:type="dxa"/>
            <w:vMerge/>
            <w:tcBorders>
              <w:bottom w:val="single" w:sz="4" w:space="0" w:color="auto"/>
            </w:tcBorders>
          </w:tcPr>
          <w:p w14:paraId="529B15D1" w14:textId="77777777" w:rsidR="00506E29" w:rsidRPr="003550F0" w:rsidRDefault="00506E29" w:rsidP="003550F0">
            <w:pPr>
              <w:jc w:val="both"/>
              <w:rPr>
                <w:rFonts w:ascii="Arial" w:hAnsi="Arial" w:cs="Arial"/>
                <w:sz w:val="20"/>
                <w:szCs w:val="20"/>
              </w:rPr>
            </w:pPr>
          </w:p>
        </w:tc>
        <w:tc>
          <w:tcPr>
            <w:tcW w:w="2476" w:type="dxa"/>
            <w:gridSpan w:val="3"/>
          </w:tcPr>
          <w:p w14:paraId="22A0C367" w14:textId="77777777" w:rsidR="00506E29" w:rsidRPr="003550F0" w:rsidRDefault="00506E29" w:rsidP="000A248F">
            <w:pPr>
              <w:jc w:val="center"/>
              <w:rPr>
                <w:rFonts w:ascii="Arial" w:hAnsi="Arial" w:cs="Arial"/>
                <w:sz w:val="20"/>
                <w:szCs w:val="20"/>
              </w:rPr>
            </w:pPr>
            <w:r w:rsidRPr="003550F0">
              <w:rPr>
                <w:rFonts w:ascii="Arial" w:hAnsi="Arial" w:cs="Arial"/>
                <w:sz w:val="20"/>
                <w:szCs w:val="20"/>
              </w:rPr>
              <w:t>Total = 01</w:t>
            </w:r>
          </w:p>
        </w:tc>
        <w:tc>
          <w:tcPr>
            <w:tcW w:w="1172" w:type="dxa"/>
            <w:vMerge/>
          </w:tcPr>
          <w:p w14:paraId="0C74FD0B" w14:textId="77777777" w:rsidR="00506E29" w:rsidRPr="003550F0" w:rsidRDefault="00506E29" w:rsidP="003550F0">
            <w:pPr>
              <w:jc w:val="both"/>
              <w:rPr>
                <w:rFonts w:ascii="Arial" w:hAnsi="Arial" w:cs="Arial"/>
                <w:sz w:val="20"/>
                <w:szCs w:val="20"/>
              </w:rPr>
            </w:pPr>
          </w:p>
        </w:tc>
        <w:tc>
          <w:tcPr>
            <w:tcW w:w="1170" w:type="dxa"/>
            <w:vMerge/>
          </w:tcPr>
          <w:p w14:paraId="7F1C526E" w14:textId="77777777" w:rsidR="00506E29" w:rsidRPr="003550F0" w:rsidRDefault="00506E29" w:rsidP="003550F0">
            <w:pPr>
              <w:jc w:val="both"/>
              <w:rPr>
                <w:rFonts w:ascii="Arial" w:hAnsi="Arial" w:cs="Arial"/>
                <w:sz w:val="20"/>
                <w:szCs w:val="20"/>
              </w:rPr>
            </w:pPr>
          </w:p>
        </w:tc>
        <w:tc>
          <w:tcPr>
            <w:tcW w:w="1620" w:type="dxa"/>
            <w:tcBorders>
              <w:bottom w:val="single" w:sz="4" w:space="0" w:color="auto"/>
            </w:tcBorders>
          </w:tcPr>
          <w:p w14:paraId="7C933214" w14:textId="77777777" w:rsidR="00506E29" w:rsidRPr="003550F0" w:rsidRDefault="00506E29" w:rsidP="003550F0">
            <w:pPr>
              <w:jc w:val="both"/>
              <w:rPr>
                <w:rFonts w:ascii="Arial" w:hAnsi="Arial" w:cs="Arial"/>
                <w:sz w:val="20"/>
                <w:szCs w:val="20"/>
              </w:rPr>
            </w:pPr>
          </w:p>
        </w:tc>
        <w:tc>
          <w:tcPr>
            <w:tcW w:w="1530" w:type="dxa"/>
            <w:tcBorders>
              <w:bottom w:val="single" w:sz="4" w:space="0" w:color="auto"/>
            </w:tcBorders>
          </w:tcPr>
          <w:p w14:paraId="35F52D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tc>
      </w:tr>
      <w:tr w:rsidR="00506E29" w:rsidRPr="003550F0" w14:paraId="63331313" w14:textId="77777777" w:rsidTr="000A248F">
        <w:tc>
          <w:tcPr>
            <w:tcW w:w="1572" w:type="dxa"/>
            <w:tcBorders>
              <w:bottom w:val="nil"/>
            </w:tcBorders>
          </w:tcPr>
          <w:p w14:paraId="1AE1BDD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613CC030" w14:textId="77777777" w:rsidR="00506E29" w:rsidRPr="003550F0" w:rsidRDefault="00506E29" w:rsidP="003550F0">
            <w:pPr>
              <w:jc w:val="both"/>
              <w:rPr>
                <w:rFonts w:ascii="Arial" w:hAnsi="Arial" w:cs="Arial"/>
                <w:sz w:val="20"/>
                <w:szCs w:val="20"/>
              </w:rPr>
            </w:pPr>
          </w:p>
        </w:tc>
        <w:tc>
          <w:tcPr>
            <w:tcW w:w="1261" w:type="dxa"/>
            <w:gridSpan w:val="2"/>
            <w:tcBorders>
              <w:bottom w:val="nil"/>
            </w:tcBorders>
          </w:tcPr>
          <w:p w14:paraId="72A5DE8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6056F33A" w14:textId="77777777" w:rsidR="00506E29" w:rsidRPr="003550F0" w:rsidRDefault="00506E29" w:rsidP="003550F0">
            <w:pPr>
              <w:jc w:val="both"/>
              <w:rPr>
                <w:rFonts w:ascii="Arial" w:hAnsi="Arial" w:cs="Arial"/>
                <w:sz w:val="20"/>
                <w:szCs w:val="20"/>
              </w:rPr>
            </w:pPr>
          </w:p>
          <w:p w14:paraId="02BDE099" w14:textId="77777777" w:rsidR="00506E29" w:rsidRPr="003550F0" w:rsidRDefault="00506E29" w:rsidP="003550F0">
            <w:pPr>
              <w:jc w:val="both"/>
              <w:rPr>
                <w:rFonts w:ascii="Arial" w:hAnsi="Arial" w:cs="Arial"/>
                <w:sz w:val="20"/>
                <w:szCs w:val="20"/>
              </w:rPr>
            </w:pPr>
          </w:p>
          <w:p w14:paraId="495E0FF8" w14:textId="77777777" w:rsidR="00506E29" w:rsidRPr="003550F0" w:rsidRDefault="00506E29" w:rsidP="003550F0">
            <w:pPr>
              <w:jc w:val="both"/>
              <w:rPr>
                <w:rFonts w:ascii="Arial" w:hAnsi="Arial" w:cs="Arial"/>
                <w:sz w:val="20"/>
                <w:szCs w:val="20"/>
              </w:rPr>
            </w:pPr>
          </w:p>
          <w:p w14:paraId="38977463" w14:textId="77777777" w:rsidR="00506E29" w:rsidRPr="003550F0" w:rsidRDefault="00506E29" w:rsidP="003550F0">
            <w:pPr>
              <w:jc w:val="both"/>
              <w:rPr>
                <w:rFonts w:ascii="Arial" w:hAnsi="Arial" w:cs="Arial"/>
                <w:sz w:val="20"/>
                <w:szCs w:val="20"/>
              </w:rPr>
            </w:pPr>
          </w:p>
          <w:p w14:paraId="2558DBE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2.92%</w:t>
            </w:r>
          </w:p>
        </w:tc>
        <w:tc>
          <w:tcPr>
            <w:tcW w:w="1170" w:type="dxa"/>
            <w:vMerge w:val="restart"/>
          </w:tcPr>
          <w:p w14:paraId="5CF8C98A" w14:textId="77777777" w:rsidR="00506E29" w:rsidRPr="003550F0" w:rsidRDefault="00506E29" w:rsidP="003550F0">
            <w:pPr>
              <w:jc w:val="both"/>
              <w:rPr>
                <w:rFonts w:ascii="Arial" w:hAnsi="Arial" w:cs="Arial"/>
                <w:sz w:val="20"/>
                <w:szCs w:val="20"/>
              </w:rPr>
            </w:pPr>
          </w:p>
          <w:p w14:paraId="4F589BCF" w14:textId="77777777" w:rsidR="00506E29" w:rsidRPr="003550F0" w:rsidRDefault="00506E29" w:rsidP="003550F0">
            <w:pPr>
              <w:jc w:val="both"/>
              <w:rPr>
                <w:rFonts w:ascii="Arial" w:hAnsi="Arial" w:cs="Arial"/>
                <w:sz w:val="20"/>
                <w:szCs w:val="20"/>
              </w:rPr>
            </w:pPr>
          </w:p>
          <w:p w14:paraId="155E2486" w14:textId="77777777" w:rsidR="00506E29" w:rsidRPr="003550F0" w:rsidRDefault="00506E29" w:rsidP="003550F0">
            <w:pPr>
              <w:jc w:val="both"/>
              <w:rPr>
                <w:rFonts w:ascii="Arial" w:hAnsi="Arial" w:cs="Arial"/>
                <w:sz w:val="20"/>
                <w:szCs w:val="20"/>
              </w:rPr>
            </w:pPr>
          </w:p>
          <w:p w14:paraId="57ABF7B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Businessman, Farmer</w:t>
            </w:r>
          </w:p>
        </w:tc>
        <w:tc>
          <w:tcPr>
            <w:tcW w:w="1620" w:type="dxa"/>
            <w:tcBorders>
              <w:bottom w:val="nil"/>
            </w:tcBorders>
          </w:tcPr>
          <w:p w14:paraId="7B4B8C9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1C5E280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4993E7AF" w14:textId="77777777" w:rsidTr="000A248F">
        <w:tc>
          <w:tcPr>
            <w:tcW w:w="1572" w:type="dxa"/>
            <w:tcBorders>
              <w:top w:val="nil"/>
              <w:bottom w:val="nil"/>
            </w:tcBorders>
          </w:tcPr>
          <w:p w14:paraId="396F9B0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099ABD80" w14:textId="77777777" w:rsidR="00506E29" w:rsidRPr="003550F0" w:rsidRDefault="00506E29" w:rsidP="003550F0">
            <w:pPr>
              <w:jc w:val="both"/>
              <w:rPr>
                <w:rFonts w:ascii="Arial" w:hAnsi="Arial" w:cs="Arial"/>
                <w:sz w:val="20"/>
                <w:szCs w:val="20"/>
              </w:rPr>
            </w:pPr>
          </w:p>
        </w:tc>
        <w:tc>
          <w:tcPr>
            <w:tcW w:w="1261" w:type="dxa"/>
            <w:gridSpan w:val="2"/>
            <w:tcBorders>
              <w:top w:val="nil"/>
              <w:bottom w:val="nil"/>
            </w:tcBorders>
          </w:tcPr>
          <w:p w14:paraId="10649133" w14:textId="77777777" w:rsidR="00506E29" w:rsidRPr="003550F0" w:rsidRDefault="00506E29" w:rsidP="003550F0">
            <w:pPr>
              <w:jc w:val="both"/>
              <w:rPr>
                <w:rFonts w:ascii="Arial" w:hAnsi="Arial" w:cs="Arial"/>
                <w:sz w:val="20"/>
                <w:szCs w:val="20"/>
              </w:rPr>
            </w:pPr>
          </w:p>
        </w:tc>
        <w:tc>
          <w:tcPr>
            <w:tcW w:w="1172" w:type="dxa"/>
            <w:vMerge/>
          </w:tcPr>
          <w:p w14:paraId="7D22FFC1" w14:textId="77777777" w:rsidR="00506E29" w:rsidRPr="003550F0" w:rsidRDefault="00506E29" w:rsidP="003550F0">
            <w:pPr>
              <w:jc w:val="both"/>
              <w:rPr>
                <w:rFonts w:ascii="Arial" w:hAnsi="Arial" w:cs="Arial"/>
                <w:sz w:val="20"/>
                <w:szCs w:val="20"/>
              </w:rPr>
            </w:pPr>
          </w:p>
        </w:tc>
        <w:tc>
          <w:tcPr>
            <w:tcW w:w="1170" w:type="dxa"/>
            <w:vMerge/>
          </w:tcPr>
          <w:p w14:paraId="42BA9217"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A83435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68BA2E6D" w14:textId="77777777" w:rsidR="00506E29" w:rsidRPr="003550F0" w:rsidRDefault="00506E29" w:rsidP="003550F0">
            <w:pPr>
              <w:jc w:val="both"/>
              <w:rPr>
                <w:rFonts w:ascii="Arial" w:hAnsi="Arial" w:cs="Arial"/>
                <w:sz w:val="20"/>
                <w:szCs w:val="20"/>
              </w:rPr>
            </w:pPr>
          </w:p>
        </w:tc>
      </w:tr>
      <w:tr w:rsidR="00506E29" w:rsidRPr="003550F0" w14:paraId="2C7A5DAB" w14:textId="77777777" w:rsidTr="000A248F">
        <w:tc>
          <w:tcPr>
            <w:tcW w:w="1572" w:type="dxa"/>
            <w:tcBorders>
              <w:top w:val="nil"/>
              <w:bottom w:val="nil"/>
            </w:tcBorders>
          </w:tcPr>
          <w:p w14:paraId="4A2C077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1627CA8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261" w:type="dxa"/>
            <w:gridSpan w:val="2"/>
            <w:tcBorders>
              <w:top w:val="nil"/>
              <w:bottom w:val="nil"/>
            </w:tcBorders>
          </w:tcPr>
          <w:p w14:paraId="0F919CE0" w14:textId="77777777" w:rsidR="00506E29" w:rsidRPr="003550F0" w:rsidRDefault="00506E29" w:rsidP="003550F0">
            <w:pPr>
              <w:jc w:val="both"/>
              <w:rPr>
                <w:rFonts w:ascii="Arial" w:hAnsi="Arial" w:cs="Arial"/>
                <w:sz w:val="20"/>
                <w:szCs w:val="20"/>
              </w:rPr>
            </w:pPr>
          </w:p>
        </w:tc>
        <w:tc>
          <w:tcPr>
            <w:tcW w:w="1172" w:type="dxa"/>
            <w:vMerge/>
          </w:tcPr>
          <w:p w14:paraId="603BEC34" w14:textId="77777777" w:rsidR="00506E29" w:rsidRPr="003550F0" w:rsidRDefault="00506E29" w:rsidP="003550F0">
            <w:pPr>
              <w:jc w:val="both"/>
              <w:rPr>
                <w:rFonts w:ascii="Arial" w:hAnsi="Arial" w:cs="Arial"/>
                <w:sz w:val="20"/>
                <w:szCs w:val="20"/>
              </w:rPr>
            </w:pPr>
          </w:p>
        </w:tc>
        <w:tc>
          <w:tcPr>
            <w:tcW w:w="1170" w:type="dxa"/>
            <w:vMerge/>
          </w:tcPr>
          <w:p w14:paraId="75E174E2"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654DF4D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7AB5D35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506E29" w:rsidRPr="003550F0" w14:paraId="50CF5DEF" w14:textId="77777777" w:rsidTr="000A248F">
        <w:tc>
          <w:tcPr>
            <w:tcW w:w="1572" w:type="dxa"/>
            <w:tcBorders>
              <w:top w:val="nil"/>
              <w:bottom w:val="nil"/>
            </w:tcBorders>
          </w:tcPr>
          <w:p w14:paraId="6D683CA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52EC33E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4A8FFF5B" w14:textId="77777777" w:rsidR="00506E29" w:rsidRPr="003550F0" w:rsidRDefault="00506E29" w:rsidP="003550F0">
            <w:pPr>
              <w:jc w:val="both"/>
              <w:rPr>
                <w:rFonts w:ascii="Arial" w:hAnsi="Arial" w:cs="Arial"/>
                <w:sz w:val="20"/>
                <w:szCs w:val="20"/>
              </w:rPr>
            </w:pPr>
          </w:p>
        </w:tc>
        <w:tc>
          <w:tcPr>
            <w:tcW w:w="1172" w:type="dxa"/>
            <w:vMerge/>
          </w:tcPr>
          <w:p w14:paraId="1144291E" w14:textId="77777777" w:rsidR="00506E29" w:rsidRPr="003550F0" w:rsidRDefault="00506E29" w:rsidP="003550F0">
            <w:pPr>
              <w:jc w:val="both"/>
              <w:rPr>
                <w:rFonts w:ascii="Arial" w:hAnsi="Arial" w:cs="Arial"/>
                <w:sz w:val="20"/>
                <w:szCs w:val="20"/>
              </w:rPr>
            </w:pPr>
          </w:p>
        </w:tc>
        <w:tc>
          <w:tcPr>
            <w:tcW w:w="1170" w:type="dxa"/>
            <w:vMerge/>
          </w:tcPr>
          <w:p w14:paraId="7EEA1C51"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64D4702"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0DAA1409" w14:textId="77777777" w:rsidR="00506E29" w:rsidRPr="003550F0" w:rsidRDefault="00506E29" w:rsidP="003550F0">
            <w:pPr>
              <w:jc w:val="both"/>
              <w:rPr>
                <w:rFonts w:ascii="Arial" w:hAnsi="Arial" w:cs="Arial"/>
                <w:sz w:val="20"/>
                <w:szCs w:val="20"/>
              </w:rPr>
            </w:pPr>
          </w:p>
        </w:tc>
      </w:tr>
      <w:tr w:rsidR="00506E29" w:rsidRPr="003550F0" w14:paraId="7C5F84BE" w14:textId="77777777" w:rsidTr="000A248F">
        <w:tc>
          <w:tcPr>
            <w:tcW w:w="1572" w:type="dxa"/>
            <w:tcBorders>
              <w:top w:val="nil"/>
              <w:bottom w:val="nil"/>
            </w:tcBorders>
          </w:tcPr>
          <w:p w14:paraId="3E536A4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2121C299" w14:textId="77777777" w:rsidR="00506E29" w:rsidRPr="003550F0" w:rsidRDefault="00506E29" w:rsidP="003550F0">
            <w:pPr>
              <w:jc w:val="both"/>
              <w:rPr>
                <w:rFonts w:ascii="Arial" w:hAnsi="Arial" w:cs="Arial"/>
                <w:sz w:val="20"/>
                <w:szCs w:val="20"/>
              </w:rPr>
            </w:pPr>
          </w:p>
        </w:tc>
        <w:tc>
          <w:tcPr>
            <w:tcW w:w="1261" w:type="dxa"/>
            <w:gridSpan w:val="2"/>
            <w:tcBorders>
              <w:top w:val="nil"/>
              <w:bottom w:val="nil"/>
            </w:tcBorders>
          </w:tcPr>
          <w:p w14:paraId="27332B05" w14:textId="77777777" w:rsidR="00506E29" w:rsidRPr="003550F0" w:rsidRDefault="00506E29" w:rsidP="003550F0">
            <w:pPr>
              <w:jc w:val="both"/>
              <w:rPr>
                <w:rFonts w:ascii="Arial" w:hAnsi="Arial" w:cs="Arial"/>
                <w:sz w:val="20"/>
                <w:szCs w:val="20"/>
              </w:rPr>
            </w:pPr>
          </w:p>
        </w:tc>
        <w:tc>
          <w:tcPr>
            <w:tcW w:w="1172" w:type="dxa"/>
            <w:vMerge/>
          </w:tcPr>
          <w:p w14:paraId="71062492" w14:textId="77777777" w:rsidR="00506E29" w:rsidRPr="003550F0" w:rsidRDefault="00506E29" w:rsidP="003550F0">
            <w:pPr>
              <w:jc w:val="both"/>
              <w:rPr>
                <w:rFonts w:ascii="Arial" w:hAnsi="Arial" w:cs="Arial"/>
                <w:sz w:val="20"/>
                <w:szCs w:val="20"/>
              </w:rPr>
            </w:pPr>
          </w:p>
        </w:tc>
        <w:tc>
          <w:tcPr>
            <w:tcW w:w="1170" w:type="dxa"/>
            <w:vMerge/>
          </w:tcPr>
          <w:p w14:paraId="13B5F95E"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72C363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06296049" w14:textId="77777777" w:rsidR="00506E29" w:rsidRPr="003550F0" w:rsidRDefault="00506E29" w:rsidP="003550F0">
            <w:pPr>
              <w:jc w:val="both"/>
              <w:rPr>
                <w:rFonts w:ascii="Arial" w:hAnsi="Arial" w:cs="Arial"/>
                <w:sz w:val="20"/>
                <w:szCs w:val="20"/>
              </w:rPr>
            </w:pPr>
          </w:p>
        </w:tc>
      </w:tr>
      <w:tr w:rsidR="00506E29" w:rsidRPr="003550F0" w14:paraId="3E2A2CAE" w14:textId="77777777" w:rsidTr="000A248F">
        <w:tc>
          <w:tcPr>
            <w:tcW w:w="1572" w:type="dxa"/>
            <w:tcBorders>
              <w:top w:val="nil"/>
            </w:tcBorders>
          </w:tcPr>
          <w:p w14:paraId="77745E0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25+</w:t>
            </w:r>
          </w:p>
        </w:tc>
        <w:tc>
          <w:tcPr>
            <w:tcW w:w="1215" w:type="dxa"/>
            <w:tcBorders>
              <w:top w:val="nil"/>
            </w:tcBorders>
          </w:tcPr>
          <w:p w14:paraId="464795FF" w14:textId="77777777" w:rsidR="00506E29" w:rsidRPr="003550F0" w:rsidRDefault="00506E29" w:rsidP="003550F0">
            <w:pPr>
              <w:jc w:val="both"/>
              <w:rPr>
                <w:rFonts w:ascii="Arial" w:hAnsi="Arial" w:cs="Arial"/>
                <w:sz w:val="20"/>
                <w:szCs w:val="20"/>
              </w:rPr>
            </w:pPr>
          </w:p>
        </w:tc>
        <w:tc>
          <w:tcPr>
            <w:tcW w:w="1261" w:type="dxa"/>
            <w:gridSpan w:val="2"/>
            <w:tcBorders>
              <w:top w:val="nil"/>
            </w:tcBorders>
          </w:tcPr>
          <w:p w14:paraId="435229AF" w14:textId="77777777" w:rsidR="00506E29" w:rsidRPr="003550F0" w:rsidRDefault="00506E29" w:rsidP="003550F0">
            <w:pPr>
              <w:jc w:val="both"/>
              <w:rPr>
                <w:rFonts w:ascii="Arial" w:hAnsi="Arial" w:cs="Arial"/>
                <w:sz w:val="20"/>
                <w:szCs w:val="20"/>
              </w:rPr>
            </w:pPr>
          </w:p>
        </w:tc>
        <w:tc>
          <w:tcPr>
            <w:tcW w:w="1172" w:type="dxa"/>
            <w:vMerge/>
          </w:tcPr>
          <w:p w14:paraId="4215F471" w14:textId="77777777" w:rsidR="00506E29" w:rsidRPr="003550F0" w:rsidRDefault="00506E29" w:rsidP="003550F0">
            <w:pPr>
              <w:jc w:val="both"/>
              <w:rPr>
                <w:rFonts w:ascii="Arial" w:hAnsi="Arial" w:cs="Arial"/>
                <w:sz w:val="20"/>
                <w:szCs w:val="20"/>
              </w:rPr>
            </w:pPr>
          </w:p>
        </w:tc>
        <w:tc>
          <w:tcPr>
            <w:tcW w:w="1170" w:type="dxa"/>
            <w:vMerge/>
          </w:tcPr>
          <w:p w14:paraId="5F4F7308"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05FCEDE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533F4AE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10E26398" w14:textId="77777777" w:rsidTr="000A248F">
        <w:tc>
          <w:tcPr>
            <w:tcW w:w="1572" w:type="dxa"/>
            <w:vMerge w:val="restart"/>
          </w:tcPr>
          <w:p w14:paraId="7300ED18" w14:textId="77777777" w:rsidR="00506E29" w:rsidRPr="003550F0" w:rsidRDefault="00506E29" w:rsidP="003550F0">
            <w:pPr>
              <w:jc w:val="both"/>
              <w:rPr>
                <w:rFonts w:ascii="Arial" w:hAnsi="Arial" w:cs="Arial"/>
                <w:sz w:val="20"/>
                <w:szCs w:val="20"/>
              </w:rPr>
            </w:pPr>
          </w:p>
        </w:tc>
        <w:tc>
          <w:tcPr>
            <w:tcW w:w="1215" w:type="dxa"/>
          </w:tcPr>
          <w:p w14:paraId="0594A26A"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04</w:t>
            </w:r>
          </w:p>
          <w:p w14:paraId="3227772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(2.61%)</w:t>
            </w:r>
          </w:p>
        </w:tc>
        <w:tc>
          <w:tcPr>
            <w:tcW w:w="1261" w:type="dxa"/>
            <w:gridSpan w:val="2"/>
          </w:tcPr>
          <w:p w14:paraId="2F13DBC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01</w:t>
            </w:r>
          </w:p>
          <w:p w14:paraId="27E43B3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79C15EFC" w14:textId="77777777" w:rsidR="00506E29" w:rsidRPr="003550F0" w:rsidRDefault="00506E29" w:rsidP="003550F0">
            <w:pPr>
              <w:jc w:val="both"/>
              <w:rPr>
                <w:rFonts w:ascii="Arial" w:hAnsi="Arial" w:cs="Arial"/>
                <w:sz w:val="20"/>
                <w:szCs w:val="20"/>
              </w:rPr>
            </w:pPr>
          </w:p>
        </w:tc>
        <w:tc>
          <w:tcPr>
            <w:tcW w:w="1170" w:type="dxa"/>
            <w:vMerge/>
          </w:tcPr>
          <w:p w14:paraId="0A65E2DC" w14:textId="77777777" w:rsidR="00506E29" w:rsidRPr="003550F0" w:rsidRDefault="00506E29" w:rsidP="003550F0">
            <w:pPr>
              <w:jc w:val="both"/>
              <w:rPr>
                <w:rFonts w:ascii="Arial" w:hAnsi="Arial" w:cs="Arial"/>
                <w:sz w:val="20"/>
                <w:szCs w:val="20"/>
              </w:rPr>
            </w:pPr>
          </w:p>
        </w:tc>
        <w:tc>
          <w:tcPr>
            <w:tcW w:w="1620" w:type="dxa"/>
            <w:tcBorders>
              <w:top w:val="nil"/>
            </w:tcBorders>
          </w:tcPr>
          <w:p w14:paraId="01BCC86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4260A68E" w14:textId="77777777" w:rsidR="00506E29" w:rsidRPr="003550F0" w:rsidRDefault="00506E29" w:rsidP="003550F0">
            <w:pPr>
              <w:jc w:val="both"/>
              <w:rPr>
                <w:rFonts w:ascii="Arial" w:hAnsi="Arial" w:cs="Arial"/>
                <w:sz w:val="20"/>
                <w:szCs w:val="20"/>
              </w:rPr>
            </w:pPr>
          </w:p>
        </w:tc>
      </w:tr>
      <w:tr w:rsidR="000A248F" w:rsidRPr="003550F0" w14:paraId="11E7FA32" w14:textId="77777777" w:rsidTr="00097A20">
        <w:tc>
          <w:tcPr>
            <w:tcW w:w="1572" w:type="dxa"/>
            <w:vMerge/>
            <w:tcBorders>
              <w:bottom w:val="single" w:sz="4" w:space="0" w:color="auto"/>
            </w:tcBorders>
          </w:tcPr>
          <w:p w14:paraId="581365B4" w14:textId="77777777" w:rsidR="000A248F" w:rsidRPr="003550F0" w:rsidRDefault="000A248F" w:rsidP="003550F0">
            <w:pPr>
              <w:jc w:val="both"/>
              <w:rPr>
                <w:rFonts w:ascii="Arial" w:hAnsi="Arial" w:cs="Arial"/>
                <w:sz w:val="20"/>
                <w:szCs w:val="20"/>
              </w:rPr>
            </w:pPr>
          </w:p>
        </w:tc>
        <w:tc>
          <w:tcPr>
            <w:tcW w:w="2476" w:type="dxa"/>
            <w:gridSpan w:val="3"/>
          </w:tcPr>
          <w:p w14:paraId="7B31A006"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05</w:t>
            </w:r>
          </w:p>
        </w:tc>
        <w:tc>
          <w:tcPr>
            <w:tcW w:w="1172" w:type="dxa"/>
            <w:vMerge/>
          </w:tcPr>
          <w:p w14:paraId="39D50D20" w14:textId="77777777" w:rsidR="000A248F" w:rsidRPr="003550F0" w:rsidRDefault="000A248F" w:rsidP="003550F0">
            <w:pPr>
              <w:jc w:val="both"/>
              <w:rPr>
                <w:rFonts w:ascii="Arial" w:hAnsi="Arial" w:cs="Arial"/>
                <w:sz w:val="20"/>
                <w:szCs w:val="20"/>
              </w:rPr>
            </w:pPr>
          </w:p>
        </w:tc>
        <w:tc>
          <w:tcPr>
            <w:tcW w:w="1170" w:type="dxa"/>
            <w:vMerge/>
          </w:tcPr>
          <w:p w14:paraId="3D6563B6" w14:textId="77777777" w:rsidR="000A248F" w:rsidRPr="003550F0" w:rsidRDefault="000A248F" w:rsidP="003550F0">
            <w:pPr>
              <w:jc w:val="both"/>
              <w:rPr>
                <w:rFonts w:ascii="Arial" w:hAnsi="Arial" w:cs="Arial"/>
                <w:sz w:val="20"/>
                <w:szCs w:val="20"/>
              </w:rPr>
            </w:pPr>
          </w:p>
        </w:tc>
        <w:tc>
          <w:tcPr>
            <w:tcW w:w="3150" w:type="dxa"/>
            <w:gridSpan w:val="2"/>
            <w:tcBorders>
              <w:bottom w:val="single" w:sz="4" w:space="0" w:color="auto"/>
            </w:tcBorders>
          </w:tcPr>
          <w:p w14:paraId="563387A7"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05</w:t>
            </w:r>
          </w:p>
        </w:tc>
      </w:tr>
      <w:tr w:rsidR="00506E29" w:rsidRPr="003550F0" w14:paraId="36A9E7D6" w14:textId="77777777" w:rsidTr="00551873">
        <w:tc>
          <w:tcPr>
            <w:tcW w:w="1572" w:type="dxa"/>
            <w:tcBorders>
              <w:bottom w:val="nil"/>
            </w:tcBorders>
          </w:tcPr>
          <w:p w14:paraId="0B76128E"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1-5</w:t>
            </w:r>
          </w:p>
        </w:tc>
        <w:tc>
          <w:tcPr>
            <w:tcW w:w="1215" w:type="dxa"/>
            <w:tcBorders>
              <w:bottom w:val="nil"/>
            </w:tcBorders>
          </w:tcPr>
          <w:p w14:paraId="4BB28284" w14:textId="77777777" w:rsidR="00506E29" w:rsidRPr="003550F0" w:rsidRDefault="00506E29" w:rsidP="003550F0">
            <w:pPr>
              <w:jc w:val="both"/>
              <w:rPr>
                <w:rFonts w:ascii="Arial" w:hAnsi="Arial" w:cs="Arial"/>
                <w:sz w:val="20"/>
                <w:szCs w:val="20"/>
              </w:rPr>
            </w:pPr>
          </w:p>
        </w:tc>
        <w:tc>
          <w:tcPr>
            <w:tcW w:w="1261" w:type="dxa"/>
            <w:gridSpan w:val="2"/>
            <w:tcBorders>
              <w:bottom w:val="nil"/>
            </w:tcBorders>
          </w:tcPr>
          <w:p w14:paraId="1A45CCE2" w14:textId="77777777" w:rsidR="00506E29" w:rsidRPr="003550F0" w:rsidRDefault="00506E29" w:rsidP="003550F0">
            <w:pPr>
              <w:jc w:val="both"/>
              <w:rPr>
                <w:rFonts w:ascii="Arial" w:hAnsi="Arial" w:cs="Arial"/>
                <w:sz w:val="20"/>
                <w:szCs w:val="20"/>
              </w:rPr>
            </w:pPr>
          </w:p>
        </w:tc>
        <w:tc>
          <w:tcPr>
            <w:tcW w:w="1172" w:type="dxa"/>
            <w:vMerge w:val="restart"/>
          </w:tcPr>
          <w:p w14:paraId="02D1C628" w14:textId="77777777" w:rsidR="00506E29" w:rsidRPr="003550F0" w:rsidRDefault="00506E29" w:rsidP="003550F0">
            <w:pPr>
              <w:jc w:val="both"/>
              <w:rPr>
                <w:rFonts w:ascii="Arial" w:hAnsi="Arial" w:cs="Arial"/>
                <w:sz w:val="20"/>
                <w:szCs w:val="20"/>
              </w:rPr>
            </w:pPr>
          </w:p>
          <w:p w14:paraId="44ABAE05" w14:textId="77777777" w:rsidR="00506E29" w:rsidRPr="003550F0" w:rsidRDefault="00506E29" w:rsidP="003550F0">
            <w:pPr>
              <w:jc w:val="both"/>
              <w:rPr>
                <w:rFonts w:ascii="Arial" w:hAnsi="Arial" w:cs="Arial"/>
                <w:sz w:val="20"/>
                <w:szCs w:val="20"/>
              </w:rPr>
            </w:pPr>
          </w:p>
          <w:p w14:paraId="093FC638" w14:textId="77777777" w:rsidR="00506E29" w:rsidRPr="003550F0" w:rsidRDefault="00506E29" w:rsidP="003550F0">
            <w:pPr>
              <w:jc w:val="both"/>
              <w:rPr>
                <w:rFonts w:ascii="Arial" w:hAnsi="Arial" w:cs="Arial"/>
                <w:sz w:val="20"/>
                <w:szCs w:val="20"/>
              </w:rPr>
            </w:pPr>
          </w:p>
          <w:p w14:paraId="6EA4190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6.43%</w:t>
            </w:r>
          </w:p>
        </w:tc>
        <w:tc>
          <w:tcPr>
            <w:tcW w:w="1170" w:type="dxa"/>
            <w:vMerge w:val="restart"/>
          </w:tcPr>
          <w:p w14:paraId="285FF9DB" w14:textId="77777777" w:rsidR="00506E29" w:rsidRPr="003550F0" w:rsidRDefault="00506E29" w:rsidP="003550F0">
            <w:pPr>
              <w:jc w:val="both"/>
              <w:rPr>
                <w:rFonts w:ascii="Arial" w:hAnsi="Arial" w:cs="Arial"/>
                <w:sz w:val="20"/>
                <w:szCs w:val="20"/>
              </w:rPr>
            </w:pPr>
          </w:p>
          <w:p w14:paraId="05010CEC" w14:textId="77777777" w:rsidR="00506E29" w:rsidRPr="003550F0" w:rsidRDefault="00506E29" w:rsidP="003550F0">
            <w:pPr>
              <w:jc w:val="both"/>
              <w:rPr>
                <w:rFonts w:ascii="Arial" w:hAnsi="Arial" w:cs="Arial"/>
                <w:sz w:val="20"/>
                <w:szCs w:val="20"/>
              </w:rPr>
            </w:pPr>
          </w:p>
          <w:p w14:paraId="14595C5B" w14:textId="77777777" w:rsidR="00506E29" w:rsidRPr="003550F0" w:rsidRDefault="00506E29" w:rsidP="003550F0">
            <w:pPr>
              <w:jc w:val="both"/>
              <w:rPr>
                <w:rFonts w:ascii="Arial" w:hAnsi="Arial" w:cs="Arial"/>
                <w:sz w:val="20"/>
                <w:szCs w:val="20"/>
              </w:rPr>
            </w:pPr>
          </w:p>
          <w:p w14:paraId="4338BF6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 xml:space="preserve">Businessman, </w:t>
            </w:r>
            <w:proofErr w:type="gramStart"/>
            <w:r w:rsidRPr="003550F0">
              <w:rPr>
                <w:rFonts w:ascii="Arial" w:hAnsi="Arial" w:cs="Arial"/>
                <w:sz w:val="20"/>
                <w:szCs w:val="20"/>
              </w:rPr>
              <w:t>Abroad</w:t>
            </w:r>
            <w:proofErr w:type="gramEnd"/>
          </w:p>
        </w:tc>
        <w:tc>
          <w:tcPr>
            <w:tcW w:w="1620" w:type="dxa"/>
            <w:tcBorders>
              <w:bottom w:val="nil"/>
            </w:tcBorders>
          </w:tcPr>
          <w:p w14:paraId="731318D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Below 1</w:t>
            </w:r>
          </w:p>
        </w:tc>
        <w:tc>
          <w:tcPr>
            <w:tcW w:w="1530" w:type="dxa"/>
            <w:tcBorders>
              <w:bottom w:val="nil"/>
            </w:tcBorders>
          </w:tcPr>
          <w:p w14:paraId="3EAE1008" w14:textId="77777777" w:rsidR="00506E29" w:rsidRPr="003550F0" w:rsidRDefault="00506E29" w:rsidP="003550F0">
            <w:pPr>
              <w:jc w:val="both"/>
              <w:rPr>
                <w:rFonts w:ascii="Arial" w:hAnsi="Arial" w:cs="Arial"/>
                <w:sz w:val="20"/>
                <w:szCs w:val="20"/>
              </w:rPr>
            </w:pPr>
          </w:p>
        </w:tc>
      </w:tr>
      <w:tr w:rsidR="00506E29" w:rsidRPr="003550F0" w14:paraId="163B9AA0" w14:textId="77777777" w:rsidTr="00551873">
        <w:tc>
          <w:tcPr>
            <w:tcW w:w="1572" w:type="dxa"/>
            <w:tcBorders>
              <w:top w:val="nil"/>
              <w:bottom w:val="nil"/>
            </w:tcBorders>
          </w:tcPr>
          <w:p w14:paraId="2F2FC9E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6-10</w:t>
            </w:r>
          </w:p>
        </w:tc>
        <w:tc>
          <w:tcPr>
            <w:tcW w:w="1215" w:type="dxa"/>
            <w:tcBorders>
              <w:top w:val="nil"/>
              <w:bottom w:val="nil"/>
            </w:tcBorders>
          </w:tcPr>
          <w:p w14:paraId="576219A8"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697F2156" w14:textId="77777777" w:rsidR="00506E29" w:rsidRPr="003550F0" w:rsidRDefault="00506E29" w:rsidP="003550F0">
            <w:pPr>
              <w:jc w:val="both"/>
              <w:rPr>
                <w:rFonts w:ascii="Arial" w:hAnsi="Arial" w:cs="Arial"/>
                <w:sz w:val="20"/>
                <w:szCs w:val="20"/>
              </w:rPr>
            </w:pPr>
          </w:p>
        </w:tc>
        <w:tc>
          <w:tcPr>
            <w:tcW w:w="1172" w:type="dxa"/>
            <w:vMerge/>
          </w:tcPr>
          <w:p w14:paraId="4D2EE23E" w14:textId="77777777" w:rsidR="00506E29" w:rsidRPr="003550F0" w:rsidRDefault="00506E29" w:rsidP="003550F0">
            <w:pPr>
              <w:jc w:val="both"/>
              <w:rPr>
                <w:rFonts w:ascii="Arial" w:hAnsi="Arial" w:cs="Arial"/>
                <w:sz w:val="20"/>
                <w:szCs w:val="20"/>
              </w:rPr>
            </w:pPr>
          </w:p>
        </w:tc>
        <w:tc>
          <w:tcPr>
            <w:tcW w:w="1170" w:type="dxa"/>
            <w:vMerge/>
          </w:tcPr>
          <w:p w14:paraId="1AAA43FC"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10FEDDC3"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bottom w:val="nil"/>
            </w:tcBorders>
          </w:tcPr>
          <w:p w14:paraId="1C8E32B2" w14:textId="77777777" w:rsidR="00506E29" w:rsidRPr="003550F0" w:rsidRDefault="00506E29" w:rsidP="003550F0">
            <w:pPr>
              <w:jc w:val="both"/>
              <w:rPr>
                <w:rFonts w:ascii="Arial" w:hAnsi="Arial" w:cs="Arial"/>
                <w:sz w:val="20"/>
                <w:szCs w:val="20"/>
              </w:rPr>
            </w:pPr>
          </w:p>
        </w:tc>
      </w:tr>
      <w:tr w:rsidR="00506E29" w:rsidRPr="003550F0" w14:paraId="78676088" w14:textId="77777777" w:rsidTr="00551873">
        <w:tc>
          <w:tcPr>
            <w:tcW w:w="1572" w:type="dxa"/>
            <w:tcBorders>
              <w:top w:val="nil"/>
              <w:bottom w:val="nil"/>
            </w:tcBorders>
          </w:tcPr>
          <w:p w14:paraId="07A7BC4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11-15</w:t>
            </w:r>
          </w:p>
        </w:tc>
        <w:tc>
          <w:tcPr>
            <w:tcW w:w="1215" w:type="dxa"/>
            <w:tcBorders>
              <w:top w:val="nil"/>
              <w:bottom w:val="nil"/>
            </w:tcBorders>
          </w:tcPr>
          <w:p w14:paraId="48EF971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261" w:type="dxa"/>
            <w:gridSpan w:val="2"/>
            <w:tcBorders>
              <w:top w:val="nil"/>
              <w:bottom w:val="nil"/>
            </w:tcBorders>
          </w:tcPr>
          <w:p w14:paraId="2A83FAEA" w14:textId="77777777" w:rsidR="00506E29" w:rsidRPr="003550F0" w:rsidRDefault="00506E29" w:rsidP="003550F0">
            <w:pPr>
              <w:jc w:val="both"/>
              <w:rPr>
                <w:rFonts w:ascii="Arial" w:hAnsi="Arial" w:cs="Arial"/>
                <w:sz w:val="20"/>
                <w:szCs w:val="20"/>
              </w:rPr>
            </w:pPr>
          </w:p>
        </w:tc>
        <w:tc>
          <w:tcPr>
            <w:tcW w:w="1172" w:type="dxa"/>
            <w:vMerge/>
          </w:tcPr>
          <w:p w14:paraId="243DA745" w14:textId="77777777" w:rsidR="00506E29" w:rsidRPr="003550F0" w:rsidRDefault="00506E29" w:rsidP="003550F0">
            <w:pPr>
              <w:jc w:val="both"/>
              <w:rPr>
                <w:rFonts w:ascii="Arial" w:hAnsi="Arial" w:cs="Arial"/>
                <w:sz w:val="20"/>
                <w:szCs w:val="20"/>
              </w:rPr>
            </w:pPr>
          </w:p>
        </w:tc>
        <w:tc>
          <w:tcPr>
            <w:tcW w:w="1170" w:type="dxa"/>
            <w:vMerge/>
          </w:tcPr>
          <w:p w14:paraId="6C46C7BF"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7269E7B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3-5</w:t>
            </w:r>
          </w:p>
        </w:tc>
        <w:tc>
          <w:tcPr>
            <w:tcW w:w="1530" w:type="dxa"/>
            <w:tcBorders>
              <w:top w:val="nil"/>
              <w:bottom w:val="nil"/>
            </w:tcBorders>
          </w:tcPr>
          <w:p w14:paraId="63EC3984" w14:textId="77777777" w:rsidR="00506E29" w:rsidRPr="003550F0" w:rsidRDefault="00506E29" w:rsidP="003550F0">
            <w:pPr>
              <w:jc w:val="both"/>
              <w:rPr>
                <w:rFonts w:ascii="Arial" w:hAnsi="Arial" w:cs="Arial"/>
                <w:sz w:val="20"/>
                <w:szCs w:val="20"/>
              </w:rPr>
            </w:pPr>
          </w:p>
        </w:tc>
      </w:tr>
      <w:tr w:rsidR="00506E29" w:rsidRPr="003550F0" w14:paraId="790353CF" w14:textId="77777777" w:rsidTr="00551873">
        <w:tc>
          <w:tcPr>
            <w:tcW w:w="1572" w:type="dxa"/>
            <w:tcBorders>
              <w:top w:val="nil"/>
              <w:bottom w:val="nil"/>
            </w:tcBorders>
          </w:tcPr>
          <w:p w14:paraId="30EF2A9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16-20</w:t>
            </w:r>
          </w:p>
        </w:tc>
        <w:tc>
          <w:tcPr>
            <w:tcW w:w="1215" w:type="dxa"/>
            <w:tcBorders>
              <w:top w:val="nil"/>
              <w:bottom w:val="nil"/>
            </w:tcBorders>
          </w:tcPr>
          <w:p w14:paraId="6242570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261" w:type="dxa"/>
            <w:gridSpan w:val="2"/>
            <w:tcBorders>
              <w:top w:val="nil"/>
              <w:bottom w:val="nil"/>
            </w:tcBorders>
          </w:tcPr>
          <w:p w14:paraId="26123FED"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c>
          <w:tcPr>
            <w:tcW w:w="1172" w:type="dxa"/>
            <w:vMerge/>
          </w:tcPr>
          <w:p w14:paraId="252B3566" w14:textId="77777777" w:rsidR="00506E29" w:rsidRPr="003550F0" w:rsidRDefault="00506E29" w:rsidP="003550F0">
            <w:pPr>
              <w:jc w:val="both"/>
              <w:rPr>
                <w:rFonts w:ascii="Arial" w:hAnsi="Arial" w:cs="Arial"/>
                <w:sz w:val="20"/>
                <w:szCs w:val="20"/>
              </w:rPr>
            </w:pPr>
          </w:p>
        </w:tc>
        <w:tc>
          <w:tcPr>
            <w:tcW w:w="1170" w:type="dxa"/>
            <w:vMerge/>
          </w:tcPr>
          <w:p w14:paraId="05AC5CC8"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4070062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5-7</w:t>
            </w:r>
          </w:p>
        </w:tc>
        <w:tc>
          <w:tcPr>
            <w:tcW w:w="1530" w:type="dxa"/>
            <w:tcBorders>
              <w:top w:val="nil"/>
              <w:bottom w:val="nil"/>
            </w:tcBorders>
          </w:tcPr>
          <w:p w14:paraId="24A8C110"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506E29" w:rsidRPr="003550F0" w14:paraId="79A14D68" w14:textId="77777777" w:rsidTr="00551873">
        <w:tc>
          <w:tcPr>
            <w:tcW w:w="1572" w:type="dxa"/>
            <w:tcBorders>
              <w:top w:val="nil"/>
              <w:bottom w:val="nil"/>
            </w:tcBorders>
          </w:tcPr>
          <w:p w14:paraId="0FB3139B"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21-25</w:t>
            </w:r>
          </w:p>
        </w:tc>
        <w:tc>
          <w:tcPr>
            <w:tcW w:w="1215" w:type="dxa"/>
            <w:tcBorders>
              <w:top w:val="nil"/>
              <w:bottom w:val="nil"/>
            </w:tcBorders>
          </w:tcPr>
          <w:p w14:paraId="6403C7E5"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03</w:t>
            </w:r>
          </w:p>
        </w:tc>
        <w:tc>
          <w:tcPr>
            <w:tcW w:w="1261" w:type="dxa"/>
            <w:gridSpan w:val="2"/>
            <w:tcBorders>
              <w:top w:val="nil"/>
              <w:bottom w:val="nil"/>
            </w:tcBorders>
          </w:tcPr>
          <w:p w14:paraId="00188AF1"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c>
          <w:tcPr>
            <w:tcW w:w="1172" w:type="dxa"/>
            <w:vMerge/>
          </w:tcPr>
          <w:p w14:paraId="4896DE7F" w14:textId="77777777" w:rsidR="00506E29" w:rsidRPr="003550F0" w:rsidRDefault="00506E29" w:rsidP="003550F0">
            <w:pPr>
              <w:jc w:val="both"/>
              <w:rPr>
                <w:rFonts w:ascii="Arial" w:hAnsi="Arial" w:cs="Arial"/>
                <w:sz w:val="20"/>
                <w:szCs w:val="20"/>
              </w:rPr>
            </w:pPr>
          </w:p>
        </w:tc>
        <w:tc>
          <w:tcPr>
            <w:tcW w:w="1170" w:type="dxa"/>
            <w:vMerge/>
          </w:tcPr>
          <w:p w14:paraId="5EE288A6" w14:textId="77777777" w:rsidR="00506E29" w:rsidRPr="003550F0" w:rsidRDefault="00506E29" w:rsidP="003550F0">
            <w:pPr>
              <w:jc w:val="both"/>
              <w:rPr>
                <w:rFonts w:ascii="Arial" w:hAnsi="Arial" w:cs="Arial"/>
                <w:sz w:val="20"/>
                <w:szCs w:val="20"/>
              </w:rPr>
            </w:pPr>
          </w:p>
        </w:tc>
        <w:tc>
          <w:tcPr>
            <w:tcW w:w="1620" w:type="dxa"/>
            <w:tcBorders>
              <w:top w:val="nil"/>
              <w:bottom w:val="nil"/>
            </w:tcBorders>
          </w:tcPr>
          <w:p w14:paraId="33A13FF7"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7-9</w:t>
            </w:r>
          </w:p>
        </w:tc>
        <w:tc>
          <w:tcPr>
            <w:tcW w:w="1530" w:type="dxa"/>
            <w:tcBorders>
              <w:top w:val="nil"/>
              <w:bottom w:val="nil"/>
            </w:tcBorders>
          </w:tcPr>
          <w:p w14:paraId="4C1FC3A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01</w:t>
            </w:r>
          </w:p>
        </w:tc>
      </w:tr>
      <w:tr w:rsidR="00097A20" w:rsidRPr="003550F0" w14:paraId="1E194BC5" w14:textId="77777777" w:rsidTr="00551873">
        <w:trPr>
          <w:trHeight w:val="305"/>
        </w:trPr>
        <w:tc>
          <w:tcPr>
            <w:tcW w:w="1572" w:type="dxa"/>
            <w:vMerge w:val="restart"/>
            <w:tcBorders>
              <w:top w:val="nil"/>
            </w:tcBorders>
          </w:tcPr>
          <w:p w14:paraId="3C237F06"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25+</w:t>
            </w:r>
          </w:p>
        </w:tc>
        <w:tc>
          <w:tcPr>
            <w:tcW w:w="1215" w:type="dxa"/>
            <w:vMerge w:val="restart"/>
            <w:tcBorders>
              <w:top w:val="nil"/>
            </w:tcBorders>
          </w:tcPr>
          <w:p w14:paraId="38CCE6EA" w14:textId="77777777" w:rsidR="00097A20" w:rsidRPr="003550F0" w:rsidRDefault="00097A20" w:rsidP="003550F0">
            <w:pPr>
              <w:jc w:val="both"/>
              <w:rPr>
                <w:rFonts w:ascii="Arial" w:hAnsi="Arial" w:cs="Arial"/>
                <w:sz w:val="20"/>
                <w:szCs w:val="20"/>
              </w:rPr>
            </w:pPr>
          </w:p>
        </w:tc>
        <w:tc>
          <w:tcPr>
            <w:tcW w:w="1261" w:type="dxa"/>
            <w:gridSpan w:val="2"/>
            <w:vMerge w:val="restart"/>
            <w:tcBorders>
              <w:top w:val="nil"/>
            </w:tcBorders>
          </w:tcPr>
          <w:p w14:paraId="27C381C4" w14:textId="77777777" w:rsidR="00097A20" w:rsidRPr="003550F0" w:rsidRDefault="00097A20" w:rsidP="003550F0">
            <w:pPr>
              <w:jc w:val="both"/>
              <w:rPr>
                <w:rFonts w:ascii="Arial" w:hAnsi="Arial" w:cs="Arial"/>
                <w:sz w:val="20"/>
                <w:szCs w:val="20"/>
              </w:rPr>
            </w:pPr>
          </w:p>
        </w:tc>
        <w:tc>
          <w:tcPr>
            <w:tcW w:w="1172" w:type="dxa"/>
            <w:vMerge/>
          </w:tcPr>
          <w:p w14:paraId="1255FF1E" w14:textId="77777777" w:rsidR="00097A20" w:rsidRPr="003550F0" w:rsidRDefault="00097A20" w:rsidP="003550F0">
            <w:pPr>
              <w:jc w:val="both"/>
              <w:rPr>
                <w:rFonts w:ascii="Arial" w:hAnsi="Arial" w:cs="Arial"/>
                <w:sz w:val="20"/>
                <w:szCs w:val="20"/>
              </w:rPr>
            </w:pPr>
          </w:p>
        </w:tc>
        <w:tc>
          <w:tcPr>
            <w:tcW w:w="1170" w:type="dxa"/>
            <w:vMerge/>
          </w:tcPr>
          <w:p w14:paraId="0828DD3F" w14:textId="77777777" w:rsidR="00097A20" w:rsidRPr="003550F0" w:rsidRDefault="00097A20" w:rsidP="003550F0">
            <w:pPr>
              <w:jc w:val="both"/>
              <w:rPr>
                <w:rFonts w:ascii="Arial" w:hAnsi="Arial" w:cs="Arial"/>
                <w:sz w:val="20"/>
                <w:szCs w:val="20"/>
              </w:rPr>
            </w:pPr>
          </w:p>
        </w:tc>
        <w:tc>
          <w:tcPr>
            <w:tcW w:w="1620" w:type="dxa"/>
            <w:tcBorders>
              <w:top w:val="nil"/>
              <w:bottom w:val="nil"/>
            </w:tcBorders>
          </w:tcPr>
          <w:p w14:paraId="22BC67F8"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9-11</w:t>
            </w:r>
          </w:p>
        </w:tc>
        <w:tc>
          <w:tcPr>
            <w:tcW w:w="1530" w:type="dxa"/>
            <w:tcBorders>
              <w:top w:val="nil"/>
              <w:bottom w:val="nil"/>
            </w:tcBorders>
          </w:tcPr>
          <w:p w14:paraId="30ED63C5"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04</w:t>
            </w:r>
          </w:p>
        </w:tc>
      </w:tr>
      <w:tr w:rsidR="00097A20" w:rsidRPr="003550F0" w14:paraId="2988D12C" w14:textId="77777777" w:rsidTr="00551873">
        <w:trPr>
          <w:trHeight w:val="345"/>
        </w:trPr>
        <w:tc>
          <w:tcPr>
            <w:tcW w:w="1572" w:type="dxa"/>
            <w:vMerge/>
          </w:tcPr>
          <w:p w14:paraId="5918E8EE" w14:textId="77777777" w:rsidR="00097A20" w:rsidRPr="003550F0" w:rsidRDefault="00097A20" w:rsidP="003550F0">
            <w:pPr>
              <w:jc w:val="both"/>
              <w:rPr>
                <w:rFonts w:ascii="Arial" w:hAnsi="Arial" w:cs="Arial"/>
                <w:sz w:val="20"/>
                <w:szCs w:val="20"/>
              </w:rPr>
            </w:pPr>
          </w:p>
        </w:tc>
        <w:tc>
          <w:tcPr>
            <w:tcW w:w="1215" w:type="dxa"/>
            <w:vMerge/>
          </w:tcPr>
          <w:p w14:paraId="2BACCEED" w14:textId="77777777" w:rsidR="00097A20" w:rsidRPr="003550F0" w:rsidRDefault="00097A20" w:rsidP="003550F0">
            <w:pPr>
              <w:jc w:val="both"/>
              <w:rPr>
                <w:rFonts w:ascii="Arial" w:hAnsi="Arial" w:cs="Arial"/>
                <w:sz w:val="20"/>
                <w:szCs w:val="20"/>
              </w:rPr>
            </w:pPr>
          </w:p>
        </w:tc>
        <w:tc>
          <w:tcPr>
            <w:tcW w:w="1261" w:type="dxa"/>
            <w:gridSpan w:val="2"/>
            <w:vMerge/>
          </w:tcPr>
          <w:p w14:paraId="1F8B131F" w14:textId="77777777" w:rsidR="00097A20" w:rsidRPr="003550F0" w:rsidRDefault="00097A20" w:rsidP="003550F0">
            <w:pPr>
              <w:jc w:val="both"/>
              <w:rPr>
                <w:rFonts w:ascii="Arial" w:hAnsi="Arial" w:cs="Arial"/>
                <w:sz w:val="20"/>
                <w:szCs w:val="20"/>
              </w:rPr>
            </w:pPr>
          </w:p>
        </w:tc>
        <w:tc>
          <w:tcPr>
            <w:tcW w:w="1172" w:type="dxa"/>
            <w:vMerge/>
          </w:tcPr>
          <w:p w14:paraId="35694881" w14:textId="77777777" w:rsidR="00097A20" w:rsidRPr="003550F0" w:rsidRDefault="00097A20" w:rsidP="003550F0">
            <w:pPr>
              <w:jc w:val="both"/>
              <w:rPr>
                <w:rFonts w:ascii="Arial" w:hAnsi="Arial" w:cs="Arial"/>
                <w:sz w:val="20"/>
                <w:szCs w:val="20"/>
              </w:rPr>
            </w:pPr>
          </w:p>
        </w:tc>
        <w:tc>
          <w:tcPr>
            <w:tcW w:w="1170" w:type="dxa"/>
            <w:vMerge/>
          </w:tcPr>
          <w:p w14:paraId="230F5834" w14:textId="77777777" w:rsidR="00097A20" w:rsidRPr="003550F0" w:rsidRDefault="00097A20" w:rsidP="003550F0">
            <w:pPr>
              <w:jc w:val="both"/>
              <w:rPr>
                <w:rFonts w:ascii="Arial" w:hAnsi="Arial" w:cs="Arial"/>
                <w:sz w:val="20"/>
                <w:szCs w:val="20"/>
              </w:rPr>
            </w:pPr>
          </w:p>
        </w:tc>
        <w:tc>
          <w:tcPr>
            <w:tcW w:w="1620" w:type="dxa"/>
            <w:tcBorders>
              <w:top w:val="nil"/>
              <w:bottom w:val="nil"/>
            </w:tcBorders>
          </w:tcPr>
          <w:p w14:paraId="1EB7867A" w14:textId="0BAE3419" w:rsidR="00097A20" w:rsidRPr="003550F0" w:rsidRDefault="00097A20" w:rsidP="003550F0">
            <w:pPr>
              <w:jc w:val="both"/>
              <w:rPr>
                <w:rFonts w:ascii="Arial" w:hAnsi="Arial" w:cs="Arial"/>
                <w:sz w:val="20"/>
                <w:szCs w:val="20"/>
              </w:rPr>
            </w:pPr>
            <w:r>
              <w:rPr>
                <w:rFonts w:ascii="Arial" w:hAnsi="Arial" w:cs="Arial"/>
                <w:sz w:val="20"/>
                <w:szCs w:val="20"/>
              </w:rPr>
              <w:t>11-13</w:t>
            </w:r>
          </w:p>
        </w:tc>
        <w:tc>
          <w:tcPr>
            <w:tcW w:w="1530" w:type="dxa"/>
            <w:tcBorders>
              <w:top w:val="nil"/>
              <w:bottom w:val="nil"/>
            </w:tcBorders>
          </w:tcPr>
          <w:p w14:paraId="01AECA05" w14:textId="777A035D" w:rsidR="00097A20" w:rsidRPr="003550F0" w:rsidRDefault="00097A20" w:rsidP="003550F0">
            <w:pPr>
              <w:jc w:val="both"/>
              <w:rPr>
                <w:rFonts w:ascii="Arial" w:hAnsi="Arial" w:cs="Arial"/>
                <w:sz w:val="20"/>
                <w:szCs w:val="20"/>
              </w:rPr>
            </w:pPr>
            <w:r>
              <w:rPr>
                <w:rFonts w:ascii="Arial" w:hAnsi="Arial" w:cs="Arial"/>
                <w:sz w:val="20"/>
                <w:szCs w:val="20"/>
              </w:rPr>
              <w:t>03</w:t>
            </w:r>
          </w:p>
        </w:tc>
      </w:tr>
      <w:tr w:rsidR="00506E29" w:rsidRPr="003550F0" w14:paraId="05DC6E7E" w14:textId="77777777" w:rsidTr="00551873">
        <w:tc>
          <w:tcPr>
            <w:tcW w:w="1572" w:type="dxa"/>
            <w:vMerge w:val="restart"/>
          </w:tcPr>
          <w:p w14:paraId="4B7C77D1" w14:textId="77777777" w:rsidR="00506E29" w:rsidRPr="003550F0" w:rsidRDefault="00506E29" w:rsidP="003550F0">
            <w:pPr>
              <w:jc w:val="both"/>
              <w:rPr>
                <w:rFonts w:ascii="Arial" w:hAnsi="Arial" w:cs="Arial"/>
                <w:sz w:val="20"/>
                <w:szCs w:val="20"/>
              </w:rPr>
            </w:pPr>
          </w:p>
        </w:tc>
        <w:tc>
          <w:tcPr>
            <w:tcW w:w="1215" w:type="dxa"/>
          </w:tcPr>
          <w:p w14:paraId="010D700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08</w:t>
            </w:r>
          </w:p>
          <w:p w14:paraId="7B90AED6"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(5.23%)</w:t>
            </w:r>
          </w:p>
        </w:tc>
        <w:tc>
          <w:tcPr>
            <w:tcW w:w="1261" w:type="dxa"/>
            <w:gridSpan w:val="2"/>
          </w:tcPr>
          <w:p w14:paraId="78903B34"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Total = 03</w:t>
            </w:r>
          </w:p>
          <w:p w14:paraId="503C422F"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(16.67%)</w:t>
            </w:r>
          </w:p>
        </w:tc>
        <w:tc>
          <w:tcPr>
            <w:tcW w:w="1172" w:type="dxa"/>
            <w:vMerge/>
          </w:tcPr>
          <w:p w14:paraId="32C3EE80" w14:textId="77777777" w:rsidR="00506E29" w:rsidRPr="003550F0" w:rsidRDefault="00506E29" w:rsidP="003550F0">
            <w:pPr>
              <w:jc w:val="both"/>
              <w:rPr>
                <w:rFonts w:ascii="Arial" w:hAnsi="Arial" w:cs="Arial"/>
                <w:sz w:val="20"/>
                <w:szCs w:val="20"/>
              </w:rPr>
            </w:pPr>
          </w:p>
        </w:tc>
        <w:tc>
          <w:tcPr>
            <w:tcW w:w="1170" w:type="dxa"/>
            <w:vMerge/>
          </w:tcPr>
          <w:p w14:paraId="21A16DC8" w14:textId="77777777" w:rsidR="00506E29" w:rsidRPr="003550F0" w:rsidRDefault="00506E29" w:rsidP="003550F0">
            <w:pPr>
              <w:jc w:val="both"/>
              <w:rPr>
                <w:rFonts w:ascii="Arial" w:hAnsi="Arial" w:cs="Arial"/>
                <w:sz w:val="20"/>
                <w:szCs w:val="20"/>
              </w:rPr>
            </w:pPr>
          </w:p>
        </w:tc>
        <w:tc>
          <w:tcPr>
            <w:tcW w:w="1620" w:type="dxa"/>
            <w:tcBorders>
              <w:top w:val="nil"/>
            </w:tcBorders>
          </w:tcPr>
          <w:p w14:paraId="48FD5DDC"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13+</w:t>
            </w:r>
          </w:p>
        </w:tc>
        <w:tc>
          <w:tcPr>
            <w:tcW w:w="1530" w:type="dxa"/>
            <w:tcBorders>
              <w:top w:val="nil"/>
            </w:tcBorders>
          </w:tcPr>
          <w:p w14:paraId="3B069059" w14:textId="77777777" w:rsidR="00506E29" w:rsidRPr="003550F0" w:rsidRDefault="00506E29" w:rsidP="003550F0">
            <w:pPr>
              <w:jc w:val="both"/>
              <w:rPr>
                <w:rFonts w:ascii="Arial" w:hAnsi="Arial" w:cs="Arial"/>
                <w:sz w:val="20"/>
                <w:szCs w:val="20"/>
              </w:rPr>
            </w:pPr>
            <w:r w:rsidRPr="003550F0">
              <w:rPr>
                <w:rFonts w:ascii="Arial" w:hAnsi="Arial" w:cs="Arial"/>
                <w:sz w:val="20"/>
                <w:szCs w:val="20"/>
              </w:rPr>
              <w:t>02</w:t>
            </w:r>
          </w:p>
        </w:tc>
      </w:tr>
      <w:tr w:rsidR="000A248F" w:rsidRPr="003550F0" w14:paraId="56C1B288" w14:textId="77777777" w:rsidTr="000A248F">
        <w:tc>
          <w:tcPr>
            <w:tcW w:w="1572" w:type="dxa"/>
            <w:vMerge/>
          </w:tcPr>
          <w:p w14:paraId="7487882D" w14:textId="77777777" w:rsidR="000A248F" w:rsidRPr="003550F0" w:rsidRDefault="000A248F" w:rsidP="003550F0">
            <w:pPr>
              <w:jc w:val="both"/>
              <w:rPr>
                <w:rFonts w:ascii="Arial" w:hAnsi="Arial" w:cs="Arial"/>
                <w:sz w:val="20"/>
                <w:szCs w:val="20"/>
              </w:rPr>
            </w:pPr>
          </w:p>
        </w:tc>
        <w:tc>
          <w:tcPr>
            <w:tcW w:w="2476" w:type="dxa"/>
            <w:gridSpan w:val="3"/>
          </w:tcPr>
          <w:p w14:paraId="0E800D3A"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11</w:t>
            </w:r>
          </w:p>
        </w:tc>
        <w:tc>
          <w:tcPr>
            <w:tcW w:w="1172" w:type="dxa"/>
            <w:vMerge/>
          </w:tcPr>
          <w:p w14:paraId="61882CAE" w14:textId="77777777" w:rsidR="000A248F" w:rsidRPr="003550F0" w:rsidRDefault="000A248F" w:rsidP="003550F0">
            <w:pPr>
              <w:jc w:val="both"/>
              <w:rPr>
                <w:rFonts w:ascii="Arial" w:hAnsi="Arial" w:cs="Arial"/>
                <w:sz w:val="20"/>
                <w:szCs w:val="20"/>
              </w:rPr>
            </w:pPr>
          </w:p>
        </w:tc>
        <w:tc>
          <w:tcPr>
            <w:tcW w:w="1170" w:type="dxa"/>
            <w:vMerge/>
          </w:tcPr>
          <w:p w14:paraId="4026FB68" w14:textId="77777777" w:rsidR="000A248F" w:rsidRPr="003550F0" w:rsidRDefault="000A248F" w:rsidP="003550F0">
            <w:pPr>
              <w:jc w:val="both"/>
              <w:rPr>
                <w:rFonts w:ascii="Arial" w:hAnsi="Arial" w:cs="Arial"/>
                <w:sz w:val="20"/>
                <w:szCs w:val="20"/>
              </w:rPr>
            </w:pPr>
          </w:p>
        </w:tc>
        <w:tc>
          <w:tcPr>
            <w:tcW w:w="3150" w:type="dxa"/>
            <w:gridSpan w:val="2"/>
          </w:tcPr>
          <w:p w14:paraId="1986784C" w14:textId="77777777" w:rsidR="000A248F" w:rsidRPr="003550F0" w:rsidRDefault="000A248F" w:rsidP="000A248F">
            <w:pPr>
              <w:jc w:val="center"/>
              <w:rPr>
                <w:rFonts w:ascii="Arial" w:hAnsi="Arial" w:cs="Arial"/>
                <w:sz w:val="20"/>
                <w:szCs w:val="20"/>
              </w:rPr>
            </w:pPr>
            <w:r w:rsidRPr="00097A20">
              <w:rPr>
                <w:rFonts w:ascii="Arial" w:hAnsi="Arial" w:cs="Arial"/>
                <w:sz w:val="20"/>
                <w:szCs w:val="20"/>
              </w:rPr>
              <w:t>Total = 11</w:t>
            </w:r>
          </w:p>
        </w:tc>
      </w:tr>
      <w:tr w:rsidR="00551873" w:rsidRPr="003550F0" w14:paraId="3896A04A" w14:textId="77777777" w:rsidTr="00551873">
        <w:tc>
          <w:tcPr>
            <w:tcW w:w="1572" w:type="dxa"/>
          </w:tcPr>
          <w:p w14:paraId="5FEAEAB7"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1-5</w:t>
            </w:r>
          </w:p>
        </w:tc>
        <w:tc>
          <w:tcPr>
            <w:tcW w:w="1215" w:type="dxa"/>
          </w:tcPr>
          <w:p w14:paraId="523B4A1E"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4797405B" w14:textId="77777777" w:rsidR="00551873" w:rsidRPr="003550F0" w:rsidRDefault="00551873" w:rsidP="003550F0">
            <w:pPr>
              <w:jc w:val="both"/>
              <w:rPr>
                <w:rFonts w:ascii="Arial" w:hAnsi="Arial" w:cs="Arial"/>
                <w:sz w:val="20"/>
                <w:szCs w:val="20"/>
              </w:rPr>
            </w:pPr>
          </w:p>
        </w:tc>
        <w:tc>
          <w:tcPr>
            <w:tcW w:w="1172" w:type="dxa"/>
            <w:vMerge w:val="restart"/>
          </w:tcPr>
          <w:p w14:paraId="108CCCA3" w14:textId="77777777" w:rsidR="00551873" w:rsidRPr="003550F0" w:rsidRDefault="00551873" w:rsidP="003550F0">
            <w:pPr>
              <w:jc w:val="both"/>
              <w:rPr>
                <w:rFonts w:ascii="Arial" w:hAnsi="Arial" w:cs="Arial"/>
                <w:sz w:val="20"/>
                <w:szCs w:val="20"/>
              </w:rPr>
            </w:pPr>
          </w:p>
          <w:p w14:paraId="04933A12"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0.58%</w:t>
            </w:r>
          </w:p>
        </w:tc>
        <w:tc>
          <w:tcPr>
            <w:tcW w:w="1170" w:type="dxa"/>
            <w:vMerge w:val="restart"/>
          </w:tcPr>
          <w:p w14:paraId="1F278880"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Businessman, Private job holder</w:t>
            </w:r>
          </w:p>
        </w:tc>
        <w:tc>
          <w:tcPr>
            <w:tcW w:w="1620" w:type="dxa"/>
            <w:vMerge w:val="restart"/>
            <w:vAlign w:val="center"/>
          </w:tcPr>
          <w:p w14:paraId="4AAC66AC"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9-11</w:t>
            </w:r>
          </w:p>
        </w:tc>
        <w:tc>
          <w:tcPr>
            <w:tcW w:w="1530" w:type="dxa"/>
            <w:vMerge w:val="restart"/>
            <w:vAlign w:val="center"/>
          </w:tcPr>
          <w:p w14:paraId="52EBBBF6" w14:textId="18AED5BA" w:rsidR="00551873" w:rsidRPr="003550F0" w:rsidRDefault="00551873" w:rsidP="003550F0">
            <w:pPr>
              <w:jc w:val="both"/>
              <w:rPr>
                <w:rFonts w:ascii="Arial" w:hAnsi="Arial" w:cs="Arial"/>
                <w:sz w:val="20"/>
                <w:szCs w:val="20"/>
              </w:rPr>
            </w:pPr>
            <w:r w:rsidRPr="003550F0">
              <w:rPr>
                <w:rFonts w:ascii="Arial" w:hAnsi="Arial" w:cs="Arial"/>
                <w:sz w:val="20"/>
                <w:szCs w:val="20"/>
              </w:rPr>
              <w:t>01</w:t>
            </w:r>
            <w:r>
              <w:rPr>
                <w:rFonts w:ascii="Arial" w:hAnsi="Arial" w:cs="Arial"/>
                <w:sz w:val="20"/>
                <w:szCs w:val="20"/>
              </w:rPr>
              <w:t>+</w:t>
            </w:r>
          </w:p>
        </w:tc>
      </w:tr>
      <w:tr w:rsidR="00551873" w:rsidRPr="003550F0" w14:paraId="013C87F3" w14:textId="77777777" w:rsidTr="000A248F">
        <w:tc>
          <w:tcPr>
            <w:tcW w:w="1572" w:type="dxa"/>
            <w:vMerge w:val="restart"/>
          </w:tcPr>
          <w:p w14:paraId="058FFB25" w14:textId="77777777" w:rsidR="00551873" w:rsidRPr="003550F0" w:rsidRDefault="00551873" w:rsidP="003550F0">
            <w:pPr>
              <w:jc w:val="both"/>
              <w:rPr>
                <w:rFonts w:ascii="Arial" w:hAnsi="Arial" w:cs="Arial"/>
                <w:sz w:val="20"/>
                <w:szCs w:val="20"/>
              </w:rPr>
            </w:pPr>
          </w:p>
        </w:tc>
        <w:tc>
          <w:tcPr>
            <w:tcW w:w="1215" w:type="dxa"/>
          </w:tcPr>
          <w:p w14:paraId="7FA2801F"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Total = 01</w:t>
            </w:r>
          </w:p>
          <w:p w14:paraId="181A229F"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(0.65%)</w:t>
            </w:r>
          </w:p>
        </w:tc>
        <w:tc>
          <w:tcPr>
            <w:tcW w:w="1261" w:type="dxa"/>
            <w:gridSpan w:val="2"/>
          </w:tcPr>
          <w:p w14:paraId="3DAEDCE4" w14:textId="77777777" w:rsidR="00551873" w:rsidRPr="003550F0" w:rsidRDefault="00551873" w:rsidP="003550F0">
            <w:pPr>
              <w:jc w:val="both"/>
              <w:rPr>
                <w:rFonts w:ascii="Arial" w:hAnsi="Arial" w:cs="Arial"/>
                <w:sz w:val="20"/>
                <w:szCs w:val="20"/>
              </w:rPr>
            </w:pPr>
            <w:r w:rsidRPr="003550F0">
              <w:rPr>
                <w:rFonts w:ascii="Arial" w:hAnsi="Arial" w:cs="Arial"/>
                <w:sz w:val="20"/>
                <w:szCs w:val="20"/>
              </w:rPr>
              <w:t>Total = 00</w:t>
            </w:r>
          </w:p>
        </w:tc>
        <w:tc>
          <w:tcPr>
            <w:tcW w:w="1172" w:type="dxa"/>
            <w:vMerge/>
          </w:tcPr>
          <w:p w14:paraId="785CFA54" w14:textId="77777777" w:rsidR="00551873" w:rsidRPr="003550F0" w:rsidRDefault="00551873" w:rsidP="003550F0">
            <w:pPr>
              <w:jc w:val="both"/>
              <w:rPr>
                <w:rFonts w:ascii="Arial" w:hAnsi="Arial" w:cs="Arial"/>
                <w:sz w:val="20"/>
                <w:szCs w:val="20"/>
              </w:rPr>
            </w:pPr>
          </w:p>
        </w:tc>
        <w:tc>
          <w:tcPr>
            <w:tcW w:w="1170" w:type="dxa"/>
            <w:vMerge/>
          </w:tcPr>
          <w:p w14:paraId="21FC711D" w14:textId="77777777" w:rsidR="00551873" w:rsidRPr="003550F0" w:rsidRDefault="00551873" w:rsidP="003550F0">
            <w:pPr>
              <w:jc w:val="both"/>
              <w:rPr>
                <w:rFonts w:ascii="Arial" w:hAnsi="Arial" w:cs="Arial"/>
                <w:sz w:val="20"/>
                <w:szCs w:val="20"/>
              </w:rPr>
            </w:pPr>
          </w:p>
        </w:tc>
        <w:tc>
          <w:tcPr>
            <w:tcW w:w="1620" w:type="dxa"/>
            <w:vMerge/>
          </w:tcPr>
          <w:p w14:paraId="6C8C1E1B" w14:textId="77777777" w:rsidR="00551873" w:rsidRPr="003550F0" w:rsidRDefault="00551873" w:rsidP="003550F0">
            <w:pPr>
              <w:jc w:val="both"/>
              <w:rPr>
                <w:rFonts w:ascii="Arial" w:hAnsi="Arial" w:cs="Arial"/>
                <w:sz w:val="20"/>
                <w:szCs w:val="20"/>
              </w:rPr>
            </w:pPr>
          </w:p>
        </w:tc>
        <w:tc>
          <w:tcPr>
            <w:tcW w:w="1530" w:type="dxa"/>
            <w:vMerge/>
          </w:tcPr>
          <w:p w14:paraId="566BD0F7" w14:textId="77777777" w:rsidR="00551873" w:rsidRPr="003550F0" w:rsidRDefault="00551873" w:rsidP="003550F0">
            <w:pPr>
              <w:jc w:val="both"/>
              <w:rPr>
                <w:rFonts w:ascii="Arial" w:hAnsi="Arial" w:cs="Arial"/>
                <w:sz w:val="20"/>
                <w:szCs w:val="20"/>
              </w:rPr>
            </w:pPr>
          </w:p>
        </w:tc>
      </w:tr>
      <w:tr w:rsidR="000A248F" w:rsidRPr="003550F0" w14:paraId="2AD75567" w14:textId="77777777" w:rsidTr="000A248F">
        <w:tc>
          <w:tcPr>
            <w:tcW w:w="1572" w:type="dxa"/>
            <w:vMerge/>
          </w:tcPr>
          <w:p w14:paraId="0A381E31" w14:textId="77777777" w:rsidR="000A248F" w:rsidRPr="003550F0" w:rsidRDefault="000A248F" w:rsidP="003550F0">
            <w:pPr>
              <w:jc w:val="both"/>
              <w:rPr>
                <w:rFonts w:ascii="Arial" w:hAnsi="Arial" w:cs="Arial"/>
                <w:sz w:val="20"/>
                <w:szCs w:val="20"/>
              </w:rPr>
            </w:pPr>
          </w:p>
        </w:tc>
        <w:tc>
          <w:tcPr>
            <w:tcW w:w="2476" w:type="dxa"/>
            <w:gridSpan w:val="3"/>
          </w:tcPr>
          <w:p w14:paraId="25EAF806"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c>
          <w:tcPr>
            <w:tcW w:w="1172" w:type="dxa"/>
            <w:vMerge/>
          </w:tcPr>
          <w:p w14:paraId="4239C254" w14:textId="77777777" w:rsidR="000A248F" w:rsidRPr="003550F0" w:rsidRDefault="000A248F" w:rsidP="003550F0">
            <w:pPr>
              <w:jc w:val="both"/>
              <w:rPr>
                <w:rFonts w:ascii="Arial" w:hAnsi="Arial" w:cs="Arial"/>
                <w:sz w:val="20"/>
                <w:szCs w:val="20"/>
              </w:rPr>
            </w:pPr>
          </w:p>
        </w:tc>
        <w:tc>
          <w:tcPr>
            <w:tcW w:w="1170" w:type="dxa"/>
            <w:vMerge/>
          </w:tcPr>
          <w:p w14:paraId="3CE0DEEE" w14:textId="77777777" w:rsidR="000A248F" w:rsidRPr="003550F0" w:rsidRDefault="000A248F" w:rsidP="003550F0">
            <w:pPr>
              <w:jc w:val="both"/>
              <w:rPr>
                <w:rFonts w:ascii="Arial" w:hAnsi="Arial" w:cs="Arial"/>
                <w:sz w:val="20"/>
                <w:szCs w:val="20"/>
              </w:rPr>
            </w:pPr>
          </w:p>
        </w:tc>
        <w:tc>
          <w:tcPr>
            <w:tcW w:w="3150" w:type="dxa"/>
            <w:gridSpan w:val="2"/>
          </w:tcPr>
          <w:p w14:paraId="1F6618EF"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r>
      <w:tr w:rsidR="000A248F" w:rsidRPr="003550F0" w14:paraId="513C6B47" w14:textId="77777777" w:rsidTr="00097A20">
        <w:tc>
          <w:tcPr>
            <w:tcW w:w="1572" w:type="dxa"/>
          </w:tcPr>
          <w:p w14:paraId="21F41C53"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11-15</w:t>
            </w:r>
          </w:p>
        </w:tc>
        <w:tc>
          <w:tcPr>
            <w:tcW w:w="1215" w:type="dxa"/>
          </w:tcPr>
          <w:p w14:paraId="2CEF4FB4"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c>
          <w:tcPr>
            <w:tcW w:w="1261" w:type="dxa"/>
            <w:gridSpan w:val="2"/>
          </w:tcPr>
          <w:p w14:paraId="73D18507"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47E9592D" w14:textId="77777777" w:rsidR="000A248F" w:rsidRPr="003550F0" w:rsidRDefault="000A248F" w:rsidP="003550F0">
            <w:pPr>
              <w:jc w:val="both"/>
              <w:rPr>
                <w:rFonts w:ascii="Arial" w:hAnsi="Arial" w:cs="Arial"/>
                <w:sz w:val="20"/>
                <w:szCs w:val="20"/>
              </w:rPr>
            </w:pPr>
          </w:p>
          <w:p w14:paraId="5E0EE219" w14:textId="77777777" w:rsidR="000A248F" w:rsidRPr="003550F0" w:rsidRDefault="000A248F" w:rsidP="003550F0">
            <w:pPr>
              <w:jc w:val="both"/>
              <w:rPr>
                <w:rFonts w:ascii="Arial" w:hAnsi="Arial" w:cs="Arial"/>
                <w:sz w:val="20"/>
                <w:szCs w:val="20"/>
              </w:rPr>
            </w:pPr>
          </w:p>
          <w:p w14:paraId="7C04AF3F"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1.17%</w:t>
            </w:r>
          </w:p>
        </w:tc>
        <w:tc>
          <w:tcPr>
            <w:tcW w:w="1170" w:type="dxa"/>
            <w:vMerge w:val="restart"/>
          </w:tcPr>
          <w:p w14:paraId="5AC3FFBE" w14:textId="77777777" w:rsidR="000A248F" w:rsidRPr="003550F0" w:rsidRDefault="000A248F" w:rsidP="003550F0">
            <w:pPr>
              <w:jc w:val="both"/>
              <w:rPr>
                <w:rFonts w:ascii="Arial" w:hAnsi="Arial" w:cs="Arial"/>
                <w:sz w:val="20"/>
                <w:szCs w:val="20"/>
              </w:rPr>
            </w:pPr>
          </w:p>
          <w:p w14:paraId="2C36FF9B"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Farmer, abroad</w:t>
            </w:r>
          </w:p>
        </w:tc>
        <w:tc>
          <w:tcPr>
            <w:tcW w:w="1620" w:type="dxa"/>
            <w:vMerge w:val="restart"/>
            <w:tcBorders>
              <w:bottom w:val="nil"/>
            </w:tcBorders>
          </w:tcPr>
          <w:p w14:paraId="54F8A025" w14:textId="34C5A7E0" w:rsidR="000A248F" w:rsidRPr="003550F0" w:rsidRDefault="000A248F" w:rsidP="003550F0">
            <w:pPr>
              <w:jc w:val="both"/>
              <w:rPr>
                <w:rFonts w:ascii="Arial" w:hAnsi="Arial" w:cs="Arial"/>
                <w:sz w:val="20"/>
                <w:szCs w:val="20"/>
              </w:rPr>
            </w:pPr>
            <w:r w:rsidRPr="003550F0">
              <w:rPr>
                <w:rFonts w:ascii="Arial" w:hAnsi="Arial" w:cs="Arial"/>
                <w:sz w:val="20"/>
                <w:szCs w:val="20"/>
              </w:rPr>
              <w:t>3-5</w:t>
            </w:r>
          </w:p>
        </w:tc>
        <w:tc>
          <w:tcPr>
            <w:tcW w:w="1530" w:type="dxa"/>
            <w:vMerge w:val="restart"/>
            <w:tcBorders>
              <w:bottom w:val="nil"/>
            </w:tcBorders>
          </w:tcPr>
          <w:p w14:paraId="6124862E" w14:textId="4BA0706E"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r>
      <w:tr w:rsidR="00097A20" w:rsidRPr="003550F0" w14:paraId="3E914461" w14:textId="77777777" w:rsidTr="00097A20">
        <w:trPr>
          <w:trHeight w:val="230"/>
        </w:trPr>
        <w:tc>
          <w:tcPr>
            <w:tcW w:w="1572" w:type="dxa"/>
            <w:vMerge w:val="restart"/>
          </w:tcPr>
          <w:p w14:paraId="15EC5119" w14:textId="77777777" w:rsidR="00097A20" w:rsidRPr="003550F0" w:rsidRDefault="00097A20" w:rsidP="003550F0">
            <w:pPr>
              <w:jc w:val="both"/>
              <w:rPr>
                <w:rFonts w:ascii="Arial" w:hAnsi="Arial" w:cs="Arial"/>
                <w:sz w:val="20"/>
                <w:szCs w:val="20"/>
              </w:rPr>
            </w:pPr>
          </w:p>
        </w:tc>
        <w:tc>
          <w:tcPr>
            <w:tcW w:w="1215" w:type="dxa"/>
            <w:vMerge w:val="restart"/>
          </w:tcPr>
          <w:p w14:paraId="25EFD871"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Total = 01</w:t>
            </w:r>
          </w:p>
          <w:p w14:paraId="7D4F2EE7"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(0.65%)</w:t>
            </w:r>
          </w:p>
        </w:tc>
        <w:tc>
          <w:tcPr>
            <w:tcW w:w="1261" w:type="dxa"/>
            <w:gridSpan w:val="2"/>
            <w:vMerge w:val="restart"/>
          </w:tcPr>
          <w:p w14:paraId="61C75B89"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Total = 01</w:t>
            </w:r>
          </w:p>
          <w:p w14:paraId="380F8E48" w14:textId="77777777" w:rsidR="00097A20" w:rsidRPr="003550F0" w:rsidRDefault="00097A20"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47D22F21" w14:textId="77777777" w:rsidR="00097A20" w:rsidRPr="003550F0" w:rsidRDefault="00097A20" w:rsidP="003550F0">
            <w:pPr>
              <w:jc w:val="both"/>
              <w:rPr>
                <w:rFonts w:ascii="Arial" w:hAnsi="Arial" w:cs="Arial"/>
                <w:sz w:val="20"/>
                <w:szCs w:val="20"/>
              </w:rPr>
            </w:pPr>
          </w:p>
        </w:tc>
        <w:tc>
          <w:tcPr>
            <w:tcW w:w="1170" w:type="dxa"/>
            <w:vMerge/>
          </w:tcPr>
          <w:p w14:paraId="6566F00F" w14:textId="77777777" w:rsidR="00097A20" w:rsidRPr="003550F0" w:rsidRDefault="00097A20" w:rsidP="003550F0">
            <w:pPr>
              <w:jc w:val="both"/>
              <w:rPr>
                <w:rFonts w:ascii="Arial" w:hAnsi="Arial" w:cs="Arial"/>
                <w:sz w:val="20"/>
                <w:szCs w:val="20"/>
              </w:rPr>
            </w:pPr>
          </w:p>
        </w:tc>
        <w:tc>
          <w:tcPr>
            <w:tcW w:w="1620" w:type="dxa"/>
            <w:vMerge/>
            <w:tcBorders>
              <w:top w:val="nil"/>
              <w:bottom w:val="nil"/>
            </w:tcBorders>
          </w:tcPr>
          <w:p w14:paraId="39145EF1" w14:textId="77777777" w:rsidR="00097A20" w:rsidRPr="003550F0" w:rsidRDefault="00097A20" w:rsidP="003550F0">
            <w:pPr>
              <w:jc w:val="both"/>
              <w:rPr>
                <w:rFonts w:ascii="Arial" w:hAnsi="Arial" w:cs="Arial"/>
                <w:sz w:val="20"/>
                <w:szCs w:val="20"/>
              </w:rPr>
            </w:pPr>
          </w:p>
        </w:tc>
        <w:tc>
          <w:tcPr>
            <w:tcW w:w="1530" w:type="dxa"/>
            <w:vMerge/>
            <w:tcBorders>
              <w:top w:val="nil"/>
              <w:bottom w:val="nil"/>
            </w:tcBorders>
          </w:tcPr>
          <w:p w14:paraId="5D8B282E" w14:textId="77777777" w:rsidR="00097A20" w:rsidRPr="003550F0" w:rsidRDefault="00097A20" w:rsidP="003550F0">
            <w:pPr>
              <w:jc w:val="both"/>
              <w:rPr>
                <w:rFonts w:ascii="Arial" w:hAnsi="Arial" w:cs="Arial"/>
                <w:sz w:val="20"/>
                <w:szCs w:val="20"/>
              </w:rPr>
            </w:pPr>
          </w:p>
        </w:tc>
      </w:tr>
      <w:tr w:rsidR="00097A20" w:rsidRPr="003550F0" w14:paraId="784C54AA" w14:textId="77777777" w:rsidTr="00097A20">
        <w:trPr>
          <w:trHeight w:val="240"/>
        </w:trPr>
        <w:tc>
          <w:tcPr>
            <w:tcW w:w="1572" w:type="dxa"/>
            <w:vMerge/>
          </w:tcPr>
          <w:p w14:paraId="023A90FE" w14:textId="77777777" w:rsidR="00097A20" w:rsidRPr="003550F0" w:rsidRDefault="00097A20" w:rsidP="003550F0">
            <w:pPr>
              <w:jc w:val="both"/>
              <w:rPr>
                <w:rFonts w:ascii="Arial" w:hAnsi="Arial" w:cs="Arial"/>
                <w:sz w:val="20"/>
                <w:szCs w:val="20"/>
              </w:rPr>
            </w:pPr>
          </w:p>
        </w:tc>
        <w:tc>
          <w:tcPr>
            <w:tcW w:w="1215" w:type="dxa"/>
            <w:vMerge/>
          </w:tcPr>
          <w:p w14:paraId="1BD917B9" w14:textId="77777777" w:rsidR="00097A20" w:rsidRPr="003550F0" w:rsidRDefault="00097A20" w:rsidP="003550F0">
            <w:pPr>
              <w:jc w:val="both"/>
              <w:rPr>
                <w:rFonts w:ascii="Arial" w:hAnsi="Arial" w:cs="Arial"/>
                <w:sz w:val="20"/>
                <w:szCs w:val="20"/>
              </w:rPr>
            </w:pPr>
          </w:p>
        </w:tc>
        <w:tc>
          <w:tcPr>
            <w:tcW w:w="1261" w:type="dxa"/>
            <w:gridSpan w:val="2"/>
            <w:vMerge/>
          </w:tcPr>
          <w:p w14:paraId="726FD791" w14:textId="77777777" w:rsidR="00097A20" w:rsidRPr="003550F0" w:rsidRDefault="00097A20" w:rsidP="003550F0">
            <w:pPr>
              <w:jc w:val="both"/>
              <w:rPr>
                <w:rFonts w:ascii="Arial" w:hAnsi="Arial" w:cs="Arial"/>
                <w:sz w:val="20"/>
                <w:szCs w:val="20"/>
              </w:rPr>
            </w:pPr>
          </w:p>
        </w:tc>
        <w:tc>
          <w:tcPr>
            <w:tcW w:w="1172" w:type="dxa"/>
            <w:vMerge/>
          </w:tcPr>
          <w:p w14:paraId="47ADD1D5" w14:textId="77777777" w:rsidR="00097A20" w:rsidRPr="003550F0" w:rsidRDefault="00097A20" w:rsidP="003550F0">
            <w:pPr>
              <w:jc w:val="both"/>
              <w:rPr>
                <w:rFonts w:ascii="Arial" w:hAnsi="Arial" w:cs="Arial"/>
                <w:sz w:val="20"/>
                <w:szCs w:val="20"/>
              </w:rPr>
            </w:pPr>
          </w:p>
        </w:tc>
        <w:tc>
          <w:tcPr>
            <w:tcW w:w="1170" w:type="dxa"/>
            <w:vMerge/>
          </w:tcPr>
          <w:p w14:paraId="7257B177" w14:textId="77777777" w:rsidR="00097A20" w:rsidRPr="003550F0" w:rsidRDefault="00097A20" w:rsidP="003550F0">
            <w:pPr>
              <w:jc w:val="both"/>
              <w:rPr>
                <w:rFonts w:ascii="Arial" w:hAnsi="Arial" w:cs="Arial"/>
                <w:sz w:val="20"/>
                <w:szCs w:val="20"/>
              </w:rPr>
            </w:pPr>
          </w:p>
        </w:tc>
        <w:tc>
          <w:tcPr>
            <w:tcW w:w="1620" w:type="dxa"/>
            <w:tcBorders>
              <w:top w:val="nil"/>
            </w:tcBorders>
          </w:tcPr>
          <w:p w14:paraId="29402150" w14:textId="7D59C8FD" w:rsidR="00097A20" w:rsidRPr="003550F0" w:rsidRDefault="00097A20" w:rsidP="003550F0">
            <w:pPr>
              <w:jc w:val="both"/>
              <w:rPr>
                <w:rFonts w:ascii="Arial" w:hAnsi="Arial" w:cs="Arial"/>
                <w:sz w:val="20"/>
                <w:szCs w:val="20"/>
              </w:rPr>
            </w:pPr>
            <w:r>
              <w:rPr>
                <w:rFonts w:ascii="Arial" w:hAnsi="Arial" w:cs="Arial"/>
                <w:sz w:val="20"/>
                <w:szCs w:val="20"/>
              </w:rPr>
              <w:t>11-13</w:t>
            </w:r>
          </w:p>
        </w:tc>
        <w:tc>
          <w:tcPr>
            <w:tcW w:w="1530" w:type="dxa"/>
            <w:tcBorders>
              <w:top w:val="nil"/>
            </w:tcBorders>
          </w:tcPr>
          <w:p w14:paraId="1C4AAFF0" w14:textId="76A05DCB" w:rsidR="00097A20" w:rsidRPr="003550F0" w:rsidRDefault="00097A20" w:rsidP="003550F0">
            <w:pPr>
              <w:jc w:val="both"/>
              <w:rPr>
                <w:rFonts w:ascii="Arial" w:hAnsi="Arial" w:cs="Arial"/>
                <w:sz w:val="20"/>
                <w:szCs w:val="20"/>
              </w:rPr>
            </w:pPr>
            <w:r>
              <w:rPr>
                <w:rFonts w:ascii="Arial" w:hAnsi="Arial" w:cs="Arial"/>
                <w:sz w:val="20"/>
                <w:szCs w:val="20"/>
              </w:rPr>
              <w:t>01</w:t>
            </w:r>
          </w:p>
        </w:tc>
      </w:tr>
      <w:tr w:rsidR="000A248F" w:rsidRPr="003550F0" w14:paraId="07E6B6FD" w14:textId="77777777" w:rsidTr="000A248F">
        <w:tc>
          <w:tcPr>
            <w:tcW w:w="1572" w:type="dxa"/>
            <w:vMerge/>
          </w:tcPr>
          <w:p w14:paraId="65F904A5" w14:textId="77777777" w:rsidR="000A248F" w:rsidRPr="003550F0" w:rsidRDefault="000A248F" w:rsidP="003550F0">
            <w:pPr>
              <w:jc w:val="both"/>
              <w:rPr>
                <w:rFonts w:ascii="Arial" w:hAnsi="Arial" w:cs="Arial"/>
                <w:sz w:val="20"/>
                <w:szCs w:val="20"/>
              </w:rPr>
            </w:pPr>
          </w:p>
        </w:tc>
        <w:tc>
          <w:tcPr>
            <w:tcW w:w="2476" w:type="dxa"/>
            <w:gridSpan w:val="3"/>
          </w:tcPr>
          <w:p w14:paraId="1D340BC1"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02</w:t>
            </w:r>
          </w:p>
        </w:tc>
        <w:tc>
          <w:tcPr>
            <w:tcW w:w="1172" w:type="dxa"/>
            <w:vMerge/>
          </w:tcPr>
          <w:p w14:paraId="70B3AE79" w14:textId="77777777" w:rsidR="000A248F" w:rsidRPr="003550F0" w:rsidRDefault="000A248F" w:rsidP="003550F0">
            <w:pPr>
              <w:jc w:val="both"/>
              <w:rPr>
                <w:rFonts w:ascii="Arial" w:hAnsi="Arial" w:cs="Arial"/>
                <w:sz w:val="20"/>
                <w:szCs w:val="20"/>
              </w:rPr>
            </w:pPr>
          </w:p>
        </w:tc>
        <w:tc>
          <w:tcPr>
            <w:tcW w:w="1170" w:type="dxa"/>
            <w:vMerge/>
          </w:tcPr>
          <w:p w14:paraId="38393D1C" w14:textId="77777777" w:rsidR="000A248F" w:rsidRPr="003550F0" w:rsidRDefault="000A248F" w:rsidP="003550F0">
            <w:pPr>
              <w:jc w:val="both"/>
              <w:rPr>
                <w:rFonts w:ascii="Arial" w:hAnsi="Arial" w:cs="Arial"/>
                <w:sz w:val="20"/>
                <w:szCs w:val="20"/>
              </w:rPr>
            </w:pPr>
          </w:p>
        </w:tc>
        <w:tc>
          <w:tcPr>
            <w:tcW w:w="3150" w:type="dxa"/>
            <w:gridSpan w:val="2"/>
            <w:tcBorders>
              <w:bottom w:val="single" w:sz="4" w:space="0" w:color="auto"/>
            </w:tcBorders>
          </w:tcPr>
          <w:p w14:paraId="63427746" w14:textId="77777777" w:rsidR="000A248F" w:rsidRPr="003550F0" w:rsidRDefault="000A248F" w:rsidP="000A248F">
            <w:pPr>
              <w:jc w:val="center"/>
              <w:rPr>
                <w:rFonts w:ascii="Arial" w:hAnsi="Arial" w:cs="Arial"/>
                <w:sz w:val="20"/>
                <w:szCs w:val="20"/>
              </w:rPr>
            </w:pPr>
            <w:r w:rsidRPr="00097A20">
              <w:rPr>
                <w:rFonts w:ascii="Arial" w:hAnsi="Arial" w:cs="Arial"/>
                <w:sz w:val="20"/>
                <w:szCs w:val="20"/>
              </w:rPr>
              <w:t>Total = 02</w:t>
            </w:r>
          </w:p>
        </w:tc>
      </w:tr>
      <w:tr w:rsidR="000A248F" w:rsidRPr="003550F0" w14:paraId="4D09643B" w14:textId="77777777" w:rsidTr="000A248F">
        <w:tc>
          <w:tcPr>
            <w:tcW w:w="1572" w:type="dxa"/>
          </w:tcPr>
          <w:p w14:paraId="3906B35F"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21-25</w:t>
            </w:r>
          </w:p>
        </w:tc>
        <w:tc>
          <w:tcPr>
            <w:tcW w:w="1215" w:type="dxa"/>
          </w:tcPr>
          <w:p w14:paraId="511C0479" w14:textId="77777777" w:rsidR="000A248F" w:rsidRPr="003550F0" w:rsidRDefault="000A248F" w:rsidP="003550F0">
            <w:pPr>
              <w:jc w:val="both"/>
              <w:rPr>
                <w:rFonts w:ascii="Arial" w:hAnsi="Arial" w:cs="Arial"/>
                <w:sz w:val="20"/>
                <w:szCs w:val="20"/>
              </w:rPr>
            </w:pPr>
          </w:p>
        </w:tc>
        <w:tc>
          <w:tcPr>
            <w:tcW w:w="1261" w:type="dxa"/>
            <w:gridSpan w:val="2"/>
          </w:tcPr>
          <w:p w14:paraId="3AE4824E"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c>
          <w:tcPr>
            <w:tcW w:w="1172" w:type="dxa"/>
            <w:vMerge w:val="restart"/>
          </w:tcPr>
          <w:p w14:paraId="6B67B6D6" w14:textId="77777777" w:rsidR="000A248F" w:rsidRPr="003550F0" w:rsidRDefault="000A248F" w:rsidP="003550F0">
            <w:pPr>
              <w:jc w:val="both"/>
              <w:rPr>
                <w:rFonts w:ascii="Arial" w:hAnsi="Arial" w:cs="Arial"/>
                <w:sz w:val="20"/>
                <w:szCs w:val="20"/>
              </w:rPr>
            </w:pPr>
          </w:p>
          <w:p w14:paraId="04DE1B0B" w14:textId="77777777" w:rsidR="000A248F" w:rsidRPr="003550F0" w:rsidRDefault="000A248F" w:rsidP="003550F0">
            <w:pPr>
              <w:jc w:val="both"/>
              <w:rPr>
                <w:rFonts w:ascii="Arial" w:hAnsi="Arial" w:cs="Arial"/>
                <w:sz w:val="20"/>
                <w:szCs w:val="20"/>
              </w:rPr>
            </w:pPr>
          </w:p>
          <w:p w14:paraId="57C02CAB"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0.58%</w:t>
            </w:r>
          </w:p>
          <w:p w14:paraId="027E7464" w14:textId="77777777" w:rsidR="000A248F" w:rsidRPr="003550F0" w:rsidRDefault="000A248F" w:rsidP="003550F0">
            <w:pPr>
              <w:jc w:val="both"/>
              <w:rPr>
                <w:rFonts w:ascii="Arial" w:hAnsi="Arial" w:cs="Arial"/>
                <w:sz w:val="20"/>
                <w:szCs w:val="20"/>
              </w:rPr>
            </w:pPr>
          </w:p>
        </w:tc>
        <w:tc>
          <w:tcPr>
            <w:tcW w:w="1170" w:type="dxa"/>
            <w:vMerge w:val="restart"/>
          </w:tcPr>
          <w:p w14:paraId="4843D2C1"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Farmer, Private job holder</w:t>
            </w:r>
          </w:p>
        </w:tc>
        <w:tc>
          <w:tcPr>
            <w:tcW w:w="1620" w:type="dxa"/>
            <w:vMerge w:val="restart"/>
          </w:tcPr>
          <w:p w14:paraId="6920B391" w14:textId="77777777" w:rsidR="000A248F" w:rsidRDefault="000A248F" w:rsidP="003550F0">
            <w:pPr>
              <w:jc w:val="both"/>
              <w:rPr>
                <w:rFonts w:ascii="Arial" w:hAnsi="Arial" w:cs="Arial"/>
                <w:sz w:val="20"/>
                <w:szCs w:val="20"/>
              </w:rPr>
            </w:pPr>
          </w:p>
          <w:p w14:paraId="6CF91951" w14:textId="12B9488B" w:rsidR="000A248F" w:rsidRPr="003550F0" w:rsidRDefault="000A248F" w:rsidP="003550F0">
            <w:pPr>
              <w:jc w:val="both"/>
              <w:rPr>
                <w:rFonts w:ascii="Arial" w:hAnsi="Arial" w:cs="Arial"/>
                <w:sz w:val="20"/>
                <w:szCs w:val="20"/>
              </w:rPr>
            </w:pPr>
            <w:r w:rsidRPr="003550F0">
              <w:rPr>
                <w:rFonts w:ascii="Arial" w:hAnsi="Arial" w:cs="Arial"/>
                <w:sz w:val="20"/>
                <w:szCs w:val="20"/>
              </w:rPr>
              <w:t>1-3</w:t>
            </w:r>
          </w:p>
        </w:tc>
        <w:tc>
          <w:tcPr>
            <w:tcW w:w="1530" w:type="dxa"/>
            <w:vMerge w:val="restart"/>
          </w:tcPr>
          <w:p w14:paraId="57646721" w14:textId="77777777" w:rsidR="000A248F" w:rsidRDefault="000A248F" w:rsidP="003550F0">
            <w:pPr>
              <w:jc w:val="both"/>
              <w:rPr>
                <w:rFonts w:ascii="Arial" w:hAnsi="Arial" w:cs="Arial"/>
                <w:sz w:val="20"/>
                <w:szCs w:val="20"/>
              </w:rPr>
            </w:pPr>
          </w:p>
          <w:p w14:paraId="2B4D3C27" w14:textId="2695AEEC" w:rsidR="000A248F" w:rsidRPr="003550F0" w:rsidRDefault="000A248F" w:rsidP="003550F0">
            <w:pPr>
              <w:jc w:val="both"/>
              <w:rPr>
                <w:rFonts w:ascii="Arial" w:hAnsi="Arial" w:cs="Arial"/>
                <w:sz w:val="20"/>
                <w:szCs w:val="20"/>
              </w:rPr>
            </w:pPr>
            <w:r w:rsidRPr="003550F0">
              <w:rPr>
                <w:rFonts w:ascii="Arial" w:hAnsi="Arial" w:cs="Arial"/>
                <w:sz w:val="20"/>
                <w:szCs w:val="20"/>
              </w:rPr>
              <w:t>01</w:t>
            </w:r>
          </w:p>
        </w:tc>
      </w:tr>
      <w:tr w:rsidR="000A248F" w:rsidRPr="003550F0" w14:paraId="746EDC0B" w14:textId="77777777" w:rsidTr="000A248F">
        <w:tc>
          <w:tcPr>
            <w:tcW w:w="1572" w:type="dxa"/>
            <w:vMerge w:val="restart"/>
          </w:tcPr>
          <w:p w14:paraId="7C5710E2" w14:textId="77777777" w:rsidR="000A248F" w:rsidRPr="003550F0" w:rsidRDefault="000A248F" w:rsidP="003550F0">
            <w:pPr>
              <w:jc w:val="both"/>
              <w:rPr>
                <w:rFonts w:ascii="Arial" w:hAnsi="Arial" w:cs="Arial"/>
                <w:sz w:val="20"/>
                <w:szCs w:val="20"/>
              </w:rPr>
            </w:pPr>
          </w:p>
        </w:tc>
        <w:tc>
          <w:tcPr>
            <w:tcW w:w="1215" w:type="dxa"/>
          </w:tcPr>
          <w:p w14:paraId="332FAC0F" w14:textId="77777777" w:rsidR="000A248F" w:rsidRPr="003550F0" w:rsidRDefault="000A248F" w:rsidP="003550F0">
            <w:pPr>
              <w:jc w:val="both"/>
              <w:rPr>
                <w:rFonts w:ascii="Arial" w:hAnsi="Arial" w:cs="Arial"/>
                <w:sz w:val="20"/>
                <w:szCs w:val="20"/>
              </w:rPr>
            </w:pPr>
          </w:p>
        </w:tc>
        <w:tc>
          <w:tcPr>
            <w:tcW w:w="1261" w:type="dxa"/>
            <w:gridSpan w:val="2"/>
          </w:tcPr>
          <w:p w14:paraId="46E87BF6"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Total = 01</w:t>
            </w:r>
          </w:p>
          <w:p w14:paraId="5FE87544"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(5.56%)</w:t>
            </w:r>
          </w:p>
        </w:tc>
        <w:tc>
          <w:tcPr>
            <w:tcW w:w="1172" w:type="dxa"/>
            <w:vMerge/>
          </w:tcPr>
          <w:p w14:paraId="73E796EE" w14:textId="77777777" w:rsidR="000A248F" w:rsidRPr="003550F0" w:rsidRDefault="000A248F" w:rsidP="003550F0">
            <w:pPr>
              <w:jc w:val="both"/>
              <w:rPr>
                <w:rFonts w:ascii="Arial" w:hAnsi="Arial" w:cs="Arial"/>
                <w:sz w:val="20"/>
                <w:szCs w:val="20"/>
              </w:rPr>
            </w:pPr>
          </w:p>
        </w:tc>
        <w:tc>
          <w:tcPr>
            <w:tcW w:w="1170" w:type="dxa"/>
            <w:vMerge/>
          </w:tcPr>
          <w:p w14:paraId="16961183" w14:textId="77777777" w:rsidR="000A248F" w:rsidRPr="003550F0" w:rsidRDefault="000A248F" w:rsidP="003550F0">
            <w:pPr>
              <w:jc w:val="both"/>
              <w:rPr>
                <w:rFonts w:ascii="Arial" w:hAnsi="Arial" w:cs="Arial"/>
                <w:sz w:val="20"/>
                <w:szCs w:val="20"/>
              </w:rPr>
            </w:pPr>
          </w:p>
        </w:tc>
        <w:tc>
          <w:tcPr>
            <w:tcW w:w="1620" w:type="dxa"/>
            <w:vMerge/>
          </w:tcPr>
          <w:p w14:paraId="162A9B8B" w14:textId="77777777" w:rsidR="000A248F" w:rsidRPr="003550F0" w:rsidRDefault="000A248F" w:rsidP="003550F0">
            <w:pPr>
              <w:jc w:val="both"/>
              <w:rPr>
                <w:rFonts w:ascii="Arial" w:hAnsi="Arial" w:cs="Arial"/>
                <w:sz w:val="20"/>
                <w:szCs w:val="20"/>
              </w:rPr>
            </w:pPr>
          </w:p>
        </w:tc>
        <w:tc>
          <w:tcPr>
            <w:tcW w:w="1530" w:type="dxa"/>
            <w:vMerge/>
          </w:tcPr>
          <w:p w14:paraId="7B9DEBE0" w14:textId="77777777" w:rsidR="000A248F" w:rsidRPr="003550F0" w:rsidRDefault="000A248F" w:rsidP="003550F0">
            <w:pPr>
              <w:jc w:val="both"/>
              <w:rPr>
                <w:rFonts w:ascii="Arial" w:hAnsi="Arial" w:cs="Arial"/>
                <w:sz w:val="20"/>
                <w:szCs w:val="20"/>
              </w:rPr>
            </w:pPr>
          </w:p>
        </w:tc>
      </w:tr>
      <w:tr w:rsidR="000A248F" w:rsidRPr="003550F0" w14:paraId="0DFB83AE" w14:textId="77777777" w:rsidTr="000A248F">
        <w:tc>
          <w:tcPr>
            <w:tcW w:w="1572" w:type="dxa"/>
            <w:vMerge/>
          </w:tcPr>
          <w:p w14:paraId="5BFC92F2" w14:textId="77777777" w:rsidR="000A248F" w:rsidRPr="003550F0" w:rsidRDefault="000A248F" w:rsidP="003550F0">
            <w:pPr>
              <w:jc w:val="both"/>
              <w:rPr>
                <w:rFonts w:ascii="Arial" w:hAnsi="Arial" w:cs="Arial"/>
                <w:sz w:val="20"/>
                <w:szCs w:val="20"/>
              </w:rPr>
            </w:pPr>
          </w:p>
        </w:tc>
        <w:tc>
          <w:tcPr>
            <w:tcW w:w="2476" w:type="dxa"/>
            <w:gridSpan w:val="3"/>
          </w:tcPr>
          <w:p w14:paraId="039E3EFC"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c>
          <w:tcPr>
            <w:tcW w:w="1172" w:type="dxa"/>
            <w:vMerge/>
          </w:tcPr>
          <w:p w14:paraId="68E300B1" w14:textId="77777777" w:rsidR="000A248F" w:rsidRPr="003550F0" w:rsidRDefault="000A248F" w:rsidP="003550F0">
            <w:pPr>
              <w:jc w:val="both"/>
              <w:rPr>
                <w:rFonts w:ascii="Arial" w:hAnsi="Arial" w:cs="Arial"/>
                <w:sz w:val="20"/>
                <w:szCs w:val="20"/>
              </w:rPr>
            </w:pPr>
          </w:p>
        </w:tc>
        <w:tc>
          <w:tcPr>
            <w:tcW w:w="1170" w:type="dxa"/>
            <w:vMerge/>
          </w:tcPr>
          <w:p w14:paraId="679E7A83" w14:textId="77777777" w:rsidR="000A248F" w:rsidRPr="003550F0" w:rsidRDefault="000A248F" w:rsidP="003550F0">
            <w:pPr>
              <w:jc w:val="both"/>
              <w:rPr>
                <w:rFonts w:ascii="Arial" w:hAnsi="Arial" w:cs="Arial"/>
                <w:sz w:val="20"/>
                <w:szCs w:val="20"/>
              </w:rPr>
            </w:pPr>
          </w:p>
        </w:tc>
        <w:tc>
          <w:tcPr>
            <w:tcW w:w="3150" w:type="dxa"/>
            <w:gridSpan w:val="2"/>
          </w:tcPr>
          <w:p w14:paraId="2DD636A8" w14:textId="77777777" w:rsidR="000A248F" w:rsidRPr="003550F0" w:rsidRDefault="000A248F" w:rsidP="000A248F">
            <w:pPr>
              <w:jc w:val="center"/>
              <w:rPr>
                <w:rFonts w:ascii="Arial" w:hAnsi="Arial" w:cs="Arial"/>
                <w:sz w:val="20"/>
                <w:szCs w:val="20"/>
              </w:rPr>
            </w:pPr>
            <w:r w:rsidRPr="003550F0">
              <w:rPr>
                <w:rFonts w:ascii="Arial" w:hAnsi="Arial" w:cs="Arial"/>
                <w:sz w:val="20"/>
                <w:szCs w:val="20"/>
              </w:rPr>
              <w:t>Total = 01</w:t>
            </w:r>
          </w:p>
        </w:tc>
      </w:tr>
      <w:tr w:rsidR="000A248F" w:rsidRPr="003550F0" w14:paraId="362F0B3C" w14:textId="77777777" w:rsidTr="000A248F">
        <w:tc>
          <w:tcPr>
            <w:tcW w:w="1572" w:type="dxa"/>
            <w:vMerge w:val="restart"/>
          </w:tcPr>
          <w:p w14:paraId="04F769FB" w14:textId="77777777" w:rsidR="000A248F" w:rsidRPr="003550F0" w:rsidRDefault="000A248F" w:rsidP="003550F0">
            <w:pPr>
              <w:jc w:val="both"/>
              <w:rPr>
                <w:rFonts w:ascii="Arial" w:hAnsi="Arial" w:cs="Arial"/>
                <w:sz w:val="20"/>
                <w:szCs w:val="20"/>
              </w:rPr>
            </w:pPr>
          </w:p>
        </w:tc>
        <w:tc>
          <w:tcPr>
            <w:tcW w:w="1237" w:type="dxa"/>
            <w:gridSpan w:val="2"/>
          </w:tcPr>
          <w:p w14:paraId="22A96567"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Total = 153 (100%)</w:t>
            </w:r>
          </w:p>
        </w:tc>
        <w:tc>
          <w:tcPr>
            <w:tcW w:w="1239" w:type="dxa"/>
          </w:tcPr>
          <w:p w14:paraId="57A3E221" w14:textId="77777777" w:rsidR="000A248F" w:rsidRPr="003550F0" w:rsidRDefault="000A248F" w:rsidP="003550F0">
            <w:pPr>
              <w:jc w:val="both"/>
              <w:rPr>
                <w:rFonts w:ascii="Arial" w:hAnsi="Arial" w:cs="Arial"/>
                <w:sz w:val="20"/>
                <w:szCs w:val="20"/>
              </w:rPr>
            </w:pPr>
            <w:r w:rsidRPr="003550F0">
              <w:rPr>
                <w:rFonts w:ascii="Arial" w:hAnsi="Arial" w:cs="Arial"/>
                <w:sz w:val="20"/>
                <w:szCs w:val="20"/>
              </w:rPr>
              <w:t>Total = 18 (100%)</w:t>
            </w:r>
          </w:p>
        </w:tc>
        <w:tc>
          <w:tcPr>
            <w:tcW w:w="2342" w:type="dxa"/>
            <w:gridSpan w:val="2"/>
            <w:vMerge w:val="restart"/>
          </w:tcPr>
          <w:p w14:paraId="020393E8" w14:textId="77777777" w:rsidR="000A248F" w:rsidRPr="003550F0" w:rsidRDefault="000A248F" w:rsidP="003550F0">
            <w:pPr>
              <w:jc w:val="both"/>
              <w:rPr>
                <w:rFonts w:ascii="Arial" w:hAnsi="Arial" w:cs="Arial"/>
                <w:sz w:val="20"/>
                <w:szCs w:val="20"/>
              </w:rPr>
            </w:pPr>
          </w:p>
        </w:tc>
        <w:tc>
          <w:tcPr>
            <w:tcW w:w="3150" w:type="dxa"/>
            <w:gridSpan w:val="2"/>
            <w:vMerge w:val="restart"/>
          </w:tcPr>
          <w:p w14:paraId="442ACBD0" w14:textId="77777777" w:rsidR="000A248F" w:rsidRDefault="000A248F" w:rsidP="000A248F">
            <w:pPr>
              <w:jc w:val="center"/>
              <w:rPr>
                <w:rFonts w:ascii="Arial" w:hAnsi="Arial" w:cs="Arial"/>
                <w:sz w:val="20"/>
                <w:szCs w:val="20"/>
              </w:rPr>
            </w:pPr>
          </w:p>
          <w:p w14:paraId="69D547C4" w14:textId="473B2C99" w:rsidR="000A248F" w:rsidRPr="003550F0" w:rsidRDefault="000A248F" w:rsidP="000A248F">
            <w:pPr>
              <w:jc w:val="center"/>
              <w:rPr>
                <w:rFonts w:ascii="Arial" w:hAnsi="Arial" w:cs="Arial"/>
                <w:sz w:val="20"/>
                <w:szCs w:val="20"/>
              </w:rPr>
            </w:pPr>
            <w:r w:rsidRPr="003550F0">
              <w:rPr>
                <w:rFonts w:ascii="Arial" w:hAnsi="Arial" w:cs="Arial"/>
                <w:sz w:val="20"/>
                <w:szCs w:val="20"/>
              </w:rPr>
              <w:t>Total = 171</w:t>
            </w:r>
          </w:p>
        </w:tc>
      </w:tr>
      <w:tr w:rsidR="000A248F" w:rsidRPr="003550F0" w14:paraId="3C6BBFED" w14:textId="77777777" w:rsidTr="000A248F">
        <w:tc>
          <w:tcPr>
            <w:tcW w:w="1572" w:type="dxa"/>
            <w:vMerge/>
          </w:tcPr>
          <w:p w14:paraId="45CEDF41" w14:textId="77777777" w:rsidR="000A248F" w:rsidRPr="003550F0" w:rsidRDefault="000A248F" w:rsidP="003550F0">
            <w:pPr>
              <w:jc w:val="both"/>
              <w:rPr>
                <w:rFonts w:ascii="Arial" w:hAnsi="Arial" w:cs="Arial"/>
                <w:sz w:val="20"/>
                <w:szCs w:val="20"/>
              </w:rPr>
            </w:pPr>
          </w:p>
        </w:tc>
        <w:tc>
          <w:tcPr>
            <w:tcW w:w="2476" w:type="dxa"/>
            <w:gridSpan w:val="3"/>
          </w:tcPr>
          <w:p w14:paraId="35EFFB48" w14:textId="6E854FFC" w:rsidR="000A248F" w:rsidRPr="003550F0" w:rsidRDefault="000A248F" w:rsidP="000A248F">
            <w:pPr>
              <w:jc w:val="center"/>
              <w:rPr>
                <w:rFonts w:ascii="Arial" w:hAnsi="Arial" w:cs="Arial"/>
                <w:sz w:val="20"/>
                <w:szCs w:val="20"/>
              </w:rPr>
            </w:pPr>
            <w:r w:rsidRPr="003550F0">
              <w:rPr>
                <w:rFonts w:ascii="Arial" w:hAnsi="Arial" w:cs="Arial"/>
                <w:sz w:val="20"/>
                <w:szCs w:val="20"/>
              </w:rPr>
              <w:t>Total = 171</w:t>
            </w:r>
            <w:r>
              <w:rPr>
                <w:rFonts w:ascii="Arial" w:hAnsi="Arial" w:cs="Arial"/>
                <w:sz w:val="20"/>
                <w:szCs w:val="20"/>
              </w:rPr>
              <w:t xml:space="preserve"> (</w:t>
            </w:r>
            <w:r w:rsidRPr="003550F0">
              <w:rPr>
                <w:rFonts w:ascii="Arial" w:hAnsi="Arial" w:cs="Arial"/>
                <w:sz w:val="20"/>
                <w:szCs w:val="20"/>
              </w:rPr>
              <w:t>100%</w:t>
            </w:r>
            <w:r>
              <w:rPr>
                <w:rFonts w:ascii="Arial" w:hAnsi="Arial" w:cs="Arial"/>
                <w:sz w:val="20"/>
                <w:szCs w:val="20"/>
              </w:rPr>
              <w:t>)</w:t>
            </w:r>
          </w:p>
        </w:tc>
        <w:tc>
          <w:tcPr>
            <w:tcW w:w="2342" w:type="dxa"/>
            <w:gridSpan w:val="2"/>
            <w:vMerge/>
          </w:tcPr>
          <w:p w14:paraId="5287CC1A" w14:textId="73020446" w:rsidR="000A248F" w:rsidRPr="003550F0" w:rsidRDefault="000A248F" w:rsidP="003550F0">
            <w:pPr>
              <w:jc w:val="both"/>
              <w:rPr>
                <w:rFonts w:ascii="Arial" w:hAnsi="Arial" w:cs="Arial"/>
                <w:sz w:val="20"/>
                <w:szCs w:val="20"/>
              </w:rPr>
            </w:pPr>
          </w:p>
        </w:tc>
        <w:tc>
          <w:tcPr>
            <w:tcW w:w="3150" w:type="dxa"/>
            <w:gridSpan w:val="2"/>
            <w:vMerge/>
          </w:tcPr>
          <w:p w14:paraId="2F326C26" w14:textId="1C7AC184" w:rsidR="000A248F" w:rsidRPr="003550F0" w:rsidRDefault="000A248F" w:rsidP="003550F0">
            <w:pPr>
              <w:jc w:val="both"/>
              <w:rPr>
                <w:rFonts w:ascii="Arial" w:hAnsi="Arial" w:cs="Arial"/>
                <w:sz w:val="20"/>
                <w:szCs w:val="20"/>
              </w:rPr>
            </w:pPr>
          </w:p>
        </w:tc>
      </w:tr>
      <w:bookmarkEnd w:id="9"/>
    </w:tbl>
    <w:p w14:paraId="5871C456" w14:textId="77777777" w:rsidR="006E6A88" w:rsidRPr="008E46F9" w:rsidRDefault="006E6A88" w:rsidP="00DD317E">
      <w:pPr>
        <w:spacing w:line="360" w:lineRule="auto"/>
        <w:jc w:val="both"/>
        <w:rPr>
          <w:rFonts w:ascii="Arial" w:hAnsi="Arial" w:cs="Arial"/>
          <w:sz w:val="24"/>
          <w:szCs w:val="24"/>
        </w:rPr>
      </w:pPr>
    </w:p>
    <w:sectPr w:rsidR="006E6A88" w:rsidRPr="008E46F9" w:rsidSect="00383BE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94A1" w14:textId="77777777" w:rsidR="00D537BB" w:rsidRDefault="00D537BB" w:rsidP="00A81E2F">
      <w:pPr>
        <w:spacing w:after="0" w:line="240" w:lineRule="auto"/>
      </w:pPr>
      <w:r>
        <w:separator/>
      </w:r>
    </w:p>
  </w:endnote>
  <w:endnote w:type="continuationSeparator" w:id="0">
    <w:p w14:paraId="48A7E176" w14:textId="77777777" w:rsidR="00D537BB" w:rsidRDefault="00D537BB" w:rsidP="00A8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0208" w14:textId="77777777" w:rsidR="00D537BB" w:rsidRDefault="00D537BB" w:rsidP="00A81E2F">
      <w:pPr>
        <w:spacing w:after="0" w:line="240" w:lineRule="auto"/>
      </w:pPr>
      <w:r>
        <w:separator/>
      </w:r>
    </w:p>
  </w:footnote>
  <w:footnote w:type="continuationSeparator" w:id="0">
    <w:p w14:paraId="76230B24" w14:textId="77777777" w:rsidR="00D537BB" w:rsidRDefault="00D537BB" w:rsidP="00A81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C05" w14:textId="324A53E6" w:rsidR="003853CF" w:rsidRDefault="00000000">
    <w:pPr>
      <w:pStyle w:val="Header"/>
    </w:pPr>
    <w:r>
      <w:rPr>
        <w:noProof/>
      </w:rPr>
      <w:pict w14:anchorId="6534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9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1187" w14:textId="215FC019" w:rsidR="003853CF" w:rsidRDefault="00000000">
    <w:pPr>
      <w:pStyle w:val="Header"/>
    </w:pPr>
    <w:r>
      <w:rPr>
        <w:noProof/>
      </w:rPr>
      <w:pict w14:anchorId="58E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9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D3D" w14:textId="05096740" w:rsidR="003853CF" w:rsidRDefault="00000000">
    <w:pPr>
      <w:pStyle w:val="Header"/>
    </w:pPr>
    <w:r>
      <w:rPr>
        <w:noProof/>
      </w:rPr>
      <w:pict w14:anchorId="7ED9C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9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AB1"/>
    <w:multiLevelType w:val="hybridMultilevel"/>
    <w:tmpl w:val="99B67DEC"/>
    <w:lvl w:ilvl="0" w:tplc="63CE4920">
      <w:start w:val="1"/>
      <w:numFmt w:val="bullet"/>
      <w:lvlText w:val="•"/>
      <w:lvlJc w:val="left"/>
      <w:pPr>
        <w:tabs>
          <w:tab w:val="num" w:pos="720"/>
        </w:tabs>
        <w:ind w:left="720" w:hanging="360"/>
      </w:pPr>
      <w:rPr>
        <w:rFonts w:ascii="Times New Roman" w:hAnsi="Times New Roman" w:hint="default"/>
      </w:rPr>
    </w:lvl>
    <w:lvl w:ilvl="1" w:tplc="E6166DDC" w:tentative="1">
      <w:start w:val="1"/>
      <w:numFmt w:val="bullet"/>
      <w:lvlText w:val="•"/>
      <w:lvlJc w:val="left"/>
      <w:pPr>
        <w:tabs>
          <w:tab w:val="num" w:pos="1440"/>
        </w:tabs>
        <w:ind w:left="1440" w:hanging="360"/>
      </w:pPr>
      <w:rPr>
        <w:rFonts w:ascii="Times New Roman" w:hAnsi="Times New Roman" w:hint="default"/>
      </w:rPr>
    </w:lvl>
    <w:lvl w:ilvl="2" w:tplc="30DE048E" w:tentative="1">
      <w:start w:val="1"/>
      <w:numFmt w:val="bullet"/>
      <w:lvlText w:val="•"/>
      <w:lvlJc w:val="left"/>
      <w:pPr>
        <w:tabs>
          <w:tab w:val="num" w:pos="2160"/>
        </w:tabs>
        <w:ind w:left="2160" w:hanging="360"/>
      </w:pPr>
      <w:rPr>
        <w:rFonts w:ascii="Times New Roman" w:hAnsi="Times New Roman" w:hint="default"/>
      </w:rPr>
    </w:lvl>
    <w:lvl w:ilvl="3" w:tplc="04B297CA" w:tentative="1">
      <w:start w:val="1"/>
      <w:numFmt w:val="bullet"/>
      <w:lvlText w:val="•"/>
      <w:lvlJc w:val="left"/>
      <w:pPr>
        <w:tabs>
          <w:tab w:val="num" w:pos="2880"/>
        </w:tabs>
        <w:ind w:left="2880" w:hanging="360"/>
      </w:pPr>
      <w:rPr>
        <w:rFonts w:ascii="Times New Roman" w:hAnsi="Times New Roman" w:hint="default"/>
      </w:rPr>
    </w:lvl>
    <w:lvl w:ilvl="4" w:tplc="CDA82414" w:tentative="1">
      <w:start w:val="1"/>
      <w:numFmt w:val="bullet"/>
      <w:lvlText w:val="•"/>
      <w:lvlJc w:val="left"/>
      <w:pPr>
        <w:tabs>
          <w:tab w:val="num" w:pos="3600"/>
        </w:tabs>
        <w:ind w:left="3600" w:hanging="360"/>
      </w:pPr>
      <w:rPr>
        <w:rFonts w:ascii="Times New Roman" w:hAnsi="Times New Roman" w:hint="default"/>
      </w:rPr>
    </w:lvl>
    <w:lvl w:ilvl="5" w:tplc="77F0AB5C" w:tentative="1">
      <w:start w:val="1"/>
      <w:numFmt w:val="bullet"/>
      <w:lvlText w:val="•"/>
      <w:lvlJc w:val="left"/>
      <w:pPr>
        <w:tabs>
          <w:tab w:val="num" w:pos="4320"/>
        </w:tabs>
        <w:ind w:left="4320" w:hanging="360"/>
      </w:pPr>
      <w:rPr>
        <w:rFonts w:ascii="Times New Roman" w:hAnsi="Times New Roman" w:hint="default"/>
      </w:rPr>
    </w:lvl>
    <w:lvl w:ilvl="6" w:tplc="70AE3A20" w:tentative="1">
      <w:start w:val="1"/>
      <w:numFmt w:val="bullet"/>
      <w:lvlText w:val="•"/>
      <w:lvlJc w:val="left"/>
      <w:pPr>
        <w:tabs>
          <w:tab w:val="num" w:pos="5040"/>
        </w:tabs>
        <w:ind w:left="5040" w:hanging="360"/>
      </w:pPr>
      <w:rPr>
        <w:rFonts w:ascii="Times New Roman" w:hAnsi="Times New Roman" w:hint="default"/>
      </w:rPr>
    </w:lvl>
    <w:lvl w:ilvl="7" w:tplc="5D9C8D50" w:tentative="1">
      <w:start w:val="1"/>
      <w:numFmt w:val="bullet"/>
      <w:lvlText w:val="•"/>
      <w:lvlJc w:val="left"/>
      <w:pPr>
        <w:tabs>
          <w:tab w:val="num" w:pos="5760"/>
        </w:tabs>
        <w:ind w:left="5760" w:hanging="360"/>
      </w:pPr>
      <w:rPr>
        <w:rFonts w:ascii="Times New Roman" w:hAnsi="Times New Roman" w:hint="default"/>
      </w:rPr>
    </w:lvl>
    <w:lvl w:ilvl="8" w:tplc="B70265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6920EA"/>
    <w:multiLevelType w:val="hybridMultilevel"/>
    <w:tmpl w:val="86365326"/>
    <w:lvl w:ilvl="0" w:tplc="3D0EA526">
      <w:start w:val="1"/>
      <w:numFmt w:val="decimal"/>
      <w:lvlText w:val="%1."/>
      <w:lvlJc w:val="left"/>
      <w:pPr>
        <w:ind w:left="720" w:hanging="360"/>
      </w:pPr>
      <w:rPr>
        <w:rFonts w:ascii="Times New Roman" w:hAnsi="Times New Roman" w:cs="Times New Roman" w:hint="default"/>
        <w:b w:val="0"/>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42DAC"/>
    <w:multiLevelType w:val="hybridMultilevel"/>
    <w:tmpl w:val="4CAE4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B7806"/>
    <w:multiLevelType w:val="hybridMultilevel"/>
    <w:tmpl w:val="F47247BC"/>
    <w:lvl w:ilvl="0" w:tplc="9D846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7D1C80"/>
    <w:multiLevelType w:val="hybridMultilevel"/>
    <w:tmpl w:val="248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C5D7E"/>
    <w:multiLevelType w:val="hybridMultilevel"/>
    <w:tmpl w:val="E2C8A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E4886"/>
    <w:multiLevelType w:val="hybridMultilevel"/>
    <w:tmpl w:val="8EA0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85A35"/>
    <w:multiLevelType w:val="hybridMultilevel"/>
    <w:tmpl w:val="F2C8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C0442"/>
    <w:multiLevelType w:val="hybridMultilevel"/>
    <w:tmpl w:val="FBB28F82"/>
    <w:lvl w:ilvl="0" w:tplc="064E4584">
      <w:start w:val="1"/>
      <w:numFmt w:val="bullet"/>
      <w:lvlText w:val="•"/>
      <w:lvlJc w:val="left"/>
      <w:pPr>
        <w:tabs>
          <w:tab w:val="num" w:pos="720"/>
        </w:tabs>
        <w:ind w:left="720" w:hanging="360"/>
      </w:pPr>
      <w:rPr>
        <w:rFonts w:ascii="Times New Roman" w:hAnsi="Times New Roman" w:hint="default"/>
      </w:rPr>
    </w:lvl>
    <w:lvl w:ilvl="1" w:tplc="4C8AD89E" w:tentative="1">
      <w:start w:val="1"/>
      <w:numFmt w:val="bullet"/>
      <w:lvlText w:val="•"/>
      <w:lvlJc w:val="left"/>
      <w:pPr>
        <w:tabs>
          <w:tab w:val="num" w:pos="1440"/>
        </w:tabs>
        <w:ind w:left="1440" w:hanging="360"/>
      </w:pPr>
      <w:rPr>
        <w:rFonts w:ascii="Times New Roman" w:hAnsi="Times New Roman" w:hint="default"/>
      </w:rPr>
    </w:lvl>
    <w:lvl w:ilvl="2" w:tplc="9F1C70D8" w:tentative="1">
      <w:start w:val="1"/>
      <w:numFmt w:val="bullet"/>
      <w:lvlText w:val="•"/>
      <w:lvlJc w:val="left"/>
      <w:pPr>
        <w:tabs>
          <w:tab w:val="num" w:pos="2160"/>
        </w:tabs>
        <w:ind w:left="2160" w:hanging="360"/>
      </w:pPr>
      <w:rPr>
        <w:rFonts w:ascii="Times New Roman" w:hAnsi="Times New Roman" w:hint="default"/>
      </w:rPr>
    </w:lvl>
    <w:lvl w:ilvl="3" w:tplc="8A60E57E" w:tentative="1">
      <w:start w:val="1"/>
      <w:numFmt w:val="bullet"/>
      <w:lvlText w:val="•"/>
      <w:lvlJc w:val="left"/>
      <w:pPr>
        <w:tabs>
          <w:tab w:val="num" w:pos="2880"/>
        </w:tabs>
        <w:ind w:left="2880" w:hanging="360"/>
      </w:pPr>
      <w:rPr>
        <w:rFonts w:ascii="Times New Roman" w:hAnsi="Times New Roman" w:hint="default"/>
      </w:rPr>
    </w:lvl>
    <w:lvl w:ilvl="4" w:tplc="969A27C6" w:tentative="1">
      <w:start w:val="1"/>
      <w:numFmt w:val="bullet"/>
      <w:lvlText w:val="•"/>
      <w:lvlJc w:val="left"/>
      <w:pPr>
        <w:tabs>
          <w:tab w:val="num" w:pos="3600"/>
        </w:tabs>
        <w:ind w:left="3600" w:hanging="360"/>
      </w:pPr>
      <w:rPr>
        <w:rFonts w:ascii="Times New Roman" w:hAnsi="Times New Roman" w:hint="default"/>
      </w:rPr>
    </w:lvl>
    <w:lvl w:ilvl="5" w:tplc="2C422C4E" w:tentative="1">
      <w:start w:val="1"/>
      <w:numFmt w:val="bullet"/>
      <w:lvlText w:val="•"/>
      <w:lvlJc w:val="left"/>
      <w:pPr>
        <w:tabs>
          <w:tab w:val="num" w:pos="4320"/>
        </w:tabs>
        <w:ind w:left="4320" w:hanging="360"/>
      </w:pPr>
      <w:rPr>
        <w:rFonts w:ascii="Times New Roman" w:hAnsi="Times New Roman" w:hint="default"/>
      </w:rPr>
    </w:lvl>
    <w:lvl w:ilvl="6" w:tplc="2A22A6F4" w:tentative="1">
      <w:start w:val="1"/>
      <w:numFmt w:val="bullet"/>
      <w:lvlText w:val="•"/>
      <w:lvlJc w:val="left"/>
      <w:pPr>
        <w:tabs>
          <w:tab w:val="num" w:pos="5040"/>
        </w:tabs>
        <w:ind w:left="5040" w:hanging="360"/>
      </w:pPr>
      <w:rPr>
        <w:rFonts w:ascii="Times New Roman" w:hAnsi="Times New Roman" w:hint="default"/>
      </w:rPr>
    </w:lvl>
    <w:lvl w:ilvl="7" w:tplc="6332D032" w:tentative="1">
      <w:start w:val="1"/>
      <w:numFmt w:val="bullet"/>
      <w:lvlText w:val="•"/>
      <w:lvlJc w:val="left"/>
      <w:pPr>
        <w:tabs>
          <w:tab w:val="num" w:pos="5760"/>
        </w:tabs>
        <w:ind w:left="5760" w:hanging="360"/>
      </w:pPr>
      <w:rPr>
        <w:rFonts w:ascii="Times New Roman" w:hAnsi="Times New Roman" w:hint="default"/>
      </w:rPr>
    </w:lvl>
    <w:lvl w:ilvl="8" w:tplc="B46C410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6D77111"/>
    <w:multiLevelType w:val="hybridMultilevel"/>
    <w:tmpl w:val="0F242F1C"/>
    <w:lvl w:ilvl="0" w:tplc="D75C81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331772">
    <w:abstractNumId w:val="4"/>
  </w:num>
  <w:num w:numId="2" w16cid:durableId="1603032483">
    <w:abstractNumId w:val="6"/>
  </w:num>
  <w:num w:numId="3" w16cid:durableId="1166092855">
    <w:abstractNumId w:val="3"/>
  </w:num>
  <w:num w:numId="4" w16cid:durableId="1413044799">
    <w:abstractNumId w:val="2"/>
  </w:num>
  <w:num w:numId="5" w16cid:durableId="1003627795">
    <w:abstractNumId w:val="1"/>
  </w:num>
  <w:num w:numId="6" w16cid:durableId="501822178">
    <w:abstractNumId w:val="7"/>
  </w:num>
  <w:num w:numId="7" w16cid:durableId="1705711005">
    <w:abstractNumId w:val="9"/>
  </w:num>
  <w:num w:numId="8" w16cid:durableId="2049605471">
    <w:abstractNumId w:val="5"/>
  </w:num>
  <w:num w:numId="9" w16cid:durableId="120999863">
    <w:abstractNumId w:val="0"/>
  </w:num>
  <w:num w:numId="10" w16cid:durableId="560335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wsDCzNDezNDEzM7RQ0lEKTi0uzszPAykwrAUAmh3SnCwAAAA="/>
  </w:docVars>
  <w:rsids>
    <w:rsidRoot w:val="00AE469B"/>
    <w:rsid w:val="0000320E"/>
    <w:rsid w:val="000034A9"/>
    <w:rsid w:val="00012205"/>
    <w:rsid w:val="00020154"/>
    <w:rsid w:val="00020A3D"/>
    <w:rsid w:val="0004267C"/>
    <w:rsid w:val="00055658"/>
    <w:rsid w:val="00062888"/>
    <w:rsid w:val="00065D35"/>
    <w:rsid w:val="0008739C"/>
    <w:rsid w:val="00087C39"/>
    <w:rsid w:val="00093623"/>
    <w:rsid w:val="00094FD1"/>
    <w:rsid w:val="00097A20"/>
    <w:rsid w:val="000A248F"/>
    <w:rsid w:val="000A2D44"/>
    <w:rsid w:val="000A4251"/>
    <w:rsid w:val="000B60FC"/>
    <w:rsid w:val="000C19FA"/>
    <w:rsid w:val="000D4968"/>
    <w:rsid w:val="000F66CD"/>
    <w:rsid w:val="00107E06"/>
    <w:rsid w:val="00107E87"/>
    <w:rsid w:val="00111E10"/>
    <w:rsid w:val="00117043"/>
    <w:rsid w:val="0012632A"/>
    <w:rsid w:val="00133D99"/>
    <w:rsid w:val="001402A0"/>
    <w:rsid w:val="00161262"/>
    <w:rsid w:val="001718F8"/>
    <w:rsid w:val="00175129"/>
    <w:rsid w:val="00175D5C"/>
    <w:rsid w:val="00191BF9"/>
    <w:rsid w:val="001B1A55"/>
    <w:rsid w:val="001C278F"/>
    <w:rsid w:val="001C4A77"/>
    <w:rsid w:val="001C6BD9"/>
    <w:rsid w:val="001D2606"/>
    <w:rsid w:val="001D35D8"/>
    <w:rsid w:val="001E4F4A"/>
    <w:rsid w:val="001F016A"/>
    <w:rsid w:val="001F7272"/>
    <w:rsid w:val="00216141"/>
    <w:rsid w:val="002230D6"/>
    <w:rsid w:val="00242B01"/>
    <w:rsid w:val="00247303"/>
    <w:rsid w:val="002521A1"/>
    <w:rsid w:val="002632FD"/>
    <w:rsid w:val="00266CC0"/>
    <w:rsid w:val="0026714C"/>
    <w:rsid w:val="00270B95"/>
    <w:rsid w:val="00283503"/>
    <w:rsid w:val="0029779D"/>
    <w:rsid w:val="002B6D47"/>
    <w:rsid w:val="002E0121"/>
    <w:rsid w:val="00300E67"/>
    <w:rsid w:val="0030794E"/>
    <w:rsid w:val="00320F43"/>
    <w:rsid w:val="003233CF"/>
    <w:rsid w:val="00325AA2"/>
    <w:rsid w:val="0032753B"/>
    <w:rsid w:val="00342A70"/>
    <w:rsid w:val="00352C42"/>
    <w:rsid w:val="003550F0"/>
    <w:rsid w:val="003707FF"/>
    <w:rsid w:val="00373D81"/>
    <w:rsid w:val="00383BEE"/>
    <w:rsid w:val="003853CF"/>
    <w:rsid w:val="00386079"/>
    <w:rsid w:val="003961B6"/>
    <w:rsid w:val="003A1788"/>
    <w:rsid w:val="003A1CF9"/>
    <w:rsid w:val="003A26C6"/>
    <w:rsid w:val="003B25E6"/>
    <w:rsid w:val="003B5784"/>
    <w:rsid w:val="003B5F92"/>
    <w:rsid w:val="003D2BD3"/>
    <w:rsid w:val="003D4C6F"/>
    <w:rsid w:val="003E0F73"/>
    <w:rsid w:val="003E6A6E"/>
    <w:rsid w:val="00406226"/>
    <w:rsid w:val="00410F7B"/>
    <w:rsid w:val="0041156D"/>
    <w:rsid w:val="00412BA0"/>
    <w:rsid w:val="0042742D"/>
    <w:rsid w:val="00427FFD"/>
    <w:rsid w:val="00446A37"/>
    <w:rsid w:val="00450C94"/>
    <w:rsid w:val="004706F5"/>
    <w:rsid w:val="00471E3E"/>
    <w:rsid w:val="0047277D"/>
    <w:rsid w:val="0047602E"/>
    <w:rsid w:val="00476F81"/>
    <w:rsid w:val="004A7159"/>
    <w:rsid w:val="004B1AE2"/>
    <w:rsid w:val="004C4CDB"/>
    <w:rsid w:val="004C77CB"/>
    <w:rsid w:val="004D1D14"/>
    <w:rsid w:val="004D6148"/>
    <w:rsid w:val="004D67AA"/>
    <w:rsid w:val="004E30F0"/>
    <w:rsid w:val="004E6224"/>
    <w:rsid w:val="00500FB2"/>
    <w:rsid w:val="00501248"/>
    <w:rsid w:val="00501510"/>
    <w:rsid w:val="005067A6"/>
    <w:rsid w:val="00506E29"/>
    <w:rsid w:val="00512C98"/>
    <w:rsid w:val="005418E0"/>
    <w:rsid w:val="00547499"/>
    <w:rsid w:val="00551873"/>
    <w:rsid w:val="00552D81"/>
    <w:rsid w:val="00553C5B"/>
    <w:rsid w:val="005625E6"/>
    <w:rsid w:val="00564305"/>
    <w:rsid w:val="005849B5"/>
    <w:rsid w:val="00586D68"/>
    <w:rsid w:val="005912ED"/>
    <w:rsid w:val="00593D58"/>
    <w:rsid w:val="005B52FE"/>
    <w:rsid w:val="005D21DD"/>
    <w:rsid w:val="005D2867"/>
    <w:rsid w:val="005E6B45"/>
    <w:rsid w:val="005F2D25"/>
    <w:rsid w:val="005F4B7E"/>
    <w:rsid w:val="005F5D3E"/>
    <w:rsid w:val="00604909"/>
    <w:rsid w:val="00612546"/>
    <w:rsid w:val="00612DD8"/>
    <w:rsid w:val="00625EEF"/>
    <w:rsid w:val="00633895"/>
    <w:rsid w:val="00642AA7"/>
    <w:rsid w:val="00650553"/>
    <w:rsid w:val="00651A1E"/>
    <w:rsid w:val="00651E90"/>
    <w:rsid w:val="00656DDD"/>
    <w:rsid w:val="00676763"/>
    <w:rsid w:val="006812F2"/>
    <w:rsid w:val="00690773"/>
    <w:rsid w:val="00692D90"/>
    <w:rsid w:val="006A178C"/>
    <w:rsid w:val="006A447E"/>
    <w:rsid w:val="006A7264"/>
    <w:rsid w:val="006B58A8"/>
    <w:rsid w:val="006C0716"/>
    <w:rsid w:val="006C269E"/>
    <w:rsid w:val="006C3768"/>
    <w:rsid w:val="006E6A88"/>
    <w:rsid w:val="006F306E"/>
    <w:rsid w:val="00701C1B"/>
    <w:rsid w:val="0070242D"/>
    <w:rsid w:val="00702F0B"/>
    <w:rsid w:val="00703CE7"/>
    <w:rsid w:val="0070670B"/>
    <w:rsid w:val="0071033E"/>
    <w:rsid w:val="00713093"/>
    <w:rsid w:val="00724077"/>
    <w:rsid w:val="00727F4D"/>
    <w:rsid w:val="00731ED7"/>
    <w:rsid w:val="00737469"/>
    <w:rsid w:val="0073775A"/>
    <w:rsid w:val="007412B3"/>
    <w:rsid w:val="00744B43"/>
    <w:rsid w:val="0075015A"/>
    <w:rsid w:val="00784371"/>
    <w:rsid w:val="00784F94"/>
    <w:rsid w:val="0078655E"/>
    <w:rsid w:val="007A2DA5"/>
    <w:rsid w:val="007A4B00"/>
    <w:rsid w:val="007B5D46"/>
    <w:rsid w:val="007B62D3"/>
    <w:rsid w:val="007C0562"/>
    <w:rsid w:val="007C609C"/>
    <w:rsid w:val="007C6648"/>
    <w:rsid w:val="007D1E4E"/>
    <w:rsid w:val="007E1B11"/>
    <w:rsid w:val="007E5167"/>
    <w:rsid w:val="007F5ABB"/>
    <w:rsid w:val="00800E46"/>
    <w:rsid w:val="00805CCF"/>
    <w:rsid w:val="008228F4"/>
    <w:rsid w:val="008350BB"/>
    <w:rsid w:val="0083652F"/>
    <w:rsid w:val="00851EC1"/>
    <w:rsid w:val="00856FD9"/>
    <w:rsid w:val="008625A2"/>
    <w:rsid w:val="00863406"/>
    <w:rsid w:val="00863D79"/>
    <w:rsid w:val="00865885"/>
    <w:rsid w:val="008718A8"/>
    <w:rsid w:val="00874F28"/>
    <w:rsid w:val="008862EB"/>
    <w:rsid w:val="0089193C"/>
    <w:rsid w:val="00891CE3"/>
    <w:rsid w:val="0089457A"/>
    <w:rsid w:val="00895661"/>
    <w:rsid w:val="008B3E09"/>
    <w:rsid w:val="008B553F"/>
    <w:rsid w:val="008C159F"/>
    <w:rsid w:val="008C47F3"/>
    <w:rsid w:val="008C7345"/>
    <w:rsid w:val="008D6040"/>
    <w:rsid w:val="008E46F9"/>
    <w:rsid w:val="008E5089"/>
    <w:rsid w:val="008F71D8"/>
    <w:rsid w:val="00902733"/>
    <w:rsid w:val="00905768"/>
    <w:rsid w:val="00910D9D"/>
    <w:rsid w:val="00912CB7"/>
    <w:rsid w:val="00923D5D"/>
    <w:rsid w:val="00924876"/>
    <w:rsid w:val="00924940"/>
    <w:rsid w:val="00926B28"/>
    <w:rsid w:val="0093598A"/>
    <w:rsid w:val="00936732"/>
    <w:rsid w:val="009367B2"/>
    <w:rsid w:val="00943FEC"/>
    <w:rsid w:val="00944A90"/>
    <w:rsid w:val="009540DE"/>
    <w:rsid w:val="00957DF7"/>
    <w:rsid w:val="00960C51"/>
    <w:rsid w:val="00965F32"/>
    <w:rsid w:val="00967A55"/>
    <w:rsid w:val="009956C9"/>
    <w:rsid w:val="009A1201"/>
    <w:rsid w:val="009A7D12"/>
    <w:rsid w:val="009B0CBE"/>
    <w:rsid w:val="009C311E"/>
    <w:rsid w:val="009D12A6"/>
    <w:rsid w:val="009E037A"/>
    <w:rsid w:val="009E11C5"/>
    <w:rsid w:val="009E6FF4"/>
    <w:rsid w:val="009F54F4"/>
    <w:rsid w:val="009F7BF7"/>
    <w:rsid w:val="00A03C86"/>
    <w:rsid w:val="00A0743C"/>
    <w:rsid w:val="00A117ED"/>
    <w:rsid w:val="00A21DEE"/>
    <w:rsid w:val="00A6524A"/>
    <w:rsid w:val="00A712E5"/>
    <w:rsid w:val="00A748C1"/>
    <w:rsid w:val="00A81E2F"/>
    <w:rsid w:val="00A97470"/>
    <w:rsid w:val="00AA1285"/>
    <w:rsid w:val="00AA1C9C"/>
    <w:rsid w:val="00AB07B0"/>
    <w:rsid w:val="00AB43CF"/>
    <w:rsid w:val="00AB573D"/>
    <w:rsid w:val="00AD2469"/>
    <w:rsid w:val="00AE095D"/>
    <w:rsid w:val="00AE469B"/>
    <w:rsid w:val="00B01D89"/>
    <w:rsid w:val="00B02BAE"/>
    <w:rsid w:val="00B077D2"/>
    <w:rsid w:val="00B10AEB"/>
    <w:rsid w:val="00B114D7"/>
    <w:rsid w:val="00B129F8"/>
    <w:rsid w:val="00B20F27"/>
    <w:rsid w:val="00B316AE"/>
    <w:rsid w:val="00B32F21"/>
    <w:rsid w:val="00B36889"/>
    <w:rsid w:val="00B42A7C"/>
    <w:rsid w:val="00B43E8C"/>
    <w:rsid w:val="00B5545E"/>
    <w:rsid w:val="00B56137"/>
    <w:rsid w:val="00B61136"/>
    <w:rsid w:val="00B63A69"/>
    <w:rsid w:val="00B67F80"/>
    <w:rsid w:val="00B7165C"/>
    <w:rsid w:val="00B8060D"/>
    <w:rsid w:val="00B90610"/>
    <w:rsid w:val="00B9083D"/>
    <w:rsid w:val="00B96D6A"/>
    <w:rsid w:val="00BA5076"/>
    <w:rsid w:val="00BC1842"/>
    <w:rsid w:val="00BD1C9A"/>
    <w:rsid w:val="00BF5A61"/>
    <w:rsid w:val="00C11277"/>
    <w:rsid w:val="00C20292"/>
    <w:rsid w:val="00C32A65"/>
    <w:rsid w:val="00C33A24"/>
    <w:rsid w:val="00C41305"/>
    <w:rsid w:val="00C476E0"/>
    <w:rsid w:val="00C47B94"/>
    <w:rsid w:val="00C52183"/>
    <w:rsid w:val="00C542CE"/>
    <w:rsid w:val="00C6750E"/>
    <w:rsid w:val="00C67731"/>
    <w:rsid w:val="00C93BF9"/>
    <w:rsid w:val="00CA1F43"/>
    <w:rsid w:val="00CA5F4B"/>
    <w:rsid w:val="00CB3637"/>
    <w:rsid w:val="00CB4C7C"/>
    <w:rsid w:val="00CB6AA0"/>
    <w:rsid w:val="00CD229B"/>
    <w:rsid w:val="00CD7D72"/>
    <w:rsid w:val="00CE12E7"/>
    <w:rsid w:val="00CF77E8"/>
    <w:rsid w:val="00D02D9F"/>
    <w:rsid w:val="00D20864"/>
    <w:rsid w:val="00D30992"/>
    <w:rsid w:val="00D3177B"/>
    <w:rsid w:val="00D37790"/>
    <w:rsid w:val="00D4038C"/>
    <w:rsid w:val="00D47557"/>
    <w:rsid w:val="00D525EE"/>
    <w:rsid w:val="00D537BB"/>
    <w:rsid w:val="00D567F8"/>
    <w:rsid w:val="00D71052"/>
    <w:rsid w:val="00D71EA2"/>
    <w:rsid w:val="00D7612A"/>
    <w:rsid w:val="00D84957"/>
    <w:rsid w:val="00DA654B"/>
    <w:rsid w:val="00DB2C5A"/>
    <w:rsid w:val="00DB40F0"/>
    <w:rsid w:val="00DB5657"/>
    <w:rsid w:val="00DB7B0E"/>
    <w:rsid w:val="00DC142C"/>
    <w:rsid w:val="00DC3A8D"/>
    <w:rsid w:val="00DD0A48"/>
    <w:rsid w:val="00DD317E"/>
    <w:rsid w:val="00DE1260"/>
    <w:rsid w:val="00DE2D9B"/>
    <w:rsid w:val="00DE4CDB"/>
    <w:rsid w:val="00E140EC"/>
    <w:rsid w:val="00E159C2"/>
    <w:rsid w:val="00E238C3"/>
    <w:rsid w:val="00E2797D"/>
    <w:rsid w:val="00E3047C"/>
    <w:rsid w:val="00E308A6"/>
    <w:rsid w:val="00E3431C"/>
    <w:rsid w:val="00E4222F"/>
    <w:rsid w:val="00E508B9"/>
    <w:rsid w:val="00E52576"/>
    <w:rsid w:val="00E553C8"/>
    <w:rsid w:val="00E60E91"/>
    <w:rsid w:val="00E62693"/>
    <w:rsid w:val="00E649B8"/>
    <w:rsid w:val="00E67837"/>
    <w:rsid w:val="00E736BF"/>
    <w:rsid w:val="00E815CB"/>
    <w:rsid w:val="00E83FC1"/>
    <w:rsid w:val="00E86D36"/>
    <w:rsid w:val="00E91002"/>
    <w:rsid w:val="00E95F36"/>
    <w:rsid w:val="00EA3AC7"/>
    <w:rsid w:val="00EC0225"/>
    <w:rsid w:val="00EC1237"/>
    <w:rsid w:val="00EC557E"/>
    <w:rsid w:val="00EC713D"/>
    <w:rsid w:val="00ED2C0F"/>
    <w:rsid w:val="00EE797A"/>
    <w:rsid w:val="00EF1B1B"/>
    <w:rsid w:val="00EF7524"/>
    <w:rsid w:val="00F0009F"/>
    <w:rsid w:val="00F02902"/>
    <w:rsid w:val="00F16986"/>
    <w:rsid w:val="00F22A82"/>
    <w:rsid w:val="00F44842"/>
    <w:rsid w:val="00F45CC7"/>
    <w:rsid w:val="00F52A6F"/>
    <w:rsid w:val="00F65208"/>
    <w:rsid w:val="00F6728D"/>
    <w:rsid w:val="00F71AE7"/>
    <w:rsid w:val="00F91732"/>
    <w:rsid w:val="00F941C0"/>
    <w:rsid w:val="00FA7D02"/>
    <w:rsid w:val="00FB003D"/>
    <w:rsid w:val="00FB13A8"/>
    <w:rsid w:val="00FB2274"/>
    <w:rsid w:val="00FB71C2"/>
    <w:rsid w:val="00FB7C74"/>
    <w:rsid w:val="00FC4D2F"/>
    <w:rsid w:val="00FC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3F8D"/>
  <w15:chartTrackingRefBased/>
  <w15:docId w15:val="{F10AF8CF-01DE-43F1-83C0-5A4AF38F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6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46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469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469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469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4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9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469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469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469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469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4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69B"/>
    <w:rPr>
      <w:rFonts w:eastAsiaTheme="majorEastAsia" w:cstheme="majorBidi"/>
      <w:color w:val="272727" w:themeColor="text1" w:themeTint="D8"/>
    </w:rPr>
  </w:style>
  <w:style w:type="paragraph" w:styleId="Title">
    <w:name w:val="Title"/>
    <w:basedOn w:val="Normal"/>
    <w:next w:val="Normal"/>
    <w:link w:val="TitleChar"/>
    <w:uiPriority w:val="10"/>
    <w:qFormat/>
    <w:rsid w:val="00AE4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69B"/>
    <w:pPr>
      <w:spacing w:before="160"/>
      <w:jc w:val="center"/>
    </w:pPr>
    <w:rPr>
      <w:i/>
      <w:iCs/>
      <w:color w:val="404040" w:themeColor="text1" w:themeTint="BF"/>
    </w:rPr>
  </w:style>
  <w:style w:type="character" w:customStyle="1" w:styleId="QuoteChar">
    <w:name w:val="Quote Char"/>
    <w:basedOn w:val="DefaultParagraphFont"/>
    <w:link w:val="Quote"/>
    <w:uiPriority w:val="29"/>
    <w:rsid w:val="00AE469B"/>
    <w:rPr>
      <w:i/>
      <w:iCs/>
      <w:color w:val="404040" w:themeColor="text1" w:themeTint="BF"/>
    </w:rPr>
  </w:style>
  <w:style w:type="paragraph" w:styleId="ListParagraph">
    <w:name w:val="List Paragraph"/>
    <w:basedOn w:val="Normal"/>
    <w:uiPriority w:val="34"/>
    <w:qFormat/>
    <w:rsid w:val="00AE469B"/>
    <w:pPr>
      <w:ind w:left="720"/>
      <w:contextualSpacing/>
    </w:pPr>
  </w:style>
  <w:style w:type="character" w:styleId="IntenseEmphasis">
    <w:name w:val="Intense Emphasis"/>
    <w:basedOn w:val="DefaultParagraphFont"/>
    <w:uiPriority w:val="21"/>
    <w:qFormat/>
    <w:rsid w:val="00AE469B"/>
    <w:rPr>
      <w:i/>
      <w:iCs/>
      <w:color w:val="2E74B5" w:themeColor="accent1" w:themeShade="BF"/>
    </w:rPr>
  </w:style>
  <w:style w:type="paragraph" w:styleId="IntenseQuote">
    <w:name w:val="Intense Quote"/>
    <w:basedOn w:val="Normal"/>
    <w:next w:val="Normal"/>
    <w:link w:val="IntenseQuoteChar"/>
    <w:uiPriority w:val="30"/>
    <w:qFormat/>
    <w:rsid w:val="00AE46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469B"/>
    <w:rPr>
      <w:i/>
      <w:iCs/>
      <w:color w:val="2E74B5" w:themeColor="accent1" w:themeShade="BF"/>
    </w:rPr>
  </w:style>
  <w:style w:type="character" w:styleId="IntenseReference">
    <w:name w:val="Intense Reference"/>
    <w:basedOn w:val="DefaultParagraphFont"/>
    <w:uiPriority w:val="32"/>
    <w:qFormat/>
    <w:rsid w:val="00AE469B"/>
    <w:rPr>
      <w:b/>
      <w:bCs/>
      <w:smallCaps/>
      <w:color w:val="2E74B5" w:themeColor="accent1" w:themeShade="BF"/>
      <w:spacing w:val="5"/>
    </w:rPr>
  </w:style>
  <w:style w:type="table" w:styleId="TableGrid">
    <w:name w:val="Table Grid"/>
    <w:basedOn w:val="TableNormal"/>
    <w:uiPriority w:val="39"/>
    <w:rsid w:val="00E2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C159F"/>
  </w:style>
  <w:style w:type="character" w:styleId="Hyperlink">
    <w:name w:val="Hyperlink"/>
    <w:basedOn w:val="DefaultParagraphFont"/>
    <w:uiPriority w:val="99"/>
    <w:unhideWhenUsed/>
    <w:rsid w:val="008C159F"/>
    <w:rPr>
      <w:color w:val="0563C1" w:themeColor="hyperlink"/>
      <w:u w:val="single"/>
    </w:rPr>
  </w:style>
  <w:style w:type="character" w:customStyle="1" w:styleId="UnresolvedMention1">
    <w:name w:val="Unresolved Mention1"/>
    <w:basedOn w:val="DefaultParagraphFont"/>
    <w:uiPriority w:val="99"/>
    <w:semiHidden/>
    <w:unhideWhenUsed/>
    <w:rsid w:val="00062888"/>
    <w:rPr>
      <w:color w:val="605E5C"/>
      <w:shd w:val="clear" w:color="auto" w:fill="E1DFDD"/>
    </w:rPr>
  </w:style>
  <w:style w:type="character" w:customStyle="1" w:styleId="UnresolvedMention2">
    <w:name w:val="Unresolved Mention2"/>
    <w:basedOn w:val="DefaultParagraphFont"/>
    <w:uiPriority w:val="99"/>
    <w:semiHidden/>
    <w:unhideWhenUsed/>
    <w:rsid w:val="00692D90"/>
    <w:rPr>
      <w:color w:val="605E5C"/>
      <w:shd w:val="clear" w:color="auto" w:fill="E1DFDD"/>
    </w:rPr>
  </w:style>
  <w:style w:type="paragraph" w:styleId="Header">
    <w:name w:val="header"/>
    <w:basedOn w:val="Normal"/>
    <w:link w:val="HeaderChar"/>
    <w:uiPriority w:val="99"/>
    <w:unhideWhenUsed/>
    <w:rsid w:val="00A81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E2F"/>
  </w:style>
  <w:style w:type="paragraph" w:styleId="Footer">
    <w:name w:val="footer"/>
    <w:basedOn w:val="Normal"/>
    <w:link w:val="FooterChar"/>
    <w:uiPriority w:val="99"/>
    <w:unhideWhenUsed/>
    <w:rsid w:val="00A81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E2F"/>
  </w:style>
  <w:style w:type="character" w:customStyle="1" w:styleId="UnresolvedMention3">
    <w:name w:val="Unresolved Mention3"/>
    <w:basedOn w:val="DefaultParagraphFont"/>
    <w:uiPriority w:val="99"/>
    <w:semiHidden/>
    <w:unhideWhenUsed/>
    <w:rsid w:val="0002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283">
      <w:bodyDiv w:val="1"/>
      <w:marLeft w:val="0"/>
      <w:marRight w:val="0"/>
      <w:marTop w:val="0"/>
      <w:marBottom w:val="0"/>
      <w:divBdr>
        <w:top w:val="none" w:sz="0" w:space="0" w:color="auto"/>
        <w:left w:val="none" w:sz="0" w:space="0" w:color="auto"/>
        <w:bottom w:val="none" w:sz="0" w:space="0" w:color="auto"/>
        <w:right w:val="none" w:sz="0" w:space="0" w:color="auto"/>
      </w:divBdr>
    </w:div>
    <w:div w:id="94517836">
      <w:bodyDiv w:val="1"/>
      <w:marLeft w:val="0"/>
      <w:marRight w:val="0"/>
      <w:marTop w:val="0"/>
      <w:marBottom w:val="0"/>
      <w:divBdr>
        <w:top w:val="none" w:sz="0" w:space="0" w:color="auto"/>
        <w:left w:val="none" w:sz="0" w:space="0" w:color="auto"/>
        <w:bottom w:val="none" w:sz="0" w:space="0" w:color="auto"/>
        <w:right w:val="none" w:sz="0" w:space="0" w:color="auto"/>
      </w:divBdr>
    </w:div>
    <w:div w:id="105732668">
      <w:bodyDiv w:val="1"/>
      <w:marLeft w:val="0"/>
      <w:marRight w:val="0"/>
      <w:marTop w:val="0"/>
      <w:marBottom w:val="0"/>
      <w:divBdr>
        <w:top w:val="none" w:sz="0" w:space="0" w:color="auto"/>
        <w:left w:val="none" w:sz="0" w:space="0" w:color="auto"/>
        <w:bottom w:val="none" w:sz="0" w:space="0" w:color="auto"/>
        <w:right w:val="none" w:sz="0" w:space="0" w:color="auto"/>
      </w:divBdr>
    </w:div>
    <w:div w:id="116528660">
      <w:bodyDiv w:val="1"/>
      <w:marLeft w:val="0"/>
      <w:marRight w:val="0"/>
      <w:marTop w:val="0"/>
      <w:marBottom w:val="0"/>
      <w:divBdr>
        <w:top w:val="none" w:sz="0" w:space="0" w:color="auto"/>
        <w:left w:val="none" w:sz="0" w:space="0" w:color="auto"/>
        <w:bottom w:val="none" w:sz="0" w:space="0" w:color="auto"/>
        <w:right w:val="none" w:sz="0" w:space="0" w:color="auto"/>
      </w:divBdr>
    </w:div>
    <w:div w:id="321472615">
      <w:bodyDiv w:val="1"/>
      <w:marLeft w:val="0"/>
      <w:marRight w:val="0"/>
      <w:marTop w:val="0"/>
      <w:marBottom w:val="0"/>
      <w:divBdr>
        <w:top w:val="none" w:sz="0" w:space="0" w:color="auto"/>
        <w:left w:val="none" w:sz="0" w:space="0" w:color="auto"/>
        <w:bottom w:val="none" w:sz="0" w:space="0" w:color="auto"/>
        <w:right w:val="none" w:sz="0" w:space="0" w:color="auto"/>
      </w:divBdr>
    </w:div>
    <w:div w:id="435029895">
      <w:bodyDiv w:val="1"/>
      <w:marLeft w:val="0"/>
      <w:marRight w:val="0"/>
      <w:marTop w:val="0"/>
      <w:marBottom w:val="0"/>
      <w:divBdr>
        <w:top w:val="none" w:sz="0" w:space="0" w:color="auto"/>
        <w:left w:val="none" w:sz="0" w:space="0" w:color="auto"/>
        <w:bottom w:val="none" w:sz="0" w:space="0" w:color="auto"/>
        <w:right w:val="none" w:sz="0" w:space="0" w:color="auto"/>
      </w:divBdr>
    </w:div>
    <w:div w:id="583537225">
      <w:bodyDiv w:val="1"/>
      <w:marLeft w:val="0"/>
      <w:marRight w:val="0"/>
      <w:marTop w:val="0"/>
      <w:marBottom w:val="0"/>
      <w:divBdr>
        <w:top w:val="none" w:sz="0" w:space="0" w:color="auto"/>
        <w:left w:val="none" w:sz="0" w:space="0" w:color="auto"/>
        <w:bottom w:val="none" w:sz="0" w:space="0" w:color="auto"/>
        <w:right w:val="none" w:sz="0" w:space="0" w:color="auto"/>
      </w:divBdr>
    </w:div>
    <w:div w:id="588855351">
      <w:bodyDiv w:val="1"/>
      <w:marLeft w:val="0"/>
      <w:marRight w:val="0"/>
      <w:marTop w:val="0"/>
      <w:marBottom w:val="0"/>
      <w:divBdr>
        <w:top w:val="none" w:sz="0" w:space="0" w:color="auto"/>
        <w:left w:val="none" w:sz="0" w:space="0" w:color="auto"/>
        <w:bottom w:val="none" w:sz="0" w:space="0" w:color="auto"/>
        <w:right w:val="none" w:sz="0" w:space="0" w:color="auto"/>
      </w:divBdr>
    </w:div>
    <w:div w:id="663894457">
      <w:bodyDiv w:val="1"/>
      <w:marLeft w:val="0"/>
      <w:marRight w:val="0"/>
      <w:marTop w:val="0"/>
      <w:marBottom w:val="0"/>
      <w:divBdr>
        <w:top w:val="none" w:sz="0" w:space="0" w:color="auto"/>
        <w:left w:val="none" w:sz="0" w:space="0" w:color="auto"/>
        <w:bottom w:val="none" w:sz="0" w:space="0" w:color="auto"/>
        <w:right w:val="none" w:sz="0" w:space="0" w:color="auto"/>
      </w:divBdr>
    </w:div>
    <w:div w:id="705132592">
      <w:bodyDiv w:val="1"/>
      <w:marLeft w:val="0"/>
      <w:marRight w:val="0"/>
      <w:marTop w:val="0"/>
      <w:marBottom w:val="0"/>
      <w:divBdr>
        <w:top w:val="none" w:sz="0" w:space="0" w:color="auto"/>
        <w:left w:val="none" w:sz="0" w:space="0" w:color="auto"/>
        <w:bottom w:val="none" w:sz="0" w:space="0" w:color="auto"/>
        <w:right w:val="none" w:sz="0" w:space="0" w:color="auto"/>
      </w:divBdr>
    </w:div>
    <w:div w:id="740756469">
      <w:bodyDiv w:val="1"/>
      <w:marLeft w:val="0"/>
      <w:marRight w:val="0"/>
      <w:marTop w:val="0"/>
      <w:marBottom w:val="0"/>
      <w:divBdr>
        <w:top w:val="none" w:sz="0" w:space="0" w:color="auto"/>
        <w:left w:val="none" w:sz="0" w:space="0" w:color="auto"/>
        <w:bottom w:val="none" w:sz="0" w:space="0" w:color="auto"/>
        <w:right w:val="none" w:sz="0" w:space="0" w:color="auto"/>
      </w:divBdr>
    </w:div>
    <w:div w:id="800391562">
      <w:bodyDiv w:val="1"/>
      <w:marLeft w:val="0"/>
      <w:marRight w:val="0"/>
      <w:marTop w:val="0"/>
      <w:marBottom w:val="0"/>
      <w:divBdr>
        <w:top w:val="none" w:sz="0" w:space="0" w:color="auto"/>
        <w:left w:val="none" w:sz="0" w:space="0" w:color="auto"/>
        <w:bottom w:val="none" w:sz="0" w:space="0" w:color="auto"/>
        <w:right w:val="none" w:sz="0" w:space="0" w:color="auto"/>
      </w:divBdr>
    </w:div>
    <w:div w:id="884173422">
      <w:bodyDiv w:val="1"/>
      <w:marLeft w:val="0"/>
      <w:marRight w:val="0"/>
      <w:marTop w:val="0"/>
      <w:marBottom w:val="0"/>
      <w:divBdr>
        <w:top w:val="none" w:sz="0" w:space="0" w:color="auto"/>
        <w:left w:val="none" w:sz="0" w:space="0" w:color="auto"/>
        <w:bottom w:val="none" w:sz="0" w:space="0" w:color="auto"/>
        <w:right w:val="none" w:sz="0" w:space="0" w:color="auto"/>
      </w:divBdr>
    </w:div>
    <w:div w:id="906649341">
      <w:bodyDiv w:val="1"/>
      <w:marLeft w:val="0"/>
      <w:marRight w:val="0"/>
      <w:marTop w:val="0"/>
      <w:marBottom w:val="0"/>
      <w:divBdr>
        <w:top w:val="none" w:sz="0" w:space="0" w:color="auto"/>
        <w:left w:val="none" w:sz="0" w:space="0" w:color="auto"/>
        <w:bottom w:val="none" w:sz="0" w:space="0" w:color="auto"/>
        <w:right w:val="none" w:sz="0" w:space="0" w:color="auto"/>
      </w:divBdr>
    </w:div>
    <w:div w:id="910775493">
      <w:bodyDiv w:val="1"/>
      <w:marLeft w:val="0"/>
      <w:marRight w:val="0"/>
      <w:marTop w:val="0"/>
      <w:marBottom w:val="0"/>
      <w:divBdr>
        <w:top w:val="none" w:sz="0" w:space="0" w:color="auto"/>
        <w:left w:val="none" w:sz="0" w:space="0" w:color="auto"/>
        <w:bottom w:val="none" w:sz="0" w:space="0" w:color="auto"/>
        <w:right w:val="none" w:sz="0" w:space="0" w:color="auto"/>
      </w:divBdr>
    </w:div>
    <w:div w:id="1008947833">
      <w:bodyDiv w:val="1"/>
      <w:marLeft w:val="0"/>
      <w:marRight w:val="0"/>
      <w:marTop w:val="0"/>
      <w:marBottom w:val="0"/>
      <w:divBdr>
        <w:top w:val="none" w:sz="0" w:space="0" w:color="auto"/>
        <w:left w:val="none" w:sz="0" w:space="0" w:color="auto"/>
        <w:bottom w:val="none" w:sz="0" w:space="0" w:color="auto"/>
        <w:right w:val="none" w:sz="0" w:space="0" w:color="auto"/>
      </w:divBdr>
    </w:div>
    <w:div w:id="1076050238">
      <w:bodyDiv w:val="1"/>
      <w:marLeft w:val="0"/>
      <w:marRight w:val="0"/>
      <w:marTop w:val="0"/>
      <w:marBottom w:val="0"/>
      <w:divBdr>
        <w:top w:val="none" w:sz="0" w:space="0" w:color="auto"/>
        <w:left w:val="none" w:sz="0" w:space="0" w:color="auto"/>
        <w:bottom w:val="none" w:sz="0" w:space="0" w:color="auto"/>
        <w:right w:val="none" w:sz="0" w:space="0" w:color="auto"/>
      </w:divBdr>
    </w:div>
    <w:div w:id="1406807185">
      <w:bodyDiv w:val="1"/>
      <w:marLeft w:val="0"/>
      <w:marRight w:val="0"/>
      <w:marTop w:val="0"/>
      <w:marBottom w:val="0"/>
      <w:divBdr>
        <w:top w:val="none" w:sz="0" w:space="0" w:color="auto"/>
        <w:left w:val="none" w:sz="0" w:space="0" w:color="auto"/>
        <w:bottom w:val="none" w:sz="0" w:space="0" w:color="auto"/>
        <w:right w:val="none" w:sz="0" w:space="0" w:color="auto"/>
      </w:divBdr>
      <w:divsChild>
        <w:div w:id="2006736614">
          <w:marLeft w:val="547"/>
          <w:marRight w:val="0"/>
          <w:marTop w:val="0"/>
          <w:marBottom w:val="0"/>
          <w:divBdr>
            <w:top w:val="none" w:sz="0" w:space="0" w:color="auto"/>
            <w:left w:val="none" w:sz="0" w:space="0" w:color="auto"/>
            <w:bottom w:val="none" w:sz="0" w:space="0" w:color="auto"/>
            <w:right w:val="none" w:sz="0" w:space="0" w:color="auto"/>
          </w:divBdr>
        </w:div>
      </w:divsChild>
    </w:div>
    <w:div w:id="1521118968">
      <w:bodyDiv w:val="1"/>
      <w:marLeft w:val="0"/>
      <w:marRight w:val="0"/>
      <w:marTop w:val="0"/>
      <w:marBottom w:val="0"/>
      <w:divBdr>
        <w:top w:val="none" w:sz="0" w:space="0" w:color="auto"/>
        <w:left w:val="none" w:sz="0" w:space="0" w:color="auto"/>
        <w:bottom w:val="none" w:sz="0" w:space="0" w:color="auto"/>
        <w:right w:val="none" w:sz="0" w:space="0" w:color="auto"/>
      </w:divBdr>
    </w:div>
    <w:div w:id="1578201992">
      <w:bodyDiv w:val="1"/>
      <w:marLeft w:val="0"/>
      <w:marRight w:val="0"/>
      <w:marTop w:val="0"/>
      <w:marBottom w:val="0"/>
      <w:divBdr>
        <w:top w:val="none" w:sz="0" w:space="0" w:color="auto"/>
        <w:left w:val="none" w:sz="0" w:space="0" w:color="auto"/>
        <w:bottom w:val="none" w:sz="0" w:space="0" w:color="auto"/>
        <w:right w:val="none" w:sz="0" w:space="0" w:color="auto"/>
      </w:divBdr>
    </w:div>
    <w:div w:id="1582831318">
      <w:bodyDiv w:val="1"/>
      <w:marLeft w:val="0"/>
      <w:marRight w:val="0"/>
      <w:marTop w:val="0"/>
      <w:marBottom w:val="0"/>
      <w:divBdr>
        <w:top w:val="none" w:sz="0" w:space="0" w:color="auto"/>
        <w:left w:val="none" w:sz="0" w:space="0" w:color="auto"/>
        <w:bottom w:val="none" w:sz="0" w:space="0" w:color="auto"/>
        <w:right w:val="none" w:sz="0" w:space="0" w:color="auto"/>
      </w:divBdr>
      <w:divsChild>
        <w:div w:id="748845314">
          <w:marLeft w:val="547"/>
          <w:marRight w:val="0"/>
          <w:marTop w:val="0"/>
          <w:marBottom w:val="0"/>
          <w:divBdr>
            <w:top w:val="none" w:sz="0" w:space="0" w:color="auto"/>
            <w:left w:val="none" w:sz="0" w:space="0" w:color="auto"/>
            <w:bottom w:val="none" w:sz="0" w:space="0" w:color="auto"/>
            <w:right w:val="none" w:sz="0" w:space="0" w:color="auto"/>
          </w:divBdr>
        </w:div>
      </w:divsChild>
    </w:div>
    <w:div w:id="1801145704">
      <w:bodyDiv w:val="1"/>
      <w:marLeft w:val="0"/>
      <w:marRight w:val="0"/>
      <w:marTop w:val="0"/>
      <w:marBottom w:val="0"/>
      <w:divBdr>
        <w:top w:val="none" w:sz="0" w:space="0" w:color="auto"/>
        <w:left w:val="none" w:sz="0" w:space="0" w:color="auto"/>
        <w:bottom w:val="none" w:sz="0" w:space="0" w:color="auto"/>
        <w:right w:val="none" w:sz="0" w:space="0" w:color="auto"/>
      </w:divBdr>
    </w:div>
    <w:div w:id="1968580806">
      <w:bodyDiv w:val="1"/>
      <w:marLeft w:val="0"/>
      <w:marRight w:val="0"/>
      <w:marTop w:val="0"/>
      <w:marBottom w:val="0"/>
      <w:divBdr>
        <w:top w:val="none" w:sz="0" w:space="0" w:color="auto"/>
        <w:left w:val="none" w:sz="0" w:space="0" w:color="auto"/>
        <w:bottom w:val="none" w:sz="0" w:space="0" w:color="auto"/>
        <w:right w:val="none" w:sz="0" w:space="0" w:color="auto"/>
      </w:divBdr>
    </w:div>
    <w:div w:id="2023774236">
      <w:bodyDiv w:val="1"/>
      <w:marLeft w:val="0"/>
      <w:marRight w:val="0"/>
      <w:marTop w:val="0"/>
      <w:marBottom w:val="0"/>
      <w:divBdr>
        <w:top w:val="none" w:sz="0" w:space="0" w:color="auto"/>
        <w:left w:val="none" w:sz="0" w:space="0" w:color="auto"/>
        <w:bottom w:val="none" w:sz="0" w:space="0" w:color="auto"/>
        <w:right w:val="none" w:sz="0" w:space="0" w:color="auto"/>
      </w:divBdr>
    </w:div>
    <w:div w:id="20752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image" Target="media/image1.png"/><Relationship Id="rId26" Type="http://schemas.openxmlformats.org/officeDocument/2006/relationships/hyperlink" Target="https://urn.fi/URN:NBN:fi:amk-201805127797" TargetMode="External"/><Relationship Id="rId3" Type="http://schemas.openxmlformats.org/officeDocument/2006/relationships/styles" Target="styles.xml"/><Relationship Id="rId21" Type="http://schemas.openxmlformats.org/officeDocument/2006/relationships/hyperlink" Target="https://doi.org/10.1016/j.evalprogplan.2024.102448"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14/relationships/chartEx" Target="charts/chartEx1.xml"/><Relationship Id="rId25" Type="http://schemas.openxmlformats.org/officeDocument/2006/relationships/hyperlink" Target="https://doi.org/10.1177/1028315317697798"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177/026553222210862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55504/0884-9153.1679"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16/j.ijedudev.2022.102701" TargetMode="External"/><Relationship Id="rId28" Type="http://schemas.openxmlformats.org/officeDocument/2006/relationships/hyperlink" Target="https://doi.org/10.1016/S0362-3319(01)00106-9" TargetMode="External"/><Relationship Id="rId10" Type="http://schemas.openxmlformats.org/officeDocument/2006/relationships/diagramQuickStyle" Target="diagrams/quickStyle1.xml"/><Relationship Id="rId19" Type="http://schemas.openxmlformats.org/officeDocument/2006/relationships/hyperlink" Target="https://doi.org/10.1086/668277"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hyperlink" Target="https://doi.org/10.9734/ajess/2024/v50i111634" TargetMode="External"/><Relationship Id="rId27" Type="http://schemas.openxmlformats.org/officeDocument/2006/relationships/hyperlink" Target="https://doi.org/10.37867/TE140383"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rc\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jrc\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latin typeface="arial" panose="020B0604020202020204" pitchFamily="34" charset="0"/>
                <a:cs typeface="arial" panose="020B0604020202020204" pitchFamily="34" charset="0"/>
              </a:rPr>
              <a:t>Enrollment Programme</a:t>
            </a:r>
          </a:p>
        </c:rich>
      </c:tx>
      <c:layout>
        <c:manualLayout>
          <c:xMode val="edge"/>
          <c:yMode val="edge"/>
          <c:x val="0.29624300087489064"/>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4">
                  <a:lumMod val="60000"/>
                  <a:lumOff val="4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A85-47EF-9223-A7545350C7D8}"/>
              </c:ext>
            </c:extLst>
          </c:dPt>
          <c:dPt>
            <c:idx val="1"/>
            <c:bubble3D val="0"/>
            <c:spPr>
              <a:solidFill>
                <a:schemeClr val="accent6">
                  <a:lumMod val="60000"/>
                  <a:lumOff val="4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A85-47EF-9223-A7545350C7D8}"/>
              </c:ext>
            </c:extLst>
          </c:dPt>
          <c:dPt>
            <c:idx val="2"/>
            <c:bubble3D val="0"/>
            <c:spPr>
              <a:solidFill>
                <a:schemeClr val="accent2">
                  <a:lumMod val="60000"/>
                  <a:lumOff val="4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A85-47EF-9223-A7545350C7D8}"/>
              </c:ext>
            </c:extLst>
          </c:dPt>
          <c:dPt>
            <c:idx val="3"/>
            <c:bubble3D val="0"/>
            <c:spPr>
              <a:solidFill>
                <a:schemeClr val="accent1">
                  <a:lumMod val="75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A85-47EF-9223-A7545350C7D8}"/>
              </c:ext>
            </c:extLst>
          </c:dPt>
          <c:dPt>
            <c:idx val="4"/>
            <c:bubble3D val="0"/>
            <c:spPr>
              <a:solidFill>
                <a:schemeClr val="tx2">
                  <a:lumMod val="40000"/>
                  <a:lumOff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1A85-47EF-9223-A7545350C7D8}"/>
              </c:ext>
            </c:extLst>
          </c:dPt>
          <c:dLbls>
            <c:dLbl>
              <c:idx val="0"/>
              <c:layout>
                <c:manualLayout>
                  <c:x val="-1.7309812280438582E-3"/>
                  <c:y val="0.1346592063095496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85-47EF-9223-A7545350C7D8}"/>
                </c:ext>
              </c:extLst>
            </c:dLbl>
            <c:dLbl>
              <c:idx val="1"/>
              <c:layout>
                <c:manualLayout>
                  <c:x val="-7.0065602422458989E-3"/>
                  <c:y val="6.129559298515535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85-47EF-9223-A7545350C7D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Sheet1!$A$3:$A$7</c:f>
              <c:strCache>
                <c:ptCount val="5"/>
                <c:pt idx="0">
                  <c:v>Foundation</c:v>
                </c:pt>
                <c:pt idx="1">
                  <c:v>A-Level</c:v>
                </c:pt>
                <c:pt idx="2">
                  <c:v>Undergraduate</c:v>
                </c:pt>
                <c:pt idx="3">
                  <c:v>Graduate</c:v>
                </c:pt>
                <c:pt idx="4">
                  <c:v>Postgraduate</c:v>
                </c:pt>
              </c:strCache>
            </c:strRef>
          </c:cat>
          <c:val>
            <c:numRef>
              <c:f>Sheet1!$B$3:$B$7</c:f>
              <c:numCache>
                <c:formatCode>0.00%</c:formatCode>
                <c:ptCount val="5"/>
                <c:pt idx="0">
                  <c:v>1.3100000000000001E-2</c:v>
                </c:pt>
                <c:pt idx="1">
                  <c:v>2.6100000000000002E-2</c:v>
                </c:pt>
                <c:pt idx="2">
                  <c:v>0.55559999999999998</c:v>
                </c:pt>
                <c:pt idx="3">
                  <c:v>0.2288</c:v>
                </c:pt>
                <c:pt idx="4">
                  <c:v>0.17649999999999999</c:v>
                </c:pt>
              </c:numCache>
            </c:numRef>
          </c:val>
          <c:extLst>
            <c:ext xmlns:c16="http://schemas.microsoft.com/office/drawing/2014/chart" uri="{C3380CC4-5D6E-409C-BE32-E72D297353CC}">
              <c16:uniqueId val="{0000000A-1A85-47EF-9223-A7545350C7D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Sheet2!$B$4:$B$9</cx:f>
        <cx:lvl ptCount="6">
          <cx:pt idx="0">Govt. employee</cx:pt>
          <cx:pt idx="1">Businessman</cx:pt>
          <cx:pt idx="2">Farmer</cx:pt>
          <cx:pt idx="3">Abroad</cx:pt>
          <cx:pt idx="4">Private job holder</cx:pt>
          <cx:pt idx="5">Others</cx:pt>
        </cx:lvl>
      </cx:strDim>
      <cx:numDim type="val">
        <cx:f>Sheet2!$C$4:$C$9</cx:f>
        <cx:lvl ptCount="6" formatCode="0.00%">
          <cx:pt idx="0">0.13450000000000001</cx:pt>
          <cx:pt idx="1">0.38600000000000001</cx:pt>
          <cx:pt idx="2">0.064299999999999996</cx:pt>
          <cx:pt idx="3">0.20469999999999999</cx:pt>
          <cx:pt idx="4">0.0292</cx:pt>
          <cx:pt idx="5">0.18129999999999999</cx:pt>
        </cx:lvl>
      </cx:numDim>
    </cx:data>
  </cx:chartData>
  <cx:chart>
    <cx:title pos="t" align="ctr" overlay="0">
      <cx:tx>
        <cx:txData>
          <cx:v>Family Background</cx:v>
        </cx:txData>
      </cx:tx>
      <cx:txPr>
        <a:bodyPr spcFirstLastPara="1" vertOverflow="ellipsis" horzOverflow="overflow" wrap="square" lIns="0" tIns="0" rIns="0" bIns="0" anchor="ctr" anchorCtr="1"/>
        <a:lstStyle/>
        <a:p>
          <a:pPr algn="ctr" rtl="0">
            <a:defRPr/>
          </a:pPr>
          <a:r>
            <a:rPr lang="en-US" sz="1100" b="1" i="0" u="none" strike="noStrike" baseline="0">
              <a:solidFill>
                <a:sysClr val="windowText" lastClr="000000">
                  <a:lumMod val="65000"/>
                  <a:lumOff val="35000"/>
                </a:sysClr>
              </a:solidFill>
              <a:latin typeface="arial" panose="020B0604020202020204" pitchFamily="34" charset="0"/>
              <a:cs typeface="arial" panose="020B0604020202020204" pitchFamily="34" charset="0"/>
            </a:rPr>
            <a:t>Family Background</a:t>
          </a:r>
        </a:p>
      </cx:txPr>
    </cx:title>
    <cx:plotArea>
      <cx:plotAreaRegion>
        <cx:series layoutId="clusteredColumn" uniqueId="{7D3FB784-83FC-492A-87A3-E3471579A55C}">
          <cx:dataPt idx="0">
            <cx:spPr>
              <a:solidFill>
                <a:srgbClr val="ED7D31">
                  <a:lumMod val="60000"/>
                  <a:lumOff val="40000"/>
                </a:srgbClr>
              </a:solidFill>
            </cx:spPr>
          </cx:dataPt>
          <cx:dataPt idx="1">
            <cx:spPr>
              <a:solidFill>
                <a:srgbClr val="5B9BD5">
                  <a:lumMod val="60000"/>
                  <a:lumOff val="40000"/>
                </a:srgbClr>
              </a:solidFill>
            </cx:spPr>
          </cx:dataPt>
          <cx:dataPt idx="2">
            <cx:spPr>
              <a:solidFill>
                <a:srgbClr val="A5A5A5">
                  <a:lumMod val="60000"/>
                  <a:lumOff val="40000"/>
                </a:srgbClr>
              </a:solidFill>
            </cx:spPr>
          </cx:dataPt>
          <cx:dataPt idx="3">
            <cx:spPr>
              <a:solidFill>
                <a:srgbClr val="FFC000">
                  <a:lumMod val="60000"/>
                  <a:lumOff val="40000"/>
                </a:srgbClr>
              </a:solidFill>
            </cx:spPr>
          </cx:dataPt>
          <cx:dataPt idx="4">
            <cx:spPr>
              <a:solidFill>
                <a:srgbClr val="4472C4">
                  <a:lumMod val="60000"/>
                  <a:lumOff val="40000"/>
                </a:srgbClr>
              </a:solidFill>
            </cx:spPr>
          </cx:dataPt>
          <cx:dataPt idx="5">
            <cx:spPr>
              <a:solidFill>
                <a:srgbClr val="70AD47">
                  <a:lumMod val="60000"/>
                  <a:lumOff val="40000"/>
                </a:srgbClr>
              </a:solidFill>
            </cx:spPr>
          </cx:dataPt>
          <cx:dataLabels>
            <cx:visibility seriesName="0" categoryName="0" value="1"/>
          </cx:dataLabels>
          <cx:dataId val="0"/>
          <cx:layoutPr>
            <cx:aggregation/>
          </cx:layoutPr>
          <cx:axisId val="1"/>
        </cx:series>
        <cx:series layoutId="paretoLine" ownerIdx="0" uniqueId="{83DD5EE8-6883-4BA4-8A01-656CD190C8DE}">
          <cx:axisId val="2"/>
        </cx:series>
      </cx:plotAreaRegion>
      <cx:axis id="0">
        <cx:catScaling gapWidth="0"/>
        <cx:title>
          <cx:tx>
            <cx:txData>
              <cx:v>Profession</cx:v>
            </cx:txData>
          </cx:tx>
          <cx:txPr>
            <a:bodyPr spcFirstLastPara="1" vertOverflow="ellipsis" horzOverflow="overflow" wrap="square" lIns="0" tIns="0" rIns="0" bIns="0" anchor="ctr" anchorCtr="1"/>
            <a:lstStyle/>
            <a:p>
              <a:pPr algn="ctr" rtl="0">
                <a:defRPr/>
              </a:pPr>
              <a:r>
                <a:rPr lang="en-US" sz="1100" b="1" i="0" u="none" strike="noStrike" baseline="0">
                  <a:solidFill>
                    <a:sysClr val="windowText" lastClr="000000">
                      <a:lumMod val="65000"/>
                      <a:lumOff val="35000"/>
                    </a:sysClr>
                  </a:solidFill>
                  <a:latin typeface="arial" panose="020B0604020202020204" pitchFamily="34" charset="0"/>
                  <a:cs typeface="arial" panose="020B0604020202020204" pitchFamily="34" charset="0"/>
                </a:rPr>
                <a:t>Profession</a:t>
              </a:r>
            </a:p>
          </cx:txPr>
        </cx:title>
        <cx:tickLabels/>
        <cx:txPr>
          <a:bodyPr spcFirstLastPara="1" vertOverflow="ellipsis" horzOverflow="overflow" wrap="square" lIns="0" tIns="0" rIns="0" bIns="0" anchor="ctr" anchorCtr="1"/>
          <a:lstStyle/>
          <a:p>
            <a:pPr algn="ctr" rtl="0">
              <a:defRPr>
                <a:ln>
                  <a:noFill/>
                </a:ln>
              </a:defRPr>
            </a:pPr>
            <a:endParaRPr lang="en-US" sz="900" b="0" i="0" u="none" strike="noStrike" baseline="0">
              <a:ln>
                <a:noFill/>
              </a:ln>
              <a:solidFill>
                <a:sysClr val="windowText" lastClr="000000">
                  <a:lumMod val="65000"/>
                  <a:lumOff val="35000"/>
                </a:sysClr>
              </a:solidFill>
              <a:latin typeface="Aptos" panose="02110004020202020204"/>
            </a:endParaRPr>
          </a:p>
        </cx:txPr>
      </cx:axis>
      <cx:axis id="1">
        <cx:valScaling/>
        <cx:title>
          <cx:tx>
            <cx:txData>
              <cx:v>Percentage</cx:v>
            </cx:txData>
          </cx:tx>
          <cx:txPr>
            <a:bodyPr spcFirstLastPara="1" vertOverflow="ellipsis" horzOverflow="overflow" wrap="square" lIns="0" tIns="0" rIns="0" bIns="0" anchor="ctr" anchorCtr="1"/>
            <a:lstStyle/>
            <a:p>
              <a:pPr algn="ctr" rtl="0">
                <a:defRPr/>
              </a:pPr>
              <a:r>
                <a:rPr lang="en-US" sz="1100" b="1" i="0" u="none" strike="noStrike" baseline="0">
                  <a:solidFill>
                    <a:sysClr val="windowText" lastClr="000000">
                      <a:lumMod val="65000"/>
                      <a:lumOff val="35000"/>
                    </a:sysClr>
                  </a:solidFill>
                  <a:latin typeface="arial" panose="020B0604020202020204" pitchFamily="34" charset="0"/>
                  <a:cs typeface="arial" panose="020B0604020202020204" pitchFamily="34" charset="0"/>
                </a:rPr>
                <a:t>Percentage</a:t>
              </a:r>
            </a:p>
          </cx:txPr>
        </cx:title>
        <cx:tickLabels/>
      </cx:axis>
      <cx:axis id="2">
        <cx:valScaling max="1" min="0"/>
        <cx:units unit="percentage"/>
        <cx:tickLabels/>
      </cx:axis>
    </cx:plotArea>
    <cx:legend pos="t" align="ctr" overlay="0"/>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C61B5F-F525-4543-8B36-6AF296AEB70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A10410F0-1E96-4389-86FA-87AED2A64032}">
      <dgm:prSet phldrT="[Text]" custT="1">
        <dgm:style>
          <a:lnRef idx="2">
            <a:schemeClr val="accent3"/>
          </a:lnRef>
          <a:fillRef idx="1">
            <a:schemeClr val="lt1"/>
          </a:fillRef>
          <a:effectRef idx="0">
            <a:schemeClr val="accent3"/>
          </a:effectRef>
          <a:fontRef idx="minor">
            <a:schemeClr val="dk1"/>
          </a:fontRef>
        </dgm:style>
      </dgm:prSet>
      <dgm:spPr>
        <a:ln/>
      </dgm:spPr>
      <dgm:t>
        <a:bodyPr/>
        <a:lstStyle/>
        <a:p>
          <a:r>
            <a:rPr lang="en-US" sz="1000">
              <a:latin typeface="Arial" panose="020B0604020202020204" pitchFamily="34" charset="0"/>
              <a:cs typeface="Arial" panose="020B0604020202020204" pitchFamily="34" charset="0"/>
            </a:rPr>
            <a:t>Aspirations to go Abroad</a:t>
          </a:r>
        </a:p>
      </dgm:t>
    </dgm:pt>
    <dgm:pt modelId="{8D074089-DD93-4F16-8243-592560C14541}" type="parTrans" cxnId="{BA96D263-C286-4860-B081-85414B056C72}">
      <dgm:prSet/>
      <dgm:spPr/>
      <dgm:t>
        <a:bodyPr/>
        <a:lstStyle/>
        <a:p>
          <a:endParaRPr lang="en-US" sz="1000">
            <a:latin typeface="Arial" panose="020B0604020202020204" pitchFamily="34" charset="0"/>
            <a:cs typeface="Arial" panose="020B0604020202020204" pitchFamily="34" charset="0"/>
          </a:endParaRPr>
        </a:p>
      </dgm:t>
    </dgm:pt>
    <dgm:pt modelId="{A6CD2E32-3945-4671-A972-180DE015FD37}" type="sibTrans" cxnId="{BA96D263-C286-4860-B081-85414B056C72}">
      <dgm:prSet/>
      <dgm:spPr/>
      <dgm:t>
        <a:bodyPr/>
        <a:lstStyle/>
        <a:p>
          <a:endParaRPr lang="en-US" sz="1000">
            <a:latin typeface="Arial" panose="020B0604020202020204" pitchFamily="34" charset="0"/>
            <a:cs typeface="Arial" panose="020B0604020202020204" pitchFamily="34" charset="0"/>
          </a:endParaRPr>
        </a:p>
      </dgm:t>
    </dgm:pt>
    <dgm:pt modelId="{B5339CB7-7CC3-47CC-ADA7-131CEA1B098A}">
      <dgm:prSet phldrT="[Text]" custT="1">
        <dgm:style>
          <a:lnRef idx="2">
            <a:schemeClr val="accent3"/>
          </a:lnRef>
          <a:fillRef idx="1">
            <a:schemeClr val="lt1"/>
          </a:fillRef>
          <a:effectRef idx="0">
            <a:schemeClr val="accent3"/>
          </a:effectRef>
          <a:fontRef idx="minor">
            <a:schemeClr val="dk1"/>
          </a:fontRef>
        </dgm:style>
      </dgm:prSet>
      <dgm:spPr>
        <a:ln/>
      </dgm:spPr>
      <dgm:t>
        <a:bodyPr/>
        <a:lstStyle/>
        <a:p>
          <a:r>
            <a:rPr lang="en-US" sz="1000">
              <a:latin typeface="Arial" panose="020B0604020202020204" pitchFamily="34" charset="0"/>
              <a:cs typeface="Arial" panose="020B0604020202020204" pitchFamily="34" charset="0"/>
            </a:rPr>
            <a:t>Financial Capacity and Budget Allocations</a:t>
          </a:r>
        </a:p>
      </dgm:t>
    </dgm:pt>
    <dgm:pt modelId="{CC9E6784-54D1-4F95-AFE1-E0418B7328BE}" type="parTrans" cxnId="{DD536EDA-7CEF-49E5-B01C-C48D68ADC402}">
      <dgm:prSet/>
      <dgm:spPr/>
      <dgm:t>
        <a:bodyPr/>
        <a:lstStyle/>
        <a:p>
          <a:endParaRPr lang="en-US" sz="1000">
            <a:latin typeface="Arial" panose="020B0604020202020204" pitchFamily="34" charset="0"/>
            <a:cs typeface="Arial" panose="020B0604020202020204" pitchFamily="34" charset="0"/>
          </a:endParaRPr>
        </a:p>
      </dgm:t>
    </dgm:pt>
    <dgm:pt modelId="{24FE32EE-FED3-498F-B16A-F6D69016B5D7}" type="sibTrans" cxnId="{DD536EDA-7CEF-49E5-B01C-C48D68ADC402}">
      <dgm:prSet/>
      <dgm:spPr/>
      <dgm:t>
        <a:bodyPr/>
        <a:lstStyle/>
        <a:p>
          <a:endParaRPr lang="en-US" sz="1000">
            <a:latin typeface="Arial" panose="020B0604020202020204" pitchFamily="34" charset="0"/>
            <a:cs typeface="Arial" panose="020B0604020202020204" pitchFamily="34" charset="0"/>
          </a:endParaRPr>
        </a:p>
      </dgm:t>
    </dgm:pt>
    <dgm:pt modelId="{72D50DC9-CDD9-4988-AC11-DAA0157AA51F}">
      <dgm:prSet phldrT="[Text]" custT="1">
        <dgm:style>
          <a:lnRef idx="2">
            <a:schemeClr val="accent3"/>
          </a:lnRef>
          <a:fillRef idx="1">
            <a:schemeClr val="lt1"/>
          </a:fillRef>
          <a:effectRef idx="0">
            <a:schemeClr val="accent3"/>
          </a:effectRef>
          <a:fontRef idx="minor">
            <a:schemeClr val="dk1"/>
          </a:fontRef>
        </dgm:style>
      </dgm:prSet>
      <dgm:spPr>
        <a:ln/>
      </dgm:spPr>
      <dgm:t>
        <a:bodyPr/>
        <a:lstStyle/>
        <a:p>
          <a:r>
            <a:rPr lang="en-US" sz="1000">
              <a:latin typeface="Arial" panose="020B0604020202020204" pitchFamily="34" charset="0"/>
              <a:cs typeface="Arial" panose="020B0604020202020204" pitchFamily="34" charset="0"/>
            </a:rPr>
            <a:t>Family Support</a:t>
          </a:r>
        </a:p>
      </dgm:t>
    </dgm:pt>
    <dgm:pt modelId="{235FED9C-595A-497F-B61D-8DBDA7498F1F}" type="parTrans" cxnId="{9B029C27-5B8C-4C03-874B-8F5868EBEB99}">
      <dgm:prSet/>
      <dgm:spPr/>
      <dgm:t>
        <a:bodyPr/>
        <a:lstStyle/>
        <a:p>
          <a:endParaRPr lang="en-US" sz="1000">
            <a:latin typeface="Arial" panose="020B0604020202020204" pitchFamily="34" charset="0"/>
            <a:cs typeface="Arial" panose="020B0604020202020204" pitchFamily="34" charset="0"/>
          </a:endParaRPr>
        </a:p>
      </dgm:t>
    </dgm:pt>
    <dgm:pt modelId="{2B827BB1-8D9F-4107-B75A-97237E47D449}" type="sibTrans" cxnId="{9B029C27-5B8C-4C03-874B-8F5868EBEB99}">
      <dgm:prSet/>
      <dgm:spPr/>
      <dgm:t>
        <a:bodyPr/>
        <a:lstStyle/>
        <a:p>
          <a:endParaRPr lang="en-US" sz="1000">
            <a:latin typeface="Arial" panose="020B0604020202020204" pitchFamily="34" charset="0"/>
            <a:cs typeface="Arial" panose="020B0604020202020204" pitchFamily="34" charset="0"/>
          </a:endParaRPr>
        </a:p>
      </dgm:t>
    </dgm:pt>
    <dgm:pt modelId="{94066080-16FE-4A03-BEBD-54C05BB8D0D8}">
      <dgm:prSet phldrT="[Text]" custT="1">
        <dgm:style>
          <a:lnRef idx="2">
            <a:schemeClr val="accent3"/>
          </a:lnRef>
          <a:fillRef idx="1">
            <a:schemeClr val="lt1"/>
          </a:fillRef>
          <a:effectRef idx="0">
            <a:schemeClr val="accent3"/>
          </a:effectRef>
          <a:fontRef idx="minor">
            <a:schemeClr val="dk1"/>
          </a:fontRef>
        </dgm:style>
      </dgm:prSet>
      <dgm:spPr>
        <a:ln/>
      </dgm:spPr>
      <dgm:t>
        <a:bodyPr/>
        <a:lstStyle/>
        <a:p>
          <a:r>
            <a:rPr lang="en-US" sz="1000">
              <a:latin typeface="Arial" panose="020B0604020202020204" pitchFamily="34" charset="0"/>
              <a:cs typeface="Arial" panose="020B0604020202020204" pitchFamily="34" charset="0"/>
            </a:rPr>
            <a:t>Migration Challanges (Language Barriers, Technical Skills, Employment Struggles)</a:t>
          </a:r>
        </a:p>
      </dgm:t>
    </dgm:pt>
    <dgm:pt modelId="{9B9AF6DB-DD81-466F-9D32-6FD2EEE31234}" type="parTrans" cxnId="{B0028A21-F4E2-407F-8122-36AEB074E0B4}">
      <dgm:prSet/>
      <dgm:spPr/>
      <dgm:t>
        <a:bodyPr/>
        <a:lstStyle/>
        <a:p>
          <a:endParaRPr lang="en-US" sz="1000">
            <a:latin typeface="Arial" panose="020B0604020202020204" pitchFamily="34" charset="0"/>
            <a:cs typeface="Arial" panose="020B0604020202020204" pitchFamily="34" charset="0"/>
          </a:endParaRPr>
        </a:p>
      </dgm:t>
    </dgm:pt>
    <dgm:pt modelId="{308A31B2-1CD5-4427-A51D-8787DC94CD3F}" type="sibTrans" cxnId="{B0028A21-F4E2-407F-8122-36AEB074E0B4}">
      <dgm:prSet/>
      <dgm:spPr/>
      <dgm:t>
        <a:bodyPr/>
        <a:lstStyle/>
        <a:p>
          <a:endParaRPr lang="en-US" sz="1000">
            <a:latin typeface="Arial" panose="020B0604020202020204" pitchFamily="34" charset="0"/>
            <a:cs typeface="Arial" panose="020B0604020202020204" pitchFamily="34" charset="0"/>
          </a:endParaRPr>
        </a:p>
      </dgm:t>
    </dgm:pt>
    <dgm:pt modelId="{966B7A51-E4C6-4DB1-A98E-090E4E8D4485}">
      <dgm:prSet phldrT="[Text]" custT="1">
        <dgm:style>
          <a:lnRef idx="2">
            <a:schemeClr val="accent3"/>
          </a:lnRef>
          <a:fillRef idx="1">
            <a:schemeClr val="lt1"/>
          </a:fillRef>
          <a:effectRef idx="0">
            <a:schemeClr val="accent3"/>
          </a:effectRef>
          <a:fontRef idx="minor">
            <a:schemeClr val="dk1"/>
          </a:fontRef>
        </dgm:style>
      </dgm:prSet>
      <dgm:spPr>
        <a:ln/>
      </dgm:spPr>
      <dgm:t>
        <a:bodyPr/>
        <a:lstStyle/>
        <a:p>
          <a:r>
            <a:rPr lang="en-US" sz="1000">
              <a:latin typeface="Arial" panose="020B0604020202020204" pitchFamily="34" charset="0"/>
              <a:cs typeface="Arial" panose="020B0604020202020204" pitchFamily="34" charset="0"/>
            </a:rPr>
            <a:t>Policy  Recommendations (Government initiatives, loan Access, Student Support Systems)</a:t>
          </a:r>
        </a:p>
      </dgm:t>
    </dgm:pt>
    <dgm:pt modelId="{CEBDBD55-D3F0-4F7D-93EF-E2138470D1AB}" type="parTrans" cxnId="{CC0AF20F-3499-4169-89E3-542514D2EFB7}">
      <dgm:prSet/>
      <dgm:spPr/>
      <dgm:t>
        <a:bodyPr/>
        <a:lstStyle/>
        <a:p>
          <a:endParaRPr lang="en-US" sz="1000">
            <a:latin typeface="Arial" panose="020B0604020202020204" pitchFamily="34" charset="0"/>
            <a:cs typeface="Arial" panose="020B0604020202020204" pitchFamily="34" charset="0"/>
          </a:endParaRPr>
        </a:p>
      </dgm:t>
    </dgm:pt>
    <dgm:pt modelId="{3EA6725C-2557-4046-968F-F5BD8F27D5BA}" type="sibTrans" cxnId="{CC0AF20F-3499-4169-89E3-542514D2EFB7}">
      <dgm:prSet/>
      <dgm:spPr/>
      <dgm:t>
        <a:bodyPr/>
        <a:lstStyle/>
        <a:p>
          <a:endParaRPr lang="en-US" sz="1000">
            <a:latin typeface="Arial" panose="020B0604020202020204" pitchFamily="34" charset="0"/>
            <a:cs typeface="Arial" panose="020B0604020202020204" pitchFamily="34" charset="0"/>
          </a:endParaRPr>
        </a:p>
      </dgm:t>
    </dgm:pt>
    <dgm:pt modelId="{CA50933A-F80A-4D8D-8B85-EDBB524D534B}">
      <dgm:prSet phldrT="[Text]" custT="1">
        <dgm:style>
          <a:lnRef idx="2">
            <a:schemeClr val="accent3"/>
          </a:lnRef>
          <a:fillRef idx="1">
            <a:schemeClr val="lt1"/>
          </a:fillRef>
          <a:effectRef idx="0">
            <a:schemeClr val="accent3"/>
          </a:effectRef>
          <a:fontRef idx="minor">
            <a:schemeClr val="dk1"/>
          </a:fontRef>
        </dgm:style>
      </dgm:prSet>
      <dgm:spPr>
        <a:ln/>
      </dgm:spPr>
      <dgm:t>
        <a:bodyPr/>
        <a:lstStyle/>
        <a:p>
          <a:r>
            <a:rPr lang="en-US" sz="1000">
              <a:latin typeface="Arial" panose="020B0604020202020204" pitchFamily="34" charset="0"/>
              <a:cs typeface="Arial" panose="020B0604020202020204" pitchFamily="34" charset="0"/>
            </a:rPr>
            <a:t>Educational Success (Carrer opportunities, Financial Stability)</a:t>
          </a:r>
        </a:p>
      </dgm:t>
    </dgm:pt>
    <dgm:pt modelId="{A8E1430F-A84C-42B8-8B98-E7B451B2834D}" type="parTrans" cxnId="{9CC29EDB-3B0A-45C6-B264-54D50F47031B}">
      <dgm:prSet/>
      <dgm:spPr/>
      <dgm:t>
        <a:bodyPr/>
        <a:lstStyle/>
        <a:p>
          <a:endParaRPr lang="en-US" sz="1000">
            <a:latin typeface="Arial" panose="020B0604020202020204" pitchFamily="34" charset="0"/>
            <a:cs typeface="Arial" panose="020B0604020202020204" pitchFamily="34" charset="0"/>
          </a:endParaRPr>
        </a:p>
      </dgm:t>
    </dgm:pt>
    <dgm:pt modelId="{F49C3F1B-0074-4B07-9171-486549D27552}" type="sibTrans" cxnId="{9CC29EDB-3B0A-45C6-B264-54D50F47031B}">
      <dgm:prSet/>
      <dgm:spPr/>
      <dgm:t>
        <a:bodyPr/>
        <a:lstStyle/>
        <a:p>
          <a:endParaRPr lang="en-US" sz="1000">
            <a:latin typeface="Arial" panose="020B0604020202020204" pitchFamily="34" charset="0"/>
            <a:cs typeface="Arial" panose="020B0604020202020204" pitchFamily="34" charset="0"/>
          </a:endParaRPr>
        </a:p>
      </dgm:t>
    </dgm:pt>
    <dgm:pt modelId="{62CC7509-6EFB-44CC-A04B-24055DB4980A}" type="pres">
      <dgm:prSet presAssocID="{B6C61B5F-F525-4543-8B36-6AF296AEB70D}" presName="linear" presStyleCnt="0">
        <dgm:presLayoutVars>
          <dgm:dir/>
          <dgm:animLvl val="lvl"/>
          <dgm:resizeHandles val="exact"/>
        </dgm:presLayoutVars>
      </dgm:prSet>
      <dgm:spPr/>
    </dgm:pt>
    <dgm:pt modelId="{DB97B33D-AB39-49E3-8D3D-DD8DC0CEAB5A}" type="pres">
      <dgm:prSet presAssocID="{A10410F0-1E96-4389-86FA-87AED2A64032}" presName="parentLin" presStyleCnt="0"/>
      <dgm:spPr/>
    </dgm:pt>
    <dgm:pt modelId="{F04D832A-EB46-4FB7-91B7-F0D9A7130786}" type="pres">
      <dgm:prSet presAssocID="{A10410F0-1E96-4389-86FA-87AED2A64032}" presName="parentLeftMargin" presStyleLbl="node1" presStyleIdx="0" presStyleCnt="6"/>
      <dgm:spPr/>
    </dgm:pt>
    <dgm:pt modelId="{DB3CBF9D-AB7A-45B8-A802-ECBE546DC24E}" type="pres">
      <dgm:prSet presAssocID="{A10410F0-1E96-4389-86FA-87AED2A64032}" presName="parentText" presStyleLbl="node1" presStyleIdx="0" presStyleCnt="6" custScaleY="163429">
        <dgm:presLayoutVars>
          <dgm:chMax val="0"/>
          <dgm:bulletEnabled val="1"/>
        </dgm:presLayoutVars>
      </dgm:prSet>
      <dgm:spPr/>
    </dgm:pt>
    <dgm:pt modelId="{FBB71FEB-E603-4002-A839-820B4E880C14}" type="pres">
      <dgm:prSet presAssocID="{A10410F0-1E96-4389-86FA-87AED2A64032}" presName="negativeSpace" presStyleCnt="0"/>
      <dgm:spPr/>
    </dgm:pt>
    <dgm:pt modelId="{D99BCCC4-8EB2-4D2F-AC54-D8A46FB7030A}" type="pres">
      <dgm:prSet presAssocID="{A10410F0-1E96-4389-86FA-87AED2A64032}" presName="childText" presStyleLbl="conFgAcc1" presStyleIdx="0" presStyleCnt="6" custFlipVert="1" custScaleY="60737">
        <dgm:presLayoutVars>
          <dgm:bulletEnabled val="1"/>
        </dgm:presLayoutVars>
      </dgm:prSet>
      <dgm:spPr>
        <a:ln>
          <a:solidFill>
            <a:schemeClr val="bg1"/>
          </a:solidFill>
        </a:ln>
      </dgm:spPr>
    </dgm:pt>
    <dgm:pt modelId="{C7F4E03A-454E-442D-B5C7-63063BCD2F1C}" type="pres">
      <dgm:prSet presAssocID="{A6CD2E32-3945-4671-A972-180DE015FD37}" presName="spaceBetweenRectangles" presStyleCnt="0"/>
      <dgm:spPr/>
    </dgm:pt>
    <dgm:pt modelId="{FD110FA7-FA77-471B-9742-659C2A4DDBD6}" type="pres">
      <dgm:prSet presAssocID="{B5339CB7-7CC3-47CC-ADA7-131CEA1B098A}" presName="parentLin" presStyleCnt="0"/>
      <dgm:spPr/>
    </dgm:pt>
    <dgm:pt modelId="{7E181DF3-5C26-4E93-A32D-E1DA2990311A}" type="pres">
      <dgm:prSet presAssocID="{B5339CB7-7CC3-47CC-ADA7-131CEA1B098A}" presName="parentLeftMargin" presStyleLbl="node1" presStyleIdx="0" presStyleCnt="6"/>
      <dgm:spPr/>
    </dgm:pt>
    <dgm:pt modelId="{4E7A068E-3C71-4A55-A863-994E2B0A41CB}" type="pres">
      <dgm:prSet presAssocID="{B5339CB7-7CC3-47CC-ADA7-131CEA1B098A}" presName="parentText" presStyleLbl="node1" presStyleIdx="1" presStyleCnt="6" custScaleY="120536">
        <dgm:presLayoutVars>
          <dgm:chMax val="0"/>
          <dgm:bulletEnabled val="1"/>
        </dgm:presLayoutVars>
      </dgm:prSet>
      <dgm:spPr/>
    </dgm:pt>
    <dgm:pt modelId="{CFB962A0-89E6-44DF-9322-523C43F21545}" type="pres">
      <dgm:prSet presAssocID="{B5339CB7-7CC3-47CC-ADA7-131CEA1B098A}" presName="negativeSpace" presStyleCnt="0"/>
      <dgm:spPr/>
    </dgm:pt>
    <dgm:pt modelId="{D0EE0FB8-20F0-4C09-8473-DDBFB2EFCD52}" type="pres">
      <dgm:prSet presAssocID="{B5339CB7-7CC3-47CC-ADA7-131CEA1B098A}" presName="childText" presStyleLbl="conFgAcc1" presStyleIdx="1" presStyleCnt="6">
        <dgm:presLayoutVars>
          <dgm:bulletEnabled val="1"/>
        </dgm:presLayoutVars>
      </dgm:prSet>
      <dgm:spPr>
        <a:ln>
          <a:solidFill>
            <a:schemeClr val="bg1"/>
          </a:solidFill>
        </a:ln>
      </dgm:spPr>
    </dgm:pt>
    <dgm:pt modelId="{9D34E70A-A111-4F11-9FD5-761A604D7E77}" type="pres">
      <dgm:prSet presAssocID="{24FE32EE-FED3-498F-B16A-F6D69016B5D7}" presName="spaceBetweenRectangles" presStyleCnt="0"/>
      <dgm:spPr/>
    </dgm:pt>
    <dgm:pt modelId="{4DF78345-14FA-4FF8-9539-DC0615131760}" type="pres">
      <dgm:prSet presAssocID="{72D50DC9-CDD9-4988-AC11-DAA0157AA51F}" presName="parentLin" presStyleCnt="0"/>
      <dgm:spPr/>
    </dgm:pt>
    <dgm:pt modelId="{F910B63F-9785-4625-9F37-4621E176D453}" type="pres">
      <dgm:prSet presAssocID="{72D50DC9-CDD9-4988-AC11-DAA0157AA51F}" presName="parentLeftMargin" presStyleLbl="node1" presStyleIdx="1" presStyleCnt="6"/>
      <dgm:spPr/>
    </dgm:pt>
    <dgm:pt modelId="{1414C8E1-11B6-46A8-9249-7042824C4E36}" type="pres">
      <dgm:prSet presAssocID="{72D50DC9-CDD9-4988-AC11-DAA0157AA51F}" presName="parentText" presStyleLbl="node1" presStyleIdx="2" presStyleCnt="6">
        <dgm:presLayoutVars>
          <dgm:chMax val="0"/>
          <dgm:bulletEnabled val="1"/>
        </dgm:presLayoutVars>
      </dgm:prSet>
      <dgm:spPr/>
    </dgm:pt>
    <dgm:pt modelId="{15E8C461-4B89-429E-B372-F39F40328B16}" type="pres">
      <dgm:prSet presAssocID="{72D50DC9-CDD9-4988-AC11-DAA0157AA51F}" presName="negativeSpace" presStyleCnt="0"/>
      <dgm:spPr/>
    </dgm:pt>
    <dgm:pt modelId="{1366F6C5-F6B5-47FE-8700-06E17B03B60C}" type="pres">
      <dgm:prSet presAssocID="{72D50DC9-CDD9-4988-AC11-DAA0157AA51F}" presName="childText" presStyleLbl="conFgAcc1" presStyleIdx="2" presStyleCnt="6">
        <dgm:presLayoutVars>
          <dgm:bulletEnabled val="1"/>
        </dgm:presLayoutVars>
      </dgm:prSet>
      <dgm:spPr>
        <a:ln>
          <a:solidFill>
            <a:schemeClr val="bg1"/>
          </a:solidFill>
        </a:ln>
      </dgm:spPr>
    </dgm:pt>
    <dgm:pt modelId="{491B28A4-0EAA-416B-B699-A0FEEA0217F7}" type="pres">
      <dgm:prSet presAssocID="{2B827BB1-8D9F-4107-B75A-97237E47D449}" presName="spaceBetweenRectangles" presStyleCnt="0"/>
      <dgm:spPr/>
    </dgm:pt>
    <dgm:pt modelId="{891D09FE-9DAD-4F3C-8D69-D0E2248FB6F9}" type="pres">
      <dgm:prSet presAssocID="{94066080-16FE-4A03-BEBD-54C05BB8D0D8}" presName="parentLin" presStyleCnt="0"/>
      <dgm:spPr/>
    </dgm:pt>
    <dgm:pt modelId="{71643AFB-7A17-4EA8-A506-5BA537BAA6C9}" type="pres">
      <dgm:prSet presAssocID="{94066080-16FE-4A03-BEBD-54C05BB8D0D8}" presName="parentLeftMargin" presStyleLbl="node1" presStyleIdx="2" presStyleCnt="6"/>
      <dgm:spPr/>
    </dgm:pt>
    <dgm:pt modelId="{BDC42047-A084-4147-BAEC-C4EE6E222FCA}" type="pres">
      <dgm:prSet presAssocID="{94066080-16FE-4A03-BEBD-54C05BB8D0D8}" presName="parentText" presStyleLbl="node1" presStyleIdx="3" presStyleCnt="6">
        <dgm:presLayoutVars>
          <dgm:chMax val="0"/>
          <dgm:bulletEnabled val="1"/>
        </dgm:presLayoutVars>
      </dgm:prSet>
      <dgm:spPr/>
    </dgm:pt>
    <dgm:pt modelId="{3966586C-D67A-4E53-B7B6-EA32F3BCFE3A}" type="pres">
      <dgm:prSet presAssocID="{94066080-16FE-4A03-BEBD-54C05BB8D0D8}" presName="negativeSpace" presStyleCnt="0"/>
      <dgm:spPr/>
    </dgm:pt>
    <dgm:pt modelId="{28875960-0494-4315-88FD-FF05E52A6828}" type="pres">
      <dgm:prSet presAssocID="{94066080-16FE-4A03-BEBD-54C05BB8D0D8}" presName="childText" presStyleLbl="conFgAcc1" presStyleIdx="3" presStyleCnt="6">
        <dgm:presLayoutVars>
          <dgm:bulletEnabled val="1"/>
        </dgm:presLayoutVars>
      </dgm:prSet>
      <dgm:spPr>
        <a:ln>
          <a:solidFill>
            <a:schemeClr val="bg1"/>
          </a:solidFill>
        </a:ln>
      </dgm:spPr>
    </dgm:pt>
    <dgm:pt modelId="{41BBB221-58D4-4C95-A6C9-EA27A0DA799F}" type="pres">
      <dgm:prSet presAssocID="{308A31B2-1CD5-4427-A51D-8787DC94CD3F}" presName="spaceBetweenRectangles" presStyleCnt="0"/>
      <dgm:spPr/>
    </dgm:pt>
    <dgm:pt modelId="{201E4E97-8814-43E0-99CF-FEC5699FDE9A}" type="pres">
      <dgm:prSet presAssocID="{966B7A51-E4C6-4DB1-A98E-090E4E8D4485}" presName="parentLin" presStyleCnt="0"/>
      <dgm:spPr/>
    </dgm:pt>
    <dgm:pt modelId="{EF2FB897-C39D-49EA-A253-A9EC8DF2B87E}" type="pres">
      <dgm:prSet presAssocID="{966B7A51-E4C6-4DB1-A98E-090E4E8D4485}" presName="parentLeftMargin" presStyleLbl="node1" presStyleIdx="3" presStyleCnt="6"/>
      <dgm:spPr/>
    </dgm:pt>
    <dgm:pt modelId="{EB1026AA-852B-46F8-B495-E34BFD017A3A}" type="pres">
      <dgm:prSet presAssocID="{966B7A51-E4C6-4DB1-A98E-090E4E8D4485}" presName="parentText" presStyleLbl="node1" presStyleIdx="4" presStyleCnt="6">
        <dgm:presLayoutVars>
          <dgm:chMax val="0"/>
          <dgm:bulletEnabled val="1"/>
        </dgm:presLayoutVars>
      </dgm:prSet>
      <dgm:spPr/>
    </dgm:pt>
    <dgm:pt modelId="{14D0D640-A0D1-4F8B-927A-E8F9BC883AC2}" type="pres">
      <dgm:prSet presAssocID="{966B7A51-E4C6-4DB1-A98E-090E4E8D4485}" presName="negativeSpace" presStyleCnt="0"/>
      <dgm:spPr/>
    </dgm:pt>
    <dgm:pt modelId="{972DC804-D2A8-4CD3-8CF4-9F2C0F5C2D2C}" type="pres">
      <dgm:prSet presAssocID="{966B7A51-E4C6-4DB1-A98E-090E4E8D4485}" presName="childText" presStyleLbl="conFgAcc1" presStyleIdx="4" presStyleCnt="6">
        <dgm:presLayoutVars>
          <dgm:bulletEnabled val="1"/>
        </dgm:presLayoutVars>
      </dgm:prSet>
      <dgm:spPr>
        <a:ln>
          <a:solidFill>
            <a:schemeClr val="bg1"/>
          </a:solidFill>
        </a:ln>
      </dgm:spPr>
    </dgm:pt>
    <dgm:pt modelId="{BB90A35B-3EDD-4875-9BAA-9207313CC59B}" type="pres">
      <dgm:prSet presAssocID="{3EA6725C-2557-4046-968F-F5BD8F27D5BA}" presName="spaceBetweenRectangles" presStyleCnt="0"/>
      <dgm:spPr/>
    </dgm:pt>
    <dgm:pt modelId="{BD5A52D3-57C2-436E-812D-C94E909CFE9A}" type="pres">
      <dgm:prSet presAssocID="{CA50933A-F80A-4D8D-8B85-EDBB524D534B}" presName="parentLin" presStyleCnt="0"/>
      <dgm:spPr/>
    </dgm:pt>
    <dgm:pt modelId="{5C5E2B50-01A4-4256-AA79-B201AF70E687}" type="pres">
      <dgm:prSet presAssocID="{CA50933A-F80A-4D8D-8B85-EDBB524D534B}" presName="parentLeftMargin" presStyleLbl="node1" presStyleIdx="4" presStyleCnt="6"/>
      <dgm:spPr/>
    </dgm:pt>
    <dgm:pt modelId="{96E0767B-CE7D-4B9B-B1F3-BD34DFCA97C2}" type="pres">
      <dgm:prSet presAssocID="{CA50933A-F80A-4D8D-8B85-EDBB524D534B}" presName="parentText" presStyleLbl="node1" presStyleIdx="5" presStyleCnt="6">
        <dgm:presLayoutVars>
          <dgm:chMax val="0"/>
          <dgm:bulletEnabled val="1"/>
        </dgm:presLayoutVars>
      </dgm:prSet>
      <dgm:spPr/>
    </dgm:pt>
    <dgm:pt modelId="{035985AB-003D-4A86-B691-24D2FACF8ACC}" type="pres">
      <dgm:prSet presAssocID="{CA50933A-F80A-4D8D-8B85-EDBB524D534B}" presName="negativeSpace" presStyleCnt="0"/>
      <dgm:spPr/>
    </dgm:pt>
    <dgm:pt modelId="{57BD6B5F-B374-42FB-A45E-9A51FCA90F2B}" type="pres">
      <dgm:prSet presAssocID="{CA50933A-F80A-4D8D-8B85-EDBB524D534B}" presName="childText" presStyleLbl="conFgAcc1" presStyleIdx="5" presStyleCnt="6">
        <dgm:presLayoutVars>
          <dgm:bulletEnabled val="1"/>
        </dgm:presLayoutVars>
      </dgm:prSet>
      <dgm:spPr>
        <a:ln>
          <a:solidFill>
            <a:schemeClr val="bg1"/>
          </a:solidFill>
        </a:ln>
      </dgm:spPr>
    </dgm:pt>
  </dgm:ptLst>
  <dgm:cxnLst>
    <dgm:cxn modelId="{1FECAC09-B0B4-4788-A189-40724B06609E}" type="presOf" srcId="{94066080-16FE-4A03-BEBD-54C05BB8D0D8}" destId="{71643AFB-7A17-4EA8-A506-5BA537BAA6C9}" srcOrd="0" destOrd="0" presId="urn:microsoft.com/office/officeart/2005/8/layout/list1"/>
    <dgm:cxn modelId="{CC0AF20F-3499-4169-89E3-542514D2EFB7}" srcId="{B6C61B5F-F525-4543-8B36-6AF296AEB70D}" destId="{966B7A51-E4C6-4DB1-A98E-090E4E8D4485}" srcOrd="4" destOrd="0" parTransId="{CEBDBD55-D3F0-4F7D-93EF-E2138470D1AB}" sibTransId="{3EA6725C-2557-4046-968F-F5BD8F27D5BA}"/>
    <dgm:cxn modelId="{B0028A21-F4E2-407F-8122-36AEB074E0B4}" srcId="{B6C61B5F-F525-4543-8B36-6AF296AEB70D}" destId="{94066080-16FE-4A03-BEBD-54C05BB8D0D8}" srcOrd="3" destOrd="0" parTransId="{9B9AF6DB-DD81-466F-9D32-6FD2EEE31234}" sibTransId="{308A31B2-1CD5-4427-A51D-8787DC94CD3F}"/>
    <dgm:cxn modelId="{9B029C27-5B8C-4C03-874B-8F5868EBEB99}" srcId="{B6C61B5F-F525-4543-8B36-6AF296AEB70D}" destId="{72D50DC9-CDD9-4988-AC11-DAA0157AA51F}" srcOrd="2" destOrd="0" parTransId="{235FED9C-595A-497F-B61D-8DBDA7498F1F}" sibTransId="{2B827BB1-8D9F-4107-B75A-97237E47D449}"/>
    <dgm:cxn modelId="{C7A91B36-B0BD-4101-8FA3-C06C09E89EEC}" type="presOf" srcId="{72D50DC9-CDD9-4988-AC11-DAA0157AA51F}" destId="{F910B63F-9785-4625-9F37-4621E176D453}" srcOrd="0" destOrd="0" presId="urn:microsoft.com/office/officeart/2005/8/layout/list1"/>
    <dgm:cxn modelId="{C90B1B5D-37AA-4A3E-B2C7-4988AF753287}" type="presOf" srcId="{B5339CB7-7CC3-47CC-ADA7-131CEA1B098A}" destId="{4E7A068E-3C71-4A55-A863-994E2B0A41CB}" srcOrd="1" destOrd="0" presId="urn:microsoft.com/office/officeart/2005/8/layout/list1"/>
    <dgm:cxn modelId="{5E6C515D-162B-4D1D-BBC7-A51CB6A6AE08}" type="presOf" srcId="{966B7A51-E4C6-4DB1-A98E-090E4E8D4485}" destId="{EF2FB897-C39D-49EA-A253-A9EC8DF2B87E}" srcOrd="0" destOrd="0" presId="urn:microsoft.com/office/officeart/2005/8/layout/list1"/>
    <dgm:cxn modelId="{6C25FB61-971B-4442-985A-89C1A71E6C7F}" type="presOf" srcId="{72D50DC9-CDD9-4988-AC11-DAA0157AA51F}" destId="{1414C8E1-11B6-46A8-9249-7042824C4E36}" srcOrd="1" destOrd="0" presId="urn:microsoft.com/office/officeart/2005/8/layout/list1"/>
    <dgm:cxn modelId="{BA96D263-C286-4860-B081-85414B056C72}" srcId="{B6C61B5F-F525-4543-8B36-6AF296AEB70D}" destId="{A10410F0-1E96-4389-86FA-87AED2A64032}" srcOrd="0" destOrd="0" parTransId="{8D074089-DD93-4F16-8243-592560C14541}" sibTransId="{A6CD2E32-3945-4671-A972-180DE015FD37}"/>
    <dgm:cxn modelId="{443CA14B-15E2-441E-90A7-64EC2CE53396}" type="presOf" srcId="{CA50933A-F80A-4D8D-8B85-EDBB524D534B}" destId="{5C5E2B50-01A4-4256-AA79-B201AF70E687}" srcOrd="0" destOrd="0" presId="urn:microsoft.com/office/officeart/2005/8/layout/list1"/>
    <dgm:cxn modelId="{DAD2484E-BB56-461F-8BDE-564751FBA134}" type="presOf" srcId="{A10410F0-1E96-4389-86FA-87AED2A64032}" destId="{F04D832A-EB46-4FB7-91B7-F0D9A7130786}" srcOrd="0" destOrd="0" presId="urn:microsoft.com/office/officeart/2005/8/layout/list1"/>
    <dgm:cxn modelId="{9229BC6E-A3F9-4621-A678-4FACFEF66043}" type="presOf" srcId="{A10410F0-1E96-4389-86FA-87AED2A64032}" destId="{DB3CBF9D-AB7A-45B8-A802-ECBE546DC24E}" srcOrd="1" destOrd="0" presId="urn:microsoft.com/office/officeart/2005/8/layout/list1"/>
    <dgm:cxn modelId="{5CC9737E-070D-43FC-80FA-48ED2A5F58E7}" type="presOf" srcId="{966B7A51-E4C6-4DB1-A98E-090E4E8D4485}" destId="{EB1026AA-852B-46F8-B495-E34BFD017A3A}" srcOrd="1" destOrd="0" presId="urn:microsoft.com/office/officeart/2005/8/layout/list1"/>
    <dgm:cxn modelId="{DE317982-1849-4EAB-BDBD-9C675B09D3A4}" type="presOf" srcId="{CA50933A-F80A-4D8D-8B85-EDBB524D534B}" destId="{96E0767B-CE7D-4B9B-B1F3-BD34DFCA97C2}" srcOrd="1" destOrd="0" presId="urn:microsoft.com/office/officeart/2005/8/layout/list1"/>
    <dgm:cxn modelId="{F6B7E4A1-2C5E-421B-BA69-D4CC8B03DFCF}" type="presOf" srcId="{B5339CB7-7CC3-47CC-ADA7-131CEA1B098A}" destId="{7E181DF3-5C26-4E93-A32D-E1DA2990311A}" srcOrd="0" destOrd="0" presId="urn:microsoft.com/office/officeart/2005/8/layout/list1"/>
    <dgm:cxn modelId="{A46D9EC4-3AF8-416A-99E9-695D79199D08}" type="presOf" srcId="{94066080-16FE-4A03-BEBD-54C05BB8D0D8}" destId="{BDC42047-A084-4147-BAEC-C4EE6E222FCA}" srcOrd="1" destOrd="0" presId="urn:microsoft.com/office/officeart/2005/8/layout/list1"/>
    <dgm:cxn modelId="{E9E160D1-1813-4FBD-AFAC-760A720B3B2C}" type="presOf" srcId="{B6C61B5F-F525-4543-8B36-6AF296AEB70D}" destId="{62CC7509-6EFB-44CC-A04B-24055DB4980A}" srcOrd="0" destOrd="0" presId="urn:microsoft.com/office/officeart/2005/8/layout/list1"/>
    <dgm:cxn modelId="{DD536EDA-7CEF-49E5-B01C-C48D68ADC402}" srcId="{B6C61B5F-F525-4543-8B36-6AF296AEB70D}" destId="{B5339CB7-7CC3-47CC-ADA7-131CEA1B098A}" srcOrd="1" destOrd="0" parTransId="{CC9E6784-54D1-4F95-AFE1-E0418B7328BE}" sibTransId="{24FE32EE-FED3-498F-B16A-F6D69016B5D7}"/>
    <dgm:cxn modelId="{9CC29EDB-3B0A-45C6-B264-54D50F47031B}" srcId="{B6C61B5F-F525-4543-8B36-6AF296AEB70D}" destId="{CA50933A-F80A-4D8D-8B85-EDBB524D534B}" srcOrd="5" destOrd="0" parTransId="{A8E1430F-A84C-42B8-8B98-E7B451B2834D}" sibTransId="{F49C3F1B-0074-4B07-9171-486549D27552}"/>
    <dgm:cxn modelId="{1BE8E310-70E2-4F3F-A42B-67DADF4AEB87}" type="presParOf" srcId="{62CC7509-6EFB-44CC-A04B-24055DB4980A}" destId="{DB97B33D-AB39-49E3-8D3D-DD8DC0CEAB5A}" srcOrd="0" destOrd="0" presId="urn:microsoft.com/office/officeart/2005/8/layout/list1"/>
    <dgm:cxn modelId="{B7C5347F-A04C-4BB6-9433-FEC0DABD7EC6}" type="presParOf" srcId="{DB97B33D-AB39-49E3-8D3D-DD8DC0CEAB5A}" destId="{F04D832A-EB46-4FB7-91B7-F0D9A7130786}" srcOrd="0" destOrd="0" presId="urn:microsoft.com/office/officeart/2005/8/layout/list1"/>
    <dgm:cxn modelId="{C7FE21C0-7094-4642-82BB-B716A0BFFBB2}" type="presParOf" srcId="{DB97B33D-AB39-49E3-8D3D-DD8DC0CEAB5A}" destId="{DB3CBF9D-AB7A-45B8-A802-ECBE546DC24E}" srcOrd="1" destOrd="0" presId="urn:microsoft.com/office/officeart/2005/8/layout/list1"/>
    <dgm:cxn modelId="{35100070-34BA-4BBE-973B-411521817B5F}" type="presParOf" srcId="{62CC7509-6EFB-44CC-A04B-24055DB4980A}" destId="{FBB71FEB-E603-4002-A839-820B4E880C14}" srcOrd="1" destOrd="0" presId="urn:microsoft.com/office/officeart/2005/8/layout/list1"/>
    <dgm:cxn modelId="{E4E2E77C-CAF7-482A-A018-523741F979E0}" type="presParOf" srcId="{62CC7509-6EFB-44CC-A04B-24055DB4980A}" destId="{D99BCCC4-8EB2-4D2F-AC54-D8A46FB7030A}" srcOrd="2" destOrd="0" presId="urn:microsoft.com/office/officeart/2005/8/layout/list1"/>
    <dgm:cxn modelId="{F5E6116E-68CC-4629-BD47-C54A93F9EC94}" type="presParOf" srcId="{62CC7509-6EFB-44CC-A04B-24055DB4980A}" destId="{C7F4E03A-454E-442D-B5C7-63063BCD2F1C}" srcOrd="3" destOrd="0" presId="urn:microsoft.com/office/officeart/2005/8/layout/list1"/>
    <dgm:cxn modelId="{77B3FC5E-36D5-4C40-8815-0F3143E2ED71}" type="presParOf" srcId="{62CC7509-6EFB-44CC-A04B-24055DB4980A}" destId="{FD110FA7-FA77-471B-9742-659C2A4DDBD6}" srcOrd="4" destOrd="0" presId="urn:microsoft.com/office/officeart/2005/8/layout/list1"/>
    <dgm:cxn modelId="{27298E0A-A205-447D-909D-8A3372C45586}" type="presParOf" srcId="{FD110FA7-FA77-471B-9742-659C2A4DDBD6}" destId="{7E181DF3-5C26-4E93-A32D-E1DA2990311A}" srcOrd="0" destOrd="0" presId="urn:microsoft.com/office/officeart/2005/8/layout/list1"/>
    <dgm:cxn modelId="{8ECFD542-EF02-491A-9DB4-F7BAED70ED44}" type="presParOf" srcId="{FD110FA7-FA77-471B-9742-659C2A4DDBD6}" destId="{4E7A068E-3C71-4A55-A863-994E2B0A41CB}" srcOrd="1" destOrd="0" presId="urn:microsoft.com/office/officeart/2005/8/layout/list1"/>
    <dgm:cxn modelId="{62CBAF7A-A4F9-495C-AA20-B3383084B07E}" type="presParOf" srcId="{62CC7509-6EFB-44CC-A04B-24055DB4980A}" destId="{CFB962A0-89E6-44DF-9322-523C43F21545}" srcOrd="5" destOrd="0" presId="urn:microsoft.com/office/officeart/2005/8/layout/list1"/>
    <dgm:cxn modelId="{4D311EBB-54E5-4F5B-9EBF-39D1FE3399EB}" type="presParOf" srcId="{62CC7509-6EFB-44CC-A04B-24055DB4980A}" destId="{D0EE0FB8-20F0-4C09-8473-DDBFB2EFCD52}" srcOrd="6" destOrd="0" presId="urn:microsoft.com/office/officeart/2005/8/layout/list1"/>
    <dgm:cxn modelId="{FE9DA242-4684-4486-A062-E33EE326D66B}" type="presParOf" srcId="{62CC7509-6EFB-44CC-A04B-24055DB4980A}" destId="{9D34E70A-A111-4F11-9FD5-761A604D7E77}" srcOrd="7" destOrd="0" presId="urn:microsoft.com/office/officeart/2005/8/layout/list1"/>
    <dgm:cxn modelId="{4E64A199-A0DC-4A14-9E80-FB134D04F1B3}" type="presParOf" srcId="{62CC7509-6EFB-44CC-A04B-24055DB4980A}" destId="{4DF78345-14FA-4FF8-9539-DC0615131760}" srcOrd="8" destOrd="0" presId="urn:microsoft.com/office/officeart/2005/8/layout/list1"/>
    <dgm:cxn modelId="{0871028B-468C-4AAE-897C-03762CAF2999}" type="presParOf" srcId="{4DF78345-14FA-4FF8-9539-DC0615131760}" destId="{F910B63F-9785-4625-9F37-4621E176D453}" srcOrd="0" destOrd="0" presId="urn:microsoft.com/office/officeart/2005/8/layout/list1"/>
    <dgm:cxn modelId="{520283C0-5CC4-4263-B029-35E24C1BA455}" type="presParOf" srcId="{4DF78345-14FA-4FF8-9539-DC0615131760}" destId="{1414C8E1-11B6-46A8-9249-7042824C4E36}" srcOrd="1" destOrd="0" presId="urn:microsoft.com/office/officeart/2005/8/layout/list1"/>
    <dgm:cxn modelId="{FD5B709D-7FD0-4858-9859-A3C120442DC4}" type="presParOf" srcId="{62CC7509-6EFB-44CC-A04B-24055DB4980A}" destId="{15E8C461-4B89-429E-B372-F39F40328B16}" srcOrd="9" destOrd="0" presId="urn:microsoft.com/office/officeart/2005/8/layout/list1"/>
    <dgm:cxn modelId="{E6341AC1-60D0-43AF-AD35-72771F71B10C}" type="presParOf" srcId="{62CC7509-6EFB-44CC-A04B-24055DB4980A}" destId="{1366F6C5-F6B5-47FE-8700-06E17B03B60C}" srcOrd="10" destOrd="0" presId="urn:microsoft.com/office/officeart/2005/8/layout/list1"/>
    <dgm:cxn modelId="{5C31A13C-B3BB-4895-8CAD-2FC81459B316}" type="presParOf" srcId="{62CC7509-6EFB-44CC-A04B-24055DB4980A}" destId="{491B28A4-0EAA-416B-B699-A0FEEA0217F7}" srcOrd="11" destOrd="0" presId="urn:microsoft.com/office/officeart/2005/8/layout/list1"/>
    <dgm:cxn modelId="{6AE42F0B-FFDC-4AB6-B7F5-6D99A54A12FD}" type="presParOf" srcId="{62CC7509-6EFB-44CC-A04B-24055DB4980A}" destId="{891D09FE-9DAD-4F3C-8D69-D0E2248FB6F9}" srcOrd="12" destOrd="0" presId="urn:microsoft.com/office/officeart/2005/8/layout/list1"/>
    <dgm:cxn modelId="{EC554D8D-9E7F-471C-B327-68508C16B250}" type="presParOf" srcId="{891D09FE-9DAD-4F3C-8D69-D0E2248FB6F9}" destId="{71643AFB-7A17-4EA8-A506-5BA537BAA6C9}" srcOrd="0" destOrd="0" presId="urn:microsoft.com/office/officeart/2005/8/layout/list1"/>
    <dgm:cxn modelId="{1F90C98C-2B54-41A0-94D3-A4BB0429ADCB}" type="presParOf" srcId="{891D09FE-9DAD-4F3C-8D69-D0E2248FB6F9}" destId="{BDC42047-A084-4147-BAEC-C4EE6E222FCA}" srcOrd="1" destOrd="0" presId="urn:microsoft.com/office/officeart/2005/8/layout/list1"/>
    <dgm:cxn modelId="{1F933774-E4CE-4C65-BE89-97931D99CE0F}" type="presParOf" srcId="{62CC7509-6EFB-44CC-A04B-24055DB4980A}" destId="{3966586C-D67A-4E53-B7B6-EA32F3BCFE3A}" srcOrd="13" destOrd="0" presId="urn:microsoft.com/office/officeart/2005/8/layout/list1"/>
    <dgm:cxn modelId="{379C336E-7002-406E-AB94-979143179C8E}" type="presParOf" srcId="{62CC7509-6EFB-44CC-A04B-24055DB4980A}" destId="{28875960-0494-4315-88FD-FF05E52A6828}" srcOrd="14" destOrd="0" presId="urn:microsoft.com/office/officeart/2005/8/layout/list1"/>
    <dgm:cxn modelId="{8FED75E7-C4DC-428E-A6BE-CFB97C90B474}" type="presParOf" srcId="{62CC7509-6EFB-44CC-A04B-24055DB4980A}" destId="{41BBB221-58D4-4C95-A6C9-EA27A0DA799F}" srcOrd="15" destOrd="0" presId="urn:microsoft.com/office/officeart/2005/8/layout/list1"/>
    <dgm:cxn modelId="{E7BE1066-D4EE-46BD-9A51-FD94DAB779A9}" type="presParOf" srcId="{62CC7509-6EFB-44CC-A04B-24055DB4980A}" destId="{201E4E97-8814-43E0-99CF-FEC5699FDE9A}" srcOrd="16" destOrd="0" presId="urn:microsoft.com/office/officeart/2005/8/layout/list1"/>
    <dgm:cxn modelId="{0CAEB41D-1027-4C8C-A7B2-C534C222A446}" type="presParOf" srcId="{201E4E97-8814-43E0-99CF-FEC5699FDE9A}" destId="{EF2FB897-C39D-49EA-A253-A9EC8DF2B87E}" srcOrd="0" destOrd="0" presId="urn:microsoft.com/office/officeart/2005/8/layout/list1"/>
    <dgm:cxn modelId="{3E88C605-4C83-4597-9514-61A658DE8AEB}" type="presParOf" srcId="{201E4E97-8814-43E0-99CF-FEC5699FDE9A}" destId="{EB1026AA-852B-46F8-B495-E34BFD017A3A}" srcOrd="1" destOrd="0" presId="urn:microsoft.com/office/officeart/2005/8/layout/list1"/>
    <dgm:cxn modelId="{B073B340-42E6-4BAA-9D4F-D64975BD3840}" type="presParOf" srcId="{62CC7509-6EFB-44CC-A04B-24055DB4980A}" destId="{14D0D640-A0D1-4F8B-927A-E8F9BC883AC2}" srcOrd="17" destOrd="0" presId="urn:microsoft.com/office/officeart/2005/8/layout/list1"/>
    <dgm:cxn modelId="{C2C58B0D-77D9-4157-B651-C07DB1E2EB12}" type="presParOf" srcId="{62CC7509-6EFB-44CC-A04B-24055DB4980A}" destId="{972DC804-D2A8-4CD3-8CF4-9F2C0F5C2D2C}" srcOrd="18" destOrd="0" presId="urn:microsoft.com/office/officeart/2005/8/layout/list1"/>
    <dgm:cxn modelId="{38BCF53F-492C-467B-9881-20DE016306AA}" type="presParOf" srcId="{62CC7509-6EFB-44CC-A04B-24055DB4980A}" destId="{BB90A35B-3EDD-4875-9BAA-9207313CC59B}" srcOrd="19" destOrd="0" presId="urn:microsoft.com/office/officeart/2005/8/layout/list1"/>
    <dgm:cxn modelId="{6C647253-137D-49FB-92E2-86B95B971406}" type="presParOf" srcId="{62CC7509-6EFB-44CC-A04B-24055DB4980A}" destId="{BD5A52D3-57C2-436E-812D-C94E909CFE9A}" srcOrd="20" destOrd="0" presId="urn:microsoft.com/office/officeart/2005/8/layout/list1"/>
    <dgm:cxn modelId="{9670FB42-CB7A-4532-9E88-75AD04FEF017}" type="presParOf" srcId="{BD5A52D3-57C2-436E-812D-C94E909CFE9A}" destId="{5C5E2B50-01A4-4256-AA79-B201AF70E687}" srcOrd="0" destOrd="0" presId="urn:microsoft.com/office/officeart/2005/8/layout/list1"/>
    <dgm:cxn modelId="{892027A0-5449-4BD6-ACB0-41E151BA265C}" type="presParOf" srcId="{BD5A52D3-57C2-436E-812D-C94E909CFE9A}" destId="{96E0767B-CE7D-4B9B-B1F3-BD34DFCA97C2}" srcOrd="1" destOrd="0" presId="urn:microsoft.com/office/officeart/2005/8/layout/list1"/>
    <dgm:cxn modelId="{22CBDC0A-FF50-41EF-B016-26F797B063D2}" type="presParOf" srcId="{62CC7509-6EFB-44CC-A04B-24055DB4980A}" destId="{035985AB-003D-4A86-B691-24D2FACF8ACC}" srcOrd="21" destOrd="0" presId="urn:microsoft.com/office/officeart/2005/8/layout/list1"/>
    <dgm:cxn modelId="{313A1F67-3D45-42D0-866D-7F81F27EAAC6}" type="presParOf" srcId="{62CC7509-6EFB-44CC-A04B-24055DB4980A}" destId="{57BD6B5F-B374-42FB-A45E-9A51FCA90F2B}" srcOrd="2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9BCCC4-8EB2-4D2F-AC54-D8A46FB7030A}">
      <dsp:nvSpPr>
        <dsp:cNvPr id="0" name=""/>
        <dsp:cNvSpPr/>
      </dsp:nvSpPr>
      <dsp:spPr>
        <a:xfrm flipV="1">
          <a:off x="0" y="465159"/>
          <a:ext cx="6225540" cy="168362"/>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DB3CBF9D-AB7A-45B8-A802-ECBE546DC24E}">
      <dsp:nvSpPr>
        <dsp:cNvPr id="0" name=""/>
        <dsp:cNvSpPr/>
      </dsp:nvSpPr>
      <dsp:spPr>
        <a:xfrm>
          <a:off x="311277" y="96832"/>
          <a:ext cx="4357878" cy="530686"/>
        </a:xfrm>
        <a:prstGeom prst="roundRect">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4717" tIns="0" rIns="164717" bIns="0" numCol="1" spcCol="1270" anchor="ctr"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Aspirations to go Abroad</a:t>
          </a:r>
        </a:p>
      </dsp:txBody>
      <dsp:txXfrm>
        <a:off x="337183" y="122738"/>
        <a:ext cx="4306066" cy="478874"/>
      </dsp:txXfrm>
    </dsp:sp>
    <dsp:sp modelId="{D0EE0FB8-20F0-4C09-8473-DDBFB2EFCD52}">
      <dsp:nvSpPr>
        <dsp:cNvPr id="0" name=""/>
        <dsp:cNvSpPr/>
      </dsp:nvSpPr>
      <dsp:spPr>
        <a:xfrm>
          <a:off x="0" y="921967"/>
          <a:ext cx="6225540" cy="277200"/>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4E7A068E-3C71-4A55-A863-994E2B0A41CB}">
      <dsp:nvSpPr>
        <dsp:cNvPr id="0" name=""/>
        <dsp:cNvSpPr/>
      </dsp:nvSpPr>
      <dsp:spPr>
        <a:xfrm>
          <a:off x="311277" y="692922"/>
          <a:ext cx="4357878" cy="391404"/>
        </a:xfrm>
        <a:prstGeom prst="roundRect">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4717" tIns="0" rIns="164717" bIns="0" numCol="1" spcCol="1270" anchor="ctr"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Financial Capacity and Budget Allocations</a:t>
          </a:r>
        </a:p>
      </dsp:txBody>
      <dsp:txXfrm>
        <a:off x="330384" y="712029"/>
        <a:ext cx="4319664" cy="353190"/>
      </dsp:txXfrm>
    </dsp:sp>
    <dsp:sp modelId="{1366F6C5-F6B5-47FE-8700-06E17B03B60C}">
      <dsp:nvSpPr>
        <dsp:cNvPr id="0" name=""/>
        <dsp:cNvSpPr/>
      </dsp:nvSpPr>
      <dsp:spPr>
        <a:xfrm>
          <a:off x="0" y="1420927"/>
          <a:ext cx="6225540" cy="277200"/>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1414C8E1-11B6-46A8-9249-7042824C4E36}">
      <dsp:nvSpPr>
        <dsp:cNvPr id="0" name=""/>
        <dsp:cNvSpPr/>
      </dsp:nvSpPr>
      <dsp:spPr>
        <a:xfrm>
          <a:off x="311277" y="1258567"/>
          <a:ext cx="4357878" cy="324720"/>
        </a:xfrm>
        <a:prstGeom prst="roundRect">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4717" tIns="0" rIns="164717" bIns="0" numCol="1" spcCol="1270" anchor="ctr"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Family Support</a:t>
          </a:r>
        </a:p>
      </dsp:txBody>
      <dsp:txXfrm>
        <a:off x="327129" y="1274419"/>
        <a:ext cx="4326174" cy="293016"/>
      </dsp:txXfrm>
    </dsp:sp>
    <dsp:sp modelId="{28875960-0494-4315-88FD-FF05E52A6828}">
      <dsp:nvSpPr>
        <dsp:cNvPr id="0" name=""/>
        <dsp:cNvSpPr/>
      </dsp:nvSpPr>
      <dsp:spPr>
        <a:xfrm>
          <a:off x="0" y="1919887"/>
          <a:ext cx="6225540" cy="277200"/>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BDC42047-A084-4147-BAEC-C4EE6E222FCA}">
      <dsp:nvSpPr>
        <dsp:cNvPr id="0" name=""/>
        <dsp:cNvSpPr/>
      </dsp:nvSpPr>
      <dsp:spPr>
        <a:xfrm>
          <a:off x="311277" y="1757527"/>
          <a:ext cx="4357878" cy="324720"/>
        </a:xfrm>
        <a:prstGeom prst="roundRect">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4717" tIns="0" rIns="164717" bIns="0" numCol="1" spcCol="1270" anchor="ctr"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Migration Challanges (Language Barriers, Technical Skills, Employment Struggles)</a:t>
          </a:r>
        </a:p>
      </dsp:txBody>
      <dsp:txXfrm>
        <a:off x="327129" y="1773379"/>
        <a:ext cx="4326174" cy="293016"/>
      </dsp:txXfrm>
    </dsp:sp>
    <dsp:sp modelId="{972DC804-D2A8-4CD3-8CF4-9F2C0F5C2D2C}">
      <dsp:nvSpPr>
        <dsp:cNvPr id="0" name=""/>
        <dsp:cNvSpPr/>
      </dsp:nvSpPr>
      <dsp:spPr>
        <a:xfrm>
          <a:off x="0" y="2418847"/>
          <a:ext cx="6225540" cy="277200"/>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EB1026AA-852B-46F8-B495-E34BFD017A3A}">
      <dsp:nvSpPr>
        <dsp:cNvPr id="0" name=""/>
        <dsp:cNvSpPr/>
      </dsp:nvSpPr>
      <dsp:spPr>
        <a:xfrm>
          <a:off x="311277" y="2256487"/>
          <a:ext cx="4357878" cy="324720"/>
        </a:xfrm>
        <a:prstGeom prst="roundRect">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4717" tIns="0" rIns="164717" bIns="0" numCol="1" spcCol="1270" anchor="ctr"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Policy  Recommendations (Government initiatives, loan Access, Student Support Systems)</a:t>
          </a:r>
        </a:p>
      </dsp:txBody>
      <dsp:txXfrm>
        <a:off x="327129" y="2272339"/>
        <a:ext cx="4326174" cy="293016"/>
      </dsp:txXfrm>
    </dsp:sp>
    <dsp:sp modelId="{57BD6B5F-B374-42FB-A45E-9A51FCA90F2B}">
      <dsp:nvSpPr>
        <dsp:cNvPr id="0" name=""/>
        <dsp:cNvSpPr/>
      </dsp:nvSpPr>
      <dsp:spPr>
        <a:xfrm>
          <a:off x="0" y="2917807"/>
          <a:ext cx="6225540" cy="277200"/>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6E0767B-CE7D-4B9B-B1F3-BD34DFCA97C2}">
      <dsp:nvSpPr>
        <dsp:cNvPr id="0" name=""/>
        <dsp:cNvSpPr/>
      </dsp:nvSpPr>
      <dsp:spPr>
        <a:xfrm>
          <a:off x="311277" y="2755447"/>
          <a:ext cx="4357878" cy="324720"/>
        </a:xfrm>
        <a:prstGeom prst="roundRect">
          <a:avLst/>
        </a:prstGeom>
        <a:solidFill>
          <a:schemeClr val="lt1"/>
        </a:solidFill>
        <a:ln w="12700" cap="flat" cmpd="sng" algn="ctr">
          <a:solidFill>
            <a:schemeClr val="accent3"/>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164717" tIns="0" rIns="164717" bIns="0" numCol="1" spcCol="1270" anchor="ctr"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Educational Success (Carrer opportunities, Financial Stability)</a:t>
          </a:r>
        </a:p>
      </dsp:txBody>
      <dsp:txXfrm>
        <a:off x="327129" y="2771299"/>
        <a:ext cx="4326174"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3234-AEB3-4045-8E7C-26D5079A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20</Pages>
  <Words>8761</Words>
  <Characters>49941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Prosenjit Deb</dc:creator>
  <cp:keywords/>
  <dc:description/>
  <cp:lastModifiedBy>Editor-90</cp:lastModifiedBy>
  <cp:revision>69</cp:revision>
  <dcterms:created xsi:type="dcterms:W3CDTF">2025-06-01T19:24:00Z</dcterms:created>
  <dcterms:modified xsi:type="dcterms:W3CDTF">2025-06-05T11:21:00Z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f01eaa32ad5091b84083dd3b08af79c4d6807cde729f9fc8c79c030d8b5cda02</vt:lpwstr>
  </property>
</Properties>
</file>