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4554" w14:textId="77777777" w:rsidR="00754C9A" w:rsidRDefault="00754C9A" w:rsidP="00441B6F">
      <w:pPr>
        <w:pStyle w:val="Title"/>
        <w:spacing w:after="0"/>
        <w:jc w:val="both"/>
        <w:rPr>
          <w:rFonts w:ascii="Arial" w:hAnsi="Arial" w:cs="Arial"/>
        </w:rPr>
      </w:pPr>
    </w:p>
    <w:p w14:paraId="337B9D01" w14:textId="77777777" w:rsidR="00163BC4" w:rsidRPr="00AE0E46" w:rsidRDefault="00853058" w:rsidP="00441B6F">
      <w:pPr>
        <w:pStyle w:val="Author"/>
        <w:spacing w:line="240" w:lineRule="auto"/>
        <w:rPr>
          <w:rFonts w:ascii="Arial" w:hAnsi="Arial" w:cs="Arial"/>
          <w:bCs/>
          <w:iCs/>
          <w:kern w:val="28"/>
          <w:sz w:val="36"/>
        </w:rPr>
      </w:pPr>
      <w:r w:rsidRPr="00AE0E46">
        <w:rPr>
          <w:rFonts w:ascii="Arial" w:hAnsi="Arial" w:cs="Arial"/>
          <w:bCs/>
          <w:iCs/>
          <w:kern w:val="28"/>
          <w:sz w:val="36"/>
        </w:rPr>
        <w:t xml:space="preserve">Response of seed quality parameters to seed soaking treatments with plant growth regulators in French </w:t>
      </w:r>
      <w:r w:rsidR="00F614F8" w:rsidRPr="00AE0E46">
        <w:rPr>
          <w:rFonts w:ascii="Arial" w:hAnsi="Arial" w:cs="Arial"/>
          <w:bCs/>
          <w:iCs/>
          <w:kern w:val="28"/>
          <w:sz w:val="36"/>
        </w:rPr>
        <w:t>bean</w:t>
      </w:r>
      <w:r w:rsidR="00F614F8">
        <w:rPr>
          <w:rFonts w:ascii="Arial" w:hAnsi="Arial" w:cs="Arial"/>
          <w:bCs/>
          <w:iCs/>
          <w:kern w:val="28"/>
          <w:sz w:val="36"/>
        </w:rPr>
        <w:t xml:space="preserve"> (</w:t>
      </w:r>
      <w:r w:rsidR="00F614F8" w:rsidRPr="00F614F8">
        <w:rPr>
          <w:rFonts w:ascii="Arial" w:hAnsi="Arial" w:cs="Arial"/>
          <w:bCs/>
          <w:i/>
          <w:iCs/>
          <w:kern w:val="28"/>
          <w:sz w:val="36"/>
        </w:rPr>
        <w:t xml:space="preserve">Phaseolus vulgaris </w:t>
      </w:r>
      <w:r w:rsidR="00F614F8" w:rsidRPr="00F614F8">
        <w:rPr>
          <w:rFonts w:ascii="Arial" w:hAnsi="Arial" w:cs="Arial"/>
          <w:bCs/>
          <w:iCs/>
          <w:kern w:val="28"/>
          <w:sz w:val="36"/>
        </w:rPr>
        <w:t>L.</w:t>
      </w:r>
      <w:r w:rsidR="00F614F8">
        <w:rPr>
          <w:rFonts w:ascii="Arial" w:hAnsi="Arial" w:cs="Arial"/>
          <w:bCs/>
          <w:iCs/>
          <w:kern w:val="28"/>
          <w:sz w:val="36"/>
        </w:rPr>
        <w:t>)</w:t>
      </w:r>
    </w:p>
    <w:p w14:paraId="28430203" w14:textId="77777777" w:rsidR="00A258C3" w:rsidRPr="00790ADA" w:rsidRDefault="00A258C3" w:rsidP="00441B6F">
      <w:pPr>
        <w:pStyle w:val="Author"/>
        <w:spacing w:line="240" w:lineRule="auto"/>
        <w:jc w:val="both"/>
        <w:rPr>
          <w:rFonts w:ascii="Arial" w:hAnsi="Arial" w:cs="Arial"/>
          <w:sz w:val="36"/>
        </w:rPr>
      </w:pPr>
    </w:p>
    <w:p w14:paraId="2DB0EDFB" w14:textId="77777777" w:rsidR="002C57D2" w:rsidRPr="00FB3A86" w:rsidRDefault="002C57D2" w:rsidP="00441B6F">
      <w:pPr>
        <w:pStyle w:val="Affiliation"/>
        <w:spacing w:after="0" w:line="240" w:lineRule="auto"/>
        <w:jc w:val="both"/>
        <w:rPr>
          <w:rFonts w:ascii="Arial" w:hAnsi="Arial" w:cs="Arial"/>
        </w:rPr>
      </w:pPr>
    </w:p>
    <w:p w14:paraId="77A67532" w14:textId="77777777" w:rsidR="00B01FCD" w:rsidRPr="00FB3A86" w:rsidRDefault="00000000" w:rsidP="00441B6F">
      <w:pPr>
        <w:pStyle w:val="Copyright"/>
        <w:spacing w:after="0" w:line="240" w:lineRule="auto"/>
        <w:jc w:val="both"/>
        <w:rPr>
          <w:rFonts w:ascii="Arial" w:hAnsi="Arial" w:cs="Arial"/>
        </w:rPr>
        <w:sectPr w:rsidR="00B01FCD" w:rsidRPr="00FB3A86" w:rsidSect="00FB5F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B2E15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EAF62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BF1FA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6B971A" w14:textId="77777777" w:rsidTr="001E44FE">
        <w:tc>
          <w:tcPr>
            <w:tcW w:w="9576" w:type="dxa"/>
            <w:shd w:val="clear" w:color="auto" w:fill="F2F2F2"/>
          </w:tcPr>
          <w:p w14:paraId="2D2C9321" w14:textId="77777777" w:rsidR="00E3114E" w:rsidRPr="00054A10" w:rsidRDefault="00E3114E" w:rsidP="00441B6F">
            <w:pPr>
              <w:pStyle w:val="Body"/>
              <w:spacing w:after="0"/>
              <w:rPr>
                <w:rFonts w:ascii="Arial" w:eastAsia="Calibri" w:hAnsi="Arial" w:cs="Arial"/>
                <w:szCs w:val="22"/>
              </w:rPr>
            </w:pPr>
          </w:p>
          <w:p w14:paraId="22151F7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54A10" w:rsidRPr="00054A10">
              <w:rPr>
                <w:rFonts w:ascii="Arial" w:eastAsia="Calibri" w:hAnsi="Arial" w:cs="Arial"/>
                <w:szCs w:val="22"/>
              </w:rPr>
              <w:t>Laboratory experiments were conducted to evaluate the influence of different concentrations of some plant growth regulators (GA</w:t>
            </w:r>
            <w:r w:rsidR="00054A10" w:rsidRPr="00054A10">
              <w:rPr>
                <w:rFonts w:ascii="Arial" w:eastAsia="Calibri" w:hAnsi="Arial" w:cs="Arial"/>
                <w:szCs w:val="22"/>
                <w:vertAlign w:val="subscript"/>
              </w:rPr>
              <w:t>3</w:t>
            </w:r>
            <w:r w:rsidR="00054A10" w:rsidRPr="00054A10">
              <w:rPr>
                <w:rFonts w:ascii="Arial" w:eastAsia="Calibri" w:hAnsi="Arial" w:cs="Arial"/>
                <w:szCs w:val="22"/>
              </w:rPr>
              <w:t xml:space="preserve"> and IAA) on seed quality parameters of French bean (</w:t>
            </w:r>
            <w:r w:rsidR="00054A10" w:rsidRPr="00054A10">
              <w:rPr>
                <w:rFonts w:ascii="Arial" w:eastAsia="Calibri" w:hAnsi="Arial" w:cs="Arial"/>
                <w:i/>
                <w:iCs/>
                <w:szCs w:val="22"/>
              </w:rPr>
              <w:t xml:space="preserve">Phaseolus vulgaris </w:t>
            </w:r>
            <w:r w:rsidR="00054A10" w:rsidRPr="00054A10">
              <w:rPr>
                <w:rFonts w:ascii="Arial" w:eastAsia="Calibri" w:hAnsi="Arial" w:cs="Arial"/>
                <w:szCs w:val="22"/>
              </w:rPr>
              <w:t xml:space="preserve">L.). </w:t>
            </w:r>
          </w:p>
          <w:p w14:paraId="1F66220E" w14:textId="77777777" w:rsidR="00BA1B01" w:rsidRPr="003E57BD" w:rsidRDefault="00BA1B01" w:rsidP="00441B6F">
            <w:pPr>
              <w:pStyle w:val="Body"/>
              <w:spacing w:after="0"/>
              <w:rPr>
                <w:rFonts w:ascii="Arial" w:eastAsia="Calibri" w:hAnsi="Arial" w:cs="Arial"/>
                <w:color w:val="FF0000"/>
                <w:szCs w:val="22"/>
              </w:rPr>
            </w:pPr>
            <w:r w:rsidRPr="00AA3079">
              <w:rPr>
                <w:rFonts w:ascii="Arial" w:eastAsia="Calibri" w:hAnsi="Arial" w:cs="Arial"/>
                <w:b/>
                <w:szCs w:val="22"/>
              </w:rPr>
              <w:t>Study design:</w:t>
            </w:r>
            <w:r w:rsidR="004F7A93">
              <w:rPr>
                <w:rFonts w:ascii="Arial" w:eastAsia="Calibri" w:hAnsi="Arial" w:cs="Arial"/>
                <w:b/>
                <w:szCs w:val="22"/>
              </w:rPr>
              <w:t xml:space="preserve"> </w:t>
            </w:r>
            <w:r w:rsidR="00AA3079" w:rsidRPr="003E57BD">
              <w:rPr>
                <w:rFonts w:ascii="Arial" w:eastAsia="Calibri" w:hAnsi="Arial" w:cs="Arial"/>
                <w:szCs w:val="22"/>
              </w:rPr>
              <w:t xml:space="preserve">The seeds of </w:t>
            </w:r>
            <w:r w:rsidR="00917169">
              <w:rPr>
                <w:rFonts w:ascii="Arial" w:eastAsia="Calibri" w:hAnsi="Arial" w:cs="Arial"/>
                <w:szCs w:val="22"/>
              </w:rPr>
              <w:t>‘</w:t>
            </w:r>
            <w:r w:rsidR="00AA3079" w:rsidRPr="003E57BD">
              <w:rPr>
                <w:rFonts w:ascii="Arial" w:eastAsia="Calibri" w:hAnsi="Arial" w:cs="Arial"/>
                <w:szCs w:val="22"/>
              </w:rPr>
              <w:t>Mahima</w:t>
            </w:r>
            <w:r w:rsidR="00917169">
              <w:rPr>
                <w:rFonts w:ascii="Arial" w:eastAsia="Calibri" w:hAnsi="Arial" w:cs="Arial"/>
                <w:szCs w:val="22"/>
              </w:rPr>
              <w:t>’</w:t>
            </w:r>
            <w:r w:rsidR="00AA3079" w:rsidRPr="003E57BD">
              <w:rPr>
                <w:rFonts w:ascii="Arial" w:eastAsia="Calibri" w:hAnsi="Arial" w:cs="Arial"/>
                <w:szCs w:val="22"/>
              </w:rPr>
              <w:t>, a local variety of French bean were treated for 3-hours duration with three replications in completely randomized design</w:t>
            </w:r>
            <w:r w:rsidR="00AA3079">
              <w:rPr>
                <w:rFonts w:ascii="Arial" w:eastAsia="Calibri" w:hAnsi="Arial" w:cs="Arial"/>
                <w:szCs w:val="22"/>
              </w:rPr>
              <w:t>.</w:t>
            </w:r>
          </w:p>
          <w:p w14:paraId="2C35418A" w14:textId="0B7A5F68" w:rsidR="00BA1B01" w:rsidRPr="003E57BD" w:rsidRDefault="00BA1B01" w:rsidP="00441B6F">
            <w:pPr>
              <w:pStyle w:val="Body"/>
              <w:spacing w:after="0"/>
              <w:rPr>
                <w:rFonts w:ascii="Arial" w:eastAsia="Calibri" w:hAnsi="Arial" w:cs="Arial"/>
                <w:color w:val="FF0000"/>
                <w:szCs w:val="22"/>
              </w:rPr>
            </w:pPr>
            <w:r w:rsidRPr="009B09F1">
              <w:rPr>
                <w:rFonts w:ascii="Arial" w:eastAsia="Calibri" w:hAnsi="Arial" w:cs="Arial"/>
                <w:b/>
                <w:szCs w:val="22"/>
              </w:rPr>
              <w:t>Place and Duration of Study:</w:t>
            </w:r>
            <w:r w:rsidR="004F7A93">
              <w:rPr>
                <w:rFonts w:ascii="Arial" w:eastAsia="Calibri" w:hAnsi="Arial" w:cs="Arial"/>
                <w:b/>
                <w:szCs w:val="22"/>
              </w:rPr>
              <w:t xml:space="preserve"> </w:t>
            </w:r>
            <w:r w:rsidR="009B09F1" w:rsidRPr="009B09F1">
              <w:rPr>
                <w:rFonts w:ascii="Arial" w:eastAsia="Calibri" w:hAnsi="Arial" w:cs="Arial"/>
                <w:szCs w:val="22"/>
              </w:rPr>
              <w:t>Investigation</w:t>
            </w:r>
            <w:r w:rsidR="004F7A93">
              <w:rPr>
                <w:rFonts w:ascii="Arial" w:eastAsia="Calibri" w:hAnsi="Arial" w:cs="Arial"/>
                <w:szCs w:val="22"/>
              </w:rPr>
              <w:t xml:space="preserve"> </w:t>
            </w:r>
            <w:r w:rsidR="005D39A7" w:rsidRPr="00C22D4B">
              <w:rPr>
                <w:rFonts w:ascii="Arial" w:hAnsi="Arial" w:cs="Arial"/>
              </w:rPr>
              <w:t>carried out at Department of Seed Science and Technology, Institute of Agricultural Science, University of Calcutta, during 2022-23</w:t>
            </w:r>
            <w:r w:rsidR="00E27388">
              <w:rPr>
                <w:rFonts w:ascii="Arial" w:hAnsi="Arial" w:cs="Arial"/>
              </w:rPr>
              <w:t>.</w:t>
            </w:r>
          </w:p>
          <w:p w14:paraId="1220056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D48FE">
              <w:rPr>
                <w:rFonts w:ascii="Arial" w:eastAsia="Calibri" w:hAnsi="Arial" w:cs="Arial"/>
                <w:b/>
                <w:bCs/>
                <w:szCs w:val="22"/>
              </w:rPr>
              <w:t xml:space="preserve"> </w:t>
            </w:r>
            <w:r w:rsidR="00AA3079" w:rsidRPr="00054A10">
              <w:rPr>
                <w:rFonts w:ascii="Arial" w:eastAsia="Calibri" w:hAnsi="Arial" w:cs="Arial"/>
                <w:szCs w:val="22"/>
              </w:rPr>
              <w:t>The GA</w:t>
            </w:r>
            <w:r w:rsidR="00AA3079" w:rsidRPr="00054A10">
              <w:rPr>
                <w:rFonts w:ascii="Arial" w:eastAsia="Calibri" w:hAnsi="Arial" w:cs="Arial"/>
                <w:szCs w:val="22"/>
                <w:vertAlign w:val="subscript"/>
              </w:rPr>
              <w:t>3</w:t>
            </w:r>
            <w:r w:rsidR="00AA3079" w:rsidRPr="00054A10">
              <w:rPr>
                <w:rFonts w:ascii="Arial" w:eastAsia="Calibri" w:hAnsi="Arial" w:cs="Arial"/>
                <w:szCs w:val="22"/>
              </w:rPr>
              <w:t xml:space="preserve"> and IAA were applied through seed soaking in aqueous solutions of</w:t>
            </w:r>
            <w:r w:rsidR="00AD48FE">
              <w:rPr>
                <w:rFonts w:ascii="Arial" w:eastAsia="Calibri" w:hAnsi="Arial" w:cs="Arial"/>
                <w:szCs w:val="22"/>
              </w:rPr>
              <w:t xml:space="preserve"> </w:t>
            </w:r>
            <w:r w:rsidR="004C68EF">
              <w:rPr>
                <w:rFonts w:ascii="Arial" w:eastAsia="Calibri" w:hAnsi="Arial" w:cs="Arial"/>
                <w:szCs w:val="22"/>
              </w:rPr>
              <w:t>25 ppm and</w:t>
            </w:r>
            <w:r w:rsidR="00AA3079" w:rsidRPr="00054A10">
              <w:rPr>
                <w:rFonts w:ascii="Arial" w:eastAsia="Calibri" w:hAnsi="Arial" w:cs="Arial"/>
                <w:szCs w:val="22"/>
              </w:rPr>
              <w:t xml:space="preserve"> 50 ppm</w:t>
            </w:r>
            <w:r w:rsidR="00F614F8">
              <w:rPr>
                <w:rFonts w:ascii="Arial" w:eastAsia="Calibri" w:hAnsi="Arial" w:cs="Arial"/>
                <w:szCs w:val="22"/>
              </w:rPr>
              <w:t xml:space="preserve"> concentrations</w:t>
            </w:r>
            <w:r w:rsidR="00AA3079" w:rsidRPr="00054A10">
              <w:rPr>
                <w:rFonts w:ascii="Arial" w:eastAsia="Calibri" w:hAnsi="Arial" w:cs="Arial"/>
                <w:szCs w:val="22"/>
              </w:rPr>
              <w:t xml:space="preserve"> and their </w:t>
            </w:r>
            <w:r w:rsidR="00AA3079" w:rsidRPr="00C82578">
              <w:rPr>
                <w:rFonts w:ascii="Arial" w:eastAsia="Calibri" w:hAnsi="Arial" w:cs="Arial"/>
                <w:szCs w:val="22"/>
              </w:rPr>
              <w:t>combinations</w:t>
            </w:r>
            <w:r w:rsidR="00AD48FE" w:rsidRPr="00C82578">
              <w:rPr>
                <w:rFonts w:ascii="Arial" w:eastAsia="Calibri" w:hAnsi="Arial" w:cs="Arial"/>
                <w:szCs w:val="22"/>
              </w:rPr>
              <w:t xml:space="preserve"> </w:t>
            </w:r>
            <w:r w:rsidR="003E57BD" w:rsidRPr="00C82578">
              <w:rPr>
                <w:rFonts w:ascii="Arial" w:eastAsia="Calibri" w:hAnsi="Arial" w:cs="Arial"/>
                <w:szCs w:val="22"/>
              </w:rPr>
              <w:t xml:space="preserve">and standard germination test was carried out </w:t>
            </w:r>
            <w:r w:rsidR="00AD48FE" w:rsidRPr="00C82578">
              <w:rPr>
                <w:rFonts w:ascii="Arial" w:eastAsia="Calibri" w:hAnsi="Arial" w:cs="Arial"/>
                <w:szCs w:val="22"/>
              </w:rPr>
              <w:t>under controlled condition</w:t>
            </w:r>
            <w:r w:rsidR="003E57BD" w:rsidRPr="00C82578">
              <w:rPr>
                <w:rFonts w:ascii="Arial" w:eastAsia="Calibri" w:hAnsi="Arial" w:cs="Arial"/>
                <w:szCs w:val="22"/>
              </w:rPr>
              <w:t>.</w:t>
            </w:r>
            <w:r w:rsidR="003E57BD" w:rsidRPr="003E57BD">
              <w:rPr>
                <w:rFonts w:ascii="Arial" w:eastAsia="Calibri" w:hAnsi="Arial" w:cs="Arial"/>
                <w:szCs w:val="22"/>
              </w:rPr>
              <w:t xml:space="preserve"> </w:t>
            </w:r>
            <w:r w:rsidR="003E57BD" w:rsidRPr="003E57BD">
              <w:rPr>
                <w:rFonts w:ascii="Arial" w:eastAsia="Calibri" w:hAnsi="Arial" w:cs="Arial"/>
                <w:iCs/>
                <w:szCs w:val="22"/>
              </w:rPr>
              <w:t>Observations were recorded on the date of final count (9</w:t>
            </w:r>
            <w:r w:rsidR="003E57BD" w:rsidRPr="003E57BD">
              <w:rPr>
                <w:rFonts w:ascii="Arial" w:eastAsia="Calibri" w:hAnsi="Arial" w:cs="Arial"/>
                <w:iCs/>
                <w:szCs w:val="22"/>
                <w:vertAlign w:val="superscript"/>
              </w:rPr>
              <w:t>th</w:t>
            </w:r>
            <w:r w:rsidR="003E57BD" w:rsidRPr="003E57BD">
              <w:rPr>
                <w:rFonts w:ascii="Arial" w:eastAsia="Calibri" w:hAnsi="Arial" w:cs="Arial"/>
                <w:iCs/>
                <w:szCs w:val="22"/>
              </w:rPr>
              <w:t xml:space="preserve"> day).</w:t>
            </w:r>
          </w:p>
          <w:p w14:paraId="717D0C93" w14:textId="2437C27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4F7A93">
              <w:rPr>
                <w:rFonts w:ascii="Arial" w:eastAsia="Calibri" w:hAnsi="Arial" w:cs="Arial"/>
                <w:b/>
                <w:bCs/>
                <w:szCs w:val="22"/>
              </w:rPr>
              <w:t xml:space="preserve"> </w:t>
            </w:r>
            <w:r w:rsidR="003E57BD" w:rsidRPr="003E57BD">
              <w:rPr>
                <w:rFonts w:ascii="Arial" w:eastAsia="Calibri" w:hAnsi="Arial" w:cs="Arial"/>
                <w:iCs/>
                <w:szCs w:val="22"/>
              </w:rPr>
              <w:t xml:space="preserve">The treatment of </w:t>
            </w:r>
            <w:r w:rsidR="003E57BD" w:rsidRPr="003E57BD">
              <w:rPr>
                <w:rFonts w:ascii="Arial" w:eastAsia="Calibri" w:hAnsi="Arial" w:cs="Arial"/>
                <w:szCs w:val="22"/>
              </w:rPr>
              <w:t>GA</w:t>
            </w:r>
            <w:r w:rsidR="003E57BD" w:rsidRPr="003E57BD">
              <w:rPr>
                <w:rFonts w:ascii="Arial" w:eastAsia="Calibri" w:hAnsi="Arial" w:cs="Arial"/>
                <w:szCs w:val="22"/>
                <w:vertAlign w:val="subscript"/>
              </w:rPr>
              <w:t>3</w:t>
            </w:r>
            <w:r w:rsidR="003E57BD" w:rsidRPr="003E57BD">
              <w:rPr>
                <w:rFonts w:ascii="Arial" w:eastAsia="Calibri" w:hAnsi="Arial" w:cs="Arial"/>
                <w:iCs/>
                <w:szCs w:val="22"/>
              </w:rPr>
              <w:t xml:space="preserve"> @ 50 ppm (T</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was found to be significantly superior in all the </w:t>
            </w:r>
            <w:r w:rsidR="003E2D73">
              <w:rPr>
                <w:rFonts w:ascii="Arial" w:eastAsia="Calibri" w:hAnsi="Arial" w:cs="Arial"/>
                <w:iCs/>
                <w:szCs w:val="22"/>
              </w:rPr>
              <w:t>seed quality parameter</w:t>
            </w:r>
            <w:r w:rsidR="003E57BD" w:rsidRPr="003E57BD">
              <w:rPr>
                <w:rFonts w:ascii="Arial" w:eastAsia="Calibri" w:hAnsi="Arial" w:cs="Arial"/>
                <w:iCs/>
                <w:szCs w:val="22"/>
              </w:rPr>
              <w:t xml:space="preserve"> asses</w:t>
            </w:r>
            <w:r w:rsidR="003E2D73">
              <w:rPr>
                <w:rFonts w:ascii="Arial" w:eastAsia="Calibri" w:hAnsi="Arial" w:cs="Arial"/>
                <w:iCs/>
                <w:szCs w:val="22"/>
              </w:rPr>
              <w:t>sed</w:t>
            </w:r>
            <w:r w:rsidR="004F7A93">
              <w:rPr>
                <w:rFonts w:ascii="Arial" w:eastAsia="Calibri" w:hAnsi="Arial" w:cs="Arial"/>
                <w:iCs/>
                <w:szCs w:val="22"/>
              </w:rPr>
              <w:t xml:space="preserve"> </w:t>
            </w:r>
            <w:r w:rsidR="003E57BD" w:rsidRPr="003E57BD">
              <w:rPr>
                <w:rFonts w:ascii="Arial" w:eastAsia="Calibri" w:hAnsi="Arial" w:cs="Arial"/>
                <w:i/>
                <w:iCs/>
                <w:szCs w:val="22"/>
              </w:rPr>
              <w:t>viz.</w:t>
            </w:r>
            <w:r w:rsidR="003E57BD" w:rsidRPr="003E57BD">
              <w:rPr>
                <w:rFonts w:ascii="Arial" w:eastAsia="Calibri" w:hAnsi="Arial" w:cs="Arial"/>
                <w:iCs/>
                <w:szCs w:val="22"/>
              </w:rPr>
              <w:t>,</w:t>
            </w:r>
            <w:r w:rsidR="004F7A93">
              <w:rPr>
                <w:rFonts w:ascii="Arial" w:eastAsia="Calibri" w:hAnsi="Arial" w:cs="Arial"/>
                <w:iCs/>
                <w:szCs w:val="22"/>
              </w:rPr>
              <w:t xml:space="preserve"> </w:t>
            </w:r>
            <w:r w:rsidR="003E57BD" w:rsidRPr="003E57BD">
              <w:rPr>
                <w:rFonts w:ascii="Arial" w:eastAsia="Calibri" w:hAnsi="Arial" w:cs="Arial"/>
                <w:iCs/>
                <w:szCs w:val="22"/>
              </w:rPr>
              <w:t xml:space="preserve">germination (93.33 %), shoot length (24.767 cm), root length (14.367 cm), seedling length (39.133 cm), fresh weight (12.580 g), dry weight (1.230 g), vigour index-I (3652.314) </w:t>
            </w:r>
            <w:r w:rsidR="003E2D73">
              <w:rPr>
                <w:rFonts w:ascii="Arial" w:eastAsia="Calibri" w:hAnsi="Arial" w:cs="Arial"/>
                <w:iCs/>
                <w:szCs w:val="22"/>
              </w:rPr>
              <w:t>and</w:t>
            </w:r>
            <w:r w:rsidR="003E57BD" w:rsidRPr="003E57BD">
              <w:rPr>
                <w:rFonts w:ascii="Arial" w:eastAsia="Calibri" w:hAnsi="Arial" w:cs="Arial"/>
                <w:iCs/>
                <w:szCs w:val="22"/>
              </w:rPr>
              <w:t xml:space="preserve"> vigour index-II (114.827)</w:t>
            </w:r>
            <w:r w:rsidR="003E2D73">
              <w:rPr>
                <w:rFonts w:ascii="Arial" w:eastAsia="Calibri" w:hAnsi="Arial" w:cs="Arial"/>
                <w:iCs/>
                <w:szCs w:val="22"/>
              </w:rPr>
              <w:t>. The</w:t>
            </w:r>
            <w:r w:rsidR="003E57BD" w:rsidRPr="003E57BD">
              <w:rPr>
                <w:rFonts w:ascii="Arial" w:eastAsia="Calibri" w:hAnsi="Arial" w:cs="Arial"/>
                <w:iCs/>
                <w:szCs w:val="22"/>
              </w:rPr>
              <w:t xml:space="preserve"> minimum parameters were recorded in control (T</w:t>
            </w:r>
            <w:r w:rsidR="003E57BD" w:rsidRPr="003E57BD">
              <w:rPr>
                <w:rFonts w:ascii="Arial" w:eastAsia="Calibri" w:hAnsi="Arial" w:cs="Arial"/>
                <w:iCs/>
                <w:szCs w:val="22"/>
                <w:vertAlign w:val="subscript"/>
              </w:rPr>
              <w:t>1</w:t>
            </w:r>
            <w:r w:rsidR="003E57BD" w:rsidRPr="003E57BD">
              <w:rPr>
                <w:rFonts w:ascii="Arial" w:eastAsia="Calibri" w:hAnsi="Arial" w:cs="Arial"/>
                <w:iCs/>
                <w:szCs w:val="22"/>
              </w:rPr>
              <w:t>). However, in case of germination and root length T</w:t>
            </w:r>
            <w:r w:rsidR="003E57BD" w:rsidRPr="003E57BD">
              <w:rPr>
                <w:rFonts w:ascii="Arial" w:eastAsia="Calibri" w:hAnsi="Arial" w:cs="Arial"/>
                <w:iCs/>
                <w:szCs w:val="22"/>
                <w:vertAlign w:val="subscript"/>
              </w:rPr>
              <w:t>3</w:t>
            </w:r>
            <w:r w:rsidR="00593194">
              <w:rPr>
                <w:rFonts w:ascii="Arial" w:eastAsia="Calibri" w:hAnsi="Arial" w:cs="Arial"/>
                <w:iCs/>
                <w:szCs w:val="22"/>
                <w:vertAlign w:val="subscript"/>
              </w:rPr>
              <w:t xml:space="preserve"> </w:t>
            </w:r>
            <w:r w:rsidR="003E2D73">
              <w:rPr>
                <w:rFonts w:ascii="Arial" w:eastAsia="Calibri" w:hAnsi="Arial" w:cs="Arial"/>
                <w:iCs/>
                <w:szCs w:val="22"/>
              </w:rPr>
              <w:t>and</w:t>
            </w:r>
            <w:r w:rsidR="003E57BD" w:rsidRPr="003E57BD">
              <w:rPr>
                <w:rFonts w:ascii="Arial" w:eastAsia="Calibri" w:hAnsi="Arial" w:cs="Arial"/>
                <w:iCs/>
                <w:szCs w:val="22"/>
              </w:rPr>
              <w:t xml:space="preserve"> T</w:t>
            </w:r>
            <w:r w:rsidR="003E57BD" w:rsidRPr="003E57BD">
              <w:rPr>
                <w:rFonts w:ascii="Arial" w:eastAsia="Calibri" w:hAnsi="Arial" w:cs="Arial"/>
                <w:iCs/>
                <w:szCs w:val="22"/>
                <w:vertAlign w:val="subscript"/>
              </w:rPr>
              <w:t>2</w:t>
            </w:r>
            <w:r w:rsidR="003E57BD" w:rsidRPr="003E57BD">
              <w:rPr>
                <w:rFonts w:ascii="Arial" w:eastAsia="Calibri" w:hAnsi="Arial" w:cs="Arial"/>
                <w:iCs/>
                <w:szCs w:val="22"/>
              </w:rPr>
              <w:t xml:space="preserve"> (</w:t>
            </w:r>
            <w:r w:rsidR="003E2D73">
              <w:rPr>
                <w:rFonts w:ascii="Arial" w:eastAsia="Calibri" w:hAnsi="Arial" w:cs="Arial"/>
                <w:iCs/>
                <w:szCs w:val="22"/>
              </w:rPr>
              <w:t xml:space="preserve">25 ppm </w:t>
            </w:r>
            <w:r w:rsidR="003E57BD" w:rsidRPr="003E57BD">
              <w:rPr>
                <w:rFonts w:ascii="Arial" w:eastAsia="Calibri" w:hAnsi="Arial" w:cs="Arial"/>
                <w:iCs/>
                <w:szCs w:val="22"/>
              </w:rPr>
              <w:t>GA</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were found to be statistically at par. </w:t>
            </w:r>
            <w:r w:rsidR="003E57BD" w:rsidRPr="003E57BD">
              <w:rPr>
                <w:rFonts w:ascii="Arial" w:eastAsia="Calibri" w:hAnsi="Arial" w:cs="Arial"/>
                <w:szCs w:val="22"/>
              </w:rPr>
              <w:t>The findings revealed that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generally promoted better germination and vigour status of seed compared to the control and IAA tre</w:t>
            </w:r>
            <w:r w:rsidR="00AE0E46">
              <w:rPr>
                <w:rFonts w:ascii="Arial" w:eastAsia="Calibri" w:hAnsi="Arial" w:cs="Arial"/>
                <w:szCs w:val="22"/>
              </w:rPr>
              <w:t xml:space="preserve">atments. On the other hand, IAA treatments </w:t>
            </w:r>
            <w:r w:rsidR="003E57BD" w:rsidRPr="003E57BD">
              <w:rPr>
                <w:rFonts w:ascii="Arial" w:eastAsia="Calibri" w:hAnsi="Arial" w:cs="Arial"/>
                <w:szCs w:val="22"/>
              </w:rPr>
              <w:t>also exhibited significant enhancements compared to the control in most of</w:t>
            </w:r>
            <w:r w:rsidR="00AE0E46">
              <w:rPr>
                <w:rFonts w:ascii="Arial" w:eastAsia="Calibri" w:hAnsi="Arial" w:cs="Arial"/>
                <w:szCs w:val="22"/>
              </w:rPr>
              <w:t xml:space="preserve"> the measured parameters but were</w:t>
            </w:r>
            <w:r w:rsidR="003E57BD" w:rsidRPr="003E57BD">
              <w:rPr>
                <w:rFonts w:ascii="Arial" w:eastAsia="Calibri" w:hAnsi="Arial" w:cs="Arial"/>
                <w:szCs w:val="22"/>
              </w:rPr>
              <w:t xml:space="preserve"> inferior to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Combination of both the plant growth regulators also showed improved results over control.</w:t>
            </w:r>
          </w:p>
          <w:p w14:paraId="65584568"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EE14D7">
              <w:rPr>
                <w:rFonts w:ascii="Arial" w:eastAsia="Calibri" w:hAnsi="Arial" w:cs="Arial"/>
                <w:b/>
                <w:bCs/>
                <w:szCs w:val="22"/>
              </w:rPr>
              <w:t xml:space="preserve"> </w:t>
            </w:r>
            <w:r w:rsidR="003E57BD" w:rsidRPr="003E57BD">
              <w:rPr>
                <w:rFonts w:ascii="Arial" w:eastAsia="Calibri" w:hAnsi="Arial" w:cs="Arial"/>
                <w:szCs w:val="22"/>
              </w:rPr>
              <w:t>To sum up, this research underscores the preferential efficacy of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over IAA in augmenting seed quality parameters during seed soaking treatments in French beans. Furthermore, the vigour enhancement also forecasts the better production of the high quality French beans in field conditions as well.</w:t>
            </w:r>
          </w:p>
        </w:tc>
      </w:tr>
    </w:tbl>
    <w:p w14:paraId="68907EA2" w14:textId="77777777" w:rsidR="00636EB2" w:rsidRDefault="00636EB2" w:rsidP="00441B6F">
      <w:pPr>
        <w:pStyle w:val="Body"/>
        <w:spacing w:after="0"/>
        <w:rPr>
          <w:rFonts w:ascii="Arial" w:hAnsi="Arial" w:cs="Arial"/>
          <w:i/>
        </w:rPr>
      </w:pPr>
    </w:p>
    <w:p w14:paraId="0A5703EB" w14:textId="77777777" w:rsidR="00A24E7E" w:rsidRPr="00EB14FC" w:rsidRDefault="00EB14FC" w:rsidP="00441B6F">
      <w:pPr>
        <w:pStyle w:val="Body"/>
        <w:spacing w:after="0"/>
        <w:rPr>
          <w:rFonts w:ascii="Arial" w:hAnsi="Arial" w:cs="Arial"/>
          <w:i/>
        </w:rPr>
      </w:pPr>
      <w:r>
        <w:rPr>
          <w:rFonts w:ascii="Arial" w:hAnsi="Arial" w:cs="Arial"/>
          <w:i/>
        </w:rPr>
        <w:t>Keywords: French Bean; plant growth regulators; germination; vigour index.</w:t>
      </w:r>
    </w:p>
    <w:p w14:paraId="473DF389" w14:textId="77777777" w:rsidR="00790ADA" w:rsidRDefault="00790ADA" w:rsidP="00441B6F">
      <w:pPr>
        <w:pStyle w:val="Body"/>
        <w:spacing w:after="0"/>
        <w:rPr>
          <w:rFonts w:ascii="Arial" w:hAnsi="Arial" w:cs="Arial"/>
          <w:i/>
        </w:rPr>
      </w:pPr>
    </w:p>
    <w:p w14:paraId="2EB4AC35" w14:textId="77777777" w:rsidR="0024282C" w:rsidRDefault="0024282C" w:rsidP="00441B6F">
      <w:pPr>
        <w:pStyle w:val="Body"/>
        <w:spacing w:after="0"/>
        <w:rPr>
          <w:rFonts w:ascii="Arial" w:hAnsi="Arial" w:cs="Arial"/>
          <w:i/>
          <w:sz w:val="18"/>
        </w:rPr>
      </w:pPr>
    </w:p>
    <w:p w14:paraId="643F3422" w14:textId="77777777" w:rsidR="00505F06" w:rsidRPr="00A24E7E" w:rsidRDefault="00505F06" w:rsidP="00441B6F">
      <w:pPr>
        <w:pStyle w:val="Body"/>
        <w:spacing w:after="0"/>
        <w:rPr>
          <w:rFonts w:ascii="Arial" w:hAnsi="Arial" w:cs="Arial"/>
          <w:i/>
        </w:rPr>
      </w:pPr>
    </w:p>
    <w:p w14:paraId="67BFF61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517061" w14:textId="77777777" w:rsidR="00790ADA" w:rsidRPr="00FB3A86" w:rsidRDefault="00790ADA" w:rsidP="00441B6F">
      <w:pPr>
        <w:pStyle w:val="AbstHead"/>
        <w:spacing w:after="0"/>
        <w:jc w:val="both"/>
        <w:rPr>
          <w:rFonts w:ascii="Arial" w:hAnsi="Arial" w:cs="Arial"/>
        </w:rPr>
      </w:pPr>
    </w:p>
    <w:p w14:paraId="31511BC5" w14:textId="19BBF53E" w:rsidR="00790ADA" w:rsidRPr="00C22BBF" w:rsidRDefault="00160053" w:rsidP="00293478">
      <w:pPr>
        <w:pStyle w:val="Body"/>
        <w:spacing w:after="0"/>
        <w:rPr>
          <w:rFonts w:ascii="Arial" w:hAnsi="Arial" w:cs="Arial"/>
        </w:rPr>
      </w:pPr>
      <w:r w:rsidRPr="00160053">
        <w:rPr>
          <w:rFonts w:ascii="Arial" w:hAnsi="Arial" w:cs="Arial"/>
        </w:rPr>
        <w:t>French bean</w:t>
      </w:r>
      <w:r w:rsidR="00AF3307">
        <w:rPr>
          <w:rFonts w:ascii="Arial" w:hAnsi="Arial" w:cs="Arial"/>
        </w:rPr>
        <w:t xml:space="preserve"> (</w:t>
      </w:r>
      <w:r w:rsidR="00AF3307" w:rsidRPr="00C22D4B">
        <w:rPr>
          <w:rFonts w:ascii="Arial" w:hAnsi="Arial" w:cs="Arial"/>
          <w:i/>
          <w:iCs/>
        </w:rPr>
        <w:t xml:space="preserve">Phaseolus vulgaris </w:t>
      </w:r>
      <w:r w:rsidR="00AF3307" w:rsidRPr="00C22D4B">
        <w:rPr>
          <w:rFonts w:ascii="Arial" w:hAnsi="Arial" w:cs="Arial"/>
        </w:rPr>
        <w:t>L.)</w:t>
      </w:r>
      <w:r w:rsidRPr="00160053">
        <w:rPr>
          <w:rFonts w:ascii="Arial" w:hAnsi="Arial" w:cs="Arial"/>
        </w:rPr>
        <w:t xml:space="preserve"> a short duration leguminous vegetable crop is better known for its mature dry seeds as well as immature tender green pods </w:t>
      </w:r>
      <w:r w:rsidR="00E55401">
        <w:rPr>
          <w:rFonts w:ascii="Arial" w:hAnsi="Arial" w:cs="Arial"/>
        </w:rPr>
        <w:t>(Abate, 2006)</w:t>
      </w:r>
      <w:r w:rsidRPr="00160053">
        <w:rPr>
          <w:rFonts w:ascii="Arial" w:hAnsi="Arial" w:cs="Arial"/>
        </w:rPr>
        <w:t xml:space="preserve">. </w:t>
      </w:r>
      <w:r w:rsidR="00517281">
        <w:rPr>
          <w:rFonts w:ascii="Arial" w:hAnsi="Arial" w:cs="Arial"/>
        </w:rPr>
        <w:t>It’s dry seed contains 21.1 percent protein, 69.9 per</w:t>
      </w:r>
      <w:r w:rsidRPr="00160053">
        <w:rPr>
          <w:rFonts w:ascii="Arial" w:hAnsi="Arial" w:cs="Arial"/>
        </w:rPr>
        <w:t xml:space="preserve">cent carbohydrates, 1.7 percent fat, 381 mg calcium, 425 mg phosphorous and 12.4 mg iron per 100 g of edible part </w:t>
      </w:r>
      <w:r w:rsidR="00E55401">
        <w:rPr>
          <w:rFonts w:ascii="Arial" w:hAnsi="Arial" w:cs="Arial"/>
        </w:rPr>
        <w:t>(</w:t>
      </w:r>
      <w:r w:rsidR="00E55401">
        <w:rPr>
          <w:rFonts w:ascii="Arial" w:eastAsiaTheme="minorEastAsia" w:hAnsi="Arial" w:cs="Arial"/>
        </w:rPr>
        <w:t>Ali and</w:t>
      </w:r>
      <w:r w:rsidR="00CB0C27">
        <w:rPr>
          <w:rFonts w:ascii="Arial" w:eastAsiaTheme="minorEastAsia" w:hAnsi="Arial" w:cs="Arial"/>
        </w:rPr>
        <w:t xml:space="preserve"> </w:t>
      </w:r>
      <w:r w:rsidR="00E55401" w:rsidRPr="005D39A7">
        <w:rPr>
          <w:rFonts w:ascii="Arial" w:eastAsiaTheme="minorEastAsia" w:hAnsi="Arial" w:cs="Arial"/>
        </w:rPr>
        <w:t>Kushwaha</w:t>
      </w:r>
      <w:r w:rsidR="00E55401">
        <w:rPr>
          <w:rFonts w:ascii="Arial" w:eastAsiaTheme="minorEastAsia" w:hAnsi="Arial" w:cs="Arial"/>
        </w:rPr>
        <w:t xml:space="preserve">, </w:t>
      </w:r>
      <w:r w:rsidR="00E55401" w:rsidRPr="00C22BBF">
        <w:rPr>
          <w:rFonts w:ascii="Arial" w:eastAsiaTheme="minorEastAsia" w:hAnsi="Arial" w:cs="Arial"/>
        </w:rPr>
        <w:lastRenderedPageBreak/>
        <w:t>1987)</w:t>
      </w:r>
      <w:r w:rsidRPr="00C22BBF">
        <w:rPr>
          <w:rFonts w:ascii="Arial" w:hAnsi="Arial" w:cs="Arial"/>
        </w:rPr>
        <w:t>. French bean</w:t>
      </w:r>
      <w:r w:rsidR="00293478" w:rsidRPr="00C22BBF">
        <w:rPr>
          <w:rFonts w:ascii="Arial" w:hAnsi="Arial" w:cs="Arial"/>
        </w:rPr>
        <w:t xml:space="preserve"> is widely cultivated in the temperate and subtropical regions and also in many parts of the tropics</w:t>
      </w:r>
      <w:r w:rsidR="00593194" w:rsidRPr="00C22BBF">
        <w:rPr>
          <w:rFonts w:ascii="Arial" w:hAnsi="Arial" w:cs="Arial"/>
        </w:rPr>
        <w:t xml:space="preserve"> (Panda </w:t>
      </w:r>
      <w:r w:rsidR="00593194" w:rsidRPr="00C22BBF">
        <w:rPr>
          <w:rFonts w:ascii="Arial" w:hAnsi="Arial" w:cs="Arial"/>
          <w:i/>
          <w:iCs/>
        </w:rPr>
        <w:t>et al</w:t>
      </w:r>
      <w:r w:rsidR="00593194" w:rsidRPr="00C22BBF">
        <w:rPr>
          <w:rFonts w:ascii="Arial" w:hAnsi="Arial" w:cs="Arial"/>
        </w:rPr>
        <w:t>., 2023)</w:t>
      </w:r>
      <w:r w:rsidR="00293478" w:rsidRPr="00C22BBF">
        <w:rPr>
          <w:rFonts w:ascii="Arial" w:hAnsi="Arial" w:cs="Arial"/>
        </w:rPr>
        <w:t xml:space="preserve">. It is extensively grown commercially and also in the home garden (Barge </w:t>
      </w:r>
      <w:r w:rsidR="00293478" w:rsidRPr="00C22BBF">
        <w:rPr>
          <w:rFonts w:ascii="Arial" w:hAnsi="Arial" w:cs="Arial"/>
          <w:i/>
          <w:iCs/>
        </w:rPr>
        <w:t>et al</w:t>
      </w:r>
      <w:r w:rsidR="00293478" w:rsidRPr="00C22BBF">
        <w:rPr>
          <w:rFonts w:ascii="Arial" w:hAnsi="Arial" w:cs="Arial"/>
        </w:rPr>
        <w:t>., 2022)</w:t>
      </w:r>
      <w:r w:rsidR="00593194" w:rsidRPr="00C22BBF">
        <w:rPr>
          <w:rFonts w:ascii="Arial" w:hAnsi="Arial" w:cs="Arial"/>
        </w:rPr>
        <w:t>.</w:t>
      </w:r>
      <w:r w:rsidRPr="00C22BBF">
        <w:rPr>
          <w:rFonts w:ascii="Arial" w:hAnsi="Arial" w:cs="Arial"/>
        </w:rPr>
        <w:t xml:space="preserve"> </w:t>
      </w:r>
      <w:r w:rsidR="00293478" w:rsidRPr="00C22BBF">
        <w:rPr>
          <w:rFonts w:ascii="Arial" w:hAnsi="Arial" w:cs="Arial"/>
        </w:rPr>
        <w:t xml:space="preserve">It </w:t>
      </w:r>
      <w:r w:rsidRPr="00C22BBF">
        <w:rPr>
          <w:rFonts w:ascii="Arial" w:hAnsi="Arial" w:cs="Arial"/>
        </w:rPr>
        <w:t xml:space="preserve">occupies special importance in terms of production, acreage and economic return among all the vegetables grown in New Alluvial zone of West Bengal. But non-application of adequate nutrients prevents the farmers for getting desired yield from this vegetable. According to Banerjee </w:t>
      </w:r>
      <w:r w:rsidR="00E55401" w:rsidRPr="00C22BBF">
        <w:rPr>
          <w:rFonts w:ascii="Arial" w:hAnsi="Arial" w:cs="Arial"/>
        </w:rPr>
        <w:t>(1984), very less</w:t>
      </w:r>
      <w:r w:rsidRPr="00C22BBF">
        <w:rPr>
          <w:rFonts w:ascii="Arial" w:hAnsi="Arial" w:cs="Arial"/>
        </w:rPr>
        <w:t xml:space="preserve"> of our fields are sown in quality seed and the remaining areas are covered by seed produced by farmers, bulk of which is without any form of quality control. He also reported that by using quality seeds, yield could be increased substantially </w:t>
      </w:r>
      <w:r w:rsidR="00E55401" w:rsidRPr="00C22BBF">
        <w:rPr>
          <w:rFonts w:ascii="Arial" w:hAnsi="Arial" w:cs="Arial"/>
        </w:rPr>
        <w:t>(</w:t>
      </w:r>
      <w:r w:rsidR="00E55401" w:rsidRPr="00C22BBF">
        <w:rPr>
          <w:rFonts w:ascii="Arial" w:eastAsiaTheme="minorEastAsia" w:hAnsi="Arial" w:cs="Arial"/>
        </w:rPr>
        <w:t>Banerjee</w:t>
      </w:r>
      <w:r w:rsidR="00517281" w:rsidRPr="00C22BBF">
        <w:rPr>
          <w:rFonts w:ascii="Arial" w:eastAsiaTheme="minorEastAsia" w:hAnsi="Arial" w:cs="Arial"/>
        </w:rPr>
        <w:t xml:space="preserve"> </w:t>
      </w:r>
      <w:r w:rsidR="00E55401" w:rsidRPr="00C22BBF">
        <w:rPr>
          <w:rFonts w:ascii="Arial" w:eastAsiaTheme="minorEastAsia" w:hAnsi="Arial" w:cs="Arial"/>
          <w:i/>
        </w:rPr>
        <w:t>et</w:t>
      </w:r>
      <w:r w:rsidR="00517281" w:rsidRPr="00C22BBF">
        <w:rPr>
          <w:rFonts w:ascii="Arial" w:eastAsiaTheme="minorEastAsia" w:hAnsi="Arial" w:cs="Arial"/>
          <w:i/>
        </w:rPr>
        <w:t xml:space="preserve"> </w:t>
      </w:r>
      <w:r w:rsidR="00E55401" w:rsidRPr="00C22BBF">
        <w:rPr>
          <w:rFonts w:ascii="Arial" w:hAnsi="Arial" w:cs="Arial"/>
          <w:i/>
        </w:rPr>
        <w:t>al</w:t>
      </w:r>
      <w:r w:rsidR="00AE0E46" w:rsidRPr="00C22BBF">
        <w:rPr>
          <w:rFonts w:ascii="Arial" w:hAnsi="Arial" w:cs="Arial"/>
          <w:i/>
        </w:rPr>
        <w:t>.</w:t>
      </w:r>
      <w:r w:rsidR="00E55401" w:rsidRPr="00C22BBF">
        <w:rPr>
          <w:rFonts w:ascii="Arial" w:hAnsi="Arial" w:cs="Arial"/>
        </w:rPr>
        <w:t>, 1984)</w:t>
      </w:r>
      <w:r w:rsidR="00782793" w:rsidRPr="00C22BBF">
        <w:rPr>
          <w:rFonts w:ascii="Arial" w:hAnsi="Arial" w:cs="Arial"/>
        </w:rPr>
        <w:t>.</w:t>
      </w:r>
      <w:r w:rsidRPr="00C22BBF">
        <w:rPr>
          <w:rFonts w:ascii="Arial" w:hAnsi="Arial" w:cs="Arial"/>
        </w:rPr>
        <w:t xml:space="preserve"> </w:t>
      </w:r>
      <w:r w:rsidR="001A1EF6" w:rsidRPr="00C22BBF">
        <w:rPr>
          <w:rFonts w:ascii="Arial" w:hAnsi="Arial" w:cs="Arial"/>
        </w:rPr>
        <w:t>P</w:t>
      </w:r>
      <w:r w:rsidRPr="00C22BBF">
        <w:rPr>
          <w:rFonts w:ascii="Arial" w:hAnsi="Arial" w:cs="Arial"/>
        </w:rPr>
        <w:t xml:space="preserve">ractice </w:t>
      </w:r>
      <w:r w:rsidR="001A1EF6" w:rsidRPr="00C22BBF">
        <w:rPr>
          <w:rFonts w:ascii="Arial" w:hAnsi="Arial" w:cs="Arial"/>
        </w:rPr>
        <w:t xml:space="preserve">of seed treatment </w:t>
      </w:r>
      <w:r w:rsidRPr="00C22BBF">
        <w:rPr>
          <w:rFonts w:ascii="Arial" w:hAnsi="Arial" w:cs="Arial"/>
        </w:rPr>
        <w:t>involves applying plant growth regulators or protective agents to the seeds before planting to enhance germination, protect against diseases, and improve overall crop performance. Increasing the production of</w:t>
      </w:r>
      <w:r w:rsidR="001F6181" w:rsidRPr="00C22BBF">
        <w:rPr>
          <w:rFonts w:ascii="Arial" w:hAnsi="Arial" w:cs="Arial"/>
        </w:rPr>
        <w:t xml:space="preserve"> </w:t>
      </w:r>
      <w:r w:rsidR="001A1EF6" w:rsidRPr="00C22BBF">
        <w:rPr>
          <w:rFonts w:ascii="Arial" w:hAnsi="Arial" w:cs="Arial"/>
        </w:rPr>
        <w:t>high-quality</w:t>
      </w:r>
      <w:r w:rsidRPr="00C22BBF">
        <w:rPr>
          <w:rFonts w:ascii="Arial" w:hAnsi="Arial" w:cs="Arial"/>
        </w:rPr>
        <w:t xml:space="preserve"> French bean pods could be achieved through seed treatments </w:t>
      </w:r>
      <w:r w:rsidR="00AF3307" w:rsidRPr="00C22BBF">
        <w:rPr>
          <w:rFonts w:ascii="Arial" w:hAnsi="Arial" w:cs="Arial"/>
        </w:rPr>
        <w:t>with</w:t>
      </w:r>
      <w:r w:rsidRPr="00C22BBF">
        <w:rPr>
          <w:rFonts w:ascii="Arial" w:hAnsi="Arial" w:cs="Arial"/>
        </w:rPr>
        <w:t xml:space="preserve"> growth hormones</w:t>
      </w:r>
      <w:r w:rsidR="00AF3307" w:rsidRPr="00C22BBF">
        <w:rPr>
          <w:rFonts w:ascii="Arial" w:hAnsi="Arial" w:cs="Arial"/>
        </w:rPr>
        <w:t xml:space="preserve"> such as</w:t>
      </w:r>
      <w:r w:rsidRPr="00C22BBF">
        <w:rPr>
          <w:rFonts w:ascii="Arial" w:hAnsi="Arial" w:cs="Arial"/>
        </w:rPr>
        <w:t xml:space="preserve"> GA</w:t>
      </w:r>
      <w:r w:rsidRPr="00C22BBF">
        <w:rPr>
          <w:rFonts w:ascii="Arial" w:hAnsi="Arial" w:cs="Arial"/>
          <w:vertAlign w:val="subscript"/>
        </w:rPr>
        <w:t>3</w:t>
      </w:r>
      <w:r w:rsidR="00AF3307" w:rsidRPr="00C22BBF">
        <w:rPr>
          <w:rFonts w:ascii="Arial" w:hAnsi="Arial" w:cs="Arial"/>
        </w:rPr>
        <w:t xml:space="preserve"> and </w:t>
      </w:r>
      <w:r w:rsidRPr="00C22BBF">
        <w:rPr>
          <w:rFonts w:ascii="Arial" w:hAnsi="Arial" w:cs="Arial"/>
        </w:rPr>
        <w:t>IAA.</w:t>
      </w:r>
      <w:r w:rsidR="00593194" w:rsidRPr="00C22BBF">
        <w:t xml:space="preserve"> </w:t>
      </w:r>
      <w:r w:rsidR="004C00F5" w:rsidRPr="00C22BBF">
        <w:t>Plant growth regulators play a crucial role in increasing crop yields, and with the advent of low-cost technologies, agricultural production may now be increased at a never-before-seen rate (Prachi</w:t>
      </w:r>
      <w:r w:rsidR="00806E58" w:rsidRPr="00C22BBF">
        <w:t xml:space="preserve"> </w:t>
      </w:r>
      <w:r w:rsidR="00806E58" w:rsidRPr="00C22BBF">
        <w:rPr>
          <w:i/>
          <w:iCs/>
        </w:rPr>
        <w:t>et al</w:t>
      </w:r>
      <w:r w:rsidR="00806E58" w:rsidRPr="00C22BBF">
        <w:t>., 2025).</w:t>
      </w:r>
      <w:r w:rsidR="00AE18D6" w:rsidRPr="00C22BBF">
        <w:t xml:space="preserve"> In the recent years</w:t>
      </w:r>
      <w:r w:rsidR="00A01714" w:rsidRPr="00C22BBF">
        <w:t>,</w:t>
      </w:r>
      <w:r w:rsidR="00AE18D6" w:rsidRPr="00C22BBF">
        <w:t xml:space="preserve"> attempt has been </w:t>
      </w:r>
      <w:r w:rsidR="00816D7B" w:rsidRPr="00C22BBF">
        <w:t xml:space="preserve">also </w:t>
      </w:r>
      <w:r w:rsidR="00AE18D6" w:rsidRPr="00C22BBF">
        <w:t>made to see the impact on minimizing the damage and loss caused by plant pathogens</w:t>
      </w:r>
      <w:r w:rsidR="00593194" w:rsidRPr="00C22BBF">
        <w:t xml:space="preserve"> by using growth regulators</w:t>
      </w:r>
      <w:r w:rsidR="00816D7B" w:rsidRPr="00C22BBF">
        <w:t xml:space="preserve"> (</w:t>
      </w:r>
      <w:r w:rsidR="00593194" w:rsidRPr="00C22BBF">
        <w:t xml:space="preserve">El-Fawy </w:t>
      </w:r>
      <w:r w:rsidR="00593194" w:rsidRPr="00C22BBF">
        <w:rPr>
          <w:i/>
          <w:iCs/>
        </w:rPr>
        <w:t>et al</w:t>
      </w:r>
      <w:r w:rsidR="00593194" w:rsidRPr="00C22BBF">
        <w:t>., 2017).</w:t>
      </w:r>
      <w:r w:rsidRPr="00C22BBF">
        <w:rPr>
          <w:rFonts w:ascii="Arial" w:hAnsi="Arial" w:cs="Arial"/>
        </w:rPr>
        <w:t xml:space="preserve"> Plant growth regulators can improve the physiological efficiency including photosynthetic ability and thereby helping in effective flower formation, fruit and seed development and ultimately enhance productivity of the crops </w:t>
      </w:r>
      <w:r w:rsidR="00782793" w:rsidRPr="00C22BBF">
        <w:rPr>
          <w:rFonts w:ascii="Arial" w:hAnsi="Arial" w:cs="Arial"/>
        </w:rPr>
        <w:t xml:space="preserve">(Kumar </w:t>
      </w:r>
      <w:r w:rsidR="00AE0E46" w:rsidRPr="00C22BBF">
        <w:rPr>
          <w:rFonts w:ascii="Arial" w:hAnsi="Arial" w:cs="Arial"/>
          <w:i/>
        </w:rPr>
        <w:t>et</w:t>
      </w:r>
      <w:r w:rsidR="00782793" w:rsidRPr="00C22BBF">
        <w:rPr>
          <w:rFonts w:ascii="Arial" w:hAnsi="Arial" w:cs="Arial"/>
          <w:i/>
        </w:rPr>
        <w:t xml:space="preserve"> al</w:t>
      </w:r>
      <w:r w:rsidR="00AE0E46" w:rsidRPr="00C22BBF">
        <w:rPr>
          <w:rFonts w:ascii="Arial" w:hAnsi="Arial" w:cs="Arial"/>
          <w:i/>
        </w:rPr>
        <w:t>.</w:t>
      </w:r>
      <w:r w:rsidR="00782793" w:rsidRPr="00C22BBF">
        <w:rPr>
          <w:rFonts w:ascii="Arial" w:hAnsi="Arial" w:cs="Arial"/>
        </w:rPr>
        <w:t>, 2018)</w:t>
      </w:r>
      <w:r w:rsidRPr="00C22BBF">
        <w:rPr>
          <w:rFonts w:ascii="Arial" w:hAnsi="Arial" w:cs="Arial"/>
        </w:rPr>
        <w:t>.</w:t>
      </w:r>
      <w:r w:rsidR="00593194" w:rsidRPr="00C22BBF">
        <w:rPr>
          <w:rFonts w:ascii="Arial" w:hAnsi="Arial" w:cs="Arial"/>
        </w:rPr>
        <w:t xml:space="preserve"> </w:t>
      </w:r>
      <w:r w:rsidRPr="00C22BBF">
        <w:rPr>
          <w:rFonts w:ascii="Arial" w:hAnsi="Arial" w:cs="Arial"/>
        </w:rPr>
        <w:t>Thus, the present investigation was done with the objective of finding out the influence of plant growth regulators (GA</w:t>
      </w:r>
      <w:r w:rsidRPr="00C22BBF">
        <w:rPr>
          <w:rFonts w:ascii="Arial" w:hAnsi="Arial" w:cs="Arial"/>
          <w:vertAlign w:val="subscript"/>
        </w:rPr>
        <w:t>3</w:t>
      </w:r>
      <w:r w:rsidRPr="00C22BBF">
        <w:rPr>
          <w:rFonts w:ascii="Arial" w:hAnsi="Arial" w:cs="Arial"/>
        </w:rPr>
        <w:t xml:space="preserve"> and IAA) and to check if the synergistic effect is present between GA</w:t>
      </w:r>
      <w:r w:rsidRPr="00C22BBF">
        <w:rPr>
          <w:rFonts w:ascii="Arial" w:hAnsi="Arial" w:cs="Arial"/>
          <w:vertAlign w:val="subscript"/>
        </w:rPr>
        <w:t>3</w:t>
      </w:r>
      <w:r w:rsidRPr="00C22BBF">
        <w:rPr>
          <w:rFonts w:ascii="Arial" w:hAnsi="Arial" w:cs="Arial"/>
        </w:rPr>
        <w:t xml:space="preserve"> and IAA together on seed quality parameters of French bean seed.</w:t>
      </w:r>
    </w:p>
    <w:p w14:paraId="0FA328F0" w14:textId="77777777" w:rsidR="00160053" w:rsidRPr="00FB3A86" w:rsidRDefault="00160053" w:rsidP="00441B6F">
      <w:pPr>
        <w:pStyle w:val="Body"/>
        <w:spacing w:after="0"/>
        <w:rPr>
          <w:rFonts w:ascii="Arial" w:hAnsi="Arial" w:cs="Arial"/>
        </w:rPr>
      </w:pPr>
    </w:p>
    <w:p w14:paraId="016646E6" w14:textId="77777777" w:rsidR="007F7B32" w:rsidRDefault="00902823" w:rsidP="00441B6F">
      <w:pPr>
        <w:pStyle w:val="AbstHead"/>
        <w:spacing w:after="0"/>
        <w:jc w:val="both"/>
        <w:rPr>
          <w:rFonts w:ascii="Arial" w:hAnsi="Arial" w:cs="Arial"/>
        </w:rPr>
      </w:pPr>
      <w:r>
        <w:rPr>
          <w:rFonts w:ascii="Arial" w:hAnsi="Arial" w:cs="Arial"/>
        </w:rPr>
        <w:t>2. material and method</w:t>
      </w:r>
      <w:r w:rsidR="00C22D4B">
        <w:rPr>
          <w:rFonts w:ascii="Arial" w:hAnsi="Arial" w:cs="Arial"/>
        </w:rPr>
        <w:t xml:space="preserve">s </w:t>
      </w:r>
    </w:p>
    <w:p w14:paraId="4BBA9283" w14:textId="77777777" w:rsidR="00790ADA" w:rsidRPr="00FB3A86" w:rsidRDefault="00790ADA" w:rsidP="00441B6F">
      <w:pPr>
        <w:pStyle w:val="AbstHead"/>
        <w:spacing w:after="0"/>
        <w:jc w:val="both"/>
        <w:rPr>
          <w:rFonts w:ascii="Arial" w:hAnsi="Arial" w:cs="Arial"/>
        </w:rPr>
      </w:pPr>
    </w:p>
    <w:p w14:paraId="4F9384D4" w14:textId="5A091A37" w:rsidR="00C22D4B" w:rsidRPr="006A1131" w:rsidRDefault="00C22D4B" w:rsidP="00C22D4B">
      <w:pPr>
        <w:pStyle w:val="Body"/>
        <w:spacing w:after="0"/>
        <w:rPr>
          <w:rFonts w:ascii="Arial" w:hAnsi="Arial" w:cs="Arial"/>
        </w:rPr>
      </w:pPr>
      <w:r w:rsidRPr="006A1131">
        <w:rPr>
          <w:rFonts w:ascii="Arial" w:hAnsi="Arial" w:cs="Arial"/>
        </w:rPr>
        <w:t xml:space="preserve">A laboratory experiment was carried out at </w:t>
      </w:r>
      <w:r w:rsidR="00C82578" w:rsidRPr="006A1131">
        <w:rPr>
          <w:rFonts w:ascii="Arial" w:hAnsi="Arial" w:cs="Arial"/>
        </w:rPr>
        <w:t xml:space="preserve">the </w:t>
      </w:r>
      <w:r w:rsidRPr="006A1131">
        <w:rPr>
          <w:rFonts w:ascii="Arial" w:hAnsi="Arial" w:cs="Arial"/>
        </w:rPr>
        <w:t>Department of Seed Science and Technology, Institute of Agricultural Science, Univer</w:t>
      </w:r>
      <w:r w:rsidR="00782793" w:rsidRPr="006A1131">
        <w:rPr>
          <w:rFonts w:ascii="Arial" w:hAnsi="Arial" w:cs="Arial"/>
        </w:rPr>
        <w:t>sity of Calcutta,</w:t>
      </w:r>
      <w:r w:rsidRPr="006A1131">
        <w:rPr>
          <w:rFonts w:ascii="Arial" w:hAnsi="Arial" w:cs="Arial"/>
        </w:rPr>
        <w:t xml:space="preserve"> to evaluate the influence of growth hormones</w:t>
      </w:r>
      <w:r w:rsidR="00C82578" w:rsidRPr="006A1131">
        <w:rPr>
          <w:rFonts w:ascii="Arial" w:hAnsi="Arial" w:cs="Arial"/>
        </w:rPr>
        <w:t xml:space="preserve"> seed treatment and</w:t>
      </w:r>
      <w:r w:rsidRPr="006A1131">
        <w:rPr>
          <w:rFonts w:ascii="Arial" w:hAnsi="Arial" w:cs="Arial"/>
        </w:rPr>
        <w:t xml:space="preserve"> compatibility of growth hormones in seed treatment on seed quality parameters of a French bean (</w:t>
      </w:r>
      <w:r w:rsidRPr="006A1131">
        <w:rPr>
          <w:rFonts w:ascii="Arial" w:hAnsi="Arial" w:cs="Arial"/>
          <w:i/>
          <w:iCs/>
        </w:rPr>
        <w:t xml:space="preserve">Phaseolus vulgaris </w:t>
      </w:r>
      <w:r w:rsidRPr="006A1131">
        <w:rPr>
          <w:rFonts w:ascii="Arial" w:hAnsi="Arial" w:cs="Arial"/>
        </w:rPr>
        <w:t xml:space="preserve">L.) </w:t>
      </w:r>
      <w:r w:rsidR="00DF6344" w:rsidRPr="006A1131">
        <w:rPr>
          <w:rFonts w:ascii="Arial" w:hAnsi="Arial" w:cs="Arial"/>
        </w:rPr>
        <w:t>variety</w:t>
      </w:r>
      <w:r w:rsidRPr="006A1131">
        <w:rPr>
          <w:rFonts w:ascii="Arial" w:hAnsi="Arial" w:cs="Arial"/>
        </w:rPr>
        <w:t>. The experiment was carried out to study the effect of IAA and GA</w:t>
      </w:r>
      <w:r w:rsidRPr="006A1131">
        <w:rPr>
          <w:rFonts w:ascii="Arial" w:hAnsi="Arial" w:cs="Arial"/>
          <w:vertAlign w:val="subscript"/>
        </w:rPr>
        <w:t>3</w:t>
      </w:r>
      <w:r w:rsidRPr="006A1131">
        <w:rPr>
          <w:rFonts w:ascii="Arial" w:hAnsi="Arial" w:cs="Arial"/>
        </w:rPr>
        <w:t xml:space="preserve"> with different concentrations i.e. 25 and 50 ppm and different combination of them for </w:t>
      </w:r>
      <w:r w:rsidR="006A1131" w:rsidRPr="006A1131">
        <w:rPr>
          <w:rFonts w:ascii="Arial" w:hAnsi="Arial" w:cs="Arial"/>
        </w:rPr>
        <w:t>three</w:t>
      </w:r>
      <w:r w:rsidRPr="006A1131">
        <w:rPr>
          <w:rFonts w:ascii="Arial" w:hAnsi="Arial" w:cs="Arial"/>
        </w:rPr>
        <w:t xml:space="preserve"> hours</w:t>
      </w:r>
      <w:r w:rsidR="004C68EF" w:rsidRPr="006A1131">
        <w:rPr>
          <w:rFonts w:ascii="Arial" w:hAnsi="Arial" w:cs="Arial"/>
        </w:rPr>
        <w:t xml:space="preserve"> on the seeds of ‘Mahima’, a</w:t>
      </w:r>
      <w:r w:rsidRPr="006A1131">
        <w:rPr>
          <w:rFonts w:ascii="Arial" w:hAnsi="Arial" w:cs="Arial"/>
        </w:rPr>
        <w:t xml:space="preserve"> local vari</w:t>
      </w:r>
      <w:r w:rsidR="009C187E" w:rsidRPr="006A1131">
        <w:rPr>
          <w:rFonts w:ascii="Arial" w:hAnsi="Arial" w:cs="Arial"/>
        </w:rPr>
        <w:t xml:space="preserve">ety of French bean. </w:t>
      </w:r>
      <w:r w:rsidR="00517281" w:rsidRPr="006A1131">
        <w:rPr>
          <w:rFonts w:ascii="Arial" w:hAnsi="Arial" w:cs="Arial"/>
        </w:rPr>
        <w:t>Forty-five</w:t>
      </w:r>
      <w:r w:rsidRPr="006A1131">
        <w:rPr>
          <w:rFonts w:ascii="Arial" w:hAnsi="Arial" w:cs="Arial"/>
        </w:rPr>
        <w:t xml:space="preserve"> seeds were taken for </w:t>
      </w:r>
      <w:r w:rsidR="006A1131" w:rsidRPr="006A1131">
        <w:rPr>
          <w:rFonts w:ascii="Arial" w:hAnsi="Arial" w:cs="Arial"/>
        </w:rPr>
        <w:t>three</w:t>
      </w:r>
      <w:r w:rsidRPr="006A1131">
        <w:rPr>
          <w:rFonts w:ascii="Arial" w:hAnsi="Arial" w:cs="Arial"/>
        </w:rPr>
        <w:t xml:space="preserve"> </w:t>
      </w:r>
      <w:r w:rsidR="004C68EF" w:rsidRPr="006A1131">
        <w:rPr>
          <w:rFonts w:ascii="Arial" w:hAnsi="Arial" w:cs="Arial"/>
        </w:rPr>
        <w:t>replications. T</w:t>
      </w:r>
      <w:r w:rsidRPr="006A1131">
        <w:rPr>
          <w:rFonts w:ascii="Arial" w:hAnsi="Arial" w:cs="Arial"/>
        </w:rPr>
        <w:t>he seeds were weighed</w:t>
      </w:r>
      <w:r w:rsidR="004C68EF" w:rsidRPr="006A1131">
        <w:rPr>
          <w:rFonts w:ascii="Arial" w:hAnsi="Arial" w:cs="Arial"/>
        </w:rPr>
        <w:t xml:space="preserve"> and required solution was applied</w:t>
      </w:r>
      <w:r w:rsidRPr="006A1131">
        <w:rPr>
          <w:rFonts w:ascii="Arial" w:hAnsi="Arial" w:cs="Arial"/>
        </w:rPr>
        <w:t xml:space="preserve"> in </w:t>
      </w:r>
      <w:r w:rsidR="00C82578" w:rsidRPr="006A1131">
        <w:rPr>
          <w:rFonts w:ascii="Arial" w:hAnsi="Arial" w:cs="Arial"/>
        </w:rPr>
        <w:t>1:5 ratio on</w:t>
      </w:r>
      <w:r w:rsidRPr="006A1131">
        <w:rPr>
          <w:rFonts w:ascii="Arial" w:hAnsi="Arial" w:cs="Arial"/>
        </w:rPr>
        <w:t xml:space="preserve"> weight basis. </w:t>
      </w:r>
      <w:r w:rsidR="006A1131" w:rsidRPr="006A1131">
        <w:rPr>
          <w:rFonts w:ascii="Arial" w:hAnsi="Arial" w:cs="Arial"/>
        </w:rPr>
        <w:t xml:space="preserve">Subsequently, </w:t>
      </w:r>
      <w:r w:rsidR="00593194" w:rsidRPr="006A1131">
        <w:rPr>
          <w:rFonts w:ascii="Arial" w:hAnsi="Arial" w:cs="Arial"/>
          <w:lang w:val="en-GB"/>
        </w:rPr>
        <w:t>seeds</w:t>
      </w:r>
      <w:r w:rsidR="006A1131" w:rsidRPr="006A1131">
        <w:rPr>
          <w:rFonts w:ascii="Arial" w:hAnsi="Arial" w:cs="Arial"/>
          <w:lang w:val="en-GB"/>
        </w:rPr>
        <w:t xml:space="preserve"> were soaked in aqueous solutions of the</w:t>
      </w:r>
      <w:r w:rsidR="006A1131">
        <w:rPr>
          <w:rFonts w:ascii="Arial" w:hAnsi="Arial" w:cs="Arial"/>
          <w:lang w:val="en-GB"/>
        </w:rPr>
        <w:t xml:space="preserve"> growth</w:t>
      </w:r>
      <w:r w:rsidR="006A1131" w:rsidRPr="006A1131">
        <w:rPr>
          <w:rFonts w:ascii="Arial" w:hAnsi="Arial" w:cs="Arial"/>
          <w:lang w:val="en-GB"/>
        </w:rPr>
        <w:t xml:space="preserve"> regulators for three hours and tested under controlled conditions</w:t>
      </w:r>
      <w:r w:rsidR="006A1131" w:rsidRPr="006A1131">
        <w:rPr>
          <w:rFonts w:ascii="Arial" w:hAnsi="Arial" w:cs="Arial"/>
        </w:rPr>
        <w:t xml:space="preserve"> </w:t>
      </w:r>
      <w:r w:rsidRPr="006A1131">
        <w:rPr>
          <w:rFonts w:ascii="Arial" w:hAnsi="Arial" w:cs="Arial"/>
        </w:rPr>
        <w:t xml:space="preserve">as per the procedure given by ISTA Rules </w:t>
      </w:r>
      <w:r w:rsidR="00782793" w:rsidRPr="006A1131">
        <w:rPr>
          <w:rFonts w:ascii="Arial" w:hAnsi="Arial" w:cs="Arial"/>
        </w:rPr>
        <w:t>(</w:t>
      </w:r>
      <w:r w:rsidR="00782793" w:rsidRPr="006A1131">
        <w:rPr>
          <w:rFonts w:ascii="Arial" w:eastAsiaTheme="minorEastAsia" w:hAnsi="Arial" w:cs="Arial"/>
        </w:rPr>
        <w:t>Anonymous, 1996)</w:t>
      </w:r>
      <w:r w:rsidRPr="006A1131">
        <w:rPr>
          <w:rFonts w:ascii="Arial" w:hAnsi="Arial" w:cs="Arial"/>
        </w:rPr>
        <w:t xml:space="preserve">. </w:t>
      </w:r>
      <w:r w:rsidR="004C68EF" w:rsidRPr="006A1131">
        <w:rPr>
          <w:rFonts w:ascii="Arial" w:hAnsi="Arial" w:cs="Arial"/>
        </w:rPr>
        <w:t>Nine</w:t>
      </w:r>
      <w:r w:rsidRPr="006A1131">
        <w:rPr>
          <w:rFonts w:ascii="Arial" w:hAnsi="Arial" w:cs="Arial"/>
        </w:rPr>
        <w:t xml:space="preserve"> treatments were taken in consideration </w:t>
      </w:r>
      <w:r w:rsidR="00782793" w:rsidRPr="006A1131">
        <w:rPr>
          <w:rFonts w:ascii="Arial" w:hAnsi="Arial" w:cs="Arial"/>
        </w:rPr>
        <w:t>as described in table 1.</w:t>
      </w:r>
    </w:p>
    <w:p w14:paraId="695BAB21" w14:textId="77777777" w:rsidR="00C22D4B" w:rsidRDefault="00C22D4B" w:rsidP="00C22D4B">
      <w:pPr>
        <w:pStyle w:val="Body"/>
        <w:spacing w:after="0"/>
        <w:rPr>
          <w:rFonts w:ascii="Arial" w:hAnsi="Arial" w:cs="Arial"/>
          <w:b/>
        </w:rPr>
      </w:pPr>
    </w:p>
    <w:p w14:paraId="7CC10353" w14:textId="77777777" w:rsidR="00C22D4B" w:rsidRDefault="00C22D4B" w:rsidP="001C05DD">
      <w:pPr>
        <w:pStyle w:val="Body"/>
        <w:spacing w:after="0"/>
        <w:jc w:val="center"/>
        <w:rPr>
          <w:rFonts w:ascii="Arial" w:hAnsi="Arial" w:cs="Arial"/>
          <w:b/>
        </w:rPr>
      </w:pPr>
      <w:r w:rsidRPr="00C22D4B">
        <w:rPr>
          <w:rFonts w:ascii="Arial" w:hAnsi="Arial" w:cs="Arial"/>
          <w:b/>
        </w:rPr>
        <w:t>Table 1: Details of Seed Treatments used in the experiment.</w:t>
      </w:r>
    </w:p>
    <w:p w14:paraId="13A98E67" w14:textId="77777777" w:rsidR="00F60F8E" w:rsidRPr="00C22D4B" w:rsidRDefault="00F60F8E" w:rsidP="001C05DD">
      <w:pPr>
        <w:pStyle w:val="Body"/>
        <w:spacing w:after="0"/>
        <w:jc w:val="center"/>
        <w:rPr>
          <w:rFonts w:ascii="Arial" w:hAnsi="Arial" w:cs="Arial"/>
          <w:b/>
        </w:rPr>
      </w:pPr>
    </w:p>
    <w:tbl>
      <w:tblPr>
        <w:tblW w:w="5821" w:type="dxa"/>
        <w:jc w:val="center"/>
        <w:tblLook w:val="04A0" w:firstRow="1" w:lastRow="0" w:firstColumn="1" w:lastColumn="0" w:noHBand="0" w:noVBand="1"/>
      </w:tblPr>
      <w:tblGrid>
        <w:gridCol w:w="1433"/>
        <w:gridCol w:w="3224"/>
        <w:gridCol w:w="1164"/>
      </w:tblGrid>
      <w:tr w:rsidR="00C22D4B" w:rsidRPr="00C22D4B" w14:paraId="766CD1E0" w14:textId="77777777" w:rsidTr="00F60F8E">
        <w:trPr>
          <w:trHeight w:val="233"/>
          <w:jc w:val="center"/>
        </w:trPr>
        <w:tc>
          <w:tcPr>
            <w:tcW w:w="1433" w:type="dxa"/>
            <w:tcBorders>
              <w:top w:val="single" w:sz="4" w:space="0" w:color="auto"/>
              <w:bottom w:val="single" w:sz="4" w:space="0" w:color="auto"/>
            </w:tcBorders>
          </w:tcPr>
          <w:p w14:paraId="6AC8B3A5" w14:textId="77777777" w:rsidR="00C22D4B" w:rsidRPr="00C22D4B" w:rsidRDefault="00C22D4B" w:rsidP="001C05DD">
            <w:pPr>
              <w:pStyle w:val="Body"/>
              <w:spacing w:after="0"/>
              <w:jc w:val="center"/>
              <w:rPr>
                <w:rFonts w:ascii="Arial" w:hAnsi="Arial" w:cs="Arial"/>
                <w:b/>
              </w:rPr>
            </w:pPr>
            <w:r w:rsidRPr="00C22D4B">
              <w:rPr>
                <w:rFonts w:ascii="Arial" w:hAnsi="Arial" w:cs="Arial"/>
                <w:b/>
              </w:rPr>
              <w:t>Treatment</w:t>
            </w:r>
          </w:p>
        </w:tc>
        <w:tc>
          <w:tcPr>
            <w:tcW w:w="3224" w:type="dxa"/>
            <w:tcBorders>
              <w:top w:val="single" w:sz="4" w:space="0" w:color="auto"/>
              <w:bottom w:val="single" w:sz="4" w:space="0" w:color="auto"/>
            </w:tcBorders>
          </w:tcPr>
          <w:p w14:paraId="30A0C3EB" w14:textId="77777777" w:rsidR="00C22D4B" w:rsidRPr="00C22D4B" w:rsidRDefault="00C22D4B" w:rsidP="001C05DD">
            <w:pPr>
              <w:pStyle w:val="Body"/>
              <w:spacing w:after="0"/>
              <w:jc w:val="center"/>
              <w:rPr>
                <w:rFonts w:ascii="Arial" w:hAnsi="Arial" w:cs="Arial"/>
                <w:b/>
              </w:rPr>
            </w:pPr>
            <w:r w:rsidRPr="00C22D4B">
              <w:rPr>
                <w:rFonts w:ascii="Arial" w:hAnsi="Arial" w:cs="Arial"/>
                <w:b/>
              </w:rPr>
              <w:t>Chemicals used</w:t>
            </w:r>
          </w:p>
        </w:tc>
        <w:tc>
          <w:tcPr>
            <w:tcW w:w="1164" w:type="dxa"/>
            <w:tcBorders>
              <w:top w:val="single" w:sz="4" w:space="0" w:color="auto"/>
              <w:bottom w:val="single" w:sz="4" w:space="0" w:color="auto"/>
            </w:tcBorders>
          </w:tcPr>
          <w:p w14:paraId="2288D555" w14:textId="77777777" w:rsidR="00C22D4B" w:rsidRPr="00C22D4B" w:rsidRDefault="00C22D4B" w:rsidP="001C05DD">
            <w:pPr>
              <w:pStyle w:val="Body"/>
              <w:spacing w:after="0"/>
              <w:jc w:val="center"/>
              <w:rPr>
                <w:rFonts w:ascii="Arial" w:hAnsi="Arial" w:cs="Arial"/>
                <w:b/>
              </w:rPr>
            </w:pPr>
            <w:r w:rsidRPr="00C22D4B">
              <w:rPr>
                <w:rFonts w:ascii="Arial" w:hAnsi="Arial" w:cs="Arial"/>
                <w:b/>
              </w:rPr>
              <w:t>Duration</w:t>
            </w:r>
          </w:p>
        </w:tc>
      </w:tr>
      <w:tr w:rsidR="00C22D4B" w:rsidRPr="00C22D4B" w14:paraId="14F32478" w14:textId="77777777" w:rsidTr="00F60F8E">
        <w:trPr>
          <w:trHeight w:val="170"/>
          <w:jc w:val="center"/>
        </w:trPr>
        <w:tc>
          <w:tcPr>
            <w:tcW w:w="1433" w:type="dxa"/>
            <w:tcBorders>
              <w:top w:val="single" w:sz="4" w:space="0" w:color="auto"/>
            </w:tcBorders>
          </w:tcPr>
          <w:p w14:paraId="47BC80D3"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1</w:t>
            </w:r>
          </w:p>
        </w:tc>
        <w:tc>
          <w:tcPr>
            <w:tcW w:w="3224" w:type="dxa"/>
            <w:tcBorders>
              <w:top w:val="single" w:sz="4" w:space="0" w:color="auto"/>
            </w:tcBorders>
          </w:tcPr>
          <w:p w14:paraId="25A701A2"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Control(No-treatment)</w:t>
            </w:r>
          </w:p>
        </w:tc>
        <w:tc>
          <w:tcPr>
            <w:tcW w:w="1164" w:type="dxa"/>
            <w:tcBorders>
              <w:top w:val="single" w:sz="4" w:space="0" w:color="auto"/>
            </w:tcBorders>
          </w:tcPr>
          <w:p w14:paraId="12F67BAC"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w:t>
            </w:r>
          </w:p>
        </w:tc>
      </w:tr>
      <w:tr w:rsidR="00C22D4B" w:rsidRPr="00C22D4B" w14:paraId="2C613F65" w14:textId="77777777" w:rsidTr="00F60F8E">
        <w:trPr>
          <w:trHeight w:val="215"/>
          <w:jc w:val="center"/>
        </w:trPr>
        <w:tc>
          <w:tcPr>
            <w:tcW w:w="1433" w:type="dxa"/>
          </w:tcPr>
          <w:p w14:paraId="4ECABECC"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2</w:t>
            </w:r>
          </w:p>
        </w:tc>
        <w:tc>
          <w:tcPr>
            <w:tcW w:w="3224" w:type="dxa"/>
          </w:tcPr>
          <w:p w14:paraId="53068295"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25ppm</w:t>
            </w:r>
          </w:p>
        </w:tc>
        <w:tc>
          <w:tcPr>
            <w:tcW w:w="1164" w:type="dxa"/>
          </w:tcPr>
          <w:p w14:paraId="3BCC6C3D"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17473B45" w14:textId="77777777" w:rsidTr="00F60F8E">
        <w:trPr>
          <w:trHeight w:val="242"/>
          <w:jc w:val="center"/>
        </w:trPr>
        <w:tc>
          <w:tcPr>
            <w:tcW w:w="1433" w:type="dxa"/>
          </w:tcPr>
          <w:p w14:paraId="29C9DA5D"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3</w:t>
            </w:r>
          </w:p>
        </w:tc>
        <w:tc>
          <w:tcPr>
            <w:tcW w:w="3224" w:type="dxa"/>
          </w:tcPr>
          <w:p w14:paraId="3FCADF00"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w:t>
            </w:r>
          </w:p>
        </w:tc>
        <w:tc>
          <w:tcPr>
            <w:tcW w:w="1164" w:type="dxa"/>
          </w:tcPr>
          <w:p w14:paraId="64D9EC3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6440DFDE" w14:textId="77777777" w:rsidTr="00F60F8E">
        <w:trPr>
          <w:trHeight w:val="260"/>
          <w:jc w:val="center"/>
        </w:trPr>
        <w:tc>
          <w:tcPr>
            <w:tcW w:w="1433" w:type="dxa"/>
          </w:tcPr>
          <w:p w14:paraId="22B97845"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4</w:t>
            </w:r>
          </w:p>
        </w:tc>
        <w:tc>
          <w:tcPr>
            <w:tcW w:w="3224" w:type="dxa"/>
          </w:tcPr>
          <w:p w14:paraId="4047BD5E"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25 ppm</w:t>
            </w:r>
          </w:p>
        </w:tc>
        <w:tc>
          <w:tcPr>
            <w:tcW w:w="1164" w:type="dxa"/>
          </w:tcPr>
          <w:p w14:paraId="1B3891DF"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7C1E8F1D" w14:textId="77777777" w:rsidTr="00F60F8E">
        <w:trPr>
          <w:trHeight w:val="251"/>
          <w:jc w:val="center"/>
        </w:trPr>
        <w:tc>
          <w:tcPr>
            <w:tcW w:w="1433" w:type="dxa"/>
          </w:tcPr>
          <w:p w14:paraId="27D928E8"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5</w:t>
            </w:r>
          </w:p>
        </w:tc>
        <w:tc>
          <w:tcPr>
            <w:tcW w:w="3224" w:type="dxa"/>
          </w:tcPr>
          <w:p w14:paraId="51031D47"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50 ppm</w:t>
            </w:r>
          </w:p>
        </w:tc>
        <w:tc>
          <w:tcPr>
            <w:tcW w:w="1164" w:type="dxa"/>
          </w:tcPr>
          <w:p w14:paraId="7F871431"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5C381924" w14:textId="77777777" w:rsidTr="00F60F8E">
        <w:trPr>
          <w:trHeight w:val="305"/>
          <w:jc w:val="center"/>
        </w:trPr>
        <w:tc>
          <w:tcPr>
            <w:tcW w:w="1433" w:type="dxa"/>
          </w:tcPr>
          <w:p w14:paraId="3B653A5B"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6</w:t>
            </w:r>
          </w:p>
        </w:tc>
        <w:tc>
          <w:tcPr>
            <w:tcW w:w="3224" w:type="dxa"/>
          </w:tcPr>
          <w:p w14:paraId="357C8169"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 ppm + IAA 25 ppm</w:t>
            </w:r>
          </w:p>
        </w:tc>
        <w:tc>
          <w:tcPr>
            <w:tcW w:w="1164" w:type="dxa"/>
          </w:tcPr>
          <w:p w14:paraId="047D7682" w14:textId="77777777" w:rsidR="00C22D4B" w:rsidRPr="00C22D4B" w:rsidRDefault="00F60F8E" w:rsidP="00F60F8E">
            <w:pPr>
              <w:pStyle w:val="Body"/>
              <w:spacing w:after="0" w:line="276" w:lineRule="auto"/>
              <w:jc w:val="center"/>
              <w:rPr>
                <w:rFonts w:ascii="Arial" w:hAnsi="Arial" w:cs="Arial"/>
              </w:rPr>
            </w:pPr>
            <w:r>
              <w:rPr>
                <w:rFonts w:ascii="Arial" w:hAnsi="Arial" w:cs="Arial"/>
              </w:rPr>
              <w:t>3 hours</w:t>
            </w:r>
          </w:p>
        </w:tc>
      </w:tr>
      <w:tr w:rsidR="00C22D4B" w:rsidRPr="00C22D4B" w14:paraId="1401A0C7" w14:textId="77777777" w:rsidTr="00F60F8E">
        <w:trPr>
          <w:trHeight w:val="323"/>
          <w:jc w:val="center"/>
        </w:trPr>
        <w:tc>
          <w:tcPr>
            <w:tcW w:w="1433" w:type="dxa"/>
          </w:tcPr>
          <w:p w14:paraId="6F295198" w14:textId="77777777" w:rsidR="00C22D4B" w:rsidRPr="00C22D4B" w:rsidRDefault="00F60F8E" w:rsidP="00F60F8E">
            <w:pPr>
              <w:pStyle w:val="Body"/>
              <w:spacing w:after="0" w:line="276" w:lineRule="auto"/>
              <w:jc w:val="center"/>
              <w:rPr>
                <w:rFonts w:ascii="Arial" w:hAnsi="Arial" w:cs="Arial"/>
                <w:b/>
                <w:vertAlign w:val="subscript"/>
              </w:rPr>
            </w:pPr>
            <w:r w:rsidRPr="00F60F8E">
              <w:rPr>
                <w:rFonts w:ascii="Arial" w:hAnsi="Arial" w:cs="Arial"/>
                <w:b/>
              </w:rPr>
              <w:t>T</w:t>
            </w:r>
            <w:r w:rsidR="00C22D4B" w:rsidRPr="00C22D4B">
              <w:rPr>
                <w:rFonts w:ascii="Arial" w:hAnsi="Arial" w:cs="Arial"/>
                <w:b/>
                <w:vertAlign w:val="subscript"/>
              </w:rPr>
              <w:t>7</w:t>
            </w:r>
          </w:p>
        </w:tc>
        <w:tc>
          <w:tcPr>
            <w:tcW w:w="3224" w:type="dxa"/>
          </w:tcPr>
          <w:p w14:paraId="1F2C140E"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3</w:t>
            </w:r>
            <w:r w:rsidRPr="00C22D4B">
              <w:rPr>
                <w:rFonts w:ascii="Arial" w:hAnsi="Arial" w:cs="Arial"/>
              </w:rPr>
              <w:t xml:space="preserve"> 50 ppm + IAA 50 ppm</w:t>
            </w:r>
          </w:p>
        </w:tc>
        <w:tc>
          <w:tcPr>
            <w:tcW w:w="1164" w:type="dxa"/>
          </w:tcPr>
          <w:p w14:paraId="790A1CD9"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09D28762" w14:textId="77777777" w:rsidTr="00F60F8E">
        <w:trPr>
          <w:trHeight w:val="260"/>
          <w:jc w:val="center"/>
        </w:trPr>
        <w:tc>
          <w:tcPr>
            <w:tcW w:w="1433" w:type="dxa"/>
          </w:tcPr>
          <w:p w14:paraId="1D81B428"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8</w:t>
            </w:r>
          </w:p>
        </w:tc>
        <w:tc>
          <w:tcPr>
            <w:tcW w:w="3224" w:type="dxa"/>
          </w:tcPr>
          <w:p w14:paraId="13E92F69"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 xml:space="preserve">25 ppm + IAA </w:t>
            </w:r>
            <w:r w:rsidRPr="00917169">
              <w:rPr>
                <w:rFonts w:ascii="Arial" w:hAnsi="Arial" w:cs="Arial"/>
              </w:rPr>
              <w:t>50 ppm</w:t>
            </w:r>
          </w:p>
        </w:tc>
        <w:tc>
          <w:tcPr>
            <w:tcW w:w="1164" w:type="dxa"/>
          </w:tcPr>
          <w:p w14:paraId="73CC908E"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0302028C" w14:textId="77777777" w:rsidTr="00F60F8E">
        <w:trPr>
          <w:trHeight w:val="260"/>
          <w:jc w:val="center"/>
        </w:trPr>
        <w:tc>
          <w:tcPr>
            <w:tcW w:w="1433" w:type="dxa"/>
            <w:tcBorders>
              <w:bottom w:val="single" w:sz="4" w:space="0" w:color="auto"/>
            </w:tcBorders>
          </w:tcPr>
          <w:p w14:paraId="6CA06E60"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9</w:t>
            </w:r>
          </w:p>
        </w:tc>
        <w:tc>
          <w:tcPr>
            <w:tcW w:w="3224" w:type="dxa"/>
            <w:tcBorders>
              <w:bottom w:val="single" w:sz="4" w:space="0" w:color="auto"/>
            </w:tcBorders>
          </w:tcPr>
          <w:p w14:paraId="61B7466B"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 + IAA 25 ppm</w:t>
            </w:r>
          </w:p>
        </w:tc>
        <w:tc>
          <w:tcPr>
            <w:tcW w:w="1164" w:type="dxa"/>
            <w:tcBorders>
              <w:bottom w:val="single" w:sz="4" w:space="0" w:color="auto"/>
            </w:tcBorders>
          </w:tcPr>
          <w:p w14:paraId="4F15664A"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bl>
    <w:p w14:paraId="7F286A48" w14:textId="77777777" w:rsidR="00C22D4B" w:rsidRPr="00C22D4B" w:rsidRDefault="00C22D4B" w:rsidP="00F60F8E">
      <w:pPr>
        <w:pStyle w:val="Body"/>
        <w:spacing w:after="0"/>
        <w:rPr>
          <w:rFonts w:ascii="Arial" w:hAnsi="Arial" w:cs="Arial"/>
        </w:rPr>
      </w:pPr>
    </w:p>
    <w:p w14:paraId="4C82398E" w14:textId="77777777" w:rsidR="00C22D4B" w:rsidRPr="00C22D4B" w:rsidRDefault="00C22D4B" w:rsidP="00C22D4B">
      <w:pPr>
        <w:pStyle w:val="Body"/>
        <w:spacing w:after="0"/>
        <w:rPr>
          <w:rFonts w:ascii="Arial" w:hAnsi="Arial" w:cs="Arial"/>
        </w:rPr>
      </w:pPr>
      <w:r w:rsidRPr="00C22D4B">
        <w:rPr>
          <w:rFonts w:ascii="Arial" w:hAnsi="Arial" w:cs="Arial"/>
        </w:rPr>
        <w:lastRenderedPageBreak/>
        <w:t>The experiment was laid out in a Complete Randomized Design with three replications. The paramete</w:t>
      </w:r>
      <w:r w:rsidR="009C187E">
        <w:rPr>
          <w:rFonts w:ascii="Arial" w:hAnsi="Arial" w:cs="Arial"/>
        </w:rPr>
        <w:t xml:space="preserve">rs </w:t>
      </w:r>
      <w:r w:rsidR="00945D84">
        <w:rPr>
          <w:rFonts w:ascii="Arial" w:hAnsi="Arial" w:cs="Arial"/>
        </w:rPr>
        <w:t>studied were germination (%)</w:t>
      </w:r>
      <w:r w:rsidRPr="00C22D4B">
        <w:rPr>
          <w:rFonts w:ascii="Arial" w:hAnsi="Arial" w:cs="Arial"/>
        </w:rPr>
        <w:t>, shoot length (cm), root length (cm), seedling length (cm), seedling fresh weight (g), seedling dry weight (g), vigour index</w:t>
      </w:r>
      <w:r w:rsidR="00E56A9F">
        <w:rPr>
          <w:rFonts w:ascii="Arial" w:hAnsi="Arial" w:cs="Arial"/>
        </w:rPr>
        <w:t>-</w:t>
      </w:r>
      <w:r w:rsidRPr="00C22D4B">
        <w:rPr>
          <w:rFonts w:ascii="Arial" w:hAnsi="Arial" w:cs="Arial"/>
        </w:rPr>
        <w:t>I and vigour index</w:t>
      </w:r>
      <w:r w:rsidR="00E56A9F">
        <w:rPr>
          <w:rFonts w:ascii="Arial" w:hAnsi="Arial" w:cs="Arial"/>
        </w:rPr>
        <w:t>-</w:t>
      </w:r>
      <w:r w:rsidRPr="00C22D4B">
        <w:rPr>
          <w:rFonts w:ascii="Arial" w:hAnsi="Arial" w:cs="Arial"/>
        </w:rPr>
        <w:t xml:space="preserve">II. Observations were recorded on ten randomly selected seed for all the parameters from each replication. </w:t>
      </w:r>
    </w:p>
    <w:p w14:paraId="3AE6CEA2" w14:textId="77777777" w:rsidR="00790ADA" w:rsidRDefault="00790ADA" w:rsidP="00441B6F">
      <w:pPr>
        <w:pStyle w:val="Body"/>
        <w:spacing w:after="0"/>
        <w:rPr>
          <w:rFonts w:ascii="Arial" w:hAnsi="Arial" w:cs="Arial"/>
        </w:rPr>
      </w:pPr>
    </w:p>
    <w:p w14:paraId="4391F2B8" w14:textId="77777777" w:rsidR="005D475E" w:rsidRPr="00FB3A86" w:rsidRDefault="005D475E" w:rsidP="00441B6F">
      <w:pPr>
        <w:pStyle w:val="Body"/>
        <w:spacing w:after="0"/>
        <w:rPr>
          <w:rFonts w:ascii="Arial" w:hAnsi="Arial" w:cs="Arial"/>
        </w:rPr>
      </w:pPr>
    </w:p>
    <w:p w14:paraId="51195CD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0AFEA4" w14:textId="77777777" w:rsidR="00790ADA" w:rsidRPr="00FB3A86" w:rsidRDefault="00790ADA" w:rsidP="00441B6F">
      <w:pPr>
        <w:pStyle w:val="Head1"/>
        <w:spacing w:after="0"/>
        <w:jc w:val="both"/>
        <w:rPr>
          <w:rFonts w:ascii="Arial" w:hAnsi="Arial" w:cs="Arial"/>
        </w:rPr>
      </w:pPr>
    </w:p>
    <w:p w14:paraId="21D7BA50" w14:textId="6E134FAF" w:rsidR="005D475E" w:rsidRPr="005D475E" w:rsidRDefault="005D475E" w:rsidP="005D475E">
      <w:pPr>
        <w:pStyle w:val="Body"/>
        <w:rPr>
          <w:rFonts w:ascii="Arial" w:hAnsi="Arial" w:cs="Arial"/>
        </w:rPr>
      </w:pPr>
      <w:r w:rsidRPr="005D475E">
        <w:rPr>
          <w:rFonts w:ascii="Arial" w:hAnsi="Arial" w:cs="Arial"/>
        </w:rPr>
        <w:t>The data revealed that all the treatments exhibited significant performance over control. Germination (%) ranged from 64.44 to 93.33 (Table 2). The significantly maximum germination (93.33</w:t>
      </w:r>
      <w:r w:rsidR="00804DDC">
        <w:rPr>
          <w:rFonts w:ascii="Arial" w:hAnsi="Arial" w:cs="Arial"/>
        </w:rPr>
        <w:t xml:space="preserve"> </w:t>
      </w:r>
      <w:r w:rsidRPr="005D475E">
        <w:rPr>
          <w:rFonts w:ascii="Arial" w:hAnsi="Arial" w:cs="Arial"/>
        </w:rPr>
        <w:t>%)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w:t>
      </w:r>
      <w:r w:rsidR="00804DDC">
        <w:rPr>
          <w:rFonts w:ascii="Arial" w:hAnsi="Arial" w:cs="Arial"/>
        </w:rPr>
        <w:t xml:space="preserve"> </w:t>
      </w:r>
      <w:r w:rsidRPr="005D475E">
        <w:rPr>
          <w:rFonts w:ascii="Arial" w:hAnsi="Arial" w:cs="Arial"/>
        </w:rPr>
        <w:t>ppm)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25</w:t>
      </w:r>
      <w:r w:rsidR="0042060A">
        <w:rPr>
          <w:rFonts w:ascii="Arial" w:hAnsi="Arial" w:cs="Arial"/>
        </w:rPr>
        <w:t xml:space="preserve"> </w:t>
      </w:r>
      <w:r w:rsidRPr="005D475E">
        <w:rPr>
          <w:rFonts w:ascii="Arial" w:hAnsi="Arial" w:cs="Arial"/>
        </w:rPr>
        <w:t>ppm) although T</w:t>
      </w:r>
      <w:r w:rsidRPr="005D475E">
        <w:rPr>
          <w:rFonts w:ascii="Arial" w:hAnsi="Arial" w:cs="Arial"/>
          <w:vertAlign w:val="subscript"/>
        </w:rPr>
        <w:t>3</w:t>
      </w:r>
      <w:r w:rsidRPr="005D475E">
        <w:rPr>
          <w:rFonts w:ascii="Arial" w:hAnsi="Arial" w:cs="Arial"/>
        </w:rPr>
        <w:t xml:space="preserve"> and T</w:t>
      </w:r>
      <w:r w:rsidRPr="005D475E">
        <w:rPr>
          <w:rFonts w:ascii="Arial" w:hAnsi="Arial" w:cs="Arial"/>
          <w:vertAlign w:val="subscript"/>
        </w:rPr>
        <w:t>2</w:t>
      </w:r>
      <w:r w:rsidRPr="005D475E">
        <w:rPr>
          <w:rFonts w:ascii="Arial" w:hAnsi="Arial" w:cs="Arial"/>
        </w:rPr>
        <w:t xml:space="preserve"> are statistically at par. Minimum germination was recorded in control T</w:t>
      </w:r>
      <w:r w:rsidRPr="005D475E">
        <w:rPr>
          <w:rFonts w:ascii="Arial" w:hAnsi="Arial" w:cs="Arial"/>
          <w:vertAlign w:val="subscript"/>
        </w:rPr>
        <w:t xml:space="preserve">1 </w:t>
      </w:r>
      <w:r w:rsidRPr="005D475E">
        <w:rPr>
          <w:rFonts w:ascii="Arial" w:hAnsi="Arial" w:cs="Arial"/>
        </w:rPr>
        <w:t>(64.44</w:t>
      </w:r>
      <w:r w:rsidR="0042060A">
        <w:rPr>
          <w:rFonts w:ascii="Arial" w:hAnsi="Arial" w:cs="Arial"/>
        </w:rPr>
        <w:t xml:space="preserve"> </w:t>
      </w:r>
      <w:r w:rsidRPr="005D475E">
        <w:rPr>
          <w:rFonts w:ascii="Arial" w:hAnsi="Arial" w:cs="Arial"/>
        </w:rPr>
        <w:t>%). Maximum germination (%) was recorded when seeds soaked in GA</w:t>
      </w:r>
      <w:r w:rsidRPr="005D475E">
        <w:rPr>
          <w:rFonts w:ascii="Arial" w:hAnsi="Arial" w:cs="Arial"/>
          <w:vertAlign w:val="subscript"/>
        </w:rPr>
        <w:t>3</w:t>
      </w:r>
      <w:r w:rsidRPr="005D475E">
        <w:rPr>
          <w:rFonts w:ascii="Arial" w:hAnsi="Arial" w:cs="Arial"/>
        </w:rPr>
        <w:t xml:space="preserve"> might be due to the fact that GA</w:t>
      </w:r>
      <w:r w:rsidRPr="005D475E">
        <w:rPr>
          <w:rFonts w:ascii="Arial" w:hAnsi="Arial" w:cs="Arial"/>
          <w:vertAlign w:val="subscript"/>
        </w:rPr>
        <w:t>3</w:t>
      </w:r>
      <w:r w:rsidRPr="005D475E">
        <w:rPr>
          <w:rFonts w:ascii="Arial" w:hAnsi="Arial" w:cs="Arial"/>
        </w:rPr>
        <w:t xml:space="preserve"> involved in the activation of cytological enzymes which stimulates α-amylase enzyme that converts insoluble starch into soluble sugars and it also initiates the radical growth by removing some metabolic blocks </w:t>
      </w:r>
      <w:r w:rsidR="00B334CC">
        <w:rPr>
          <w:rFonts w:ascii="Arial" w:hAnsi="Arial" w:cs="Arial"/>
        </w:rPr>
        <w:t xml:space="preserve">(Babu </w:t>
      </w:r>
      <w:r w:rsidR="00B334CC" w:rsidRPr="00B334CC">
        <w:rPr>
          <w:rFonts w:ascii="Arial" w:hAnsi="Arial" w:cs="Arial"/>
          <w:i/>
        </w:rPr>
        <w:t>et al</w:t>
      </w:r>
      <w:r w:rsidR="00B334CC">
        <w:rPr>
          <w:rFonts w:ascii="Arial" w:hAnsi="Arial" w:cs="Arial"/>
        </w:rPr>
        <w:t>., 2010)</w:t>
      </w:r>
      <w:r w:rsidRPr="005D475E">
        <w:rPr>
          <w:rFonts w:ascii="Arial" w:hAnsi="Arial" w:cs="Arial"/>
        </w:rPr>
        <w:t>.</w:t>
      </w:r>
      <w:r w:rsidR="00804DDC">
        <w:rPr>
          <w:rFonts w:ascii="Arial" w:hAnsi="Arial" w:cs="Arial"/>
        </w:rPr>
        <w:t xml:space="preserve"> </w:t>
      </w:r>
      <w:r w:rsidRPr="005D475E">
        <w:rPr>
          <w:rFonts w:ascii="Arial" w:hAnsi="Arial" w:cs="Arial"/>
        </w:rPr>
        <w:t>Similar finding has been found by Anburani and Shakila</w:t>
      </w:r>
      <w:r w:rsidR="00B334CC">
        <w:rPr>
          <w:rFonts w:ascii="Arial" w:hAnsi="Arial" w:cs="Arial"/>
        </w:rPr>
        <w:t xml:space="preserve"> (2010)</w:t>
      </w:r>
      <w:r w:rsidRPr="005D475E">
        <w:rPr>
          <w:rFonts w:ascii="Arial" w:hAnsi="Arial" w:cs="Arial"/>
        </w:rPr>
        <w:t xml:space="preserve"> in Papaya; Ghobadi </w:t>
      </w:r>
      <w:r w:rsidRPr="005D475E">
        <w:rPr>
          <w:rFonts w:ascii="Arial" w:hAnsi="Arial" w:cs="Arial"/>
          <w:i/>
          <w:iCs/>
        </w:rPr>
        <w:t>et al</w:t>
      </w:r>
      <w:r w:rsidRPr="005D475E">
        <w:rPr>
          <w:rFonts w:ascii="Arial" w:hAnsi="Arial" w:cs="Arial"/>
        </w:rPr>
        <w:t>.</w:t>
      </w:r>
      <w:r w:rsidR="00B334CC">
        <w:rPr>
          <w:rFonts w:ascii="Arial" w:hAnsi="Arial" w:cs="Arial"/>
        </w:rPr>
        <w:t xml:space="preserve"> (2012) </w:t>
      </w:r>
      <w:r w:rsidRPr="005D475E">
        <w:rPr>
          <w:rFonts w:ascii="Arial" w:hAnsi="Arial" w:cs="Arial"/>
        </w:rPr>
        <w:t>in Wheat.</w:t>
      </w:r>
    </w:p>
    <w:p w14:paraId="6C1355A5" w14:textId="5D798D52" w:rsidR="005D475E" w:rsidRPr="005D475E" w:rsidRDefault="005D475E" w:rsidP="005D475E">
      <w:pPr>
        <w:pStyle w:val="Body"/>
        <w:rPr>
          <w:rFonts w:ascii="Arial" w:hAnsi="Arial" w:cs="Arial"/>
        </w:rPr>
      </w:pPr>
      <w:r w:rsidRPr="005D475E">
        <w:rPr>
          <w:rFonts w:ascii="Arial" w:hAnsi="Arial" w:cs="Arial"/>
        </w:rPr>
        <w:t>In case of average shoot length also all the treatments were significantly better than the untreated control (Table 2). The shoot lengt</w:t>
      </w:r>
      <w:r w:rsidR="00687954">
        <w:rPr>
          <w:rFonts w:ascii="Arial" w:hAnsi="Arial" w:cs="Arial"/>
        </w:rPr>
        <w:t>h ranged from 14.98</w:t>
      </w:r>
      <w:r w:rsidR="00804DDC">
        <w:rPr>
          <w:rFonts w:ascii="Arial" w:hAnsi="Arial" w:cs="Arial"/>
        </w:rPr>
        <w:t xml:space="preserve"> </w:t>
      </w:r>
      <w:r w:rsidR="00687954">
        <w:rPr>
          <w:rFonts w:ascii="Arial" w:hAnsi="Arial" w:cs="Arial"/>
        </w:rPr>
        <w:t>cm to 24.76</w:t>
      </w:r>
      <w:r w:rsidR="00804DDC">
        <w:rPr>
          <w:rFonts w:ascii="Arial" w:hAnsi="Arial" w:cs="Arial"/>
        </w:rPr>
        <w:t xml:space="preserve"> </w:t>
      </w:r>
      <w:r w:rsidRPr="005D475E">
        <w:rPr>
          <w:rFonts w:ascii="Arial" w:hAnsi="Arial" w:cs="Arial"/>
        </w:rPr>
        <w:t xml:space="preserve">cm. </w:t>
      </w:r>
      <w:r w:rsidR="00687954">
        <w:rPr>
          <w:rFonts w:ascii="Arial" w:hAnsi="Arial" w:cs="Arial"/>
        </w:rPr>
        <w:t>The maximum shoot length (24.76</w:t>
      </w:r>
      <w:r w:rsidR="008A7C77">
        <w:rPr>
          <w:rFonts w:ascii="Arial" w:hAnsi="Arial" w:cs="Arial"/>
        </w:rPr>
        <w:t xml:space="preserve"> </w:t>
      </w:r>
      <w:r w:rsidRPr="005D475E">
        <w:rPr>
          <w:rFonts w:ascii="Arial" w:hAnsi="Arial" w:cs="Arial"/>
        </w:rPr>
        <w:t>cm)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w:t>
      </w:r>
      <w:r w:rsidR="00804DDC">
        <w:rPr>
          <w:rFonts w:ascii="Arial" w:hAnsi="Arial" w:cs="Arial"/>
        </w:rPr>
        <w:t xml:space="preserve"> </w:t>
      </w:r>
      <w:r w:rsidRPr="005D475E">
        <w:rPr>
          <w:rFonts w:ascii="Arial" w:hAnsi="Arial" w:cs="Arial"/>
        </w:rPr>
        <w:t>ppm) which was found to be significantly superior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804DDC">
        <w:rPr>
          <w:rFonts w:ascii="Arial" w:hAnsi="Arial" w:cs="Arial"/>
          <w:vertAlign w:val="subscript"/>
        </w:rPr>
        <w:t xml:space="preserve"> </w:t>
      </w:r>
      <w:r w:rsidRPr="005D475E">
        <w:rPr>
          <w:rFonts w:ascii="Arial" w:hAnsi="Arial" w:cs="Arial"/>
        </w:rPr>
        <w:t xml:space="preserve">25 ppm) </w:t>
      </w:r>
      <w:r w:rsidRPr="005D475E">
        <w:rPr>
          <w:rFonts w:ascii="Arial" w:hAnsi="Arial" w:cs="Arial"/>
          <w:i/>
          <w:iCs/>
        </w:rPr>
        <w:t>i.e</w:t>
      </w:r>
      <w:r w:rsidR="00687954">
        <w:rPr>
          <w:rFonts w:ascii="Arial" w:hAnsi="Arial" w:cs="Arial"/>
        </w:rPr>
        <w:t>., 22.13</w:t>
      </w:r>
      <w:r w:rsidR="00804DDC">
        <w:rPr>
          <w:rFonts w:ascii="Arial" w:hAnsi="Arial" w:cs="Arial"/>
        </w:rPr>
        <w:t xml:space="preserve"> </w:t>
      </w:r>
      <w:r w:rsidR="007D7EB1">
        <w:rPr>
          <w:rFonts w:ascii="Arial" w:hAnsi="Arial" w:cs="Arial"/>
        </w:rPr>
        <w:t>cm. The</w:t>
      </w:r>
      <w:r w:rsidRPr="005D475E">
        <w:rPr>
          <w:rFonts w:ascii="Arial" w:hAnsi="Arial" w:cs="Arial"/>
        </w:rPr>
        <w:t xml:space="preserve"> minimum shoot length was observed in control T</w:t>
      </w:r>
      <w:r w:rsidRPr="005D475E">
        <w:rPr>
          <w:rFonts w:ascii="Arial" w:hAnsi="Arial" w:cs="Arial"/>
          <w:vertAlign w:val="subscript"/>
        </w:rPr>
        <w:t xml:space="preserve">1 </w:t>
      </w:r>
      <w:r w:rsidR="00687954">
        <w:rPr>
          <w:rFonts w:ascii="Arial" w:hAnsi="Arial" w:cs="Arial"/>
        </w:rPr>
        <w:t>(14.98</w:t>
      </w:r>
      <w:r w:rsidR="008A7C77">
        <w:rPr>
          <w:rFonts w:ascii="Arial" w:hAnsi="Arial" w:cs="Arial"/>
        </w:rPr>
        <w:t xml:space="preserve"> </w:t>
      </w:r>
      <w:r w:rsidRPr="005D475E">
        <w:rPr>
          <w:rFonts w:ascii="Arial" w:hAnsi="Arial" w:cs="Arial"/>
        </w:rPr>
        <w:t>cm). This improvement in shoot growth could be due to activation of dormant embryo of seeds with GA</w:t>
      </w:r>
      <w:r w:rsidRPr="005D475E">
        <w:rPr>
          <w:rFonts w:ascii="Arial" w:hAnsi="Arial" w:cs="Arial"/>
          <w:vertAlign w:val="subscript"/>
        </w:rPr>
        <w:t>3</w:t>
      </w:r>
      <w:r w:rsidRPr="005D475E">
        <w:rPr>
          <w:rFonts w:ascii="Arial" w:hAnsi="Arial" w:cs="Arial"/>
        </w:rPr>
        <w:t xml:space="preserve"> and also GA</w:t>
      </w:r>
      <w:r w:rsidRPr="005D475E">
        <w:rPr>
          <w:rFonts w:ascii="Arial" w:hAnsi="Arial" w:cs="Arial"/>
          <w:vertAlign w:val="subscript"/>
        </w:rPr>
        <w:t>3</w:t>
      </w:r>
      <w:r w:rsidRPr="005D475E">
        <w:rPr>
          <w:rFonts w:ascii="Arial" w:hAnsi="Arial" w:cs="Arial"/>
        </w:rPr>
        <w:t xml:space="preserve"> treatment helps to increase cell division, cell elongation and cell multiplication which might have reflected into maximum seedling shoot length. </w:t>
      </w:r>
      <w:r w:rsidRPr="00B334CC">
        <w:rPr>
          <w:rFonts w:ascii="Arial" w:hAnsi="Arial" w:cs="Arial"/>
        </w:rPr>
        <w:t>These results are in accordance with results obtained by Gawade (2008)</w:t>
      </w:r>
      <w:r w:rsidR="00B334CC">
        <w:rPr>
          <w:rFonts w:ascii="Arial" w:hAnsi="Arial" w:cs="Arial"/>
          <w:color w:val="FF0000"/>
        </w:rPr>
        <w:t>.</w:t>
      </w:r>
      <w:r w:rsidRPr="005D475E">
        <w:rPr>
          <w:rFonts w:ascii="Arial" w:hAnsi="Arial" w:cs="Arial"/>
        </w:rPr>
        <w:t xml:space="preserve"> Observation of Ghobadi </w:t>
      </w:r>
      <w:r w:rsidRPr="005D475E">
        <w:rPr>
          <w:rFonts w:ascii="Arial" w:hAnsi="Arial" w:cs="Arial"/>
          <w:i/>
          <w:iCs/>
        </w:rPr>
        <w:t>et al</w:t>
      </w:r>
      <w:r w:rsidRPr="005D475E">
        <w:rPr>
          <w:rFonts w:ascii="Arial" w:hAnsi="Arial" w:cs="Arial"/>
        </w:rPr>
        <w:t>. (2012)</w:t>
      </w:r>
      <w:r w:rsidR="00804DDC">
        <w:rPr>
          <w:rFonts w:ascii="Arial" w:hAnsi="Arial" w:cs="Arial"/>
        </w:rPr>
        <w:t xml:space="preserve"> </w:t>
      </w:r>
      <w:r w:rsidRPr="005D475E">
        <w:rPr>
          <w:rFonts w:ascii="Arial" w:hAnsi="Arial" w:cs="Arial"/>
        </w:rPr>
        <w:t>may support this finding.</w:t>
      </w:r>
    </w:p>
    <w:p w14:paraId="3CC978D4" w14:textId="336A59E2" w:rsidR="005D475E" w:rsidRPr="005D475E" w:rsidRDefault="005D475E" w:rsidP="005D475E">
      <w:pPr>
        <w:pStyle w:val="Body"/>
        <w:rPr>
          <w:rFonts w:ascii="Arial" w:hAnsi="Arial" w:cs="Arial"/>
        </w:rPr>
      </w:pPr>
      <w:r w:rsidRPr="005D475E">
        <w:rPr>
          <w:rFonts w:ascii="Arial" w:hAnsi="Arial" w:cs="Arial"/>
        </w:rPr>
        <w:t>The root lengt</w:t>
      </w:r>
      <w:r w:rsidR="00687954">
        <w:rPr>
          <w:rFonts w:ascii="Arial" w:hAnsi="Arial" w:cs="Arial"/>
        </w:rPr>
        <w:t>h ranged from 10.73</w:t>
      </w:r>
      <w:r w:rsidR="008A7C77">
        <w:rPr>
          <w:rFonts w:ascii="Arial" w:hAnsi="Arial" w:cs="Arial"/>
        </w:rPr>
        <w:t xml:space="preserve"> </w:t>
      </w:r>
      <w:r w:rsidR="00687954">
        <w:rPr>
          <w:rFonts w:ascii="Arial" w:hAnsi="Arial" w:cs="Arial"/>
        </w:rPr>
        <w:t>cm to 14.36</w:t>
      </w:r>
      <w:r w:rsidR="008A7C77">
        <w:rPr>
          <w:rFonts w:ascii="Arial" w:hAnsi="Arial" w:cs="Arial"/>
        </w:rPr>
        <w:t xml:space="preserve"> </w:t>
      </w:r>
      <w:r w:rsidRPr="005D475E">
        <w:rPr>
          <w:rFonts w:ascii="Arial" w:hAnsi="Arial" w:cs="Arial"/>
        </w:rPr>
        <w:t xml:space="preserve">cm. </w:t>
      </w:r>
      <w:r w:rsidR="00666B3B">
        <w:rPr>
          <w:rFonts w:ascii="Arial" w:hAnsi="Arial" w:cs="Arial"/>
        </w:rPr>
        <w:t>M</w:t>
      </w:r>
      <w:r w:rsidR="007D7EB1" w:rsidRPr="005D475E">
        <w:rPr>
          <w:rFonts w:ascii="Arial" w:hAnsi="Arial" w:cs="Arial"/>
        </w:rPr>
        <w:t>inimum root length was recorded in control T</w:t>
      </w:r>
      <w:r w:rsidR="007D7EB1" w:rsidRPr="005D475E">
        <w:rPr>
          <w:rFonts w:ascii="Arial" w:hAnsi="Arial" w:cs="Arial"/>
          <w:vertAlign w:val="subscript"/>
        </w:rPr>
        <w:t>1</w:t>
      </w:r>
      <w:r w:rsidR="007D7EB1">
        <w:rPr>
          <w:rFonts w:ascii="Arial" w:hAnsi="Arial" w:cs="Arial"/>
          <w:vertAlign w:val="subscript"/>
        </w:rPr>
        <w:t xml:space="preserve"> </w:t>
      </w:r>
      <w:r w:rsidR="007D7EB1">
        <w:rPr>
          <w:rFonts w:ascii="Arial" w:hAnsi="Arial" w:cs="Arial"/>
        </w:rPr>
        <w:t xml:space="preserve">(10.73 </w:t>
      </w:r>
      <w:r w:rsidR="007D7EB1" w:rsidRPr="005D475E">
        <w:rPr>
          <w:rFonts w:ascii="Arial" w:hAnsi="Arial" w:cs="Arial"/>
        </w:rPr>
        <w:t>cm)</w:t>
      </w:r>
      <w:r w:rsidR="00666B3B">
        <w:rPr>
          <w:rFonts w:ascii="Arial" w:hAnsi="Arial" w:cs="Arial"/>
        </w:rPr>
        <w:t xml:space="preserve">. </w:t>
      </w:r>
      <w:r w:rsidRPr="005D475E">
        <w:rPr>
          <w:rFonts w:ascii="Arial" w:hAnsi="Arial" w:cs="Arial"/>
          <w:bCs/>
        </w:rPr>
        <w:t xml:space="preserve">Significantly average longest root </w:t>
      </w:r>
      <w:r w:rsidR="00687954">
        <w:rPr>
          <w:rFonts w:ascii="Arial" w:hAnsi="Arial" w:cs="Arial"/>
        </w:rPr>
        <w:t>(14.36</w:t>
      </w:r>
      <w:r w:rsidR="008A7C77">
        <w:rPr>
          <w:rFonts w:ascii="Arial" w:hAnsi="Arial" w:cs="Arial"/>
        </w:rPr>
        <w:t xml:space="preserve"> </w:t>
      </w:r>
      <w:r w:rsidRPr="005D475E">
        <w:rPr>
          <w:rFonts w:ascii="Arial" w:hAnsi="Arial" w:cs="Arial"/>
        </w:rPr>
        <w:t xml:space="preserve">cm) </w:t>
      </w:r>
      <w:r w:rsidRPr="005D475E">
        <w:rPr>
          <w:rFonts w:ascii="Arial" w:hAnsi="Arial" w:cs="Arial"/>
          <w:bCs/>
        </w:rPr>
        <w:t xml:space="preserve">was produced </w:t>
      </w:r>
      <w:r w:rsidRPr="005D475E">
        <w:rPr>
          <w:rFonts w:ascii="Arial" w:hAnsi="Arial" w:cs="Arial"/>
        </w:rPr>
        <w:t>in T</w:t>
      </w:r>
      <w:r w:rsidRPr="005D475E">
        <w:rPr>
          <w:rFonts w:ascii="Arial" w:hAnsi="Arial" w:cs="Arial"/>
          <w:vertAlign w:val="subscript"/>
        </w:rPr>
        <w:t xml:space="preserve">3 </w:t>
      </w:r>
      <w:r w:rsidRPr="005D475E">
        <w:rPr>
          <w:rFonts w:ascii="Arial" w:hAnsi="Arial" w:cs="Arial"/>
        </w:rPr>
        <w:t>(GA</w:t>
      </w:r>
      <w:r w:rsidRPr="005D475E">
        <w:rPr>
          <w:rFonts w:ascii="Arial" w:hAnsi="Arial" w:cs="Arial"/>
          <w:vertAlign w:val="subscript"/>
        </w:rPr>
        <w:t>3</w:t>
      </w:r>
      <w:r w:rsidRPr="005D475E">
        <w:rPr>
          <w:rFonts w:ascii="Arial" w:hAnsi="Arial" w:cs="Arial"/>
        </w:rPr>
        <w:t xml:space="preserve"> 50</w:t>
      </w:r>
      <w:r w:rsidR="008A7C77">
        <w:rPr>
          <w:rFonts w:ascii="Arial" w:hAnsi="Arial" w:cs="Arial"/>
        </w:rPr>
        <w:t xml:space="preserve"> </w:t>
      </w:r>
      <w:r w:rsidRPr="005D475E">
        <w:rPr>
          <w:rFonts w:ascii="Arial" w:hAnsi="Arial" w:cs="Arial"/>
        </w:rPr>
        <w:t>ppm) which was found to be significantly superior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25</w:t>
      </w:r>
      <w:r w:rsidR="008A7C77">
        <w:rPr>
          <w:rFonts w:ascii="Arial" w:hAnsi="Arial" w:cs="Arial"/>
        </w:rPr>
        <w:t xml:space="preserve"> </w:t>
      </w:r>
      <w:r w:rsidRPr="005D475E">
        <w:rPr>
          <w:rFonts w:ascii="Arial" w:hAnsi="Arial" w:cs="Arial"/>
        </w:rPr>
        <w:t xml:space="preserve">ppm) </w:t>
      </w:r>
      <w:r w:rsidRPr="005D475E">
        <w:rPr>
          <w:rFonts w:ascii="Arial" w:hAnsi="Arial" w:cs="Arial"/>
          <w:i/>
          <w:iCs/>
        </w:rPr>
        <w:t>i.e</w:t>
      </w:r>
      <w:r w:rsidRPr="005D475E">
        <w:rPr>
          <w:rFonts w:ascii="Arial" w:hAnsi="Arial" w:cs="Arial"/>
        </w:rPr>
        <w:t>., 13.237</w:t>
      </w:r>
      <w:r w:rsidR="008A7C77">
        <w:rPr>
          <w:rFonts w:ascii="Arial" w:hAnsi="Arial" w:cs="Arial"/>
        </w:rPr>
        <w:t xml:space="preserve"> </w:t>
      </w:r>
      <w:r w:rsidRPr="005D475E">
        <w:rPr>
          <w:rFonts w:ascii="Arial" w:hAnsi="Arial" w:cs="Arial"/>
        </w:rPr>
        <w:t xml:space="preserve">cm. </w:t>
      </w:r>
      <w:r w:rsidRPr="00413B88">
        <w:rPr>
          <w:rFonts w:ascii="Arial" w:hAnsi="Arial" w:cs="Arial"/>
          <w:color w:val="000000" w:themeColor="text1"/>
        </w:rPr>
        <w:t>The maximum root length with GA</w:t>
      </w:r>
      <w:r w:rsidRPr="00413B88">
        <w:rPr>
          <w:rFonts w:ascii="Arial" w:hAnsi="Arial" w:cs="Arial"/>
          <w:color w:val="000000" w:themeColor="text1"/>
          <w:vertAlign w:val="subscript"/>
        </w:rPr>
        <w:t>3</w:t>
      </w:r>
      <w:r w:rsidRPr="00413B88">
        <w:rPr>
          <w:rFonts w:ascii="Arial" w:hAnsi="Arial" w:cs="Arial"/>
          <w:color w:val="000000" w:themeColor="text1"/>
        </w:rPr>
        <w:t xml:space="preserve"> might be </w:t>
      </w:r>
      <w:r w:rsidR="007D7EB1" w:rsidRPr="00413B88">
        <w:rPr>
          <w:rFonts w:ascii="Arial" w:hAnsi="Arial" w:cs="Arial"/>
          <w:color w:val="000000" w:themeColor="text1"/>
        </w:rPr>
        <w:t>due to its influence to promote</w:t>
      </w:r>
      <w:r w:rsidRPr="00413B88">
        <w:rPr>
          <w:rFonts w:ascii="Arial" w:hAnsi="Arial" w:cs="Arial"/>
          <w:color w:val="000000" w:themeColor="text1"/>
        </w:rPr>
        <w:t xml:space="preserve"> more root formation through root cell elongation</w:t>
      </w:r>
      <w:r w:rsidR="0042060A" w:rsidRPr="00413B88">
        <w:rPr>
          <w:rFonts w:ascii="Arial" w:hAnsi="Arial" w:cs="Arial"/>
          <w:color w:val="000000" w:themeColor="text1"/>
        </w:rPr>
        <w:t xml:space="preserve">, cell division and </w:t>
      </w:r>
      <w:r w:rsidR="00413B88">
        <w:rPr>
          <w:rFonts w:ascii="Arial" w:hAnsi="Arial" w:cs="Arial"/>
          <w:color w:val="000000" w:themeColor="text1"/>
        </w:rPr>
        <w:t xml:space="preserve">it </w:t>
      </w:r>
      <w:r w:rsidR="0042060A" w:rsidRPr="00413B88">
        <w:rPr>
          <w:rFonts w:ascii="Arial" w:hAnsi="Arial" w:cs="Arial"/>
          <w:color w:val="000000" w:themeColor="text1"/>
        </w:rPr>
        <w:t>also help</w:t>
      </w:r>
      <w:r w:rsidR="00413B88" w:rsidRPr="00413B88">
        <w:rPr>
          <w:rFonts w:ascii="Arial" w:hAnsi="Arial" w:cs="Arial"/>
          <w:color w:val="000000" w:themeColor="text1"/>
        </w:rPr>
        <w:t xml:space="preserve"> to breakdown seed dormancy</w:t>
      </w:r>
      <w:r w:rsidR="00413B88">
        <w:rPr>
          <w:rFonts w:ascii="Arial" w:hAnsi="Arial" w:cs="Arial"/>
          <w:color w:val="FF0000"/>
        </w:rPr>
        <w:t xml:space="preserve"> </w:t>
      </w:r>
      <w:r w:rsidR="00413B88" w:rsidRPr="00413B88">
        <w:rPr>
          <w:rFonts w:ascii="Arial" w:hAnsi="Arial" w:cs="Arial"/>
          <w:color w:val="000000" w:themeColor="text1"/>
        </w:rPr>
        <w:t>(</w:t>
      </w:r>
      <w:r w:rsidR="00413B88" w:rsidRPr="005D475E">
        <w:rPr>
          <w:rFonts w:ascii="Arial" w:hAnsi="Arial" w:cs="Arial"/>
        </w:rPr>
        <w:t>Shivdeep and Dhillon</w:t>
      </w:r>
      <w:r w:rsidR="00413B88">
        <w:rPr>
          <w:rFonts w:ascii="Arial" w:hAnsi="Arial" w:cs="Arial"/>
        </w:rPr>
        <w:t>,</w:t>
      </w:r>
      <w:r w:rsidR="00413B88" w:rsidRPr="005D475E">
        <w:rPr>
          <w:rFonts w:ascii="Arial" w:hAnsi="Arial" w:cs="Arial"/>
        </w:rPr>
        <w:t xml:space="preserve"> 2021)</w:t>
      </w:r>
      <w:r w:rsidR="00413B88">
        <w:rPr>
          <w:rFonts w:ascii="Arial" w:hAnsi="Arial" w:cs="Arial"/>
          <w:color w:val="FF0000"/>
        </w:rPr>
        <w:t>.</w:t>
      </w:r>
      <w:r w:rsidRPr="005D475E">
        <w:rPr>
          <w:rFonts w:ascii="Arial" w:hAnsi="Arial" w:cs="Arial"/>
        </w:rPr>
        <w:t xml:space="preserve"> The observation of Ghobadi </w:t>
      </w:r>
      <w:r w:rsidRPr="005D475E">
        <w:rPr>
          <w:rFonts w:ascii="Arial" w:hAnsi="Arial" w:cs="Arial"/>
          <w:i/>
          <w:iCs/>
        </w:rPr>
        <w:t>et al</w:t>
      </w:r>
      <w:r w:rsidRPr="005D475E">
        <w:rPr>
          <w:rFonts w:ascii="Arial" w:hAnsi="Arial" w:cs="Arial"/>
        </w:rPr>
        <w:t>. (2012) can be cited in support of better radical length with GA</w:t>
      </w:r>
      <w:r w:rsidRPr="005D475E">
        <w:rPr>
          <w:rFonts w:ascii="Arial" w:hAnsi="Arial" w:cs="Arial"/>
          <w:vertAlign w:val="subscript"/>
        </w:rPr>
        <w:t>3</w:t>
      </w:r>
      <w:r w:rsidRPr="005D475E">
        <w:rPr>
          <w:rFonts w:ascii="Arial" w:hAnsi="Arial" w:cs="Arial"/>
        </w:rPr>
        <w:t>.</w:t>
      </w:r>
    </w:p>
    <w:p w14:paraId="182D276C" w14:textId="24D357E5" w:rsidR="005D475E" w:rsidRPr="005D475E" w:rsidRDefault="005D475E" w:rsidP="005D475E">
      <w:pPr>
        <w:pStyle w:val="Body"/>
        <w:rPr>
          <w:rFonts w:ascii="Arial" w:hAnsi="Arial" w:cs="Arial"/>
        </w:rPr>
      </w:pPr>
      <w:r w:rsidRPr="005D475E">
        <w:rPr>
          <w:rFonts w:ascii="Arial" w:hAnsi="Arial" w:cs="Arial"/>
        </w:rPr>
        <w:t>The maximum seedling length (39.133</w:t>
      </w:r>
      <w:r w:rsidR="008A7C77">
        <w:rPr>
          <w:rFonts w:ascii="Arial" w:hAnsi="Arial" w:cs="Arial"/>
        </w:rPr>
        <w:t xml:space="preserve"> </w:t>
      </w:r>
      <w:r w:rsidRPr="005D475E">
        <w:rPr>
          <w:rFonts w:ascii="Arial" w:hAnsi="Arial" w:cs="Arial"/>
        </w:rPr>
        <w:t>cm)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w:t>
      </w:r>
      <w:r w:rsidR="008A7C77">
        <w:rPr>
          <w:rFonts w:ascii="Arial" w:hAnsi="Arial" w:cs="Arial"/>
        </w:rPr>
        <w:t xml:space="preserve"> </w:t>
      </w:r>
      <w:r w:rsidRPr="005D475E">
        <w:rPr>
          <w:rFonts w:ascii="Arial" w:hAnsi="Arial" w:cs="Arial"/>
        </w:rPr>
        <w:t>ppm) which was found to be significantly superior whereas, minimum seedling height was recorded in control T</w:t>
      </w:r>
      <w:r w:rsidRPr="005D475E">
        <w:rPr>
          <w:rFonts w:ascii="Arial" w:hAnsi="Arial" w:cs="Arial"/>
          <w:vertAlign w:val="subscript"/>
        </w:rPr>
        <w:t xml:space="preserve">1 </w:t>
      </w:r>
      <w:r w:rsidR="00687954">
        <w:rPr>
          <w:rFonts w:ascii="Arial" w:hAnsi="Arial" w:cs="Arial"/>
        </w:rPr>
        <w:t>(25.71</w:t>
      </w:r>
      <w:r w:rsidR="008A7C77">
        <w:rPr>
          <w:rFonts w:ascii="Arial" w:hAnsi="Arial" w:cs="Arial"/>
        </w:rPr>
        <w:t xml:space="preserve"> </w:t>
      </w:r>
      <w:r w:rsidRPr="005D475E">
        <w:rPr>
          <w:rFonts w:ascii="Arial" w:hAnsi="Arial" w:cs="Arial"/>
        </w:rPr>
        <w:t>cm).</w:t>
      </w:r>
      <w:r w:rsidRPr="005D475E">
        <w:rPr>
          <w:rFonts w:ascii="Arial" w:hAnsi="Arial" w:cs="Arial"/>
          <w:lang w:val="en-IN"/>
        </w:rPr>
        <w:t xml:space="preserve"> Sarika </w:t>
      </w:r>
      <w:r w:rsidRPr="005D475E">
        <w:rPr>
          <w:rFonts w:ascii="Arial" w:hAnsi="Arial" w:cs="Arial"/>
          <w:i/>
          <w:iCs/>
          <w:lang w:val="en-IN"/>
        </w:rPr>
        <w:t>et al</w:t>
      </w:r>
      <w:r w:rsidRPr="005D475E">
        <w:rPr>
          <w:rFonts w:ascii="Arial" w:hAnsi="Arial" w:cs="Arial"/>
          <w:lang w:val="en-IN"/>
        </w:rPr>
        <w:t>. (2013)</w:t>
      </w:r>
      <w:r w:rsidR="009A3C28">
        <w:rPr>
          <w:rFonts w:ascii="Arial" w:hAnsi="Arial" w:cs="Arial"/>
          <w:lang w:val="en-IN"/>
        </w:rPr>
        <w:t xml:space="preserve"> also reported</w:t>
      </w:r>
      <w:r w:rsidR="007777DC">
        <w:rPr>
          <w:rFonts w:ascii="Arial" w:hAnsi="Arial" w:cs="Arial"/>
          <w:lang w:val="en-IN"/>
        </w:rPr>
        <w:t xml:space="preserve"> that </w:t>
      </w:r>
      <w:r w:rsidR="007777DC" w:rsidRPr="005D475E">
        <w:rPr>
          <w:rFonts w:ascii="Arial" w:hAnsi="Arial" w:cs="Arial"/>
        </w:rPr>
        <w:t>GA</w:t>
      </w:r>
      <w:r w:rsidR="007777DC" w:rsidRPr="005D475E">
        <w:rPr>
          <w:rFonts w:ascii="Arial" w:hAnsi="Arial" w:cs="Arial"/>
          <w:vertAlign w:val="subscript"/>
        </w:rPr>
        <w:t>3</w:t>
      </w:r>
      <w:r w:rsidR="007777DC">
        <w:rPr>
          <w:rFonts w:ascii="Arial" w:hAnsi="Arial" w:cs="Arial"/>
          <w:vertAlign w:val="subscript"/>
        </w:rPr>
        <w:t xml:space="preserve"> </w:t>
      </w:r>
      <w:r w:rsidR="007777DC">
        <w:rPr>
          <w:rFonts w:ascii="Arial" w:hAnsi="Arial" w:cs="Arial"/>
        </w:rPr>
        <w:t>seed treatment enhanced the seedling length of French bean</w:t>
      </w:r>
      <w:r w:rsidRPr="005D475E">
        <w:rPr>
          <w:rFonts w:ascii="Arial" w:hAnsi="Arial" w:cs="Arial"/>
          <w:lang w:val="en-IN"/>
        </w:rPr>
        <w:t xml:space="preserve"> and </w:t>
      </w:r>
      <w:r w:rsidRPr="005D475E">
        <w:rPr>
          <w:rFonts w:ascii="Arial" w:hAnsi="Arial" w:cs="Arial"/>
        </w:rPr>
        <w:t xml:space="preserve">Kumari </w:t>
      </w:r>
      <w:r w:rsidRPr="005D475E">
        <w:rPr>
          <w:rFonts w:ascii="Arial" w:hAnsi="Arial" w:cs="Arial"/>
          <w:i/>
          <w:iCs/>
        </w:rPr>
        <w:t>et al</w:t>
      </w:r>
      <w:r w:rsidRPr="005D475E">
        <w:rPr>
          <w:rFonts w:ascii="Arial" w:hAnsi="Arial" w:cs="Arial"/>
        </w:rPr>
        <w:t>. (2017) re</w:t>
      </w:r>
      <w:r w:rsidR="007777DC">
        <w:rPr>
          <w:rFonts w:ascii="Arial" w:hAnsi="Arial" w:cs="Arial"/>
        </w:rPr>
        <w:t>ported findings similar to this in Maize seedlings.</w:t>
      </w:r>
    </w:p>
    <w:p w14:paraId="174E1BE0" w14:textId="66507048" w:rsidR="005D475E" w:rsidRPr="005D475E" w:rsidRDefault="005D475E" w:rsidP="005D475E">
      <w:pPr>
        <w:pStyle w:val="Body"/>
        <w:rPr>
          <w:rFonts w:ascii="Arial" w:hAnsi="Arial" w:cs="Arial"/>
        </w:rPr>
      </w:pPr>
      <w:r w:rsidRPr="005D475E">
        <w:rPr>
          <w:rFonts w:ascii="Arial" w:hAnsi="Arial" w:cs="Arial"/>
        </w:rPr>
        <w:t>Average seedling fresh weight was found to be significantly maximum for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 50</w:t>
      </w:r>
      <w:r w:rsidR="008A7C77">
        <w:rPr>
          <w:rFonts w:ascii="Arial" w:hAnsi="Arial" w:cs="Arial"/>
        </w:rPr>
        <w:t xml:space="preserve"> </w:t>
      </w:r>
      <w:r w:rsidRPr="005D475E">
        <w:rPr>
          <w:rFonts w:ascii="Arial" w:hAnsi="Arial" w:cs="Arial"/>
        </w:rPr>
        <w:t xml:space="preserve">ppm) </w:t>
      </w:r>
      <w:r w:rsidRPr="005D475E">
        <w:rPr>
          <w:rFonts w:ascii="Arial" w:hAnsi="Arial" w:cs="Arial"/>
          <w:i/>
          <w:iCs/>
        </w:rPr>
        <w:t>i.e.</w:t>
      </w:r>
      <w:r w:rsidR="00687954">
        <w:rPr>
          <w:rFonts w:ascii="Arial" w:hAnsi="Arial" w:cs="Arial"/>
        </w:rPr>
        <w:t>, 12.58</w:t>
      </w:r>
      <w:r w:rsidRPr="005D475E">
        <w:rPr>
          <w:rFonts w:ascii="Arial" w:hAnsi="Arial" w:cs="Arial"/>
        </w:rPr>
        <w:t xml:space="preserve"> g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666B3B">
        <w:rPr>
          <w:rFonts w:ascii="Arial" w:hAnsi="Arial" w:cs="Arial"/>
        </w:rPr>
        <w:t xml:space="preserve"> 25</w:t>
      </w:r>
      <w:r w:rsidR="0042060A">
        <w:rPr>
          <w:rFonts w:ascii="Arial" w:hAnsi="Arial" w:cs="Arial"/>
        </w:rPr>
        <w:t xml:space="preserve"> </w:t>
      </w:r>
      <w:r w:rsidR="00666B3B">
        <w:rPr>
          <w:rFonts w:ascii="Arial" w:hAnsi="Arial" w:cs="Arial"/>
        </w:rPr>
        <w:t>ppm) which weigh</w:t>
      </w:r>
      <w:r w:rsidR="00687954">
        <w:rPr>
          <w:rFonts w:ascii="Arial" w:hAnsi="Arial" w:cs="Arial"/>
        </w:rPr>
        <w:t>ed 11.38</w:t>
      </w:r>
      <w:r w:rsidRPr="005D475E">
        <w:rPr>
          <w:rFonts w:ascii="Arial" w:hAnsi="Arial" w:cs="Arial"/>
        </w:rPr>
        <w:t xml:space="preserve"> g (Tabl</w:t>
      </w:r>
      <w:r w:rsidR="00687954">
        <w:rPr>
          <w:rFonts w:ascii="Arial" w:hAnsi="Arial" w:cs="Arial"/>
        </w:rPr>
        <w:t xml:space="preserve">e </w:t>
      </w:r>
      <w:r w:rsidR="00E27388">
        <w:rPr>
          <w:rFonts w:ascii="Arial" w:hAnsi="Arial" w:cs="Arial"/>
        </w:rPr>
        <w:t>2</w:t>
      </w:r>
      <w:r w:rsidR="00687954">
        <w:rPr>
          <w:rFonts w:ascii="Arial" w:hAnsi="Arial" w:cs="Arial"/>
        </w:rPr>
        <w:t>). The data ranged from 6.50 g to 12.58</w:t>
      </w:r>
      <w:r w:rsidRPr="005D475E">
        <w:rPr>
          <w:rFonts w:ascii="Arial" w:hAnsi="Arial" w:cs="Arial"/>
        </w:rPr>
        <w:t xml:space="preserve"> g whereas, the lowest magnitude was recorded in untreated control (T</w:t>
      </w:r>
      <w:r w:rsidRPr="005D475E">
        <w:rPr>
          <w:rFonts w:ascii="Arial" w:hAnsi="Arial" w:cs="Arial"/>
          <w:vertAlign w:val="subscript"/>
        </w:rPr>
        <w:t>1</w:t>
      </w:r>
      <w:r w:rsidR="00687954">
        <w:rPr>
          <w:rFonts w:ascii="Arial" w:hAnsi="Arial" w:cs="Arial"/>
        </w:rPr>
        <w:t>; 6.50</w:t>
      </w:r>
      <w:r w:rsidRPr="005D475E">
        <w:rPr>
          <w:rFonts w:ascii="Arial" w:hAnsi="Arial" w:cs="Arial"/>
        </w:rPr>
        <w:t xml:space="preserve"> g). The higher fresh weight of seedling with GA</w:t>
      </w:r>
      <w:r w:rsidRPr="005D475E">
        <w:rPr>
          <w:rFonts w:ascii="Arial" w:hAnsi="Arial" w:cs="Arial"/>
          <w:vertAlign w:val="subscript"/>
        </w:rPr>
        <w:t>3</w:t>
      </w:r>
      <w:r w:rsidRPr="005D475E">
        <w:rPr>
          <w:rFonts w:ascii="Arial" w:hAnsi="Arial" w:cs="Arial"/>
        </w:rPr>
        <w:t xml:space="preserve"> pre-soaking seed treatment can be correlated with higher overall growth in the corresponding treatment of GA</w:t>
      </w:r>
      <w:r w:rsidRPr="005D475E">
        <w:rPr>
          <w:rFonts w:ascii="Arial" w:hAnsi="Arial" w:cs="Arial"/>
          <w:vertAlign w:val="subscript"/>
        </w:rPr>
        <w:t>3</w:t>
      </w:r>
      <w:r w:rsidRPr="005D475E">
        <w:rPr>
          <w:rFonts w:ascii="Arial" w:hAnsi="Arial" w:cs="Arial"/>
        </w:rPr>
        <w:t>. Observations made by</w:t>
      </w:r>
      <w:bookmarkStart w:id="0" w:name="_Hlk143151011"/>
      <w:r w:rsidR="00262B46">
        <w:rPr>
          <w:rFonts w:ascii="Arial" w:hAnsi="Arial" w:cs="Arial"/>
        </w:rPr>
        <w:t xml:space="preserve"> </w:t>
      </w:r>
      <w:r w:rsidRPr="005D475E">
        <w:rPr>
          <w:rFonts w:ascii="Arial" w:hAnsi="Arial" w:cs="Arial"/>
        </w:rPr>
        <w:t>Elangbam</w:t>
      </w:r>
      <w:r w:rsidR="00262B46">
        <w:rPr>
          <w:rFonts w:ascii="Arial" w:hAnsi="Arial" w:cs="Arial"/>
        </w:rPr>
        <w:t xml:space="preserve"> </w:t>
      </w:r>
      <w:r w:rsidRPr="005D475E">
        <w:rPr>
          <w:rFonts w:ascii="Arial" w:hAnsi="Arial" w:cs="Arial"/>
          <w:i/>
          <w:iCs/>
        </w:rPr>
        <w:t>et al</w:t>
      </w:r>
      <w:r w:rsidRPr="005D475E">
        <w:rPr>
          <w:rFonts w:ascii="Arial" w:hAnsi="Arial" w:cs="Arial"/>
        </w:rPr>
        <w:t>. (2017)</w:t>
      </w:r>
      <w:r w:rsidR="00E56A9F">
        <w:rPr>
          <w:rFonts w:ascii="Arial" w:hAnsi="Arial" w:cs="Arial"/>
        </w:rPr>
        <w:t xml:space="preserve"> </w:t>
      </w:r>
      <w:r w:rsidRPr="005D475E">
        <w:rPr>
          <w:rFonts w:ascii="Arial" w:hAnsi="Arial" w:cs="Arial"/>
        </w:rPr>
        <w:t xml:space="preserve">&amp; Kumari </w:t>
      </w:r>
      <w:r w:rsidRPr="005D475E">
        <w:rPr>
          <w:rFonts w:ascii="Arial" w:hAnsi="Arial" w:cs="Arial"/>
          <w:i/>
          <w:iCs/>
        </w:rPr>
        <w:t>et al</w:t>
      </w:r>
      <w:r w:rsidRPr="005D475E">
        <w:rPr>
          <w:rFonts w:ascii="Arial" w:hAnsi="Arial" w:cs="Arial"/>
        </w:rPr>
        <w:t>. (2017)</w:t>
      </w:r>
      <w:bookmarkEnd w:id="0"/>
      <w:r w:rsidRPr="005D475E">
        <w:rPr>
          <w:rFonts w:ascii="Arial" w:hAnsi="Arial" w:cs="Arial"/>
        </w:rPr>
        <w:t xml:space="preserve"> can be utilized in support of this finding.</w:t>
      </w:r>
    </w:p>
    <w:p w14:paraId="2A901859" w14:textId="1EEFADE9" w:rsidR="005D475E" w:rsidRPr="005556F2" w:rsidRDefault="005D475E" w:rsidP="005D475E">
      <w:pPr>
        <w:pStyle w:val="Body"/>
        <w:rPr>
          <w:rFonts w:ascii="Arial" w:hAnsi="Arial" w:cs="Arial"/>
        </w:rPr>
      </w:pPr>
      <w:r w:rsidRPr="005D475E">
        <w:rPr>
          <w:rFonts w:ascii="Arial" w:hAnsi="Arial" w:cs="Arial"/>
        </w:rPr>
        <w:t>For production of seedlings with highest dry matter (Table 2),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50</w:t>
      </w:r>
      <w:r w:rsidR="008A7C77">
        <w:rPr>
          <w:rFonts w:ascii="Arial" w:hAnsi="Arial" w:cs="Arial"/>
        </w:rPr>
        <w:t xml:space="preserve"> </w:t>
      </w:r>
      <w:r w:rsidR="00687954">
        <w:rPr>
          <w:rFonts w:ascii="Arial" w:hAnsi="Arial" w:cs="Arial"/>
        </w:rPr>
        <w:t>ppm; 1.23</w:t>
      </w:r>
      <w:r w:rsidR="008A7C77">
        <w:rPr>
          <w:rFonts w:ascii="Arial" w:hAnsi="Arial" w:cs="Arial"/>
        </w:rPr>
        <w:t xml:space="preserve"> </w:t>
      </w:r>
      <w:r w:rsidRPr="005D475E">
        <w:rPr>
          <w:rFonts w:ascii="Arial" w:hAnsi="Arial" w:cs="Arial"/>
        </w:rPr>
        <w:t>g) occupied the top position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25</w:t>
      </w:r>
      <w:r w:rsidR="008A7C77">
        <w:rPr>
          <w:rFonts w:ascii="Arial" w:hAnsi="Arial" w:cs="Arial"/>
        </w:rPr>
        <w:t xml:space="preserve"> </w:t>
      </w:r>
      <w:r w:rsidR="00687954">
        <w:rPr>
          <w:rFonts w:ascii="Arial" w:hAnsi="Arial" w:cs="Arial"/>
        </w:rPr>
        <w:t>ppm; 0.94</w:t>
      </w:r>
      <w:r w:rsidR="008A7C77">
        <w:rPr>
          <w:rFonts w:ascii="Arial" w:hAnsi="Arial" w:cs="Arial"/>
        </w:rPr>
        <w:t xml:space="preserve"> </w:t>
      </w:r>
      <w:r w:rsidRPr="005D475E">
        <w:rPr>
          <w:rFonts w:ascii="Arial" w:hAnsi="Arial" w:cs="Arial"/>
        </w:rPr>
        <w:t>g). The seedling dry weight</w:t>
      </w:r>
      <w:r w:rsidR="00687954">
        <w:rPr>
          <w:rFonts w:ascii="Arial" w:hAnsi="Arial" w:cs="Arial"/>
        </w:rPr>
        <w:t xml:space="preserve"> </w:t>
      </w:r>
      <w:r w:rsidR="00687954">
        <w:rPr>
          <w:rFonts w:ascii="Arial" w:hAnsi="Arial" w:cs="Arial"/>
        </w:rPr>
        <w:lastRenderedPageBreak/>
        <w:t>ranged from 0.54</w:t>
      </w:r>
      <w:r w:rsidR="008A7C77">
        <w:rPr>
          <w:rFonts w:ascii="Arial" w:hAnsi="Arial" w:cs="Arial"/>
        </w:rPr>
        <w:t xml:space="preserve"> </w:t>
      </w:r>
      <w:r w:rsidR="00687954">
        <w:rPr>
          <w:rFonts w:ascii="Arial" w:hAnsi="Arial" w:cs="Arial"/>
        </w:rPr>
        <w:t>g to 1.23</w:t>
      </w:r>
      <w:r w:rsidR="008A7C77">
        <w:rPr>
          <w:rFonts w:ascii="Arial" w:hAnsi="Arial" w:cs="Arial"/>
        </w:rPr>
        <w:t xml:space="preserve"> </w:t>
      </w:r>
      <w:r w:rsidRPr="005D475E">
        <w:rPr>
          <w:rFonts w:ascii="Arial" w:hAnsi="Arial" w:cs="Arial"/>
        </w:rPr>
        <w:t>g. Minimum seedling dry weight observed for control (T</w:t>
      </w:r>
      <w:r w:rsidRPr="008A7C77">
        <w:rPr>
          <w:rFonts w:ascii="Arial" w:hAnsi="Arial" w:cs="Arial"/>
          <w:vertAlign w:val="subscript"/>
        </w:rPr>
        <w:t>1</w:t>
      </w:r>
      <w:r w:rsidRPr="005D475E">
        <w:rPr>
          <w:rFonts w:ascii="Arial" w:hAnsi="Arial" w:cs="Arial"/>
        </w:rPr>
        <w:t xml:space="preserve">; </w:t>
      </w:r>
      <w:r w:rsidR="00687954">
        <w:rPr>
          <w:rFonts w:ascii="Arial" w:hAnsi="Arial" w:cs="Arial"/>
        </w:rPr>
        <w:t>0.54</w:t>
      </w:r>
      <w:r w:rsidR="008A7C77">
        <w:rPr>
          <w:rFonts w:ascii="Arial" w:hAnsi="Arial" w:cs="Arial"/>
        </w:rPr>
        <w:t xml:space="preserve"> </w:t>
      </w:r>
      <w:r w:rsidRPr="005D475E">
        <w:rPr>
          <w:rFonts w:ascii="Arial" w:hAnsi="Arial" w:cs="Arial"/>
        </w:rPr>
        <w:t xml:space="preserve">g). Hence, it can be stated that increase in overall growth of the seedling has </w:t>
      </w:r>
      <w:r w:rsidR="00E56A9F" w:rsidRPr="005D475E">
        <w:rPr>
          <w:rFonts w:ascii="Arial" w:hAnsi="Arial" w:cs="Arial"/>
        </w:rPr>
        <w:t>led</w:t>
      </w:r>
      <w:r w:rsidRPr="005D475E">
        <w:rPr>
          <w:rFonts w:ascii="Arial" w:hAnsi="Arial" w:cs="Arial"/>
        </w:rPr>
        <w:t xml:space="preserve"> to the overall assimilation and redistribution of food material with t</w:t>
      </w:r>
      <w:r w:rsidR="00B334CC">
        <w:rPr>
          <w:rFonts w:ascii="Arial" w:hAnsi="Arial" w:cs="Arial"/>
        </w:rPr>
        <w:t xml:space="preserve">he seedling (Brian </w:t>
      </w:r>
      <w:r w:rsidR="00B334CC" w:rsidRPr="00B334CC">
        <w:rPr>
          <w:rFonts w:ascii="Arial" w:hAnsi="Arial" w:cs="Arial"/>
          <w:i/>
        </w:rPr>
        <w:t>et al</w:t>
      </w:r>
      <w:r w:rsidR="00B334CC">
        <w:rPr>
          <w:rFonts w:ascii="Arial" w:hAnsi="Arial" w:cs="Arial"/>
        </w:rPr>
        <w:t>., 1955)</w:t>
      </w:r>
      <w:r w:rsidRPr="005D475E">
        <w:rPr>
          <w:rFonts w:ascii="Arial" w:hAnsi="Arial" w:cs="Arial"/>
        </w:rPr>
        <w:t>.</w:t>
      </w:r>
      <w:r w:rsidRPr="005D475E">
        <w:rPr>
          <w:rFonts w:ascii="Arial" w:hAnsi="Arial" w:cs="Arial"/>
          <w:bCs/>
        </w:rPr>
        <w:t xml:space="preserve"> Reports made by </w:t>
      </w:r>
      <w:bookmarkStart w:id="1" w:name="_Hlk143151291"/>
      <w:r w:rsidRPr="005D475E">
        <w:rPr>
          <w:rFonts w:ascii="Arial" w:hAnsi="Arial" w:cs="Arial"/>
        </w:rPr>
        <w:t xml:space="preserve">Ghobadi </w:t>
      </w:r>
      <w:r w:rsidRPr="005D475E">
        <w:rPr>
          <w:rFonts w:ascii="Arial" w:hAnsi="Arial" w:cs="Arial"/>
          <w:i/>
          <w:iCs/>
        </w:rPr>
        <w:t>et al</w:t>
      </w:r>
      <w:r w:rsidRPr="005D475E">
        <w:rPr>
          <w:rFonts w:ascii="Arial" w:hAnsi="Arial" w:cs="Arial"/>
        </w:rPr>
        <w:t>. (2012)</w:t>
      </w:r>
      <w:bookmarkEnd w:id="1"/>
      <w:r w:rsidR="0099690C">
        <w:rPr>
          <w:rFonts w:ascii="Arial" w:hAnsi="Arial" w:cs="Arial"/>
        </w:rPr>
        <w:t xml:space="preserve"> in Wheat</w:t>
      </w:r>
      <w:r w:rsidR="005556F2">
        <w:rPr>
          <w:rFonts w:ascii="Arial" w:hAnsi="Arial" w:cs="Arial"/>
        </w:rPr>
        <w:t xml:space="preserve"> showed enhanced seedling dry matter with 50 ppm </w:t>
      </w:r>
      <w:r w:rsidR="005556F2" w:rsidRPr="005D475E">
        <w:rPr>
          <w:rFonts w:ascii="Arial" w:hAnsi="Arial" w:cs="Arial"/>
        </w:rPr>
        <w:t>GA</w:t>
      </w:r>
      <w:r w:rsidR="005556F2" w:rsidRPr="005D475E">
        <w:rPr>
          <w:rFonts w:ascii="Arial" w:hAnsi="Arial" w:cs="Arial"/>
          <w:vertAlign w:val="subscript"/>
        </w:rPr>
        <w:t>3</w:t>
      </w:r>
      <w:r w:rsidR="00E56A9F">
        <w:rPr>
          <w:rFonts w:ascii="Arial" w:hAnsi="Arial" w:cs="Arial"/>
        </w:rPr>
        <w:t>.</w:t>
      </w:r>
      <w:r w:rsidRPr="005D475E">
        <w:rPr>
          <w:rFonts w:ascii="Arial" w:hAnsi="Arial" w:cs="Arial"/>
        </w:rPr>
        <w:t xml:space="preserve"> Kumari </w:t>
      </w:r>
      <w:r w:rsidRPr="005D475E">
        <w:rPr>
          <w:rFonts w:ascii="Arial" w:hAnsi="Arial" w:cs="Arial"/>
          <w:i/>
          <w:iCs/>
        </w:rPr>
        <w:t>et al</w:t>
      </w:r>
      <w:r w:rsidRPr="005D475E">
        <w:rPr>
          <w:rFonts w:ascii="Arial" w:hAnsi="Arial" w:cs="Arial"/>
        </w:rPr>
        <w:t>. (2017)</w:t>
      </w:r>
      <w:r w:rsidR="005556F2">
        <w:rPr>
          <w:rFonts w:ascii="Arial" w:hAnsi="Arial" w:cs="Arial"/>
        </w:rPr>
        <w:t xml:space="preserve"> in Maize</w:t>
      </w:r>
      <w:r w:rsidRPr="005D475E">
        <w:rPr>
          <w:rFonts w:ascii="Arial" w:hAnsi="Arial" w:cs="Arial"/>
        </w:rPr>
        <w:t xml:space="preserve">, Lay </w:t>
      </w:r>
      <w:r w:rsidRPr="005D475E">
        <w:rPr>
          <w:rFonts w:ascii="Arial" w:hAnsi="Arial" w:cs="Arial"/>
          <w:i/>
          <w:iCs/>
        </w:rPr>
        <w:t>et al</w:t>
      </w:r>
      <w:r w:rsidRPr="005D475E">
        <w:rPr>
          <w:rFonts w:ascii="Arial" w:hAnsi="Arial" w:cs="Arial"/>
        </w:rPr>
        <w:t>. (2015)</w:t>
      </w:r>
      <w:r w:rsidR="005556F2">
        <w:rPr>
          <w:rFonts w:ascii="Arial" w:hAnsi="Arial" w:cs="Arial"/>
        </w:rPr>
        <w:t xml:space="preserve"> in Papaya</w:t>
      </w:r>
      <w:r w:rsidRPr="005D475E">
        <w:rPr>
          <w:rFonts w:ascii="Arial" w:hAnsi="Arial" w:cs="Arial"/>
        </w:rPr>
        <w:t xml:space="preserve"> and </w:t>
      </w:r>
      <w:bookmarkStart w:id="2" w:name="_Hlk143152207"/>
      <w:r w:rsidRPr="005D475E">
        <w:rPr>
          <w:rFonts w:ascii="Arial" w:hAnsi="Arial" w:cs="Arial"/>
          <w:lang w:val="en-IN"/>
        </w:rPr>
        <w:t xml:space="preserve">Sarika </w:t>
      </w:r>
      <w:r w:rsidRPr="005D475E">
        <w:rPr>
          <w:rFonts w:ascii="Arial" w:hAnsi="Arial" w:cs="Arial"/>
          <w:i/>
          <w:iCs/>
          <w:lang w:val="en-IN"/>
        </w:rPr>
        <w:t>et al</w:t>
      </w:r>
      <w:r w:rsidRPr="005D475E">
        <w:rPr>
          <w:rFonts w:ascii="Arial" w:hAnsi="Arial" w:cs="Arial"/>
          <w:lang w:val="en-IN"/>
        </w:rPr>
        <w:t>. (2013</w:t>
      </w:r>
      <w:bookmarkEnd w:id="2"/>
      <w:r w:rsidRPr="005D475E">
        <w:rPr>
          <w:rFonts w:ascii="Arial" w:hAnsi="Arial" w:cs="Arial"/>
          <w:lang w:val="en-IN"/>
        </w:rPr>
        <w:t>)</w:t>
      </w:r>
      <w:r w:rsidR="005556F2">
        <w:rPr>
          <w:rFonts w:ascii="Arial" w:hAnsi="Arial" w:cs="Arial"/>
          <w:lang w:val="en-IN"/>
        </w:rPr>
        <w:t xml:space="preserve"> in French bean </w:t>
      </w:r>
      <w:r w:rsidR="005556F2">
        <w:rPr>
          <w:rFonts w:ascii="Arial" w:hAnsi="Arial" w:cs="Arial"/>
        </w:rPr>
        <w:t xml:space="preserve">also found that </w:t>
      </w:r>
      <w:r w:rsidR="005556F2" w:rsidRPr="005D475E">
        <w:rPr>
          <w:rFonts w:ascii="Arial" w:hAnsi="Arial" w:cs="Arial"/>
        </w:rPr>
        <w:t>GA</w:t>
      </w:r>
      <w:r w:rsidR="005556F2" w:rsidRPr="005D475E">
        <w:rPr>
          <w:rFonts w:ascii="Arial" w:hAnsi="Arial" w:cs="Arial"/>
          <w:vertAlign w:val="subscript"/>
        </w:rPr>
        <w:t>3</w:t>
      </w:r>
      <w:r w:rsidR="005556F2">
        <w:rPr>
          <w:rFonts w:ascii="Arial" w:hAnsi="Arial" w:cs="Arial"/>
          <w:vertAlign w:val="subscript"/>
        </w:rPr>
        <w:t xml:space="preserve"> </w:t>
      </w:r>
      <w:r w:rsidR="005556F2">
        <w:rPr>
          <w:rFonts w:ascii="Arial" w:hAnsi="Arial" w:cs="Arial"/>
        </w:rPr>
        <w:t xml:space="preserve">produced highest dry matter </w:t>
      </w:r>
      <w:r w:rsidR="00262B46">
        <w:rPr>
          <w:rFonts w:ascii="Arial" w:hAnsi="Arial" w:cs="Arial"/>
        </w:rPr>
        <w:t>of seedlings.</w:t>
      </w:r>
    </w:p>
    <w:p w14:paraId="7502DC1B" w14:textId="77777777" w:rsidR="0057433E" w:rsidRPr="005D475E" w:rsidRDefault="0057433E" w:rsidP="005D475E">
      <w:pPr>
        <w:pStyle w:val="Body"/>
        <w:rPr>
          <w:rFonts w:ascii="Arial" w:hAnsi="Arial" w:cs="Arial"/>
        </w:rPr>
      </w:pPr>
    </w:p>
    <w:p w14:paraId="09C2E67B" w14:textId="77777777" w:rsidR="005D475E" w:rsidRPr="005D475E" w:rsidRDefault="005D475E" w:rsidP="00DC5F0B">
      <w:pPr>
        <w:pStyle w:val="Body"/>
        <w:spacing w:after="0"/>
        <w:jc w:val="center"/>
        <w:rPr>
          <w:rFonts w:ascii="Arial" w:hAnsi="Arial" w:cs="Arial"/>
        </w:rPr>
      </w:pPr>
      <w:r w:rsidRPr="005D475E">
        <w:rPr>
          <w:rFonts w:ascii="Arial" w:hAnsi="Arial" w:cs="Arial"/>
          <w:b/>
          <w:bCs/>
          <w:u w:val="single"/>
        </w:rPr>
        <w:t>Table 2</w:t>
      </w:r>
      <w:r w:rsidRPr="005D475E">
        <w:rPr>
          <w:rFonts w:ascii="Arial" w:hAnsi="Arial" w:cs="Arial"/>
          <w:b/>
          <w:bCs/>
        </w:rPr>
        <w:t xml:space="preserve">: </w:t>
      </w:r>
      <w:r w:rsidRPr="005D475E">
        <w:rPr>
          <w:rFonts w:ascii="Arial" w:hAnsi="Arial" w:cs="Arial"/>
          <w:u w:val="single"/>
        </w:rPr>
        <w:t>Impact of seed treatment on seed quality parameters and vigour of French bean</w:t>
      </w:r>
    </w:p>
    <w:p w14:paraId="1510BB1A" w14:textId="77777777" w:rsidR="005D475E" w:rsidRDefault="005D475E" w:rsidP="00DC5F0B">
      <w:pPr>
        <w:pStyle w:val="Body"/>
        <w:spacing w:after="0"/>
        <w:jc w:val="center"/>
        <w:rPr>
          <w:rFonts w:ascii="Arial" w:hAnsi="Arial" w:cs="Arial"/>
        </w:rPr>
      </w:pPr>
      <w:r w:rsidRPr="005D475E">
        <w:rPr>
          <w:rFonts w:ascii="Arial" w:hAnsi="Arial" w:cs="Arial"/>
        </w:rPr>
        <w:t>(</w:t>
      </w:r>
      <w:r w:rsidRPr="005D475E">
        <w:rPr>
          <w:rFonts w:ascii="Arial" w:hAnsi="Arial" w:cs="Arial"/>
          <w:i/>
          <w:iCs/>
        </w:rPr>
        <w:t xml:space="preserve">Phaseolus vulgaris </w:t>
      </w:r>
      <w:r w:rsidRPr="005D475E">
        <w:rPr>
          <w:rFonts w:ascii="Arial" w:hAnsi="Arial" w:cs="Arial"/>
        </w:rPr>
        <w:t>L.)</w:t>
      </w:r>
    </w:p>
    <w:p w14:paraId="3F92E9CA" w14:textId="77777777" w:rsidR="00DC5F0B" w:rsidRPr="005D475E" w:rsidRDefault="00DC5F0B" w:rsidP="00DC5F0B">
      <w:pPr>
        <w:pStyle w:val="Body"/>
        <w:spacing w:after="0"/>
        <w:jc w:val="center"/>
        <w:rPr>
          <w:rFonts w:ascii="Arial" w:hAnsi="Arial" w:cs="Arial"/>
        </w:rPr>
      </w:pPr>
    </w:p>
    <w:tbl>
      <w:tblPr>
        <w:tblStyle w:val="TableGrid"/>
        <w:tblW w:w="9720" w:type="dxa"/>
        <w:tblInd w:w="-882" w:type="dxa"/>
        <w:tblLayout w:type="fixed"/>
        <w:tblLook w:val="04A0" w:firstRow="1" w:lastRow="0" w:firstColumn="1" w:lastColumn="0" w:noHBand="0" w:noVBand="1"/>
      </w:tblPr>
      <w:tblGrid>
        <w:gridCol w:w="1260"/>
        <w:gridCol w:w="1479"/>
        <w:gridCol w:w="1005"/>
        <w:gridCol w:w="936"/>
        <w:gridCol w:w="1080"/>
        <w:gridCol w:w="900"/>
        <w:gridCol w:w="900"/>
        <w:gridCol w:w="1170"/>
        <w:gridCol w:w="990"/>
      </w:tblGrid>
      <w:tr w:rsidR="00461CCA" w:rsidRPr="005D475E" w14:paraId="39703CE4" w14:textId="77777777" w:rsidTr="00461CCA">
        <w:trPr>
          <w:trHeight w:val="515"/>
        </w:trPr>
        <w:tc>
          <w:tcPr>
            <w:tcW w:w="1260" w:type="dxa"/>
            <w:tcBorders>
              <w:top w:val="single" w:sz="4" w:space="0" w:color="auto"/>
              <w:left w:val="nil"/>
              <w:bottom w:val="single" w:sz="4" w:space="0" w:color="auto"/>
              <w:right w:val="nil"/>
            </w:tcBorders>
          </w:tcPr>
          <w:p w14:paraId="3DE693AF"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Treatment</w:t>
            </w:r>
          </w:p>
        </w:tc>
        <w:tc>
          <w:tcPr>
            <w:tcW w:w="1479" w:type="dxa"/>
            <w:tcBorders>
              <w:top w:val="single" w:sz="4" w:space="0" w:color="auto"/>
              <w:left w:val="nil"/>
              <w:bottom w:val="single" w:sz="4" w:space="0" w:color="auto"/>
              <w:right w:val="nil"/>
            </w:tcBorders>
          </w:tcPr>
          <w:p w14:paraId="51BC861A"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Germination</w:t>
            </w:r>
          </w:p>
          <w:p w14:paraId="48717201"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w:t>
            </w:r>
          </w:p>
        </w:tc>
        <w:tc>
          <w:tcPr>
            <w:tcW w:w="1005" w:type="dxa"/>
            <w:tcBorders>
              <w:top w:val="single" w:sz="4" w:space="0" w:color="auto"/>
              <w:left w:val="nil"/>
              <w:bottom w:val="single" w:sz="4" w:space="0" w:color="auto"/>
              <w:right w:val="nil"/>
            </w:tcBorders>
          </w:tcPr>
          <w:p w14:paraId="432F730B"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Shoot Length (cm)</w:t>
            </w:r>
          </w:p>
        </w:tc>
        <w:tc>
          <w:tcPr>
            <w:tcW w:w="936" w:type="dxa"/>
            <w:tcBorders>
              <w:top w:val="single" w:sz="4" w:space="0" w:color="auto"/>
              <w:left w:val="nil"/>
              <w:bottom w:val="single" w:sz="4" w:space="0" w:color="auto"/>
              <w:right w:val="nil"/>
            </w:tcBorders>
          </w:tcPr>
          <w:p w14:paraId="0E5D4F4E"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Root</w:t>
            </w:r>
          </w:p>
          <w:p w14:paraId="2CB822CD"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Length (cm)</w:t>
            </w:r>
          </w:p>
        </w:tc>
        <w:tc>
          <w:tcPr>
            <w:tcW w:w="1080" w:type="dxa"/>
            <w:tcBorders>
              <w:top w:val="single" w:sz="4" w:space="0" w:color="auto"/>
              <w:left w:val="nil"/>
              <w:bottom w:val="single" w:sz="4" w:space="0" w:color="auto"/>
              <w:right w:val="nil"/>
            </w:tcBorders>
          </w:tcPr>
          <w:p w14:paraId="2F1BE68B"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Seedling</w:t>
            </w:r>
          </w:p>
          <w:p w14:paraId="5C6834B1"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Length (cm)</w:t>
            </w:r>
          </w:p>
        </w:tc>
        <w:tc>
          <w:tcPr>
            <w:tcW w:w="900" w:type="dxa"/>
            <w:tcBorders>
              <w:top w:val="single" w:sz="4" w:space="0" w:color="auto"/>
              <w:left w:val="nil"/>
              <w:bottom w:val="single" w:sz="4" w:space="0" w:color="auto"/>
              <w:right w:val="nil"/>
            </w:tcBorders>
          </w:tcPr>
          <w:p w14:paraId="24BA4E1B"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Fresh Weight</w:t>
            </w:r>
          </w:p>
          <w:p w14:paraId="1A53398D"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w:t>
            </w:r>
          </w:p>
        </w:tc>
        <w:tc>
          <w:tcPr>
            <w:tcW w:w="900" w:type="dxa"/>
            <w:tcBorders>
              <w:top w:val="single" w:sz="4" w:space="0" w:color="auto"/>
              <w:left w:val="nil"/>
              <w:bottom w:val="single" w:sz="4" w:space="0" w:color="auto"/>
              <w:right w:val="nil"/>
            </w:tcBorders>
          </w:tcPr>
          <w:p w14:paraId="05D3A49A"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Dry Weight (g</w:t>
            </w:r>
            <w:r w:rsidRPr="005D475E">
              <w:rPr>
                <w:rFonts w:ascii="Arial" w:hAnsi="Arial" w:cs="Arial"/>
                <w:sz w:val="20"/>
              </w:rPr>
              <w:t>)</w:t>
            </w:r>
          </w:p>
        </w:tc>
        <w:tc>
          <w:tcPr>
            <w:tcW w:w="1170" w:type="dxa"/>
            <w:tcBorders>
              <w:top w:val="single" w:sz="4" w:space="0" w:color="auto"/>
              <w:left w:val="nil"/>
              <w:bottom w:val="single" w:sz="4" w:space="0" w:color="auto"/>
              <w:right w:val="nil"/>
            </w:tcBorders>
          </w:tcPr>
          <w:p w14:paraId="235E5B46"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w:t>
            </w:r>
          </w:p>
        </w:tc>
        <w:tc>
          <w:tcPr>
            <w:tcW w:w="990" w:type="dxa"/>
            <w:tcBorders>
              <w:top w:val="single" w:sz="4" w:space="0" w:color="auto"/>
              <w:left w:val="nil"/>
              <w:bottom w:val="single" w:sz="4" w:space="0" w:color="auto"/>
              <w:right w:val="nil"/>
            </w:tcBorders>
          </w:tcPr>
          <w:p w14:paraId="75E05029"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II</w:t>
            </w:r>
          </w:p>
        </w:tc>
      </w:tr>
      <w:tr w:rsidR="00461CCA" w:rsidRPr="005D475E" w14:paraId="649FC234" w14:textId="77777777" w:rsidTr="00461CCA">
        <w:trPr>
          <w:trHeight w:val="172"/>
        </w:trPr>
        <w:tc>
          <w:tcPr>
            <w:tcW w:w="1260" w:type="dxa"/>
            <w:tcBorders>
              <w:top w:val="single" w:sz="4" w:space="0" w:color="auto"/>
              <w:left w:val="nil"/>
              <w:bottom w:val="nil"/>
              <w:right w:val="nil"/>
            </w:tcBorders>
          </w:tcPr>
          <w:p w14:paraId="21DCC46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1</w:t>
            </w:r>
          </w:p>
        </w:tc>
        <w:tc>
          <w:tcPr>
            <w:tcW w:w="1479" w:type="dxa"/>
            <w:tcBorders>
              <w:top w:val="single" w:sz="4" w:space="0" w:color="auto"/>
              <w:left w:val="nil"/>
              <w:bottom w:val="nil"/>
              <w:right w:val="nil"/>
            </w:tcBorders>
            <w:vAlign w:val="bottom"/>
          </w:tcPr>
          <w:p w14:paraId="2D669701"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64.44 (53.39)</w:t>
            </w:r>
          </w:p>
        </w:tc>
        <w:tc>
          <w:tcPr>
            <w:tcW w:w="1005" w:type="dxa"/>
            <w:tcBorders>
              <w:top w:val="single" w:sz="4" w:space="0" w:color="auto"/>
              <w:left w:val="nil"/>
              <w:bottom w:val="nil"/>
              <w:right w:val="nil"/>
            </w:tcBorders>
            <w:vAlign w:val="center"/>
          </w:tcPr>
          <w:p w14:paraId="53BBCC11"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14.98</w:t>
            </w:r>
          </w:p>
        </w:tc>
        <w:tc>
          <w:tcPr>
            <w:tcW w:w="936" w:type="dxa"/>
            <w:tcBorders>
              <w:top w:val="single" w:sz="4" w:space="0" w:color="auto"/>
              <w:left w:val="nil"/>
              <w:bottom w:val="nil"/>
              <w:right w:val="nil"/>
            </w:tcBorders>
            <w:vAlign w:val="center"/>
          </w:tcPr>
          <w:p w14:paraId="669085AF"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10.73</w:t>
            </w:r>
          </w:p>
        </w:tc>
        <w:tc>
          <w:tcPr>
            <w:tcW w:w="1080" w:type="dxa"/>
            <w:tcBorders>
              <w:top w:val="single" w:sz="4" w:space="0" w:color="auto"/>
              <w:left w:val="nil"/>
              <w:bottom w:val="nil"/>
              <w:right w:val="nil"/>
            </w:tcBorders>
            <w:vAlign w:val="center"/>
          </w:tcPr>
          <w:p w14:paraId="51657ECA"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25.71</w:t>
            </w:r>
          </w:p>
        </w:tc>
        <w:tc>
          <w:tcPr>
            <w:tcW w:w="900" w:type="dxa"/>
            <w:tcBorders>
              <w:top w:val="single" w:sz="4" w:space="0" w:color="auto"/>
              <w:left w:val="nil"/>
              <w:bottom w:val="nil"/>
              <w:right w:val="nil"/>
            </w:tcBorders>
            <w:vAlign w:val="center"/>
          </w:tcPr>
          <w:p w14:paraId="3DBDDAA8"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6.50</w:t>
            </w:r>
          </w:p>
        </w:tc>
        <w:tc>
          <w:tcPr>
            <w:tcW w:w="900" w:type="dxa"/>
            <w:tcBorders>
              <w:top w:val="single" w:sz="4" w:space="0" w:color="auto"/>
              <w:left w:val="nil"/>
              <w:bottom w:val="nil"/>
              <w:right w:val="nil"/>
            </w:tcBorders>
            <w:vAlign w:val="center"/>
          </w:tcPr>
          <w:p w14:paraId="377A3F9D"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0.54</w:t>
            </w:r>
          </w:p>
        </w:tc>
        <w:tc>
          <w:tcPr>
            <w:tcW w:w="1170" w:type="dxa"/>
            <w:tcBorders>
              <w:top w:val="single" w:sz="4" w:space="0" w:color="auto"/>
              <w:left w:val="nil"/>
              <w:bottom w:val="nil"/>
              <w:right w:val="nil"/>
            </w:tcBorders>
            <w:vAlign w:val="bottom"/>
          </w:tcPr>
          <w:p w14:paraId="67E7490B"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1,660.54</w:t>
            </w:r>
          </w:p>
        </w:tc>
        <w:tc>
          <w:tcPr>
            <w:tcW w:w="990" w:type="dxa"/>
            <w:tcBorders>
              <w:top w:val="single" w:sz="4" w:space="0" w:color="auto"/>
              <w:left w:val="nil"/>
              <w:bottom w:val="nil"/>
              <w:right w:val="nil"/>
            </w:tcBorders>
            <w:vAlign w:val="bottom"/>
          </w:tcPr>
          <w:p w14:paraId="2EEA1120"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35.06</w:t>
            </w:r>
          </w:p>
        </w:tc>
      </w:tr>
      <w:tr w:rsidR="00461CCA" w:rsidRPr="005D475E" w14:paraId="24192064" w14:textId="77777777" w:rsidTr="00461CCA">
        <w:trPr>
          <w:trHeight w:val="172"/>
        </w:trPr>
        <w:tc>
          <w:tcPr>
            <w:tcW w:w="1260" w:type="dxa"/>
            <w:tcBorders>
              <w:top w:val="nil"/>
              <w:left w:val="nil"/>
              <w:bottom w:val="nil"/>
              <w:right w:val="nil"/>
            </w:tcBorders>
          </w:tcPr>
          <w:p w14:paraId="5FEA2CF7"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2</w:t>
            </w:r>
          </w:p>
        </w:tc>
        <w:tc>
          <w:tcPr>
            <w:tcW w:w="1479" w:type="dxa"/>
            <w:tcBorders>
              <w:top w:val="nil"/>
              <w:left w:val="nil"/>
              <w:bottom w:val="nil"/>
              <w:right w:val="nil"/>
            </w:tcBorders>
            <w:vAlign w:val="bottom"/>
          </w:tcPr>
          <w:p w14:paraId="35CBE509"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91.11 (72.84)</w:t>
            </w:r>
          </w:p>
        </w:tc>
        <w:tc>
          <w:tcPr>
            <w:tcW w:w="1005" w:type="dxa"/>
            <w:tcBorders>
              <w:top w:val="nil"/>
              <w:left w:val="nil"/>
              <w:bottom w:val="nil"/>
              <w:right w:val="nil"/>
            </w:tcBorders>
            <w:vAlign w:val="center"/>
          </w:tcPr>
          <w:p w14:paraId="6A1E53EC"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22.13</w:t>
            </w:r>
          </w:p>
        </w:tc>
        <w:tc>
          <w:tcPr>
            <w:tcW w:w="936" w:type="dxa"/>
            <w:tcBorders>
              <w:top w:val="nil"/>
              <w:left w:val="nil"/>
              <w:bottom w:val="nil"/>
              <w:right w:val="nil"/>
            </w:tcBorders>
            <w:vAlign w:val="center"/>
          </w:tcPr>
          <w:p w14:paraId="288673C8"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13.23</w:t>
            </w:r>
          </w:p>
        </w:tc>
        <w:tc>
          <w:tcPr>
            <w:tcW w:w="1080" w:type="dxa"/>
            <w:tcBorders>
              <w:top w:val="nil"/>
              <w:left w:val="nil"/>
              <w:bottom w:val="nil"/>
              <w:right w:val="nil"/>
            </w:tcBorders>
            <w:vAlign w:val="center"/>
          </w:tcPr>
          <w:p w14:paraId="49147A7A"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35.37</w:t>
            </w:r>
          </w:p>
        </w:tc>
        <w:tc>
          <w:tcPr>
            <w:tcW w:w="900" w:type="dxa"/>
            <w:tcBorders>
              <w:top w:val="nil"/>
              <w:left w:val="nil"/>
              <w:bottom w:val="nil"/>
              <w:right w:val="nil"/>
            </w:tcBorders>
            <w:vAlign w:val="center"/>
          </w:tcPr>
          <w:p w14:paraId="31AB645A"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11.38</w:t>
            </w:r>
          </w:p>
        </w:tc>
        <w:tc>
          <w:tcPr>
            <w:tcW w:w="900" w:type="dxa"/>
            <w:tcBorders>
              <w:top w:val="nil"/>
              <w:left w:val="nil"/>
              <w:bottom w:val="nil"/>
              <w:right w:val="nil"/>
            </w:tcBorders>
            <w:vAlign w:val="center"/>
          </w:tcPr>
          <w:p w14:paraId="173595DB"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0.94</w:t>
            </w:r>
          </w:p>
        </w:tc>
        <w:tc>
          <w:tcPr>
            <w:tcW w:w="1170" w:type="dxa"/>
            <w:tcBorders>
              <w:top w:val="nil"/>
              <w:left w:val="nil"/>
              <w:bottom w:val="nil"/>
              <w:right w:val="nil"/>
            </w:tcBorders>
            <w:vAlign w:val="bottom"/>
          </w:tcPr>
          <w:p w14:paraId="7DC2BF22"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3,223.93</w:t>
            </w:r>
          </w:p>
        </w:tc>
        <w:tc>
          <w:tcPr>
            <w:tcW w:w="990" w:type="dxa"/>
            <w:tcBorders>
              <w:top w:val="nil"/>
              <w:left w:val="nil"/>
              <w:bottom w:val="nil"/>
              <w:right w:val="nil"/>
            </w:tcBorders>
            <w:vAlign w:val="center"/>
          </w:tcPr>
          <w:p w14:paraId="332B6D9E"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85.92</w:t>
            </w:r>
          </w:p>
        </w:tc>
      </w:tr>
      <w:tr w:rsidR="00461CCA" w:rsidRPr="005D475E" w14:paraId="4B8033AF" w14:textId="77777777" w:rsidTr="00461CCA">
        <w:trPr>
          <w:trHeight w:val="172"/>
        </w:trPr>
        <w:tc>
          <w:tcPr>
            <w:tcW w:w="1260" w:type="dxa"/>
            <w:tcBorders>
              <w:top w:val="nil"/>
              <w:left w:val="nil"/>
              <w:bottom w:val="nil"/>
              <w:right w:val="nil"/>
            </w:tcBorders>
          </w:tcPr>
          <w:p w14:paraId="72FC559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3</w:t>
            </w:r>
          </w:p>
        </w:tc>
        <w:tc>
          <w:tcPr>
            <w:tcW w:w="1479" w:type="dxa"/>
            <w:tcBorders>
              <w:top w:val="nil"/>
              <w:left w:val="nil"/>
              <w:bottom w:val="nil"/>
              <w:right w:val="nil"/>
            </w:tcBorders>
            <w:vAlign w:val="bottom"/>
          </w:tcPr>
          <w:p w14:paraId="556BB98C"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93.33 (75.00)</w:t>
            </w:r>
          </w:p>
        </w:tc>
        <w:tc>
          <w:tcPr>
            <w:tcW w:w="1005" w:type="dxa"/>
            <w:tcBorders>
              <w:top w:val="nil"/>
              <w:left w:val="nil"/>
              <w:bottom w:val="nil"/>
              <w:right w:val="nil"/>
            </w:tcBorders>
            <w:vAlign w:val="center"/>
          </w:tcPr>
          <w:p w14:paraId="20BA2546"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24.76</w:t>
            </w:r>
          </w:p>
        </w:tc>
        <w:tc>
          <w:tcPr>
            <w:tcW w:w="936" w:type="dxa"/>
            <w:tcBorders>
              <w:top w:val="nil"/>
              <w:left w:val="nil"/>
              <w:bottom w:val="nil"/>
              <w:right w:val="nil"/>
            </w:tcBorders>
            <w:vAlign w:val="center"/>
          </w:tcPr>
          <w:p w14:paraId="2034BA1C"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14.36</w:t>
            </w:r>
          </w:p>
        </w:tc>
        <w:tc>
          <w:tcPr>
            <w:tcW w:w="1080" w:type="dxa"/>
            <w:tcBorders>
              <w:top w:val="nil"/>
              <w:left w:val="nil"/>
              <w:bottom w:val="nil"/>
              <w:right w:val="nil"/>
            </w:tcBorders>
            <w:vAlign w:val="center"/>
          </w:tcPr>
          <w:p w14:paraId="21D4892F"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39.13</w:t>
            </w:r>
          </w:p>
        </w:tc>
        <w:tc>
          <w:tcPr>
            <w:tcW w:w="900" w:type="dxa"/>
            <w:tcBorders>
              <w:top w:val="nil"/>
              <w:left w:val="nil"/>
              <w:bottom w:val="nil"/>
              <w:right w:val="nil"/>
            </w:tcBorders>
            <w:vAlign w:val="center"/>
          </w:tcPr>
          <w:p w14:paraId="719F8EB6"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12.58</w:t>
            </w:r>
          </w:p>
        </w:tc>
        <w:tc>
          <w:tcPr>
            <w:tcW w:w="900" w:type="dxa"/>
            <w:tcBorders>
              <w:top w:val="nil"/>
              <w:left w:val="nil"/>
              <w:bottom w:val="nil"/>
              <w:right w:val="nil"/>
            </w:tcBorders>
            <w:vAlign w:val="center"/>
          </w:tcPr>
          <w:p w14:paraId="1132D6A1"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1.23</w:t>
            </w:r>
          </w:p>
        </w:tc>
        <w:tc>
          <w:tcPr>
            <w:tcW w:w="1170" w:type="dxa"/>
            <w:tcBorders>
              <w:top w:val="nil"/>
              <w:left w:val="nil"/>
              <w:bottom w:val="nil"/>
              <w:right w:val="nil"/>
            </w:tcBorders>
            <w:vAlign w:val="bottom"/>
          </w:tcPr>
          <w:p w14:paraId="6660915D"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3,652.31</w:t>
            </w:r>
          </w:p>
        </w:tc>
        <w:tc>
          <w:tcPr>
            <w:tcW w:w="990" w:type="dxa"/>
            <w:tcBorders>
              <w:top w:val="nil"/>
              <w:left w:val="nil"/>
              <w:bottom w:val="nil"/>
              <w:right w:val="nil"/>
            </w:tcBorders>
            <w:vAlign w:val="center"/>
          </w:tcPr>
          <w:p w14:paraId="21B58370"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114.82</w:t>
            </w:r>
          </w:p>
        </w:tc>
      </w:tr>
      <w:tr w:rsidR="00461CCA" w:rsidRPr="005D475E" w14:paraId="4258E9BB" w14:textId="77777777" w:rsidTr="00461CCA">
        <w:trPr>
          <w:trHeight w:val="172"/>
        </w:trPr>
        <w:tc>
          <w:tcPr>
            <w:tcW w:w="1260" w:type="dxa"/>
            <w:tcBorders>
              <w:top w:val="nil"/>
              <w:left w:val="nil"/>
              <w:bottom w:val="nil"/>
              <w:right w:val="nil"/>
            </w:tcBorders>
          </w:tcPr>
          <w:p w14:paraId="104B8BCE"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4</w:t>
            </w:r>
          </w:p>
        </w:tc>
        <w:tc>
          <w:tcPr>
            <w:tcW w:w="1479" w:type="dxa"/>
            <w:tcBorders>
              <w:top w:val="nil"/>
              <w:left w:val="nil"/>
              <w:bottom w:val="nil"/>
              <w:right w:val="nil"/>
            </w:tcBorders>
            <w:vAlign w:val="bottom"/>
          </w:tcPr>
          <w:p w14:paraId="3D3F1F6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77.78 (61.92)</w:t>
            </w:r>
          </w:p>
        </w:tc>
        <w:tc>
          <w:tcPr>
            <w:tcW w:w="1005" w:type="dxa"/>
            <w:tcBorders>
              <w:top w:val="nil"/>
              <w:left w:val="nil"/>
              <w:bottom w:val="nil"/>
              <w:right w:val="nil"/>
            </w:tcBorders>
            <w:vAlign w:val="center"/>
          </w:tcPr>
          <w:p w14:paraId="39A4636C"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17.96</w:t>
            </w:r>
          </w:p>
        </w:tc>
        <w:tc>
          <w:tcPr>
            <w:tcW w:w="936" w:type="dxa"/>
            <w:tcBorders>
              <w:top w:val="nil"/>
              <w:left w:val="nil"/>
              <w:bottom w:val="nil"/>
              <w:right w:val="nil"/>
            </w:tcBorders>
            <w:vAlign w:val="center"/>
          </w:tcPr>
          <w:p w14:paraId="7286F821"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12.00</w:t>
            </w:r>
          </w:p>
        </w:tc>
        <w:tc>
          <w:tcPr>
            <w:tcW w:w="1080" w:type="dxa"/>
            <w:tcBorders>
              <w:top w:val="nil"/>
              <w:left w:val="nil"/>
              <w:bottom w:val="nil"/>
              <w:right w:val="nil"/>
            </w:tcBorders>
            <w:vAlign w:val="center"/>
          </w:tcPr>
          <w:p w14:paraId="3EE9F848"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29.96</w:t>
            </w:r>
          </w:p>
        </w:tc>
        <w:tc>
          <w:tcPr>
            <w:tcW w:w="900" w:type="dxa"/>
            <w:tcBorders>
              <w:top w:val="nil"/>
              <w:left w:val="nil"/>
              <w:bottom w:val="nil"/>
              <w:right w:val="nil"/>
            </w:tcBorders>
            <w:vAlign w:val="center"/>
          </w:tcPr>
          <w:p w14:paraId="30E6CA6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7.14</w:t>
            </w:r>
          </w:p>
        </w:tc>
        <w:tc>
          <w:tcPr>
            <w:tcW w:w="900" w:type="dxa"/>
            <w:tcBorders>
              <w:top w:val="nil"/>
              <w:left w:val="nil"/>
              <w:bottom w:val="nil"/>
              <w:right w:val="nil"/>
            </w:tcBorders>
            <w:vAlign w:val="center"/>
          </w:tcPr>
          <w:p w14:paraId="20EEDE7B"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0.64</w:t>
            </w:r>
          </w:p>
        </w:tc>
        <w:tc>
          <w:tcPr>
            <w:tcW w:w="1170" w:type="dxa"/>
            <w:tcBorders>
              <w:top w:val="nil"/>
              <w:left w:val="nil"/>
              <w:bottom w:val="nil"/>
              <w:right w:val="nil"/>
            </w:tcBorders>
            <w:vAlign w:val="bottom"/>
          </w:tcPr>
          <w:p w14:paraId="06D9D61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2,332.41</w:t>
            </w:r>
          </w:p>
        </w:tc>
        <w:tc>
          <w:tcPr>
            <w:tcW w:w="990" w:type="dxa"/>
            <w:tcBorders>
              <w:top w:val="nil"/>
              <w:left w:val="nil"/>
              <w:bottom w:val="nil"/>
              <w:right w:val="nil"/>
            </w:tcBorders>
            <w:vAlign w:val="center"/>
          </w:tcPr>
          <w:p w14:paraId="6DF7468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49.83</w:t>
            </w:r>
          </w:p>
        </w:tc>
      </w:tr>
      <w:tr w:rsidR="00461CCA" w:rsidRPr="005D475E" w14:paraId="74A7A373" w14:textId="77777777" w:rsidTr="00461CCA">
        <w:trPr>
          <w:trHeight w:val="172"/>
        </w:trPr>
        <w:tc>
          <w:tcPr>
            <w:tcW w:w="1260" w:type="dxa"/>
            <w:tcBorders>
              <w:top w:val="nil"/>
              <w:left w:val="nil"/>
              <w:bottom w:val="nil"/>
              <w:right w:val="nil"/>
            </w:tcBorders>
          </w:tcPr>
          <w:p w14:paraId="680B7230"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5</w:t>
            </w:r>
          </w:p>
        </w:tc>
        <w:tc>
          <w:tcPr>
            <w:tcW w:w="1479" w:type="dxa"/>
            <w:tcBorders>
              <w:top w:val="nil"/>
              <w:left w:val="nil"/>
              <w:bottom w:val="nil"/>
              <w:right w:val="nil"/>
            </w:tcBorders>
            <w:vAlign w:val="bottom"/>
          </w:tcPr>
          <w:p w14:paraId="1A2891AD"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82.22 (65.13)</w:t>
            </w:r>
          </w:p>
        </w:tc>
        <w:tc>
          <w:tcPr>
            <w:tcW w:w="1005" w:type="dxa"/>
            <w:tcBorders>
              <w:top w:val="nil"/>
              <w:left w:val="nil"/>
              <w:bottom w:val="nil"/>
              <w:right w:val="nil"/>
            </w:tcBorders>
            <w:vAlign w:val="center"/>
          </w:tcPr>
          <w:p w14:paraId="21696574"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18.10</w:t>
            </w:r>
          </w:p>
        </w:tc>
        <w:tc>
          <w:tcPr>
            <w:tcW w:w="936" w:type="dxa"/>
            <w:tcBorders>
              <w:top w:val="nil"/>
              <w:left w:val="nil"/>
              <w:bottom w:val="nil"/>
              <w:right w:val="nil"/>
            </w:tcBorders>
            <w:vAlign w:val="center"/>
          </w:tcPr>
          <w:p w14:paraId="6365D12E"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12.50</w:t>
            </w:r>
          </w:p>
        </w:tc>
        <w:tc>
          <w:tcPr>
            <w:tcW w:w="1080" w:type="dxa"/>
            <w:tcBorders>
              <w:top w:val="nil"/>
              <w:left w:val="nil"/>
              <w:bottom w:val="nil"/>
              <w:right w:val="nil"/>
            </w:tcBorders>
            <w:vAlign w:val="center"/>
          </w:tcPr>
          <w:p w14:paraId="5416BAD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30.60</w:t>
            </w:r>
          </w:p>
        </w:tc>
        <w:tc>
          <w:tcPr>
            <w:tcW w:w="900" w:type="dxa"/>
            <w:tcBorders>
              <w:top w:val="nil"/>
              <w:left w:val="nil"/>
              <w:bottom w:val="nil"/>
              <w:right w:val="nil"/>
            </w:tcBorders>
            <w:vAlign w:val="center"/>
          </w:tcPr>
          <w:p w14:paraId="070A7784"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7.45</w:t>
            </w:r>
          </w:p>
        </w:tc>
        <w:tc>
          <w:tcPr>
            <w:tcW w:w="900" w:type="dxa"/>
            <w:tcBorders>
              <w:top w:val="nil"/>
              <w:left w:val="nil"/>
              <w:bottom w:val="nil"/>
              <w:right w:val="nil"/>
            </w:tcBorders>
            <w:vAlign w:val="center"/>
          </w:tcPr>
          <w:p w14:paraId="3797B947"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0.66</w:t>
            </w:r>
          </w:p>
        </w:tc>
        <w:tc>
          <w:tcPr>
            <w:tcW w:w="1170" w:type="dxa"/>
            <w:tcBorders>
              <w:top w:val="nil"/>
              <w:left w:val="nil"/>
              <w:bottom w:val="nil"/>
              <w:right w:val="nil"/>
            </w:tcBorders>
            <w:vAlign w:val="bottom"/>
          </w:tcPr>
          <w:p w14:paraId="52ABA6B8"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2,516.59</w:t>
            </w:r>
          </w:p>
        </w:tc>
        <w:tc>
          <w:tcPr>
            <w:tcW w:w="990" w:type="dxa"/>
            <w:tcBorders>
              <w:top w:val="nil"/>
              <w:left w:val="nil"/>
              <w:bottom w:val="nil"/>
              <w:right w:val="nil"/>
            </w:tcBorders>
            <w:vAlign w:val="center"/>
          </w:tcPr>
          <w:p w14:paraId="1E27B717"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54.56</w:t>
            </w:r>
          </w:p>
        </w:tc>
      </w:tr>
      <w:tr w:rsidR="00461CCA" w:rsidRPr="005D475E" w14:paraId="08E88237" w14:textId="77777777" w:rsidTr="00461CCA">
        <w:trPr>
          <w:trHeight w:val="164"/>
        </w:trPr>
        <w:tc>
          <w:tcPr>
            <w:tcW w:w="1260" w:type="dxa"/>
            <w:tcBorders>
              <w:top w:val="nil"/>
              <w:left w:val="nil"/>
              <w:bottom w:val="nil"/>
              <w:right w:val="nil"/>
            </w:tcBorders>
          </w:tcPr>
          <w:p w14:paraId="5E36788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6</w:t>
            </w:r>
          </w:p>
        </w:tc>
        <w:tc>
          <w:tcPr>
            <w:tcW w:w="1479" w:type="dxa"/>
            <w:tcBorders>
              <w:top w:val="nil"/>
              <w:left w:val="nil"/>
              <w:bottom w:val="nil"/>
              <w:right w:val="nil"/>
            </w:tcBorders>
            <w:vAlign w:val="bottom"/>
          </w:tcPr>
          <w:p w14:paraId="6ABA8F5C"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73.33 (59.01)</w:t>
            </w:r>
          </w:p>
        </w:tc>
        <w:tc>
          <w:tcPr>
            <w:tcW w:w="1005" w:type="dxa"/>
            <w:tcBorders>
              <w:top w:val="nil"/>
              <w:left w:val="nil"/>
              <w:bottom w:val="nil"/>
              <w:right w:val="nil"/>
            </w:tcBorders>
            <w:vAlign w:val="center"/>
          </w:tcPr>
          <w:p w14:paraId="121A9EBB"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17.61</w:t>
            </w:r>
          </w:p>
        </w:tc>
        <w:tc>
          <w:tcPr>
            <w:tcW w:w="936" w:type="dxa"/>
            <w:tcBorders>
              <w:top w:val="nil"/>
              <w:left w:val="nil"/>
              <w:bottom w:val="nil"/>
              <w:right w:val="nil"/>
            </w:tcBorders>
            <w:vAlign w:val="center"/>
          </w:tcPr>
          <w:p w14:paraId="22482B6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11.50</w:t>
            </w:r>
          </w:p>
        </w:tc>
        <w:tc>
          <w:tcPr>
            <w:tcW w:w="1080" w:type="dxa"/>
            <w:tcBorders>
              <w:top w:val="nil"/>
              <w:left w:val="nil"/>
              <w:bottom w:val="nil"/>
              <w:right w:val="nil"/>
            </w:tcBorders>
            <w:vAlign w:val="center"/>
          </w:tcPr>
          <w:p w14:paraId="45B5BC20"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29.11</w:t>
            </w:r>
          </w:p>
        </w:tc>
        <w:tc>
          <w:tcPr>
            <w:tcW w:w="900" w:type="dxa"/>
            <w:tcBorders>
              <w:top w:val="nil"/>
              <w:left w:val="nil"/>
              <w:bottom w:val="nil"/>
              <w:right w:val="nil"/>
            </w:tcBorders>
            <w:vAlign w:val="center"/>
          </w:tcPr>
          <w:p w14:paraId="67FEE9D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7.29</w:t>
            </w:r>
          </w:p>
        </w:tc>
        <w:tc>
          <w:tcPr>
            <w:tcW w:w="900" w:type="dxa"/>
            <w:tcBorders>
              <w:top w:val="nil"/>
              <w:left w:val="nil"/>
              <w:bottom w:val="nil"/>
              <w:right w:val="nil"/>
            </w:tcBorders>
            <w:vAlign w:val="center"/>
          </w:tcPr>
          <w:p w14:paraId="395D0118"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0.64</w:t>
            </w:r>
          </w:p>
        </w:tc>
        <w:tc>
          <w:tcPr>
            <w:tcW w:w="1170" w:type="dxa"/>
            <w:tcBorders>
              <w:top w:val="nil"/>
              <w:left w:val="nil"/>
              <w:bottom w:val="nil"/>
              <w:right w:val="nil"/>
            </w:tcBorders>
            <w:vAlign w:val="bottom"/>
          </w:tcPr>
          <w:p w14:paraId="3FFFCD7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2,144.26</w:t>
            </w:r>
          </w:p>
        </w:tc>
        <w:tc>
          <w:tcPr>
            <w:tcW w:w="990" w:type="dxa"/>
            <w:tcBorders>
              <w:top w:val="nil"/>
              <w:left w:val="nil"/>
              <w:bottom w:val="nil"/>
              <w:right w:val="nil"/>
            </w:tcBorders>
            <w:vAlign w:val="center"/>
          </w:tcPr>
          <w:p w14:paraId="5379F63E" w14:textId="77777777" w:rsidR="005D475E" w:rsidRPr="005D475E" w:rsidRDefault="00461CCA" w:rsidP="006C27FA">
            <w:pPr>
              <w:pStyle w:val="Body"/>
              <w:spacing w:after="0" w:line="276" w:lineRule="auto"/>
              <w:jc w:val="center"/>
              <w:rPr>
                <w:rFonts w:ascii="Arial" w:hAnsi="Arial" w:cs="Arial"/>
                <w:sz w:val="20"/>
              </w:rPr>
            </w:pPr>
            <w:r>
              <w:rPr>
                <w:rFonts w:ascii="Arial" w:hAnsi="Arial" w:cs="Arial"/>
                <w:sz w:val="20"/>
              </w:rPr>
              <w:t>47.72</w:t>
            </w:r>
          </w:p>
        </w:tc>
      </w:tr>
      <w:tr w:rsidR="00461CCA" w:rsidRPr="005D475E" w14:paraId="13F69AE1" w14:textId="77777777" w:rsidTr="00461CCA">
        <w:trPr>
          <w:trHeight w:val="172"/>
        </w:trPr>
        <w:tc>
          <w:tcPr>
            <w:tcW w:w="1260" w:type="dxa"/>
            <w:tcBorders>
              <w:top w:val="nil"/>
              <w:left w:val="nil"/>
              <w:bottom w:val="nil"/>
              <w:right w:val="nil"/>
            </w:tcBorders>
          </w:tcPr>
          <w:p w14:paraId="5AD83BB7"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7</w:t>
            </w:r>
          </w:p>
        </w:tc>
        <w:tc>
          <w:tcPr>
            <w:tcW w:w="1479" w:type="dxa"/>
            <w:tcBorders>
              <w:top w:val="nil"/>
              <w:left w:val="nil"/>
              <w:bottom w:val="nil"/>
              <w:right w:val="nil"/>
            </w:tcBorders>
            <w:vAlign w:val="bottom"/>
          </w:tcPr>
          <w:p w14:paraId="3477BD1D"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84.44 (66.83)</w:t>
            </w:r>
          </w:p>
        </w:tc>
        <w:tc>
          <w:tcPr>
            <w:tcW w:w="1005" w:type="dxa"/>
            <w:tcBorders>
              <w:top w:val="nil"/>
              <w:left w:val="nil"/>
              <w:bottom w:val="nil"/>
              <w:right w:val="nil"/>
            </w:tcBorders>
            <w:vAlign w:val="center"/>
          </w:tcPr>
          <w:p w14:paraId="709ECF02"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20.40</w:t>
            </w:r>
          </w:p>
        </w:tc>
        <w:tc>
          <w:tcPr>
            <w:tcW w:w="936" w:type="dxa"/>
            <w:tcBorders>
              <w:top w:val="nil"/>
              <w:left w:val="nil"/>
              <w:bottom w:val="nil"/>
              <w:right w:val="nil"/>
            </w:tcBorders>
            <w:vAlign w:val="center"/>
          </w:tcPr>
          <w:p w14:paraId="177878E3"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12.60</w:t>
            </w:r>
          </w:p>
        </w:tc>
        <w:tc>
          <w:tcPr>
            <w:tcW w:w="1080" w:type="dxa"/>
            <w:tcBorders>
              <w:top w:val="nil"/>
              <w:left w:val="nil"/>
              <w:bottom w:val="nil"/>
              <w:right w:val="nil"/>
            </w:tcBorders>
            <w:vAlign w:val="center"/>
          </w:tcPr>
          <w:p w14:paraId="03C26B5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33.00</w:t>
            </w:r>
          </w:p>
        </w:tc>
        <w:tc>
          <w:tcPr>
            <w:tcW w:w="900" w:type="dxa"/>
            <w:tcBorders>
              <w:top w:val="nil"/>
              <w:left w:val="nil"/>
              <w:bottom w:val="nil"/>
              <w:right w:val="nil"/>
            </w:tcBorders>
            <w:vAlign w:val="center"/>
          </w:tcPr>
          <w:p w14:paraId="549DB2E3"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9.74</w:t>
            </w:r>
          </w:p>
        </w:tc>
        <w:tc>
          <w:tcPr>
            <w:tcW w:w="900" w:type="dxa"/>
            <w:tcBorders>
              <w:top w:val="nil"/>
              <w:left w:val="nil"/>
              <w:bottom w:val="nil"/>
              <w:right w:val="nil"/>
            </w:tcBorders>
            <w:vAlign w:val="center"/>
          </w:tcPr>
          <w:p w14:paraId="40E4A214"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0.89</w:t>
            </w:r>
          </w:p>
        </w:tc>
        <w:tc>
          <w:tcPr>
            <w:tcW w:w="1170" w:type="dxa"/>
            <w:tcBorders>
              <w:top w:val="nil"/>
              <w:left w:val="nil"/>
              <w:bottom w:val="nil"/>
              <w:right w:val="nil"/>
            </w:tcBorders>
            <w:vAlign w:val="bottom"/>
          </w:tcPr>
          <w:p w14:paraId="1E2ABD86"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2,787.63</w:t>
            </w:r>
          </w:p>
        </w:tc>
        <w:tc>
          <w:tcPr>
            <w:tcW w:w="990" w:type="dxa"/>
            <w:tcBorders>
              <w:top w:val="nil"/>
              <w:left w:val="nil"/>
              <w:bottom w:val="nil"/>
              <w:right w:val="nil"/>
            </w:tcBorders>
            <w:vAlign w:val="center"/>
          </w:tcPr>
          <w:p w14:paraId="68B57281"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75.65</w:t>
            </w:r>
          </w:p>
        </w:tc>
      </w:tr>
      <w:tr w:rsidR="00461CCA" w:rsidRPr="005D475E" w14:paraId="28827E01" w14:textId="77777777" w:rsidTr="00461CCA">
        <w:trPr>
          <w:trHeight w:val="172"/>
        </w:trPr>
        <w:tc>
          <w:tcPr>
            <w:tcW w:w="1260" w:type="dxa"/>
            <w:tcBorders>
              <w:top w:val="nil"/>
              <w:left w:val="nil"/>
              <w:bottom w:val="nil"/>
              <w:right w:val="nil"/>
            </w:tcBorders>
          </w:tcPr>
          <w:p w14:paraId="76A05F4F"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8</w:t>
            </w:r>
          </w:p>
        </w:tc>
        <w:tc>
          <w:tcPr>
            <w:tcW w:w="1479" w:type="dxa"/>
            <w:tcBorders>
              <w:top w:val="nil"/>
              <w:left w:val="nil"/>
              <w:bottom w:val="nil"/>
              <w:right w:val="nil"/>
            </w:tcBorders>
            <w:vAlign w:val="bottom"/>
          </w:tcPr>
          <w:p w14:paraId="0175550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71.11 (57.49)</w:t>
            </w:r>
          </w:p>
        </w:tc>
        <w:tc>
          <w:tcPr>
            <w:tcW w:w="1005" w:type="dxa"/>
            <w:tcBorders>
              <w:top w:val="nil"/>
              <w:left w:val="nil"/>
              <w:bottom w:val="nil"/>
              <w:right w:val="nil"/>
            </w:tcBorders>
            <w:vAlign w:val="center"/>
          </w:tcPr>
          <w:p w14:paraId="0D4BED26"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18.82</w:t>
            </w:r>
          </w:p>
        </w:tc>
        <w:tc>
          <w:tcPr>
            <w:tcW w:w="936" w:type="dxa"/>
            <w:tcBorders>
              <w:top w:val="nil"/>
              <w:left w:val="nil"/>
              <w:bottom w:val="nil"/>
              <w:right w:val="nil"/>
            </w:tcBorders>
            <w:vAlign w:val="center"/>
          </w:tcPr>
          <w:p w14:paraId="34D58B18"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11.81</w:t>
            </w:r>
          </w:p>
        </w:tc>
        <w:tc>
          <w:tcPr>
            <w:tcW w:w="1080" w:type="dxa"/>
            <w:tcBorders>
              <w:top w:val="nil"/>
              <w:left w:val="nil"/>
              <w:bottom w:val="nil"/>
              <w:right w:val="nil"/>
            </w:tcBorders>
            <w:vAlign w:val="center"/>
          </w:tcPr>
          <w:p w14:paraId="7F45F736"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30.64</w:t>
            </w:r>
          </w:p>
        </w:tc>
        <w:tc>
          <w:tcPr>
            <w:tcW w:w="900" w:type="dxa"/>
            <w:tcBorders>
              <w:top w:val="nil"/>
              <w:left w:val="nil"/>
              <w:bottom w:val="nil"/>
              <w:right w:val="nil"/>
            </w:tcBorders>
            <w:vAlign w:val="center"/>
          </w:tcPr>
          <w:p w14:paraId="3A29D2DC"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7.15</w:t>
            </w:r>
          </w:p>
        </w:tc>
        <w:tc>
          <w:tcPr>
            <w:tcW w:w="900" w:type="dxa"/>
            <w:tcBorders>
              <w:top w:val="nil"/>
              <w:left w:val="nil"/>
              <w:bottom w:val="nil"/>
              <w:right w:val="nil"/>
            </w:tcBorders>
            <w:vAlign w:val="center"/>
          </w:tcPr>
          <w:p w14:paraId="718B03E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0.62</w:t>
            </w:r>
          </w:p>
        </w:tc>
        <w:tc>
          <w:tcPr>
            <w:tcW w:w="1170" w:type="dxa"/>
            <w:tcBorders>
              <w:top w:val="nil"/>
              <w:left w:val="nil"/>
              <w:bottom w:val="nil"/>
              <w:right w:val="nil"/>
            </w:tcBorders>
            <w:vAlign w:val="bottom"/>
          </w:tcPr>
          <w:p w14:paraId="7D22C2A2"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2,180.79</w:t>
            </w:r>
          </w:p>
        </w:tc>
        <w:tc>
          <w:tcPr>
            <w:tcW w:w="990" w:type="dxa"/>
            <w:tcBorders>
              <w:top w:val="nil"/>
              <w:left w:val="nil"/>
              <w:bottom w:val="nil"/>
              <w:right w:val="nil"/>
            </w:tcBorders>
            <w:vAlign w:val="center"/>
          </w:tcPr>
          <w:p w14:paraId="3991C6C0"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44.20</w:t>
            </w:r>
          </w:p>
        </w:tc>
      </w:tr>
      <w:tr w:rsidR="00461CCA" w:rsidRPr="005D475E" w14:paraId="2019202D" w14:textId="77777777" w:rsidTr="00461CCA">
        <w:trPr>
          <w:trHeight w:val="172"/>
        </w:trPr>
        <w:tc>
          <w:tcPr>
            <w:tcW w:w="1260" w:type="dxa"/>
            <w:tcBorders>
              <w:top w:val="nil"/>
              <w:left w:val="nil"/>
              <w:bottom w:val="single" w:sz="4" w:space="0" w:color="auto"/>
              <w:right w:val="nil"/>
            </w:tcBorders>
          </w:tcPr>
          <w:p w14:paraId="3128C66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9</w:t>
            </w:r>
          </w:p>
        </w:tc>
        <w:tc>
          <w:tcPr>
            <w:tcW w:w="1479" w:type="dxa"/>
            <w:tcBorders>
              <w:top w:val="nil"/>
              <w:left w:val="nil"/>
              <w:bottom w:val="single" w:sz="4" w:space="0" w:color="auto"/>
              <w:right w:val="nil"/>
            </w:tcBorders>
            <w:vAlign w:val="bottom"/>
          </w:tcPr>
          <w:p w14:paraId="04512A2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84.44 (66.83)</w:t>
            </w:r>
          </w:p>
        </w:tc>
        <w:tc>
          <w:tcPr>
            <w:tcW w:w="1005" w:type="dxa"/>
            <w:tcBorders>
              <w:top w:val="nil"/>
              <w:left w:val="nil"/>
              <w:bottom w:val="single" w:sz="4" w:space="0" w:color="auto"/>
              <w:right w:val="nil"/>
            </w:tcBorders>
            <w:vAlign w:val="center"/>
          </w:tcPr>
          <w:p w14:paraId="38CBCD60"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19.86</w:t>
            </w:r>
          </w:p>
        </w:tc>
        <w:tc>
          <w:tcPr>
            <w:tcW w:w="936" w:type="dxa"/>
            <w:tcBorders>
              <w:top w:val="nil"/>
              <w:left w:val="nil"/>
              <w:bottom w:val="single" w:sz="4" w:space="0" w:color="auto"/>
              <w:right w:val="nil"/>
            </w:tcBorders>
            <w:vAlign w:val="center"/>
          </w:tcPr>
          <w:p w14:paraId="7D92AB38"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11.59</w:t>
            </w:r>
          </w:p>
        </w:tc>
        <w:tc>
          <w:tcPr>
            <w:tcW w:w="1080" w:type="dxa"/>
            <w:tcBorders>
              <w:top w:val="nil"/>
              <w:left w:val="nil"/>
              <w:bottom w:val="single" w:sz="4" w:space="0" w:color="auto"/>
              <w:right w:val="nil"/>
            </w:tcBorders>
            <w:vAlign w:val="center"/>
          </w:tcPr>
          <w:p w14:paraId="7EBF9141"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31.45</w:t>
            </w:r>
          </w:p>
        </w:tc>
        <w:tc>
          <w:tcPr>
            <w:tcW w:w="900" w:type="dxa"/>
            <w:tcBorders>
              <w:top w:val="nil"/>
              <w:left w:val="nil"/>
              <w:bottom w:val="single" w:sz="4" w:space="0" w:color="auto"/>
              <w:right w:val="nil"/>
            </w:tcBorders>
            <w:vAlign w:val="center"/>
          </w:tcPr>
          <w:p w14:paraId="16346C04"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8.74</w:t>
            </w:r>
          </w:p>
        </w:tc>
        <w:tc>
          <w:tcPr>
            <w:tcW w:w="900" w:type="dxa"/>
            <w:tcBorders>
              <w:top w:val="nil"/>
              <w:left w:val="nil"/>
              <w:bottom w:val="single" w:sz="4" w:space="0" w:color="auto"/>
              <w:right w:val="nil"/>
            </w:tcBorders>
            <w:vAlign w:val="center"/>
          </w:tcPr>
          <w:p w14:paraId="7420A39A"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0.81</w:t>
            </w:r>
          </w:p>
        </w:tc>
        <w:tc>
          <w:tcPr>
            <w:tcW w:w="1170" w:type="dxa"/>
            <w:tcBorders>
              <w:top w:val="nil"/>
              <w:left w:val="nil"/>
              <w:bottom w:val="single" w:sz="4" w:space="0" w:color="auto"/>
              <w:right w:val="nil"/>
            </w:tcBorders>
            <w:vAlign w:val="bottom"/>
          </w:tcPr>
          <w:p w14:paraId="23313618"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2,656.08</w:t>
            </w:r>
          </w:p>
        </w:tc>
        <w:tc>
          <w:tcPr>
            <w:tcW w:w="990" w:type="dxa"/>
            <w:tcBorders>
              <w:top w:val="nil"/>
              <w:left w:val="nil"/>
              <w:bottom w:val="single" w:sz="4" w:space="0" w:color="auto"/>
              <w:right w:val="nil"/>
            </w:tcBorders>
            <w:vAlign w:val="center"/>
          </w:tcPr>
          <w:p w14:paraId="31F506F8"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68.94</w:t>
            </w:r>
          </w:p>
        </w:tc>
      </w:tr>
      <w:tr w:rsidR="00461CCA" w:rsidRPr="005D475E" w14:paraId="6FDBF6B5" w14:textId="77777777" w:rsidTr="00461CCA">
        <w:trPr>
          <w:trHeight w:val="172"/>
        </w:trPr>
        <w:tc>
          <w:tcPr>
            <w:tcW w:w="1260" w:type="dxa"/>
            <w:tcBorders>
              <w:top w:val="single" w:sz="4" w:space="0" w:color="auto"/>
              <w:left w:val="nil"/>
              <w:bottom w:val="nil"/>
              <w:right w:val="nil"/>
            </w:tcBorders>
          </w:tcPr>
          <w:p w14:paraId="7EF42E25"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b/>
                <w:sz w:val="20"/>
              </w:rPr>
              <w:t>SEm (±)</w:t>
            </w:r>
          </w:p>
        </w:tc>
        <w:tc>
          <w:tcPr>
            <w:tcW w:w="1479" w:type="dxa"/>
            <w:tcBorders>
              <w:top w:val="single" w:sz="4" w:space="0" w:color="auto"/>
              <w:left w:val="nil"/>
              <w:bottom w:val="nil"/>
              <w:right w:val="nil"/>
            </w:tcBorders>
          </w:tcPr>
          <w:p w14:paraId="789B2C70"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1.68</w:t>
            </w:r>
          </w:p>
        </w:tc>
        <w:tc>
          <w:tcPr>
            <w:tcW w:w="1005" w:type="dxa"/>
            <w:tcBorders>
              <w:top w:val="single" w:sz="4" w:space="0" w:color="auto"/>
              <w:left w:val="nil"/>
              <w:bottom w:val="nil"/>
              <w:right w:val="nil"/>
            </w:tcBorders>
          </w:tcPr>
          <w:p w14:paraId="7404AD36"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0.47</w:t>
            </w:r>
          </w:p>
        </w:tc>
        <w:tc>
          <w:tcPr>
            <w:tcW w:w="936" w:type="dxa"/>
            <w:tcBorders>
              <w:top w:val="single" w:sz="4" w:space="0" w:color="auto"/>
              <w:left w:val="nil"/>
              <w:bottom w:val="nil"/>
              <w:right w:val="nil"/>
            </w:tcBorders>
          </w:tcPr>
          <w:p w14:paraId="7275D970"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0.36</w:t>
            </w:r>
          </w:p>
        </w:tc>
        <w:tc>
          <w:tcPr>
            <w:tcW w:w="1080" w:type="dxa"/>
            <w:tcBorders>
              <w:top w:val="single" w:sz="4" w:space="0" w:color="auto"/>
              <w:left w:val="nil"/>
              <w:bottom w:val="nil"/>
              <w:right w:val="nil"/>
            </w:tcBorders>
          </w:tcPr>
          <w:p w14:paraId="2E23A263"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0.712</w:t>
            </w:r>
          </w:p>
        </w:tc>
        <w:tc>
          <w:tcPr>
            <w:tcW w:w="900" w:type="dxa"/>
            <w:tcBorders>
              <w:top w:val="single" w:sz="4" w:space="0" w:color="auto"/>
              <w:left w:val="nil"/>
              <w:bottom w:val="nil"/>
              <w:right w:val="nil"/>
            </w:tcBorders>
          </w:tcPr>
          <w:p w14:paraId="28197DD1"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0.184</w:t>
            </w:r>
          </w:p>
        </w:tc>
        <w:tc>
          <w:tcPr>
            <w:tcW w:w="900" w:type="dxa"/>
            <w:tcBorders>
              <w:top w:val="single" w:sz="4" w:space="0" w:color="auto"/>
              <w:left w:val="nil"/>
              <w:bottom w:val="nil"/>
              <w:right w:val="nil"/>
            </w:tcBorders>
          </w:tcPr>
          <w:p w14:paraId="74FC8A32"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sz w:val="20"/>
              </w:rPr>
              <w:t>0.02</w:t>
            </w:r>
          </w:p>
        </w:tc>
        <w:tc>
          <w:tcPr>
            <w:tcW w:w="1170" w:type="dxa"/>
            <w:tcBorders>
              <w:top w:val="single" w:sz="4" w:space="0" w:color="auto"/>
              <w:left w:val="nil"/>
              <w:bottom w:val="nil"/>
              <w:right w:val="nil"/>
            </w:tcBorders>
          </w:tcPr>
          <w:p w14:paraId="174EA71D"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sz w:val="20"/>
              </w:rPr>
              <w:t>113.61</w:t>
            </w:r>
          </w:p>
        </w:tc>
        <w:tc>
          <w:tcPr>
            <w:tcW w:w="990" w:type="dxa"/>
            <w:tcBorders>
              <w:top w:val="single" w:sz="4" w:space="0" w:color="auto"/>
              <w:left w:val="nil"/>
              <w:bottom w:val="nil"/>
              <w:right w:val="nil"/>
            </w:tcBorders>
            <w:vAlign w:val="center"/>
          </w:tcPr>
          <w:p w14:paraId="3F6DBC42"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3.24</w:t>
            </w:r>
          </w:p>
        </w:tc>
      </w:tr>
      <w:tr w:rsidR="00461CCA" w:rsidRPr="005D475E" w14:paraId="3F10C593" w14:textId="77777777" w:rsidTr="00461CCA">
        <w:trPr>
          <w:trHeight w:val="248"/>
        </w:trPr>
        <w:tc>
          <w:tcPr>
            <w:tcW w:w="1260" w:type="dxa"/>
            <w:tcBorders>
              <w:top w:val="nil"/>
              <w:left w:val="nil"/>
              <w:bottom w:val="single" w:sz="4" w:space="0" w:color="auto"/>
              <w:right w:val="nil"/>
            </w:tcBorders>
          </w:tcPr>
          <w:p w14:paraId="64946993"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b/>
                <w:sz w:val="20"/>
              </w:rPr>
              <w:t>CD at 5%</w:t>
            </w:r>
          </w:p>
        </w:tc>
        <w:tc>
          <w:tcPr>
            <w:tcW w:w="1479" w:type="dxa"/>
            <w:tcBorders>
              <w:top w:val="nil"/>
              <w:left w:val="nil"/>
              <w:bottom w:val="single" w:sz="4" w:space="0" w:color="auto"/>
              <w:right w:val="nil"/>
            </w:tcBorders>
          </w:tcPr>
          <w:p w14:paraId="2CA314EE"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5.05</w:t>
            </w:r>
          </w:p>
        </w:tc>
        <w:tc>
          <w:tcPr>
            <w:tcW w:w="1005" w:type="dxa"/>
            <w:tcBorders>
              <w:top w:val="nil"/>
              <w:left w:val="nil"/>
              <w:bottom w:val="single" w:sz="4" w:space="0" w:color="auto"/>
              <w:right w:val="nil"/>
            </w:tcBorders>
          </w:tcPr>
          <w:p w14:paraId="0766B0DA"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1.42</w:t>
            </w:r>
          </w:p>
        </w:tc>
        <w:tc>
          <w:tcPr>
            <w:tcW w:w="936" w:type="dxa"/>
            <w:tcBorders>
              <w:top w:val="nil"/>
              <w:left w:val="nil"/>
              <w:bottom w:val="single" w:sz="4" w:space="0" w:color="auto"/>
              <w:right w:val="nil"/>
            </w:tcBorders>
          </w:tcPr>
          <w:p w14:paraId="099B4C21" w14:textId="77777777" w:rsidR="005D475E" w:rsidRPr="005E61D2" w:rsidRDefault="00461CCA" w:rsidP="00F60F8E">
            <w:pPr>
              <w:pStyle w:val="Body"/>
              <w:spacing w:after="0" w:line="276" w:lineRule="auto"/>
              <w:jc w:val="center"/>
              <w:rPr>
                <w:rFonts w:ascii="Arial" w:hAnsi="Arial" w:cs="Arial"/>
                <w:bCs/>
                <w:sz w:val="20"/>
              </w:rPr>
            </w:pPr>
            <w:r w:rsidRPr="005E61D2">
              <w:rPr>
                <w:rFonts w:ascii="Arial" w:hAnsi="Arial" w:cs="Arial"/>
                <w:bCs/>
                <w:sz w:val="20"/>
              </w:rPr>
              <w:t>1.08</w:t>
            </w:r>
          </w:p>
        </w:tc>
        <w:tc>
          <w:tcPr>
            <w:tcW w:w="1080" w:type="dxa"/>
            <w:tcBorders>
              <w:top w:val="nil"/>
              <w:left w:val="nil"/>
              <w:bottom w:val="single" w:sz="4" w:space="0" w:color="auto"/>
              <w:right w:val="nil"/>
            </w:tcBorders>
          </w:tcPr>
          <w:p w14:paraId="25C4328E"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2.132</w:t>
            </w:r>
          </w:p>
        </w:tc>
        <w:tc>
          <w:tcPr>
            <w:tcW w:w="900" w:type="dxa"/>
            <w:tcBorders>
              <w:top w:val="nil"/>
              <w:left w:val="nil"/>
              <w:bottom w:val="single" w:sz="4" w:space="0" w:color="auto"/>
              <w:right w:val="nil"/>
            </w:tcBorders>
          </w:tcPr>
          <w:p w14:paraId="72D43DA3"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0.552</w:t>
            </w:r>
          </w:p>
        </w:tc>
        <w:tc>
          <w:tcPr>
            <w:tcW w:w="900" w:type="dxa"/>
            <w:tcBorders>
              <w:top w:val="nil"/>
              <w:left w:val="nil"/>
              <w:bottom w:val="single" w:sz="4" w:space="0" w:color="auto"/>
              <w:right w:val="nil"/>
            </w:tcBorders>
          </w:tcPr>
          <w:p w14:paraId="534D7E11"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0.07</w:t>
            </w:r>
          </w:p>
        </w:tc>
        <w:tc>
          <w:tcPr>
            <w:tcW w:w="1170" w:type="dxa"/>
            <w:tcBorders>
              <w:top w:val="nil"/>
              <w:left w:val="nil"/>
              <w:bottom w:val="single" w:sz="4" w:space="0" w:color="auto"/>
              <w:right w:val="nil"/>
            </w:tcBorders>
          </w:tcPr>
          <w:p w14:paraId="5EEA22B9"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340.17</w:t>
            </w:r>
          </w:p>
        </w:tc>
        <w:tc>
          <w:tcPr>
            <w:tcW w:w="990" w:type="dxa"/>
            <w:tcBorders>
              <w:top w:val="nil"/>
              <w:left w:val="nil"/>
              <w:bottom w:val="single" w:sz="4" w:space="0" w:color="auto"/>
              <w:right w:val="nil"/>
            </w:tcBorders>
            <w:vAlign w:val="center"/>
          </w:tcPr>
          <w:p w14:paraId="5742F729"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9.70</w:t>
            </w:r>
          </w:p>
        </w:tc>
      </w:tr>
    </w:tbl>
    <w:p w14:paraId="01785E8A" w14:textId="4CFF1F5B" w:rsidR="005D475E" w:rsidRPr="00666B3B" w:rsidRDefault="00666B3B" w:rsidP="001F6005">
      <w:pPr>
        <w:pStyle w:val="Body"/>
        <w:spacing w:after="0"/>
        <w:jc w:val="center"/>
        <w:rPr>
          <w:rFonts w:ascii="Arial" w:hAnsi="Arial" w:cs="Arial"/>
        </w:rPr>
      </w:pPr>
      <w:r w:rsidRPr="00666B3B">
        <w:rPr>
          <w:rFonts w:ascii="Arial" w:hAnsi="Arial" w:cs="Arial"/>
        </w:rPr>
        <w:t>(Figures in p</w:t>
      </w:r>
      <w:r w:rsidR="001F6005" w:rsidRPr="00666B3B">
        <w:rPr>
          <w:rFonts w:ascii="Arial" w:hAnsi="Arial" w:cs="Arial"/>
        </w:rPr>
        <w:t>arentheses are Arc sine transformed values)</w:t>
      </w:r>
    </w:p>
    <w:p w14:paraId="01CF8836" w14:textId="77777777" w:rsidR="004A1E13" w:rsidRDefault="004A1E13" w:rsidP="005D475E">
      <w:pPr>
        <w:pStyle w:val="Body"/>
        <w:spacing w:after="0"/>
        <w:rPr>
          <w:rFonts w:ascii="Arial" w:hAnsi="Arial" w:cs="Arial"/>
        </w:rPr>
      </w:pPr>
    </w:p>
    <w:p w14:paraId="11A93C50" w14:textId="0BB5C4D0" w:rsidR="005D475E" w:rsidRDefault="005D475E" w:rsidP="005D475E">
      <w:pPr>
        <w:pStyle w:val="Body"/>
        <w:spacing w:after="0"/>
        <w:rPr>
          <w:rFonts w:ascii="Arial" w:hAnsi="Arial" w:cs="Arial"/>
        </w:rPr>
      </w:pPr>
      <w:r w:rsidRPr="005D475E">
        <w:rPr>
          <w:rFonts w:ascii="Arial" w:hAnsi="Arial" w:cs="Arial"/>
        </w:rPr>
        <w:t xml:space="preserve">The </w:t>
      </w:r>
      <w:r w:rsidR="0057433E">
        <w:rPr>
          <w:rFonts w:ascii="Arial" w:hAnsi="Arial" w:cs="Arial"/>
        </w:rPr>
        <w:t>data revealed that vigour index-</w:t>
      </w:r>
      <w:r w:rsidRPr="005D475E">
        <w:rPr>
          <w:rFonts w:ascii="Arial" w:hAnsi="Arial" w:cs="Arial"/>
        </w:rPr>
        <w:t xml:space="preserve">I shows significant difference among the various treatments (Table 2). For this parameter, all the treatments </w:t>
      </w:r>
      <w:r w:rsidRPr="005D475E">
        <w:rPr>
          <w:rFonts w:ascii="Arial" w:hAnsi="Arial" w:cs="Arial"/>
          <w:bCs/>
        </w:rPr>
        <w:t>resulted significant influence over control</w:t>
      </w:r>
      <w:r w:rsidRPr="005D475E">
        <w:rPr>
          <w:rFonts w:ascii="Arial" w:hAnsi="Arial" w:cs="Arial"/>
        </w:rPr>
        <w:t>.</w:t>
      </w:r>
      <w:r w:rsidR="0057433E">
        <w:rPr>
          <w:rFonts w:ascii="Arial" w:hAnsi="Arial" w:cs="Arial"/>
        </w:rPr>
        <w:t xml:space="preserve"> The vigour index-I</w:t>
      </w:r>
      <w:r w:rsidR="00687954">
        <w:rPr>
          <w:rFonts w:ascii="Arial" w:hAnsi="Arial" w:cs="Arial"/>
        </w:rPr>
        <w:t xml:space="preserve"> ranged from 1660.54</w:t>
      </w:r>
      <w:r w:rsidRPr="005D475E">
        <w:rPr>
          <w:rFonts w:ascii="Arial" w:hAnsi="Arial" w:cs="Arial"/>
        </w:rPr>
        <w:t xml:space="preserve"> to 3652.</w:t>
      </w:r>
      <w:r w:rsidR="0057433E">
        <w:rPr>
          <w:rFonts w:ascii="Arial" w:hAnsi="Arial" w:cs="Arial"/>
        </w:rPr>
        <w:t>31.</w:t>
      </w:r>
      <w:r w:rsidR="00804DDC">
        <w:rPr>
          <w:rFonts w:ascii="Arial" w:hAnsi="Arial" w:cs="Arial"/>
        </w:rPr>
        <w:t xml:space="preserve"> </w:t>
      </w:r>
      <w:r w:rsidR="0057433E">
        <w:rPr>
          <w:rFonts w:ascii="Arial" w:hAnsi="Arial" w:cs="Arial"/>
        </w:rPr>
        <w:t>The maximum vigour index-I</w:t>
      </w:r>
      <w:r w:rsidR="00687954">
        <w:rPr>
          <w:rFonts w:ascii="Arial" w:hAnsi="Arial" w:cs="Arial"/>
        </w:rPr>
        <w:t xml:space="preserve"> (3652.31</w:t>
      </w:r>
      <w:r w:rsidRPr="005D475E">
        <w:rPr>
          <w:rFonts w:ascii="Arial" w:hAnsi="Arial" w:cs="Arial"/>
        </w:rPr>
        <w:t>)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w:t>
      </w:r>
      <w:r w:rsidR="00804DDC">
        <w:rPr>
          <w:rFonts w:ascii="Arial" w:hAnsi="Arial" w:cs="Arial"/>
        </w:rPr>
        <w:t xml:space="preserve"> </w:t>
      </w:r>
      <w:r w:rsidRPr="005D475E">
        <w:rPr>
          <w:rFonts w:ascii="Arial" w:hAnsi="Arial" w:cs="Arial"/>
        </w:rPr>
        <w:t>ppm) which was found to be significantly superior than other tr</w:t>
      </w:r>
      <w:r w:rsidR="0057433E">
        <w:rPr>
          <w:rFonts w:ascii="Arial" w:hAnsi="Arial" w:cs="Arial"/>
        </w:rPr>
        <w:t>eatments whereas, minimum vigour index-I</w:t>
      </w:r>
      <w:r w:rsidRPr="005D475E">
        <w:rPr>
          <w:rFonts w:ascii="Arial" w:hAnsi="Arial" w:cs="Arial"/>
        </w:rPr>
        <w:t xml:space="preserve"> was recorded in control (T</w:t>
      </w:r>
      <w:r w:rsidRPr="005D475E">
        <w:rPr>
          <w:rFonts w:ascii="Arial" w:hAnsi="Arial" w:cs="Arial"/>
          <w:vertAlign w:val="subscript"/>
        </w:rPr>
        <w:t>1</w:t>
      </w:r>
      <w:r w:rsidR="00687954">
        <w:rPr>
          <w:rFonts w:ascii="Arial" w:hAnsi="Arial" w:cs="Arial"/>
        </w:rPr>
        <w:t>; 1660.54</w:t>
      </w:r>
      <w:r w:rsidRPr="005D475E">
        <w:rPr>
          <w:rFonts w:ascii="Arial" w:hAnsi="Arial" w:cs="Arial"/>
        </w:rPr>
        <w:t xml:space="preserve">). The </w:t>
      </w:r>
      <w:r w:rsidR="008A7C77">
        <w:rPr>
          <w:rFonts w:ascii="Arial" w:hAnsi="Arial" w:cs="Arial"/>
        </w:rPr>
        <w:t>vigour index</w:t>
      </w:r>
      <w:r w:rsidRPr="008A7C77">
        <w:rPr>
          <w:rFonts w:ascii="Arial" w:hAnsi="Arial" w:cs="Arial"/>
          <w:color w:val="000000" w:themeColor="text1"/>
        </w:rPr>
        <w:t>-I</w:t>
      </w:r>
      <w:r w:rsidRPr="005D475E">
        <w:rPr>
          <w:rFonts w:ascii="Arial" w:hAnsi="Arial" w:cs="Arial"/>
        </w:rPr>
        <w:t xml:space="preserve"> of seedlings is directly dependent on germination percentage and seedling length. Higher </w:t>
      </w:r>
      <w:r w:rsidR="008A7C77">
        <w:rPr>
          <w:rFonts w:ascii="Arial" w:hAnsi="Arial" w:cs="Arial"/>
        </w:rPr>
        <w:t>vigour index</w:t>
      </w:r>
      <w:r w:rsidRPr="008A7C77">
        <w:rPr>
          <w:rFonts w:ascii="Arial" w:hAnsi="Arial" w:cs="Arial"/>
          <w:color w:val="000000" w:themeColor="text1"/>
        </w:rPr>
        <w:t>-I</w:t>
      </w:r>
      <w:r w:rsidRPr="005D475E">
        <w:rPr>
          <w:rFonts w:ascii="Arial" w:hAnsi="Arial" w:cs="Arial"/>
        </w:rPr>
        <w:t xml:space="preserve"> in GA</w:t>
      </w:r>
      <w:r w:rsidRPr="005D475E">
        <w:rPr>
          <w:rFonts w:ascii="Arial" w:hAnsi="Arial" w:cs="Arial"/>
          <w:vertAlign w:val="subscript"/>
        </w:rPr>
        <w:t>3</w:t>
      </w:r>
      <w:r w:rsidRPr="005D475E">
        <w:rPr>
          <w:rFonts w:ascii="Arial" w:hAnsi="Arial" w:cs="Arial"/>
        </w:rPr>
        <w:t xml:space="preserve"> treated seeds might be due to the cumulative effect of higher seedling length and germination percentage which were greatly influenced by GA</w:t>
      </w:r>
      <w:r w:rsidRPr="005D475E">
        <w:rPr>
          <w:rFonts w:ascii="Arial" w:hAnsi="Arial" w:cs="Arial"/>
          <w:vertAlign w:val="subscript"/>
        </w:rPr>
        <w:t>3</w:t>
      </w:r>
      <w:r w:rsidRPr="005D475E">
        <w:rPr>
          <w:rFonts w:ascii="Arial" w:hAnsi="Arial" w:cs="Arial"/>
        </w:rPr>
        <w:t xml:space="preserve"> in French bean seed at laboratory con</w:t>
      </w:r>
      <w:r w:rsidR="00666B3B">
        <w:rPr>
          <w:rFonts w:ascii="Arial" w:hAnsi="Arial" w:cs="Arial"/>
        </w:rPr>
        <w:t>ditions. The results are in conformity</w:t>
      </w:r>
      <w:r w:rsidRPr="005D475E">
        <w:rPr>
          <w:rFonts w:ascii="Arial" w:hAnsi="Arial" w:cs="Arial"/>
        </w:rPr>
        <w:t xml:space="preserve"> with the findings of </w:t>
      </w:r>
      <w:r w:rsidRPr="005D475E">
        <w:rPr>
          <w:rFonts w:ascii="Arial" w:hAnsi="Arial" w:cs="Arial"/>
          <w:lang w:val="en-IN"/>
        </w:rPr>
        <w:t xml:space="preserve">Sarika </w:t>
      </w:r>
      <w:r w:rsidRPr="005D475E">
        <w:rPr>
          <w:rFonts w:ascii="Arial" w:hAnsi="Arial" w:cs="Arial"/>
          <w:i/>
          <w:iCs/>
          <w:lang w:val="en-IN"/>
        </w:rPr>
        <w:t>et al</w:t>
      </w:r>
      <w:r w:rsidRPr="005D475E">
        <w:rPr>
          <w:rFonts w:ascii="Arial" w:hAnsi="Arial" w:cs="Arial"/>
          <w:lang w:val="en-IN"/>
        </w:rPr>
        <w:t xml:space="preserve">. (2013), </w:t>
      </w:r>
      <w:bookmarkStart w:id="3" w:name="_Hlk143153273"/>
      <w:r w:rsidRPr="005D475E">
        <w:rPr>
          <w:rFonts w:ascii="Arial" w:hAnsi="Arial" w:cs="Arial"/>
        </w:rPr>
        <w:t xml:space="preserve">Lay </w:t>
      </w:r>
      <w:r w:rsidRPr="005D475E">
        <w:rPr>
          <w:rFonts w:ascii="Arial" w:hAnsi="Arial" w:cs="Arial"/>
          <w:i/>
          <w:iCs/>
        </w:rPr>
        <w:t>et al</w:t>
      </w:r>
      <w:r w:rsidRPr="005D475E">
        <w:rPr>
          <w:rFonts w:ascii="Arial" w:hAnsi="Arial" w:cs="Arial"/>
        </w:rPr>
        <w:t>. (2015</w:t>
      </w:r>
      <w:bookmarkEnd w:id="3"/>
      <w:r w:rsidRPr="005D475E">
        <w:rPr>
          <w:rFonts w:ascii="Arial" w:hAnsi="Arial" w:cs="Arial"/>
        </w:rPr>
        <w:t>), Behera</w:t>
      </w:r>
      <w:r w:rsidRPr="005D475E">
        <w:rPr>
          <w:rFonts w:ascii="Arial" w:hAnsi="Arial" w:cs="Arial"/>
          <w:bCs/>
          <w:iCs/>
        </w:rPr>
        <w:t xml:space="preserve"> (2016)</w:t>
      </w:r>
      <w:bookmarkStart w:id="4" w:name="_Hlk143153228"/>
      <w:r w:rsidRPr="005D475E">
        <w:rPr>
          <w:rFonts w:ascii="Arial" w:hAnsi="Arial" w:cs="Arial"/>
          <w:bCs/>
          <w:iCs/>
        </w:rPr>
        <w:t xml:space="preserve"> and</w:t>
      </w:r>
      <w:r w:rsidRPr="005D475E">
        <w:rPr>
          <w:rFonts w:ascii="Arial" w:hAnsi="Arial" w:cs="Arial"/>
        </w:rPr>
        <w:t xml:space="preserve"> Kumari </w:t>
      </w:r>
      <w:r w:rsidRPr="005D475E">
        <w:rPr>
          <w:rFonts w:ascii="Arial" w:hAnsi="Arial" w:cs="Arial"/>
          <w:i/>
          <w:iCs/>
        </w:rPr>
        <w:t>et al</w:t>
      </w:r>
      <w:r w:rsidRPr="005D475E">
        <w:rPr>
          <w:rFonts w:ascii="Arial" w:hAnsi="Arial" w:cs="Arial"/>
        </w:rPr>
        <w:t>. (2017)</w:t>
      </w:r>
      <w:bookmarkEnd w:id="4"/>
      <w:r w:rsidRPr="005D475E">
        <w:rPr>
          <w:rFonts w:ascii="Arial" w:hAnsi="Arial" w:cs="Arial"/>
        </w:rPr>
        <w:t>.</w:t>
      </w:r>
    </w:p>
    <w:p w14:paraId="7FE941AA" w14:textId="77777777" w:rsidR="008A7C77" w:rsidRPr="005D475E" w:rsidRDefault="008A7C77" w:rsidP="005D475E">
      <w:pPr>
        <w:pStyle w:val="Body"/>
        <w:spacing w:after="0"/>
        <w:rPr>
          <w:rFonts w:ascii="Arial" w:hAnsi="Arial" w:cs="Arial"/>
        </w:rPr>
      </w:pPr>
    </w:p>
    <w:p w14:paraId="32DC686A" w14:textId="58E4854E" w:rsidR="005D475E" w:rsidRDefault="00687954" w:rsidP="00AE617D">
      <w:pPr>
        <w:pStyle w:val="Body"/>
        <w:rPr>
          <w:rFonts w:ascii="Arial" w:hAnsi="Arial" w:cs="Arial"/>
        </w:rPr>
      </w:pPr>
      <w:r>
        <w:rPr>
          <w:rFonts w:ascii="Arial" w:hAnsi="Arial" w:cs="Arial"/>
        </w:rPr>
        <w:t xml:space="preserve">The </w:t>
      </w:r>
      <w:r w:rsidR="008A7C77">
        <w:rPr>
          <w:rFonts w:ascii="Arial" w:hAnsi="Arial" w:cs="Arial"/>
        </w:rPr>
        <w:t>vigour index</w:t>
      </w:r>
      <w:r w:rsidR="008A7C77" w:rsidRPr="00804DDC">
        <w:rPr>
          <w:rFonts w:ascii="Arial" w:hAnsi="Arial" w:cs="Arial"/>
          <w:color w:val="FF0000"/>
        </w:rPr>
        <w:t xml:space="preserve"> </w:t>
      </w:r>
      <w:r w:rsidRPr="008A7C77">
        <w:rPr>
          <w:rFonts w:ascii="Arial" w:hAnsi="Arial" w:cs="Arial"/>
          <w:color w:val="000000" w:themeColor="text1"/>
        </w:rPr>
        <w:t>-II</w:t>
      </w:r>
      <w:r>
        <w:rPr>
          <w:rFonts w:ascii="Arial" w:hAnsi="Arial" w:cs="Arial"/>
        </w:rPr>
        <w:t xml:space="preserve"> ranged from 35.06</w:t>
      </w:r>
      <w:r w:rsidR="005D475E" w:rsidRPr="005D475E">
        <w:rPr>
          <w:rFonts w:ascii="Arial" w:hAnsi="Arial" w:cs="Arial"/>
        </w:rPr>
        <w:t xml:space="preserve"> to 114.82</w:t>
      </w:r>
      <w:r w:rsidR="005D475E" w:rsidRPr="005D475E">
        <w:rPr>
          <w:rFonts w:ascii="Arial" w:hAnsi="Arial" w:cs="Arial"/>
          <w:b/>
          <w:bCs/>
        </w:rPr>
        <w:t xml:space="preserve">. </w:t>
      </w:r>
      <w:r w:rsidR="0057433E">
        <w:rPr>
          <w:rFonts w:ascii="Arial" w:hAnsi="Arial" w:cs="Arial"/>
        </w:rPr>
        <w:t>The maximum vigour index</w:t>
      </w:r>
      <w:r>
        <w:rPr>
          <w:rFonts w:ascii="Arial" w:hAnsi="Arial" w:cs="Arial"/>
        </w:rPr>
        <w:t>-II (114.82</w:t>
      </w:r>
      <w:r w:rsidR="005D475E" w:rsidRPr="005D475E">
        <w:rPr>
          <w:rFonts w:ascii="Arial" w:hAnsi="Arial" w:cs="Arial"/>
        </w:rPr>
        <w:t>) was observed in T</w:t>
      </w:r>
      <w:r w:rsidR="005D475E" w:rsidRPr="005D475E">
        <w:rPr>
          <w:rFonts w:ascii="Arial" w:hAnsi="Arial" w:cs="Arial"/>
          <w:vertAlign w:val="subscript"/>
        </w:rPr>
        <w:t>3</w:t>
      </w:r>
      <w:r w:rsidR="005D475E" w:rsidRPr="005D475E">
        <w:rPr>
          <w:rFonts w:ascii="Arial" w:hAnsi="Arial" w:cs="Arial"/>
        </w:rPr>
        <w:t xml:space="preserve"> (GA</w:t>
      </w:r>
      <w:r w:rsidR="005D475E" w:rsidRPr="005D475E">
        <w:rPr>
          <w:rFonts w:ascii="Arial" w:hAnsi="Arial" w:cs="Arial"/>
          <w:vertAlign w:val="subscript"/>
        </w:rPr>
        <w:t>3</w:t>
      </w:r>
      <w:r w:rsidR="005D475E" w:rsidRPr="005D475E">
        <w:rPr>
          <w:rFonts w:ascii="Arial" w:hAnsi="Arial" w:cs="Arial"/>
        </w:rPr>
        <w:t xml:space="preserve"> 50 ppm) which was found to be significantly superior followed by T</w:t>
      </w:r>
      <w:r w:rsidR="005D475E" w:rsidRPr="005D475E">
        <w:rPr>
          <w:rFonts w:ascii="Arial" w:hAnsi="Arial" w:cs="Arial"/>
          <w:vertAlign w:val="subscript"/>
        </w:rPr>
        <w:t>2</w:t>
      </w:r>
      <w:r w:rsidR="005D475E" w:rsidRPr="005D475E">
        <w:rPr>
          <w:rFonts w:ascii="Arial" w:hAnsi="Arial" w:cs="Arial"/>
        </w:rPr>
        <w:t xml:space="preserve"> (GA</w:t>
      </w:r>
      <w:r w:rsidR="005D475E" w:rsidRPr="005D475E">
        <w:rPr>
          <w:rFonts w:ascii="Arial" w:hAnsi="Arial" w:cs="Arial"/>
          <w:vertAlign w:val="subscript"/>
        </w:rPr>
        <w:t>3</w:t>
      </w:r>
      <w:r>
        <w:rPr>
          <w:rFonts w:ascii="Arial" w:hAnsi="Arial" w:cs="Arial"/>
        </w:rPr>
        <w:t xml:space="preserve"> 25 ppm; 85.92</w:t>
      </w:r>
      <w:r w:rsidR="00666B3B">
        <w:rPr>
          <w:rFonts w:ascii="Arial" w:hAnsi="Arial" w:cs="Arial"/>
        </w:rPr>
        <w:t>) and</w:t>
      </w:r>
      <w:r w:rsidR="005D475E" w:rsidRPr="005D475E">
        <w:rPr>
          <w:rFonts w:ascii="Arial" w:hAnsi="Arial" w:cs="Arial"/>
        </w:rPr>
        <w:t xml:space="preserve"> minimum </w:t>
      </w:r>
      <w:r w:rsidR="008A7C77">
        <w:rPr>
          <w:rFonts w:ascii="Arial" w:hAnsi="Arial" w:cs="Arial"/>
        </w:rPr>
        <w:t>vigour index</w:t>
      </w:r>
      <w:r w:rsidR="005D475E" w:rsidRPr="008A7C77">
        <w:rPr>
          <w:rFonts w:ascii="Arial" w:hAnsi="Arial" w:cs="Arial"/>
          <w:color w:val="000000" w:themeColor="text1"/>
        </w:rPr>
        <w:t>-II</w:t>
      </w:r>
      <w:r w:rsidR="005D475E" w:rsidRPr="005D475E">
        <w:rPr>
          <w:rFonts w:ascii="Arial" w:hAnsi="Arial" w:cs="Arial"/>
        </w:rPr>
        <w:t xml:space="preserve"> was</w:t>
      </w:r>
      <w:r>
        <w:rPr>
          <w:rFonts w:ascii="Arial" w:hAnsi="Arial" w:cs="Arial"/>
        </w:rPr>
        <w:t xml:space="preserve"> recorded in control (T1; 35.06</w:t>
      </w:r>
      <w:r w:rsidR="005D475E" w:rsidRPr="005D475E">
        <w:rPr>
          <w:rFonts w:ascii="Arial" w:hAnsi="Arial" w:cs="Arial"/>
        </w:rPr>
        <w:t>). Non-significant treatment influence was observed among T</w:t>
      </w:r>
      <w:r w:rsidR="005D475E" w:rsidRPr="005D475E">
        <w:rPr>
          <w:rFonts w:ascii="Arial" w:hAnsi="Arial" w:cs="Arial"/>
          <w:vertAlign w:val="subscript"/>
        </w:rPr>
        <w:t>4</w:t>
      </w:r>
      <w:r w:rsidR="005D475E" w:rsidRPr="005D475E">
        <w:rPr>
          <w:rFonts w:ascii="Arial" w:hAnsi="Arial" w:cs="Arial"/>
        </w:rPr>
        <w:t>, T</w:t>
      </w:r>
      <w:r w:rsidR="005D475E" w:rsidRPr="005D475E">
        <w:rPr>
          <w:rFonts w:ascii="Arial" w:hAnsi="Arial" w:cs="Arial"/>
          <w:vertAlign w:val="subscript"/>
        </w:rPr>
        <w:t>6</w:t>
      </w:r>
      <w:r w:rsidR="005D475E" w:rsidRPr="005D475E">
        <w:rPr>
          <w:rFonts w:ascii="Arial" w:hAnsi="Arial" w:cs="Arial"/>
        </w:rPr>
        <w:t>, and T</w:t>
      </w:r>
      <w:r w:rsidR="005D475E" w:rsidRPr="005D475E">
        <w:rPr>
          <w:rFonts w:ascii="Arial" w:hAnsi="Arial" w:cs="Arial"/>
          <w:vertAlign w:val="subscript"/>
        </w:rPr>
        <w:t>8</w:t>
      </w:r>
      <w:r w:rsidR="005D475E" w:rsidRPr="005D475E">
        <w:rPr>
          <w:rFonts w:ascii="Arial" w:hAnsi="Arial" w:cs="Arial"/>
        </w:rPr>
        <w:t xml:space="preserve"> as well as between T</w:t>
      </w:r>
      <w:r w:rsidR="005D475E" w:rsidRPr="005D475E">
        <w:rPr>
          <w:rFonts w:ascii="Arial" w:hAnsi="Arial" w:cs="Arial"/>
          <w:vertAlign w:val="subscript"/>
        </w:rPr>
        <w:t>7</w:t>
      </w:r>
      <w:r w:rsidR="005D475E" w:rsidRPr="005D475E">
        <w:rPr>
          <w:rFonts w:ascii="Arial" w:hAnsi="Arial" w:cs="Arial"/>
        </w:rPr>
        <w:t xml:space="preserve"> and T</w:t>
      </w:r>
      <w:r w:rsidR="005D475E" w:rsidRPr="005D475E">
        <w:rPr>
          <w:rFonts w:ascii="Arial" w:hAnsi="Arial" w:cs="Arial"/>
          <w:vertAlign w:val="subscript"/>
        </w:rPr>
        <w:t>9</w:t>
      </w:r>
      <w:r w:rsidR="005D475E" w:rsidRPr="005D475E">
        <w:rPr>
          <w:rFonts w:ascii="Arial" w:hAnsi="Arial" w:cs="Arial"/>
        </w:rPr>
        <w:t>.</w:t>
      </w:r>
      <w:r w:rsidR="00696165">
        <w:rPr>
          <w:rFonts w:ascii="Arial" w:hAnsi="Arial" w:cs="Arial"/>
        </w:rPr>
        <w:t xml:space="preserve"> </w:t>
      </w:r>
      <w:r w:rsidR="005D475E" w:rsidRPr="005D475E">
        <w:rPr>
          <w:rFonts w:ascii="Arial" w:hAnsi="Arial" w:cs="Arial"/>
        </w:rPr>
        <w:t xml:space="preserve">For expression of this parameter </w:t>
      </w:r>
      <w:r w:rsidR="005D475E" w:rsidRPr="005D475E">
        <w:rPr>
          <w:rFonts w:ascii="Arial" w:hAnsi="Arial" w:cs="Arial"/>
          <w:i/>
          <w:iCs/>
        </w:rPr>
        <w:t>i.e.</w:t>
      </w:r>
      <w:r w:rsidR="005D475E" w:rsidRPr="005D475E">
        <w:rPr>
          <w:rFonts w:ascii="Arial" w:hAnsi="Arial" w:cs="Arial"/>
        </w:rPr>
        <w:t xml:space="preserve">, vigour status of the seed, total bio-mass production may have exerted higher influence than the other factor (germination %). Lay </w:t>
      </w:r>
      <w:r w:rsidR="005D475E" w:rsidRPr="005D475E">
        <w:rPr>
          <w:rFonts w:ascii="Arial" w:hAnsi="Arial" w:cs="Arial"/>
          <w:i/>
          <w:iCs/>
        </w:rPr>
        <w:t>et al</w:t>
      </w:r>
      <w:r w:rsidR="005D475E" w:rsidRPr="005D475E">
        <w:rPr>
          <w:rFonts w:ascii="Arial" w:hAnsi="Arial" w:cs="Arial"/>
        </w:rPr>
        <w:t>. (2015), Behera</w:t>
      </w:r>
      <w:r w:rsidR="005D475E" w:rsidRPr="005D475E">
        <w:rPr>
          <w:rFonts w:ascii="Arial" w:hAnsi="Arial" w:cs="Arial"/>
          <w:bCs/>
          <w:iCs/>
        </w:rPr>
        <w:t xml:space="preserve"> (2016)</w:t>
      </w:r>
      <w:r w:rsidR="00804DDC">
        <w:rPr>
          <w:rFonts w:ascii="Arial" w:hAnsi="Arial" w:cs="Arial"/>
          <w:bCs/>
          <w:iCs/>
        </w:rPr>
        <w:t xml:space="preserve"> </w:t>
      </w:r>
      <w:r w:rsidR="005D475E" w:rsidRPr="005D475E">
        <w:rPr>
          <w:rFonts w:ascii="Arial" w:hAnsi="Arial" w:cs="Arial"/>
          <w:bCs/>
          <w:iCs/>
        </w:rPr>
        <w:t>and</w:t>
      </w:r>
      <w:r w:rsidR="005D475E" w:rsidRPr="005D475E">
        <w:rPr>
          <w:rFonts w:ascii="Arial" w:hAnsi="Arial" w:cs="Arial"/>
        </w:rPr>
        <w:t xml:space="preserve"> Kumari </w:t>
      </w:r>
      <w:r w:rsidR="005D475E" w:rsidRPr="005D475E">
        <w:rPr>
          <w:rFonts w:ascii="Arial" w:hAnsi="Arial" w:cs="Arial"/>
          <w:i/>
          <w:iCs/>
        </w:rPr>
        <w:t>et al</w:t>
      </w:r>
      <w:r w:rsidR="005D475E" w:rsidRPr="005D475E">
        <w:rPr>
          <w:rFonts w:ascii="Arial" w:hAnsi="Arial" w:cs="Arial"/>
        </w:rPr>
        <w:t>. (2017) provided information for justification of this result.</w:t>
      </w:r>
      <w:r w:rsidR="00AE617D">
        <w:rPr>
          <w:rFonts w:ascii="Arial" w:hAnsi="Arial" w:cs="Arial"/>
        </w:rPr>
        <w:t xml:space="preserve"> </w:t>
      </w:r>
      <w:r w:rsidR="00AE617D" w:rsidRPr="00AE617D">
        <w:rPr>
          <w:rFonts w:ascii="Arial" w:hAnsi="Arial" w:cs="Arial"/>
        </w:rPr>
        <w:t>Vigour index-II showed improvement with higher germination values (Fig.-2), which denotes a positive relation among them.</w:t>
      </w:r>
    </w:p>
    <w:p w14:paraId="4C9E89EE" w14:textId="77777777" w:rsidR="00347187" w:rsidRDefault="00347187" w:rsidP="005D475E">
      <w:pPr>
        <w:pStyle w:val="Body"/>
        <w:spacing w:after="0"/>
        <w:rPr>
          <w:rFonts w:ascii="Arial" w:hAnsi="Arial" w:cs="Arial"/>
        </w:rPr>
      </w:pPr>
    </w:p>
    <w:p w14:paraId="75ED9C20" w14:textId="77777777" w:rsidR="00347187" w:rsidRDefault="00347187" w:rsidP="00347187">
      <w:pPr>
        <w:pStyle w:val="Body"/>
        <w:spacing w:after="0"/>
        <w:jc w:val="center"/>
        <w:rPr>
          <w:rFonts w:ascii="Arial" w:hAnsi="Arial" w:cs="Arial"/>
        </w:rPr>
      </w:pPr>
    </w:p>
    <w:p w14:paraId="378B73EF" w14:textId="77777777" w:rsidR="00347187" w:rsidRDefault="00347187" w:rsidP="00347187">
      <w:pPr>
        <w:pStyle w:val="Body"/>
        <w:spacing w:after="0"/>
        <w:jc w:val="center"/>
        <w:rPr>
          <w:rFonts w:ascii="Arial" w:hAnsi="Arial" w:cs="Arial"/>
        </w:rPr>
      </w:pPr>
    </w:p>
    <w:p w14:paraId="7BEB587C" w14:textId="77777777" w:rsidR="00347187" w:rsidRPr="005D475E" w:rsidRDefault="00347187" w:rsidP="005D475E">
      <w:pPr>
        <w:pStyle w:val="Body"/>
        <w:spacing w:after="0"/>
        <w:rPr>
          <w:rFonts w:ascii="Arial" w:hAnsi="Arial" w:cs="Arial"/>
        </w:rPr>
      </w:pPr>
    </w:p>
    <w:p w14:paraId="0EAE83E3" w14:textId="77777777" w:rsidR="00E053D0" w:rsidRDefault="00E3591F" w:rsidP="00441B6F">
      <w:pPr>
        <w:pStyle w:val="Body"/>
        <w:spacing w:after="0"/>
        <w:rPr>
          <w:rFonts w:ascii="Arial" w:hAnsi="Arial" w:cs="Arial"/>
        </w:rPr>
      </w:pPr>
      <w:r w:rsidRPr="00E3591F">
        <w:rPr>
          <w:rFonts w:ascii="Arial" w:hAnsi="Arial" w:cs="Arial"/>
          <w:noProof/>
        </w:rPr>
        <w:drawing>
          <wp:inline distT="0" distB="0" distL="0" distR="0" wp14:anchorId="6B7C67C0" wp14:editId="1EA52F15">
            <wp:extent cx="5212080" cy="2582058"/>
            <wp:effectExtent l="19050" t="0" r="26670" b="8742"/>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06523C" w14:textId="77777777" w:rsidR="00790ADA" w:rsidRDefault="0057433E" w:rsidP="0057433E">
      <w:pPr>
        <w:pStyle w:val="Body"/>
        <w:spacing w:after="0"/>
        <w:jc w:val="center"/>
        <w:rPr>
          <w:rFonts w:ascii="Arial" w:hAnsi="Arial" w:cs="Arial"/>
          <w:u w:val="single"/>
        </w:rPr>
      </w:pPr>
      <w:r w:rsidRPr="00584276">
        <w:rPr>
          <w:rFonts w:ascii="Arial" w:hAnsi="Arial" w:cs="Arial"/>
          <w:b/>
          <w:u w:val="single"/>
        </w:rPr>
        <w:t>Fig.</w:t>
      </w:r>
      <w:r w:rsidR="00584276" w:rsidRPr="00584276">
        <w:rPr>
          <w:rFonts w:ascii="Arial" w:hAnsi="Arial" w:cs="Arial"/>
          <w:b/>
          <w:u w:val="single"/>
        </w:rPr>
        <w:t>1</w:t>
      </w:r>
      <w:r>
        <w:rPr>
          <w:rFonts w:ascii="Arial" w:hAnsi="Arial" w:cs="Arial"/>
        </w:rPr>
        <w:t xml:space="preserve">- </w:t>
      </w:r>
      <w:r w:rsidRPr="00584276">
        <w:rPr>
          <w:rFonts w:ascii="Arial" w:hAnsi="Arial" w:cs="Arial"/>
          <w:u w:val="single"/>
        </w:rPr>
        <w:t>Average Germination Percentage</w:t>
      </w:r>
    </w:p>
    <w:p w14:paraId="18D0F115" w14:textId="77777777" w:rsidR="000F4D3E" w:rsidRDefault="000F4D3E" w:rsidP="0057433E">
      <w:pPr>
        <w:pStyle w:val="Body"/>
        <w:spacing w:after="0"/>
        <w:jc w:val="center"/>
        <w:rPr>
          <w:rFonts w:ascii="Arial" w:hAnsi="Arial" w:cs="Arial"/>
          <w:u w:val="single"/>
        </w:rPr>
      </w:pPr>
    </w:p>
    <w:p w14:paraId="0C142BA3" w14:textId="1510E7FF" w:rsidR="000F4D3E" w:rsidRPr="00584276" w:rsidRDefault="000F4D3E" w:rsidP="0057433E">
      <w:pPr>
        <w:pStyle w:val="Body"/>
        <w:spacing w:after="0"/>
        <w:jc w:val="center"/>
        <w:rPr>
          <w:rFonts w:ascii="Arial" w:hAnsi="Arial" w:cs="Arial"/>
          <w:u w:val="single"/>
        </w:rPr>
      </w:pPr>
      <w:r>
        <w:rPr>
          <w:noProof/>
        </w:rPr>
        <w:drawing>
          <wp:inline distT="0" distB="0" distL="0" distR="0" wp14:anchorId="44A0DE54" wp14:editId="232A37C9">
            <wp:extent cx="5181600" cy="2743200"/>
            <wp:effectExtent l="0" t="0" r="0" b="0"/>
            <wp:docPr id="393346045" name="Chart 1">
              <a:extLst xmlns:a="http://schemas.openxmlformats.org/drawingml/2006/main">
                <a:ext uri="{FF2B5EF4-FFF2-40B4-BE49-F238E27FC236}">
                  <a16:creationId xmlns:a16="http://schemas.microsoft.com/office/drawing/2014/main" id="{3AD002F7-BFCC-1AD0-FE0E-C20A45C7B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019796" w14:textId="4411447C" w:rsidR="000F4D3E" w:rsidRDefault="000F4D3E" w:rsidP="000F4D3E">
      <w:pPr>
        <w:pStyle w:val="Body"/>
        <w:spacing w:after="0"/>
        <w:jc w:val="center"/>
        <w:rPr>
          <w:rFonts w:ascii="Arial" w:hAnsi="Arial" w:cs="Arial"/>
          <w:u w:val="single"/>
        </w:rPr>
      </w:pPr>
      <w:r w:rsidRPr="00584276">
        <w:rPr>
          <w:rFonts w:ascii="Arial" w:hAnsi="Arial" w:cs="Arial"/>
          <w:b/>
          <w:u w:val="single"/>
        </w:rPr>
        <w:t>Fig.</w:t>
      </w:r>
      <w:r>
        <w:rPr>
          <w:rFonts w:ascii="Arial" w:hAnsi="Arial" w:cs="Arial"/>
          <w:b/>
          <w:u w:val="single"/>
        </w:rPr>
        <w:t>2</w:t>
      </w:r>
      <w:r>
        <w:rPr>
          <w:rFonts w:ascii="Arial" w:hAnsi="Arial" w:cs="Arial"/>
        </w:rPr>
        <w:t xml:space="preserve">- </w:t>
      </w:r>
      <w:r w:rsidR="00E665E6">
        <w:rPr>
          <w:rFonts w:ascii="Arial" w:hAnsi="Arial" w:cs="Arial"/>
          <w:u w:val="single"/>
        </w:rPr>
        <w:t>Germination (%) and Vigour Index-II as influenced by different concentrations of growth regulators</w:t>
      </w:r>
    </w:p>
    <w:p w14:paraId="058DBF89" w14:textId="77777777" w:rsidR="00584276" w:rsidRPr="00584276" w:rsidRDefault="00584276" w:rsidP="00441B6F">
      <w:pPr>
        <w:pStyle w:val="ConcHead"/>
        <w:spacing w:after="0"/>
        <w:jc w:val="both"/>
        <w:rPr>
          <w:rFonts w:ascii="Arial" w:hAnsi="Arial" w:cs="Arial"/>
          <w:u w:val="single"/>
        </w:rPr>
      </w:pPr>
    </w:p>
    <w:p w14:paraId="29F9A8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B9D73A" w14:textId="77777777" w:rsidR="00790ADA" w:rsidRPr="00FB3A86" w:rsidRDefault="00790ADA" w:rsidP="00441B6F">
      <w:pPr>
        <w:pStyle w:val="ConcHead"/>
        <w:spacing w:after="0"/>
        <w:jc w:val="both"/>
        <w:rPr>
          <w:rFonts w:ascii="Arial" w:hAnsi="Arial" w:cs="Arial"/>
        </w:rPr>
      </w:pPr>
    </w:p>
    <w:p w14:paraId="1982BCB1" w14:textId="7551DC2D" w:rsidR="00A93B25" w:rsidRDefault="00A93B25" w:rsidP="00A93B25">
      <w:pPr>
        <w:pStyle w:val="Body"/>
        <w:spacing w:after="0"/>
        <w:rPr>
          <w:rFonts w:ascii="Arial" w:hAnsi="Arial" w:cs="Arial"/>
        </w:rPr>
      </w:pPr>
      <w:r w:rsidRPr="00A93B25">
        <w:rPr>
          <w:rFonts w:ascii="Arial" w:hAnsi="Arial" w:cs="Arial"/>
        </w:rPr>
        <w:t>Among all the treatments, influence of</w:t>
      </w:r>
      <w:r w:rsidR="0057433E">
        <w:rPr>
          <w:rFonts w:ascii="Arial" w:hAnsi="Arial" w:cs="Arial"/>
        </w:rPr>
        <w:t xml:space="preserve"> 50 ppm</w:t>
      </w:r>
      <w:r w:rsidRPr="00A93B25">
        <w:rPr>
          <w:rFonts w:ascii="Arial" w:hAnsi="Arial" w:cs="Arial"/>
        </w:rPr>
        <w:t xml:space="preserve"> GA</w:t>
      </w:r>
      <w:r w:rsidRPr="00A93B25">
        <w:rPr>
          <w:rFonts w:ascii="Arial" w:hAnsi="Arial" w:cs="Arial"/>
          <w:vertAlign w:val="subscript"/>
        </w:rPr>
        <w:t>3</w:t>
      </w:r>
      <w:r w:rsidRPr="00A93B25">
        <w:rPr>
          <w:rFonts w:ascii="Arial" w:hAnsi="Arial" w:cs="Arial"/>
        </w:rPr>
        <w:t xml:space="preserve"> was found to be the most suitable growth regulator for germination and vigour </w:t>
      </w:r>
      <w:r w:rsidR="0057433E">
        <w:rPr>
          <w:rFonts w:ascii="Arial" w:hAnsi="Arial" w:cs="Arial"/>
        </w:rPr>
        <w:t xml:space="preserve">enhancement of French bean, </w:t>
      </w:r>
      <w:r w:rsidRPr="00A93B25">
        <w:rPr>
          <w:rFonts w:ascii="Arial" w:hAnsi="Arial" w:cs="Arial"/>
        </w:rPr>
        <w:t xml:space="preserve">it revealed superior performance in most of the parameter </w:t>
      </w:r>
      <w:r w:rsidRPr="00A93B25">
        <w:rPr>
          <w:rFonts w:ascii="Arial" w:hAnsi="Arial" w:cs="Arial"/>
          <w:i/>
          <w:iCs/>
        </w:rPr>
        <w:t>viz</w:t>
      </w:r>
      <w:r w:rsidRPr="00A93B25">
        <w:rPr>
          <w:rFonts w:ascii="Arial" w:hAnsi="Arial" w:cs="Arial"/>
        </w:rPr>
        <w:t>., germination percen</w:t>
      </w:r>
      <w:r w:rsidR="00687954">
        <w:rPr>
          <w:rFonts w:ascii="Arial" w:hAnsi="Arial" w:cs="Arial"/>
        </w:rPr>
        <w:t>t (93.33</w:t>
      </w:r>
      <w:r w:rsidR="005535CA">
        <w:rPr>
          <w:rFonts w:ascii="Arial" w:hAnsi="Arial" w:cs="Arial"/>
        </w:rPr>
        <w:t xml:space="preserve"> </w:t>
      </w:r>
      <w:r w:rsidR="00687954">
        <w:rPr>
          <w:rFonts w:ascii="Arial" w:hAnsi="Arial" w:cs="Arial"/>
        </w:rPr>
        <w:t xml:space="preserve">%), shoot length (24.76 </w:t>
      </w:r>
      <w:r w:rsidRPr="00A93B25">
        <w:rPr>
          <w:rFonts w:ascii="Arial" w:hAnsi="Arial" w:cs="Arial"/>
        </w:rPr>
        <w:t>cm), root length (14.</w:t>
      </w:r>
      <w:r w:rsidR="00687954">
        <w:rPr>
          <w:rFonts w:ascii="Arial" w:hAnsi="Arial" w:cs="Arial"/>
        </w:rPr>
        <w:t>36 cm), seedling length (39.13</w:t>
      </w:r>
      <w:r w:rsidRPr="00A93B25">
        <w:rPr>
          <w:rFonts w:ascii="Arial" w:hAnsi="Arial" w:cs="Arial"/>
        </w:rPr>
        <w:t xml:space="preserve"> cm</w:t>
      </w:r>
      <w:r w:rsidR="00687954">
        <w:rPr>
          <w:rFonts w:ascii="Arial" w:hAnsi="Arial" w:cs="Arial"/>
        </w:rPr>
        <w:t>), seedling fresh weight (12.58 g), seedling dr</w:t>
      </w:r>
      <w:r w:rsidR="00804DDC">
        <w:rPr>
          <w:rFonts w:ascii="Arial" w:hAnsi="Arial" w:cs="Arial"/>
        </w:rPr>
        <w:t>y weight (1.23 g), vigour index-I (3,652.31) and vigour index-</w:t>
      </w:r>
      <w:r w:rsidR="00687954">
        <w:rPr>
          <w:rFonts w:ascii="Arial" w:hAnsi="Arial" w:cs="Arial"/>
        </w:rPr>
        <w:t>II (114.82</w:t>
      </w:r>
      <w:r w:rsidR="000C570A">
        <w:rPr>
          <w:rFonts w:ascii="Arial" w:hAnsi="Arial" w:cs="Arial"/>
        </w:rPr>
        <w:t>). Synergistic effect</w:t>
      </w:r>
      <w:r w:rsidRPr="00A93B25">
        <w:rPr>
          <w:rFonts w:ascii="Arial" w:hAnsi="Arial" w:cs="Arial"/>
        </w:rPr>
        <w:t xml:space="preserve"> of both GA</w:t>
      </w:r>
      <w:r w:rsidRPr="00A93B25">
        <w:rPr>
          <w:rFonts w:ascii="Arial" w:hAnsi="Arial" w:cs="Arial"/>
          <w:vertAlign w:val="subscript"/>
        </w:rPr>
        <w:t>3</w:t>
      </w:r>
      <w:r w:rsidRPr="00A93B25">
        <w:rPr>
          <w:rFonts w:ascii="Arial" w:hAnsi="Arial" w:cs="Arial"/>
        </w:rPr>
        <w:t xml:space="preserve"> and IAA seed treatment also exhibited positive results over control but not as good as GA</w:t>
      </w:r>
      <w:r w:rsidRPr="00A93B25">
        <w:rPr>
          <w:rFonts w:ascii="Arial" w:hAnsi="Arial" w:cs="Arial"/>
          <w:vertAlign w:val="subscript"/>
        </w:rPr>
        <w:t>3</w:t>
      </w:r>
      <w:r w:rsidRPr="00A93B25">
        <w:rPr>
          <w:rFonts w:ascii="Arial" w:hAnsi="Arial" w:cs="Arial"/>
        </w:rPr>
        <w:t xml:space="preserve"> treatments. These findings suggest that GA</w:t>
      </w:r>
      <w:r w:rsidRPr="00A93B25">
        <w:rPr>
          <w:rFonts w:ascii="Arial" w:hAnsi="Arial" w:cs="Arial"/>
          <w:vertAlign w:val="subscript"/>
        </w:rPr>
        <w:t>3</w:t>
      </w:r>
      <w:r w:rsidRPr="00A93B25">
        <w:rPr>
          <w:rFonts w:ascii="Arial" w:hAnsi="Arial" w:cs="Arial"/>
        </w:rPr>
        <w:t xml:space="preserve"> could be a more </w:t>
      </w:r>
      <w:r w:rsidRPr="00A93B25">
        <w:rPr>
          <w:rFonts w:ascii="Arial" w:hAnsi="Arial" w:cs="Arial"/>
        </w:rPr>
        <w:lastRenderedPageBreak/>
        <w:t>effective growth hormone for improving seed quality, germination and facilitating initial French bean seedling growth.</w:t>
      </w:r>
    </w:p>
    <w:p w14:paraId="478D8600" w14:textId="77777777" w:rsidR="00584276" w:rsidRDefault="00584276" w:rsidP="00A93B25">
      <w:pPr>
        <w:pStyle w:val="Body"/>
        <w:spacing w:after="0"/>
        <w:rPr>
          <w:rFonts w:ascii="Arial" w:hAnsi="Arial" w:cs="Arial"/>
        </w:rPr>
      </w:pPr>
    </w:p>
    <w:p w14:paraId="1B5A9494" w14:textId="77777777" w:rsidR="00304D5A" w:rsidRPr="00394842" w:rsidRDefault="00304D5A" w:rsidP="00304D5A">
      <w:pPr>
        <w:rPr>
          <w:highlight w:val="yellow"/>
        </w:rPr>
      </w:pPr>
      <w:bookmarkStart w:id="5" w:name="_Hlk198120853"/>
      <w:r w:rsidRPr="00394842">
        <w:rPr>
          <w:highlight w:val="yellow"/>
        </w:rPr>
        <w:t>Disclaimer (Artificial intelligence)</w:t>
      </w:r>
    </w:p>
    <w:p w14:paraId="7D02BECA" w14:textId="77777777" w:rsidR="00304D5A" w:rsidRPr="00394842" w:rsidRDefault="00304D5A" w:rsidP="00304D5A">
      <w:pPr>
        <w:rPr>
          <w:highlight w:val="yellow"/>
        </w:rPr>
      </w:pPr>
    </w:p>
    <w:p w14:paraId="6D5E4118" w14:textId="77777777" w:rsidR="00304D5A" w:rsidRPr="00394842" w:rsidRDefault="00304D5A" w:rsidP="00304D5A">
      <w:pPr>
        <w:rPr>
          <w:highlight w:val="yellow"/>
        </w:rPr>
      </w:pPr>
      <w:r w:rsidRPr="00394842">
        <w:rPr>
          <w:highlight w:val="yellow"/>
        </w:rPr>
        <w:t xml:space="preserve">Option 1: </w:t>
      </w:r>
    </w:p>
    <w:p w14:paraId="53F41D58" w14:textId="77777777" w:rsidR="00304D5A" w:rsidRPr="00394842" w:rsidRDefault="00304D5A" w:rsidP="00304D5A">
      <w:pPr>
        <w:rPr>
          <w:highlight w:val="yellow"/>
        </w:rPr>
      </w:pPr>
    </w:p>
    <w:p w14:paraId="57169AE6" w14:textId="77777777" w:rsidR="00304D5A" w:rsidRPr="00394842" w:rsidRDefault="00304D5A" w:rsidP="00304D5A">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194152E8" w14:textId="77777777" w:rsidR="00304D5A" w:rsidRPr="00394842" w:rsidRDefault="00304D5A" w:rsidP="00304D5A">
      <w:pPr>
        <w:rPr>
          <w:highlight w:val="yellow"/>
        </w:rPr>
      </w:pPr>
    </w:p>
    <w:bookmarkEnd w:id="5"/>
    <w:p w14:paraId="331DDB9B" w14:textId="77777777" w:rsidR="00860000" w:rsidRDefault="00860000" w:rsidP="00441B6F">
      <w:pPr>
        <w:pStyle w:val="ReferHead"/>
        <w:spacing w:after="0"/>
        <w:jc w:val="both"/>
        <w:rPr>
          <w:rFonts w:ascii="Arial" w:hAnsi="Arial" w:cs="Arial"/>
        </w:rPr>
      </w:pPr>
    </w:p>
    <w:p w14:paraId="1B7E9D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254F35" w14:textId="77777777" w:rsidR="001F6005" w:rsidRPr="005D39A7" w:rsidRDefault="001F6005"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t>Abate G. The market for fresh green beans. Working Paper, The Strategic Marketing Institute. 2006; pp. 6-8.</w:t>
      </w:r>
    </w:p>
    <w:p w14:paraId="565CA175" w14:textId="77777777" w:rsidR="001F6005" w:rsidRPr="005D39A7" w:rsidRDefault="001F6005" w:rsidP="005D39A7">
      <w:pPr>
        <w:autoSpaceDE w:val="0"/>
        <w:autoSpaceDN w:val="0"/>
        <w:adjustRightInd w:val="0"/>
        <w:spacing w:before="240" w:line="276" w:lineRule="auto"/>
        <w:ind w:left="1152" w:hanging="1152"/>
        <w:jc w:val="both"/>
        <w:rPr>
          <w:rFonts w:ascii="Arial" w:eastAsiaTheme="minorEastAsia" w:hAnsi="Arial" w:cs="Arial"/>
        </w:rPr>
      </w:pPr>
      <w:r w:rsidRPr="005D39A7">
        <w:rPr>
          <w:rFonts w:ascii="Arial" w:eastAsiaTheme="minorEastAsia" w:hAnsi="Arial" w:cs="Arial"/>
        </w:rPr>
        <w:t>Ali M, Kushwaha BL. Cultivation of rabi</w:t>
      </w:r>
      <w:r>
        <w:rPr>
          <w:rFonts w:ascii="Arial" w:eastAsiaTheme="minorEastAsia" w:hAnsi="Arial" w:cs="Arial"/>
        </w:rPr>
        <w:t xml:space="preserve"> </w:t>
      </w:r>
      <w:r w:rsidRPr="005D39A7">
        <w:rPr>
          <w:rFonts w:ascii="Arial" w:eastAsiaTheme="minorEastAsia" w:hAnsi="Arial" w:cs="Arial"/>
        </w:rPr>
        <w:t>rajmash in plains. </w:t>
      </w:r>
      <w:r w:rsidRPr="005D39A7">
        <w:rPr>
          <w:rFonts w:ascii="Arial" w:eastAsiaTheme="minorEastAsia" w:hAnsi="Arial" w:cs="Arial"/>
          <w:iCs/>
        </w:rPr>
        <w:t>Indian farming</w:t>
      </w:r>
      <w:r w:rsidRPr="005D39A7">
        <w:rPr>
          <w:rFonts w:ascii="Arial" w:eastAsiaTheme="minorEastAsia" w:hAnsi="Arial" w:cs="Arial"/>
        </w:rPr>
        <w:t xml:space="preserve">. 1987;31(2): 20-23. </w:t>
      </w:r>
    </w:p>
    <w:p w14:paraId="3AAAF36D" w14:textId="77777777" w:rsidR="001F6005" w:rsidRPr="005D39A7" w:rsidRDefault="001F6005"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5D39A7">
        <w:rPr>
          <w:rFonts w:ascii="Arial" w:eastAsiaTheme="minorEastAsia" w:hAnsi="Arial" w:cs="Arial"/>
          <w:shd w:val="clear" w:color="auto" w:fill="FFFFFF"/>
        </w:rPr>
        <w:t xml:space="preserve">Anburani A, Shakila A. Influence of seed treatment on the enhancement of germination and seedling vigour of papaya. </w:t>
      </w:r>
      <w:r w:rsidRPr="005D39A7">
        <w:rPr>
          <w:rFonts w:ascii="Arial" w:eastAsiaTheme="minorEastAsia" w:hAnsi="Arial" w:cs="Arial"/>
          <w:iCs/>
          <w:shd w:val="clear" w:color="auto" w:fill="FFFFFF"/>
        </w:rPr>
        <w:t>Acta</w:t>
      </w:r>
      <w:r>
        <w:rPr>
          <w:rFonts w:ascii="Arial" w:eastAsiaTheme="minorEastAsia" w:hAnsi="Arial" w:cs="Arial"/>
          <w:iCs/>
          <w:shd w:val="clear" w:color="auto" w:fill="FFFFFF"/>
        </w:rPr>
        <w:t xml:space="preserve"> </w:t>
      </w:r>
      <w:r w:rsidRPr="005D39A7">
        <w:rPr>
          <w:rFonts w:ascii="Arial" w:eastAsiaTheme="minorEastAsia" w:hAnsi="Arial" w:cs="Arial"/>
          <w:iCs/>
          <w:shd w:val="clear" w:color="auto" w:fill="FFFFFF"/>
        </w:rPr>
        <w:t>Horticulturae</w:t>
      </w:r>
      <w:r w:rsidRPr="005D39A7">
        <w:rPr>
          <w:rFonts w:ascii="Arial" w:eastAsiaTheme="minorEastAsia" w:hAnsi="Arial" w:cs="Arial"/>
          <w:shd w:val="clear" w:color="auto" w:fill="FFFFFF"/>
        </w:rPr>
        <w:t>. 2010; 851:295-298.</w:t>
      </w:r>
    </w:p>
    <w:p w14:paraId="4B4961FB" w14:textId="77777777" w:rsidR="001F6005" w:rsidRPr="005D39A7" w:rsidRDefault="001F6005" w:rsidP="005D39A7">
      <w:pPr>
        <w:autoSpaceDE w:val="0"/>
        <w:autoSpaceDN w:val="0"/>
        <w:adjustRightInd w:val="0"/>
        <w:spacing w:before="240" w:line="276" w:lineRule="auto"/>
        <w:ind w:left="1152" w:hanging="1152"/>
        <w:jc w:val="both"/>
        <w:rPr>
          <w:rFonts w:ascii="Arial" w:eastAsiaTheme="minorEastAsia" w:hAnsi="Arial" w:cs="Arial"/>
        </w:rPr>
      </w:pPr>
      <w:r w:rsidRPr="005D39A7">
        <w:rPr>
          <w:rFonts w:ascii="Arial" w:eastAsiaTheme="minorEastAsia" w:hAnsi="Arial" w:cs="Arial"/>
        </w:rPr>
        <w:t xml:space="preserve">Anonymous. </w:t>
      </w:r>
      <w:r w:rsidRPr="005D39A7">
        <w:rPr>
          <w:rFonts w:ascii="Arial" w:eastAsiaTheme="minorEastAsia" w:hAnsi="Arial" w:cs="Arial"/>
          <w:iCs/>
        </w:rPr>
        <w:t>International Rules for Seed Testing</w:t>
      </w:r>
      <w:r w:rsidRPr="005D39A7">
        <w:rPr>
          <w:rFonts w:ascii="Arial" w:eastAsiaTheme="minorEastAsia" w:hAnsi="Arial" w:cs="Arial"/>
        </w:rPr>
        <w:t xml:space="preserve">, </w:t>
      </w:r>
      <w:r w:rsidRPr="005D39A7">
        <w:rPr>
          <w:rFonts w:ascii="Arial" w:eastAsiaTheme="minorEastAsia" w:hAnsi="Arial" w:cs="Arial"/>
          <w:iCs/>
        </w:rPr>
        <w:t>Seed Science and Technology.</w:t>
      </w:r>
      <w:r w:rsidRPr="005D39A7">
        <w:rPr>
          <w:rFonts w:ascii="Arial" w:eastAsiaTheme="minorEastAsia" w:hAnsi="Arial" w:cs="Arial"/>
        </w:rPr>
        <w:t xml:space="preserve"> 1996;29(Supplement): 1-335.</w:t>
      </w:r>
    </w:p>
    <w:p w14:paraId="5940BBAA" w14:textId="77777777" w:rsidR="001F6005" w:rsidRDefault="001F6005"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5D39A7">
        <w:rPr>
          <w:rFonts w:ascii="Arial" w:eastAsiaTheme="minorEastAsia" w:hAnsi="Arial" w:cs="Arial"/>
          <w:shd w:val="clear" w:color="auto" w:fill="FFFFFF"/>
        </w:rPr>
        <w:t xml:space="preserve">Babu KD, Patel RK, Singh A, Yadav DS, De LC, Deka BC. Seed germination, seedling growth and vigour of papaya under North east Indian condition. </w:t>
      </w:r>
      <w:r w:rsidRPr="005D39A7">
        <w:rPr>
          <w:rFonts w:ascii="Arial" w:eastAsiaTheme="minorEastAsia" w:hAnsi="Arial" w:cs="Arial"/>
          <w:iCs/>
          <w:shd w:val="clear" w:color="auto" w:fill="FFFFFF"/>
        </w:rPr>
        <w:t>Acta</w:t>
      </w:r>
      <w:r>
        <w:rPr>
          <w:rFonts w:ascii="Arial" w:eastAsiaTheme="minorEastAsia" w:hAnsi="Arial" w:cs="Arial"/>
          <w:iCs/>
          <w:shd w:val="clear" w:color="auto" w:fill="FFFFFF"/>
        </w:rPr>
        <w:t xml:space="preserve"> </w:t>
      </w:r>
      <w:r w:rsidRPr="005D39A7">
        <w:rPr>
          <w:rFonts w:ascii="Arial" w:eastAsiaTheme="minorEastAsia" w:hAnsi="Arial" w:cs="Arial"/>
          <w:iCs/>
          <w:shd w:val="clear" w:color="auto" w:fill="FFFFFF"/>
        </w:rPr>
        <w:t xml:space="preserve">Horticulturae. </w:t>
      </w:r>
      <w:r w:rsidRPr="005D39A7">
        <w:rPr>
          <w:rFonts w:ascii="Arial" w:eastAsiaTheme="minorEastAsia" w:hAnsi="Arial" w:cs="Arial"/>
          <w:shd w:val="clear" w:color="auto" w:fill="FFFFFF"/>
        </w:rPr>
        <w:t xml:space="preserve">2010; 851:299-306. </w:t>
      </w:r>
    </w:p>
    <w:p w14:paraId="236C4EAA" w14:textId="77777777" w:rsidR="001F6005" w:rsidRPr="005D39A7" w:rsidRDefault="001F6005"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t>Banerjee A, Bagchi DK, Si LK. Studies on the potential of winged bean as a multipurpose legume cover crop in tropical regions. </w:t>
      </w:r>
      <w:r w:rsidRPr="005D39A7">
        <w:rPr>
          <w:rFonts w:ascii="Arial" w:eastAsiaTheme="minorEastAsia" w:hAnsi="Arial" w:cs="Arial"/>
          <w:iCs/>
        </w:rPr>
        <w:t>Experimental agriculture</w:t>
      </w:r>
      <w:r w:rsidRPr="005D39A7">
        <w:rPr>
          <w:rFonts w:ascii="Arial" w:eastAsiaTheme="minorEastAsia" w:hAnsi="Arial" w:cs="Arial"/>
        </w:rPr>
        <w:t>. 1984;</w:t>
      </w:r>
      <w:r w:rsidRPr="005D39A7">
        <w:rPr>
          <w:rFonts w:ascii="Arial" w:eastAsiaTheme="minorEastAsia" w:hAnsi="Arial" w:cs="Arial"/>
          <w:iCs/>
        </w:rPr>
        <w:t>20</w:t>
      </w:r>
      <w:r w:rsidRPr="005D39A7">
        <w:rPr>
          <w:rFonts w:ascii="Arial" w:eastAsiaTheme="minorEastAsia" w:hAnsi="Arial" w:cs="Arial"/>
        </w:rPr>
        <w:t>(4): 297-301.</w:t>
      </w:r>
    </w:p>
    <w:p w14:paraId="0D128470" w14:textId="77777777" w:rsidR="001F6005" w:rsidRPr="005D39A7" w:rsidRDefault="001F6005"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3A2695">
        <w:rPr>
          <w:rFonts w:ascii="Arial" w:eastAsiaTheme="minorEastAsia" w:hAnsi="Arial" w:cs="Arial"/>
          <w:shd w:val="clear" w:color="auto" w:fill="FFFFFF"/>
        </w:rPr>
        <w:t>Barge JM, Bahadur V, Prasad VM</w:t>
      </w:r>
      <w:r>
        <w:rPr>
          <w:rFonts w:ascii="Arial" w:eastAsiaTheme="minorEastAsia" w:hAnsi="Arial" w:cs="Arial"/>
          <w:shd w:val="clear" w:color="auto" w:fill="FFFFFF"/>
        </w:rPr>
        <w:t>,</w:t>
      </w:r>
      <w:r w:rsidRPr="003A2695">
        <w:rPr>
          <w:rFonts w:ascii="Arial" w:eastAsiaTheme="minorEastAsia" w:hAnsi="Arial" w:cs="Arial"/>
          <w:shd w:val="clear" w:color="auto" w:fill="FFFFFF"/>
        </w:rPr>
        <w:t xml:space="preserve"> Deepanshu</w:t>
      </w:r>
      <w:r>
        <w:rPr>
          <w:rFonts w:ascii="Arial" w:eastAsiaTheme="minorEastAsia" w:hAnsi="Arial" w:cs="Arial"/>
          <w:shd w:val="clear" w:color="auto" w:fill="FFFFFF"/>
        </w:rPr>
        <w:t>.</w:t>
      </w:r>
      <w:r w:rsidRPr="003A2695">
        <w:rPr>
          <w:rFonts w:ascii="Arial" w:eastAsiaTheme="minorEastAsia" w:hAnsi="Arial" w:cs="Arial"/>
          <w:shd w:val="clear" w:color="auto" w:fill="FFFFFF"/>
        </w:rPr>
        <w:t xml:space="preserve"> Effect of Mulching on Plant Growth, Yield and Quality of French Bean (</w:t>
      </w:r>
      <w:r w:rsidRPr="003A2695">
        <w:rPr>
          <w:rFonts w:ascii="Arial" w:eastAsiaTheme="minorEastAsia" w:hAnsi="Arial" w:cs="Arial"/>
          <w:i/>
          <w:iCs/>
          <w:shd w:val="clear" w:color="auto" w:fill="FFFFFF"/>
        </w:rPr>
        <w:t>Phaseolus vulgaris</w:t>
      </w:r>
      <w:r w:rsidRPr="003A2695">
        <w:rPr>
          <w:rFonts w:ascii="Arial" w:eastAsiaTheme="minorEastAsia" w:hAnsi="Arial" w:cs="Arial"/>
          <w:shd w:val="clear" w:color="auto" w:fill="FFFFFF"/>
        </w:rPr>
        <w:t xml:space="preserve"> L.) cv. Arka</w:t>
      </w:r>
      <w:r>
        <w:rPr>
          <w:rFonts w:ascii="Arial" w:eastAsiaTheme="minorEastAsia" w:hAnsi="Arial" w:cs="Arial"/>
          <w:shd w:val="clear" w:color="auto" w:fill="FFFFFF"/>
        </w:rPr>
        <w:t xml:space="preserve"> </w:t>
      </w:r>
      <w:r w:rsidRPr="003A2695">
        <w:rPr>
          <w:rFonts w:ascii="Arial" w:eastAsiaTheme="minorEastAsia" w:hAnsi="Arial" w:cs="Arial"/>
          <w:shd w:val="clear" w:color="auto" w:fill="FFFFFF"/>
        </w:rPr>
        <w:t>Komal. International Journal of Environment and Climate Change</w:t>
      </w:r>
      <w:r>
        <w:rPr>
          <w:rFonts w:ascii="Arial" w:eastAsiaTheme="minorEastAsia" w:hAnsi="Arial" w:cs="Arial"/>
          <w:shd w:val="clear" w:color="auto" w:fill="FFFFFF"/>
        </w:rPr>
        <w:t>. 2022;</w:t>
      </w:r>
      <w:r w:rsidRPr="003A2695">
        <w:rPr>
          <w:rFonts w:ascii="Arial" w:eastAsiaTheme="minorEastAsia" w:hAnsi="Arial" w:cs="Arial"/>
          <w:shd w:val="clear" w:color="auto" w:fill="FFFFFF"/>
        </w:rPr>
        <w:t>12(12)</w:t>
      </w:r>
      <w:r>
        <w:rPr>
          <w:rFonts w:ascii="Arial" w:eastAsiaTheme="minorEastAsia" w:hAnsi="Arial" w:cs="Arial"/>
          <w:shd w:val="clear" w:color="auto" w:fill="FFFFFF"/>
        </w:rPr>
        <w:t>:</w:t>
      </w:r>
      <w:r w:rsidRPr="003A2695">
        <w:rPr>
          <w:rFonts w:ascii="Arial" w:eastAsiaTheme="minorEastAsia" w:hAnsi="Arial" w:cs="Arial"/>
          <w:shd w:val="clear" w:color="auto" w:fill="FFFFFF"/>
        </w:rPr>
        <w:t xml:space="preserve"> 197–203. https://doi.org/10.9734/ijecc/2022/v12i121453</w:t>
      </w:r>
    </w:p>
    <w:p w14:paraId="1A6F6467" w14:textId="77777777" w:rsidR="001F6005" w:rsidRPr="005D39A7" w:rsidRDefault="001F6005" w:rsidP="005D39A7">
      <w:pPr>
        <w:autoSpaceDE w:val="0"/>
        <w:autoSpaceDN w:val="0"/>
        <w:adjustRightInd w:val="0"/>
        <w:spacing w:before="240" w:line="276" w:lineRule="auto"/>
        <w:ind w:left="1152" w:hanging="1152"/>
        <w:jc w:val="both"/>
        <w:rPr>
          <w:rFonts w:ascii="Times New Roman" w:eastAsiaTheme="minorEastAsia" w:hAnsi="Times New Roman" w:cstheme="minorBidi"/>
          <w:sz w:val="32"/>
          <w:szCs w:val="24"/>
          <w:shd w:val="clear" w:color="auto" w:fill="FFFFFF"/>
        </w:rPr>
      </w:pPr>
      <w:r w:rsidRPr="005D39A7">
        <w:rPr>
          <w:rFonts w:ascii="Arial" w:eastAsiaTheme="minorEastAsia" w:hAnsi="Arial" w:cs="Arial"/>
          <w:shd w:val="clear" w:color="auto" w:fill="FFFFFF"/>
        </w:rPr>
        <w:t>Behera S. A Study on the Effect of Hormonal Priming (GA</w:t>
      </w:r>
      <w:r w:rsidRPr="005D39A7">
        <w:rPr>
          <w:rFonts w:ascii="Arial" w:eastAsiaTheme="minorEastAsia" w:hAnsi="Arial" w:cs="Arial"/>
          <w:shd w:val="clear" w:color="auto" w:fill="FFFFFF"/>
          <w:vertAlign w:val="subscript"/>
        </w:rPr>
        <w:t>3</w:t>
      </w:r>
      <w:r w:rsidRPr="005D39A7">
        <w:rPr>
          <w:rFonts w:ascii="Arial" w:eastAsiaTheme="minorEastAsia" w:hAnsi="Arial" w:cs="Arial"/>
          <w:shd w:val="clear" w:color="auto" w:fill="FFFFFF"/>
        </w:rPr>
        <w:t>) on Seed Quality Parameters of Solanaceous Vegetables. International Journal of Agricultural Science and Research. 2016; 6(3): 337-348.</w:t>
      </w:r>
    </w:p>
    <w:p w14:paraId="3E6B813C" w14:textId="77777777" w:rsidR="001F6005" w:rsidRPr="005D39A7" w:rsidRDefault="001F6005"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5D39A7">
        <w:rPr>
          <w:rFonts w:ascii="Arial" w:eastAsiaTheme="minorEastAsia" w:hAnsi="Arial" w:cs="Arial"/>
        </w:rPr>
        <w:t>Brian PW, Hemmings HG. The effects of gibberellic acid on shoot growth of pea seedlings. Physiol. Plant. 1955</w:t>
      </w:r>
      <w:r w:rsidRPr="005D39A7">
        <w:rPr>
          <w:rFonts w:ascii="Arial" w:eastAsiaTheme="minorEastAsia" w:hAnsi="Arial" w:cs="Arial"/>
          <w:b/>
        </w:rPr>
        <w:t>;</w:t>
      </w:r>
      <w:r>
        <w:rPr>
          <w:rFonts w:ascii="Arial" w:eastAsiaTheme="minorEastAsia" w:hAnsi="Arial" w:cs="Arial"/>
          <w:b/>
        </w:rPr>
        <w:t xml:space="preserve"> </w:t>
      </w:r>
      <w:r w:rsidRPr="005D39A7">
        <w:rPr>
          <w:rFonts w:ascii="Arial" w:eastAsiaTheme="minorEastAsia" w:hAnsi="Arial" w:cs="Arial"/>
        </w:rPr>
        <w:t>8:</w:t>
      </w:r>
      <w:r>
        <w:rPr>
          <w:rFonts w:ascii="Arial" w:eastAsiaTheme="minorEastAsia" w:hAnsi="Arial" w:cs="Arial"/>
        </w:rPr>
        <w:t xml:space="preserve"> </w:t>
      </w:r>
      <w:r w:rsidRPr="005D39A7">
        <w:rPr>
          <w:rFonts w:ascii="Arial" w:eastAsiaTheme="minorEastAsia" w:hAnsi="Arial" w:cs="Arial"/>
        </w:rPr>
        <w:t>669-681.  </w:t>
      </w:r>
    </w:p>
    <w:p w14:paraId="3D49AF04" w14:textId="77777777" w:rsidR="001F6005" w:rsidRDefault="001F6005" w:rsidP="005D39A7">
      <w:pPr>
        <w:autoSpaceDE w:val="0"/>
        <w:autoSpaceDN w:val="0"/>
        <w:adjustRightInd w:val="0"/>
        <w:spacing w:before="240" w:line="276" w:lineRule="auto"/>
        <w:ind w:left="1151" w:hanging="1151"/>
        <w:jc w:val="both"/>
        <w:rPr>
          <w:rFonts w:ascii="Arial" w:eastAsiaTheme="minorEastAsia" w:hAnsi="Arial" w:cs="Arial"/>
        </w:rPr>
      </w:pPr>
      <w:r w:rsidRPr="005D39A7">
        <w:rPr>
          <w:rFonts w:ascii="Arial" w:eastAsiaTheme="minorEastAsia" w:hAnsi="Arial" w:cs="Arial"/>
        </w:rPr>
        <w:t>Elangbam M, Rai PK, Lal GM, Singh S, Vishwas S. Effect of growth regulators on germination and vigour of Chickpea (</w:t>
      </w:r>
      <w:r w:rsidRPr="005D39A7">
        <w:rPr>
          <w:rFonts w:ascii="Arial" w:eastAsiaTheme="minorEastAsia" w:hAnsi="Arial" w:cs="Arial"/>
          <w:i/>
        </w:rPr>
        <w:t>Cicer arietinum</w:t>
      </w:r>
      <w:r w:rsidRPr="005D39A7">
        <w:rPr>
          <w:rFonts w:ascii="Arial" w:eastAsiaTheme="minorEastAsia" w:hAnsi="Arial" w:cs="Arial"/>
        </w:rPr>
        <w:t xml:space="preserve"> L.) seed. </w:t>
      </w:r>
      <w:r w:rsidRPr="005D39A7">
        <w:rPr>
          <w:rFonts w:ascii="Arial" w:eastAsiaTheme="minorEastAsia" w:hAnsi="Arial" w:cs="Arial"/>
          <w:iCs/>
        </w:rPr>
        <w:t>Journal of Pharmacognosy and Phytochemistry</w:t>
      </w:r>
      <w:r w:rsidRPr="005D39A7">
        <w:rPr>
          <w:rFonts w:ascii="Arial" w:eastAsiaTheme="minorEastAsia" w:hAnsi="Arial" w:cs="Arial"/>
        </w:rPr>
        <w:t>. 2017;</w:t>
      </w:r>
      <w:r w:rsidRPr="005D39A7">
        <w:rPr>
          <w:rFonts w:ascii="Arial" w:eastAsiaTheme="minorEastAsia" w:hAnsi="Arial" w:cs="Arial"/>
          <w:iCs/>
        </w:rPr>
        <w:t>6</w:t>
      </w:r>
      <w:r w:rsidRPr="005D39A7">
        <w:rPr>
          <w:rFonts w:ascii="Arial" w:eastAsiaTheme="minorEastAsia" w:hAnsi="Arial" w:cs="Arial"/>
        </w:rPr>
        <w:t>(4): 31-34.</w:t>
      </w:r>
    </w:p>
    <w:p w14:paraId="4ECC0C96" w14:textId="77777777" w:rsidR="001F6005" w:rsidRPr="005D39A7" w:rsidRDefault="001F6005" w:rsidP="005D39A7">
      <w:pPr>
        <w:autoSpaceDE w:val="0"/>
        <w:autoSpaceDN w:val="0"/>
        <w:adjustRightInd w:val="0"/>
        <w:spacing w:before="240" w:line="276" w:lineRule="auto"/>
        <w:ind w:left="1151" w:hanging="1151"/>
        <w:jc w:val="both"/>
        <w:rPr>
          <w:rFonts w:ascii="Arial" w:eastAsiaTheme="minorEastAsia" w:hAnsi="Arial" w:cs="Arial"/>
        </w:rPr>
      </w:pPr>
      <w:r>
        <w:rPr>
          <w:rFonts w:ascii="Arial" w:hAnsi="Arial" w:cs="Arial"/>
          <w:color w:val="222222"/>
          <w:shd w:val="clear" w:color="auto" w:fill="FFFFFF"/>
        </w:rPr>
        <w:lastRenderedPageBreak/>
        <w:t>El-Fawy, MM, and Ahmed MM Sh. Effect of seed treatments with plant growth regulators on reducing damping-off and root rot diseases in common bean under greenhouse conditions. </w:t>
      </w:r>
      <w:r w:rsidRPr="00816D7B">
        <w:rPr>
          <w:rFonts w:ascii="Arial" w:hAnsi="Arial" w:cs="Arial"/>
          <w:color w:val="222222"/>
          <w:shd w:val="clear" w:color="auto" w:fill="FFFFFF"/>
        </w:rPr>
        <w:t>Journal of Phytopathology and Disease Management</w:t>
      </w:r>
      <w:r>
        <w:rPr>
          <w:rFonts w:ascii="Arial" w:hAnsi="Arial" w:cs="Arial"/>
          <w:color w:val="222222"/>
          <w:shd w:val="clear" w:color="auto" w:fill="FFFFFF"/>
        </w:rPr>
        <w:t>. 2017; 78-89.</w:t>
      </w:r>
    </w:p>
    <w:p w14:paraId="050BB20F" w14:textId="77777777" w:rsidR="001F6005" w:rsidRPr="00B334CC" w:rsidRDefault="001F6005" w:rsidP="005D39A7">
      <w:pPr>
        <w:autoSpaceDE w:val="0"/>
        <w:autoSpaceDN w:val="0"/>
        <w:adjustRightInd w:val="0"/>
        <w:spacing w:before="240" w:line="276" w:lineRule="auto"/>
        <w:ind w:left="1152" w:hanging="1152"/>
        <w:jc w:val="both"/>
        <w:rPr>
          <w:rFonts w:ascii="Arial" w:eastAsiaTheme="minorEastAsia" w:hAnsi="Arial" w:cs="Arial"/>
          <w:iCs/>
        </w:rPr>
      </w:pPr>
      <w:r w:rsidRPr="00B334CC">
        <w:rPr>
          <w:rFonts w:ascii="Arial" w:eastAsiaTheme="minorEastAsia" w:hAnsi="Arial" w:cs="Arial"/>
          <w:iCs/>
        </w:rPr>
        <w:t>Gawade US. Seed viability, germination and seedling growth studies in custard apple M.Sc. (Ag.) Thesis, Dr.</w:t>
      </w:r>
      <w:r>
        <w:rPr>
          <w:rFonts w:ascii="Arial" w:eastAsiaTheme="minorEastAsia" w:hAnsi="Arial" w:cs="Arial"/>
          <w:iCs/>
        </w:rPr>
        <w:t xml:space="preserve"> </w:t>
      </w:r>
      <w:r w:rsidRPr="00B334CC">
        <w:rPr>
          <w:rFonts w:ascii="Arial" w:eastAsiaTheme="minorEastAsia" w:hAnsi="Arial" w:cs="Arial"/>
          <w:iCs/>
        </w:rPr>
        <w:t>Panjabrao</w:t>
      </w:r>
      <w:r>
        <w:rPr>
          <w:rFonts w:ascii="Arial" w:eastAsiaTheme="minorEastAsia" w:hAnsi="Arial" w:cs="Arial"/>
          <w:iCs/>
        </w:rPr>
        <w:t xml:space="preserve"> </w:t>
      </w:r>
      <w:r w:rsidRPr="00B334CC">
        <w:rPr>
          <w:rFonts w:ascii="Arial" w:eastAsiaTheme="minorEastAsia" w:hAnsi="Arial" w:cs="Arial"/>
          <w:iCs/>
        </w:rPr>
        <w:t>Deshmukh Krishi Vidyapeeth, Akola MS, (INDIA). 2008.</w:t>
      </w:r>
    </w:p>
    <w:p w14:paraId="2CBA9B94" w14:textId="77777777" w:rsidR="001F6005" w:rsidRPr="005D39A7" w:rsidRDefault="001F6005" w:rsidP="001A1EF6">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Ghobadi M, Abnavi MS, Honarmand SJ, Ghobadi ME, Mohammadi GR. Effect of Hormonal Priming (GA</w:t>
      </w:r>
      <w:r w:rsidRPr="005D39A7">
        <w:rPr>
          <w:rFonts w:ascii="Arial" w:eastAsiaTheme="minorEastAsia" w:hAnsi="Arial" w:cs="Arial"/>
          <w:bCs/>
          <w:vertAlign w:val="subscript"/>
        </w:rPr>
        <w:t>3</w:t>
      </w:r>
      <w:r w:rsidRPr="005D39A7">
        <w:rPr>
          <w:rFonts w:ascii="Arial" w:eastAsiaTheme="minorEastAsia" w:hAnsi="Arial" w:cs="Arial"/>
          <w:bCs/>
        </w:rPr>
        <w:t>) and Osmopriming on Behavior of Seed Germination in Wheat (</w:t>
      </w:r>
      <w:r w:rsidRPr="005D39A7">
        <w:rPr>
          <w:rFonts w:ascii="Arial" w:eastAsiaTheme="minorEastAsia" w:hAnsi="Arial" w:cs="Arial"/>
          <w:bCs/>
          <w:i/>
          <w:iCs/>
        </w:rPr>
        <w:t>Triticum aestivum</w:t>
      </w:r>
      <w:r w:rsidRPr="005D39A7">
        <w:rPr>
          <w:rFonts w:ascii="Arial" w:eastAsiaTheme="minorEastAsia" w:hAnsi="Arial" w:cs="Arial"/>
          <w:bCs/>
        </w:rPr>
        <w:t xml:space="preserve"> L.). </w:t>
      </w:r>
      <w:r w:rsidRPr="005D39A7">
        <w:rPr>
          <w:rFonts w:ascii="Arial" w:eastAsiaTheme="minorEastAsia" w:hAnsi="Arial" w:cs="Arial"/>
          <w:bCs/>
          <w:iCs/>
        </w:rPr>
        <w:t>Journal of Agricultural Science</w:t>
      </w:r>
      <w:r>
        <w:rPr>
          <w:rFonts w:ascii="Arial" w:eastAsiaTheme="minorEastAsia" w:hAnsi="Arial" w:cs="Arial"/>
          <w:bCs/>
          <w:iCs/>
        </w:rPr>
        <w:t>.</w:t>
      </w:r>
      <w:r w:rsidRPr="005D39A7">
        <w:rPr>
          <w:rFonts w:ascii="Arial" w:eastAsiaTheme="minorEastAsia" w:hAnsi="Arial" w:cs="Arial"/>
          <w:bCs/>
        </w:rPr>
        <w:t xml:space="preserve"> 2012;4(9): 244-250.</w:t>
      </w:r>
    </w:p>
    <w:p w14:paraId="0DEF441A" w14:textId="77777777" w:rsidR="001F6005" w:rsidRPr="005D39A7" w:rsidRDefault="001F6005"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t>Kumar R, Yadav RK, Sharma N, Yadav A, Nehal N. Influence of plant growth regulators on biochemical changes of mungbean (</w:t>
      </w:r>
      <w:r w:rsidRPr="005D39A7">
        <w:rPr>
          <w:rFonts w:ascii="Arial" w:eastAsiaTheme="minorEastAsia" w:hAnsi="Arial" w:cs="Arial"/>
          <w:i/>
        </w:rPr>
        <w:t>Vigna</w:t>
      </w:r>
      <w:r>
        <w:rPr>
          <w:rFonts w:ascii="Arial" w:eastAsiaTheme="minorEastAsia" w:hAnsi="Arial" w:cs="Arial"/>
          <w:i/>
        </w:rPr>
        <w:t xml:space="preserve"> </w:t>
      </w:r>
      <w:r w:rsidRPr="005D39A7">
        <w:rPr>
          <w:rFonts w:ascii="Arial" w:eastAsiaTheme="minorEastAsia" w:hAnsi="Arial" w:cs="Arial"/>
          <w:i/>
        </w:rPr>
        <w:t>radiata</w:t>
      </w:r>
      <w:r>
        <w:rPr>
          <w:rFonts w:ascii="Arial" w:eastAsiaTheme="minorEastAsia" w:hAnsi="Arial" w:cs="Arial"/>
          <w:i/>
        </w:rPr>
        <w:t xml:space="preserve"> </w:t>
      </w:r>
      <w:r w:rsidRPr="005D39A7">
        <w:rPr>
          <w:rFonts w:ascii="Arial" w:eastAsiaTheme="minorEastAsia" w:hAnsi="Arial" w:cs="Arial"/>
        </w:rPr>
        <w:t>L. Wilczek). Journal of Pharmacognosy and Phytochemistry. 2018;7(1S): 386-389.</w:t>
      </w:r>
    </w:p>
    <w:p w14:paraId="2F1449ED" w14:textId="77777777" w:rsidR="001F6005" w:rsidRPr="005D39A7" w:rsidRDefault="001F6005"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Kumari N, Rai PK, Bara BM, Singh I. Effect of halo priming and hormonal priming on seed germination and seedling vigour in maize (</w:t>
      </w:r>
      <w:r w:rsidRPr="005D39A7">
        <w:rPr>
          <w:rFonts w:ascii="Arial" w:eastAsiaTheme="minorEastAsia" w:hAnsi="Arial" w:cs="Arial"/>
          <w:bCs/>
          <w:i/>
          <w:iCs/>
        </w:rPr>
        <w:t>Zea mays</w:t>
      </w:r>
      <w:r w:rsidRPr="005D39A7">
        <w:rPr>
          <w:rFonts w:ascii="Arial" w:eastAsiaTheme="minorEastAsia" w:hAnsi="Arial" w:cs="Arial"/>
          <w:bCs/>
        </w:rPr>
        <w:t xml:space="preserve"> L.) seeds. </w:t>
      </w:r>
      <w:r w:rsidRPr="005D39A7">
        <w:rPr>
          <w:rFonts w:ascii="Arial" w:eastAsiaTheme="minorEastAsia" w:hAnsi="Arial" w:cs="Arial"/>
          <w:bCs/>
          <w:iCs/>
        </w:rPr>
        <w:t>Journal of Pharmacognosy Phytochemistry</w:t>
      </w:r>
      <w:r w:rsidRPr="005D39A7">
        <w:rPr>
          <w:rFonts w:ascii="Arial" w:eastAsiaTheme="minorEastAsia" w:hAnsi="Arial" w:cs="Arial"/>
          <w:bCs/>
        </w:rPr>
        <w:t>. 2017;</w:t>
      </w:r>
      <w:r w:rsidRPr="005D39A7">
        <w:rPr>
          <w:rFonts w:ascii="Arial" w:eastAsiaTheme="minorEastAsia" w:hAnsi="Arial" w:cs="Arial"/>
        </w:rPr>
        <w:t>6</w:t>
      </w:r>
      <w:r w:rsidRPr="005D39A7">
        <w:rPr>
          <w:rFonts w:ascii="Arial" w:eastAsiaTheme="minorEastAsia" w:hAnsi="Arial" w:cs="Arial"/>
          <w:bCs/>
        </w:rPr>
        <w:t>(4): 27-30.</w:t>
      </w:r>
    </w:p>
    <w:p w14:paraId="3864D094" w14:textId="77777777" w:rsidR="001F6005" w:rsidRDefault="001F6005"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Lay P, Basavaraju GV, Pashte VV, Gowri M. Studies on effect of giberellic acid (GA</w:t>
      </w:r>
      <w:r w:rsidRPr="005D39A7">
        <w:rPr>
          <w:rFonts w:ascii="Arial" w:eastAsiaTheme="minorEastAsia" w:hAnsi="Arial" w:cs="Arial"/>
          <w:bCs/>
          <w:vertAlign w:val="subscript"/>
        </w:rPr>
        <w:t>3</w:t>
      </w:r>
      <w:r w:rsidRPr="005D39A7">
        <w:rPr>
          <w:rFonts w:ascii="Arial" w:eastAsiaTheme="minorEastAsia" w:hAnsi="Arial" w:cs="Arial"/>
          <w:bCs/>
        </w:rPr>
        <w:t>) and potassium Nitrate (KNO</w:t>
      </w:r>
      <w:r w:rsidRPr="005D39A7">
        <w:rPr>
          <w:rFonts w:ascii="Arial" w:eastAsiaTheme="minorEastAsia" w:hAnsi="Arial" w:cs="Arial"/>
          <w:bCs/>
          <w:vertAlign w:val="subscript"/>
        </w:rPr>
        <w:t>3</w:t>
      </w:r>
      <w:r w:rsidRPr="005D39A7">
        <w:rPr>
          <w:rFonts w:ascii="Arial" w:eastAsiaTheme="minorEastAsia" w:hAnsi="Arial" w:cs="Arial"/>
          <w:bCs/>
        </w:rPr>
        <w:t>) on breaking of seed dormancy of papaya (</w:t>
      </w:r>
      <w:r w:rsidRPr="005D39A7">
        <w:rPr>
          <w:rFonts w:ascii="Arial" w:eastAsiaTheme="minorEastAsia" w:hAnsi="Arial" w:cs="Arial"/>
          <w:bCs/>
          <w:i/>
          <w:iCs/>
        </w:rPr>
        <w:t>Carica papaya</w:t>
      </w:r>
      <w:r w:rsidRPr="005D39A7">
        <w:rPr>
          <w:rFonts w:ascii="Arial" w:eastAsiaTheme="minorEastAsia" w:hAnsi="Arial" w:cs="Arial"/>
          <w:bCs/>
        </w:rPr>
        <w:t xml:space="preserve"> L.) Cv. Surya. </w:t>
      </w:r>
      <w:r w:rsidRPr="005D39A7">
        <w:rPr>
          <w:rFonts w:ascii="Arial" w:eastAsiaTheme="minorEastAsia" w:hAnsi="Arial" w:cs="Arial"/>
          <w:bCs/>
          <w:iCs/>
        </w:rPr>
        <w:t>The Ecoscan</w:t>
      </w:r>
      <w:r w:rsidRPr="005D39A7">
        <w:rPr>
          <w:rFonts w:ascii="Arial" w:eastAsiaTheme="minorEastAsia" w:hAnsi="Arial" w:cs="Arial"/>
          <w:bCs/>
        </w:rPr>
        <w:t>. 2015;</w:t>
      </w:r>
      <w:r w:rsidRPr="005D39A7">
        <w:rPr>
          <w:rFonts w:ascii="Arial" w:eastAsiaTheme="minorEastAsia" w:hAnsi="Arial" w:cs="Arial"/>
        </w:rPr>
        <w:t>9</w:t>
      </w:r>
      <w:r w:rsidRPr="005D39A7">
        <w:rPr>
          <w:rFonts w:ascii="Arial" w:eastAsiaTheme="minorEastAsia" w:hAnsi="Arial" w:cs="Arial"/>
          <w:bCs/>
        </w:rPr>
        <w:t>(1&amp;2): 111-115.</w:t>
      </w:r>
    </w:p>
    <w:p w14:paraId="0EA2A28C" w14:textId="77777777" w:rsidR="001F6005" w:rsidRDefault="001F6005" w:rsidP="005D39A7">
      <w:pPr>
        <w:autoSpaceDE w:val="0"/>
        <w:autoSpaceDN w:val="0"/>
        <w:adjustRightInd w:val="0"/>
        <w:spacing w:before="240" w:line="276" w:lineRule="auto"/>
        <w:ind w:left="1152" w:hanging="1152"/>
        <w:jc w:val="both"/>
        <w:rPr>
          <w:rFonts w:ascii="Arial" w:eastAsiaTheme="minorEastAsia" w:hAnsi="Arial" w:cs="Arial"/>
          <w:bCs/>
        </w:rPr>
      </w:pPr>
      <w:r w:rsidRPr="00293478">
        <w:rPr>
          <w:rFonts w:ascii="Arial" w:eastAsiaTheme="minorEastAsia" w:hAnsi="Arial" w:cs="Arial"/>
          <w:bCs/>
        </w:rPr>
        <w:t>Panda AK, Singh R. Influence of Nitrogen Levels and Biofertilizers on the Growth and Yield of French Bean (</w:t>
      </w:r>
      <w:r w:rsidRPr="008E0BB3">
        <w:rPr>
          <w:rFonts w:ascii="Arial" w:eastAsiaTheme="minorEastAsia" w:hAnsi="Arial" w:cs="Arial"/>
          <w:bCs/>
          <w:i/>
          <w:iCs/>
        </w:rPr>
        <w:t xml:space="preserve">Phaseolus vulgaris </w:t>
      </w:r>
      <w:r w:rsidRPr="00293478">
        <w:rPr>
          <w:rFonts w:ascii="Arial" w:eastAsiaTheme="minorEastAsia" w:hAnsi="Arial" w:cs="Arial"/>
          <w:bCs/>
        </w:rPr>
        <w:t>L.). International Journal of Plant &amp; Soil Science</w:t>
      </w:r>
      <w:r>
        <w:rPr>
          <w:rFonts w:ascii="Arial" w:eastAsiaTheme="minorEastAsia" w:hAnsi="Arial" w:cs="Arial"/>
          <w:bCs/>
        </w:rPr>
        <w:t>. 2023;</w:t>
      </w:r>
      <w:r w:rsidRPr="00293478">
        <w:rPr>
          <w:rFonts w:ascii="Arial" w:eastAsiaTheme="minorEastAsia" w:hAnsi="Arial" w:cs="Arial"/>
          <w:bCs/>
        </w:rPr>
        <w:t xml:space="preserve"> 35(14)</w:t>
      </w:r>
      <w:r>
        <w:rPr>
          <w:rFonts w:ascii="Arial" w:eastAsiaTheme="minorEastAsia" w:hAnsi="Arial" w:cs="Arial"/>
          <w:bCs/>
        </w:rPr>
        <w:t>:</w:t>
      </w:r>
      <w:r w:rsidRPr="00293478">
        <w:rPr>
          <w:rFonts w:ascii="Arial" w:eastAsiaTheme="minorEastAsia" w:hAnsi="Arial" w:cs="Arial"/>
          <w:bCs/>
        </w:rPr>
        <w:t xml:space="preserve"> 310–315. https://doi.org/10.9734/ijpss/2023/v35i143051</w:t>
      </w:r>
    </w:p>
    <w:p w14:paraId="1042941A" w14:textId="774D7314" w:rsidR="001F6005" w:rsidRPr="00A01714" w:rsidRDefault="001F6005" w:rsidP="005D39A7">
      <w:pPr>
        <w:autoSpaceDE w:val="0"/>
        <w:autoSpaceDN w:val="0"/>
        <w:adjustRightInd w:val="0"/>
        <w:spacing w:before="240" w:line="276" w:lineRule="auto"/>
        <w:ind w:left="1152" w:hanging="1152"/>
        <w:jc w:val="both"/>
        <w:rPr>
          <w:rFonts w:ascii="Arial" w:eastAsiaTheme="minorEastAsia" w:hAnsi="Arial" w:cs="Arial"/>
          <w:bCs/>
        </w:rPr>
      </w:pPr>
      <w:r w:rsidRPr="00A01714">
        <w:rPr>
          <w:rFonts w:ascii="Arial" w:hAnsi="Arial" w:cs="Arial"/>
          <w:shd w:val="clear" w:color="auto" w:fill="FFFFFF"/>
        </w:rPr>
        <w:t>Prachi, Deo Shankar, Annu Verma, Mrinal Kumar and Ashok Tirkey. Effect of plant growth regulators on the growth, yield and yield attributes of French bean (</w:t>
      </w:r>
      <w:r w:rsidRPr="00A01714">
        <w:rPr>
          <w:rStyle w:val="Emphasis"/>
          <w:rFonts w:ascii="Arial" w:hAnsi="Arial" w:cs="Arial"/>
          <w:shd w:val="clear" w:color="auto" w:fill="FFFFFF"/>
        </w:rPr>
        <w:t>Phaseolus vulgaris</w:t>
      </w:r>
      <w:r w:rsidRPr="00A01714">
        <w:rPr>
          <w:rFonts w:ascii="Arial" w:hAnsi="Arial" w:cs="Arial"/>
          <w:shd w:val="clear" w:color="auto" w:fill="FFFFFF"/>
        </w:rPr>
        <w:t> L.). Int. J. Adv. Biochem. Res. 2025;9(1):</w:t>
      </w:r>
      <w:r w:rsidR="005535CA">
        <w:rPr>
          <w:rFonts w:ascii="Arial" w:hAnsi="Arial" w:cs="Arial"/>
          <w:shd w:val="clear" w:color="auto" w:fill="FFFFFF"/>
        </w:rPr>
        <w:t xml:space="preserve"> </w:t>
      </w:r>
      <w:r w:rsidRPr="00A01714">
        <w:rPr>
          <w:rFonts w:ascii="Arial" w:hAnsi="Arial" w:cs="Arial"/>
          <w:shd w:val="clear" w:color="auto" w:fill="FFFFFF"/>
        </w:rPr>
        <w:t>287-292. DOI: </w:t>
      </w:r>
      <w:hyperlink r:id="rId16" w:tgtFrame="_blank" w:history="1">
        <w:r w:rsidRPr="00A01714">
          <w:rPr>
            <w:rStyle w:val="Hyperlink"/>
            <w:rFonts w:ascii="Arial" w:hAnsi="Arial" w:cs="Arial"/>
            <w:color w:val="auto"/>
            <w:shd w:val="clear" w:color="auto" w:fill="FFFFFF"/>
          </w:rPr>
          <w:t>10.33545/26174693.2025.v9.i1d.3478</w:t>
        </w:r>
      </w:hyperlink>
    </w:p>
    <w:p w14:paraId="6538689C" w14:textId="77777777" w:rsidR="001F6005" w:rsidRPr="005D39A7" w:rsidRDefault="001F6005" w:rsidP="005D39A7">
      <w:pPr>
        <w:autoSpaceDE w:val="0"/>
        <w:autoSpaceDN w:val="0"/>
        <w:adjustRightInd w:val="0"/>
        <w:spacing w:before="240" w:line="276" w:lineRule="auto"/>
        <w:ind w:left="1151" w:hanging="1151"/>
        <w:jc w:val="both"/>
        <w:rPr>
          <w:rFonts w:ascii="Arial" w:eastAsiaTheme="minorEastAsia" w:hAnsi="Arial" w:cs="Arial"/>
        </w:rPr>
      </w:pPr>
      <w:r w:rsidRPr="005D39A7">
        <w:rPr>
          <w:rFonts w:ascii="Arial" w:eastAsiaTheme="minorEastAsia" w:hAnsi="Arial" w:cs="Arial"/>
        </w:rPr>
        <w:t xml:space="preserve">Sarika G, Basavaraju GV, Bhanuprakash K, Chaanakeshava V, Paramesh R, Radha BN. Investigation on seed viability and vigour of aged seed by priming in French bean. </w:t>
      </w:r>
      <w:r w:rsidRPr="005D39A7">
        <w:rPr>
          <w:rFonts w:ascii="Arial" w:eastAsiaTheme="minorEastAsia" w:hAnsi="Arial" w:cs="Arial"/>
          <w:iCs/>
        </w:rPr>
        <w:t>Veg. Sci</w:t>
      </w:r>
      <w:r w:rsidRPr="005D39A7">
        <w:rPr>
          <w:rFonts w:ascii="Arial" w:eastAsiaTheme="minorEastAsia" w:hAnsi="Arial" w:cs="Arial"/>
        </w:rPr>
        <w:t>. 2013;</w:t>
      </w:r>
      <w:r w:rsidRPr="005D39A7">
        <w:rPr>
          <w:rFonts w:ascii="Arial" w:eastAsiaTheme="minorEastAsia" w:hAnsi="Arial" w:cs="Arial"/>
          <w:bCs/>
        </w:rPr>
        <w:t>40</w:t>
      </w:r>
      <w:r w:rsidRPr="005D39A7">
        <w:rPr>
          <w:rFonts w:ascii="Arial" w:eastAsiaTheme="minorEastAsia" w:hAnsi="Arial" w:cs="Arial"/>
        </w:rPr>
        <w:t>: 169-73.</w:t>
      </w:r>
    </w:p>
    <w:p w14:paraId="4012073B" w14:textId="77777777" w:rsidR="001F6005" w:rsidRPr="005D39A7" w:rsidRDefault="001F6005" w:rsidP="005D39A7">
      <w:pPr>
        <w:autoSpaceDE w:val="0"/>
        <w:autoSpaceDN w:val="0"/>
        <w:adjustRightInd w:val="0"/>
        <w:spacing w:before="240" w:line="276" w:lineRule="auto"/>
        <w:ind w:left="1151" w:hanging="1151"/>
        <w:jc w:val="both"/>
        <w:rPr>
          <w:rFonts w:ascii="Arial" w:eastAsiaTheme="minorEastAsia" w:hAnsi="Arial" w:cs="Arial"/>
        </w:rPr>
      </w:pPr>
      <w:r w:rsidRPr="005D39A7">
        <w:rPr>
          <w:rFonts w:ascii="Arial" w:eastAsiaTheme="minorEastAsia" w:hAnsi="Arial" w:cs="Arial"/>
        </w:rPr>
        <w:t>Shivdeep, Dhillon NS. Effect of pre-sowing treatments on germination and growth of French bean (</w:t>
      </w:r>
      <w:r w:rsidRPr="005D39A7">
        <w:rPr>
          <w:rFonts w:ascii="Arial" w:eastAsiaTheme="minorEastAsia" w:hAnsi="Arial" w:cs="Arial"/>
          <w:i/>
        </w:rPr>
        <w:t>Phaseolus vulgaris</w:t>
      </w:r>
      <w:r w:rsidRPr="005D39A7">
        <w:rPr>
          <w:rFonts w:ascii="Arial" w:eastAsiaTheme="minorEastAsia" w:hAnsi="Arial" w:cs="Arial"/>
        </w:rPr>
        <w:t xml:space="preserve"> L.). International Journal of Chemical Studies. 2021;9(1): 2548-2550.</w:t>
      </w:r>
    </w:p>
    <w:p w14:paraId="3C15430D" w14:textId="77777777" w:rsidR="004D4277" w:rsidRPr="00FB3A86" w:rsidRDefault="004D4277" w:rsidP="00441B6F">
      <w:pPr>
        <w:pStyle w:val="Appendix"/>
        <w:spacing w:after="0"/>
        <w:jc w:val="both"/>
        <w:rPr>
          <w:rFonts w:ascii="Arial" w:hAnsi="Arial" w:cs="Arial"/>
          <w:b w:val="0"/>
        </w:rPr>
        <w:sectPr w:rsidR="004D4277" w:rsidRPr="00FB3A86" w:rsidSect="00FB5F8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6BA2763" w14:textId="77777777" w:rsidR="00B01FCD" w:rsidRPr="00FB3A86" w:rsidRDefault="00B01FCD" w:rsidP="00441B6F">
      <w:pPr>
        <w:pStyle w:val="Appendix"/>
        <w:spacing w:after="0"/>
        <w:jc w:val="both"/>
        <w:rPr>
          <w:rFonts w:ascii="Arial" w:hAnsi="Arial" w:cs="Arial"/>
          <w:b w:val="0"/>
        </w:rPr>
      </w:pPr>
    </w:p>
    <w:sectPr w:rsidR="00B01FCD" w:rsidRPr="00FB3A86" w:rsidSect="00FB5F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BA37" w14:textId="77777777" w:rsidR="00AB4523" w:rsidRDefault="00AB4523" w:rsidP="00C37E61">
      <w:r>
        <w:separator/>
      </w:r>
    </w:p>
  </w:endnote>
  <w:endnote w:type="continuationSeparator" w:id="0">
    <w:p w14:paraId="22166EB4" w14:textId="77777777" w:rsidR="00AB4523" w:rsidRDefault="00AB45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61F2" w14:textId="77777777" w:rsidR="00C64DD5" w:rsidRDefault="00C6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5D29" w14:textId="77777777" w:rsidR="00C64DD5" w:rsidRDefault="00C6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F203" w14:textId="77777777" w:rsidR="009E048A" w:rsidRDefault="009E048A">
    <w:pPr>
      <w:pStyle w:val="Footer"/>
      <w:rPr>
        <w:rFonts w:ascii="Arial" w:hAnsi="Arial" w:cs="Arial"/>
        <w:sz w:val="16"/>
      </w:rPr>
    </w:pPr>
  </w:p>
  <w:p w14:paraId="24FF067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A74DCE" w14:textId="77777777" w:rsidR="009E048A" w:rsidRDefault="009E048A">
    <w:pPr>
      <w:pStyle w:val="Footer"/>
      <w:rPr>
        <w:rFonts w:ascii="Arial" w:hAnsi="Arial" w:cs="Arial"/>
        <w:sz w:val="16"/>
      </w:rPr>
    </w:pPr>
  </w:p>
  <w:p w14:paraId="3B60C4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58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0E6C" w14:textId="77777777" w:rsidR="00AB4523" w:rsidRDefault="00AB4523" w:rsidP="00C37E61">
      <w:r>
        <w:separator/>
      </w:r>
    </w:p>
  </w:footnote>
  <w:footnote w:type="continuationSeparator" w:id="0">
    <w:p w14:paraId="61EE63A1" w14:textId="77777777" w:rsidR="00AB4523" w:rsidRDefault="00AB45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3FBC" w14:textId="77777777" w:rsidR="00C64DD5" w:rsidRDefault="00000000">
    <w:pPr>
      <w:pStyle w:val="Header"/>
    </w:pPr>
    <w:r>
      <w:rPr>
        <w:noProof/>
      </w:rPr>
      <w:pict w14:anchorId="3C13E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869B" w14:textId="77777777" w:rsidR="00C64DD5" w:rsidRDefault="00000000">
    <w:pPr>
      <w:pStyle w:val="Header"/>
    </w:pPr>
    <w:r>
      <w:rPr>
        <w:noProof/>
      </w:rPr>
      <w:pict w14:anchorId="61F2E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E691" w14:textId="77777777" w:rsidR="00296529" w:rsidRPr="00296529" w:rsidRDefault="00000000" w:rsidP="00296529">
    <w:pPr>
      <w:ind w:left="2160"/>
      <w:jc w:val="center"/>
      <w:rPr>
        <w:rFonts w:ascii="Times New Roman" w:eastAsia="Calibri" w:hAnsi="Times New Roman"/>
        <w:i/>
        <w:sz w:val="18"/>
        <w:szCs w:val="22"/>
      </w:rPr>
    </w:pPr>
    <w:r>
      <w:rPr>
        <w:noProof/>
      </w:rPr>
      <w:pict w14:anchorId="3FA76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AA32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A5C58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B0CB56"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075732A" w14:textId="77777777" w:rsidR="00296529" w:rsidRDefault="00296529" w:rsidP="00296529">
    <w:pPr>
      <w:jc w:val="center"/>
      <w:rPr>
        <w:rFonts w:ascii="Times New Roman" w:eastAsia="Calibri" w:hAnsi="Times New Roman"/>
        <w:i/>
        <w:sz w:val="18"/>
        <w:szCs w:val="22"/>
      </w:rPr>
    </w:pPr>
  </w:p>
  <w:p w14:paraId="44CFF2B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9E415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9943" w14:textId="77777777" w:rsidR="00C64DD5" w:rsidRDefault="00000000">
    <w:pPr>
      <w:pStyle w:val="Header"/>
    </w:pPr>
    <w:r>
      <w:rPr>
        <w:noProof/>
      </w:rPr>
      <w:pict w14:anchorId="13E8D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218E" w14:textId="77777777" w:rsidR="00C64DD5" w:rsidRDefault="00000000">
    <w:pPr>
      <w:pStyle w:val="Header"/>
    </w:pPr>
    <w:r>
      <w:rPr>
        <w:noProof/>
      </w:rPr>
      <w:pict w14:anchorId="675F3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C97A" w14:textId="77777777" w:rsidR="00C64DD5" w:rsidRDefault="00000000">
    <w:pPr>
      <w:pStyle w:val="Header"/>
    </w:pPr>
    <w:r>
      <w:rPr>
        <w:noProof/>
      </w:rPr>
      <w:pict w14:anchorId="4A7D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481703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077750">
    <w:abstractNumId w:val="15"/>
  </w:num>
  <w:num w:numId="3" w16cid:durableId="706489993">
    <w:abstractNumId w:val="23"/>
  </w:num>
  <w:num w:numId="4" w16cid:durableId="5327719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95410857">
    <w:abstractNumId w:val="7"/>
  </w:num>
  <w:num w:numId="6" w16cid:durableId="116917359">
    <w:abstractNumId w:val="6"/>
  </w:num>
  <w:num w:numId="7" w16cid:durableId="1548688292">
    <w:abstractNumId w:val="1"/>
  </w:num>
  <w:num w:numId="8" w16cid:durableId="526917614">
    <w:abstractNumId w:val="12"/>
  </w:num>
  <w:num w:numId="9" w16cid:durableId="727535581">
    <w:abstractNumId w:val="25"/>
  </w:num>
  <w:num w:numId="10" w16cid:durableId="792481330">
    <w:abstractNumId w:val="2"/>
  </w:num>
  <w:num w:numId="11" w16cid:durableId="633221628">
    <w:abstractNumId w:val="18"/>
  </w:num>
  <w:num w:numId="12" w16cid:durableId="1658072305">
    <w:abstractNumId w:val="3"/>
  </w:num>
  <w:num w:numId="13" w16cid:durableId="2121290323">
    <w:abstractNumId w:val="17"/>
  </w:num>
  <w:num w:numId="14" w16cid:durableId="1371227966">
    <w:abstractNumId w:val="8"/>
  </w:num>
  <w:num w:numId="15" w16cid:durableId="283780541">
    <w:abstractNumId w:val="21"/>
  </w:num>
  <w:num w:numId="16" w16cid:durableId="997072640">
    <w:abstractNumId w:val="5"/>
  </w:num>
  <w:num w:numId="17" w16cid:durableId="633679247">
    <w:abstractNumId w:val="22"/>
  </w:num>
  <w:num w:numId="18" w16cid:durableId="150143938">
    <w:abstractNumId w:val="14"/>
  </w:num>
  <w:num w:numId="19" w16cid:durableId="1191214611">
    <w:abstractNumId w:val="28"/>
  </w:num>
  <w:num w:numId="20" w16cid:durableId="631326069">
    <w:abstractNumId w:val="11"/>
  </w:num>
  <w:num w:numId="21" w16cid:durableId="112987620">
    <w:abstractNumId w:val="9"/>
  </w:num>
  <w:num w:numId="22" w16cid:durableId="1843009517">
    <w:abstractNumId w:val="13"/>
  </w:num>
  <w:num w:numId="23" w16cid:durableId="1013605516">
    <w:abstractNumId w:val="19"/>
  </w:num>
  <w:num w:numId="24" w16cid:durableId="1783567587">
    <w:abstractNumId w:val="26"/>
  </w:num>
  <w:num w:numId="25" w16cid:durableId="1661344921">
    <w:abstractNumId w:val="4"/>
  </w:num>
  <w:num w:numId="26" w16cid:durableId="1055392648">
    <w:abstractNumId w:val="16"/>
  </w:num>
  <w:num w:numId="27" w16cid:durableId="1206990544">
    <w:abstractNumId w:val="20"/>
  </w:num>
  <w:num w:numId="28" w16cid:durableId="268584773">
    <w:abstractNumId w:val="27"/>
  </w:num>
  <w:num w:numId="29" w16cid:durableId="194120873">
    <w:abstractNumId w:val="24"/>
  </w:num>
  <w:num w:numId="30" w16cid:durableId="175192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ED8"/>
    <w:rsid w:val="00030174"/>
    <w:rsid w:val="0004579C"/>
    <w:rsid w:val="00054A10"/>
    <w:rsid w:val="000618E6"/>
    <w:rsid w:val="000A47FA"/>
    <w:rsid w:val="000A65D3"/>
    <w:rsid w:val="000B1E33"/>
    <w:rsid w:val="000C47AA"/>
    <w:rsid w:val="000C570A"/>
    <w:rsid w:val="000D0696"/>
    <w:rsid w:val="000D689F"/>
    <w:rsid w:val="000E7B7B"/>
    <w:rsid w:val="000E7D62"/>
    <w:rsid w:val="000F4D3E"/>
    <w:rsid w:val="00103357"/>
    <w:rsid w:val="00104AD8"/>
    <w:rsid w:val="00123C9F"/>
    <w:rsid w:val="00126190"/>
    <w:rsid w:val="00130F17"/>
    <w:rsid w:val="001320BF"/>
    <w:rsid w:val="00145048"/>
    <w:rsid w:val="00160053"/>
    <w:rsid w:val="00163BC4"/>
    <w:rsid w:val="0017628B"/>
    <w:rsid w:val="00191062"/>
    <w:rsid w:val="00192B72"/>
    <w:rsid w:val="00195B35"/>
    <w:rsid w:val="00195FEE"/>
    <w:rsid w:val="001A1EF6"/>
    <w:rsid w:val="001A29D8"/>
    <w:rsid w:val="001A5CAA"/>
    <w:rsid w:val="001B0427"/>
    <w:rsid w:val="001C05DD"/>
    <w:rsid w:val="001D3A51"/>
    <w:rsid w:val="001D4074"/>
    <w:rsid w:val="001E10D2"/>
    <w:rsid w:val="001E25B4"/>
    <w:rsid w:val="001E44FE"/>
    <w:rsid w:val="001F6005"/>
    <w:rsid w:val="001F6181"/>
    <w:rsid w:val="00200595"/>
    <w:rsid w:val="00204835"/>
    <w:rsid w:val="00231920"/>
    <w:rsid w:val="0023195C"/>
    <w:rsid w:val="0024282C"/>
    <w:rsid w:val="002460DC"/>
    <w:rsid w:val="002477C8"/>
    <w:rsid w:val="00250985"/>
    <w:rsid w:val="002556F6"/>
    <w:rsid w:val="00262B46"/>
    <w:rsid w:val="0027378A"/>
    <w:rsid w:val="00283105"/>
    <w:rsid w:val="00284C4C"/>
    <w:rsid w:val="00293478"/>
    <w:rsid w:val="00296529"/>
    <w:rsid w:val="002B27FB"/>
    <w:rsid w:val="002B685A"/>
    <w:rsid w:val="002C57D2"/>
    <w:rsid w:val="002E0D56"/>
    <w:rsid w:val="00300AE4"/>
    <w:rsid w:val="00304D5A"/>
    <w:rsid w:val="00315186"/>
    <w:rsid w:val="00320107"/>
    <w:rsid w:val="003276C3"/>
    <w:rsid w:val="0033343E"/>
    <w:rsid w:val="00347187"/>
    <w:rsid w:val="003512C2"/>
    <w:rsid w:val="00371FB6"/>
    <w:rsid w:val="003763C1"/>
    <w:rsid w:val="00376BBE"/>
    <w:rsid w:val="00386CCA"/>
    <w:rsid w:val="0039224F"/>
    <w:rsid w:val="003A2695"/>
    <w:rsid w:val="003A43A4"/>
    <w:rsid w:val="003A7E18"/>
    <w:rsid w:val="003C0C69"/>
    <w:rsid w:val="003C4C86"/>
    <w:rsid w:val="003C6258"/>
    <w:rsid w:val="003E2904"/>
    <w:rsid w:val="003E2D73"/>
    <w:rsid w:val="003E57BD"/>
    <w:rsid w:val="00401927"/>
    <w:rsid w:val="00402A6E"/>
    <w:rsid w:val="0041027F"/>
    <w:rsid w:val="00412475"/>
    <w:rsid w:val="00413B88"/>
    <w:rsid w:val="0042060A"/>
    <w:rsid w:val="00423789"/>
    <w:rsid w:val="00425405"/>
    <w:rsid w:val="0043718C"/>
    <w:rsid w:val="00440F43"/>
    <w:rsid w:val="00441B6F"/>
    <w:rsid w:val="00446221"/>
    <w:rsid w:val="00450E62"/>
    <w:rsid w:val="004539DB"/>
    <w:rsid w:val="00461CCA"/>
    <w:rsid w:val="004669C8"/>
    <w:rsid w:val="00471A80"/>
    <w:rsid w:val="004965A4"/>
    <w:rsid w:val="004A1E13"/>
    <w:rsid w:val="004C00F5"/>
    <w:rsid w:val="004C68EF"/>
    <w:rsid w:val="004D305E"/>
    <w:rsid w:val="004D4277"/>
    <w:rsid w:val="004F7A93"/>
    <w:rsid w:val="00502516"/>
    <w:rsid w:val="00505F06"/>
    <w:rsid w:val="00506828"/>
    <w:rsid w:val="00517281"/>
    <w:rsid w:val="0053056E"/>
    <w:rsid w:val="00530C67"/>
    <w:rsid w:val="005535CA"/>
    <w:rsid w:val="00554FDA"/>
    <w:rsid w:val="005556F2"/>
    <w:rsid w:val="0057433E"/>
    <w:rsid w:val="00584276"/>
    <w:rsid w:val="00593194"/>
    <w:rsid w:val="005C784C"/>
    <w:rsid w:val="005D17F6"/>
    <w:rsid w:val="005D39A7"/>
    <w:rsid w:val="005D475E"/>
    <w:rsid w:val="005E30F2"/>
    <w:rsid w:val="005E44DA"/>
    <w:rsid w:val="005E5539"/>
    <w:rsid w:val="005E61D2"/>
    <w:rsid w:val="00602BF5"/>
    <w:rsid w:val="00617FDD"/>
    <w:rsid w:val="00623D82"/>
    <w:rsid w:val="00633614"/>
    <w:rsid w:val="00633F68"/>
    <w:rsid w:val="006367FB"/>
    <w:rsid w:val="00636EB2"/>
    <w:rsid w:val="006375B8"/>
    <w:rsid w:val="0065401F"/>
    <w:rsid w:val="0066510A"/>
    <w:rsid w:val="00666B3B"/>
    <w:rsid w:val="00673F9F"/>
    <w:rsid w:val="00686953"/>
    <w:rsid w:val="00687954"/>
    <w:rsid w:val="00687DEA"/>
    <w:rsid w:val="00687E67"/>
    <w:rsid w:val="00696165"/>
    <w:rsid w:val="006967F7"/>
    <w:rsid w:val="006A1131"/>
    <w:rsid w:val="006A250C"/>
    <w:rsid w:val="006B21D3"/>
    <w:rsid w:val="006B57D0"/>
    <w:rsid w:val="006C27FA"/>
    <w:rsid w:val="006D30FF"/>
    <w:rsid w:val="006D6940"/>
    <w:rsid w:val="006E2A94"/>
    <w:rsid w:val="006E4B51"/>
    <w:rsid w:val="006F11EC"/>
    <w:rsid w:val="0070082C"/>
    <w:rsid w:val="00734D03"/>
    <w:rsid w:val="007369E6"/>
    <w:rsid w:val="00741E7D"/>
    <w:rsid w:val="00746E59"/>
    <w:rsid w:val="00754C9A"/>
    <w:rsid w:val="0075599A"/>
    <w:rsid w:val="00761D52"/>
    <w:rsid w:val="0077749E"/>
    <w:rsid w:val="007777DC"/>
    <w:rsid w:val="00782793"/>
    <w:rsid w:val="00784B5C"/>
    <w:rsid w:val="00790ADA"/>
    <w:rsid w:val="007A5C8A"/>
    <w:rsid w:val="007A66AE"/>
    <w:rsid w:val="007D2288"/>
    <w:rsid w:val="007D7EB1"/>
    <w:rsid w:val="007E088F"/>
    <w:rsid w:val="007F7B32"/>
    <w:rsid w:val="00804BC2"/>
    <w:rsid w:val="00804DDC"/>
    <w:rsid w:val="00806E58"/>
    <w:rsid w:val="0081431A"/>
    <w:rsid w:val="00816D7B"/>
    <w:rsid w:val="0083216F"/>
    <w:rsid w:val="00853058"/>
    <w:rsid w:val="00860000"/>
    <w:rsid w:val="00863BD3"/>
    <w:rsid w:val="00866D66"/>
    <w:rsid w:val="008671C6"/>
    <w:rsid w:val="00875803"/>
    <w:rsid w:val="0089502C"/>
    <w:rsid w:val="008A7C77"/>
    <w:rsid w:val="008B459E"/>
    <w:rsid w:val="008E0BB3"/>
    <w:rsid w:val="008E13AE"/>
    <w:rsid w:val="008E1506"/>
    <w:rsid w:val="008E710C"/>
    <w:rsid w:val="008F69D6"/>
    <w:rsid w:val="00902823"/>
    <w:rsid w:val="00915CA6"/>
    <w:rsid w:val="00917169"/>
    <w:rsid w:val="00927834"/>
    <w:rsid w:val="009344CE"/>
    <w:rsid w:val="00945D84"/>
    <w:rsid w:val="009500A6"/>
    <w:rsid w:val="00957C18"/>
    <w:rsid w:val="009659BA"/>
    <w:rsid w:val="00966EB0"/>
    <w:rsid w:val="00983040"/>
    <w:rsid w:val="0099690C"/>
    <w:rsid w:val="009A3C28"/>
    <w:rsid w:val="009B09F1"/>
    <w:rsid w:val="009B3FB9"/>
    <w:rsid w:val="009C187E"/>
    <w:rsid w:val="009C2465"/>
    <w:rsid w:val="009D35A0"/>
    <w:rsid w:val="009D7EB7"/>
    <w:rsid w:val="009E048A"/>
    <w:rsid w:val="009E08E9"/>
    <w:rsid w:val="009E3DB9"/>
    <w:rsid w:val="009E6E35"/>
    <w:rsid w:val="009F0EDA"/>
    <w:rsid w:val="00A01714"/>
    <w:rsid w:val="00A03B96"/>
    <w:rsid w:val="00A05B19"/>
    <w:rsid w:val="00A1134E"/>
    <w:rsid w:val="00A11A43"/>
    <w:rsid w:val="00A24E7E"/>
    <w:rsid w:val="00A258C3"/>
    <w:rsid w:val="00A347C0"/>
    <w:rsid w:val="00A51431"/>
    <w:rsid w:val="00A51993"/>
    <w:rsid w:val="00A539AD"/>
    <w:rsid w:val="00A93B25"/>
    <w:rsid w:val="00A94063"/>
    <w:rsid w:val="00A9756D"/>
    <w:rsid w:val="00AA3079"/>
    <w:rsid w:val="00AA6219"/>
    <w:rsid w:val="00AA74E0"/>
    <w:rsid w:val="00AB1040"/>
    <w:rsid w:val="00AB1410"/>
    <w:rsid w:val="00AB4523"/>
    <w:rsid w:val="00AB65CE"/>
    <w:rsid w:val="00AB703F"/>
    <w:rsid w:val="00AC6BB8"/>
    <w:rsid w:val="00AD48FE"/>
    <w:rsid w:val="00AE008F"/>
    <w:rsid w:val="00AE0E46"/>
    <w:rsid w:val="00AE18D6"/>
    <w:rsid w:val="00AE617D"/>
    <w:rsid w:val="00AF3307"/>
    <w:rsid w:val="00B01FCD"/>
    <w:rsid w:val="00B1776C"/>
    <w:rsid w:val="00B334CC"/>
    <w:rsid w:val="00B52896"/>
    <w:rsid w:val="00B95236"/>
    <w:rsid w:val="00B96BD9"/>
    <w:rsid w:val="00BA1B01"/>
    <w:rsid w:val="00BA2641"/>
    <w:rsid w:val="00BA72EB"/>
    <w:rsid w:val="00BB37AA"/>
    <w:rsid w:val="00BC294A"/>
    <w:rsid w:val="00BC53A0"/>
    <w:rsid w:val="00BD22DD"/>
    <w:rsid w:val="00BD501D"/>
    <w:rsid w:val="00BE62AD"/>
    <w:rsid w:val="00BF121F"/>
    <w:rsid w:val="00BF1F80"/>
    <w:rsid w:val="00C166EF"/>
    <w:rsid w:val="00C17EB0"/>
    <w:rsid w:val="00C22BBF"/>
    <w:rsid w:val="00C22D4B"/>
    <w:rsid w:val="00C27F5F"/>
    <w:rsid w:val="00C30A0F"/>
    <w:rsid w:val="00C37E61"/>
    <w:rsid w:val="00C64DD5"/>
    <w:rsid w:val="00C677E0"/>
    <w:rsid w:val="00C70F1B"/>
    <w:rsid w:val="00C71A47"/>
    <w:rsid w:val="00C7464C"/>
    <w:rsid w:val="00C82578"/>
    <w:rsid w:val="00C82DE2"/>
    <w:rsid w:val="00C85588"/>
    <w:rsid w:val="00CB0C27"/>
    <w:rsid w:val="00CB71DD"/>
    <w:rsid w:val="00CD131B"/>
    <w:rsid w:val="00CD6755"/>
    <w:rsid w:val="00CD6856"/>
    <w:rsid w:val="00CE0089"/>
    <w:rsid w:val="00CE793C"/>
    <w:rsid w:val="00D173F1"/>
    <w:rsid w:val="00D321FF"/>
    <w:rsid w:val="00D55709"/>
    <w:rsid w:val="00D8295D"/>
    <w:rsid w:val="00DA497B"/>
    <w:rsid w:val="00DC2A65"/>
    <w:rsid w:val="00DC5F0B"/>
    <w:rsid w:val="00DC7933"/>
    <w:rsid w:val="00DE15F0"/>
    <w:rsid w:val="00DE5663"/>
    <w:rsid w:val="00DE78AA"/>
    <w:rsid w:val="00DE7D52"/>
    <w:rsid w:val="00DF6344"/>
    <w:rsid w:val="00E053D0"/>
    <w:rsid w:val="00E15994"/>
    <w:rsid w:val="00E27388"/>
    <w:rsid w:val="00E3114E"/>
    <w:rsid w:val="00E31A70"/>
    <w:rsid w:val="00E3591F"/>
    <w:rsid w:val="00E35B02"/>
    <w:rsid w:val="00E43CD1"/>
    <w:rsid w:val="00E55401"/>
    <w:rsid w:val="00E56A9F"/>
    <w:rsid w:val="00E66496"/>
    <w:rsid w:val="00E665E6"/>
    <w:rsid w:val="00E66B35"/>
    <w:rsid w:val="00E66E10"/>
    <w:rsid w:val="00E75FB1"/>
    <w:rsid w:val="00E769F6"/>
    <w:rsid w:val="00E8407C"/>
    <w:rsid w:val="00E84F3C"/>
    <w:rsid w:val="00EA012C"/>
    <w:rsid w:val="00EB14FC"/>
    <w:rsid w:val="00ED0288"/>
    <w:rsid w:val="00EE14D7"/>
    <w:rsid w:val="00EE52CB"/>
    <w:rsid w:val="00EF581D"/>
    <w:rsid w:val="00EF7FD8"/>
    <w:rsid w:val="00F04C17"/>
    <w:rsid w:val="00F06F59"/>
    <w:rsid w:val="00F17988"/>
    <w:rsid w:val="00F30406"/>
    <w:rsid w:val="00F345A2"/>
    <w:rsid w:val="00F45A0E"/>
    <w:rsid w:val="00F469F0"/>
    <w:rsid w:val="00F53273"/>
    <w:rsid w:val="00F60F8E"/>
    <w:rsid w:val="00F614F8"/>
    <w:rsid w:val="00F755E4"/>
    <w:rsid w:val="00F77D02"/>
    <w:rsid w:val="00FB3A86"/>
    <w:rsid w:val="00FB5F8C"/>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F01833B"/>
  <w15:docId w15:val="{205015D8-78E2-4461-B07A-CB1C5D04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86521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545/26174693.2025.v9.i1d.347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Sheet1!$N$4:$N$12</c:f>
              <c:strCache>
                <c:ptCount val="9"/>
                <c:pt idx="0">
                  <c:v>T1</c:v>
                </c:pt>
                <c:pt idx="1">
                  <c:v>T2</c:v>
                </c:pt>
                <c:pt idx="2">
                  <c:v>T3</c:v>
                </c:pt>
                <c:pt idx="3">
                  <c:v>T4</c:v>
                </c:pt>
                <c:pt idx="4">
                  <c:v>T5</c:v>
                </c:pt>
                <c:pt idx="5">
                  <c:v>T6</c:v>
                </c:pt>
                <c:pt idx="6">
                  <c:v>T7</c:v>
                </c:pt>
                <c:pt idx="7">
                  <c:v>T8</c:v>
                </c:pt>
                <c:pt idx="8">
                  <c:v>T9</c:v>
                </c:pt>
              </c:strCache>
            </c:strRef>
          </c:cat>
          <c:val>
            <c:numRef>
              <c:f>Sheet1!$O$4:$O$12</c:f>
              <c:numCache>
                <c:formatCode>General</c:formatCode>
                <c:ptCount val="9"/>
                <c:pt idx="0">
                  <c:v>64.440000000000026</c:v>
                </c:pt>
                <c:pt idx="1">
                  <c:v>91.106666666666669</c:v>
                </c:pt>
                <c:pt idx="2">
                  <c:v>93.33</c:v>
                </c:pt>
                <c:pt idx="3">
                  <c:v>77.776666666666657</c:v>
                </c:pt>
                <c:pt idx="4">
                  <c:v>82.22</c:v>
                </c:pt>
                <c:pt idx="5">
                  <c:v>73.33</c:v>
                </c:pt>
                <c:pt idx="6">
                  <c:v>84.440000000000026</c:v>
                </c:pt>
                <c:pt idx="7">
                  <c:v>71.106666666666669</c:v>
                </c:pt>
                <c:pt idx="8">
                  <c:v>84.440000000000026</c:v>
                </c:pt>
              </c:numCache>
            </c:numRef>
          </c:val>
          <c:extLst>
            <c:ext xmlns:c16="http://schemas.microsoft.com/office/drawing/2014/chart" uri="{C3380CC4-5D6E-409C-BE32-E72D297353CC}">
              <c16:uniqueId val="{00000000-3CF1-44CE-A174-99E7E788FD7F}"/>
            </c:ext>
          </c:extLst>
        </c:ser>
        <c:dLbls>
          <c:showLegendKey val="0"/>
          <c:showVal val="0"/>
          <c:showCatName val="0"/>
          <c:showSerName val="0"/>
          <c:showPercent val="0"/>
          <c:showBubbleSize val="0"/>
        </c:dLbls>
        <c:gapWidth val="150"/>
        <c:shape val="box"/>
        <c:axId val="85944576"/>
        <c:axId val="85963520"/>
        <c:axId val="0"/>
      </c:bar3DChart>
      <c:catAx>
        <c:axId val="85944576"/>
        <c:scaling>
          <c:orientation val="minMax"/>
        </c:scaling>
        <c:delete val="0"/>
        <c:axPos val="b"/>
        <c:numFmt formatCode="General" sourceLinked="0"/>
        <c:majorTickMark val="out"/>
        <c:minorTickMark val="none"/>
        <c:tickLblPos val="nextTo"/>
        <c:crossAx val="85963520"/>
        <c:crosses val="autoZero"/>
        <c:auto val="1"/>
        <c:lblAlgn val="ctr"/>
        <c:lblOffset val="100"/>
        <c:noMultiLvlLbl val="0"/>
      </c:catAx>
      <c:valAx>
        <c:axId val="85963520"/>
        <c:scaling>
          <c:orientation val="minMax"/>
        </c:scaling>
        <c:delete val="0"/>
        <c:axPos val="l"/>
        <c:majorGridlines/>
        <c:numFmt formatCode="General" sourceLinked="1"/>
        <c:majorTickMark val="out"/>
        <c:minorTickMark val="none"/>
        <c:tickLblPos val="nextTo"/>
        <c:crossAx val="859445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Sheet1!$D$3</c:f>
              <c:strCache>
                <c:ptCount val="1"/>
                <c:pt idx="0">
                  <c:v>Germination percentage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Sheet1!$C$4:$C$12</c:f>
              <c:strCache>
                <c:ptCount val="9"/>
                <c:pt idx="0">
                  <c:v>T1</c:v>
                </c:pt>
                <c:pt idx="1">
                  <c:v>T2</c:v>
                </c:pt>
                <c:pt idx="2">
                  <c:v>T3</c:v>
                </c:pt>
                <c:pt idx="3">
                  <c:v>T4</c:v>
                </c:pt>
                <c:pt idx="4">
                  <c:v>T5</c:v>
                </c:pt>
                <c:pt idx="5">
                  <c:v>T6</c:v>
                </c:pt>
                <c:pt idx="6">
                  <c:v>T7</c:v>
                </c:pt>
                <c:pt idx="7">
                  <c:v>T8</c:v>
                </c:pt>
                <c:pt idx="8">
                  <c:v>T9</c:v>
                </c:pt>
              </c:strCache>
            </c:strRef>
          </c:cat>
          <c:val>
            <c:numRef>
              <c:f>Sheet1!$D$4:$D$12</c:f>
              <c:numCache>
                <c:formatCode>General</c:formatCode>
                <c:ptCount val="9"/>
                <c:pt idx="0">
                  <c:v>64.44</c:v>
                </c:pt>
                <c:pt idx="1">
                  <c:v>91.11</c:v>
                </c:pt>
                <c:pt idx="2">
                  <c:v>93.33</c:v>
                </c:pt>
                <c:pt idx="3">
                  <c:v>77.78</c:v>
                </c:pt>
                <c:pt idx="4">
                  <c:v>82.22</c:v>
                </c:pt>
                <c:pt idx="5">
                  <c:v>73.33</c:v>
                </c:pt>
                <c:pt idx="6">
                  <c:v>84.44</c:v>
                </c:pt>
                <c:pt idx="7">
                  <c:v>71.11</c:v>
                </c:pt>
                <c:pt idx="8">
                  <c:v>84.44</c:v>
                </c:pt>
              </c:numCache>
            </c:numRef>
          </c:val>
          <c:smooth val="0"/>
          <c:extLst>
            <c:ext xmlns:c16="http://schemas.microsoft.com/office/drawing/2014/chart" uri="{C3380CC4-5D6E-409C-BE32-E72D297353CC}">
              <c16:uniqueId val="{00000000-653A-4850-B23D-0FB6791ED61A}"/>
            </c:ext>
          </c:extLst>
        </c:ser>
        <c:ser>
          <c:idx val="1"/>
          <c:order val="1"/>
          <c:tx>
            <c:strRef>
              <c:f>Sheet1!$E$3</c:f>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Sheet1!$C$4:$C$12</c:f>
              <c:strCache>
                <c:ptCount val="9"/>
                <c:pt idx="0">
                  <c:v>T1</c:v>
                </c:pt>
                <c:pt idx="1">
                  <c:v>T2</c:v>
                </c:pt>
                <c:pt idx="2">
                  <c:v>T3</c:v>
                </c:pt>
                <c:pt idx="3">
                  <c:v>T4</c:v>
                </c:pt>
                <c:pt idx="4">
                  <c:v>T5</c:v>
                </c:pt>
                <c:pt idx="5">
                  <c:v>T6</c:v>
                </c:pt>
                <c:pt idx="6">
                  <c:v>T7</c:v>
                </c:pt>
                <c:pt idx="7">
                  <c:v>T8</c:v>
                </c:pt>
                <c:pt idx="8">
                  <c:v>T9</c:v>
                </c:pt>
              </c:strCache>
            </c:strRef>
          </c:cat>
          <c:val>
            <c:numRef>
              <c:f>Sheet1!$E$4:$E$12</c:f>
              <c:numCache>
                <c:formatCode>General</c:formatCode>
                <c:ptCount val="9"/>
              </c:numCache>
            </c:numRef>
          </c:val>
          <c:smooth val="0"/>
          <c:extLst>
            <c:ext xmlns:c16="http://schemas.microsoft.com/office/drawing/2014/chart" uri="{C3380CC4-5D6E-409C-BE32-E72D297353CC}">
              <c16:uniqueId val="{00000001-653A-4850-B23D-0FB6791ED61A}"/>
            </c:ext>
          </c:extLst>
        </c:ser>
        <c:ser>
          <c:idx val="2"/>
          <c:order val="2"/>
          <c:tx>
            <c:strRef>
              <c:f>Sheet1!$F$3</c:f>
              <c:strCache>
                <c:ptCount val="1"/>
                <c:pt idx="0">
                  <c:v>Vigour Index II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Sheet1!$C$4:$C$12</c:f>
              <c:strCache>
                <c:ptCount val="9"/>
                <c:pt idx="0">
                  <c:v>T1</c:v>
                </c:pt>
                <c:pt idx="1">
                  <c:v>T2</c:v>
                </c:pt>
                <c:pt idx="2">
                  <c:v>T3</c:v>
                </c:pt>
                <c:pt idx="3">
                  <c:v>T4</c:v>
                </c:pt>
                <c:pt idx="4">
                  <c:v>T5</c:v>
                </c:pt>
                <c:pt idx="5">
                  <c:v>T6</c:v>
                </c:pt>
                <c:pt idx="6">
                  <c:v>T7</c:v>
                </c:pt>
                <c:pt idx="7">
                  <c:v>T8</c:v>
                </c:pt>
                <c:pt idx="8">
                  <c:v>T9</c:v>
                </c:pt>
              </c:strCache>
            </c:strRef>
          </c:cat>
          <c:val>
            <c:numRef>
              <c:f>Sheet1!$F$4:$F$12</c:f>
              <c:numCache>
                <c:formatCode>General</c:formatCode>
                <c:ptCount val="9"/>
                <c:pt idx="0">
                  <c:v>35.06</c:v>
                </c:pt>
                <c:pt idx="1">
                  <c:v>85.92</c:v>
                </c:pt>
                <c:pt idx="2">
                  <c:v>114.82</c:v>
                </c:pt>
                <c:pt idx="3">
                  <c:v>49.83</c:v>
                </c:pt>
                <c:pt idx="4">
                  <c:v>54.56</c:v>
                </c:pt>
                <c:pt idx="5">
                  <c:v>47.72</c:v>
                </c:pt>
                <c:pt idx="6">
                  <c:v>75.650000000000006</c:v>
                </c:pt>
                <c:pt idx="7">
                  <c:v>44.2</c:v>
                </c:pt>
                <c:pt idx="8">
                  <c:v>68.94</c:v>
                </c:pt>
              </c:numCache>
            </c:numRef>
          </c:val>
          <c:smooth val="0"/>
          <c:extLst>
            <c:ext xmlns:c16="http://schemas.microsoft.com/office/drawing/2014/chart" uri="{C3380CC4-5D6E-409C-BE32-E72D297353CC}">
              <c16:uniqueId val="{00000002-653A-4850-B23D-0FB6791ED61A}"/>
            </c:ext>
          </c:extLst>
        </c:ser>
        <c:dLbls>
          <c:dLblPos val="t"/>
          <c:showLegendKey val="0"/>
          <c:showVal val="1"/>
          <c:showCatName val="0"/>
          <c:showSerName val="0"/>
          <c:showPercent val="0"/>
          <c:showBubbleSize val="0"/>
        </c:dLbls>
        <c:marker val="1"/>
        <c:smooth val="0"/>
        <c:axId val="1557867360"/>
        <c:axId val="1557867840"/>
      </c:lineChart>
      <c:catAx>
        <c:axId val="155786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867840"/>
        <c:crosses val="autoZero"/>
        <c:auto val="1"/>
        <c:lblAlgn val="ctr"/>
        <c:lblOffset val="100"/>
        <c:noMultiLvlLbl val="0"/>
      </c:catAx>
      <c:valAx>
        <c:axId val="155786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867360"/>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E7DB-D608-4C3A-B882-E3AED2E6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1111</TotalTime>
  <Pages>7</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17942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Baishali Bhowmick</cp:lastModifiedBy>
  <cp:revision>59</cp:revision>
  <cp:lastPrinted>1999-07-06T11:00:00Z</cp:lastPrinted>
  <dcterms:created xsi:type="dcterms:W3CDTF">2014-10-25T14:34:00Z</dcterms:created>
  <dcterms:modified xsi:type="dcterms:W3CDTF">2025-05-20T08:29:00Z</dcterms:modified>
</cp:coreProperties>
</file>